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53" w:rsidRPr="00C238E5" w:rsidRDefault="00EB5356" w:rsidP="00C238E5">
      <w:pPr>
        <w:widowControl/>
        <w:tabs>
          <w:tab w:val="center" w:pos="4680"/>
        </w:tabs>
        <w:rPr>
          <w:rFonts w:ascii="Times New Roman" w:hAnsi="Times New Roman"/>
        </w:rPr>
      </w:pPr>
      <w:bookmarkStart w:id="0" w:name="_Ref2133395"/>
      <w:bookmarkEnd w:id="0"/>
      <w:r>
        <w:rPr>
          <w:b/>
          <w:noProof/>
          <w:sz w:val="32"/>
        </w:rPr>
        <w:t>EO12866_OW WQS RIN 2040-AF</w:t>
      </w:r>
      <w:r w:rsidR="00987DCC">
        <w:rPr>
          <w:b/>
          <w:noProof/>
          <w:sz w:val="32"/>
        </w:rPr>
        <w:t>16</w:t>
      </w:r>
      <w:r>
        <w:rPr>
          <w:b/>
          <w:noProof/>
          <w:sz w:val="32"/>
        </w:rPr>
        <w:t xml:space="preserve"> NPRM ICR_201</w:t>
      </w:r>
      <w:r w:rsidR="00EF7337">
        <w:rPr>
          <w:b/>
          <w:noProof/>
          <w:sz w:val="32"/>
        </w:rPr>
        <w:t>3</w:t>
      </w:r>
      <w:r>
        <w:rPr>
          <w:b/>
          <w:noProof/>
          <w:sz w:val="32"/>
        </w:rPr>
        <w:t>0</w:t>
      </w:r>
      <w:r w:rsidR="00EF7337">
        <w:rPr>
          <w:b/>
          <w:noProof/>
          <w:sz w:val="32"/>
        </w:rPr>
        <w:t>7</w:t>
      </w:r>
      <w:r w:rsidR="006A4927">
        <w:rPr>
          <w:b/>
          <w:noProof/>
          <w:sz w:val="32"/>
        </w:rPr>
        <w:t>31</w:t>
      </w:r>
    </w:p>
    <w:p w:rsidR="00A5253A" w:rsidRDefault="00A5253A" w:rsidP="00042B2A">
      <w:pPr>
        <w:widowControl/>
        <w:tabs>
          <w:tab w:val="center" w:pos="4680"/>
        </w:tabs>
        <w:rPr>
          <w:rFonts w:ascii="Times New Roman" w:hAnsi="Times New Roman"/>
        </w:rPr>
      </w:pPr>
    </w:p>
    <w:p w:rsidR="00A5253A" w:rsidRDefault="00A5253A" w:rsidP="00042B2A">
      <w:pPr>
        <w:widowControl/>
        <w:tabs>
          <w:tab w:val="center" w:pos="4680"/>
        </w:tabs>
        <w:rPr>
          <w:rFonts w:ascii="Times New Roman" w:hAnsi="Times New Roman"/>
        </w:rPr>
      </w:pPr>
    </w:p>
    <w:p w:rsidR="009E1D15" w:rsidRPr="00042B2A" w:rsidRDefault="009E1D15" w:rsidP="00042B2A">
      <w:pPr>
        <w:widowControl/>
        <w:tabs>
          <w:tab w:val="center" w:pos="4680"/>
        </w:tabs>
        <w:rPr>
          <w:rFonts w:ascii="Times New Roman" w:hAnsi="Times New Roman"/>
          <w:b/>
          <w:sz w:val="28"/>
          <w:szCs w:val="28"/>
        </w:rPr>
      </w:pPr>
      <w:r>
        <w:rPr>
          <w:rFonts w:ascii="Times New Roman" w:hAnsi="Times New Roman"/>
        </w:rPr>
        <w:tab/>
      </w:r>
      <w:r w:rsidRPr="00042B2A">
        <w:rPr>
          <w:rFonts w:ascii="Times New Roman" w:hAnsi="Times New Roman"/>
          <w:b/>
          <w:bCs/>
          <w:smallCaps/>
          <w:sz w:val="28"/>
          <w:szCs w:val="28"/>
        </w:rPr>
        <w:t>Information Collection Request</w:t>
      </w:r>
    </w:p>
    <w:p w:rsidR="009E1D15" w:rsidRPr="00042B2A" w:rsidRDefault="009E1D15">
      <w:pPr>
        <w:widowControl/>
        <w:tabs>
          <w:tab w:val="center" w:pos="4680"/>
        </w:tabs>
        <w:rPr>
          <w:rFonts w:ascii="Times New Roman" w:hAnsi="Times New Roman"/>
          <w:b/>
          <w:bCs/>
          <w:smallCaps/>
          <w:sz w:val="28"/>
          <w:szCs w:val="28"/>
        </w:rPr>
      </w:pPr>
      <w:r w:rsidRPr="00042B2A">
        <w:rPr>
          <w:rFonts w:ascii="Times New Roman" w:hAnsi="Times New Roman"/>
          <w:b/>
          <w:bCs/>
          <w:smallCaps/>
          <w:sz w:val="28"/>
          <w:szCs w:val="28"/>
        </w:rPr>
        <w:tab/>
        <w:t>for</w:t>
      </w:r>
    </w:p>
    <w:p w:rsidR="00682A53" w:rsidRDefault="00042B2A">
      <w:pPr>
        <w:widowControl/>
        <w:tabs>
          <w:tab w:val="center" w:pos="4680"/>
        </w:tabs>
        <w:rPr>
          <w:rFonts w:ascii="Times New Roman" w:hAnsi="Times New Roman"/>
          <w:b/>
          <w:bCs/>
          <w:smallCaps/>
          <w:sz w:val="28"/>
          <w:szCs w:val="28"/>
        </w:rPr>
      </w:pPr>
      <w:r>
        <w:rPr>
          <w:rFonts w:ascii="Times New Roman" w:hAnsi="Times New Roman"/>
          <w:b/>
          <w:bCs/>
          <w:smallCaps/>
          <w:sz w:val="28"/>
          <w:szCs w:val="28"/>
        </w:rPr>
        <w:tab/>
        <w:t>WATER QUALITY STANDARDS REGULATORY</w:t>
      </w:r>
    </w:p>
    <w:p w:rsidR="009E1D15" w:rsidRPr="00042B2A" w:rsidRDefault="00042B2A" w:rsidP="00682A53">
      <w:pPr>
        <w:widowControl/>
        <w:tabs>
          <w:tab w:val="center" w:pos="4680"/>
        </w:tabs>
        <w:jc w:val="center"/>
        <w:rPr>
          <w:rFonts w:ascii="Times New Roman" w:hAnsi="Times New Roman"/>
          <w:b/>
          <w:bCs/>
          <w:smallCaps/>
          <w:sz w:val="28"/>
          <w:szCs w:val="28"/>
        </w:rPr>
      </w:pPr>
      <w:r>
        <w:rPr>
          <w:rFonts w:ascii="Times New Roman" w:hAnsi="Times New Roman"/>
          <w:b/>
          <w:bCs/>
          <w:smallCaps/>
          <w:sz w:val="28"/>
          <w:szCs w:val="28"/>
        </w:rPr>
        <w:t>CLARIFICATIONS</w:t>
      </w:r>
      <w:r w:rsidR="00682A53">
        <w:rPr>
          <w:rFonts w:ascii="Times New Roman" w:hAnsi="Times New Roman"/>
          <w:b/>
          <w:bCs/>
          <w:smallCaps/>
          <w:sz w:val="28"/>
          <w:szCs w:val="28"/>
        </w:rPr>
        <w:t xml:space="preserve"> </w:t>
      </w:r>
      <w:r w:rsidR="00C4315E">
        <w:rPr>
          <w:rFonts w:ascii="Times New Roman" w:hAnsi="Times New Roman"/>
          <w:b/>
          <w:bCs/>
          <w:smallCaps/>
          <w:sz w:val="28"/>
          <w:szCs w:val="28"/>
        </w:rPr>
        <w:t xml:space="preserve">(PROPOSED </w:t>
      </w:r>
      <w:r w:rsidR="00682A53">
        <w:rPr>
          <w:rFonts w:ascii="Times New Roman" w:hAnsi="Times New Roman"/>
          <w:b/>
          <w:bCs/>
          <w:smallCaps/>
          <w:sz w:val="28"/>
          <w:szCs w:val="28"/>
        </w:rPr>
        <w:t>RULE</w:t>
      </w:r>
      <w:r w:rsidR="00C4315E">
        <w:rPr>
          <w:rFonts w:ascii="Times New Roman" w:hAnsi="Times New Roman"/>
          <w:b/>
          <w:bCs/>
          <w:smallCaps/>
          <w:sz w:val="28"/>
          <w:szCs w:val="28"/>
        </w:rPr>
        <w:t>)</w:t>
      </w: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tabs>
          <w:tab w:val="center" w:pos="4680"/>
        </w:tabs>
        <w:rPr>
          <w:rFonts w:ascii="Times New Roman" w:hAnsi="Times New Roman"/>
        </w:rPr>
      </w:pPr>
      <w:r>
        <w:rPr>
          <w:rFonts w:ascii="Times New Roman" w:hAnsi="Times New Roman"/>
        </w:rPr>
        <w:tab/>
      </w:r>
    </w:p>
    <w:p w:rsidR="009E1D15" w:rsidRDefault="009E1D15">
      <w:pPr>
        <w:widowControl/>
        <w:tabs>
          <w:tab w:val="center" w:pos="4680"/>
        </w:tabs>
        <w:rPr>
          <w:rFonts w:ascii="Times New Roman" w:hAnsi="Times New Roman"/>
        </w:rPr>
      </w:pPr>
      <w:r>
        <w:rPr>
          <w:rFonts w:ascii="Times New Roman" w:hAnsi="Times New Roman"/>
        </w:rPr>
        <w:tab/>
      </w:r>
    </w:p>
    <w:p w:rsidR="009E1D15" w:rsidRDefault="009E1D15">
      <w:pPr>
        <w:widowControl/>
        <w:tabs>
          <w:tab w:val="center" w:pos="4680"/>
        </w:tabs>
        <w:rPr>
          <w:rFonts w:ascii="Times New Roman" w:hAnsi="Times New Roman"/>
        </w:rPr>
      </w:pPr>
      <w:r>
        <w:rPr>
          <w:rFonts w:ascii="Times New Roman" w:hAnsi="Times New Roman"/>
        </w:rPr>
        <w:tab/>
      </w:r>
      <w:r w:rsidR="004943D5" w:rsidRPr="003C36C6">
        <w:rPr>
          <w:rFonts w:ascii="Times New Roman" w:hAnsi="Times New Roman"/>
        </w:rPr>
        <w:t xml:space="preserve">Last revised </w:t>
      </w:r>
      <w:r w:rsidR="002E50A3" w:rsidRPr="003C36C6">
        <w:rPr>
          <w:rFonts w:ascii="Times New Roman" w:hAnsi="Times New Roman"/>
        </w:rPr>
        <w:t>July 2013</w:t>
      </w: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Pr="003C36C6" w:rsidRDefault="009E1D15">
      <w:pPr>
        <w:widowControl/>
        <w:tabs>
          <w:tab w:val="center" w:pos="4680"/>
        </w:tabs>
        <w:rPr>
          <w:rFonts w:ascii="Times New Roman" w:hAnsi="Times New Roman"/>
        </w:rPr>
      </w:pPr>
      <w:r>
        <w:rPr>
          <w:rFonts w:ascii="Times New Roman" w:hAnsi="Times New Roman"/>
        </w:rPr>
        <w:tab/>
        <w:t xml:space="preserve">EPA ICR Number </w:t>
      </w:r>
      <w:r w:rsidR="00890398">
        <w:rPr>
          <w:rFonts w:ascii="Times New Roman" w:hAnsi="Times New Roman"/>
        </w:rPr>
        <w:t>2449.01</w:t>
      </w:r>
    </w:p>
    <w:p w:rsidR="009E1D15" w:rsidRDefault="002E50A3">
      <w:pPr>
        <w:widowControl/>
        <w:tabs>
          <w:tab w:val="center" w:pos="4680"/>
        </w:tabs>
        <w:rPr>
          <w:rFonts w:ascii="Times New Roman" w:hAnsi="Times New Roman"/>
        </w:rPr>
      </w:pPr>
      <w:r w:rsidRPr="003C36C6">
        <w:rPr>
          <w:rFonts w:ascii="Times New Roman" w:hAnsi="Times New Roman"/>
        </w:rPr>
        <w:tab/>
        <w:t xml:space="preserve">OMB Control Number </w:t>
      </w:r>
      <w:r w:rsidR="00890398">
        <w:rPr>
          <w:rFonts w:ascii="Times New Roman" w:hAnsi="Times New Roman"/>
        </w:rPr>
        <w:t>2040-NEW</w:t>
      </w: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tabs>
          <w:tab w:val="center" w:pos="4680"/>
        </w:tabs>
        <w:rPr>
          <w:rFonts w:ascii="Times New Roman" w:hAnsi="Times New Roman"/>
        </w:rPr>
      </w:pPr>
      <w:r>
        <w:rPr>
          <w:rFonts w:ascii="Times New Roman" w:hAnsi="Times New Roman"/>
        </w:rPr>
        <w:tab/>
      </w: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rPr>
          <w:rFonts w:ascii="Times New Roman" w:hAnsi="Times New Roman"/>
        </w:rPr>
      </w:pPr>
    </w:p>
    <w:p w:rsidR="009E1D15" w:rsidRDefault="009E1D15">
      <w:pPr>
        <w:widowControl/>
        <w:tabs>
          <w:tab w:val="center" w:pos="4680"/>
        </w:tabs>
        <w:rPr>
          <w:rFonts w:ascii="Times New Roman" w:hAnsi="Times New Roman"/>
          <w:b/>
          <w:bCs/>
        </w:rPr>
      </w:pPr>
      <w:r>
        <w:rPr>
          <w:rFonts w:ascii="Times New Roman" w:hAnsi="Times New Roman"/>
        </w:rPr>
        <w:tab/>
      </w:r>
      <w:smartTag w:uri="urn:schemas-microsoft-com:office:smarttags" w:element="place">
        <w:smartTag w:uri="urn:schemas-microsoft-com:office:smarttags" w:element="country-region">
          <w:r>
            <w:rPr>
              <w:rFonts w:ascii="Times New Roman" w:hAnsi="Times New Roman"/>
              <w:b/>
              <w:bCs/>
            </w:rPr>
            <w:t>U.S.</w:t>
          </w:r>
        </w:smartTag>
      </w:smartTag>
      <w:r>
        <w:rPr>
          <w:rFonts w:ascii="Times New Roman" w:hAnsi="Times New Roman"/>
          <w:b/>
          <w:bCs/>
        </w:rPr>
        <w:t xml:space="preserve"> Environmental Protection Agency</w:t>
      </w:r>
    </w:p>
    <w:p w:rsidR="009E1D15" w:rsidRDefault="009E1D15">
      <w:pPr>
        <w:widowControl/>
        <w:tabs>
          <w:tab w:val="center" w:pos="4680"/>
        </w:tabs>
        <w:rPr>
          <w:rFonts w:ascii="Times New Roman" w:hAnsi="Times New Roman"/>
          <w:b/>
          <w:bCs/>
        </w:rPr>
      </w:pPr>
      <w:r>
        <w:rPr>
          <w:rFonts w:ascii="Times New Roman" w:hAnsi="Times New Roman"/>
          <w:b/>
          <w:bCs/>
        </w:rPr>
        <w:tab/>
        <w:t>Office of Water/Office of Science and Technology</w:t>
      </w:r>
    </w:p>
    <w:p w:rsidR="009E1D15" w:rsidRDefault="009E1D15">
      <w:pPr>
        <w:widowControl/>
        <w:tabs>
          <w:tab w:val="center" w:pos="4680"/>
        </w:tabs>
        <w:rPr>
          <w:rFonts w:ascii="Times New Roman" w:hAnsi="Times New Roman"/>
          <w:b/>
          <w:bCs/>
        </w:rPr>
      </w:pPr>
      <w:r>
        <w:rPr>
          <w:rFonts w:ascii="Times New Roman" w:hAnsi="Times New Roman"/>
          <w:b/>
          <w:bCs/>
        </w:rPr>
        <w:tab/>
      </w:r>
      <w:smartTag w:uri="urn:schemas-microsoft-com:office:smarttags" w:element="Street">
        <w:smartTag w:uri="urn:schemas-microsoft-com:office:smarttags" w:element="address">
          <w:r>
            <w:rPr>
              <w:rFonts w:ascii="Times New Roman" w:hAnsi="Times New Roman"/>
              <w:b/>
              <w:bCs/>
            </w:rPr>
            <w:t>1200 Pennsylvania Avenue, NW</w:t>
          </w:r>
        </w:smartTag>
      </w:smartTag>
    </w:p>
    <w:p w:rsidR="009E1D15" w:rsidRDefault="009E1D15">
      <w:pPr>
        <w:widowControl/>
        <w:tabs>
          <w:tab w:val="center" w:pos="4680"/>
        </w:tabs>
        <w:rPr>
          <w:rFonts w:ascii="Times New Roman" w:hAnsi="Times New Roman"/>
          <w:b/>
          <w:bCs/>
        </w:rPr>
      </w:pPr>
      <w:r>
        <w:rPr>
          <w:rFonts w:ascii="Times New Roman" w:hAnsi="Times New Roman"/>
          <w:b/>
          <w:bCs/>
        </w:rPr>
        <w:tab/>
      </w:r>
      <w:smartTag w:uri="urn:schemas-microsoft-com:office:smarttags" w:element="place">
        <w:smartTag w:uri="urn:schemas-microsoft-com:office:smarttags" w:element="City">
          <w:r>
            <w:rPr>
              <w:rFonts w:ascii="Times New Roman" w:hAnsi="Times New Roman"/>
              <w:b/>
              <w:bCs/>
            </w:rPr>
            <w:t>Washington</w:t>
          </w:r>
        </w:smartTag>
        <w:r>
          <w:rPr>
            <w:rFonts w:ascii="Times New Roman" w:hAnsi="Times New Roman"/>
            <w:b/>
            <w:bCs/>
          </w:rPr>
          <w:t xml:space="preserve">, </w:t>
        </w:r>
        <w:smartTag w:uri="urn:schemas-microsoft-com:office:smarttags" w:element="State">
          <w:r>
            <w:rPr>
              <w:rFonts w:ascii="Times New Roman" w:hAnsi="Times New Roman"/>
              <w:b/>
              <w:bCs/>
            </w:rPr>
            <w:t>D.C.</w:t>
          </w:r>
        </w:smartTag>
      </w:smartTag>
      <w:r>
        <w:rPr>
          <w:rFonts w:ascii="Times New Roman" w:hAnsi="Times New Roman"/>
          <w:b/>
          <w:bCs/>
        </w:rPr>
        <w:t xml:space="preserve">  20460</w:t>
      </w:r>
    </w:p>
    <w:p w:rsidR="009E1D15" w:rsidRDefault="009E1D15">
      <w:pPr>
        <w:widowControl/>
        <w:rPr>
          <w:rFonts w:ascii="Times New Roman" w:hAnsi="Times New Roman"/>
          <w:b/>
          <w:bCs/>
        </w:rPr>
      </w:pPr>
    </w:p>
    <w:p w:rsidR="009E1D15" w:rsidRDefault="009E1D15">
      <w:pPr>
        <w:widowControl/>
        <w:rPr>
          <w:rFonts w:ascii="Times New Roman" w:hAnsi="Times New Roman"/>
        </w:rPr>
        <w:sectPr w:rsidR="009E1D15" w:rsidSect="00234AF7">
          <w:pgSz w:w="12240" w:h="15840"/>
          <w:pgMar w:top="1440" w:right="1440" w:bottom="1440" w:left="1440" w:header="1440" w:footer="1440" w:gutter="0"/>
          <w:cols w:space="720"/>
          <w:vAlign w:val="center"/>
          <w:noEndnote/>
          <w:docGrid w:linePitch="326"/>
        </w:sectPr>
      </w:pPr>
    </w:p>
    <w:p w:rsidR="009E1D15" w:rsidRDefault="009E1D15">
      <w:pPr>
        <w:widowControl/>
        <w:tabs>
          <w:tab w:val="center" w:pos="4680"/>
        </w:tabs>
        <w:rPr>
          <w:rFonts w:ascii="Times New Roman" w:hAnsi="Times New Roman"/>
          <w:b/>
          <w:bCs/>
        </w:rPr>
      </w:pPr>
      <w:r>
        <w:rPr>
          <w:rFonts w:ascii="Times New Roman" w:hAnsi="Times New Roman"/>
          <w:b/>
          <w:bCs/>
        </w:rPr>
        <w:lastRenderedPageBreak/>
        <w:tab/>
      </w:r>
      <w:r>
        <w:rPr>
          <w:rFonts w:ascii="Times New Roman" w:hAnsi="Times New Roman"/>
          <w:b/>
          <w:bCs/>
          <w:u w:val="single"/>
        </w:rPr>
        <w:t>CONTENTS</w:t>
      </w:r>
    </w:p>
    <w:p w:rsidR="009E1D15" w:rsidRDefault="009E1D15">
      <w:pPr>
        <w:widowControl/>
        <w:rPr>
          <w:rFonts w:ascii="Times New Roman" w:hAnsi="Times New Roman"/>
          <w:b/>
          <w:bCs/>
        </w:rPr>
      </w:pPr>
    </w:p>
    <w:p w:rsidR="009E1D15" w:rsidRDefault="009E1D15">
      <w:pPr>
        <w:widowControl/>
        <w:tabs>
          <w:tab w:val="right" w:pos="9360"/>
        </w:tabs>
        <w:rPr>
          <w:rFonts w:ascii="Times New Roman" w:hAnsi="Times New Roman"/>
          <w:b/>
          <w:bCs/>
        </w:rPr>
      </w:pPr>
      <w:r>
        <w:rPr>
          <w:rFonts w:ascii="Times New Roman" w:hAnsi="Times New Roman"/>
          <w:b/>
          <w:bCs/>
        </w:rPr>
        <w:tab/>
      </w:r>
      <w:r>
        <w:rPr>
          <w:rFonts w:ascii="Times New Roman" w:hAnsi="Times New Roman"/>
          <w:b/>
          <w:bCs/>
          <w:u w:val="single"/>
        </w:rPr>
        <w:t>Page</w:t>
      </w:r>
    </w:p>
    <w:p w:rsidR="001952D3" w:rsidRDefault="001952D3">
      <w:pPr>
        <w:pStyle w:val="TOC1"/>
        <w:widowControl/>
        <w:ind w:left="0" w:firstLine="0"/>
      </w:pPr>
    </w:p>
    <w:p w:rsidR="00EB20F2" w:rsidRDefault="00EA39AA">
      <w:pPr>
        <w:pStyle w:val="TOC1"/>
        <w:tabs>
          <w:tab w:val="right" w:leader="dot" w:pos="9350"/>
        </w:tabs>
        <w:rPr>
          <w:rFonts w:asciiTheme="minorHAnsi" w:eastAsiaTheme="minorEastAsia" w:hAnsiTheme="minorHAnsi" w:cstheme="minorBidi"/>
          <w:noProof/>
          <w:sz w:val="22"/>
          <w:szCs w:val="22"/>
        </w:rPr>
      </w:pPr>
      <w:r>
        <w:fldChar w:fldCharType="begin"/>
      </w:r>
      <w:r w:rsidR="00EB20F2">
        <w:instrText xml:space="preserve"> TOC \o "1-3" \f </w:instrText>
      </w:r>
      <w:r>
        <w:fldChar w:fldCharType="separate"/>
      </w:r>
      <w:r w:rsidR="00EB20F2">
        <w:rPr>
          <w:noProof/>
        </w:rPr>
        <w:t>1.</w:t>
      </w:r>
      <w:r w:rsidR="00EB20F2">
        <w:rPr>
          <w:rFonts w:asciiTheme="minorHAnsi" w:eastAsiaTheme="minorEastAsia" w:hAnsiTheme="minorHAnsi" w:cstheme="minorBidi"/>
          <w:noProof/>
          <w:sz w:val="22"/>
          <w:szCs w:val="22"/>
        </w:rPr>
        <w:tab/>
      </w:r>
      <w:r w:rsidR="00EB20F2">
        <w:rPr>
          <w:noProof/>
        </w:rPr>
        <w:t>IDENTIFICATION OF THE INFORMATION COLLECTION</w:t>
      </w:r>
      <w:r w:rsidR="00EB20F2">
        <w:rPr>
          <w:noProof/>
        </w:rPr>
        <w:tab/>
      </w:r>
      <w:r>
        <w:rPr>
          <w:noProof/>
        </w:rPr>
        <w:fldChar w:fldCharType="begin"/>
      </w:r>
      <w:r w:rsidR="00EB20F2">
        <w:rPr>
          <w:noProof/>
        </w:rPr>
        <w:instrText xml:space="preserve"> PAGEREF _Toc361990595 \h </w:instrText>
      </w:r>
      <w:r>
        <w:rPr>
          <w:noProof/>
        </w:rPr>
      </w:r>
      <w:r>
        <w:rPr>
          <w:noProof/>
        </w:rPr>
        <w:fldChar w:fldCharType="separate"/>
      </w:r>
      <w:r w:rsidR="00826119">
        <w:rPr>
          <w:noProof/>
        </w:rPr>
        <w:t>3</w:t>
      </w:r>
      <w:r>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Title of the Information Collection</w:t>
      </w:r>
      <w:r>
        <w:rPr>
          <w:noProof/>
        </w:rPr>
        <w:tab/>
      </w:r>
      <w:r w:rsidR="00EA39AA">
        <w:rPr>
          <w:noProof/>
        </w:rPr>
        <w:fldChar w:fldCharType="begin"/>
      </w:r>
      <w:r>
        <w:rPr>
          <w:noProof/>
        </w:rPr>
        <w:instrText xml:space="preserve"> PAGEREF _Toc361990596 \h </w:instrText>
      </w:r>
      <w:r w:rsidR="00EA39AA">
        <w:rPr>
          <w:noProof/>
        </w:rPr>
      </w:r>
      <w:r w:rsidR="00EA39AA">
        <w:rPr>
          <w:noProof/>
        </w:rPr>
        <w:fldChar w:fldCharType="separate"/>
      </w:r>
      <w:r w:rsidR="00826119">
        <w:rPr>
          <w:noProof/>
        </w:rPr>
        <w:t>3</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Short Characterization/Abstract</w:t>
      </w:r>
      <w:r>
        <w:rPr>
          <w:noProof/>
        </w:rPr>
        <w:tab/>
      </w:r>
      <w:r w:rsidR="00EA39AA">
        <w:rPr>
          <w:noProof/>
        </w:rPr>
        <w:fldChar w:fldCharType="begin"/>
      </w:r>
      <w:r>
        <w:rPr>
          <w:noProof/>
        </w:rPr>
        <w:instrText xml:space="preserve"> PAGEREF _Toc361990597 \h </w:instrText>
      </w:r>
      <w:r w:rsidR="00EA39AA">
        <w:rPr>
          <w:noProof/>
        </w:rPr>
      </w:r>
      <w:r w:rsidR="00EA39AA">
        <w:rPr>
          <w:noProof/>
        </w:rPr>
        <w:fldChar w:fldCharType="separate"/>
      </w:r>
      <w:r w:rsidR="00826119">
        <w:rPr>
          <w:noProof/>
        </w:rPr>
        <w:t>3</w:t>
      </w:r>
      <w:r w:rsidR="00EA39AA">
        <w:rPr>
          <w:noProof/>
        </w:rPr>
        <w:fldChar w:fldCharType="end"/>
      </w:r>
    </w:p>
    <w:p w:rsidR="00EB20F2" w:rsidRDefault="00EB20F2">
      <w:pPr>
        <w:pStyle w:val="TOC1"/>
        <w:tabs>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NEED FOR AND USE OF THE COLLECTION</w:t>
      </w:r>
      <w:r>
        <w:rPr>
          <w:noProof/>
        </w:rPr>
        <w:tab/>
      </w:r>
      <w:r w:rsidR="00EA39AA">
        <w:rPr>
          <w:noProof/>
        </w:rPr>
        <w:fldChar w:fldCharType="begin"/>
      </w:r>
      <w:r>
        <w:rPr>
          <w:noProof/>
        </w:rPr>
        <w:instrText xml:space="preserve"> PAGEREF _Toc361990598 \h </w:instrText>
      </w:r>
      <w:r w:rsidR="00EA39AA">
        <w:rPr>
          <w:noProof/>
        </w:rPr>
      </w:r>
      <w:r w:rsidR="00EA39AA">
        <w:rPr>
          <w:noProof/>
        </w:rPr>
        <w:fldChar w:fldCharType="separate"/>
      </w:r>
      <w:r w:rsidR="00826119">
        <w:rPr>
          <w:noProof/>
        </w:rPr>
        <w:t>4</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Need and Authority for the Collection</w:t>
      </w:r>
      <w:r>
        <w:rPr>
          <w:noProof/>
        </w:rPr>
        <w:tab/>
      </w:r>
      <w:r w:rsidR="00EA39AA">
        <w:rPr>
          <w:noProof/>
        </w:rPr>
        <w:fldChar w:fldCharType="begin"/>
      </w:r>
      <w:r>
        <w:rPr>
          <w:noProof/>
        </w:rPr>
        <w:instrText xml:space="preserve"> PAGEREF _Toc361990599 \h </w:instrText>
      </w:r>
      <w:r w:rsidR="00EA39AA">
        <w:rPr>
          <w:noProof/>
        </w:rPr>
      </w:r>
      <w:r w:rsidR="00EA39AA">
        <w:rPr>
          <w:noProof/>
        </w:rPr>
        <w:fldChar w:fldCharType="separate"/>
      </w:r>
      <w:r w:rsidR="00826119">
        <w:rPr>
          <w:noProof/>
        </w:rPr>
        <w:t>4</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Practical Utility/Users of the Data</w:t>
      </w:r>
      <w:r>
        <w:rPr>
          <w:noProof/>
        </w:rPr>
        <w:tab/>
      </w:r>
      <w:r w:rsidR="00EA39AA">
        <w:rPr>
          <w:noProof/>
        </w:rPr>
        <w:fldChar w:fldCharType="begin"/>
      </w:r>
      <w:r>
        <w:rPr>
          <w:noProof/>
        </w:rPr>
        <w:instrText xml:space="preserve"> PAGEREF _Toc361990600 \h </w:instrText>
      </w:r>
      <w:r w:rsidR="00EA39AA">
        <w:rPr>
          <w:noProof/>
        </w:rPr>
      </w:r>
      <w:r w:rsidR="00EA39AA">
        <w:rPr>
          <w:noProof/>
        </w:rPr>
        <w:fldChar w:fldCharType="separate"/>
      </w:r>
      <w:r w:rsidR="00826119">
        <w:rPr>
          <w:noProof/>
        </w:rPr>
        <w:t>5</w:t>
      </w:r>
      <w:r w:rsidR="00EA39AA">
        <w:rPr>
          <w:noProof/>
        </w:rPr>
        <w:fldChar w:fldCharType="end"/>
      </w:r>
    </w:p>
    <w:p w:rsidR="00EB20F2" w:rsidRDefault="00EB20F2">
      <w:pPr>
        <w:pStyle w:val="TOC1"/>
        <w:tabs>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NON-DUPLICATION, CONSULTATIONS, AND OTHER COLLECTION CRITERIA</w:t>
      </w:r>
      <w:r>
        <w:rPr>
          <w:noProof/>
        </w:rPr>
        <w:tab/>
      </w:r>
      <w:r w:rsidR="00EA39AA">
        <w:rPr>
          <w:noProof/>
        </w:rPr>
        <w:fldChar w:fldCharType="begin"/>
      </w:r>
      <w:r>
        <w:rPr>
          <w:noProof/>
        </w:rPr>
        <w:instrText xml:space="preserve"> PAGEREF _Toc361990601 \h </w:instrText>
      </w:r>
      <w:r w:rsidR="00EA39AA">
        <w:rPr>
          <w:noProof/>
        </w:rPr>
      </w:r>
      <w:r w:rsidR="00EA39AA">
        <w:rPr>
          <w:noProof/>
        </w:rPr>
        <w:fldChar w:fldCharType="separate"/>
      </w:r>
      <w:r w:rsidR="00826119">
        <w:rPr>
          <w:noProof/>
        </w:rPr>
        <w:t>5</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Non-Duplication</w:t>
      </w:r>
      <w:r>
        <w:rPr>
          <w:noProof/>
        </w:rPr>
        <w:tab/>
      </w:r>
      <w:r w:rsidR="00EA39AA">
        <w:rPr>
          <w:noProof/>
        </w:rPr>
        <w:fldChar w:fldCharType="begin"/>
      </w:r>
      <w:r>
        <w:rPr>
          <w:noProof/>
        </w:rPr>
        <w:instrText xml:space="preserve"> PAGEREF _Toc361990602 \h </w:instrText>
      </w:r>
      <w:r w:rsidR="00EA39AA">
        <w:rPr>
          <w:noProof/>
        </w:rPr>
      </w:r>
      <w:r w:rsidR="00EA39AA">
        <w:rPr>
          <w:noProof/>
        </w:rPr>
        <w:fldChar w:fldCharType="separate"/>
      </w:r>
      <w:r w:rsidR="00826119">
        <w:rPr>
          <w:noProof/>
        </w:rPr>
        <w:t>5</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 xml:space="preserve">Public Notice Required Prior to </w:t>
      </w:r>
      <w:r w:rsidRPr="00F74531">
        <w:rPr>
          <w:caps/>
          <w:noProof/>
        </w:rPr>
        <w:t>Icr</w:t>
      </w:r>
      <w:r>
        <w:rPr>
          <w:noProof/>
        </w:rPr>
        <w:t xml:space="preserve"> Submission to </w:t>
      </w:r>
      <w:r w:rsidRPr="00F74531">
        <w:rPr>
          <w:caps/>
          <w:noProof/>
        </w:rPr>
        <w:t>Omb</w:t>
      </w:r>
      <w:r>
        <w:rPr>
          <w:noProof/>
        </w:rPr>
        <w:tab/>
      </w:r>
      <w:r w:rsidR="00EA39AA">
        <w:rPr>
          <w:noProof/>
        </w:rPr>
        <w:fldChar w:fldCharType="begin"/>
      </w:r>
      <w:r>
        <w:rPr>
          <w:noProof/>
        </w:rPr>
        <w:instrText xml:space="preserve"> PAGEREF _Toc361990603 \h </w:instrText>
      </w:r>
      <w:r w:rsidR="00EA39AA">
        <w:rPr>
          <w:noProof/>
        </w:rPr>
      </w:r>
      <w:r w:rsidR="00EA39AA">
        <w:rPr>
          <w:noProof/>
        </w:rPr>
        <w:fldChar w:fldCharType="separate"/>
      </w:r>
      <w:r w:rsidR="00826119">
        <w:rPr>
          <w:noProof/>
        </w:rPr>
        <w:t>6</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Consultations</w:t>
      </w:r>
      <w:r>
        <w:rPr>
          <w:noProof/>
        </w:rPr>
        <w:tab/>
      </w:r>
      <w:r w:rsidR="00EA39AA">
        <w:rPr>
          <w:noProof/>
        </w:rPr>
        <w:fldChar w:fldCharType="begin"/>
      </w:r>
      <w:r>
        <w:rPr>
          <w:noProof/>
        </w:rPr>
        <w:instrText xml:space="preserve"> PAGEREF _Toc361990604 \h </w:instrText>
      </w:r>
      <w:r w:rsidR="00EA39AA">
        <w:rPr>
          <w:noProof/>
        </w:rPr>
      </w:r>
      <w:r w:rsidR="00EA39AA">
        <w:rPr>
          <w:noProof/>
        </w:rPr>
        <w:fldChar w:fldCharType="separate"/>
      </w:r>
      <w:r w:rsidR="00826119">
        <w:rPr>
          <w:noProof/>
        </w:rPr>
        <w:t>6</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Effects of Less Frequent Collection</w:t>
      </w:r>
      <w:r>
        <w:rPr>
          <w:noProof/>
        </w:rPr>
        <w:tab/>
      </w:r>
      <w:r w:rsidR="00EA39AA">
        <w:rPr>
          <w:noProof/>
        </w:rPr>
        <w:fldChar w:fldCharType="begin"/>
      </w:r>
      <w:r>
        <w:rPr>
          <w:noProof/>
        </w:rPr>
        <w:instrText xml:space="preserve"> PAGEREF _Toc361990605 \h </w:instrText>
      </w:r>
      <w:r w:rsidR="00EA39AA">
        <w:rPr>
          <w:noProof/>
        </w:rPr>
      </w:r>
      <w:r w:rsidR="00EA39AA">
        <w:rPr>
          <w:noProof/>
        </w:rPr>
        <w:fldChar w:fldCharType="separate"/>
      </w:r>
      <w:r w:rsidR="00826119">
        <w:rPr>
          <w:noProof/>
        </w:rPr>
        <w:t>6</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General Guidelines</w:t>
      </w:r>
      <w:r>
        <w:rPr>
          <w:noProof/>
        </w:rPr>
        <w:tab/>
      </w:r>
      <w:r w:rsidR="00EA39AA">
        <w:rPr>
          <w:noProof/>
        </w:rPr>
        <w:fldChar w:fldCharType="begin"/>
      </w:r>
      <w:r>
        <w:rPr>
          <w:noProof/>
        </w:rPr>
        <w:instrText xml:space="preserve"> PAGEREF _Toc361990606 \h </w:instrText>
      </w:r>
      <w:r w:rsidR="00EA39AA">
        <w:rPr>
          <w:noProof/>
        </w:rPr>
      </w:r>
      <w:r w:rsidR="00EA39AA">
        <w:rPr>
          <w:noProof/>
        </w:rPr>
        <w:fldChar w:fldCharType="separate"/>
      </w:r>
      <w:r w:rsidR="00826119">
        <w:rPr>
          <w:noProof/>
        </w:rPr>
        <w:t>7</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Confidentiality And Sensitive Questions</w:t>
      </w:r>
      <w:r>
        <w:rPr>
          <w:noProof/>
        </w:rPr>
        <w:tab/>
      </w:r>
      <w:r w:rsidR="00EA39AA">
        <w:rPr>
          <w:noProof/>
        </w:rPr>
        <w:fldChar w:fldCharType="begin"/>
      </w:r>
      <w:r>
        <w:rPr>
          <w:noProof/>
        </w:rPr>
        <w:instrText xml:space="preserve"> PAGEREF _Toc361990607 \h </w:instrText>
      </w:r>
      <w:r w:rsidR="00EA39AA">
        <w:rPr>
          <w:noProof/>
        </w:rPr>
      </w:r>
      <w:r w:rsidR="00EA39AA">
        <w:rPr>
          <w:noProof/>
        </w:rPr>
        <w:fldChar w:fldCharType="separate"/>
      </w:r>
      <w:r w:rsidR="00826119">
        <w:rPr>
          <w:noProof/>
        </w:rPr>
        <w:t>7</w:t>
      </w:r>
      <w:r w:rsidR="00EA39AA">
        <w:rPr>
          <w:noProof/>
        </w:rPr>
        <w:fldChar w:fldCharType="end"/>
      </w:r>
    </w:p>
    <w:p w:rsidR="00EB20F2" w:rsidRDefault="00EB20F2">
      <w:pPr>
        <w:pStyle w:val="TOC1"/>
        <w:tabs>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THE RESPONDENTS AND THE INFORMATION REQUESTED</w:t>
      </w:r>
      <w:r>
        <w:rPr>
          <w:noProof/>
        </w:rPr>
        <w:tab/>
      </w:r>
      <w:r w:rsidR="00EA39AA">
        <w:rPr>
          <w:noProof/>
        </w:rPr>
        <w:fldChar w:fldCharType="begin"/>
      </w:r>
      <w:r>
        <w:rPr>
          <w:noProof/>
        </w:rPr>
        <w:instrText xml:space="preserve"> PAGEREF _Toc361990608 \h </w:instrText>
      </w:r>
      <w:r w:rsidR="00EA39AA">
        <w:rPr>
          <w:noProof/>
        </w:rPr>
      </w:r>
      <w:r w:rsidR="00EA39AA">
        <w:rPr>
          <w:noProof/>
        </w:rPr>
        <w:fldChar w:fldCharType="separate"/>
      </w:r>
      <w:r w:rsidR="00826119">
        <w:rPr>
          <w:noProof/>
        </w:rPr>
        <w:t>7</w:t>
      </w:r>
      <w:r w:rsidR="00EA39AA">
        <w:rPr>
          <w:noProof/>
        </w:rPr>
        <w:fldChar w:fldCharType="end"/>
      </w:r>
    </w:p>
    <w:p w:rsidR="00EB20F2" w:rsidRPr="00702038" w:rsidRDefault="00EB20F2">
      <w:pPr>
        <w:pStyle w:val="TOC2"/>
        <w:tabs>
          <w:tab w:val="left" w:pos="1440"/>
          <w:tab w:val="right" w:leader="dot" w:pos="9350"/>
        </w:tabs>
        <w:rPr>
          <w:rFonts w:asciiTheme="minorHAnsi" w:eastAsiaTheme="minorEastAsia" w:hAnsiTheme="minorHAnsi" w:cstheme="minorBidi"/>
          <w:noProof/>
          <w:sz w:val="22"/>
          <w:szCs w:val="22"/>
          <w:lang w:val="fr-FR"/>
        </w:rPr>
      </w:pPr>
      <w:r w:rsidRPr="00702038">
        <w:rPr>
          <w:noProof/>
          <w:lang w:val="fr-FR"/>
        </w:rPr>
        <w:t>4.1</w:t>
      </w:r>
      <w:r w:rsidRPr="00702038">
        <w:rPr>
          <w:rFonts w:asciiTheme="minorHAnsi" w:eastAsiaTheme="minorEastAsia" w:hAnsiTheme="minorHAnsi" w:cstheme="minorBidi"/>
          <w:noProof/>
          <w:sz w:val="22"/>
          <w:szCs w:val="22"/>
          <w:lang w:val="fr-FR"/>
        </w:rPr>
        <w:tab/>
      </w:r>
      <w:r w:rsidRPr="00702038">
        <w:rPr>
          <w:noProof/>
          <w:lang w:val="fr-FR"/>
        </w:rPr>
        <w:t>Respondents/</w:t>
      </w:r>
      <w:r w:rsidRPr="00702038">
        <w:rPr>
          <w:caps/>
          <w:noProof/>
          <w:lang w:val="fr-FR"/>
        </w:rPr>
        <w:t>Naics</w:t>
      </w:r>
      <w:r w:rsidRPr="00702038">
        <w:rPr>
          <w:noProof/>
          <w:lang w:val="fr-FR"/>
        </w:rPr>
        <w:t xml:space="preserve"> Codes</w:t>
      </w:r>
      <w:r w:rsidRPr="00702038">
        <w:rPr>
          <w:noProof/>
          <w:lang w:val="fr-FR"/>
        </w:rPr>
        <w:tab/>
      </w:r>
      <w:r w:rsidR="00EA39AA">
        <w:rPr>
          <w:noProof/>
        </w:rPr>
        <w:fldChar w:fldCharType="begin"/>
      </w:r>
      <w:r w:rsidRPr="00702038">
        <w:rPr>
          <w:noProof/>
          <w:lang w:val="fr-FR"/>
        </w:rPr>
        <w:instrText xml:space="preserve"> PAGEREF _Toc361990609 \h </w:instrText>
      </w:r>
      <w:r w:rsidR="00EA39AA">
        <w:rPr>
          <w:noProof/>
        </w:rPr>
      </w:r>
      <w:r w:rsidR="00EA39AA">
        <w:rPr>
          <w:noProof/>
        </w:rPr>
        <w:fldChar w:fldCharType="separate"/>
      </w:r>
      <w:r w:rsidR="00826119" w:rsidRPr="00702038">
        <w:rPr>
          <w:noProof/>
          <w:lang w:val="fr-FR"/>
        </w:rPr>
        <w:t>7</w:t>
      </w:r>
      <w:r w:rsidR="00EA39AA">
        <w:rPr>
          <w:noProof/>
        </w:rPr>
        <w:fldChar w:fldCharType="end"/>
      </w:r>
    </w:p>
    <w:p w:rsidR="00EB20F2" w:rsidRPr="00702038" w:rsidRDefault="00EB20F2">
      <w:pPr>
        <w:pStyle w:val="TOC2"/>
        <w:tabs>
          <w:tab w:val="left" w:pos="1440"/>
          <w:tab w:val="right" w:leader="dot" w:pos="9350"/>
        </w:tabs>
        <w:rPr>
          <w:rFonts w:asciiTheme="minorHAnsi" w:eastAsiaTheme="minorEastAsia" w:hAnsiTheme="minorHAnsi" w:cstheme="minorBidi"/>
          <w:noProof/>
          <w:sz w:val="22"/>
          <w:szCs w:val="22"/>
          <w:lang w:val="fr-FR"/>
        </w:rPr>
      </w:pPr>
      <w:r w:rsidRPr="00702038">
        <w:rPr>
          <w:noProof/>
          <w:lang w:val="fr-FR"/>
        </w:rPr>
        <w:t>4.2</w:t>
      </w:r>
      <w:r w:rsidRPr="00702038">
        <w:rPr>
          <w:rFonts w:asciiTheme="minorHAnsi" w:eastAsiaTheme="minorEastAsia" w:hAnsiTheme="minorHAnsi" w:cstheme="minorBidi"/>
          <w:noProof/>
          <w:sz w:val="22"/>
          <w:szCs w:val="22"/>
          <w:lang w:val="fr-FR"/>
        </w:rPr>
        <w:tab/>
      </w:r>
      <w:r w:rsidRPr="00702038">
        <w:rPr>
          <w:noProof/>
          <w:lang w:val="fr-FR"/>
        </w:rPr>
        <w:t>Information Requested</w:t>
      </w:r>
      <w:r w:rsidRPr="00702038">
        <w:rPr>
          <w:noProof/>
          <w:lang w:val="fr-FR"/>
        </w:rPr>
        <w:tab/>
      </w:r>
      <w:r w:rsidR="00EA39AA">
        <w:rPr>
          <w:noProof/>
        </w:rPr>
        <w:fldChar w:fldCharType="begin"/>
      </w:r>
      <w:r w:rsidRPr="00702038">
        <w:rPr>
          <w:noProof/>
          <w:lang w:val="fr-FR"/>
        </w:rPr>
        <w:instrText xml:space="preserve"> PAGEREF _Toc361990610 \h </w:instrText>
      </w:r>
      <w:r w:rsidR="00EA39AA">
        <w:rPr>
          <w:noProof/>
        </w:rPr>
      </w:r>
      <w:r w:rsidR="00EA39AA">
        <w:rPr>
          <w:noProof/>
        </w:rPr>
        <w:fldChar w:fldCharType="separate"/>
      </w:r>
      <w:r w:rsidR="00826119" w:rsidRPr="00702038">
        <w:rPr>
          <w:noProof/>
          <w:lang w:val="fr-FR"/>
        </w:rPr>
        <w:t>7</w:t>
      </w:r>
      <w:r w:rsidR="00EA39AA">
        <w:rPr>
          <w:noProof/>
        </w:rPr>
        <w:fldChar w:fldCharType="end"/>
      </w:r>
    </w:p>
    <w:p w:rsidR="00EB20F2" w:rsidRDefault="00EB20F2">
      <w:pPr>
        <w:pStyle w:val="TOC3"/>
        <w:tabs>
          <w:tab w:val="left" w:pos="1440"/>
          <w:tab w:val="right" w:leader="dot" w:pos="935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Rulemaking Activities</w:t>
      </w:r>
      <w:r>
        <w:rPr>
          <w:noProof/>
        </w:rPr>
        <w:tab/>
      </w:r>
      <w:r w:rsidR="00EA39AA">
        <w:rPr>
          <w:noProof/>
        </w:rPr>
        <w:fldChar w:fldCharType="begin"/>
      </w:r>
      <w:r>
        <w:rPr>
          <w:noProof/>
        </w:rPr>
        <w:instrText xml:space="preserve"> PAGEREF _Toc361990611 \h </w:instrText>
      </w:r>
      <w:r w:rsidR="00EA39AA">
        <w:rPr>
          <w:noProof/>
        </w:rPr>
      </w:r>
      <w:r w:rsidR="00EA39AA">
        <w:rPr>
          <w:noProof/>
        </w:rPr>
        <w:fldChar w:fldCharType="separate"/>
      </w:r>
      <w:r w:rsidR="00826119">
        <w:rPr>
          <w:noProof/>
        </w:rPr>
        <w:t>7</w:t>
      </w:r>
      <w:r w:rsidR="00EA39AA">
        <w:rPr>
          <w:noProof/>
        </w:rPr>
        <w:fldChar w:fldCharType="end"/>
      </w:r>
    </w:p>
    <w:p w:rsidR="00EB20F2" w:rsidRDefault="00EB20F2">
      <w:pPr>
        <w:pStyle w:val="TOC3"/>
        <w:tabs>
          <w:tab w:val="left" w:pos="1440"/>
          <w:tab w:val="right" w:leader="dot" w:pos="9350"/>
        </w:tabs>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Designated Uses</w:t>
      </w:r>
      <w:r>
        <w:rPr>
          <w:noProof/>
        </w:rPr>
        <w:tab/>
      </w:r>
      <w:r w:rsidR="00EA39AA">
        <w:rPr>
          <w:noProof/>
        </w:rPr>
        <w:fldChar w:fldCharType="begin"/>
      </w:r>
      <w:r>
        <w:rPr>
          <w:noProof/>
        </w:rPr>
        <w:instrText xml:space="preserve"> PAGEREF _Toc361990612 \h </w:instrText>
      </w:r>
      <w:r w:rsidR="00EA39AA">
        <w:rPr>
          <w:noProof/>
        </w:rPr>
      </w:r>
      <w:r w:rsidR="00EA39AA">
        <w:rPr>
          <w:noProof/>
        </w:rPr>
        <w:fldChar w:fldCharType="separate"/>
      </w:r>
      <w:r w:rsidR="00826119">
        <w:rPr>
          <w:noProof/>
        </w:rPr>
        <w:t>7</w:t>
      </w:r>
      <w:r w:rsidR="00EA39AA">
        <w:rPr>
          <w:noProof/>
        </w:rPr>
        <w:fldChar w:fldCharType="end"/>
      </w:r>
    </w:p>
    <w:p w:rsidR="00EB20F2" w:rsidRDefault="00EB20F2">
      <w:pPr>
        <w:pStyle w:val="TOC3"/>
        <w:tabs>
          <w:tab w:val="left" w:pos="1440"/>
          <w:tab w:val="right" w:leader="dot" w:pos="9350"/>
        </w:tabs>
        <w:rPr>
          <w:rFonts w:asciiTheme="minorHAnsi" w:eastAsiaTheme="minorEastAsia" w:hAnsiTheme="minorHAnsi" w:cstheme="minorBidi"/>
          <w:noProof/>
          <w:sz w:val="22"/>
          <w:szCs w:val="22"/>
        </w:rPr>
      </w:pPr>
      <w:r>
        <w:rPr>
          <w:noProof/>
        </w:rPr>
        <w:t>4.2.3</w:t>
      </w:r>
      <w:r>
        <w:rPr>
          <w:rFonts w:asciiTheme="minorHAnsi" w:eastAsiaTheme="minorEastAsia" w:hAnsiTheme="minorHAnsi" w:cstheme="minorBidi"/>
          <w:noProof/>
          <w:sz w:val="22"/>
          <w:szCs w:val="22"/>
        </w:rPr>
        <w:tab/>
      </w:r>
      <w:r>
        <w:rPr>
          <w:noProof/>
        </w:rPr>
        <w:t>Antidegradation</w:t>
      </w:r>
      <w:r>
        <w:rPr>
          <w:noProof/>
        </w:rPr>
        <w:tab/>
      </w:r>
      <w:r w:rsidR="00EA39AA">
        <w:rPr>
          <w:noProof/>
        </w:rPr>
        <w:fldChar w:fldCharType="begin"/>
      </w:r>
      <w:r>
        <w:rPr>
          <w:noProof/>
        </w:rPr>
        <w:instrText xml:space="preserve"> PAGEREF _Toc361990613 \h </w:instrText>
      </w:r>
      <w:r w:rsidR="00EA39AA">
        <w:rPr>
          <w:noProof/>
        </w:rPr>
      </w:r>
      <w:r w:rsidR="00EA39AA">
        <w:rPr>
          <w:noProof/>
        </w:rPr>
        <w:fldChar w:fldCharType="separate"/>
      </w:r>
      <w:r w:rsidR="00826119">
        <w:rPr>
          <w:noProof/>
        </w:rPr>
        <w:t>8</w:t>
      </w:r>
      <w:r w:rsidR="00EA39AA">
        <w:rPr>
          <w:noProof/>
        </w:rPr>
        <w:fldChar w:fldCharType="end"/>
      </w:r>
    </w:p>
    <w:p w:rsidR="00EB20F2" w:rsidRDefault="00EB20F2">
      <w:pPr>
        <w:pStyle w:val="TOC3"/>
        <w:tabs>
          <w:tab w:val="left" w:pos="1440"/>
          <w:tab w:val="right" w:leader="dot" w:pos="9350"/>
        </w:tabs>
        <w:rPr>
          <w:rFonts w:asciiTheme="minorHAnsi" w:eastAsiaTheme="minorEastAsia" w:hAnsiTheme="minorHAnsi" w:cstheme="minorBidi"/>
          <w:noProof/>
          <w:sz w:val="22"/>
          <w:szCs w:val="22"/>
        </w:rPr>
      </w:pPr>
      <w:r>
        <w:rPr>
          <w:noProof/>
        </w:rPr>
        <w:t>4.2.4</w:t>
      </w:r>
      <w:r>
        <w:rPr>
          <w:rFonts w:asciiTheme="minorHAnsi" w:eastAsiaTheme="minorEastAsia" w:hAnsiTheme="minorHAnsi" w:cstheme="minorBidi"/>
          <w:noProof/>
          <w:sz w:val="22"/>
          <w:szCs w:val="22"/>
        </w:rPr>
        <w:tab/>
      </w:r>
      <w:r>
        <w:rPr>
          <w:noProof/>
        </w:rPr>
        <w:t>Variances</w:t>
      </w:r>
      <w:r>
        <w:rPr>
          <w:noProof/>
        </w:rPr>
        <w:tab/>
      </w:r>
      <w:r w:rsidR="00EA39AA">
        <w:rPr>
          <w:noProof/>
        </w:rPr>
        <w:fldChar w:fldCharType="begin"/>
      </w:r>
      <w:r>
        <w:rPr>
          <w:noProof/>
        </w:rPr>
        <w:instrText xml:space="preserve"> PAGEREF _Toc361990614 \h </w:instrText>
      </w:r>
      <w:r w:rsidR="00EA39AA">
        <w:rPr>
          <w:noProof/>
        </w:rPr>
      </w:r>
      <w:r w:rsidR="00EA39AA">
        <w:rPr>
          <w:noProof/>
        </w:rPr>
        <w:fldChar w:fldCharType="separate"/>
      </w:r>
      <w:r w:rsidR="00826119">
        <w:rPr>
          <w:noProof/>
        </w:rPr>
        <w:t>8</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Respondent Activities</w:t>
      </w:r>
      <w:r>
        <w:rPr>
          <w:noProof/>
        </w:rPr>
        <w:tab/>
      </w:r>
      <w:r w:rsidR="00EA39AA">
        <w:rPr>
          <w:noProof/>
        </w:rPr>
        <w:fldChar w:fldCharType="begin"/>
      </w:r>
      <w:r>
        <w:rPr>
          <w:noProof/>
        </w:rPr>
        <w:instrText xml:space="preserve"> PAGEREF _Toc361990615 \h </w:instrText>
      </w:r>
      <w:r w:rsidR="00EA39AA">
        <w:rPr>
          <w:noProof/>
        </w:rPr>
      </w:r>
      <w:r w:rsidR="00EA39AA">
        <w:rPr>
          <w:noProof/>
        </w:rPr>
        <w:fldChar w:fldCharType="separate"/>
      </w:r>
      <w:r w:rsidR="00826119">
        <w:rPr>
          <w:noProof/>
        </w:rPr>
        <w:t>9</w:t>
      </w:r>
      <w:r w:rsidR="00EA39AA">
        <w:rPr>
          <w:noProof/>
        </w:rPr>
        <w:fldChar w:fldCharType="end"/>
      </w:r>
    </w:p>
    <w:p w:rsidR="00EB20F2" w:rsidRDefault="00EB20F2">
      <w:pPr>
        <w:pStyle w:val="TOC1"/>
        <w:tabs>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THE INFORMATION COLLECTED–AGENCY ACTIVITIES, COLLECTION METHODOLOGY, AND INFORMATION MANAGEMENT</w:t>
      </w:r>
      <w:r>
        <w:rPr>
          <w:noProof/>
        </w:rPr>
        <w:tab/>
      </w:r>
      <w:r w:rsidR="00EA39AA">
        <w:rPr>
          <w:noProof/>
        </w:rPr>
        <w:fldChar w:fldCharType="begin"/>
      </w:r>
      <w:r>
        <w:rPr>
          <w:noProof/>
        </w:rPr>
        <w:instrText xml:space="preserve"> PAGEREF _Toc361990616 \h </w:instrText>
      </w:r>
      <w:r w:rsidR="00EA39AA">
        <w:rPr>
          <w:noProof/>
        </w:rPr>
      </w:r>
      <w:r w:rsidR="00EA39AA">
        <w:rPr>
          <w:noProof/>
        </w:rPr>
        <w:fldChar w:fldCharType="separate"/>
      </w:r>
      <w:r w:rsidR="00826119">
        <w:rPr>
          <w:noProof/>
        </w:rPr>
        <w:t>10</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Agency Activities</w:t>
      </w:r>
      <w:r>
        <w:rPr>
          <w:noProof/>
        </w:rPr>
        <w:tab/>
      </w:r>
      <w:r w:rsidR="00EA39AA">
        <w:rPr>
          <w:noProof/>
        </w:rPr>
        <w:fldChar w:fldCharType="begin"/>
      </w:r>
      <w:r>
        <w:rPr>
          <w:noProof/>
        </w:rPr>
        <w:instrText xml:space="preserve"> PAGEREF _Toc361990617 \h </w:instrText>
      </w:r>
      <w:r w:rsidR="00EA39AA">
        <w:rPr>
          <w:noProof/>
        </w:rPr>
      </w:r>
      <w:r w:rsidR="00EA39AA">
        <w:rPr>
          <w:noProof/>
        </w:rPr>
        <w:fldChar w:fldCharType="separate"/>
      </w:r>
      <w:r w:rsidR="00826119">
        <w:rPr>
          <w:noProof/>
        </w:rPr>
        <w:t>10</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Collection Methodology and Management</w:t>
      </w:r>
      <w:r>
        <w:rPr>
          <w:noProof/>
        </w:rPr>
        <w:tab/>
      </w:r>
      <w:r w:rsidR="00EA39AA">
        <w:rPr>
          <w:noProof/>
        </w:rPr>
        <w:fldChar w:fldCharType="begin"/>
      </w:r>
      <w:r>
        <w:rPr>
          <w:noProof/>
        </w:rPr>
        <w:instrText xml:space="preserve"> PAGEREF _Toc361990618 \h </w:instrText>
      </w:r>
      <w:r w:rsidR="00EA39AA">
        <w:rPr>
          <w:noProof/>
        </w:rPr>
      </w:r>
      <w:r w:rsidR="00EA39AA">
        <w:rPr>
          <w:noProof/>
        </w:rPr>
        <w:fldChar w:fldCharType="separate"/>
      </w:r>
      <w:r w:rsidR="00826119">
        <w:rPr>
          <w:noProof/>
        </w:rPr>
        <w:t>11</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Small Entity Flexibility</w:t>
      </w:r>
      <w:r>
        <w:rPr>
          <w:noProof/>
        </w:rPr>
        <w:tab/>
      </w:r>
      <w:r w:rsidR="00EA39AA">
        <w:rPr>
          <w:noProof/>
        </w:rPr>
        <w:fldChar w:fldCharType="begin"/>
      </w:r>
      <w:r>
        <w:rPr>
          <w:noProof/>
        </w:rPr>
        <w:instrText xml:space="preserve"> PAGEREF _Toc361990619 \h </w:instrText>
      </w:r>
      <w:r w:rsidR="00EA39AA">
        <w:rPr>
          <w:noProof/>
        </w:rPr>
      </w:r>
      <w:r w:rsidR="00EA39AA">
        <w:rPr>
          <w:noProof/>
        </w:rPr>
        <w:fldChar w:fldCharType="separate"/>
      </w:r>
      <w:r w:rsidR="00826119">
        <w:rPr>
          <w:noProof/>
        </w:rPr>
        <w:t>11</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Collection Schedule</w:t>
      </w:r>
      <w:r>
        <w:rPr>
          <w:noProof/>
        </w:rPr>
        <w:tab/>
      </w:r>
      <w:r w:rsidR="00EA39AA">
        <w:rPr>
          <w:noProof/>
        </w:rPr>
        <w:fldChar w:fldCharType="begin"/>
      </w:r>
      <w:r>
        <w:rPr>
          <w:noProof/>
        </w:rPr>
        <w:instrText xml:space="preserve"> PAGEREF _Toc361990620 \h </w:instrText>
      </w:r>
      <w:r w:rsidR="00EA39AA">
        <w:rPr>
          <w:noProof/>
        </w:rPr>
      </w:r>
      <w:r w:rsidR="00EA39AA">
        <w:rPr>
          <w:noProof/>
        </w:rPr>
        <w:fldChar w:fldCharType="separate"/>
      </w:r>
      <w:r w:rsidR="00826119">
        <w:rPr>
          <w:noProof/>
        </w:rPr>
        <w:t>13</w:t>
      </w:r>
      <w:r w:rsidR="00EA39AA">
        <w:rPr>
          <w:noProof/>
        </w:rPr>
        <w:fldChar w:fldCharType="end"/>
      </w:r>
    </w:p>
    <w:p w:rsidR="00EB20F2" w:rsidRDefault="00EB20F2">
      <w:pPr>
        <w:pStyle w:val="TOC1"/>
        <w:tabs>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ESTIMATING THE BURDEN AND COST OF THE COLLECTION</w:t>
      </w:r>
      <w:r>
        <w:rPr>
          <w:noProof/>
        </w:rPr>
        <w:tab/>
      </w:r>
      <w:r w:rsidR="00EA39AA">
        <w:rPr>
          <w:noProof/>
        </w:rPr>
        <w:fldChar w:fldCharType="begin"/>
      </w:r>
      <w:r>
        <w:rPr>
          <w:noProof/>
        </w:rPr>
        <w:instrText xml:space="preserve"> PAGEREF _Toc361990621 \h </w:instrText>
      </w:r>
      <w:r w:rsidR="00EA39AA">
        <w:rPr>
          <w:noProof/>
        </w:rPr>
      </w:r>
      <w:r w:rsidR="00EA39AA">
        <w:rPr>
          <w:noProof/>
        </w:rPr>
        <w:fldChar w:fldCharType="separate"/>
      </w:r>
      <w:r w:rsidR="00826119">
        <w:rPr>
          <w:noProof/>
        </w:rPr>
        <w:t>13</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Estimating potential incremental burdens and costs</w:t>
      </w:r>
      <w:r>
        <w:rPr>
          <w:noProof/>
        </w:rPr>
        <w:tab/>
      </w:r>
      <w:r w:rsidR="00EA39AA">
        <w:rPr>
          <w:noProof/>
        </w:rPr>
        <w:fldChar w:fldCharType="begin"/>
      </w:r>
      <w:r>
        <w:rPr>
          <w:noProof/>
        </w:rPr>
        <w:instrText xml:space="preserve"> PAGEREF _Toc361990622 \h </w:instrText>
      </w:r>
      <w:r w:rsidR="00EA39AA">
        <w:rPr>
          <w:noProof/>
        </w:rPr>
      </w:r>
      <w:r w:rsidR="00EA39AA">
        <w:rPr>
          <w:noProof/>
        </w:rPr>
        <w:fldChar w:fldCharType="separate"/>
      </w:r>
      <w:r w:rsidR="00826119">
        <w:rPr>
          <w:noProof/>
        </w:rPr>
        <w:t>13</w:t>
      </w:r>
      <w:r w:rsidR="00EA39AA">
        <w:rPr>
          <w:noProof/>
        </w:rPr>
        <w:fldChar w:fldCharType="end"/>
      </w:r>
    </w:p>
    <w:p w:rsidR="00EB20F2" w:rsidRDefault="00EB20F2">
      <w:pPr>
        <w:pStyle w:val="TOC3"/>
        <w:tabs>
          <w:tab w:val="left" w:pos="1440"/>
          <w:tab w:val="right" w:leader="dot" w:pos="9350"/>
        </w:tabs>
        <w:rPr>
          <w:rFonts w:asciiTheme="minorHAnsi" w:eastAsiaTheme="minorEastAsia" w:hAnsiTheme="minorHAnsi" w:cstheme="minorBidi"/>
          <w:noProof/>
          <w:sz w:val="22"/>
          <w:szCs w:val="22"/>
        </w:rPr>
      </w:pPr>
      <w:r>
        <w:rPr>
          <w:noProof/>
        </w:rPr>
        <w:t>6.1.1</w:t>
      </w:r>
      <w:r>
        <w:rPr>
          <w:rFonts w:asciiTheme="minorHAnsi" w:eastAsiaTheme="minorEastAsia" w:hAnsiTheme="minorHAnsi" w:cstheme="minorBidi"/>
          <w:noProof/>
          <w:sz w:val="22"/>
          <w:szCs w:val="22"/>
        </w:rPr>
        <w:tab/>
      </w:r>
      <w:r>
        <w:rPr>
          <w:noProof/>
        </w:rPr>
        <w:t>Summary of National Incremental Burdens and Costs</w:t>
      </w:r>
      <w:r>
        <w:rPr>
          <w:noProof/>
        </w:rPr>
        <w:tab/>
      </w:r>
      <w:r w:rsidR="00EA39AA">
        <w:rPr>
          <w:noProof/>
        </w:rPr>
        <w:fldChar w:fldCharType="begin"/>
      </w:r>
      <w:r>
        <w:rPr>
          <w:noProof/>
        </w:rPr>
        <w:instrText xml:space="preserve"> PAGEREF _Toc361990623 \h </w:instrText>
      </w:r>
      <w:r w:rsidR="00EA39AA">
        <w:rPr>
          <w:noProof/>
        </w:rPr>
      </w:r>
      <w:r w:rsidR="00EA39AA">
        <w:rPr>
          <w:noProof/>
        </w:rPr>
        <w:fldChar w:fldCharType="separate"/>
      </w:r>
      <w:r w:rsidR="00826119">
        <w:rPr>
          <w:noProof/>
        </w:rPr>
        <w:t>18</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Potential Incremental Benefits Associated with the Proposed Rule</w:t>
      </w:r>
      <w:r>
        <w:rPr>
          <w:noProof/>
        </w:rPr>
        <w:tab/>
      </w:r>
      <w:r w:rsidR="00EA39AA">
        <w:rPr>
          <w:noProof/>
        </w:rPr>
        <w:fldChar w:fldCharType="begin"/>
      </w:r>
      <w:r>
        <w:rPr>
          <w:noProof/>
        </w:rPr>
        <w:instrText xml:space="preserve"> PAGEREF _Toc361990624 \h </w:instrText>
      </w:r>
      <w:r w:rsidR="00EA39AA">
        <w:rPr>
          <w:noProof/>
        </w:rPr>
      </w:r>
      <w:r w:rsidR="00EA39AA">
        <w:rPr>
          <w:noProof/>
        </w:rPr>
        <w:fldChar w:fldCharType="separate"/>
      </w:r>
      <w:r w:rsidR="00826119">
        <w:rPr>
          <w:noProof/>
        </w:rPr>
        <w:t>22</w:t>
      </w:r>
      <w:r w:rsidR="00EA39AA">
        <w:rPr>
          <w:noProof/>
        </w:rPr>
        <w:fldChar w:fldCharType="end"/>
      </w:r>
    </w:p>
    <w:p w:rsidR="00EB20F2" w:rsidRDefault="00EB20F2">
      <w:pPr>
        <w:pStyle w:val="TOC2"/>
        <w:tabs>
          <w:tab w:val="left" w:pos="1440"/>
          <w:tab w:val="right" w:leader="dot" w:pos="9350"/>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Reasons for Change in Burden</w:t>
      </w:r>
      <w:r>
        <w:rPr>
          <w:noProof/>
        </w:rPr>
        <w:tab/>
      </w:r>
      <w:r w:rsidR="00EA39AA">
        <w:rPr>
          <w:noProof/>
        </w:rPr>
        <w:fldChar w:fldCharType="begin"/>
      </w:r>
      <w:r>
        <w:rPr>
          <w:noProof/>
        </w:rPr>
        <w:instrText xml:space="preserve"> PAGEREF _Toc361990625 \h </w:instrText>
      </w:r>
      <w:r w:rsidR="00EA39AA">
        <w:rPr>
          <w:noProof/>
        </w:rPr>
      </w:r>
      <w:r w:rsidR="00EA39AA">
        <w:rPr>
          <w:noProof/>
        </w:rPr>
        <w:fldChar w:fldCharType="separate"/>
      </w:r>
      <w:r w:rsidR="00826119">
        <w:rPr>
          <w:noProof/>
        </w:rPr>
        <w:t>22</w:t>
      </w:r>
      <w:r w:rsidR="00EA39AA">
        <w:rPr>
          <w:noProof/>
        </w:rPr>
        <w:fldChar w:fldCharType="end"/>
      </w:r>
    </w:p>
    <w:p w:rsidR="009E1D15" w:rsidRDefault="00EA39AA" w:rsidP="00042B2A">
      <w:pPr>
        <w:widowControl/>
        <w:rPr>
          <w:rFonts w:ascii="Times New Roman" w:hAnsi="Times New Roman"/>
        </w:rPr>
        <w:sectPr w:rsidR="009E1D15" w:rsidSect="00234AF7">
          <w:pgSz w:w="12240" w:h="15840"/>
          <w:pgMar w:top="1440" w:right="1440" w:bottom="1440" w:left="1440" w:header="720" w:footer="1080" w:gutter="0"/>
          <w:cols w:space="720"/>
          <w:noEndnote/>
          <w:docGrid w:linePitch="326"/>
        </w:sectPr>
      </w:pPr>
      <w:r>
        <w:fldChar w:fldCharType="end"/>
      </w:r>
    </w:p>
    <w:p w:rsidR="00042B2A" w:rsidRDefault="00042B2A"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9E1D15" w:rsidRPr="00704F82" w:rsidRDefault="009E1D15" w:rsidP="00704F82">
      <w:pPr>
        <w:pStyle w:val="Heading1"/>
      </w:pPr>
      <w:bookmarkStart w:id="1" w:name="_Toc361990595"/>
      <w:r w:rsidRPr="00704F82">
        <w:t>IDENTIFICATION OF THE INFORMATION COLLECTION</w:t>
      </w:r>
      <w:bookmarkEnd w:id="1"/>
    </w:p>
    <w:p w:rsidR="009E1D1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E1D15" w:rsidRPr="00D710D6" w:rsidRDefault="009E1D15" w:rsidP="00704F82">
      <w:pPr>
        <w:pStyle w:val="Heading2"/>
      </w:pPr>
      <w:bookmarkStart w:id="2" w:name="_Toc361990596"/>
      <w:r w:rsidRPr="00D710D6">
        <w:t>T</w:t>
      </w:r>
      <w:r w:rsidR="00D710D6" w:rsidRPr="00D710D6">
        <w:t xml:space="preserve">itle of the Information </w:t>
      </w:r>
      <w:r w:rsidRPr="00D710D6">
        <w:t>C</w:t>
      </w:r>
      <w:r w:rsidR="00D710D6" w:rsidRPr="00D710D6">
        <w:t>ollection</w:t>
      </w:r>
      <w:bookmarkEnd w:id="2"/>
    </w:p>
    <w:p w:rsidR="009E1D1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6672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The title of this Information Collection Request (ICR) is </w:t>
      </w:r>
      <w:r w:rsidR="002E50A3" w:rsidRPr="002E50A3">
        <w:rPr>
          <w:rFonts w:ascii="Times New Roman" w:hAnsi="Times New Roman"/>
          <w:i/>
        </w:rPr>
        <w:t>Water Quality Standards Regulatory Clarifications</w:t>
      </w:r>
      <w:r w:rsidR="00C4315E">
        <w:rPr>
          <w:rFonts w:ascii="Times New Roman" w:hAnsi="Times New Roman"/>
          <w:i/>
        </w:rPr>
        <w:t xml:space="preserve"> (Proposed</w:t>
      </w:r>
      <w:r w:rsidR="002E50A3" w:rsidRPr="002E50A3">
        <w:rPr>
          <w:rFonts w:ascii="Times New Roman" w:hAnsi="Times New Roman"/>
          <w:i/>
        </w:rPr>
        <w:t xml:space="preserve"> Rule</w:t>
      </w:r>
      <w:r w:rsidR="00C4315E">
        <w:rPr>
          <w:rFonts w:ascii="Times New Roman" w:hAnsi="Times New Roman"/>
          <w:i/>
        </w:rPr>
        <w:t>)</w:t>
      </w:r>
      <w:r>
        <w:rPr>
          <w:rFonts w:ascii="Times New Roman" w:hAnsi="Times New Roman"/>
        </w:rPr>
        <w:t xml:space="preserve">.  </w:t>
      </w:r>
    </w:p>
    <w:p w:rsidR="009E1D1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E1D15" w:rsidRPr="00D710D6" w:rsidRDefault="009E1D15" w:rsidP="00704F82">
      <w:pPr>
        <w:pStyle w:val="Heading2"/>
      </w:pPr>
      <w:bookmarkStart w:id="3" w:name="_Toc361990597"/>
      <w:r w:rsidRPr="00D710D6">
        <w:t>S</w:t>
      </w:r>
      <w:r w:rsidR="00D710D6" w:rsidRPr="00D710D6">
        <w:t>hort</w:t>
      </w:r>
      <w:r w:rsidRPr="00D710D6">
        <w:t xml:space="preserve"> C</w:t>
      </w:r>
      <w:r w:rsidR="00D710D6" w:rsidRPr="00D710D6">
        <w:t>haracterization</w:t>
      </w:r>
      <w:r w:rsidR="001B63D9" w:rsidRPr="00D710D6">
        <w:t>/A</w:t>
      </w:r>
      <w:r w:rsidR="00D710D6" w:rsidRPr="00D710D6">
        <w:t>bstract</w:t>
      </w:r>
      <w:bookmarkEnd w:id="3"/>
    </w:p>
    <w:p w:rsidR="009E1D1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E1D1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Water quality standards </w:t>
      </w:r>
      <w:r w:rsidR="000B04ED">
        <w:rPr>
          <w:rFonts w:ascii="Times New Roman" w:hAnsi="Times New Roman"/>
        </w:rPr>
        <w:t xml:space="preserve">(WQSs) </w:t>
      </w:r>
      <w:r>
        <w:rPr>
          <w:rFonts w:ascii="Times New Roman" w:hAnsi="Times New Roman"/>
        </w:rPr>
        <w:t xml:space="preserve">are provisions of </w:t>
      </w:r>
      <w:r w:rsidR="00CD4947">
        <w:rPr>
          <w:rFonts w:ascii="Times New Roman" w:hAnsi="Times New Roman"/>
        </w:rPr>
        <w:t>s</w:t>
      </w:r>
      <w:r>
        <w:rPr>
          <w:rFonts w:ascii="Times New Roman" w:hAnsi="Times New Roman"/>
        </w:rPr>
        <w:t>tate</w:t>
      </w:r>
      <w:r>
        <w:rPr>
          <w:rStyle w:val="FootnoteReference"/>
          <w:rFonts w:ascii="Times New Roman" w:hAnsi="Times New Roman"/>
          <w:vertAlign w:val="superscript"/>
        </w:rPr>
        <w:footnoteReference w:id="1"/>
      </w:r>
      <w:r>
        <w:rPr>
          <w:rFonts w:ascii="Times New Roman" w:hAnsi="Times New Roman"/>
        </w:rPr>
        <w:t xml:space="preserve">, </w:t>
      </w:r>
      <w:r w:rsidR="00CD4947">
        <w:rPr>
          <w:rFonts w:ascii="Times New Roman" w:hAnsi="Times New Roman"/>
        </w:rPr>
        <w:t>t</w:t>
      </w:r>
      <w:r>
        <w:rPr>
          <w:rFonts w:ascii="Times New Roman" w:hAnsi="Times New Roman"/>
        </w:rPr>
        <w:t xml:space="preserve">ribal, or </w:t>
      </w:r>
      <w:r w:rsidR="00CD4947">
        <w:rPr>
          <w:rFonts w:ascii="Times New Roman" w:hAnsi="Times New Roman"/>
        </w:rPr>
        <w:t>f</w:t>
      </w:r>
      <w:r>
        <w:rPr>
          <w:rFonts w:ascii="Times New Roman" w:hAnsi="Times New Roman"/>
        </w:rPr>
        <w:t>ederal law which consist of designated uses for waters of the United States, water quality criteria to protect those uses, and an antidegradation policy.</w:t>
      </w:r>
      <w:r w:rsidR="0068763C">
        <w:rPr>
          <w:rFonts w:ascii="Times New Roman" w:hAnsi="Times New Roman"/>
        </w:rPr>
        <w:t xml:space="preserve"> </w:t>
      </w:r>
      <w:r w:rsidR="00E03559">
        <w:rPr>
          <w:rFonts w:ascii="Times New Roman" w:hAnsi="Times New Roman"/>
        </w:rPr>
        <w:t>WQS</w:t>
      </w:r>
      <w:r>
        <w:rPr>
          <w:rFonts w:ascii="Times New Roman" w:hAnsi="Times New Roman"/>
        </w:rPr>
        <w:t xml:space="preserve"> are established to protect public health or welfare, protect and enhance the quality of water, and serve the purposes of the Clean Water Act. Such standards serve the dual purposes of establishing the water quality goals for water bodies, and serving as a regulatory basis for establishing water quality</w:t>
      </w:r>
      <w:r>
        <w:rPr>
          <w:rFonts w:ascii="Times New Roman" w:hAnsi="Times New Roman"/>
        </w:rPr>
        <w:noBreakHyphen/>
        <w:t>based treatment controls and strategies beyond technology</w:t>
      </w:r>
      <w:r>
        <w:rPr>
          <w:rFonts w:ascii="Times New Roman" w:hAnsi="Times New Roman"/>
        </w:rPr>
        <w:noBreakHyphen/>
        <w:t>based treatment required by sections 301 and 306 of the Act.</w:t>
      </w:r>
    </w:p>
    <w:p w:rsidR="009E1D1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E1D15" w:rsidRDefault="009E1D15" w:rsidP="00121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The </w:t>
      </w:r>
      <w:r w:rsidR="009856BA">
        <w:rPr>
          <w:rFonts w:ascii="Times New Roman" w:hAnsi="Times New Roman"/>
        </w:rPr>
        <w:t xml:space="preserve">core </w:t>
      </w:r>
      <w:r w:rsidR="000B04ED">
        <w:rPr>
          <w:rFonts w:ascii="Times New Roman" w:hAnsi="Times New Roman"/>
        </w:rPr>
        <w:t xml:space="preserve">WQS </w:t>
      </w:r>
      <w:r>
        <w:rPr>
          <w:rFonts w:ascii="Times New Roman" w:hAnsi="Times New Roman"/>
        </w:rPr>
        <w:t>Regulation</w:t>
      </w:r>
      <w:r w:rsidR="009A4AEA">
        <w:rPr>
          <w:rFonts w:ascii="Times New Roman" w:hAnsi="Times New Roman"/>
        </w:rPr>
        <w:t xml:space="preserve">, </w:t>
      </w:r>
      <w:r w:rsidR="009856BA">
        <w:rPr>
          <w:rFonts w:ascii="Times New Roman" w:hAnsi="Times New Roman"/>
        </w:rPr>
        <w:t xml:space="preserve">last </w:t>
      </w:r>
      <w:r w:rsidR="009A4AEA">
        <w:rPr>
          <w:rFonts w:ascii="Times New Roman" w:hAnsi="Times New Roman"/>
        </w:rPr>
        <w:t>updated in 1983,</w:t>
      </w:r>
      <w:r>
        <w:rPr>
          <w:rFonts w:ascii="Times New Roman" w:hAnsi="Times New Roman"/>
        </w:rPr>
        <w:t xml:space="preserve"> establishes the framework for </w:t>
      </w:r>
      <w:r w:rsidR="00CD4947">
        <w:rPr>
          <w:rFonts w:ascii="Times New Roman" w:hAnsi="Times New Roman"/>
        </w:rPr>
        <w:t>s</w:t>
      </w:r>
      <w:r>
        <w:rPr>
          <w:rFonts w:ascii="Times New Roman" w:hAnsi="Times New Roman"/>
        </w:rPr>
        <w:t xml:space="preserve">tates and authorized </w:t>
      </w:r>
      <w:r w:rsidR="00CD4947">
        <w:rPr>
          <w:rFonts w:ascii="Times New Roman" w:hAnsi="Times New Roman"/>
        </w:rPr>
        <w:t>t</w:t>
      </w:r>
      <w:r>
        <w:rPr>
          <w:rFonts w:ascii="Times New Roman" w:hAnsi="Times New Roman"/>
        </w:rPr>
        <w:t>ribes to adopt standards, for</w:t>
      </w:r>
      <w:r w:rsidR="009E09F0">
        <w:rPr>
          <w:rFonts w:ascii="Times New Roman" w:hAnsi="Times New Roman"/>
        </w:rPr>
        <w:t xml:space="preserve"> the</w:t>
      </w:r>
      <w:r>
        <w:rPr>
          <w:rFonts w:ascii="Times New Roman" w:hAnsi="Times New Roman"/>
        </w:rPr>
        <w:t xml:space="preserve"> EPA to review and approve or disapprove them, and for implementation of regulatory controls to take place.</w:t>
      </w:r>
      <w:r w:rsidR="0068763C">
        <w:rPr>
          <w:rFonts w:ascii="Times New Roman" w:hAnsi="Times New Roman"/>
        </w:rPr>
        <w:t xml:space="preserve"> </w:t>
      </w:r>
      <w:r w:rsidR="009A4AEA">
        <w:rPr>
          <w:rFonts w:ascii="Times New Roman" w:hAnsi="Times New Roman"/>
        </w:rPr>
        <w:t xml:space="preserve">See 40 CFR part 131. </w:t>
      </w:r>
    </w:p>
    <w:p w:rsidR="009E1D1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20648" w:rsidRDefault="00920648" w:rsidP="009206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This ICR provides estimates of burden and costs to </w:t>
      </w:r>
      <w:r w:rsidR="00CD4947">
        <w:rPr>
          <w:rFonts w:ascii="Times New Roman" w:hAnsi="Times New Roman"/>
        </w:rPr>
        <w:t>s</w:t>
      </w:r>
      <w:r>
        <w:rPr>
          <w:rFonts w:ascii="Times New Roman" w:hAnsi="Times New Roman"/>
        </w:rPr>
        <w:t xml:space="preserve">tates and authorized Indian </w:t>
      </w:r>
      <w:r w:rsidR="00CD4947">
        <w:rPr>
          <w:rFonts w:ascii="Times New Roman" w:hAnsi="Times New Roman"/>
        </w:rPr>
        <w:t>t</w:t>
      </w:r>
      <w:r>
        <w:rPr>
          <w:rFonts w:ascii="Times New Roman" w:hAnsi="Times New Roman"/>
        </w:rPr>
        <w:t xml:space="preserve">ribes to implement new requirements in the proposed </w:t>
      </w:r>
      <w:r w:rsidR="000B04ED">
        <w:rPr>
          <w:rFonts w:ascii="Times New Roman" w:hAnsi="Times New Roman"/>
        </w:rPr>
        <w:t xml:space="preserve">WQS </w:t>
      </w:r>
      <w:r w:rsidR="00A5253A">
        <w:rPr>
          <w:rFonts w:ascii="Times New Roman" w:hAnsi="Times New Roman"/>
        </w:rPr>
        <w:t xml:space="preserve">Regulatory </w:t>
      </w:r>
      <w:r>
        <w:rPr>
          <w:rFonts w:ascii="Times New Roman" w:hAnsi="Times New Roman"/>
        </w:rPr>
        <w:t xml:space="preserve">Clarifications Rule. These estimates represent the incremental burden and costs over and above the estimates presented in the ICR entitled </w:t>
      </w:r>
      <w:r w:rsidRPr="00EF7337">
        <w:rPr>
          <w:rFonts w:ascii="Times New Roman" w:hAnsi="Times New Roman"/>
          <w:i/>
        </w:rPr>
        <w:t>Water Quality Standards Regulation (Renewal)</w:t>
      </w:r>
      <w:r w:rsidRPr="00EF7337">
        <w:rPr>
          <w:rFonts w:ascii="Times New Roman" w:hAnsi="Times New Roman"/>
        </w:rPr>
        <w:t xml:space="preserve"> (EPA ICR Number 0988.1</w:t>
      </w:r>
      <w:r w:rsidR="00EF7337">
        <w:rPr>
          <w:rFonts w:ascii="Times New Roman" w:hAnsi="Times New Roman"/>
        </w:rPr>
        <w:t>1</w:t>
      </w:r>
      <w:r w:rsidRPr="00EF7337">
        <w:rPr>
          <w:rFonts w:ascii="Times New Roman" w:hAnsi="Times New Roman"/>
        </w:rPr>
        <w:t>, OMB Control Number 2040</w:t>
      </w:r>
      <w:r w:rsidRPr="00EF7337">
        <w:rPr>
          <w:rFonts w:ascii="Times New Roman" w:hAnsi="Times New Roman"/>
        </w:rPr>
        <w:noBreakHyphen/>
        <w:t>0049)</w:t>
      </w:r>
      <w:r>
        <w:rPr>
          <w:rFonts w:ascii="Times New Roman" w:hAnsi="Times New Roman"/>
        </w:rPr>
        <w:t>.</w:t>
      </w:r>
    </w:p>
    <w:p w:rsidR="006A4927" w:rsidRDefault="006A4927" w:rsidP="009206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6A4927" w:rsidRPr="006A4927" w:rsidRDefault="006A4927" w:rsidP="00EC56E9">
      <w:pPr>
        <w:ind w:firstLine="720"/>
        <w:rPr>
          <w:rFonts w:ascii="Times New Roman" w:hAnsi="Times New Roman"/>
        </w:rPr>
      </w:pPr>
      <w:r w:rsidRPr="006A4927">
        <w:rPr>
          <w:rFonts w:ascii="Times New Roman" w:hAnsi="Times New Roman"/>
        </w:rPr>
        <w:t>Due to the nature of this rule, EPA has assumed that all Administrative cost and burdens associated with this rule are the same burdens associated with information that would/could be collected as a result of this rule.  Therefore, the costs and burdens in this ICR are identical to the Administrative costs and burdens summarized in the Economic Analysis.</w:t>
      </w:r>
    </w:p>
    <w:p w:rsidR="00920648" w:rsidRDefault="00920648" w:rsidP="009206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9E1D15" w:rsidRDefault="009E09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The </w:t>
      </w:r>
      <w:r w:rsidR="00E71A33">
        <w:rPr>
          <w:rFonts w:ascii="Times New Roman" w:hAnsi="Times New Roman"/>
        </w:rPr>
        <w:t xml:space="preserve">EPA’s </w:t>
      </w:r>
      <w:r w:rsidR="000B04ED">
        <w:rPr>
          <w:rFonts w:ascii="Times New Roman" w:hAnsi="Times New Roman"/>
        </w:rPr>
        <w:t xml:space="preserve">proposed </w:t>
      </w:r>
      <w:r w:rsidR="000B04ED" w:rsidRPr="00A5253A">
        <w:rPr>
          <w:rFonts w:ascii="Times New Roman" w:hAnsi="Times New Roman"/>
        </w:rPr>
        <w:t xml:space="preserve">WQS </w:t>
      </w:r>
      <w:r w:rsidR="00E71A33" w:rsidRPr="00A5253A">
        <w:rPr>
          <w:rFonts w:ascii="Times New Roman" w:hAnsi="Times New Roman"/>
        </w:rPr>
        <w:t xml:space="preserve">Regulatory Clarifications </w:t>
      </w:r>
      <w:r w:rsidR="00A43964" w:rsidRPr="00A5253A">
        <w:rPr>
          <w:rFonts w:ascii="Times New Roman" w:hAnsi="Times New Roman"/>
        </w:rPr>
        <w:t>Rule</w:t>
      </w:r>
      <w:r w:rsidR="00A43964">
        <w:rPr>
          <w:rFonts w:ascii="Times New Roman" w:hAnsi="Times New Roman"/>
        </w:rPr>
        <w:t xml:space="preserve"> </w:t>
      </w:r>
      <w:r w:rsidR="00E71A33">
        <w:rPr>
          <w:rFonts w:ascii="Times New Roman" w:hAnsi="Times New Roman"/>
        </w:rPr>
        <w:t>will add the following information collection activities, as summarized in Table 1.1 below:</w:t>
      </w:r>
    </w:p>
    <w:p w:rsidR="009E1D15" w:rsidRDefault="009E1D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rsidR="00D710D6" w:rsidRDefault="00D710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rsidR="00D710D6" w:rsidRDefault="00D710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rsidR="00D710D6" w:rsidRDefault="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r>
        <w:rPr>
          <w:rFonts w:ascii="Times New Roman" w:hAnsi="Times New Roman"/>
        </w:rPr>
        <w:br w:type="page"/>
      </w:r>
    </w:p>
    <w:p w:rsidR="009E1D15" w:rsidRPr="00AF270B" w:rsidRDefault="009E1D15" w:rsidP="00AF27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Bold" w:hAnsi="Times New Roman Bold"/>
          <w:b/>
          <w:smallCaps/>
        </w:rPr>
      </w:pPr>
      <w:r w:rsidRPr="00AF270B">
        <w:rPr>
          <w:rFonts w:ascii="Times New Roman Bold" w:hAnsi="Times New Roman Bold"/>
          <w:b/>
          <w:smallCaps/>
        </w:rPr>
        <w:lastRenderedPageBreak/>
        <w:t>Table 1.1: Overview of information collected</w:t>
      </w: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9E1D15" w:rsidTr="00AF270B">
        <w:trPr>
          <w:jc w:val="center"/>
        </w:trPr>
        <w:tc>
          <w:tcPr>
            <w:tcW w:w="3120" w:type="dxa"/>
            <w:tcBorders>
              <w:top w:val="single" w:sz="7" w:space="0" w:color="000000"/>
              <w:left w:val="single" w:sz="7" w:space="0" w:color="000000"/>
              <w:bottom w:val="single" w:sz="7" w:space="0" w:color="000000"/>
              <w:right w:val="single" w:sz="7" w:space="0" w:color="000000"/>
            </w:tcBorders>
            <w:shd w:val="clear" w:color="auto" w:fill="EEECE1"/>
            <w:vAlign w:val="center"/>
          </w:tcPr>
          <w:p w:rsidR="00A34874" w:rsidRDefault="00A34874" w:rsidP="00702038">
            <w:pPr>
              <w:spacing w:before="40" w:afterLines="40" w:after="96" w:line="120" w:lineRule="exact"/>
              <w:jc w:val="center"/>
              <w:rPr>
                <w:rFonts w:ascii="Times New Roman" w:hAnsi="Times New Roman"/>
              </w:rPr>
            </w:pPr>
          </w:p>
          <w:p w:rsidR="00A34874" w:rsidRDefault="00A34874" w:rsidP="00702038">
            <w:pPr>
              <w:widowControl/>
              <w:tabs>
                <w:tab w:val="left" w:pos="0"/>
                <w:tab w:val="left" w:pos="330"/>
              </w:tabs>
              <w:spacing w:before="40" w:afterLines="40" w:after="96"/>
              <w:jc w:val="center"/>
              <w:rPr>
                <w:rFonts w:ascii="Times New Roman" w:hAnsi="Times New Roman"/>
              </w:rPr>
            </w:pPr>
          </w:p>
        </w:tc>
        <w:tc>
          <w:tcPr>
            <w:tcW w:w="3120" w:type="dxa"/>
            <w:tcBorders>
              <w:top w:val="single" w:sz="7" w:space="0" w:color="000000"/>
              <w:left w:val="single" w:sz="7" w:space="0" w:color="000000"/>
              <w:bottom w:val="single" w:sz="7" w:space="0" w:color="000000"/>
              <w:right w:val="single" w:sz="7" w:space="0" w:color="000000"/>
            </w:tcBorders>
            <w:shd w:val="clear" w:color="auto" w:fill="EEECE1"/>
            <w:vAlign w:val="center"/>
          </w:tcPr>
          <w:p w:rsidR="009E1D15" w:rsidRPr="00E03559" w:rsidRDefault="009E1D15" w:rsidP="00E65B3C">
            <w:pPr>
              <w:widowControl/>
              <w:tabs>
                <w:tab w:val="center" w:pos="1440"/>
              </w:tabs>
              <w:spacing w:before="40" w:after="40"/>
              <w:jc w:val="center"/>
              <w:rPr>
                <w:rFonts w:ascii="Times New Roman" w:hAnsi="Times New Roman"/>
                <w:b/>
              </w:rPr>
            </w:pPr>
            <w:r w:rsidRPr="00E03559">
              <w:rPr>
                <w:rFonts w:ascii="Times New Roman" w:hAnsi="Times New Roman"/>
                <w:b/>
              </w:rPr>
              <w:t>Information Collected</w:t>
            </w:r>
            <w:r w:rsidR="00E65B3C" w:rsidRPr="00E03559">
              <w:rPr>
                <w:rFonts w:ascii="Times New Roman" w:hAnsi="Times New Roman"/>
                <w:b/>
              </w:rPr>
              <w:t xml:space="preserve"> by Proposed WQS Regulatory Clarifications Rule</w:t>
            </w:r>
          </w:p>
        </w:tc>
        <w:tc>
          <w:tcPr>
            <w:tcW w:w="3120" w:type="dxa"/>
            <w:tcBorders>
              <w:top w:val="single" w:sz="7" w:space="0" w:color="000000"/>
              <w:left w:val="single" w:sz="7" w:space="0" w:color="000000"/>
              <w:bottom w:val="single" w:sz="7" w:space="0" w:color="000000"/>
              <w:right w:val="single" w:sz="7" w:space="0" w:color="000000"/>
            </w:tcBorders>
            <w:shd w:val="clear" w:color="auto" w:fill="EEECE1"/>
            <w:vAlign w:val="center"/>
          </w:tcPr>
          <w:p w:rsidR="00A34874" w:rsidRDefault="00E65B3C" w:rsidP="00702038">
            <w:pPr>
              <w:widowControl/>
              <w:tabs>
                <w:tab w:val="left" w:pos="0"/>
                <w:tab w:val="left" w:pos="330"/>
              </w:tabs>
              <w:spacing w:before="40" w:afterLines="40" w:after="96"/>
              <w:jc w:val="center"/>
              <w:rPr>
                <w:rFonts w:ascii="Times New Roman" w:hAnsi="Times New Roman"/>
                <w:b/>
              </w:rPr>
            </w:pPr>
            <w:r w:rsidRPr="00E03559">
              <w:rPr>
                <w:rFonts w:ascii="Times New Roman" w:hAnsi="Times New Roman"/>
                <w:b/>
              </w:rPr>
              <w:t>S</w:t>
            </w:r>
            <w:r w:rsidR="00FE016E" w:rsidRPr="00E03559">
              <w:rPr>
                <w:rFonts w:ascii="Times New Roman" w:hAnsi="Times New Roman"/>
                <w:b/>
              </w:rPr>
              <w:t xml:space="preserve">ections </w:t>
            </w:r>
            <w:r w:rsidRPr="00E03559">
              <w:rPr>
                <w:rFonts w:ascii="Times New Roman" w:hAnsi="Times New Roman"/>
                <w:b/>
              </w:rPr>
              <w:t xml:space="preserve">of 40 </w:t>
            </w:r>
            <w:r w:rsidR="00FE016E" w:rsidRPr="00E03559">
              <w:rPr>
                <w:rFonts w:ascii="Times New Roman" w:hAnsi="Times New Roman"/>
                <w:b/>
              </w:rPr>
              <w:t xml:space="preserve">CFR </w:t>
            </w:r>
            <w:r w:rsidRPr="00E03559">
              <w:rPr>
                <w:rFonts w:ascii="Times New Roman" w:hAnsi="Times New Roman"/>
                <w:b/>
              </w:rPr>
              <w:t xml:space="preserve">Part 131 Amended or Added </w:t>
            </w:r>
          </w:p>
        </w:tc>
      </w:tr>
      <w:tr w:rsidR="009E1D15">
        <w:trPr>
          <w:jc w:val="center"/>
        </w:trPr>
        <w:tc>
          <w:tcPr>
            <w:tcW w:w="3120" w:type="dxa"/>
            <w:tcBorders>
              <w:top w:val="single" w:sz="7" w:space="0" w:color="000000"/>
              <w:left w:val="single" w:sz="7" w:space="0" w:color="000000"/>
              <w:bottom w:val="single" w:sz="7" w:space="0" w:color="000000"/>
              <w:right w:val="single" w:sz="7" w:space="0" w:color="000000"/>
            </w:tcBorders>
          </w:tcPr>
          <w:p w:rsidR="00A34874" w:rsidRDefault="00DC6AC8" w:rsidP="00702038">
            <w:pPr>
              <w:widowControl/>
              <w:tabs>
                <w:tab w:val="left" w:pos="0"/>
                <w:tab w:val="left" w:pos="330"/>
              </w:tabs>
              <w:spacing w:before="40" w:afterLines="40" w:after="96"/>
              <w:rPr>
                <w:rFonts w:ascii="Times New Roman" w:hAnsi="Times New Roman"/>
              </w:rPr>
            </w:pPr>
            <w:r>
              <w:rPr>
                <w:rFonts w:ascii="Times New Roman" w:hAnsi="Times New Roman"/>
              </w:rPr>
              <w:t>Rulemaking activities</w:t>
            </w:r>
          </w:p>
        </w:tc>
        <w:tc>
          <w:tcPr>
            <w:tcW w:w="3120" w:type="dxa"/>
            <w:tcBorders>
              <w:top w:val="single" w:sz="7" w:space="0" w:color="000000"/>
              <w:left w:val="single" w:sz="7" w:space="0" w:color="000000"/>
              <w:bottom w:val="single" w:sz="7" w:space="0" w:color="000000"/>
              <w:right w:val="single" w:sz="7" w:space="0" w:color="000000"/>
            </w:tcBorders>
          </w:tcPr>
          <w:p w:rsidR="00A34874" w:rsidRDefault="00DC6AC8" w:rsidP="00702038">
            <w:pPr>
              <w:widowControl/>
              <w:tabs>
                <w:tab w:val="left" w:pos="0"/>
                <w:tab w:val="left" w:pos="330"/>
              </w:tabs>
              <w:spacing w:before="40" w:afterLines="40" w:after="96"/>
              <w:rPr>
                <w:rFonts w:ascii="Times New Roman" w:hAnsi="Times New Roman"/>
              </w:rPr>
            </w:pPr>
            <w:r>
              <w:rPr>
                <w:rFonts w:ascii="Times New Roman" w:hAnsi="Times New Roman"/>
              </w:rPr>
              <w:t xml:space="preserve">Submission of revised state or tribal regulatory provisions to </w:t>
            </w:r>
            <w:r w:rsidR="009E09F0">
              <w:rPr>
                <w:rFonts w:ascii="Times New Roman" w:hAnsi="Times New Roman"/>
              </w:rPr>
              <w:t xml:space="preserve">the </w:t>
            </w:r>
            <w:r>
              <w:rPr>
                <w:rFonts w:ascii="Times New Roman" w:hAnsi="Times New Roman"/>
              </w:rPr>
              <w:t>EPA</w:t>
            </w:r>
            <w:r w:rsidR="001241A0">
              <w:rPr>
                <w:rFonts w:ascii="Times New Roman" w:hAnsi="Times New Roman"/>
              </w:rPr>
              <w:t>.</w:t>
            </w:r>
          </w:p>
        </w:tc>
        <w:tc>
          <w:tcPr>
            <w:tcW w:w="3120" w:type="dxa"/>
            <w:tcBorders>
              <w:top w:val="single" w:sz="7" w:space="0" w:color="000000"/>
              <w:left w:val="single" w:sz="7" w:space="0" w:color="000000"/>
              <w:bottom w:val="single" w:sz="7" w:space="0" w:color="000000"/>
              <w:right w:val="single" w:sz="7" w:space="0" w:color="000000"/>
            </w:tcBorders>
          </w:tcPr>
          <w:p w:rsidR="001F0113" w:rsidRDefault="00FE016E" w:rsidP="00702038">
            <w:pPr>
              <w:widowControl/>
              <w:tabs>
                <w:tab w:val="left" w:pos="0"/>
                <w:tab w:val="left" w:pos="330"/>
              </w:tabs>
              <w:spacing w:before="40" w:afterLines="40" w:after="96"/>
              <w:rPr>
                <w:rFonts w:ascii="Times New Roman" w:hAnsi="Times New Roman"/>
              </w:rPr>
            </w:pPr>
            <w:r>
              <w:rPr>
                <w:rFonts w:ascii="Times New Roman" w:hAnsi="Times New Roman"/>
              </w:rPr>
              <w:t>Various, but especially</w:t>
            </w:r>
            <w:r w:rsidR="009F0C8F">
              <w:rPr>
                <w:rFonts w:ascii="Times New Roman" w:hAnsi="Times New Roman"/>
              </w:rPr>
              <w:t xml:space="preserve">, </w:t>
            </w:r>
            <w:r w:rsidR="008E2A20">
              <w:rPr>
                <w:rFonts w:ascii="Times New Roman" w:hAnsi="Times New Roman"/>
              </w:rPr>
              <w:t>131.12</w:t>
            </w:r>
            <w:r w:rsidR="00E65B3C">
              <w:rPr>
                <w:rFonts w:ascii="Times New Roman" w:hAnsi="Times New Roman"/>
              </w:rPr>
              <w:t>(b) (Added)</w:t>
            </w:r>
            <w:r w:rsidR="008E2A20">
              <w:rPr>
                <w:rFonts w:ascii="Times New Roman" w:hAnsi="Times New Roman"/>
              </w:rPr>
              <w:t>, 131.14</w:t>
            </w:r>
            <w:r w:rsidR="00CB7EE3">
              <w:rPr>
                <w:rFonts w:ascii="Times New Roman" w:hAnsi="Times New Roman"/>
              </w:rPr>
              <w:t xml:space="preserve"> (Added)</w:t>
            </w:r>
            <w:r w:rsidR="008E2A20">
              <w:rPr>
                <w:rFonts w:ascii="Times New Roman" w:hAnsi="Times New Roman"/>
              </w:rPr>
              <w:t>, 131.15</w:t>
            </w:r>
            <w:r w:rsidR="00CB7EE3">
              <w:rPr>
                <w:rFonts w:ascii="Times New Roman" w:hAnsi="Times New Roman"/>
              </w:rPr>
              <w:t xml:space="preserve"> (Added)</w:t>
            </w:r>
            <w:r w:rsidR="00E65B3C">
              <w:rPr>
                <w:rFonts w:ascii="Times New Roman" w:hAnsi="Times New Roman"/>
              </w:rPr>
              <w:t>,</w:t>
            </w:r>
            <w:r w:rsidR="008E2A20">
              <w:rPr>
                <w:rFonts w:ascii="Times New Roman" w:hAnsi="Times New Roman"/>
              </w:rPr>
              <w:t xml:space="preserve"> </w:t>
            </w:r>
          </w:p>
        </w:tc>
      </w:tr>
      <w:tr w:rsidR="009E1D15">
        <w:trPr>
          <w:jc w:val="center"/>
        </w:trPr>
        <w:tc>
          <w:tcPr>
            <w:tcW w:w="3120" w:type="dxa"/>
            <w:tcBorders>
              <w:top w:val="single" w:sz="7" w:space="0" w:color="000000"/>
              <w:left w:val="single" w:sz="7" w:space="0" w:color="000000"/>
              <w:bottom w:val="single" w:sz="7" w:space="0" w:color="000000"/>
              <w:right w:val="single" w:sz="7" w:space="0" w:color="000000"/>
            </w:tcBorders>
          </w:tcPr>
          <w:p w:rsidR="00A34874" w:rsidRDefault="008E2A20" w:rsidP="00702038">
            <w:pPr>
              <w:widowControl/>
              <w:tabs>
                <w:tab w:val="left" w:pos="0"/>
                <w:tab w:val="left" w:pos="330"/>
              </w:tabs>
              <w:spacing w:before="40" w:afterLines="40" w:after="96"/>
              <w:rPr>
                <w:rFonts w:ascii="Times New Roman" w:hAnsi="Times New Roman"/>
              </w:rPr>
            </w:pPr>
            <w:r>
              <w:rPr>
                <w:rFonts w:ascii="Times New Roman" w:hAnsi="Times New Roman"/>
              </w:rPr>
              <w:t>Designated uses: highest attainable uses</w:t>
            </w:r>
          </w:p>
        </w:tc>
        <w:tc>
          <w:tcPr>
            <w:tcW w:w="3120" w:type="dxa"/>
            <w:tcBorders>
              <w:top w:val="single" w:sz="7" w:space="0" w:color="000000"/>
              <w:left w:val="single" w:sz="7" w:space="0" w:color="000000"/>
              <w:bottom w:val="single" w:sz="7" w:space="0" w:color="000000"/>
              <w:right w:val="single" w:sz="7" w:space="0" w:color="000000"/>
            </w:tcBorders>
          </w:tcPr>
          <w:p w:rsidR="001F0113" w:rsidRDefault="008E2A20" w:rsidP="00702038">
            <w:pPr>
              <w:widowControl/>
              <w:tabs>
                <w:tab w:val="left" w:pos="0"/>
                <w:tab w:val="left" w:pos="330"/>
              </w:tabs>
              <w:spacing w:before="40" w:afterLines="40" w:after="96"/>
              <w:rPr>
                <w:rFonts w:ascii="Times New Roman" w:hAnsi="Times New Roman"/>
              </w:rPr>
            </w:pPr>
            <w:r>
              <w:rPr>
                <w:rFonts w:ascii="Times New Roman" w:hAnsi="Times New Roman"/>
              </w:rPr>
              <w:t>Expand</w:t>
            </w:r>
            <w:r w:rsidR="002F0D5B">
              <w:rPr>
                <w:rFonts w:ascii="Times New Roman" w:hAnsi="Times New Roman"/>
              </w:rPr>
              <w:t>ed</w:t>
            </w:r>
            <w:r>
              <w:rPr>
                <w:rFonts w:ascii="Times New Roman" w:hAnsi="Times New Roman"/>
              </w:rPr>
              <w:t xml:space="preserve"> use </w:t>
            </w:r>
            <w:r w:rsidR="007F6BCA">
              <w:rPr>
                <w:rFonts w:ascii="Times New Roman" w:hAnsi="Times New Roman"/>
              </w:rPr>
              <w:t>revision process</w:t>
            </w:r>
            <w:r>
              <w:rPr>
                <w:rFonts w:ascii="Times New Roman" w:hAnsi="Times New Roman"/>
              </w:rPr>
              <w:t xml:space="preserve"> to include identificatio</w:t>
            </w:r>
            <w:r w:rsidR="001241A0">
              <w:rPr>
                <w:rFonts w:ascii="Times New Roman" w:hAnsi="Times New Roman"/>
              </w:rPr>
              <w:t>n of the highest attainable use.</w:t>
            </w:r>
          </w:p>
        </w:tc>
        <w:tc>
          <w:tcPr>
            <w:tcW w:w="3120" w:type="dxa"/>
            <w:tcBorders>
              <w:top w:val="single" w:sz="7" w:space="0" w:color="000000"/>
              <w:left w:val="single" w:sz="7" w:space="0" w:color="000000"/>
              <w:bottom w:val="single" w:sz="7" w:space="0" w:color="000000"/>
              <w:right w:val="single" w:sz="7" w:space="0" w:color="000000"/>
            </w:tcBorders>
          </w:tcPr>
          <w:p w:rsidR="00A34874" w:rsidRDefault="008E2A20" w:rsidP="00702038">
            <w:pPr>
              <w:widowControl/>
              <w:tabs>
                <w:tab w:val="left" w:pos="0"/>
                <w:tab w:val="left" w:pos="330"/>
              </w:tabs>
              <w:spacing w:before="40" w:afterLines="40" w:after="96"/>
              <w:rPr>
                <w:rFonts w:ascii="Times New Roman" w:hAnsi="Times New Roman"/>
              </w:rPr>
            </w:pPr>
            <w:r>
              <w:rPr>
                <w:rFonts w:ascii="Times New Roman" w:hAnsi="Times New Roman"/>
              </w:rPr>
              <w:t>131.10(g)</w:t>
            </w:r>
            <w:r w:rsidR="001D11FB">
              <w:rPr>
                <w:rFonts w:ascii="Times New Roman" w:hAnsi="Times New Roman"/>
              </w:rPr>
              <w:t xml:space="preserve"> (Amended)</w:t>
            </w:r>
          </w:p>
        </w:tc>
      </w:tr>
      <w:tr w:rsidR="00CB7EE3" w:rsidTr="00F32709">
        <w:trPr>
          <w:jc w:val="center"/>
        </w:trPr>
        <w:tc>
          <w:tcPr>
            <w:tcW w:w="3120" w:type="dxa"/>
            <w:tcBorders>
              <w:top w:val="single" w:sz="8" w:space="0" w:color="000000"/>
              <w:left w:val="single" w:sz="8" w:space="0" w:color="000000"/>
              <w:right w:val="single" w:sz="8" w:space="0" w:color="000000"/>
            </w:tcBorders>
          </w:tcPr>
          <w:p w:rsidR="00A34874" w:rsidRDefault="001D11FB" w:rsidP="00702038">
            <w:pPr>
              <w:widowControl/>
              <w:tabs>
                <w:tab w:val="left" w:pos="0"/>
                <w:tab w:val="left" w:pos="330"/>
              </w:tabs>
              <w:spacing w:before="40" w:afterLines="40" w:after="96"/>
              <w:rPr>
                <w:rFonts w:ascii="Times New Roman" w:hAnsi="Times New Roman"/>
              </w:rPr>
            </w:pPr>
            <w:r>
              <w:rPr>
                <w:rFonts w:ascii="Times New Roman" w:hAnsi="Times New Roman"/>
              </w:rPr>
              <w:t>Antidegradation</w:t>
            </w:r>
          </w:p>
        </w:tc>
        <w:tc>
          <w:tcPr>
            <w:tcW w:w="3120" w:type="dxa"/>
            <w:tcBorders>
              <w:top w:val="single" w:sz="7" w:space="0" w:color="000000"/>
              <w:left w:val="single" w:sz="8" w:space="0" w:color="000000"/>
              <w:bottom w:val="single" w:sz="7" w:space="0" w:color="000000"/>
              <w:right w:val="single" w:sz="7" w:space="0" w:color="000000"/>
            </w:tcBorders>
          </w:tcPr>
          <w:p w:rsidR="00A34874" w:rsidRDefault="00282419" w:rsidP="00702038">
            <w:pPr>
              <w:widowControl/>
              <w:tabs>
                <w:tab w:val="left" w:pos="0"/>
                <w:tab w:val="left" w:pos="330"/>
              </w:tabs>
              <w:spacing w:before="40" w:afterLines="40" w:after="96"/>
              <w:rPr>
                <w:rFonts w:ascii="Times New Roman" w:hAnsi="Times New Roman"/>
              </w:rPr>
            </w:pPr>
            <w:r>
              <w:rPr>
                <w:rFonts w:ascii="Times New Roman" w:hAnsi="Times New Roman"/>
              </w:rPr>
              <w:t>A</w:t>
            </w:r>
            <w:r w:rsidR="00CD3B30">
              <w:rPr>
                <w:rFonts w:ascii="Times New Roman" w:hAnsi="Times New Roman"/>
              </w:rPr>
              <w:t xml:space="preserve">dditional </w:t>
            </w:r>
            <w:r w:rsidR="00197612">
              <w:rPr>
                <w:rFonts w:ascii="Times New Roman" w:hAnsi="Times New Roman"/>
              </w:rPr>
              <w:t>and/or more complex reviews of requests to lower water quality on high quality waters.</w:t>
            </w:r>
            <w:r w:rsidR="005046E3" w:rsidRPr="005046E3">
              <w:rPr>
                <w:rFonts w:ascii="Times New Roman" w:hAnsi="Times New Roman"/>
                <w:vertAlign w:val="superscript"/>
              </w:rPr>
              <w:t>1</w:t>
            </w:r>
          </w:p>
        </w:tc>
        <w:tc>
          <w:tcPr>
            <w:tcW w:w="3120" w:type="dxa"/>
            <w:tcBorders>
              <w:top w:val="single" w:sz="7" w:space="0" w:color="000000"/>
              <w:left w:val="single" w:sz="7" w:space="0" w:color="000000"/>
              <w:bottom w:val="single" w:sz="7" w:space="0" w:color="000000"/>
              <w:right w:val="single" w:sz="7" w:space="0" w:color="000000"/>
            </w:tcBorders>
          </w:tcPr>
          <w:p w:rsidR="00A34874" w:rsidRDefault="00F32709" w:rsidP="00702038">
            <w:pPr>
              <w:widowControl/>
              <w:tabs>
                <w:tab w:val="left" w:pos="0"/>
                <w:tab w:val="left" w:pos="330"/>
              </w:tabs>
              <w:spacing w:before="40" w:afterLines="40" w:after="96"/>
              <w:rPr>
                <w:rFonts w:ascii="Times New Roman" w:hAnsi="Times New Roman"/>
              </w:rPr>
            </w:pPr>
            <w:r>
              <w:rPr>
                <w:rFonts w:ascii="Times New Roman" w:hAnsi="Times New Roman"/>
              </w:rPr>
              <w:t>131.12(b) (Added)</w:t>
            </w:r>
          </w:p>
        </w:tc>
      </w:tr>
      <w:tr w:rsidR="00F32709" w:rsidTr="005046E3">
        <w:trPr>
          <w:jc w:val="center"/>
        </w:trPr>
        <w:tc>
          <w:tcPr>
            <w:tcW w:w="3120" w:type="dxa"/>
            <w:tcBorders>
              <w:top w:val="single" w:sz="8" w:space="0" w:color="000000"/>
              <w:left w:val="single" w:sz="7" w:space="0" w:color="000000"/>
              <w:bottom w:val="single" w:sz="8" w:space="0" w:color="000000"/>
              <w:right w:val="single" w:sz="7" w:space="0" w:color="000000"/>
            </w:tcBorders>
          </w:tcPr>
          <w:p w:rsidR="00A34874" w:rsidRDefault="00F32709" w:rsidP="00702038">
            <w:pPr>
              <w:widowControl/>
              <w:tabs>
                <w:tab w:val="left" w:pos="0"/>
                <w:tab w:val="left" w:pos="330"/>
              </w:tabs>
              <w:spacing w:before="40" w:afterLines="40" w:after="96"/>
              <w:rPr>
                <w:rFonts w:ascii="Times New Roman" w:hAnsi="Times New Roman"/>
              </w:rPr>
            </w:pPr>
            <w:r>
              <w:rPr>
                <w:rFonts w:ascii="Times New Roman" w:hAnsi="Times New Roman"/>
              </w:rPr>
              <w:t>Variances</w:t>
            </w:r>
          </w:p>
        </w:tc>
        <w:tc>
          <w:tcPr>
            <w:tcW w:w="3120" w:type="dxa"/>
            <w:tcBorders>
              <w:top w:val="single" w:sz="7" w:space="0" w:color="000000"/>
              <w:left w:val="single" w:sz="7" w:space="0" w:color="000000"/>
              <w:bottom w:val="single" w:sz="7" w:space="0" w:color="000000"/>
              <w:right w:val="single" w:sz="7" w:space="0" w:color="000000"/>
            </w:tcBorders>
          </w:tcPr>
          <w:p w:rsidR="00A34874" w:rsidRDefault="002F0D5B" w:rsidP="00702038">
            <w:pPr>
              <w:widowControl/>
              <w:tabs>
                <w:tab w:val="left" w:pos="0"/>
                <w:tab w:val="left" w:pos="330"/>
              </w:tabs>
              <w:spacing w:before="40" w:afterLines="40" w:after="96"/>
              <w:rPr>
                <w:rFonts w:ascii="Times New Roman" w:hAnsi="Times New Roman"/>
              </w:rPr>
            </w:pPr>
            <w:r>
              <w:rPr>
                <w:rFonts w:ascii="Times New Roman" w:hAnsi="Times New Roman"/>
              </w:rPr>
              <w:t xml:space="preserve">Specific documentation to accompany variance submissions to </w:t>
            </w:r>
            <w:r w:rsidR="009E09F0">
              <w:rPr>
                <w:rFonts w:ascii="Times New Roman" w:hAnsi="Times New Roman"/>
              </w:rPr>
              <w:t xml:space="preserve">the </w:t>
            </w:r>
            <w:r>
              <w:rPr>
                <w:rFonts w:ascii="Times New Roman" w:hAnsi="Times New Roman"/>
              </w:rPr>
              <w:t>EPA</w:t>
            </w:r>
            <w:r w:rsidR="005046E3">
              <w:rPr>
                <w:rFonts w:ascii="Times New Roman" w:hAnsi="Times New Roman"/>
              </w:rPr>
              <w:t xml:space="preserve">; and </w:t>
            </w:r>
            <w:r w:rsidR="005046E3" w:rsidRPr="005046E3">
              <w:rPr>
                <w:rFonts w:ascii="Times New Roman" w:hAnsi="Times New Roman"/>
              </w:rPr>
              <w:t xml:space="preserve">additional variance requests requiring state and tribal review, documentation, and submittal to </w:t>
            </w:r>
            <w:r w:rsidR="009E09F0">
              <w:rPr>
                <w:rFonts w:ascii="Times New Roman" w:hAnsi="Times New Roman"/>
              </w:rPr>
              <w:t>the</w:t>
            </w:r>
            <w:r w:rsidR="009E09F0" w:rsidRPr="005046E3">
              <w:rPr>
                <w:rFonts w:ascii="Times New Roman" w:hAnsi="Times New Roman"/>
              </w:rPr>
              <w:t xml:space="preserve"> </w:t>
            </w:r>
            <w:r w:rsidR="005046E3" w:rsidRPr="005046E3">
              <w:rPr>
                <w:rFonts w:ascii="Times New Roman" w:hAnsi="Times New Roman"/>
              </w:rPr>
              <w:t>EPA for review and approval</w:t>
            </w:r>
            <w:r>
              <w:rPr>
                <w:rFonts w:ascii="Times New Roman" w:hAnsi="Times New Roman"/>
              </w:rPr>
              <w:t>.</w:t>
            </w:r>
          </w:p>
        </w:tc>
        <w:tc>
          <w:tcPr>
            <w:tcW w:w="3120" w:type="dxa"/>
            <w:tcBorders>
              <w:top w:val="single" w:sz="7" w:space="0" w:color="000000"/>
              <w:left w:val="single" w:sz="7" w:space="0" w:color="000000"/>
              <w:bottom w:val="single" w:sz="7" w:space="0" w:color="000000"/>
              <w:right w:val="single" w:sz="7" w:space="0" w:color="000000"/>
            </w:tcBorders>
          </w:tcPr>
          <w:p w:rsidR="00A34874" w:rsidRDefault="00F32709" w:rsidP="00702038">
            <w:pPr>
              <w:widowControl/>
              <w:tabs>
                <w:tab w:val="left" w:pos="0"/>
                <w:tab w:val="left" w:pos="330"/>
              </w:tabs>
              <w:spacing w:before="40" w:afterLines="40" w:after="96"/>
              <w:rPr>
                <w:rFonts w:ascii="Times New Roman" w:hAnsi="Times New Roman"/>
              </w:rPr>
            </w:pPr>
            <w:r>
              <w:rPr>
                <w:rFonts w:ascii="Times New Roman" w:hAnsi="Times New Roman"/>
              </w:rPr>
              <w:t>131.14 (Added)</w:t>
            </w:r>
          </w:p>
        </w:tc>
      </w:tr>
      <w:tr w:rsidR="005046E3" w:rsidTr="008B085E">
        <w:trPr>
          <w:jc w:val="center"/>
        </w:trPr>
        <w:tc>
          <w:tcPr>
            <w:tcW w:w="9360" w:type="dxa"/>
            <w:gridSpan w:val="3"/>
            <w:tcBorders>
              <w:top w:val="single" w:sz="8" w:space="0" w:color="000000"/>
              <w:left w:val="single" w:sz="7" w:space="0" w:color="000000"/>
              <w:bottom w:val="single" w:sz="7" w:space="0" w:color="000000"/>
              <w:right w:val="single" w:sz="7" w:space="0" w:color="000000"/>
            </w:tcBorders>
          </w:tcPr>
          <w:p w:rsidR="00A34874" w:rsidRDefault="005046E3" w:rsidP="00702038">
            <w:pPr>
              <w:widowControl/>
              <w:tabs>
                <w:tab w:val="left" w:pos="0"/>
                <w:tab w:val="left" w:pos="330"/>
              </w:tabs>
              <w:spacing w:before="40" w:afterLines="40" w:after="96"/>
              <w:rPr>
                <w:rFonts w:ascii="Times New Roman" w:hAnsi="Times New Roman"/>
              </w:rPr>
            </w:pPr>
            <w:r>
              <w:rPr>
                <w:rFonts w:ascii="Times New Roman" w:hAnsi="Times New Roman"/>
              </w:rPr>
              <w:t>1. S</w:t>
            </w:r>
            <w:r w:rsidRPr="005046E3">
              <w:rPr>
                <w:rFonts w:ascii="Times New Roman" w:hAnsi="Times New Roman"/>
              </w:rPr>
              <w:t>tates and tribes establish their antidegradation policies in three tiers</w:t>
            </w:r>
            <w:r>
              <w:rPr>
                <w:rFonts w:ascii="Times New Roman" w:hAnsi="Times New Roman"/>
              </w:rPr>
              <w:t>. Tier 2</w:t>
            </w:r>
            <w:r w:rsidRPr="005046E3">
              <w:rPr>
                <w:rFonts w:ascii="Times New Roman" w:hAnsi="Times New Roman"/>
              </w:rPr>
              <w:t xml:space="preserve"> protects high quality waters with water quality higher than necessary to attain all C</w:t>
            </w:r>
            <w:r>
              <w:rPr>
                <w:rFonts w:ascii="Times New Roman" w:hAnsi="Times New Roman"/>
              </w:rPr>
              <w:t xml:space="preserve">lean </w:t>
            </w:r>
            <w:r w:rsidRPr="005046E3">
              <w:rPr>
                <w:rFonts w:ascii="Times New Roman" w:hAnsi="Times New Roman"/>
              </w:rPr>
              <w:t>W</w:t>
            </w:r>
            <w:r>
              <w:rPr>
                <w:rFonts w:ascii="Times New Roman" w:hAnsi="Times New Roman"/>
              </w:rPr>
              <w:t xml:space="preserve">ater </w:t>
            </w:r>
            <w:r w:rsidRPr="005046E3">
              <w:rPr>
                <w:rFonts w:ascii="Times New Roman" w:hAnsi="Times New Roman"/>
              </w:rPr>
              <w:t>A</w:t>
            </w:r>
            <w:r>
              <w:rPr>
                <w:rFonts w:ascii="Times New Roman" w:hAnsi="Times New Roman"/>
              </w:rPr>
              <w:t>ct</w:t>
            </w:r>
            <w:r w:rsidRPr="005046E3">
              <w:rPr>
                <w:rFonts w:ascii="Times New Roman" w:hAnsi="Times New Roman"/>
              </w:rPr>
              <w:t xml:space="preserve"> 101(a)(2) goals</w:t>
            </w:r>
            <w:r>
              <w:rPr>
                <w:rFonts w:ascii="Times New Roman" w:hAnsi="Times New Roman"/>
              </w:rPr>
              <w:t>.</w:t>
            </w:r>
          </w:p>
        </w:tc>
      </w:tr>
    </w:tbl>
    <w:p w:rsidR="009E1D15" w:rsidRDefault="009E1D15">
      <w:pPr>
        <w:widowControl/>
        <w:tabs>
          <w:tab w:val="left" w:pos="0"/>
          <w:tab w:val="left" w:pos="330"/>
        </w:tabs>
        <w:rPr>
          <w:rFonts w:ascii="Times New Roman" w:hAnsi="Times New Roman"/>
        </w:rPr>
      </w:pPr>
    </w:p>
    <w:p w:rsidR="009E1D15" w:rsidRDefault="009E1D15">
      <w:pPr>
        <w:widowControl/>
        <w:tabs>
          <w:tab w:val="left" w:pos="0"/>
          <w:tab w:val="left" w:pos="330"/>
        </w:tabs>
        <w:rPr>
          <w:rFonts w:ascii="Times New Roman" w:hAnsi="Times New Roman"/>
        </w:rPr>
      </w:pPr>
    </w:p>
    <w:p w:rsidR="009E1D15" w:rsidRPr="008B085E" w:rsidRDefault="009E1D15" w:rsidP="00704F82">
      <w:pPr>
        <w:pStyle w:val="Heading1"/>
      </w:pPr>
      <w:bookmarkStart w:id="4" w:name="_Toc361990598"/>
      <w:r w:rsidRPr="008B085E">
        <w:t>NEED FOR AND USE OF THE COLLECTION</w:t>
      </w:r>
      <w:bookmarkEnd w:id="4"/>
    </w:p>
    <w:p w:rsidR="00BC3DBD" w:rsidRDefault="00BC3DBD">
      <w:pPr>
        <w:widowControl/>
        <w:tabs>
          <w:tab w:val="left" w:pos="0"/>
        </w:tabs>
        <w:rPr>
          <w:rFonts w:ascii="Times New Roman" w:hAnsi="Times New Roman"/>
        </w:rPr>
      </w:pPr>
    </w:p>
    <w:p w:rsidR="009E1D15" w:rsidRPr="008B085E" w:rsidRDefault="009E1D15" w:rsidP="008B085E">
      <w:pPr>
        <w:pStyle w:val="Heading2"/>
      </w:pPr>
      <w:bookmarkStart w:id="5" w:name="_Toc361990599"/>
      <w:r w:rsidRPr="008B085E">
        <w:t>N</w:t>
      </w:r>
      <w:r w:rsidR="00D710D6" w:rsidRPr="008B085E">
        <w:t>eed and Authority</w:t>
      </w:r>
      <w:r w:rsidRPr="008B085E">
        <w:t xml:space="preserve"> </w:t>
      </w:r>
      <w:r w:rsidR="00D710D6" w:rsidRPr="008B085E">
        <w:t>for the Collection</w:t>
      </w:r>
      <w:bookmarkEnd w:id="5"/>
    </w:p>
    <w:p w:rsidR="009E1D15" w:rsidRDefault="009E1D15">
      <w:pPr>
        <w:widowControl/>
        <w:tabs>
          <w:tab w:val="left" w:pos="0"/>
        </w:tabs>
        <w:rPr>
          <w:rFonts w:ascii="Times New Roman" w:hAnsi="Times New Roman"/>
        </w:rPr>
      </w:pPr>
    </w:p>
    <w:p w:rsidR="00BC05DA" w:rsidRDefault="009E09F0" w:rsidP="00BC05DA">
      <w:pPr>
        <w:pStyle w:val="Bodynoindent"/>
        <w:ind w:firstLine="720"/>
        <w:rPr>
          <w:bCs/>
        </w:rPr>
      </w:pPr>
      <w:r>
        <w:t xml:space="preserve">The </w:t>
      </w:r>
      <w:r w:rsidR="00BC05DA">
        <w:t>EPA</w:t>
      </w:r>
      <w:r w:rsidR="00BC05DA" w:rsidRPr="001D6A05">
        <w:t xml:space="preserve"> is proposing </w:t>
      </w:r>
      <w:r w:rsidR="009856BA">
        <w:t xml:space="preserve">the WQS Regulatory Clarifications Rule to </w:t>
      </w:r>
      <w:r w:rsidR="00BC05DA" w:rsidRPr="001D6A05">
        <w:t xml:space="preserve">improve the regulation’s effectiveness in </w:t>
      </w:r>
      <w:r w:rsidR="009856BA">
        <w:t xml:space="preserve">helping restore and maintain </w:t>
      </w:r>
      <w:r w:rsidR="00BC05DA" w:rsidRPr="001D6A05">
        <w:t>the chemical, physical</w:t>
      </w:r>
      <w:r w:rsidR="00BC05DA">
        <w:t>,</w:t>
      </w:r>
      <w:r w:rsidR="00BC05DA" w:rsidRPr="001D6A05">
        <w:t xml:space="preserve"> and biological integrity of the </w:t>
      </w:r>
      <w:r w:rsidR="00BC05DA">
        <w:t>n</w:t>
      </w:r>
      <w:r w:rsidR="00BC05DA" w:rsidRPr="001D6A05">
        <w:t>ation’s waters</w:t>
      </w:r>
      <w:r w:rsidR="00BC05DA">
        <w:t xml:space="preserve">. </w:t>
      </w:r>
      <w:r w:rsidR="00BC05DA" w:rsidRPr="001D6A05">
        <w:rPr>
          <w:color w:val="000000"/>
        </w:rPr>
        <w:t>The core of the current regulation has been in place since 1983</w:t>
      </w:r>
      <w:r w:rsidR="00BC05DA">
        <w:rPr>
          <w:color w:val="000000"/>
        </w:rPr>
        <w:t xml:space="preserve">; since then, a number of issues have been raised by stakeholders or identified by </w:t>
      </w:r>
      <w:r>
        <w:rPr>
          <w:color w:val="000000"/>
        </w:rPr>
        <w:t xml:space="preserve">the </w:t>
      </w:r>
      <w:r w:rsidR="00BC05DA">
        <w:rPr>
          <w:color w:val="000000"/>
        </w:rPr>
        <w:t xml:space="preserve">EPA in the implementation process that will benefit from clarification and greater specificity. </w:t>
      </w:r>
      <w:r w:rsidR="00BC05DA" w:rsidRPr="001D6A05">
        <w:rPr>
          <w:color w:val="000000"/>
        </w:rPr>
        <w:t>The proposed rule</w:t>
      </w:r>
      <w:r w:rsidR="00BC05DA">
        <w:rPr>
          <w:color w:val="000000"/>
        </w:rPr>
        <w:t xml:space="preserve"> addresses </w:t>
      </w:r>
      <w:r w:rsidR="00BC05DA" w:rsidRPr="001D6A05">
        <w:rPr>
          <w:color w:val="000000"/>
        </w:rPr>
        <w:t xml:space="preserve">the following key </w:t>
      </w:r>
      <w:r w:rsidR="00BC05DA">
        <w:rPr>
          <w:color w:val="000000"/>
        </w:rPr>
        <w:t xml:space="preserve">program </w:t>
      </w:r>
      <w:r w:rsidR="00BC05DA" w:rsidRPr="001D6A05">
        <w:rPr>
          <w:color w:val="000000"/>
        </w:rPr>
        <w:t>areas:</w:t>
      </w:r>
      <w:r w:rsidR="00BC05DA">
        <w:rPr>
          <w:color w:val="000000"/>
        </w:rPr>
        <w:t xml:space="preserve"> </w:t>
      </w:r>
      <w:r w:rsidR="00BC05DA">
        <w:rPr>
          <w:bCs/>
        </w:rPr>
        <w:t>(1) </w:t>
      </w:r>
      <w:r w:rsidR="00BC05DA" w:rsidRPr="001D6A05">
        <w:rPr>
          <w:bCs/>
        </w:rPr>
        <w:t>Administrator’s determination</w:t>
      </w:r>
      <w:r w:rsidR="00BC05DA">
        <w:rPr>
          <w:bCs/>
        </w:rPr>
        <w:t>s that new or revised WQS are necessary</w:t>
      </w:r>
      <w:r w:rsidR="00BC05DA" w:rsidRPr="001D6A05">
        <w:rPr>
          <w:bCs/>
        </w:rPr>
        <w:t xml:space="preserve">, </w:t>
      </w:r>
      <w:r w:rsidR="00BC05DA">
        <w:rPr>
          <w:bCs/>
        </w:rPr>
        <w:t xml:space="preserve">(2) designated </w:t>
      </w:r>
      <w:r w:rsidR="00BC05DA" w:rsidRPr="001D6A05">
        <w:rPr>
          <w:bCs/>
        </w:rPr>
        <w:t xml:space="preserve">uses, </w:t>
      </w:r>
      <w:r w:rsidR="00BC05DA">
        <w:rPr>
          <w:bCs/>
        </w:rPr>
        <w:t xml:space="preserve">(3) </w:t>
      </w:r>
      <w:r w:rsidR="00BC05DA" w:rsidRPr="001D6A05">
        <w:rPr>
          <w:bCs/>
        </w:rPr>
        <w:t>triennial review</w:t>
      </w:r>
      <w:r w:rsidR="00BC05DA">
        <w:rPr>
          <w:bCs/>
        </w:rPr>
        <w:t>s</w:t>
      </w:r>
      <w:r w:rsidR="00BC05DA" w:rsidRPr="001D6A05">
        <w:rPr>
          <w:bCs/>
        </w:rPr>
        <w:t xml:space="preserve">, </w:t>
      </w:r>
      <w:r w:rsidR="00BC05DA">
        <w:rPr>
          <w:bCs/>
        </w:rPr>
        <w:t>(4) an</w:t>
      </w:r>
      <w:r w:rsidR="00BC05DA" w:rsidRPr="001D6A05">
        <w:rPr>
          <w:bCs/>
        </w:rPr>
        <w:t xml:space="preserve">tidegradation, </w:t>
      </w:r>
      <w:r w:rsidR="00BC05DA">
        <w:rPr>
          <w:bCs/>
        </w:rPr>
        <w:t>(5) v</w:t>
      </w:r>
      <w:r w:rsidR="00BC05DA" w:rsidRPr="001D6A05">
        <w:rPr>
          <w:bCs/>
        </w:rPr>
        <w:t>ariances</w:t>
      </w:r>
      <w:r w:rsidR="00BC05DA">
        <w:rPr>
          <w:bCs/>
        </w:rPr>
        <w:t xml:space="preserve"> to WQS, and (6) compliance schedule authorizing provisions.</w:t>
      </w:r>
    </w:p>
    <w:p w:rsidR="009E1D15" w:rsidRDefault="009E1D15" w:rsidP="00BC05DA">
      <w:pPr>
        <w:widowControl/>
        <w:tabs>
          <w:tab w:val="left" w:pos="0"/>
        </w:tabs>
        <w:ind w:firstLine="720"/>
        <w:rPr>
          <w:rFonts w:ascii="Times New Roman" w:hAnsi="Times New Roman"/>
        </w:rPr>
      </w:pPr>
      <w:r>
        <w:rPr>
          <w:rFonts w:ascii="Times New Roman" w:hAnsi="Times New Roman"/>
        </w:rPr>
        <w:lastRenderedPageBreak/>
        <w:t xml:space="preserve">This information collection will ensure </w:t>
      </w:r>
      <w:r w:rsidR="009E09F0">
        <w:rPr>
          <w:rFonts w:ascii="Times New Roman" w:hAnsi="Times New Roman"/>
        </w:rPr>
        <w:t xml:space="preserve">the </w:t>
      </w:r>
      <w:r>
        <w:rPr>
          <w:rFonts w:ascii="Times New Roman" w:hAnsi="Times New Roman"/>
        </w:rPr>
        <w:t>EPA has the needed information to review standards and make approvals or disapprovals</w:t>
      </w:r>
      <w:r w:rsidR="00BC05DA">
        <w:rPr>
          <w:rFonts w:ascii="Times New Roman" w:hAnsi="Times New Roman"/>
        </w:rPr>
        <w:t xml:space="preserve"> in accordance with provisions in the </w:t>
      </w:r>
      <w:r w:rsidR="00D14627">
        <w:rPr>
          <w:rFonts w:ascii="Times New Roman" w:hAnsi="Times New Roman"/>
        </w:rPr>
        <w:t xml:space="preserve">proposed </w:t>
      </w:r>
      <w:r w:rsidR="00CD4947">
        <w:rPr>
          <w:rFonts w:ascii="Times New Roman" w:hAnsi="Times New Roman"/>
        </w:rPr>
        <w:t>WQS</w:t>
      </w:r>
      <w:r w:rsidR="00A23938">
        <w:rPr>
          <w:rFonts w:ascii="Times New Roman" w:hAnsi="Times New Roman"/>
        </w:rPr>
        <w:t xml:space="preserve"> Regulatory Clarifications</w:t>
      </w:r>
      <w:r w:rsidR="00BC05DA">
        <w:rPr>
          <w:rFonts w:ascii="Times New Roman" w:hAnsi="Times New Roman"/>
        </w:rPr>
        <w:t xml:space="preserve"> </w:t>
      </w:r>
      <w:r w:rsidR="00D14627">
        <w:rPr>
          <w:rFonts w:ascii="Times New Roman" w:hAnsi="Times New Roman"/>
        </w:rPr>
        <w:t>Rule</w:t>
      </w:r>
      <w:r>
        <w:rPr>
          <w:rFonts w:ascii="Times New Roman" w:hAnsi="Times New Roman"/>
        </w:rPr>
        <w:t>.</w:t>
      </w:r>
    </w:p>
    <w:p w:rsidR="009E1D15" w:rsidRDefault="009E1D15">
      <w:pPr>
        <w:widowControl/>
        <w:tabs>
          <w:tab w:val="left" w:pos="0"/>
        </w:tabs>
        <w:rPr>
          <w:rFonts w:ascii="Times New Roman" w:hAnsi="Times New Roman"/>
        </w:rPr>
      </w:pPr>
    </w:p>
    <w:p w:rsidR="009E1D15" w:rsidRDefault="00D710D6" w:rsidP="008B085E">
      <w:pPr>
        <w:pStyle w:val="Heading2"/>
      </w:pPr>
      <w:bookmarkStart w:id="6" w:name="_Toc361990600"/>
      <w:r w:rsidRPr="00D710D6">
        <w:t>Practical Utility/Users of the Data</w:t>
      </w:r>
      <w:bookmarkEnd w:id="6"/>
    </w:p>
    <w:p w:rsidR="009E1D15" w:rsidRDefault="009E1D15" w:rsidP="00912385">
      <w:pPr>
        <w:keepNext/>
        <w:widowControl/>
        <w:tabs>
          <w:tab w:val="left" w:pos="0"/>
        </w:tabs>
        <w:rPr>
          <w:rFonts w:ascii="Times New Roman" w:hAnsi="Times New Roman"/>
        </w:rPr>
      </w:pPr>
    </w:p>
    <w:p w:rsidR="000B04ED" w:rsidRDefault="00A43964" w:rsidP="000B04ED">
      <w:pPr>
        <w:widowControl/>
        <w:tabs>
          <w:tab w:val="left" w:pos="0"/>
        </w:tabs>
        <w:ind w:firstLine="720"/>
        <w:rPr>
          <w:rFonts w:ascii="Times New Roman" w:hAnsi="Times New Roman"/>
        </w:rPr>
      </w:pPr>
      <w:r>
        <w:rPr>
          <w:rFonts w:ascii="Times New Roman" w:hAnsi="Times New Roman"/>
        </w:rPr>
        <w:t xml:space="preserve">Under the CWA, </w:t>
      </w:r>
      <w:r w:rsidR="009E09F0">
        <w:rPr>
          <w:rFonts w:ascii="Times New Roman" w:hAnsi="Times New Roman"/>
        </w:rPr>
        <w:t xml:space="preserve">the </w:t>
      </w:r>
      <w:r>
        <w:rPr>
          <w:rFonts w:ascii="Times New Roman" w:hAnsi="Times New Roman"/>
        </w:rPr>
        <w:t xml:space="preserve">EPA is responsible for reviewing and approving or disapproving new and revised WQS submitted by </w:t>
      </w:r>
      <w:r w:rsidR="00CD4947">
        <w:rPr>
          <w:rFonts w:ascii="Times New Roman" w:hAnsi="Times New Roman"/>
        </w:rPr>
        <w:t>s</w:t>
      </w:r>
      <w:r>
        <w:rPr>
          <w:rFonts w:ascii="Times New Roman" w:hAnsi="Times New Roman"/>
        </w:rPr>
        <w:t xml:space="preserve">tates and </w:t>
      </w:r>
      <w:r w:rsidR="00CD4947">
        <w:rPr>
          <w:rFonts w:ascii="Times New Roman" w:hAnsi="Times New Roman"/>
        </w:rPr>
        <w:t>t</w:t>
      </w:r>
      <w:r>
        <w:rPr>
          <w:rFonts w:ascii="Times New Roman" w:hAnsi="Times New Roman"/>
        </w:rPr>
        <w:t xml:space="preserve">ribes. </w:t>
      </w:r>
      <w:r w:rsidR="009E09F0">
        <w:rPr>
          <w:rFonts w:ascii="Times New Roman" w:hAnsi="Times New Roman"/>
        </w:rPr>
        <w:t xml:space="preserve">The </w:t>
      </w:r>
      <w:r w:rsidR="009E1D15">
        <w:rPr>
          <w:rFonts w:ascii="Times New Roman" w:hAnsi="Times New Roman"/>
        </w:rPr>
        <w:t xml:space="preserve">EPA </w:t>
      </w:r>
      <w:r>
        <w:rPr>
          <w:rFonts w:ascii="Times New Roman" w:hAnsi="Times New Roman"/>
        </w:rPr>
        <w:t xml:space="preserve">will </w:t>
      </w:r>
      <w:r w:rsidR="009E1D15">
        <w:rPr>
          <w:rFonts w:ascii="Times New Roman" w:hAnsi="Times New Roman"/>
        </w:rPr>
        <w:t xml:space="preserve">use </w:t>
      </w:r>
      <w:r>
        <w:rPr>
          <w:rFonts w:ascii="Times New Roman" w:hAnsi="Times New Roman"/>
        </w:rPr>
        <w:t xml:space="preserve">the information required by this proposed rule – for example, </w:t>
      </w:r>
      <w:r w:rsidR="000B04ED">
        <w:rPr>
          <w:rFonts w:ascii="Times New Roman" w:hAnsi="Times New Roman"/>
        </w:rPr>
        <w:t xml:space="preserve">the </w:t>
      </w:r>
      <w:r w:rsidR="009E1D15">
        <w:rPr>
          <w:rFonts w:ascii="Times New Roman" w:hAnsi="Times New Roman"/>
        </w:rPr>
        <w:t xml:space="preserve">new and revised </w:t>
      </w:r>
      <w:r w:rsidR="00E03559">
        <w:rPr>
          <w:rFonts w:ascii="Times New Roman" w:hAnsi="Times New Roman"/>
        </w:rPr>
        <w:t>WQS</w:t>
      </w:r>
      <w:r w:rsidR="000B04ED">
        <w:rPr>
          <w:rFonts w:ascii="Times New Roman" w:hAnsi="Times New Roman"/>
        </w:rPr>
        <w:t xml:space="preserve"> themselves</w:t>
      </w:r>
      <w:r>
        <w:rPr>
          <w:rFonts w:ascii="Times New Roman" w:hAnsi="Times New Roman"/>
        </w:rPr>
        <w:t>, and supporting documentation for the standards –</w:t>
      </w:r>
      <w:r w:rsidR="009E1D15">
        <w:rPr>
          <w:rFonts w:ascii="Times New Roman" w:hAnsi="Times New Roman"/>
        </w:rPr>
        <w:t xml:space="preserve"> to carry out its responsibility under the CWA. </w:t>
      </w:r>
      <w:r>
        <w:rPr>
          <w:rFonts w:ascii="Times New Roman" w:hAnsi="Times New Roman"/>
        </w:rPr>
        <w:t xml:space="preserve">In reviewing </w:t>
      </w:r>
      <w:r w:rsidR="00CD4947">
        <w:rPr>
          <w:rFonts w:ascii="Times New Roman" w:hAnsi="Times New Roman"/>
        </w:rPr>
        <w:t>s</w:t>
      </w:r>
      <w:r>
        <w:rPr>
          <w:rFonts w:ascii="Times New Roman" w:hAnsi="Times New Roman"/>
        </w:rPr>
        <w:t xml:space="preserve">tate and </w:t>
      </w:r>
      <w:r w:rsidR="00CD4947">
        <w:rPr>
          <w:rFonts w:ascii="Times New Roman" w:hAnsi="Times New Roman"/>
        </w:rPr>
        <w:t>t</w:t>
      </w:r>
      <w:r>
        <w:rPr>
          <w:rFonts w:ascii="Times New Roman" w:hAnsi="Times New Roman"/>
        </w:rPr>
        <w:t>ribal standards submission</w:t>
      </w:r>
      <w:r w:rsidR="0073269D">
        <w:rPr>
          <w:rFonts w:ascii="Times New Roman" w:hAnsi="Times New Roman"/>
        </w:rPr>
        <w:t>s</w:t>
      </w:r>
      <w:r>
        <w:rPr>
          <w:rFonts w:ascii="Times New Roman" w:hAnsi="Times New Roman"/>
        </w:rPr>
        <w:t xml:space="preserve">, </w:t>
      </w:r>
      <w:r w:rsidR="009E09F0">
        <w:rPr>
          <w:rFonts w:ascii="Times New Roman" w:hAnsi="Times New Roman"/>
        </w:rPr>
        <w:t xml:space="preserve">the </w:t>
      </w:r>
      <w:r>
        <w:rPr>
          <w:rFonts w:ascii="Times New Roman" w:hAnsi="Times New Roman"/>
        </w:rPr>
        <w:t xml:space="preserve">EPA considers </w:t>
      </w:r>
      <w:r w:rsidR="009E1D15">
        <w:rPr>
          <w:rFonts w:ascii="Times New Roman" w:hAnsi="Times New Roman"/>
        </w:rPr>
        <w:t xml:space="preserve">whether </w:t>
      </w:r>
      <w:r w:rsidR="0073269D">
        <w:rPr>
          <w:rFonts w:ascii="Times New Roman" w:hAnsi="Times New Roman"/>
        </w:rPr>
        <w:t>submissions are consistent with the WQS regulation at part 131.</w:t>
      </w:r>
      <w:r w:rsidR="000B04ED">
        <w:rPr>
          <w:rFonts w:ascii="Times New Roman" w:hAnsi="Times New Roman"/>
        </w:rPr>
        <w:t xml:space="preserve"> The WQS Regulatory Clarifications Rule will add new requirement</w:t>
      </w:r>
      <w:r w:rsidR="006E757E">
        <w:rPr>
          <w:rFonts w:ascii="Times New Roman" w:hAnsi="Times New Roman"/>
        </w:rPr>
        <w:t>s</w:t>
      </w:r>
      <w:r w:rsidR="000B04ED">
        <w:rPr>
          <w:rFonts w:ascii="Times New Roman" w:hAnsi="Times New Roman"/>
        </w:rPr>
        <w:t xml:space="preserve"> to part 131. </w:t>
      </w:r>
    </w:p>
    <w:p w:rsidR="009E1D15" w:rsidRDefault="009E1D15">
      <w:pPr>
        <w:widowControl/>
        <w:tabs>
          <w:tab w:val="left" w:pos="0"/>
        </w:tabs>
        <w:rPr>
          <w:rFonts w:ascii="Times New Roman" w:hAnsi="Times New Roman"/>
        </w:rPr>
      </w:pPr>
    </w:p>
    <w:p w:rsidR="009E1D15" w:rsidRDefault="009E1D15">
      <w:pPr>
        <w:widowControl/>
        <w:tabs>
          <w:tab w:val="left" w:pos="0"/>
        </w:tabs>
        <w:ind w:firstLine="720"/>
        <w:rPr>
          <w:rFonts w:ascii="Times New Roman" w:hAnsi="Times New Roman"/>
        </w:rPr>
      </w:pPr>
      <w:r>
        <w:rPr>
          <w:rFonts w:ascii="Times New Roman" w:hAnsi="Times New Roman"/>
        </w:rPr>
        <w:t xml:space="preserve">Once </w:t>
      </w:r>
      <w:r w:rsidR="009E09F0">
        <w:rPr>
          <w:rFonts w:ascii="Times New Roman" w:hAnsi="Times New Roman"/>
        </w:rPr>
        <w:t xml:space="preserve">the </w:t>
      </w:r>
      <w:r>
        <w:rPr>
          <w:rFonts w:ascii="Times New Roman" w:hAnsi="Times New Roman"/>
        </w:rPr>
        <w:t>EPA approves</w:t>
      </w:r>
      <w:r w:rsidR="00287779">
        <w:rPr>
          <w:rFonts w:ascii="Times New Roman" w:hAnsi="Times New Roman"/>
        </w:rPr>
        <w:t xml:space="preserve"> a state’s or tribe’s</w:t>
      </w:r>
      <w:r>
        <w:rPr>
          <w:rFonts w:ascii="Times New Roman" w:hAnsi="Times New Roman"/>
        </w:rPr>
        <w:t xml:space="preserve"> </w:t>
      </w:r>
      <w:r w:rsidR="00287779">
        <w:rPr>
          <w:rFonts w:ascii="Times New Roman" w:hAnsi="Times New Roman"/>
        </w:rPr>
        <w:t>WQS</w:t>
      </w:r>
      <w:r>
        <w:rPr>
          <w:rFonts w:ascii="Times New Roman" w:hAnsi="Times New Roman"/>
        </w:rPr>
        <w:t>, they become effective for all purposes under the Act.</w:t>
      </w:r>
      <w:r w:rsidR="0068763C">
        <w:rPr>
          <w:rFonts w:ascii="Times New Roman" w:hAnsi="Times New Roman"/>
        </w:rPr>
        <w:t xml:space="preserve"> </w:t>
      </w:r>
      <w:r w:rsidR="009E09F0">
        <w:rPr>
          <w:rFonts w:ascii="Times New Roman" w:hAnsi="Times New Roman"/>
        </w:rPr>
        <w:t xml:space="preserve">The </w:t>
      </w:r>
      <w:r>
        <w:rPr>
          <w:rFonts w:ascii="Times New Roman" w:hAnsi="Times New Roman"/>
        </w:rPr>
        <w:t xml:space="preserve">EPA makes the full text of all </w:t>
      </w:r>
      <w:r w:rsidR="00E03559">
        <w:rPr>
          <w:rFonts w:ascii="Times New Roman" w:hAnsi="Times New Roman"/>
        </w:rPr>
        <w:t>WQS</w:t>
      </w:r>
      <w:r>
        <w:rPr>
          <w:rFonts w:ascii="Times New Roman" w:hAnsi="Times New Roman"/>
        </w:rPr>
        <w:t xml:space="preserve"> available on its web site, </w:t>
      </w:r>
      <w:r w:rsidR="00287779" w:rsidRPr="00287779">
        <w:rPr>
          <w:rStyle w:val="Hypertext"/>
          <w:rFonts w:ascii="Times New Roman" w:hAnsi="Times New Roman"/>
        </w:rPr>
        <w:t>http://water.epa.gov/scitech/swguidance/standards/</w:t>
      </w:r>
      <w:r>
        <w:rPr>
          <w:rStyle w:val="Hypertext"/>
          <w:rFonts w:ascii="Times New Roman" w:hAnsi="Times New Roman"/>
        </w:rPr>
        <w:t>,</w:t>
      </w:r>
      <w:r>
        <w:rPr>
          <w:rFonts w:ascii="Times New Roman" w:hAnsi="Times New Roman"/>
        </w:rPr>
        <w:t xml:space="preserve"> to assist the public, </w:t>
      </w:r>
      <w:r w:rsidR="00CD4947">
        <w:rPr>
          <w:rFonts w:ascii="Times New Roman" w:hAnsi="Times New Roman"/>
        </w:rPr>
        <w:t>s</w:t>
      </w:r>
      <w:r>
        <w:rPr>
          <w:rFonts w:ascii="Times New Roman" w:hAnsi="Times New Roman"/>
        </w:rPr>
        <w:t xml:space="preserve">tates, </w:t>
      </w:r>
      <w:r w:rsidR="00CD4947">
        <w:rPr>
          <w:rFonts w:ascii="Times New Roman" w:hAnsi="Times New Roman"/>
        </w:rPr>
        <w:t>t</w:t>
      </w:r>
      <w:r>
        <w:rPr>
          <w:rFonts w:ascii="Times New Roman" w:hAnsi="Times New Roman"/>
        </w:rPr>
        <w:t>ribes, discha</w:t>
      </w:r>
      <w:r w:rsidR="00012670">
        <w:rPr>
          <w:rFonts w:ascii="Times New Roman" w:hAnsi="Times New Roman"/>
        </w:rPr>
        <w:t xml:space="preserve">rgers, and other stakeholders. </w:t>
      </w:r>
      <w:r w:rsidR="009E09F0">
        <w:rPr>
          <w:rFonts w:ascii="Times New Roman" w:hAnsi="Times New Roman"/>
        </w:rPr>
        <w:t xml:space="preserve">The </w:t>
      </w:r>
      <w:r>
        <w:rPr>
          <w:rFonts w:ascii="Times New Roman" w:hAnsi="Times New Roman"/>
        </w:rPr>
        <w:t xml:space="preserve">EPA, </w:t>
      </w:r>
      <w:r w:rsidR="00CD4947">
        <w:rPr>
          <w:rFonts w:ascii="Times New Roman" w:hAnsi="Times New Roman"/>
        </w:rPr>
        <w:t>s</w:t>
      </w:r>
      <w:r>
        <w:rPr>
          <w:rFonts w:ascii="Times New Roman" w:hAnsi="Times New Roman"/>
        </w:rPr>
        <w:t xml:space="preserve">tates, and </w:t>
      </w:r>
      <w:r w:rsidR="00CD4947">
        <w:rPr>
          <w:rFonts w:ascii="Times New Roman" w:hAnsi="Times New Roman"/>
        </w:rPr>
        <w:t>t</w:t>
      </w:r>
      <w:r>
        <w:rPr>
          <w:rFonts w:ascii="Times New Roman" w:hAnsi="Times New Roman"/>
        </w:rPr>
        <w:t>ribes use standards as the foundation for water quality protection under the CWA. Standards establish the water quality goals for specific water bodies, and provide the regulatory basis for the establishment of water quality</w:t>
      </w:r>
      <w:r>
        <w:rPr>
          <w:rFonts w:ascii="Times New Roman" w:hAnsi="Times New Roman"/>
        </w:rPr>
        <w:noBreakHyphen/>
        <w:t>based treatment controls and strategies beyond technology</w:t>
      </w:r>
      <w:r>
        <w:rPr>
          <w:rFonts w:ascii="Times New Roman" w:hAnsi="Times New Roman"/>
        </w:rPr>
        <w:noBreakHyphen/>
        <w:t>based levels of treatment.</w:t>
      </w:r>
    </w:p>
    <w:p w:rsidR="009E1D15" w:rsidRDefault="009E1D15">
      <w:pPr>
        <w:widowControl/>
        <w:tabs>
          <w:tab w:val="left" w:pos="0"/>
        </w:tabs>
        <w:rPr>
          <w:rFonts w:ascii="Times New Roman" w:hAnsi="Times New Roman"/>
        </w:rPr>
      </w:pPr>
    </w:p>
    <w:p w:rsidR="009E1D15" w:rsidRDefault="009E1D15">
      <w:pPr>
        <w:widowControl/>
        <w:tabs>
          <w:tab w:val="left" w:pos="0"/>
        </w:tabs>
        <w:ind w:firstLine="720"/>
        <w:rPr>
          <w:rFonts w:ascii="Times New Roman" w:hAnsi="Times New Roman"/>
        </w:rPr>
      </w:pPr>
      <w:r>
        <w:rPr>
          <w:rFonts w:ascii="Times New Roman" w:hAnsi="Times New Roman"/>
        </w:rPr>
        <w:t xml:space="preserve">In particular, </w:t>
      </w:r>
      <w:r w:rsidR="00E03559">
        <w:rPr>
          <w:rFonts w:ascii="Times New Roman" w:hAnsi="Times New Roman"/>
        </w:rPr>
        <w:t>WQS</w:t>
      </w:r>
      <w:r>
        <w:rPr>
          <w:rFonts w:ascii="Times New Roman" w:hAnsi="Times New Roman"/>
        </w:rPr>
        <w:t xml:space="preserve"> serve as the basis for </w:t>
      </w:r>
      <w:r w:rsidR="009E09F0">
        <w:rPr>
          <w:rFonts w:ascii="Times New Roman" w:hAnsi="Times New Roman"/>
        </w:rPr>
        <w:t xml:space="preserve">the </w:t>
      </w:r>
      <w:r>
        <w:rPr>
          <w:rFonts w:ascii="Times New Roman" w:hAnsi="Times New Roman"/>
        </w:rPr>
        <w:t xml:space="preserve">EPA, </w:t>
      </w:r>
      <w:r w:rsidR="00CD4947">
        <w:rPr>
          <w:rFonts w:ascii="Times New Roman" w:hAnsi="Times New Roman"/>
        </w:rPr>
        <w:t>s</w:t>
      </w:r>
      <w:r>
        <w:rPr>
          <w:rFonts w:ascii="Times New Roman" w:hAnsi="Times New Roman"/>
        </w:rPr>
        <w:t xml:space="preserve">tates, and </w:t>
      </w:r>
      <w:r w:rsidR="00CD4947">
        <w:rPr>
          <w:rFonts w:ascii="Times New Roman" w:hAnsi="Times New Roman"/>
        </w:rPr>
        <w:t>t</w:t>
      </w:r>
      <w:r>
        <w:rPr>
          <w:rFonts w:ascii="Times New Roman" w:hAnsi="Times New Roman"/>
        </w:rPr>
        <w:t>ribes to determine which waters are not in attainment under section 303(d) of the CWA, for establishing total maximum daily loads (TMDLs) for non-attainment waters under section 303(d), for water quality</w:t>
      </w:r>
      <w:r>
        <w:rPr>
          <w:rFonts w:ascii="Times New Roman" w:hAnsi="Times New Roman"/>
        </w:rPr>
        <w:noBreakHyphen/>
        <w:t xml:space="preserve">based effluent limitations in </w:t>
      </w:r>
      <w:r w:rsidR="00B5193F">
        <w:rPr>
          <w:rFonts w:ascii="Times New Roman" w:hAnsi="Times New Roman"/>
        </w:rPr>
        <w:t>National Pollutant Discharge Elimination System (</w:t>
      </w:r>
      <w:r>
        <w:rPr>
          <w:rFonts w:ascii="Times New Roman" w:hAnsi="Times New Roman"/>
        </w:rPr>
        <w:t>NPDES</w:t>
      </w:r>
      <w:r w:rsidR="00B5193F">
        <w:rPr>
          <w:rFonts w:ascii="Times New Roman" w:hAnsi="Times New Roman"/>
        </w:rPr>
        <w:t>)</w:t>
      </w:r>
      <w:r>
        <w:rPr>
          <w:rFonts w:ascii="Times New Roman" w:hAnsi="Times New Roman"/>
        </w:rPr>
        <w:t xml:space="preserve"> permits for point source dischargers (including publicly</w:t>
      </w:r>
      <w:r>
        <w:rPr>
          <w:rFonts w:ascii="Times New Roman" w:hAnsi="Times New Roman"/>
        </w:rPr>
        <w:noBreakHyphen/>
        <w:t xml:space="preserve">owned treatment works </w:t>
      </w:r>
      <w:r w:rsidR="00CD4947">
        <w:rPr>
          <w:rFonts w:ascii="Times New Roman" w:hAnsi="Times New Roman"/>
        </w:rPr>
        <w:t xml:space="preserve">(POTWs) </w:t>
      </w:r>
      <w:r>
        <w:rPr>
          <w:rFonts w:ascii="Times New Roman" w:hAnsi="Times New Roman"/>
        </w:rPr>
        <w:t xml:space="preserve">and industrial facilities) under sections 301(b)(1)(C) and 402 of the Act, and for certifications under section 401. They also help </w:t>
      </w:r>
      <w:r w:rsidR="00CD4947">
        <w:rPr>
          <w:rFonts w:ascii="Times New Roman" w:hAnsi="Times New Roman"/>
        </w:rPr>
        <w:t>f</w:t>
      </w:r>
      <w:r>
        <w:rPr>
          <w:rFonts w:ascii="Times New Roman" w:hAnsi="Times New Roman"/>
        </w:rPr>
        <w:t xml:space="preserve">ederal, </w:t>
      </w:r>
      <w:r w:rsidR="00CD4947">
        <w:rPr>
          <w:rFonts w:ascii="Times New Roman" w:hAnsi="Times New Roman"/>
        </w:rPr>
        <w:t>s</w:t>
      </w:r>
      <w:r>
        <w:rPr>
          <w:rFonts w:ascii="Times New Roman" w:hAnsi="Times New Roman"/>
        </w:rPr>
        <w:t xml:space="preserve">tate, </w:t>
      </w:r>
      <w:r w:rsidR="00CD4947">
        <w:rPr>
          <w:rFonts w:ascii="Times New Roman" w:hAnsi="Times New Roman"/>
        </w:rPr>
        <w:t>t</w:t>
      </w:r>
      <w:r>
        <w:rPr>
          <w:rFonts w:ascii="Times New Roman" w:hAnsi="Times New Roman"/>
        </w:rPr>
        <w:t>ribal, and local governments develop water quality management plans and objectives, and plan for and protect water supplies.</w:t>
      </w:r>
    </w:p>
    <w:p w:rsidR="009E1D15" w:rsidRDefault="009E1D15">
      <w:pPr>
        <w:widowControl/>
        <w:tabs>
          <w:tab w:val="left" w:pos="0"/>
        </w:tabs>
        <w:rPr>
          <w:rFonts w:ascii="Times New Roman" w:hAnsi="Times New Roman"/>
        </w:rPr>
      </w:pPr>
    </w:p>
    <w:p w:rsidR="009E1D15" w:rsidRDefault="009E1D15">
      <w:pPr>
        <w:widowControl/>
        <w:tabs>
          <w:tab w:val="left" w:pos="0"/>
        </w:tabs>
        <w:ind w:firstLine="720"/>
        <w:rPr>
          <w:rFonts w:ascii="Times New Roman" w:hAnsi="Times New Roman"/>
        </w:rPr>
      </w:pPr>
      <w:r>
        <w:rPr>
          <w:rFonts w:ascii="Times New Roman" w:hAnsi="Times New Roman"/>
        </w:rPr>
        <w:t>If the</w:t>
      </w:r>
      <w:r w:rsidR="00766725">
        <w:rPr>
          <w:rFonts w:ascii="Times New Roman" w:hAnsi="Times New Roman"/>
        </w:rPr>
        <w:t xml:space="preserve"> </w:t>
      </w:r>
      <w:r>
        <w:rPr>
          <w:rFonts w:ascii="Times New Roman" w:hAnsi="Times New Roman"/>
        </w:rPr>
        <w:t xml:space="preserve">information collection activities </w:t>
      </w:r>
      <w:r w:rsidR="00766725">
        <w:rPr>
          <w:rFonts w:ascii="Times New Roman" w:hAnsi="Times New Roman"/>
        </w:rPr>
        <w:t xml:space="preserve">in the WQS </w:t>
      </w:r>
      <w:r w:rsidR="00A5253A">
        <w:rPr>
          <w:rFonts w:ascii="Times New Roman" w:hAnsi="Times New Roman"/>
        </w:rPr>
        <w:t xml:space="preserve">Regulatory </w:t>
      </w:r>
      <w:r w:rsidR="00766725">
        <w:rPr>
          <w:rFonts w:ascii="Times New Roman" w:hAnsi="Times New Roman"/>
        </w:rPr>
        <w:t xml:space="preserve">Clarifications Rule are </w:t>
      </w:r>
      <w:r>
        <w:rPr>
          <w:rFonts w:ascii="Times New Roman" w:hAnsi="Times New Roman"/>
        </w:rPr>
        <w:t xml:space="preserve">not carried out, </w:t>
      </w:r>
      <w:r w:rsidR="000B04ED">
        <w:rPr>
          <w:rFonts w:ascii="Times New Roman" w:hAnsi="Times New Roman"/>
        </w:rPr>
        <w:t xml:space="preserve">specific </w:t>
      </w:r>
      <w:r w:rsidR="00766725">
        <w:rPr>
          <w:rFonts w:ascii="Times New Roman" w:hAnsi="Times New Roman"/>
        </w:rPr>
        <w:t>improvements in the</w:t>
      </w:r>
      <w:r w:rsidR="000B04ED">
        <w:rPr>
          <w:rFonts w:ascii="Times New Roman" w:hAnsi="Times New Roman"/>
        </w:rPr>
        <w:t xml:space="preserve"> implementation of the WQS program will not take place. In some cases implementation </w:t>
      </w:r>
      <w:r w:rsidR="009856BA">
        <w:rPr>
          <w:rFonts w:ascii="Times New Roman" w:hAnsi="Times New Roman"/>
        </w:rPr>
        <w:t xml:space="preserve">and control </w:t>
      </w:r>
      <w:r w:rsidR="000B04ED">
        <w:rPr>
          <w:rFonts w:ascii="Times New Roman" w:hAnsi="Times New Roman"/>
        </w:rPr>
        <w:t>steps such as TMDLs and NPDES permits may not be as protective as necessary</w:t>
      </w:r>
      <w:r w:rsidR="009856BA">
        <w:rPr>
          <w:rFonts w:ascii="Times New Roman" w:hAnsi="Times New Roman"/>
        </w:rPr>
        <w:t xml:space="preserve"> under the CWA.</w:t>
      </w:r>
    </w:p>
    <w:p w:rsidR="009E1D15" w:rsidRDefault="009E1D15">
      <w:pPr>
        <w:widowControl/>
        <w:tabs>
          <w:tab w:val="left" w:pos="0"/>
        </w:tabs>
        <w:rPr>
          <w:rFonts w:ascii="Times New Roman" w:hAnsi="Times New Roman"/>
        </w:rPr>
      </w:pPr>
    </w:p>
    <w:p w:rsidR="009E1D15" w:rsidRPr="00DB0434" w:rsidRDefault="009E1D15" w:rsidP="00704F82">
      <w:pPr>
        <w:pStyle w:val="Heading1"/>
      </w:pPr>
      <w:bookmarkStart w:id="7" w:name="_Toc361990601"/>
      <w:r w:rsidRPr="00DB0434">
        <w:t>NON-DUPLICATION, CONSULTATIONS, AND OTHER COLLECTION CRITERIA</w:t>
      </w:r>
      <w:bookmarkEnd w:id="7"/>
    </w:p>
    <w:p w:rsidR="009E1D15" w:rsidRDefault="009E1D15">
      <w:pPr>
        <w:keepNext/>
        <w:keepLines/>
        <w:widowControl/>
        <w:tabs>
          <w:tab w:val="left" w:pos="0"/>
        </w:tabs>
        <w:rPr>
          <w:rFonts w:ascii="Times New Roman" w:hAnsi="Times New Roman"/>
        </w:rPr>
      </w:pPr>
    </w:p>
    <w:p w:rsidR="009E1D15" w:rsidRDefault="00D710D6" w:rsidP="00704F82">
      <w:pPr>
        <w:pStyle w:val="Heading2"/>
      </w:pPr>
      <w:bookmarkStart w:id="8" w:name="_Toc361990602"/>
      <w:r w:rsidRPr="00D710D6">
        <w:t>Non-Duplication</w:t>
      </w:r>
      <w:bookmarkEnd w:id="8"/>
    </w:p>
    <w:p w:rsidR="009E1D15" w:rsidRDefault="009E1D15">
      <w:pPr>
        <w:keepNext/>
        <w:keepLines/>
        <w:widowControl/>
        <w:tabs>
          <w:tab w:val="left" w:pos="0"/>
        </w:tabs>
        <w:rPr>
          <w:rFonts w:ascii="Times New Roman" w:hAnsi="Times New Roman"/>
        </w:rPr>
      </w:pPr>
    </w:p>
    <w:p w:rsidR="009E1D15" w:rsidRDefault="001F2C83" w:rsidP="002244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The information collection requirements outlined in this </w:t>
      </w:r>
      <w:r w:rsidR="00A23938">
        <w:rPr>
          <w:rFonts w:ascii="Times New Roman" w:hAnsi="Times New Roman"/>
        </w:rPr>
        <w:t xml:space="preserve">ICR </w:t>
      </w:r>
      <w:r w:rsidR="00C16ED1">
        <w:rPr>
          <w:rFonts w:ascii="Times New Roman" w:hAnsi="Times New Roman"/>
        </w:rPr>
        <w:t xml:space="preserve">do not duplicate the information collection </w:t>
      </w:r>
      <w:r>
        <w:rPr>
          <w:rFonts w:ascii="Times New Roman" w:hAnsi="Times New Roman"/>
        </w:rPr>
        <w:t>requirements outlined</w:t>
      </w:r>
      <w:r w:rsidR="00C16ED1">
        <w:rPr>
          <w:rFonts w:ascii="Times New Roman" w:hAnsi="Times New Roman"/>
        </w:rPr>
        <w:t xml:space="preserve"> in other ICRs provided by </w:t>
      </w:r>
      <w:r w:rsidR="009E09F0">
        <w:rPr>
          <w:rFonts w:ascii="Times New Roman" w:hAnsi="Times New Roman"/>
        </w:rPr>
        <w:t xml:space="preserve">the </w:t>
      </w:r>
      <w:r w:rsidR="00C16ED1">
        <w:rPr>
          <w:rFonts w:ascii="Times New Roman" w:hAnsi="Times New Roman"/>
        </w:rPr>
        <w:t>EPA</w:t>
      </w:r>
      <w:r w:rsidR="009E1D15">
        <w:rPr>
          <w:rFonts w:ascii="Times New Roman" w:hAnsi="Times New Roman"/>
        </w:rPr>
        <w:t>.</w:t>
      </w:r>
      <w:r w:rsidR="0068763C">
        <w:rPr>
          <w:rFonts w:ascii="Times New Roman" w:hAnsi="Times New Roman"/>
        </w:rPr>
        <w:t xml:space="preserve"> </w:t>
      </w:r>
      <w:r w:rsidR="00C16ED1">
        <w:rPr>
          <w:rFonts w:ascii="Times New Roman" w:hAnsi="Times New Roman"/>
        </w:rPr>
        <w:t>The burden</w:t>
      </w:r>
      <w:r>
        <w:rPr>
          <w:rFonts w:ascii="Times New Roman" w:hAnsi="Times New Roman"/>
        </w:rPr>
        <w:t xml:space="preserve"> and cost</w:t>
      </w:r>
      <w:r w:rsidR="00C16ED1">
        <w:rPr>
          <w:rFonts w:ascii="Times New Roman" w:hAnsi="Times New Roman"/>
        </w:rPr>
        <w:t>s estimated in this ICR are in additi</w:t>
      </w:r>
      <w:r>
        <w:rPr>
          <w:rFonts w:ascii="Times New Roman" w:hAnsi="Times New Roman"/>
        </w:rPr>
        <w:t xml:space="preserve">on to those burdens and costs provided in the ICR entitled </w:t>
      </w:r>
      <w:r w:rsidR="00AF67C1" w:rsidRPr="00EF7337">
        <w:rPr>
          <w:rFonts w:ascii="Times New Roman" w:hAnsi="Times New Roman"/>
          <w:i/>
        </w:rPr>
        <w:t>Water Quality Standards Regulation (Renewal)</w:t>
      </w:r>
      <w:r w:rsidR="00AF67C1" w:rsidRPr="00EF7337">
        <w:rPr>
          <w:rFonts w:ascii="Times New Roman" w:hAnsi="Times New Roman"/>
        </w:rPr>
        <w:t xml:space="preserve"> (EPA ICR Number 0988.11, OMB Control Number 2040</w:t>
      </w:r>
      <w:r w:rsidR="00AF67C1" w:rsidRPr="00EF7337">
        <w:rPr>
          <w:rFonts w:ascii="Times New Roman" w:hAnsi="Times New Roman"/>
        </w:rPr>
        <w:noBreakHyphen/>
        <w:t>0049).</w:t>
      </w:r>
    </w:p>
    <w:p w:rsidR="00DB0434" w:rsidRDefault="00DB0434">
      <w:pPr>
        <w:widowControl/>
        <w:tabs>
          <w:tab w:val="left" w:pos="0"/>
        </w:tabs>
        <w:ind w:firstLine="720"/>
        <w:rPr>
          <w:rFonts w:ascii="Times New Roman" w:hAnsi="Times New Roman"/>
        </w:rPr>
      </w:pPr>
    </w:p>
    <w:p w:rsidR="009E1D15" w:rsidRPr="00D710D6" w:rsidRDefault="00D710D6" w:rsidP="00704F82">
      <w:pPr>
        <w:pStyle w:val="Heading2"/>
      </w:pPr>
      <w:bookmarkStart w:id="9" w:name="_Toc361990603"/>
      <w:r w:rsidRPr="00D710D6">
        <w:t xml:space="preserve">Public Notice Required Prior to </w:t>
      </w:r>
      <w:r w:rsidRPr="00567F32">
        <w:rPr>
          <w:caps/>
        </w:rPr>
        <w:t>Icr</w:t>
      </w:r>
      <w:r w:rsidRPr="00D710D6">
        <w:t xml:space="preserve"> Submission to </w:t>
      </w:r>
      <w:r w:rsidRPr="00DB0434">
        <w:rPr>
          <w:caps/>
        </w:rPr>
        <w:t>Omb</w:t>
      </w:r>
      <w:bookmarkEnd w:id="9"/>
    </w:p>
    <w:p w:rsidR="009E1D15" w:rsidRDefault="009E1D15">
      <w:pPr>
        <w:keepNext/>
        <w:keepLines/>
        <w:widowControl/>
        <w:tabs>
          <w:tab w:val="left" w:pos="0"/>
        </w:tabs>
        <w:rPr>
          <w:rFonts w:ascii="Times New Roman" w:hAnsi="Times New Roman"/>
        </w:rPr>
      </w:pPr>
    </w:p>
    <w:p w:rsidR="009E1D15" w:rsidRDefault="009E1D15">
      <w:pPr>
        <w:keepLines/>
        <w:widowControl/>
        <w:tabs>
          <w:tab w:val="left" w:pos="0"/>
        </w:tabs>
        <w:ind w:firstLine="720"/>
        <w:rPr>
          <w:rFonts w:ascii="Times New Roman" w:hAnsi="Times New Roman"/>
        </w:rPr>
      </w:pPr>
      <w:r>
        <w:rPr>
          <w:rFonts w:ascii="Times New Roman" w:hAnsi="Times New Roman"/>
        </w:rPr>
        <w:t xml:space="preserve">In compliance with the 1995 Paperwork Reduction Act, </w:t>
      </w:r>
      <w:r w:rsidR="009E09F0">
        <w:rPr>
          <w:rFonts w:ascii="Times New Roman" w:hAnsi="Times New Roman"/>
        </w:rPr>
        <w:t xml:space="preserve">the </w:t>
      </w:r>
      <w:r>
        <w:rPr>
          <w:rFonts w:ascii="Times New Roman" w:hAnsi="Times New Roman"/>
        </w:rPr>
        <w:t xml:space="preserve">EPA </w:t>
      </w:r>
      <w:r w:rsidR="009856BA">
        <w:rPr>
          <w:rFonts w:ascii="Times New Roman" w:hAnsi="Times New Roman"/>
        </w:rPr>
        <w:t>is solicit</w:t>
      </w:r>
      <w:r w:rsidR="006E757E">
        <w:rPr>
          <w:rFonts w:ascii="Times New Roman" w:hAnsi="Times New Roman"/>
        </w:rPr>
        <w:t>i</w:t>
      </w:r>
      <w:r w:rsidR="009856BA">
        <w:rPr>
          <w:rFonts w:ascii="Times New Roman" w:hAnsi="Times New Roman"/>
        </w:rPr>
        <w:t xml:space="preserve">ng </w:t>
      </w:r>
      <w:r>
        <w:rPr>
          <w:rFonts w:ascii="Times New Roman" w:hAnsi="Times New Roman"/>
        </w:rPr>
        <w:t xml:space="preserve">comments </w:t>
      </w:r>
      <w:r w:rsidR="009856BA">
        <w:rPr>
          <w:rFonts w:ascii="Times New Roman" w:hAnsi="Times New Roman"/>
        </w:rPr>
        <w:t xml:space="preserve">on this ICR </w:t>
      </w:r>
      <w:r>
        <w:rPr>
          <w:rFonts w:ascii="Times New Roman" w:hAnsi="Times New Roman"/>
        </w:rPr>
        <w:t xml:space="preserve">for </w:t>
      </w:r>
      <w:r w:rsidRPr="003C36C6">
        <w:rPr>
          <w:rFonts w:ascii="Times New Roman" w:hAnsi="Times New Roman"/>
        </w:rPr>
        <w:t xml:space="preserve">a </w:t>
      </w:r>
      <w:r w:rsidR="00AF67C1" w:rsidRPr="003C36C6">
        <w:rPr>
          <w:rFonts w:ascii="Times New Roman" w:hAnsi="Times New Roman"/>
        </w:rPr>
        <w:t>60</w:t>
      </w:r>
      <w:r w:rsidRPr="003C36C6">
        <w:rPr>
          <w:rFonts w:ascii="Times New Roman" w:hAnsi="Times New Roman"/>
        </w:rPr>
        <w:noBreakHyphen/>
      </w:r>
      <w:r>
        <w:rPr>
          <w:rFonts w:ascii="Times New Roman" w:hAnsi="Times New Roman"/>
        </w:rPr>
        <w:t xml:space="preserve">day period </w:t>
      </w:r>
      <w:r w:rsidR="009856BA">
        <w:rPr>
          <w:rFonts w:ascii="Times New Roman" w:hAnsi="Times New Roman"/>
        </w:rPr>
        <w:t>concurrently with the comment period for the proposed WQS Regulatory Clarifications Rule.</w:t>
      </w:r>
      <w:r w:rsidR="0068763C">
        <w:rPr>
          <w:rFonts w:ascii="Times New Roman" w:hAnsi="Times New Roman"/>
        </w:rPr>
        <w:t xml:space="preserve"> </w:t>
      </w:r>
      <w:r w:rsidR="009856BA">
        <w:rPr>
          <w:rFonts w:ascii="Times New Roman" w:hAnsi="Times New Roman"/>
        </w:rPr>
        <w:t xml:space="preserve">Before finalizing the rule, </w:t>
      </w:r>
      <w:r w:rsidR="009E09F0">
        <w:rPr>
          <w:rFonts w:ascii="Times New Roman" w:hAnsi="Times New Roman"/>
        </w:rPr>
        <w:t xml:space="preserve">the </w:t>
      </w:r>
      <w:r w:rsidR="009856BA">
        <w:rPr>
          <w:rFonts w:ascii="Times New Roman" w:hAnsi="Times New Roman"/>
        </w:rPr>
        <w:t xml:space="preserve">EPA will submit the revised ICR </w:t>
      </w:r>
      <w:r>
        <w:rPr>
          <w:rFonts w:ascii="Times New Roman" w:hAnsi="Times New Roman"/>
        </w:rPr>
        <w:t xml:space="preserve">to OMB. </w:t>
      </w:r>
    </w:p>
    <w:p w:rsidR="009E1D15" w:rsidRDefault="009E1D15">
      <w:pPr>
        <w:widowControl/>
        <w:tabs>
          <w:tab w:val="left" w:pos="0"/>
        </w:tabs>
        <w:rPr>
          <w:rFonts w:ascii="Times New Roman" w:hAnsi="Times New Roman"/>
        </w:rPr>
      </w:pPr>
    </w:p>
    <w:p w:rsidR="009E1D15" w:rsidRDefault="00D710D6" w:rsidP="00704F82">
      <w:pPr>
        <w:pStyle w:val="Heading2"/>
      </w:pPr>
      <w:bookmarkStart w:id="10" w:name="_Toc361990604"/>
      <w:r w:rsidRPr="00D710D6">
        <w:t>Consultations</w:t>
      </w:r>
      <w:bookmarkEnd w:id="10"/>
    </w:p>
    <w:p w:rsidR="009E1D15" w:rsidRDefault="009E1D15">
      <w:pPr>
        <w:widowControl/>
        <w:tabs>
          <w:tab w:val="left" w:pos="0"/>
        </w:tabs>
        <w:rPr>
          <w:rFonts w:ascii="Times New Roman" w:hAnsi="Times New Roman"/>
        </w:rPr>
      </w:pPr>
    </w:p>
    <w:p w:rsidR="000D7928" w:rsidRPr="000D7928" w:rsidRDefault="00FC0F24" w:rsidP="000D7928">
      <w:pPr>
        <w:spacing w:after="200"/>
        <w:ind w:firstLine="720"/>
        <w:rPr>
          <w:rFonts w:ascii="Times New Roman" w:hAnsi="Times New Roman"/>
          <w:color w:val="000000"/>
          <w:szCs w:val="20"/>
        </w:rPr>
      </w:pPr>
      <w:r>
        <w:rPr>
          <w:rFonts w:ascii="Times New Roman" w:hAnsi="Times New Roman"/>
        </w:rPr>
        <w:t xml:space="preserve">In developing the WQS Regulatory Clarifications Rule, </w:t>
      </w:r>
      <w:r w:rsidR="009E09F0">
        <w:rPr>
          <w:rFonts w:ascii="Times New Roman" w:hAnsi="Times New Roman"/>
        </w:rPr>
        <w:t xml:space="preserve">the </w:t>
      </w:r>
      <w:r w:rsidR="009E1D15" w:rsidRPr="000D7928">
        <w:rPr>
          <w:rFonts w:ascii="Times New Roman" w:hAnsi="Times New Roman"/>
        </w:rPr>
        <w:t>EPA made a substantial</w:t>
      </w:r>
      <w:r w:rsidR="005F5BCC" w:rsidRPr="000D7928">
        <w:rPr>
          <w:rFonts w:ascii="Times New Roman" w:hAnsi="Times New Roman"/>
        </w:rPr>
        <w:t xml:space="preserve"> effort to involve the public</w:t>
      </w:r>
      <w:r w:rsidR="000D7928" w:rsidRPr="000D7928">
        <w:rPr>
          <w:rFonts w:ascii="Times New Roman" w:hAnsi="Times New Roman"/>
        </w:rPr>
        <w:t>.</w:t>
      </w:r>
      <w:r w:rsidR="0068763C">
        <w:rPr>
          <w:rFonts w:ascii="Times New Roman" w:hAnsi="Times New Roman"/>
        </w:rPr>
        <w:t xml:space="preserve"> </w:t>
      </w:r>
      <w:r w:rsidR="009E09F0">
        <w:rPr>
          <w:rFonts w:ascii="Times New Roman" w:hAnsi="Times New Roman"/>
        </w:rPr>
        <w:t xml:space="preserve">The </w:t>
      </w:r>
      <w:r w:rsidR="000D7928" w:rsidRPr="000D7928">
        <w:rPr>
          <w:rFonts w:ascii="Times New Roman" w:hAnsi="Times New Roman"/>
          <w:color w:val="000000"/>
          <w:szCs w:val="20"/>
        </w:rPr>
        <w:t>EPA had numerous ongoing discussions with state and tribal partners and other stakeholders between 2008 and 2010.</w:t>
      </w:r>
      <w:r w:rsidR="0068763C">
        <w:rPr>
          <w:rFonts w:ascii="Times New Roman" w:hAnsi="Times New Roman"/>
          <w:color w:val="000000"/>
          <w:szCs w:val="20"/>
        </w:rPr>
        <w:t xml:space="preserve"> </w:t>
      </w:r>
      <w:r w:rsidR="000D7928" w:rsidRPr="000D7928">
        <w:rPr>
          <w:rFonts w:ascii="Times New Roman" w:hAnsi="Times New Roman"/>
          <w:color w:val="000000"/>
          <w:szCs w:val="20"/>
        </w:rPr>
        <w:t xml:space="preserve">Between March 2009 and September 2010, </w:t>
      </w:r>
      <w:r w:rsidR="009E09F0">
        <w:rPr>
          <w:rFonts w:ascii="Times New Roman" w:hAnsi="Times New Roman"/>
          <w:color w:val="000000"/>
          <w:szCs w:val="20"/>
        </w:rPr>
        <w:t xml:space="preserve">the </w:t>
      </w:r>
      <w:r w:rsidR="000D7928" w:rsidRPr="000D7928">
        <w:rPr>
          <w:rFonts w:ascii="Times New Roman" w:hAnsi="Times New Roman"/>
          <w:color w:val="000000"/>
          <w:szCs w:val="20"/>
        </w:rPr>
        <w:t xml:space="preserve">EPA participated in more than ten discussions with states on antidegradation issues through </w:t>
      </w:r>
      <w:r w:rsidR="00DD56F0">
        <w:rPr>
          <w:rFonts w:ascii="Times New Roman" w:hAnsi="Times New Roman"/>
          <w:color w:val="000000"/>
          <w:szCs w:val="20"/>
        </w:rPr>
        <w:t>Water Environment Federation’s (</w:t>
      </w:r>
      <w:r w:rsidR="000D7928" w:rsidRPr="000D7928">
        <w:rPr>
          <w:rFonts w:ascii="Times New Roman" w:hAnsi="Times New Roman"/>
          <w:color w:val="000000"/>
          <w:szCs w:val="20"/>
        </w:rPr>
        <w:t>WEF’s</w:t>
      </w:r>
      <w:r w:rsidR="00DD56F0">
        <w:rPr>
          <w:rFonts w:ascii="Times New Roman" w:hAnsi="Times New Roman"/>
          <w:color w:val="000000"/>
          <w:szCs w:val="20"/>
        </w:rPr>
        <w:t>)</w:t>
      </w:r>
      <w:r w:rsidR="000D7928" w:rsidRPr="000D7928">
        <w:rPr>
          <w:rFonts w:ascii="Times New Roman" w:hAnsi="Times New Roman"/>
          <w:color w:val="000000"/>
          <w:szCs w:val="20"/>
        </w:rPr>
        <w:t xml:space="preserve"> Water Quality Standards Communication Forum (</w:t>
      </w:r>
      <w:r>
        <w:rPr>
          <w:rFonts w:ascii="Times New Roman" w:hAnsi="Times New Roman"/>
          <w:color w:val="000000"/>
          <w:szCs w:val="20"/>
        </w:rPr>
        <w:t xml:space="preserve">with representation </w:t>
      </w:r>
      <w:r w:rsidR="000D7928" w:rsidRPr="000D7928">
        <w:rPr>
          <w:rFonts w:ascii="Times New Roman" w:hAnsi="Times New Roman"/>
          <w:color w:val="000000"/>
          <w:szCs w:val="20"/>
        </w:rPr>
        <w:t xml:space="preserve">by ten states and </w:t>
      </w:r>
      <w:r w:rsidR="00DD56F0">
        <w:rPr>
          <w:rFonts w:ascii="Times New Roman" w:hAnsi="Times New Roman"/>
          <w:color w:val="000000"/>
          <w:szCs w:val="20"/>
        </w:rPr>
        <w:t>the Ohio River Valley Water Sanitation Commission (</w:t>
      </w:r>
      <w:r w:rsidR="000D7928" w:rsidRPr="000D7928">
        <w:rPr>
          <w:rFonts w:ascii="Times New Roman" w:hAnsi="Times New Roman"/>
          <w:color w:val="000000"/>
          <w:szCs w:val="20"/>
        </w:rPr>
        <w:t>ORSANCO)</w:t>
      </w:r>
      <w:r w:rsidR="00DD56F0">
        <w:rPr>
          <w:rFonts w:ascii="Times New Roman" w:hAnsi="Times New Roman"/>
          <w:color w:val="000000"/>
          <w:szCs w:val="20"/>
        </w:rPr>
        <w:t>)</w:t>
      </w:r>
      <w:r w:rsidR="000D7928" w:rsidRPr="000D7928">
        <w:rPr>
          <w:rFonts w:ascii="Times New Roman" w:hAnsi="Times New Roman"/>
          <w:color w:val="000000"/>
          <w:szCs w:val="20"/>
        </w:rPr>
        <w:t>.</w:t>
      </w:r>
      <w:r w:rsidR="0068763C">
        <w:rPr>
          <w:rFonts w:ascii="Times New Roman" w:hAnsi="Times New Roman"/>
          <w:color w:val="000000"/>
          <w:szCs w:val="20"/>
        </w:rPr>
        <w:t xml:space="preserve"> </w:t>
      </w:r>
      <w:r w:rsidR="009E09F0">
        <w:rPr>
          <w:rFonts w:ascii="Times New Roman" w:hAnsi="Times New Roman"/>
          <w:color w:val="000000"/>
          <w:szCs w:val="20"/>
        </w:rPr>
        <w:t xml:space="preserve">The </w:t>
      </w:r>
      <w:r w:rsidR="000D7928" w:rsidRPr="000D7928">
        <w:rPr>
          <w:rFonts w:ascii="Times New Roman" w:hAnsi="Times New Roman"/>
          <w:color w:val="000000"/>
          <w:szCs w:val="20"/>
        </w:rPr>
        <w:t>EPA also participated in two face-to-face meetings that focused heavily on antidegra</w:t>
      </w:r>
      <w:r w:rsidR="00820637">
        <w:rPr>
          <w:rFonts w:ascii="Times New Roman" w:hAnsi="Times New Roman"/>
          <w:color w:val="000000"/>
          <w:szCs w:val="20"/>
        </w:rPr>
        <w:t>da</w:t>
      </w:r>
      <w:r w:rsidR="000D7928" w:rsidRPr="000D7928">
        <w:rPr>
          <w:rFonts w:ascii="Times New Roman" w:hAnsi="Times New Roman"/>
          <w:color w:val="000000"/>
          <w:szCs w:val="20"/>
        </w:rPr>
        <w:t>tion.</w:t>
      </w:r>
      <w:r w:rsidR="0068763C">
        <w:rPr>
          <w:rFonts w:ascii="Times New Roman" w:hAnsi="Times New Roman"/>
          <w:color w:val="000000"/>
          <w:szCs w:val="20"/>
        </w:rPr>
        <w:t xml:space="preserve"> </w:t>
      </w:r>
      <w:r w:rsidR="000D7928" w:rsidRPr="000D7928">
        <w:rPr>
          <w:rFonts w:ascii="Times New Roman" w:hAnsi="Times New Roman"/>
          <w:color w:val="000000"/>
          <w:szCs w:val="20"/>
        </w:rPr>
        <w:t xml:space="preserve">Early feedback received during these meetings helped to inform </w:t>
      </w:r>
      <w:r w:rsidR="009E09F0">
        <w:rPr>
          <w:rFonts w:ascii="Times New Roman" w:hAnsi="Times New Roman"/>
          <w:color w:val="000000"/>
          <w:szCs w:val="20"/>
        </w:rPr>
        <w:t xml:space="preserve">the </w:t>
      </w:r>
      <w:r w:rsidR="000D7928" w:rsidRPr="000D7928">
        <w:rPr>
          <w:rFonts w:ascii="Times New Roman" w:hAnsi="Times New Roman"/>
          <w:color w:val="000000"/>
          <w:szCs w:val="20"/>
        </w:rPr>
        <w:t>EPA’s initial thinking on the potential regulatory clarifications.</w:t>
      </w:r>
    </w:p>
    <w:p w:rsidR="000D7928" w:rsidRPr="000D7928" w:rsidRDefault="000D7928" w:rsidP="000D7928">
      <w:pPr>
        <w:spacing w:after="200"/>
        <w:ind w:firstLine="720"/>
        <w:rPr>
          <w:rFonts w:ascii="Times New Roman" w:hAnsi="Times New Roman"/>
          <w:color w:val="000000"/>
          <w:szCs w:val="20"/>
        </w:rPr>
      </w:pPr>
      <w:r w:rsidRPr="000D7928">
        <w:rPr>
          <w:rFonts w:ascii="Times New Roman" w:hAnsi="Times New Roman"/>
          <w:bCs/>
        </w:rPr>
        <w:t xml:space="preserve">Additionally, </w:t>
      </w:r>
      <w:r w:rsidR="009E09F0">
        <w:rPr>
          <w:rFonts w:ascii="Times New Roman" w:hAnsi="Times New Roman"/>
          <w:bCs/>
        </w:rPr>
        <w:t xml:space="preserve">the </w:t>
      </w:r>
      <w:r w:rsidRPr="000D7928">
        <w:rPr>
          <w:rFonts w:ascii="Times New Roman" w:hAnsi="Times New Roman"/>
          <w:bCs/>
        </w:rPr>
        <w:t>EPA held a series of listening sessions in August 2010 for states, tribes, and the general public.</w:t>
      </w:r>
      <w:r w:rsidR="0068763C">
        <w:rPr>
          <w:rFonts w:ascii="Times New Roman" w:hAnsi="Times New Roman"/>
          <w:bCs/>
        </w:rPr>
        <w:t xml:space="preserve"> </w:t>
      </w:r>
      <w:r w:rsidRPr="000D7928">
        <w:rPr>
          <w:rFonts w:ascii="Times New Roman" w:hAnsi="Times New Roman"/>
          <w:bCs/>
        </w:rPr>
        <w:t xml:space="preserve">The goal of these listening sessions was to provide an overview of </w:t>
      </w:r>
      <w:r w:rsidR="009E09F0">
        <w:rPr>
          <w:rFonts w:ascii="Times New Roman" w:hAnsi="Times New Roman"/>
          <w:bCs/>
        </w:rPr>
        <w:t xml:space="preserve">the </w:t>
      </w:r>
      <w:r w:rsidRPr="000D7928">
        <w:rPr>
          <w:rFonts w:ascii="Times New Roman" w:hAnsi="Times New Roman"/>
          <w:bCs/>
        </w:rPr>
        <w:t>EPA’s preliminary thinking on the potential regulatory clarifications, receive feedback, and respond to questions.</w:t>
      </w:r>
      <w:r w:rsidR="0068763C">
        <w:rPr>
          <w:rFonts w:ascii="Times New Roman" w:hAnsi="Times New Roman"/>
          <w:bCs/>
        </w:rPr>
        <w:t xml:space="preserve"> </w:t>
      </w:r>
      <w:r w:rsidRPr="000D7928">
        <w:rPr>
          <w:rFonts w:ascii="Times New Roman" w:hAnsi="Times New Roman"/>
          <w:bCs/>
        </w:rPr>
        <w:t>Approximately 40 states, 81 tribes, and 665 members of the general public participated in these sessions.</w:t>
      </w:r>
      <w:r w:rsidR="0068763C">
        <w:rPr>
          <w:rFonts w:ascii="Times New Roman" w:hAnsi="Times New Roman"/>
          <w:bCs/>
        </w:rPr>
        <w:t xml:space="preserve"> </w:t>
      </w:r>
      <w:r w:rsidR="009E09F0">
        <w:rPr>
          <w:rFonts w:ascii="Times New Roman" w:hAnsi="Times New Roman"/>
          <w:bCs/>
        </w:rPr>
        <w:t xml:space="preserve">The </w:t>
      </w:r>
      <w:r w:rsidRPr="000D7928">
        <w:rPr>
          <w:rFonts w:ascii="Times New Roman" w:hAnsi="Times New Roman"/>
          <w:color w:val="000000"/>
          <w:szCs w:val="20"/>
        </w:rPr>
        <w:t>EPA also hosted a face-to-face meeting in September 2010 under E.O. 13132 (Federalism consultation) with 13 intergovernmental participants representing state and local governments, to discuss the potential regulatory clarifications and respond to questions.</w:t>
      </w:r>
    </w:p>
    <w:p w:rsidR="009E1D15" w:rsidRPr="000D7928" w:rsidRDefault="009E09F0" w:rsidP="000D7928">
      <w:pPr>
        <w:spacing w:after="200"/>
        <w:ind w:firstLine="720"/>
        <w:rPr>
          <w:rFonts w:ascii="Times New Roman" w:hAnsi="Times New Roman"/>
          <w:color w:val="000000"/>
          <w:szCs w:val="20"/>
        </w:rPr>
      </w:pPr>
      <w:r>
        <w:rPr>
          <w:rFonts w:ascii="Times New Roman" w:hAnsi="Times New Roman"/>
          <w:color w:val="000000"/>
          <w:szCs w:val="20"/>
        </w:rPr>
        <w:t xml:space="preserve">The </w:t>
      </w:r>
      <w:r w:rsidR="000D7928">
        <w:rPr>
          <w:rFonts w:ascii="Times New Roman" w:hAnsi="Times New Roman"/>
          <w:color w:val="000000"/>
          <w:szCs w:val="20"/>
        </w:rPr>
        <w:t xml:space="preserve">EPA has </w:t>
      </w:r>
      <w:r w:rsidR="000D7928" w:rsidRPr="000D7928">
        <w:rPr>
          <w:rFonts w:ascii="Times New Roman" w:hAnsi="Times New Roman"/>
          <w:color w:val="000000"/>
          <w:szCs w:val="20"/>
        </w:rPr>
        <w:t xml:space="preserve">continued to provide multiple updates for states through the Water Quality Standards Managers Association (on which 9 states are represented), as well as </w:t>
      </w:r>
      <w:r w:rsidR="00DD56F0">
        <w:rPr>
          <w:rFonts w:ascii="Times New Roman" w:hAnsi="Times New Roman"/>
          <w:color w:val="000000"/>
          <w:szCs w:val="20"/>
        </w:rPr>
        <w:t>through the Association of Clean Water Administrator’s (ACWA’s)</w:t>
      </w:r>
      <w:r w:rsidR="000D7928" w:rsidRPr="000D7928">
        <w:rPr>
          <w:rFonts w:ascii="Times New Roman" w:hAnsi="Times New Roman"/>
          <w:color w:val="000000"/>
          <w:szCs w:val="20"/>
        </w:rPr>
        <w:t xml:space="preserve"> </w:t>
      </w:r>
      <w:r w:rsidR="003C36C6" w:rsidRPr="003C36C6">
        <w:rPr>
          <w:rFonts w:ascii="Times New Roman" w:hAnsi="Times New Roman"/>
          <w:color w:val="000000"/>
          <w:szCs w:val="20"/>
        </w:rPr>
        <w:t>Monitoring, Standards, and Assessment Committee</w:t>
      </w:r>
      <w:r w:rsidR="003C36C6">
        <w:rPr>
          <w:rFonts w:ascii="Times New Roman" w:hAnsi="Times New Roman"/>
          <w:color w:val="000000"/>
          <w:szCs w:val="20"/>
        </w:rPr>
        <w:t xml:space="preserve"> </w:t>
      </w:r>
      <w:r w:rsidR="000D7928" w:rsidRPr="000D7928">
        <w:rPr>
          <w:rFonts w:ascii="Times New Roman" w:hAnsi="Times New Roman"/>
          <w:color w:val="000000"/>
          <w:szCs w:val="20"/>
        </w:rPr>
        <w:t>conference calls</w:t>
      </w:r>
      <w:r w:rsidR="00287779" w:rsidRPr="00687CD3">
        <w:rPr>
          <w:rFonts w:ascii="Times New Roman" w:hAnsi="Times New Roman"/>
          <w:vertAlign w:val="superscript"/>
        </w:rPr>
        <w:footnoteReference w:id="2"/>
      </w:r>
      <w:r w:rsidR="000D7928" w:rsidRPr="000D7928">
        <w:rPr>
          <w:rFonts w:ascii="Times New Roman" w:hAnsi="Times New Roman"/>
          <w:color w:val="000000"/>
          <w:szCs w:val="20"/>
        </w:rPr>
        <w:t>.</w:t>
      </w:r>
      <w:r w:rsidR="0068763C">
        <w:rPr>
          <w:rFonts w:ascii="Times New Roman" w:hAnsi="Times New Roman"/>
          <w:color w:val="000000"/>
          <w:szCs w:val="20"/>
        </w:rPr>
        <w:t xml:space="preserve"> </w:t>
      </w:r>
      <w:r w:rsidR="000D7928" w:rsidRPr="000D7928">
        <w:rPr>
          <w:rFonts w:ascii="Times New Roman" w:hAnsi="Times New Roman"/>
          <w:color w:val="000000"/>
          <w:szCs w:val="20"/>
        </w:rPr>
        <w:t xml:space="preserve">In addition, </w:t>
      </w:r>
      <w:r>
        <w:rPr>
          <w:rFonts w:ascii="Times New Roman" w:hAnsi="Times New Roman"/>
          <w:color w:val="000000"/>
          <w:szCs w:val="20"/>
        </w:rPr>
        <w:t xml:space="preserve">the </w:t>
      </w:r>
      <w:r w:rsidR="000D7928" w:rsidRPr="000D7928">
        <w:rPr>
          <w:rFonts w:ascii="Times New Roman" w:hAnsi="Times New Roman"/>
          <w:color w:val="000000"/>
          <w:szCs w:val="20"/>
        </w:rPr>
        <w:t xml:space="preserve">EPA has honored </w:t>
      </w:r>
      <w:r w:rsidR="000D7928">
        <w:rPr>
          <w:rFonts w:ascii="Times New Roman" w:hAnsi="Times New Roman"/>
          <w:color w:val="000000"/>
          <w:szCs w:val="20"/>
        </w:rPr>
        <w:t xml:space="preserve">all </w:t>
      </w:r>
      <w:r w:rsidR="000D7928" w:rsidRPr="000D7928">
        <w:rPr>
          <w:rFonts w:ascii="Times New Roman" w:hAnsi="Times New Roman"/>
          <w:color w:val="000000"/>
          <w:szCs w:val="20"/>
        </w:rPr>
        <w:t>requests for face-to-face discuss</w:t>
      </w:r>
      <w:r w:rsidR="000D7928">
        <w:rPr>
          <w:rFonts w:ascii="Times New Roman" w:hAnsi="Times New Roman"/>
          <w:color w:val="000000"/>
          <w:szCs w:val="20"/>
        </w:rPr>
        <w:t>ions from stakeholder groups</w:t>
      </w:r>
      <w:r w:rsidR="000D7928" w:rsidRPr="000D7928">
        <w:rPr>
          <w:rFonts w:ascii="Times New Roman" w:hAnsi="Times New Roman"/>
          <w:color w:val="000000"/>
          <w:szCs w:val="20"/>
        </w:rPr>
        <w:t>.</w:t>
      </w:r>
    </w:p>
    <w:p w:rsidR="009E1D15" w:rsidRPr="00D710D6" w:rsidRDefault="00D710D6" w:rsidP="00704F82">
      <w:pPr>
        <w:pStyle w:val="Heading2"/>
      </w:pPr>
      <w:bookmarkStart w:id="11" w:name="_Toc361990605"/>
      <w:r w:rsidRPr="00D710D6">
        <w:t>Effects of Less Frequent Collection</w:t>
      </w:r>
      <w:bookmarkEnd w:id="11"/>
    </w:p>
    <w:p w:rsidR="009E1D15" w:rsidRDefault="009E1D15">
      <w:pPr>
        <w:widowControl/>
        <w:tabs>
          <w:tab w:val="left" w:pos="0"/>
        </w:tabs>
        <w:rPr>
          <w:rFonts w:ascii="Times New Roman" w:hAnsi="Times New Roman"/>
        </w:rPr>
      </w:pPr>
    </w:p>
    <w:p w:rsidR="009E1D15" w:rsidRDefault="009E1D15">
      <w:pPr>
        <w:widowControl/>
        <w:tabs>
          <w:tab w:val="left" w:pos="0"/>
        </w:tabs>
        <w:ind w:firstLine="720"/>
        <w:rPr>
          <w:rFonts w:ascii="Times New Roman" w:hAnsi="Times New Roman"/>
        </w:rPr>
      </w:pPr>
      <w:r>
        <w:rPr>
          <w:rFonts w:ascii="Times New Roman" w:hAnsi="Times New Roman"/>
        </w:rPr>
        <w:t xml:space="preserve">The information collection schedule is pursuant to the mandates of Section 303(c) of the CWA for </w:t>
      </w:r>
      <w:r w:rsidR="00CD4947">
        <w:rPr>
          <w:rFonts w:ascii="Times New Roman" w:hAnsi="Times New Roman"/>
        </w:rPr>
        <w:t>s</w:t>
      </w:r>
      <w:r>
        <w:rPr>
          <w:rFonts w:ascii="Times New Roman" w:hAnsi="Times New Roman"/>
        </w:rPr>
        <w:t xml:space="preserve">tates and </w:t>
      </w:r>
      <w:r w:rsidR="00CD4947">
        <w:rPr>
          <w:rFonts w:ascii="Times New Roman" w:hAnsi="Times New Roman"/>
        </w:rPr>
        <w:t>t</w:t>
      </w:r>
      <w:r>
        <w:rPr>
          <w:rFonts w:ascii="Times New Roman" w:hAnsi="Times New Roman"/>
        </w:rPr>
        <w:t xml:space="preserve">ribes to review their </w:t>
      </w:r>
      <w:r w:rsidR="00E03559">
        <w:rPr>
          <w:rFonts w:ascii="Times New Roman" w:hAnsi="Times New Roman"/>
        </w:rPr>
        <w:t>WQS</w:t>
      </w:r>
      <w:r>
        <w:rPr>
          <w:rFonts w:ascii="Times New Roman" w:hAnsi="Times New Roman"/>
        </w:rPr>
        <w:t xml:space="preserve"> once every three years and thus is not adjustable by the EPA.</w:t>
      </w:r>
      <w:r w:rsidR="0068763C">
        <w:rPr>
          <w:rFonts w:ascii="Times New Roman" w:hAnsi="Times New Roman"/>
        </w:rPr>
        <w:t xml:space="preserve"> </w:t>
      </w:r>
      <w:r>
        <w:rPr>
          <w:rFonts w:ascii="Times New Roman" w:hAnsi="Times New Roman"/>
        </w:rPr>
        <w:t xml:space="preserve">Additionally, if </w:t>
      </w:r>
      <w:r w:rsidR="00E03559">
        <w:rPr>
          <w:rFonts w:ascii="Times New Roman" w:hAnsi="Times New Roman"/>
        </w:rPr>
        <w:t>WQS</w:t>
      </w:r>
      <w:r>
        <w:rPr>
          <w:rFonts w:ascii="Times New Roman" w:hAnsi="Times New Roman"/>
        </w:rPr>
        <w:t xml:space="preserve"> were reviewed less frequently, they would be more likely to be based on out</w:t>
      </w:r>
      <w:r>
        <w:rPr>
          <w:rFonts w:ascii="Times New Roman" w:hAnsi="Times New Roman"/>
        </w:rPr>
        <w:noBreakHyphen/>
        <w:t>of</w:t>
      </w:r>
      <w:r>
        <w:rPr>
          <w:rFonts w:ascii="Times New Roman" w:hAnsi="Times New Roman"/>
        </w:rPr>
        <w:noBreakHyphen/>
        <w:t>date information regarding existing stream uses, attainability of designated uses, pollutants of concern, and appropriate water quality criteria values.</w:t>
      </w:r>
      <w:r w:rsidR="0068763C">
        <w:rPr>
          <w:rFonts w:ascii="Times New Roman" w:hAnsi="Times New Roman"/>
        </w:rPr>
        <w:t xml:space="preserve"> </w:t>
      </w:r>
      <w:r>
        <w:rPr>
          <w:rFonts w:ascii="Times New Roman" w:hAnsi="Times New Roman"/>
        </w:rPr>
        <w:t>A triennial review cycle ensures that the latest scientific and other information are reflected in the standards.</w:t>
      </w:r>
    </w:p>
    <w:p w:rsidR="004D55F3" w:rsidRDefault="004D55F3">
      <w:pPr>
        <w:widowControl/>
        <w:tabs>
          <w:tab w:val="left" w:pos="0"/>
        </w:tabs>
        <w:rPr>
          <w:rFonts w:ascii="Times New Roman" w:hAnsi="Times New Roman"/>
        </w:rPr>
      </w:pPr>
    </w:p>
    <w:p w:rsidR="009E1D15" w:rsidRDefault="00D710D6" w:rsidP="00704F82">
      <w:pPr>
        <w:pStyle w:val="Heading2"/>
      </w:pPr>
      <w:bookmarkStart w:id="12" w:name="_Toc361990606"/>
      <w:r w:rsidRPr="00D710D6">
        <w:t>General Guidelines</w:t>
      </w:r>
      <w:bookmarkEnd w:id="12"/>
    </w:p>
    <w:p w:rsidR="009E1D15" w:rsidRDefault="009E1D15">
      <w:pPr>
        <w:widowControl/>
        <w:tabs>
          <w:tab w:val="left" w:pos="0"/>
        </w:tabs>
        <w:rPr>
          <w:rFonts w:ascii="Times New Roman" w:hAnsi="Times New Roman"/>
        </w:rPr>
      </w:pPr>
    </w:p>
    <w:p w:rsidR="009E1D15" w:rsidRPr="009460E1" w:rsidRDefault="009E09F0" w:rsidP="009460E1">
      <w:pPr>
        <w:widowControl/>
        <w:tabs>
          <w:tab w:val="left" w:pos="0"/>
        </w:tabs>
        <w:ind w:firstLine="720"/>
        <w:rPr>
          <w:rFonts w:ascii="Times New Roman" w:hAnsi="Times New Roman"/>
        </w:rPr>
      </w:pPr>
      <w:r>
        <w:rPr>
          <w:rFonts w:ascii="Times New Roman" w:hAnsi="Times New Roman"/>
        </w:rPr>
        <w:t xml:space="preserve">The </w:t>
      </w:r>
      <w:r w:rsidR="009460E1" w:rsidRPr="009460E1">
        <w:rPr>
          <w:rFonts w:ascii="Times New Roman" w:hAnsi="Times New Roman"/>
        </w:rPr>
        <w:t>EPA reviewed this ICR</w:t>
      </w:r>
      <w:r w:rsidR="006853C9">
        <w:rPr>
          <w:rFonts w:ascii="Times New Roman" w:hAnsi="Times New Roman"/>
        </w:rPr>
        <w:t xml:space="preserve"> for</w:t>
      </w:r>
      <w:r w:rsidR="009460E1" w:rsidRPr="009460E1">
        <w:rPr>
          <w:rFonts w:ascii="Times New Roman" w:hAnsi="Times New Roman"/>
        </w:rPr>
        <w:t xml:space="preserve"> compliance with OMB’s information collection guidelines in 5 CFR 1320.5(d)(2)</w:t>
      </w:r>
      <w:r w:rsidR="00E81D62">
        <w:rPr>
          <w:rFonts w:ascii="Times New Roman" w:hAnsi="Times New Roman"/>
        </w:rPr>
        <w:t xml:space="preserve"> and concluded it is in compliance.</w:t>
      </w:r>
    </w:p>
    <w:p w:rsidR="00567F32" w:rsidRDefault="00567F32">
      <w:pPr>
        <w:widowControl/>
        <w:tabs>
          <w:tab w:val="left" w:pos="0"/>
        </w:tabs>
        <w:rPr>
          <w:rFonts w:ascii="Times New Roman" w:hAnsi="Times New Roman"/>
        </w:rPr>
      </w:pPr>
    </w:p>
    <w:p w:rsidR="009E1D15" w:rsidRPr="00D710D6" w:rsidRDefault="00D710D6" w:rsidP="00704F82">
      <w:pPr>
        <w:pStyle w:val="Heading2"/>
      </w:pPr>
      <w:bookmarkStart w:id="13" w:name="_Toc361990607"/>
      <w:r w:rsidRPr="00D710D6">
        <w:t>Confidentiality And Sensitive Questions</w:t>
      </w:r>
      <w:bookmarkEnd w:id="13"/>
    </w:p>
    <w:p w:rsidR="009E1D15" w:rsidRDefault="009E1D15">
      <w:pPr>
        <w:widowControl/>
        <w:tabs>
          <w:tab w:val="left" w:pos="0"/>
        </w:tabs>
        <w:rPr>
          <w:rFonts w:ascii="Times New Roman" w:hAnsi="Times New Roman"/>
        </w:rPr>
      </w:pPr>
    </w:p>
    <w:p w:rsidR="009E1D15" w:rsidRDefault="009E1D15">
      <w:pPr>
        <w:widowControl/>
        <w:tabs>
          <w:tab w:val="left" w:pos="0"/>
        </w:tabs>
        <w:ind w:firstLine="720"/>
        <w:rPr>
          <w:rFonts w:ascii="Times New Roman" w:hAnsi="Times New Roman"/>
        </w:rPr>
      </w:pPr>
      <w:r>
        <w:rPr>
          <w:rFonts w:ascii="Times New Roman" w:hAnsi="Times New Roman"/>
        </w:rPr>
        <w:t xml:space="preserve">State and </w:t>
      </w:r>
      <w:r w:rsidR="00CD4947">
        <w:rPr>
          <w:rFonts w:ascii="Times New Roman" w:hAnsi="Times New Roman"/>
        </w:rPr>
        <w:t>t</w:t>
      </w:r>
      <w:r>
        <w:rPr>
          <w:rFonts w:ascii="Times New Roman" w:hAnsi="Times New Roman"/>
        </w:rPr>
        <w:t>ribal submissions under this ICR will contain no confidential or sensitive information.</w:t>
      </w:r>
    </w:p>
    <w:p w:rsidR="00C375A0" w:rsidRDefault="00C375A0">
      <w:pPr>
        <w:keepNext/>
        <w:keepLines/>
        <w:widowControl/>
        <w:tabs>
          <w:tab w:val="left" w:pos="0"/>
        </w:tabs>
        <w:rPr>
          <w:rFonts w:ascii="Times New Roman" w:hAnsi="Times New Roman"/>
          <w:b/>
          <w:color w:val="000000"/>
        </w:rPr>
      </w:pPr>
    </w:p>
    <w:p w:rsidR="009E1D15" w:rsidRPr="00F13C69" w:rsidRDefault="009E1D15" w:rsidP="00704F82">
      <w:pPr>
        <w:pStyle w:val="Heading1"/>
      </w:pPr>
      <w:bookmarkStart w:id="14" w:name="_Toc361990608"/>
      <w:r w:rsidRPr="00F13C69">
        <w:t>THE RESPONDENTS AND THE INFORMATION REQUESTED</w:t>
      </w:r>
      <w:bookmarkEnd w:id="14"/>
    </w:p>
    <w:p w:rsidR="009E1D15" w:rsidRDefault="009E1D15">
      <w:pPr>
        <w:keepNext/>
        <w:keepLines/>
        <w:widowControl/>
        <w:tabs>
          <w:tab w:val="left" w:pos="0"/>
        </w:tabs>
        <w:rPr>
          <w:rFonts w:ascii="Times New Roman" w:hAnsi="Times New Roman"/>
          <w:color w:val="000000"/>
        </w:rPr>
      </w:pPr>
    </w:p>
    <w:p w:rsidR="009E1D15" w:rsidRDefault="002D72F6" w:rsidP="00704F82">
      <w:pPr>
        <w:pStyle w:val="Heading2"/>
      </w:pPr>
      <w:bookmarkStart w:id="15" w:name="_Toc361990609"/>
      <w:r w:rsidRPr="002D72F6">
        <w:t>Respondents/</w:t>
      </w:r>
      <w:r w:rsidRPr="00567F32">
        <w:rPr>
          <w:caps/>
        </w:rPr>
        <w:t>Naics</w:t>
      </w:r>
      <w:r w:rsidRPr="002D72F6">
        <w:t xml:space="preserve"> Codes</w:t>
      </w:r>
      <w:bookmarkEnd w:id="15"/>
    </w:p>
    <w:p w:rsidR="009E1D15" w:rsidRDefault="009E1D15">
      <w:pPr>
        <w:keepNext/>
        <w:keepLines/>
        <w:widowControl/>
        <w:tabs>
          <w:tab w:val="left" w:pos="0"/>
        </w:tabs>
        <w:ind w:firstLine="720"/>
        <w:rPr>
          <w:rFonts w:ascii="Times New Roman" w:hAnsi="Times New Roman"/>
          <w:color w:val="000000"/>
        </w:rPr>
      </w:pPr>
    </w:p>
    <w:p w:rsidR="009E1D15" w:rsidRDefault="009E1D15">
      <w:pPr>
        <w:keepNext/>
        <w:keepLines/>
        <w:widowControl/>
        <w:tabs>
          <w:tab w:val="left" w:pos="0"/>
        </w:tabs>
        <w:ind w:firstLine="720"/>
        <w:rPr>
          <w:rFonts w:ascii="Times New Roman" w:hAnsi="Times New Roman"/>
          <w:color w:val="000000"/>
        </w:rPr>
      </w:pPr>
      <w:r>
        <w:rPr>
          <w:rFonts w:ascii="Times New Roman" w:hAnsi="Times New Roman"/>
          <w:color w:val="000000"/>
        </w:rPr>
        <w:t xml:space="preserve">The following describes the </w:t>
      </w:r>
      <w:r w:rsidR="00450E20">
        <w:rPr>
          <w:rFonts w:ascii="Times New Roman" w:hAnsi="Times New Roman"/>
          <w:color w:val="000000"/>
        </w:rPr>
        <w:t>“</w:t>
      </w:r>
      <w:r>
        <w:rPr>
          <w:rFonts w:ascii="Times New Roman" w:hAnsi="Times New Roman"/>
          <w:color w:val="000000"/>
        </w:rPr>
        <w:t>universe</w:t>
      </w:r>
      <w:r w:rsidR="00810772">
        <w:rPr>
          <w:rFonts w:ascii="Times New Roman" w:hAnsi="Times New Roman"/>
          <w:color w:val="000000"/>
        </w:rPr>
        <w:t>”</w:t>
      </w:r>
      <w:r w:rsidR="00450E20">
        <w:rPr>
          <w:rFonts w:ascii="Times New Roman" w:hAnsi="Times New Roman"/>
          <w:color w:val="000000"/>
        </w:rPr>
        <w:t xml:space="preserve"> </w:t>
      </w:r>
      <w:r>
        <w:rPr>
          <w:rFonts w:ascii="Times New Roman" w:hAnsi="Times New Roman"/>
          <w:color w:val="000000"/>
        </w:rPr>
        <w:t>of potential respondents.</w:t>
      </w:r>
      <w:r w:rsidR="0068763C">
        <w:rPr>
          <w:rFonts w:ascii="Times New Roman" w:hAnsi="Times New Roman"/>
          <w:color w:val="000000"/>
        </w:rPr>
        <w:t xml:space="preserve"> </w:t>
      </w:r>
      <w:r>
        <w:rPr>
          <w:rFonts w:ascii="Times New Roman" w:hAnsi="Times New Roman"/>
          <w:color w:val="000000"/>
        </w:rPr>
        <w:t>The actual numbers estimated to submit information annually are described in section 6.</w:t>
      </w:r>
    </w:p>
    <w:p w:rsidR="009E1D15" w:rsidRDefault="009E1D15">
      <w:pPr>
        <w:keepNext/>
        <w:keepLines/>
        <w:widowControl/>
        <w:tabs>
          <w:tab w:val="left" w:pos="0"/>
        </w:tabs>
        <w:rPr>
          <w:rFonts w:ascii="Times New Roman" w:hAnsi="Times New Roman"/>
          <w:color w:val="000000"/>
        </w:rPr>
      </w:pPr>
    </w:p>
    <w:p w:rsidR="009E1D15" w:rsidRDefault="009E1D15">
      <w:pPr>
        <w:keepLines/>
        <w:widowControl/>
        <w:tabs>
          <w:tab w:val="left" w:pos="0"/>
        </w:tabs>
        <w:ind w:firstLine="720"/>
        <w:rPr>
          <w:rFonts w:ascii="Times New Roman" w:hAnsi="Times New Roman"/>
          <w:color w:val="000000"/>
        </w:rPr>
      </w:pPr>
      <w:r>
        <w:rPr>
          <w:rFonts w:ascii="Times New Roman" w:hAnsi="Times New Roman"/>
          <w:color w:val="000000"/>
        </w:rPr>
        <w:t xml:space="preserve">The </w:t>
      </w:r>
      <w:r w:rsidR="00E03559">
        <w:rPr>
          <w:rFonts w:ascii="Times New Roman" w:hAnsi="Times New Roman"/>
          <w:color w:val="000000"/>
        </w:rPr>
        <w:t>WQS</w:t>
      </w:r>
      <w:r>
        <w:rPr>
          <w:rFonts w:ascii="Times New Roman" w:hAnsi="Times New Roman"/>
          <w:color w:val="000000"/>
        </w:rPr>
        <w:t xml:space="preserve"> </w:t>
      </w:r>
      <w:r w:rsidR="00CD4947">
        <w:rPr>
          <w:rFonts w:ascii="Times New Roman" w:hAnsi="Times New Roman"/>
          <w:color w:val="000000"/>
        </w:rPr>
        <w:t>r</w:t>
      </w:r>
      <w:r>
        <w:rPr>
          <w:rFonts w:ascii="Times New Roman" w:hAnsi="Times New Roman"/>
          <w:color w:val="000000"/>
        </w:rPr>
        <w:t>egulation</w:t>
      </w:r>
      <w:r w:rsidR="00CD4947">
        <w:rPr>
          <w:rFonts w:ascii="Times New Roman" w:hAnsi="Times New Roman"/>
          <w:color w:val="000000"/>
        </w:rPr>
        <w:t xml:space="preserve"> at 40 CFR Part 131</w:t>
      </w:r>
      <w:r>
        <w:rPr>
          <w:rFonts w:ascii="Times New Roman" w:hAnsi="Times New Roman"/>
          <w:color w:val="000000"/>
        </w:rPr>
        <w:t xml:space="preserve"> requires reporting at least once every three years from </w:t>
      </w:r>
      <w:r w:rsidR="008D781B">
        <w:rPr>
          <w:rFonts w:ascii="Times New Roman" w:hAnsi="Times New Roman"/>
          <w:color w:val="000000"/>
        </w:rPr>
        <w:t xml:space="preserve">95 </w:t>
      </w:r>
      <w:r>
        <w:rPr>
          <w:rFonts w:ascii="Times New Roman" w:hAnsi="Times New Roman"/>
          <w:color w:val="000000"/>
        </w:rPr>
        <w:t>jurisdictions</w:t>
      </w:r>
      <w:r w:rsidR="00F11708">
        <w:rPr>
          <w:rFonts w:ascii="Times New Roman" w:hAnsi="Times New Roman"/>
          <w:color w:val="000000"/>
        </w:rPr>
        <w:t xml:space="preserve"> </w:t>
      </w:r>
      <w:r w:rsidR="00990946">
        <w:rPr>
          <w:rFonts w:ascii="Times New Roman" w:hAnsi="Times New Roman"/>
          <w:color w:val="000000"/>
        </w:rPr>
        <w:t>–</w:t>
      </w:r>
      <w:r w:rsidR="00F11708">
        <w:rPr>
          <w:rFonts w:ascii="Times New Roman" w:hAnsi="Times New Roman"/>
          <w:color w:val="000000"/>
        </w:rPr>
        <w:t xml:space="preserve"> </w:t>
      </w:r>
      <w:r>
        <w:rPr>
          <w:rFonts w:ascii="Times New Roman" w:hAnsi="Times New Roman"/>
          <w:color w:val="000000"/>
        </w:rPr>
        <w:t>56 States (and Territories)</w:t>
      </w:r>
      <w:r>
        <w:rPr>
          <w:rStyle w:val="FootnoteReference"/>
          <w:rFonts w:ascii="Times New Roman" w:hAnsi="Times New Roman"/>
          <w:color w:val="000000"/>
          <w:vertAlign w:val="superscript"/>
        </w:rPr>
        <w:footnoteReference w:id="3"/>
      </w:r>
      <w:r>
        <w:rPr>
          <w:rFonts w:ascii="Times New Roman" w:hAnsi="Times New Roman"/>
          <w:color w:val="000000"/>
        </w:rPr>
        <w:t xml:space="preserve">, and the </w:t>
      </w:r>
      <w:r w:rsidR="008D781B">
        <w:rPr>
          <w:rFonts w:ascii="Times New Roman" w:hAnsi="Times New Roman"/>
          <w:color w:val="000000"/>
        </w:rPr>
        <w:t xml:space="preserve">39 </w:t>
      </w:r>
      <w:r>
        <w:rPr>
          <w:rFonts w:ascii="Times New Roman" w:hAnsi="Times New Roman"/>
          <w:color w:val="000000"/>
        </w:rPr>
        <w:t xml:space="preserve">Indian Tribes that have received </w:t>
      </w:r>
      <w:r w:rsidR="009E09F0">
        <w:rPr>
          <w:rFonts w:ascii="Times New Roman" w:hAnsi="Times New Roman"/>
          <w:color w:val="000000"/>
        </w:rPr>
        <w:t xml:space="preserve">the </w:t>
      </w:r>
      <w:r>
        <w:rPr>
          <w:rFonts w:ascii="Times New Roman" w:hAnsi="Times New Roman"/>
          <w:color w:val="000000"/>
        </w:rPr>
        <w:t>EPA</w:t>
      </w:r>
      <w:r w:rsidR="009E09F0">
        <w:rPr>
          <w:rFonts w:ascii="Times New Roman" w:hAnsi="Times New Roman"/>
          <w:color w:val="000000"/>
        </w:rPr>
        <w:t>’s</w:t>
      </w:r>
      <w:r>
        <w:rPr>
          <w:rFonts w:ascii="Times New Roman" w:hAnsi="Times New Roman"/>
          <w:color w:val="000000"/>
        </w:rPr>
        <w:t xml:space="preserve"> authorization to administer the </w:t>
      </w:r>
      <w:r w:rsidR="00E03559">
        <w:rPr>
          <w:rFonts w:ascii="Times New Roman" w:hAnsi="Times New Roman"/>
          <w:color w:val="000000"/>
        </w:rPr>
        <w:t>WQS</w:t>
      </w:r>
      <w:r>
        <w:rPr>
          <w:rFonts w:ascii="Times New Roman" w:hAnsi="Times New Roman"/>
          <w:color w:val="000000"/>
        </w:rPr>
        <w:t xml:space="preserve"> program </w:t>
      </w:r>
      <w:r w:rsidR="00197612">
        <w:rPr>
          <w:rFonts w:ascii="Times New Roman" w:hAnsi="Times New Roman"/>
          <w:color w:val="000000"/>
        </w:rPr>
        <w:t>and have adopted EPA-approved WQS</w:t>
      </w:r>
      <w:r w:rsidR="00E81D62">
        <w:rPr>
          <w:rFonts w:ascii="Times New Roman" w:hAnsi="Times New Roman"/>
          <w:color w:val="000000"/>
        </w:rPr>
        <w:t>.</w:t>
      </w:r>
      <w:r>
        <w:rPr>
          <w:rStyle w:val="FootnoteReference"/>
          <w:rFonts w:ascii="Times New Roman" w:hAnsi="Times New Roman"/>
          <w:color w:val="000000"/>
          <w:vertAlign w:val="superscript"/>
        </w:rPr>
        <w:footnoteReference w:id="4"/>
      </w:r>
      <w:r w:rsidR="0068763C">
        <w:rPr>
          <w:rFonts w:ascii="Times New Roman" w:hAnsi="Times New Roman"/>
          <w:color w:val="000000"/>
        </w:rPr>
        <w:t xml:space="preserve"> </w:t>
      </w:r>
      <w:r w:rsidR="009E09F0">
        <w:rPr>
          <w:rFonts w:ascii="Times New Roman" w:hAnsi="Times New Roman"/>
          <w:color w:val="000000"/>
        </w:rPr>
        <w:t xml:space="preserve">The </w:t>
      </w:r>
      <w:r w:rsidR="0068763C">
        <w:rPr>
          <w:rFonts w:ascii="Times New Roman" w:hAnsi="Times New Roman"/>
          <w:color w:val="000000"/>
        </w:rPr>
        <w:t xml:space="preserve">EPA may authorize additional tribes that apply for this authority. </w:t>
      </w:r>
      <w:r>
        <w:rPr>
          <w:rFonts w:ascii="Times New Roman" w:hAnsi="Times New Roman"/>
          <w:color w:val="000000"/>
        </w:rPr>
        <w:t xml:space="preserve">The respondents affected by this collection activity are in NAICS code 92411 </w:t>
      </w:r>
      <w:r w:rsidR="00450E20">
        <w:rPr>
          <w:rFonts w:ascii="Times New Roman" w:hAnsi="Times New Roman"/>
          <w:color w:val="000000"/>
        </w:rPr>
        <w:t>“</w:t>
      </w:r>
      <w:r>
        <w:rPr>
          <w:rFonts w:ascii="Times New Roman" w:hAnsi="Times New Roman"/>
          <w:color w:val="000000"/>
        </w:rPr>
        <w:t>Administration of Air and Water Resources and Solid Waste Management</w:t>
      </w:r>
      <w:r w:rsidR="00F061FC">
        <w:rPr>
          <w:rFonts w:ascii="Times New Roman" w:hAnsi="Times New Roman"/>
          <w:color w:val="000000"/>
        </w:rPr>
        <w:t xml:space="preserve"> Programs</w:t>
      </w:r>
      <w:r>
        <w:rPr>
          <w:rFonts w:ascii="Times New Roman" w:hAnsi="Times New Roman"/>
          <w:color w:val="000000"/>
        </w:rPr>
        <w:t>,</w:t>
      </w:r>
      <w:r w:rsidR="00450E20">
        <w:rPr>
          <w:rFonts w:ascii="Times New Roman" w:hAnsi="Times New Roman"/>
          <w:color w:val="000000"/>
        </w:rPr>
        <w:t>”</w:t>
      </w:r>
      <w:r>
        <w:rPr>
          <w:rFonts w:ascii="Times New Roman" w:hAnsi="Times New Roman"/>
          <w:color w:val="000000"/>
        </w:rPr>
        <w:t xml:space="preserve"> formerly SIC code #9511.</w:t>
      </w:r>
    </w:p>
    <w:p w:rsidR="009E1D15" w:rsidRDefault="009E1D15">
      <w:pPr>
        <w:widowControl/>
        <w:tabs>
          <w:tab w:val="left" w:pos="0"/>
        </w:tabs>
        <w:rPr>
          <w:rFonts w:ascii="Times New Roman" w:hAnsi="Times New Roman"/>
          <w:color w:val="000000"/>
        </w:rPr>
      </w:pPr>
    </w:p>
    <w:p w:rsidR="009E1D15" w:rsidRDefault="009E1D15">
      <w:pPr>
        <w:widowControl/>
        <w:tabs>
          <w:tab w:val="right" w:pos="9360"/>
        </w:tabs>
        <w:rPr>
          <w:rFonts w:ascii="Times New Roman" w:hAnsi="Times New Roman"/>
          <w:color w:val="000000"/>
        </w:rPr>
      </w:pPr>
      <w:r>
        <w:rPr>
          <w:rFonts w:ascii="Times New Roman" w:hAnsi="Times New Roman"/>
          <w:color w:val="000000"/>
        </w:rPr>
        <w:tab/>
      </w:r>
    </w:p>
    <w:p w:rsidR="00687E7D" w:rsidRDefault="0078227A" w:rsidP="00704F82">
      <w:pPr>
        <w:pStyle w:val="Heading2"/>
      </w:pPr>
      <w:bookmarkStart w:id="16" w:name="_Toc361990610"/>
      <w:r w:rsidRPr="0078227A">
        <w:t>Information Requested</w:t>
      </w:r>
      <w:bookmarkEnd w:id="16"/>
    </w:p>
    <w:p w:rsidR="00EA3669" w:rsidRDefault="00EA3669" w:rsidP="00EA3669">
      <w:pPr>
        <w:widowControl/>
        <w:tabs>
          <w:tab w:val="left" w:pos="0"/>
        </w:tabs>
        <w:ind w:left="720"/>
        <w:rPr>
          <w:rFonts w:ascii="Times New Roman" w:hAnsi="Times New Roman"/>
          <w:b/>
          <w:bCs/>
          <w:smallCaps/>
          <w:color w:val="000000"/>
        </w:rPr>
      </w:pPr>
    </w:p>
    <w:p w:rsidR="001A2466" w:rsidRPr="00704F82" w:rsidRDefault="001A2466" w:rsidP="00704F82">
      <w:pPr>
        <w:pStyle w:val="Heading3"/>
      </w:pPr>
      <w:bookmarkStart w:id="17" w:name="_Toc361990611"/>
      <w:r w:rsidRPr="00704F82">
        <w:t>Rulemaking Activities</w:t>
      </w:r>
      <w:bookmarkEnd w:id="17"/>
    </w:p>
    <w:p w:rsidR="0068763C" w:rsidRDefault="0068763C" w:rsidP="0068763C">
      <w:pPr>
        <w:widowControl/>
        <w:tabs>
          <w:tab w:val="left" w:pos="0"/>
        </w:tabs>
        <w:ind w:left="720"/>
        <w:rPr>
          <w:rFonts w:ascii="Times New Roman" w:hAnsi="Times New Roman"/>
        </w:rPr>
      </w:pPr>
    </w:p>
    <w:p w:rsidR="00EA3669" w:rsidRDefault="00367B72" w:rsidP="00EA3669">
      <w:pPr>
        <w:widowControl/>
        <w:tabs>
          <w:tab w:val="left" w:pos="0"/>
        </w:tabs>
        <w:rPr>
          <w:rFonts w:ascii="Times New Roman" w:hAnsi="Times New Roman"/>
        </w:rPr>
      </w:pPr>
      <w:r>
        <w:rPr>
          <w:rFonts w:ascii="Times New Roman" w:hAnsi="Times New Roman"/>
        </w:rPr>
        <w:tab/>
      </w:r>
      <w:r w:rsidR="00EA3669" w:rsidRPr="001A2466">
        <w:rPr>
          <w:rFonts w:ascii="Times New Roman" w:hAnsi="Times New Roman"/>
        </w:rPr>
        <w:t>The proposed revisions to the federal WQS regulation may result in the need for states</w:t>
      </w:r>
      <w:r w:rsidR="00EA3669">
        <w:rPr>
          <w:rFonts w:ascii="Times New Roman" w:hAnsi="Times New Roman"/>
        </w:rPr>
        <w:t xml:space="preserve"> and tribes</w:t>
      </w:r>
      <w:r w:rsidR="00EA3669" w:rsidRPr="001A2466">
        <w:rPr>
          <w:rFonts w:ascii="Times New Roman" w:hAnsi="Times New Roman"/>
        </w:rPr>
        <w:t xml:space="preserve"> to adopt new or revised provisions to state</w:t>
      </w:r>
      <w:r w:rsidR="00EA3669">
        <w:rPr>
          <w:rFonts w:ascii="Times New Roman" w:hAnsi="Times New Roman"/>
        </w:rPr>
        <w:t xml:space="preserve"> or tribal</w:t>
      </w:r>
      <w:r w:rsidR="00EA3669" w:rsidRPr="001A2466">
        <w:rPr>
          <w:rFonts w:ascii="Times New Roman" w:hAnsi="Times New Roman"/>
        </w:rPr>
        <w:t xml:space="preserve"> WQS,</w:t>
      </w:r>
      <w:r w:rsidR="00EA3669">
        <w:rPr>
          <w:rFonts w:ascii="Times New Roman" w:hAnsi="Times New Roman"/>
        </w:rPr>
        <w:t xml:space="preserve"> and submit such provisions to </w:t>
      </w:r>
      <w:r w:rsidR="009E09F0">
        <w:rPr>
          <w:rFonts w:ascii="Times New Roman" w:hAnsi="Times New Roman"/>
        </w:rPr>
        <w:t xml:space="preserve">the </w:t>
      </w:r>
      <w:r w:rsidR="00EA3669">
        <w:rPr>
          <w:rFonts w:ascii="Times New Roman" w:hAnsi="Times New Roman"/>
        </w:rPr>
        <w:t>EPA</w:t>
      </w:r>
      <w:r w:rsidR="003473F0">
        <w:rPr>
          <w:rFonts w:ascii="Times New Roman" w:hAnsi="Times New Roman"/>
        </w:rPr>
        <w:t xml:space="preserve"> for review and approval or disapproval</w:t>
      </w:r>
      <w:r w:rsidR="00EA3669">
        <w:rPr>
          <w:rFonts w:ascii="Times New Roman" w:hAnsi="Times New Roman"/>
        </w:rPr>
        <w:t xml:space="preserve">.  </w:t>
      </w:r>
    </w:p>
    <w:p w:rsidR="00EA3669" w:rsidRDefault="00EA3669" w:rsidP="00EA3669">
      <w:pPr>
        <w:widowControl/>
        <w:tabs>
          <w:tab w:val="left" w:pos="0"/>
        </w:tabs>
        <w:ind w:left="720"/>
        <w:rPr>
          <w:rFonts w:ascii="Times New Roman" w:hAnsi="Times New Roman"/>
          <w:b/>
          <w:bCs/>
          <w:smallCaps/>
          <w:color w:val="000000"/>
        </w:rPr>
      </w:pPr>
    </w:p>
    <w:p w:rsidR="00EA3669" w:rsidRDefault="00EA3669" w:rsidP="00704F82">
      <w:pPr>
        <w:pStyle w:val="Heading3"/>
      </w:pPr>
      <w:bookmarkStart w:id="18" w:name="_Toc361990612"/>
      <w:r>
        <w:t>Designated Uses</w:t>
      </w:r>
      <w:bookmarkEnd w:id="18"/>
    </w:p>
    <w:p w:rsidR="00367B72" w:rsidRDefault="00367B72" w:rsidP="00EA3669">
      <w:pPr>
        <w:widowControl/>
        <w:tabs>
          <w:tab w:val="left" w:pos="0"/>
        </w:tabs>
        <w:rPr>
          <w:rFonts w:ascii="Times New Roman" w:hAnsi="Times New Roman"/>
          <w:bCs/>
          <w:color w:val="000000"/>
        </w:rPr>
      </w:pPr>
    </w:p>
    <w:p w:rsidR="00EA3669" w:rsidRDefault="00EA3669" w:rsidP="00EA3669">
      <w:pPr>
        <w:widowControl/>
        <w:tabs>
          <w:tab w:val="left" w:pos="0"/>
        </w:tabs>
        <w:rPr>
          <w:rFonts w:ascii="Times New Roman" w:hAnsi="Times New Roman"/>
          <w:bCs/>
          <w:color w:val="000000"/>
        </w:rPr>
      </w:pPr>
      <w:r>
        <w:rPr>
          <w:rFonts w:ascii="Times New Roman" w:hAnsi="Times New Roman"/>
          <w:bCs/>
          <w:color w:val="000000"/>
        </w:rPr>
        <w:lastRenderedPageBreak/>
        <w:tab/>
      </w:r>
      <w:r w:rsidR="009E09F0">
        <w:rPr>
          <w:rFonts w:ascii="Times New Roman" w:hAnsi="Times New Roman"/>
          <w:bCs/>
          <w:color w:val="000000"/>
        </w:rPr>
        <w:t xml:space="preserve">The </w:t>
      </w:r>
      <w:r>
        <w:rPr>
          <w:rFonts w:ascii="Times New Roman" w:hAnsi="Times New Roman"/>
          <w:bCs/>
          <w:color w:val="000000"/>
        </w:rPr>
        <w:t>EPA is proposing to revise the WQS regulation to require that</w:t>
      </w:r>
      <w:r w:rsidR="0029092D" w:rsidRPr="0029092D">
        <w:rPr>
          <w:rFonts w:ascii="Times New Roman" w:hAnsi="Times New Roman"/>
          <w:szCs w:val="20"/>
        </w:rPr>
        <w:t xml:space="preserve"> </w:t>
      </w:r>
      <w:r w:rsidR="0029092D" w:rsidRPr="0029092D">
        <w:rPr>
          <w:rFonts w:ascii="Times New Roman" w:hAnsi="Times New Roman"/>
          <w:bCs/>
          <w:color w:val="000000"/>
        </w:rPr>
        <w:t>where a state or tribe demonstrates through the</w:t>
      </w:r>
      <w:r w:rsidR="00B5193F">
        <w:rPr>
          <w:rFonts w:ascii="Times New Roman" w:hAnsi="Times New Roman"/>
          <w:bCs/>
          <w:color w:val="000000"/>
        </w:rPr>
        <w:t xml:space="preserve"> use attainability analysis (</w:t>
      </w:r>
      <w:r w:rsidR="0029092D" w:rsidRPr="0029092D">
        <w:rPr>
          <w:rFonts w:ascii="Times New Roman" w:hAnsi="Times New Roman"/>
          <w:bCs/>
          <w:color w:val="000000"/>
        </w:rPr>
        <w:t>UAA</w:t>
      </w:r>
      <w:r w:rsidR="00B5193F">
        <w:rPr>
          <w:rFonts w:ascii="Times New Roman" w:hAnsi="Times New Roman"/>
          <w:bCs/>
          <w:color w:val="000000"/>
        </w:rPr>
        <w:t>)</w:t>
      </w:r>
      <w:r w:rsidR="0029092D" w:rsidRPr="0029092D">
        <w:rPr>
          <w:rFonts w:ascii="Times New Roman" w:hAnsi="Times New Roman"/>
          <w:bCs/>
          <w:color w:val="000000"/>
        </w:rPr>
        <w:t xml:space="preserve"> process that a use specified in section 101(a)(2), or a sub-category of such a use, is not attainable, then the state or tribe shall adopt the highest attainable use (HAU)</w:t>
      </w:r>
      <w:r>
        <w:rPr>
          <w:rFonts w:ascii="Times New Roman" w:hAnsi="Times New Roman"/>
          <w:bCs/>
          <w:color w:val="000000"/>
        </w:rPr>
        <w:t>.</w:t>
      </w:r>
    </w:p>
    <w:p w:rsidR="00367B72" w:rsidRDefault="00367B72" w:rsidP="00EA3669">
      <w:pPr>
        <w:widowControl/>
        <w:tabs>
          <w:tab w:val="left" w:pos="0"/>
        </w:tabs>
        <w:rPr>
          <w:rFonts w:ascii="Times New Roman" w:hAnsi="Times New Roman"/>
          <w:bCs/>
          <w:color w:val="000000"/>
        </w:rPr>
      </w:pPr>
    </w:p>
    <w:p w:rsidR="00EA3669" w:rsidRDefault="00EA3669" w:rsidP="00EA3669">
      <w:pPr>
        <w:widowControl/>
        <w:tabs>
          <w:tab w:val="left" w:pos="0"/>
        </w:tabs>
        <w:rPr>
          <w:rFonts w:ascii="Times New Roman" w:hAnsi="Times New Roman"/>
          <w:bCs/>
          <w:color w:val="000000"/>
        </w:rPr>
      </w:pPr>
      <w:r>
        <w:rPr>
          <w:rFonts w:ascii="Times New Roman" w:hAnsi="Times New Roman"/>
          <w:bCs/>
          <w:color w:val="000000"/>
        </w:rPr>
        <w:tab/>
        <w:t xml:space="preserve">The current WQS regulation requires states to conduct a UAA </w:t>
      </w:r>
      <w:r w:rsidR="005E6B10">
        <w:rPr>
          <w:rFonts w:ascii="Times New Roman" w:hAnsi="Times New Roman"/>
          <w:bCs/>
          <w:color w:val="000000"/>
        </w:rPr>
        <w:t xml:space="preserve">when designating uses that do not include the uses specified in section 101(a)(2) of the Act, when </w:t>
      </w:r>
      <w:r>
        <w:rPr>
          <w:rFonts w:ascii="Times New Roman" w:hAnsi="Times New Roman"/>
          <w:bCs/>
          <w:color w:val="000000"/>
        </w:rPr>
        <w:t>remov</w:t>
      </w:r>
      <w:r w:rsidR="005E6B10">
        <w:rPr>
          <w:rFonts w:ascii="Times New Roman" w:hAnsi="Times New Roman"/>
          <w:bCs/>
          <w:color w:val="000000"/>
        </w:rPr>
        <w:t>ing</w:t>
      </w:r>
      <w:r>
        <w:rPr>
          <w:rFonts w:ascii="Times New Roman" w:hAnsi="Times New Roman"/>
          <w:bCs/>
          <w:color w:val="000000"/>
        </w:rPr>
        <w:t xml:space="preserve"> designated uses</w:t>
      </w:r>
      <w:r w:rsidR="00367B72">
        <w:rPr>
          <w:rFonts w:ascii="Times New Roman" w:hAnsi="Times New Roman"/>
          <w:bCs/>
          <w:color w:val="000000"/>
        </w:rPr>
        <w:t xml:space="preserve"> </w:t>
      </w:r>
      <w:r w:rsidR="005E6B10">
        <w:rPr>
          <w:rFonts w:ascii="Times New Roman" w:hAnsi="Times New Roman"/>
          <w:bCs/>
          <w:color w:val="000000"/>
        </w:rPr>
        <w:t>specified in section 101(a)(2) of the Act, or when adopting sub-categories of such uses that require less stringent criteria</w:t>
      </w:r>
      <w:r>
        <w:rPr>
          <w:rFonts w:ascii="Times New Roman" w:hAnsi="Times New Roman"/>
          <w:bCs/>
          <w:color w:val="000000"/>
        </w:rPr>
        <w:t xml:space="preserve">; however, the current regulation does not require </w:t>
      </w:r>
      <w:r w:rsidR="005E6B10">
        <w:rPr>
          <w:rFonts w:ascii="Times New Roman" w:hAnsi="Times New Roman"/>
          <w:bCs/>
          <w:color w:val="000000"/>
        </w:rPr>
        <w:t>states or tribes to designate</w:t>
      </w:r>
      <w:r>
        <w:rPr>
          <w:rFonts w:ascii="Times New Roman" w:hAnsi="Times New Roman"/>
          <w:bCs/>
          <w:color w:val="000000"/>
        </w:rPr>
        <w:t xml:space="preserve"> the HAU.</w:t>
      </w:r>
      <w:r w:rsidR="0068763C">
        <w:rPr>
          <w:rFonts w:ascii="Times New Roman" w:hAnsi="Times New Roman"/>
          <w:bCs/>
          <w:color w:val="000000"/>
        </w:rPr>
        <w:t xml:space="preserve"> </w:t>
      </w:r>
      <w:r>
        <w:rPr>
          <w:rFonts w:ascii="Times New Roman" w:hAnsi="Times New Roman"/>
          <w:bCs/>
          <w:color w:val="000000"/>
        </w:rPr>
        <w:t xml:space="preserve">Consequently, the proposed WQS regulation revision may require some states to modify </w:t>
      </w:r>
      <w:r w:rsidR="005077B1">
        <w:rPr>
          <w:rFonts w:ascii="Times New Roman" w:hAnsi="Times New Roman"/>
          <w:bCs/>
          <w:color w:val="000000"/>
        </w:rPr>
        <w:t xml:space="preserve">their use revision process </w:t>
      </w:r>
      <w:r>
        <w:rPr>
          <w:rFonts w:ascii="Times New Roman" w:hAnsi="Times New Roman"/>
          <w:bCs/>
          <w:color w:val="000000"/>
        </w:rPr>
        <w:t xml:space="preserve">to include </w:t>
      </w:r>
      <w:r w:rsidR="00F7775E">
        <w:rPr>
          <w:rFonts w:ascii="Times New Roman" w:hAnsi="Times New Roman"/>
          <w:bCs/>
          <w:color w:val="000000"/>
        </w:rPr>
        <w:t>identification</w:t>
      </w:r>
      <w:r w:rsidR="00B95A97">
        <w:rPr>
          <w:rFonts w:ascii="Times New Roman" w:hAnsi="Times New Roman"/>
          <w:bCs/>
          <w:color w:val="000000"/>
        </w:rPr>
        <w:t xml:space="preserve"> and adoption</w:t>
      </w:r>
      <w:r w:rsidR="00F7775E">
        <w:rPr>
          <w:rFonts w:ascii="Times New Roman" w:hAnsi="Times New Roman"/>
          <w:bCs/>
          <w:color w:val="000000"/>
        </w:rPr>
        <w:t xml:space="preserve"> of the HAU</w:t>
      </w:r>
      <w:r w:rsidR="00367B72">
        <w:rPr>
          <w:rFonts w:ascii="Times New Roman" w:hAnsi="Times New Roman"/>
          <w:bCs/>
          <w:color w:val="000000"/>
        </w:rPr>
        <w:t xml:space="preserve">, thus increasing the information to be submitted to </w:t>
      </w:r>
      <w:r w:rsidR="00F616B8">
        <w:rPr>
          <w:rFonts w:ascii="Times New Roman" w:hAnsi="Times New Roman"/>
          <w:bCs/>
          <w:color w:val="000000"/>
        </w:rPr>
        <w:t xml:space="preserve">the </w:t>
      </w:r>
      <w:r w:rsidR="00367B72">
        <w:rPr>
          <w:rFonts w:ascii="Times New Roman" w:hAnsi="Times New Roman"/>
          <w:bCs/>
          <w:color w:val="000000"/>
        </w:rPr>
        <w:t>EPA</w:t>
      </w:r>
      <w:r w:rsidR="00F7775E">
        <w:rPr>
          <w:rFonts w:ascii="Times New Roman" w:hAnsi="Times New Roman"/>
          <w:bCs/>
          <w:color w:val="000000"/>
        </w:rPr>
        <w:t>.</w:t>
      </w:r>
      <w:r w:rsidR="00367B72">
        <w:rPr>
          <w:rFonts w:ascii="Times New Roman" w:hAnsi="Times New Roman"/>
          <w:bCs/>
          <w:color w:val="000000"/>
        </w:rPr>
        <w:t xml:space="preserve"> </w:t>
      </w:r>
    </w:p>
    <w:p w:rsidR="00EA3669" w:rsidRPr="00EA3669" w:rsidRDefault="00EA3669" w:rsidP="00EA3669">
      <w:pPr>
        <w:widowControl/>
        <w:tabs>
          <w:tab w:val="left" w:pos="0"/>
        </w:tabs>
        <w:rPr>
          <w:rFonts w:ascii="Times New Roman Bold" w:hAnsi="Times New Roman Bold"/>
          <w:bCs/>
          <w:color w:val="000000"/>
        </w:rPr>
      </w:pPr>
    </w:p>
    <w:p w:rsidR="004953D5" w:rsidRPr="00BB6EEA" w:rsidRDefault="00F7775E" w:rsidP="00704F82">
      <w:pPr>
        <w:pStyle w:val="Heading3"/>
      </w:pPr>
      <w:bookmarkStart w:id="19" w:name="_Toc361990613"/>
      <w:r>
        <w:t>Antidegradation</w:t>
      </w:r>
      <w:bookmarkEnd w:id="19"/>
    </w:p>
    <w:p w:rsidR="00367B72" w:rsidRDefault="00367B72" w:rsidP="000C18F9">
      <w:pPr>
        <w:widowControl/>
        <w:tabs>
          <w:tab w:val="left" w:pos="0"/>
        </w:tabs>
        <w:rPr>
          <w:rFonts w:ascii="Times New Roman" w:hAnsi="Times New Roman"/>
          <w:bCs/>
          <w:color w:val="000000"/>
        </w:rPr>
      </w:pPr>
    </w:p>
    <w:p w:rsidR="00102F7E" w:rsidRDefault="000C18F9" w:rsidP="00D366D5">
      <w:pPr>
        <w:widowControl/>
        <w:tabs>
          <w:tab w:val="left" w:pos="0"/>
        </w:tabs>
        <w:rPr>
          <w:rFonts w:ascii="Times New Roman" w:hAnsi="Times New Roman"/>
          <w:bCs/>
          <w:color w:val="000000"/>
        </w:rPr>
      </w:pPr>
      <w:r>
        <w:rPr>
          <w:rFonts w:ascii="Times New Roman" w:hAnsi="Times New Roman"/>
          <w:bCs/>
          <w:color w:val="000000"/>
        </w:rPr>
        <w:tab/>
        <w:t>The proposed WQS regulation will require states and tribes</w:t>
      </w:r>
      <w:r w:rsidR="005B5593">
        <w:rPr>
          <w:rFonts w:ascii="Times New Roman" w:hAnsi="Times New Roman"/>
          <w:bCs/>
          <w:color w:val="000000"/>
        </w:rPr>
        <w:t xml:space="preserve"> to develop or modify their antidegradation implementation methods to conform with the</w:t>
      </w:r>
      <w:r w:rsidR="00CC0C01">
        <w:rPr>
          <w:rFonts w:ascii="Times New Roman" w:hAnsi="Times New Roman"/>
          <w:bCs/>
          <w:color w:val="000000"/>
        </w:rPr>
        <w:t xml:space="preserve"> requirements to (1) </w:t>
      </w:r>
      <w:r w:rsidR="00CC0C01" w:rsidRPr="00CC0C01">
        <w:rPr>
          <w:rFonts w:ascii="Times New Roman" w:hAnsi="Times New Roman"/>
          <w:bCs/>
          <w:color w:val="000000"/>
        </w:rPr>
        <w:t xml:space="preserve">evaluate a range of non-degrading and minimally degrading alternatives and (2) </w:t>
      </w:r>
      <w:r w:rsidR="00CD4947">
        <w:rPr>
          <w:rFonts w:ascii="Times New Roman" w:hAnsi="Times New Roman"/>
          <w:bCs/>
          <w:color w:val="000000"/>
        </w:rPr>
        <w:t>i</w:t>
      </w:r>
      <w:r w:rsidR="00CC0C01" w:rsidRPr="00CC0C01">
        <w:rPr>
          <w:rFonts w:ascii="Times New Roman" w:hAnsi="Times New Roman"/>
          <w:bCs/>
          <w:color w:val="000000"/>
        </w:rPr>
        <w:t>dentify high quality waters on either a parameter-by-parameter basis or water body-by-water body basis, provided waters are not excluded from Tier 2 protection solely because not all of the uses specified in CWA section 101(a)(2) are attained</w:t>
      </w:r>
      <w:r w:rsidR="00B95A97">
        <w:rPr>
          <w:rFonts w:ascii="Times New Roman" w:hAnsi="Times New Roman"/>
          <w:bCs/>
          <w:color w:val="000000"/>
        </w:rPr>
        <w:t xml:space="preserve"> </w:t>
      </w:r>
      <w:r w:rsidR="00CC0C01" w:rsidRPr="00CC0C01">
        <w:rPr>
          <w:rFonts w:ascii="Times New Roman" w:hAnsi="Times New Roman"/>
          <w:bCs/>
          <w:color w:val="000000"/>
        </w:rPr>
        <w:t>if using the waterbody-by-waterbody approach.</w:t>
      </w:r>
      <w:r>
        <w:rPr>
          <w:rFonts w:ascii="Times New Roman" w:hAnsi="Times New Roman"/>
          <w:bCs/>
          <w:color w:val="000000"/>
        </w:rPr>
        <w:t>.</w:t>
      </w:r>
      <w:r w:rsidR="0068763C">
        <w:rPr>
          <w:rFonts w:ascii="Times New Roman" w:hAnsi="Times New Roman"/>
          <w:bCs/>
          <w:color w:val="000000"/>
        </w:rPr>
        <w:t xml:space="preserve"> </w:t>
      </w:r>
      <w:r w:rsidR="00BB3706">
        <w:rPr>
          <w:rFonts w:ascii="Times New Roman" w:hAnsi="Times New Roman"/>
          <w:bCs/>
          <w:color w:val="000000"/>
        </w:rPr>
        <w:t xml:space="preserve">This will result in </w:t>
      </w:r>
      <w:r w:rsidR="00563712">
        <w:rPr>
          <w:rFonts w:ascii="Times New Roman" w:hAnsi="Times New Roman"/>
          <w:bCs/>
          <w:color w:val="000000"/>
        </w:rPr>
        <w:t xml:space="preserve">increased </w:t>
      </w:r>
      <w:r w:rsidR="00BB3706">
        <w:rPr>
          <w:rFonts w:ascii="Times New Roman" w:hAnsi="Times New Roman"/>
          <w:bCs/>
          <w:color w:val="000000"/>
        </w:rPr>
        <w:t xml:space="preserve">incremental burden and costs </w:t>
      </w:r>
      <w:r w:rsidR="00563712">
        <w:rPr>
          <w:rFonts w:ascii="Times New Roman" w:hAnsi="Times New Roman"/>
          <w:bCs/>
          <w:color w:val="000000"/>
        </w:rPr>
        <w:t>to</w:t>
      </w:r>
      <w:r w:rsidR="00BB3706">
        <w:rPr>
          <w:rFonts w:ascii="Times New Roman" w:hAnsi="Times New Roman"/>
          <w:bCs/>
          <w:color w:val="000000"/>
        </w:rPr>
        <w:t xml:space="preserve"> states and tribes</w:t>
      </w:r>
      <w:r w:rsidR="00563712">
        <w:rPr>
          <w:rFonts w:ascii="Times New Roman" w:hAnsi="Times New Roman"/>
          <w:bCs/>
          <w:color w:val="000000"/>
        </w:rPr>
        <w:t xml:space="preserve"> when</w:t>
      </w:r>
      <w:r w:rsidR="00D366D5">
        <w:rPr>
          <w:rFonts w:ascii="Times New Roman" w:hAnsi="Times New Roman"/>
          <w:bCs/>
          <w:color w:val="000000"/>
        </w:rPr>
        <w:t>:</w:t>
      </w:r>
    </w:p>
    <w:p w:rsidR="00102F7E" w:rsidRDefault="0029092D" w:rsidP="00102F7E">
      <w:pPr>
        <w:widowControl/>
        <w:numPr>
          <w:ilvl w:val="0"/>
          <w:numId w:val="24"/>
        </w:numPr>
        <w:tabs>
          <w:tab w:val="left" w:pos="0"/>
        </w:tabs>
        <w:rPr>
          <w:rFonts w:ascii="Times New Roman" w:hAnsi="Times New Roman"/>
          <w:bCs/>
          <w:color w:val="000000"/>
        </w:rPr>
      </w:pPr>
      <w:r w:rsidRPr="0029092D">
        <w:rPr>
          <w:rFonts w:ascii="Times New Roman" w:hAnsi="Times New Roman"/>
          <w:bCs/>
          <w:color w:val="000000"/>
        </w:rPr>
        <w:t>Reviewing antidegradation requests that evaluate a range of non-degrading and minimally degrading alternatives that have the potential to prevent or minimize the degradation associated with the proposed activity</w:t>
      </w:r>
      <w:r w:rsidR="00D366D5">
        <w:rPr>
          <w:rFonts w:ascii="Times New Roman" w:hAnsi="Times New Roman"/>
          <w:bCs/>
          <w:color w:val="000000"/>
        </w:rPr>
        <w:t xml:space="preserve">; and </w:t>
      </w:r>
    </w:p>
    <w:p w:rsidR="004953D5" w:rsidRPr="00BB6EEA" w:rsidRDefault="00102F7E" w:rsidP="00102F7E">
      <w:pPr>
        <w:widowControl/>
        <w:numPr>
          <w:ilvl w:val="0"/>
          <w:numId w:val="24"/>
        </w:numPr>
        <w:tabs>
          <w:tab w:val="left" w:pos="0"/>
        </w:tabs>
        <w:rPr>
          <w:rFonts w:ascii="Times New Roman" w:hAnsi="Times New Roman"/>
          <w:bCs/>
          <w:color w:val="000000"/>
        </w:rPr>
      </w:pPr>
      <w:r>
        <w:rPr>
          <w:rFonts w:ascii="Times New Roman" w:hAnsi="Times New Roman"/>
          <w:bCs/>
          <w:color w:val="000000"/>
        </w:rPr>
        <w:t>R</w:t>
      </w:r>
      <w:r w:rsidR="00D366D5" w:rsidRPr="00D366D5">
        <w:rPr>
          <w:rFonts w:ascii="Times New Roman" w:hAnsi="Times New Roman"/>
          <w:bCs/>
          <w:color w:val="000000"/>
        </w:rPr>
        <w:t>eviewing more Tier 2 antidegradation requests.</w:t>
      </w:r>
    </w:p>
    <w:p w:rsidR="00F7775E" w:rsidRDefault="00F7775E" w:rsidP="00F7775E">
      <w:pPr>
        <w:widowControl/>
        <w:tabs>
          <w:tab w:val="left" w:pos="0"/>
        </w:tabs>
        <w:ind w:left="720"/>
        <w:rPr>
          <w:rFonts w:ascii="Times New Roman" w:hAnsi="Times New Roman"/>
          <w:b/>
          <w:bCs/>
          <w:smallCaps/>
          <w:color w:val="000000"/>
        </w:rPr>
      </w:pPr>
    </w:p>
    <w:p w:rsidR="00EA3669" w:rsidRDefault="00EA3669" w:rsidP="00704F82">
      <w:pPr>
        <w:pStyle w:val="Heading3"/>
      </w:pPr>
      <w:bookmarkStart w:id="20" w:name="_Toc361990614"/>
      <w:r>
        <w:t>Variances</w:t>
      </w:r>
      <w:bookmarkEnd w:id="20"/>
    </w:p>
    <w:p w:rsidR="00367B72" w:rsidRDefault="00367B72" w:rsidP="00BB6EEA">
      <w:pPr>
        <w:widowControl/>
        <w:tabs>
          <w:tab w:val="left" w:pos="0"/>
        </w:tabs>
        <w:rPr>
          <w:rFonts w:ascii="Times New Roman" w:hAnsi="Times New Roman"/>
          <w:bCs/>
          <w:color w:val="000000"/>
        </w:rPr>
      </w:pPr>
    </w:p>
    <w:p w:rsidR="00EA3669" w:rsidRDefault="00BB6EEA" w:rsidP="00BB6EEA">
      <w:pPr>
        <w:widowControl/>
        <w:tabs>
          <w:tab w:val="left" w:pos="0"/>
        </w:tabs>
        <w:rPr>
          <w:rFonts w:ascii="Times New Roman" w:hAnsi="Times New Roman"/>
          <w:bCs/>
          <w:color w:val="000000"/>
        </w:rPr>
      </w:pPr>
      <w:r>
        <w:rPr>
          <w:rFonts w:ascii="Times New Roman" w:hAnsi="Times New Roman"/>
          <w:bCs/>
          <w:color w:val="000000"/>
        </w:rPr>
        <w:tab/>
      </w:r>
      <w:r w:rsidR="00F616B8">
        <w:rPr>
          <w:rFonts w:ascii="Times New Roman" w:hAnsi="Times New Roman"/>
          <w:bCs/>
          <w:color w:val="000000"/>
        </w:rPr>
        <w:t xml:space="preserve">The </w:t>
      </w:r>
      <w:r>
        <w:rPr>
          <w:rFonts w:ascii="Times New Roman" w:hAnsi="Times New Roman"/>
          <w:bCs/>
          <w:color w:val="000000"/>
        </w:rPr>
        <w:t xml:space="preserve">EPA is proposing to revise the WQS regulation to provide more specificity and clearer </w:t>
      </w:r>
      <w:r w:rsidR="00AE2D00">
        <w:rPr>
          <w:rFonts w:ascii="Times New Roman" w:hAnsi="Times New Roman"/>
          <w:bCs/>
          <w:color w:val="000000"/>
        </w:rPr>
        <w:t xml:space="preserve">submission </w:t>
      </w:r>
      <w:r>
        <w:rPr>
          <w:rFonts w:ascii="Times New Roman" w:hAnsi="Times New Roman"/>
          <w:bCs/>
          <w:color w:val="000000"/>
        </w:rPr>
        <w:t>requirements on the development and use of variances.</w:t>
      </w:r>
      <w:r w:rsidR="0068763C">
        <w:rPr>
          <w:rFonts w:ascii="Times New Roman" w:hAnsi="Times New Roman"/>
          <w:bCs/>
          <w:color w:val="000000"/>
        </w:rPr>
        <w:t xml:space="preserve"> </w:t>
      </w:r>
      <w:r>
        <w:rPr>
          <w:rFonts w:ascii="Times New Roman" w:hAnsi="Times New Roman"/>
          <w:bCs/>
          <w:color w:val="000000"/>
        </w:rPr>
        <w:t xml:space="preserve">Most of the proposed revisions specify or clarify when and how variances should be used, and thus are unlikely to result in significant incremental administrative burden and costs to states. However, the proposed revisions also include new </w:t>
      </w:r>
      <w:r w:rsidR="00AE2D00">
        <w:rPr>
          <w:rFonts w:ascii="Times New Roman" w:hAnsi="Times New Roman"/>
          <w:bCs/>
          <w:color w:val="000000"/>
        </w:rPr>
        <w:t xml:space="preserve">submission </w:t>
      </w:r>
      <w:r>
        <w:rPr>
          <w:rFonts w:ascii="Times New Roman" w:hAnsi="Times New Roman"/>
          <w:bCs/>
          <w:color w:val="000000"/>
        </w:rPr>
        <w:t>requirements that specif</w:t>
      </w:r>
      <w:r w:rsidR="00AE2D00">
        <w:rPr>
          <w:rFonts w:ascii="Times New Roman" w:hAnsi="Times New Roman"/>
          <w:bCs/>
          <w:color w:val="000000"/>
        </w:rPr>
        <w:t>y</w:t>
      </w:r>
      <w:r>
        <w:rPr>
          <w:rFonts w:ascii="Times New Roman" w:hAnsi="Times New Roman"/>
          <w:bCs/>
          <w:color w:val="000000"/>
        </w:rPr>
        <w:t xml:space="preserve"> </w:t>
      </w:r>
      <w:r w:rsidR="00AE2D00">
        <w:rPr>
          <w:rFonts w:ascii="Times New Roman" w:hAnsi="Times New Roman"/>
          <w:bCs/>
          <w:color w:val="000000"/>
        </w:rPr>
        <w:t>th</w:t>
      </w:r>
      <w:r w:rsidR="00102F7E">
        <w:rPr>
          <w:rFonts w:ascii="Times New Roman" w:hAnsi="Times New Roman"/>
          <w:bCs/>
          <w:color w:val="000000"/>
        </w:rPr>
        <w:t>at</w:t>
      </w:r>
      <w:r w:rsidR="00AE2D00">
        <w:rPr>
          <w:rFonts w:ascii="Times New Roman" w:hAnsi="Times New Roman"/>
          <w:bCs/>
          <w:color w:val="000000"/>
        </w:rPr>
        <w:t xml:space="preserve"> </w:t>
      </w:r>
      <w:r>
        <w:rPr>
          <w:rFonts w:ascii="Times New Roman" w:hAnsi="Times New Roman"/>
          <w:bCs/>
          <w:color w:val="000000"/>
        </w:rPr>
        <w:t>information and documentation be submitted</w:t>
      </w:r>
      <w:r w:rsidR="00AE2D00">
        <w:rPr>
          <w:rFonts w:ascii="Times New Roman" w:hAnsi="Times New Roman"/>
          <w:bCs/>
          <w:color w:val="000000"/>
        </w:rPr>
        <w:t xml:space="preserve"> to </w:t>
      </w:r>
      <w:r w:rsidR="00F616B8">
        <w:rPr>
          <w:rFonts w:ascii="Times New Roman" w:hAnsi="Times New Roman"/>
          <w:bCs/>
          <w:color w:val="000000"/>
        </w:rPr>
        <w:t xml:space="preserve">the </w:t>
      </w:r>
      <w:r w:rsidR="00AE2D00">
        <w:rPr>
          <w:rFonts w:ascii="Times New Roman" w:hAnsi="Times New Roman"/>
          <w:bCs/>
          <w:color w:val="000000"/>
        </w:rPr>
        <w:t>EPA for review and approval</w:t>
      </w:r>
      <w:r w:rsidR="00102F7E" w:rsidRPr="00102F7E">
        <w:rPr>
          <w:rFonts w:ascii="Times New Roman" w:hAnsi="Times New Roman"/>
          <w:szCs w:val="20"/>
        </w:rPr>
        <w:t xml:space="preserve"> </w:t>
      </w:r>
      <w:r w:rsidR="00102F7E" w:rsidRPr="00102F7E">
        <w:rPr>
          <w:rFonts w:ascii="Times New Roman" w:hAnsi="Times New Roman"/>
          <w:bCs/>
          <w:color w:val="000000"/>
        </w:rPr>
        <w:t xml:space="preserve">and </w:t>
      </w:r>
      <w:r w:rsidR="00102F7E">
        <w:rPr>
          <w:rFonts w:ascii="Times New Roman" w:hAnsi="Times New Roman"/>
          <w:bCs/>
          <w:color w:val="000000"/>
        </w:rPr>
        <w:t xml:space="preserve">a </w:t>
      </w:r>
      <w:r w:rsidR="00102F7E" w:rsidRPr="00102F7E">
        <w:rPr>
          <w:rFonts w:ascii="Times New Roman" w:hAnsi="Times New Roman"/>
          <w:bCs/>
          <w:color w:val="000000"/>
        </w:rPr>
        <w:t xml:space="preserve">new maximum variance duration </w:t>
      </w:r>
      <w:r w:rsidR="00102F7E">
        <w:rPr>
          <w:rFonts w:ascii="Times New Roman" w:hAnsi="Times New Roman"/>
          <w:bCs/>
          <w:color w:val="000000"/>
        </w:rPr>
        <w:t xml:space="preserve">that results in </w:t>
      </w:r>
      <w:r w:rsidR="00102F7E" w:rsidRPr="00102F7E">
        <w:rPr>
          <w:rFonts w:ascii="Times New Roman" w:hAnsi="Times New Roman"/>
          <w:bCs/>
          <w:color w:val="000000"/>
        </w:rPr>
        <w:t>an increase in the number of variances submissions</w:t>
      </w:r>
      <w:r w:rsidR="00AE2D00">
        <w:rPr>
          <w:rFonts w:ascii="Times New Roman" w:hAnsi="Times New Roman"/>
          <w:bCs/>
          <w:color w:val="000000"/>
        </w:rPr>
        <w:t>, which may result in incremental burden and costs.</w:t>
      </w:r>
    </w:p>
    <w:p w:rsidR="00BB6EEA" w:rsidRDefault="00BB6EEA" w:rsidP="00EA3669">
      <w:pPr>
        <w:widowControl/>
        <w:tabs>
          <w:tab w:val="left" w:pos="0"/>
        </w:tabs>
        <w:ind w:left="720"/>
        <w:rPr>
          <w:rFonts w:ascii="Times New Roman" w:hAnsi="Times New Roman"/>
          <w:bCs/>
          <w:color w:val="000000"/>
        </w:rPr>
      </w:pPr>
    </w:p>
    <w:p w:rsidR="006A4927" w:rsidRDefault="006A4927" w:rsidP="00EA3669">
      <w:pPr>
        <w:widowControl/>
        <w:tabs>
          <w:tab w:val="left" w:pos="0"/>
        </w:tabs>
        <w:ind w:left="720"/>
        <w:rPr>
          <w:rFonts w:ascii="Times New Roman" w:hAnsi="Times New Roman"/>
          <w:bCs/>
          <w:color w:val="000000"/>
        </w:rPr>
      </w:pPr>
    </w:p>
    <w:p w:rsidR="006A4927" w:rsidRDefault="006A4927" w:rsidP="00EA3669">
      <w:pPr>
        <w:widowControl/>
        <w:tabs>
          <w:tab w:val="left" w:pos="0"/>
        </w:tabs>
        <w:ind w:left="720"/>
        <w:rPr>
          <w:rFonts w:ascii="Times New Roman" w:hAnsi="Times New Roman"/>
          <w:bCs/>
          <w:color w:val="000000"/>
        </w:rPr>
      </w:pPr>
    </w:p>
    <w:p w:rsidR="006A4927" w:rsidRDefault="006A4927" w:rsidP="00EA3669">
      <w:pPr>
        <w:widowControl/>
        <w:tabs>
          <w:tab w:val="left" w:pos="0"/>
        </w:tabs>
        <w:ind w:left="720"/>
        <w:rPr>
          <w:rFonts w:ascii="Times New Roman" w:hAnsi="Times New Roman"/>
          <w:bCs/>
          <w:color w:val="000000"/>
        </w:rPr>
      </w:pPr>
    </w:p>
    <w:p w:rsidR="006A4927" w:rsidRDefault="006A4927" w:rsidP="00EA3669">
      <w:pPr>
        <w:widowControl/>
        <w:tabs>
          <w:tab w:val="left" w:pos="0"/>
        </w:tabs>
        <w:ind w:left="720"/>
        <w:rPr>
          <w:rFonts w:ascii="Times New Roman" w:hAnsi="Times New Roman"/>
          <w:bCs/>
          <w:color w:val="000000"/>
        </w:rPr>
      </w:pPr>
    </w:p>
    <w:p w:rsidR="006A4927" w:rsidRDefault="006A4927" w:rsidP="00EA3669">
      <w:pPr>
        <w:widowControl/>
        <w:tabs>
          <w:tab w:val="left" w:pos="0"/>
        </w:tabs>
        <w:ind w:left="720"/>
        <w:rPr>
          <w:rFonts w:ascii="Times New Roman" w:hAnsi="Times New Roman"/>
          <w:bCs/>
          <w:color w:val="000000"/>
        </w:rPr>
      </w:pPr>
    </w:p>
    <w:p w:rsidR="006A4927" w:rsidRDefault="006A4927" w:rsidP="00EA3669">
      <w:pPr>
        <w:widowControl/>
        <w:tabs>
          <w:tab w:val="left" w:pos="0"/>
        </w:tabs>
        <w:ind w:left="720"/>
        <w:rPr>
          <w:rFonts w:ascii="Times New Roman" w:hAnsi="Times New Roman"/>
          <w:bCs/>
          <w:color w:val="000000"/>
        </w:rPr>
      </w:pPr>
    </w:p>
    <w:p w:rsidR="006A4927" w:rsidRDefault="006A4927" w:rsidP="00EA3669">
      <w:pPr>
        <w:widowControl/>
        <w:tabs>
          <w:tab w:val="left" w:pos="0"/>
        </w:tabs>
        <w:ind w:left="720"/>
        <w:rPr>
          <w:rFonts w:ascii="Times New Roman" w:hAnsi="Times New Roman"/>
          <w:bCs/>
          <w:color w:val="000000"/>
        </w:rPr>
      </w:pPr>
    </w:p>
    <w:p w:rsidR="006A4927" w:rsidRPr="00BB6EEA" w:rsidRDefault="006A4927" w:rsidP="00EA3669">
      <w:pPr>
        <w:widowControl/>
        <w:tabs>
          <w:tab w:val="left" w:pos="0"/>
        </w:tabs>
        <w:ind w:left="720"/>
        <w:rPr>
          <w:rFonts w:ascii="Times New Roman" w:hAnsi="Times New Roman"/>
          <w:bCs/>
          <w:color w:val="000000"/>
        </w:rPr>
      </w:pPr>
    </w:p>
    <w:p w:rsidR="009E1D15" w:rsidRPr="00F13C69" w:rsidRDefault="0078227A" w:rsidP="00704F82">
      <w:pPr>
        <w:pStyle w:val="Heading2"/>
      </w:pPr>
      <w:bookmarkStart w:id="21" w:name="_Toc361990615"/>
      <w:r w:rsidRPr="00F13C69">
        <w:lastRenderedPageBreak/>
        <w:t>Respondent Activities</w:t>
      </w:r>
      <w:bookmarkEnd w:id="21"/>
    </w:p>
    <w:p w:rsidR="009E1D15" w:rsidRDefault="009E1D15">
      <w:pPr>
        <w:keepNext/>
        <w:keepLines/>
        <w:widowControl/>
        <w:tabs>
          <w:tab w:val="left" w:pos="0"/>
        </w:tabs>
        <w:rPr>
          <w:rFonts w:ascii="Times New Roman" w:hAnsi="Times New Roman"/>
          <w:color w:val="000000"/>
        </w:rPr>
      </w:pPr>
    </w:p>
    <w:p w:rsidR="009E1D15" w:rsidRDefault="00F616B8" w:rsidP="00D71DB1">
      <w:pPr>
        <w:keepNext/>
        <w:keepLines/>
        <w:widowControl/>
        <w:tabs>
          <w:tab w:val="left" w:pos="0"/>
        </w:tabs>
        <w:rPr>
          <w:rFonts w:ascii="Times New Roman" w:hAnsi="Times New Roman"/>
          <w:color w:val="000000"/>
        </w:rPr>
      </w:pPr>
      <w:r>
        <w:rPr>
          <w:rFonts w:ascii="Times New Roman" w:hAnsi="Times New Roman"/>
          <w:color w:val="000000"/>
        </w:rPr>
        <w:t xml:space="preserve">The </w:t>
      </w:r>
      <w:r w:rsidR="009E1D15">
        <w:rPr>
          <w:rFonts w:ascii="Times New Roman" w:hAnsi="Times New Roman"/>
          <w:color w:val="000000"/>
        </w:rPr>
        <w:t>EPA</w:t>
      </w:r>
      <w:r w:rsidR="001F426D">
        <w:rPr>
          <w:rFonts w:ascii="Times New Roman" w:hAnsi="Times New Roman"/>
          <w:color w:val="000000"/>
        </w:rPr>
        <w:t xml:space="preserve"> has </w:t>
      </w:r>
      <w:r w:rsidR="009E1D15">
        <w:rPr>
          <w:rFonts w:ascii="Times New Roman" w:hAnsi="Times New Roman"/>
          <w:color w:val="000000"/>
        </w:rPr>
        <w:t>identified the following activities to supply information for standards adoption and revision.</w:t>
      </w:r>
      <w:r w:rsidR="0068763C">
        <w:rPr>
          <w:rFonts w:ascii="Times New Roman" w:hAnsi="Times New Roman"/>
          <w:color w:val="000000"/>
        </w:rPr>
        <w:t xml:space="preserve"> </w:t>
      </w:r>
      <w:r w:rsidR="009E1D15">
        <w:rPr>
          <w:rFonts w:ascii="Times New Roman" w:hAnsi="Times New Roman"/>
          <w:color w:val="000000"/>
        </w:rPr>
        <w:t>Respondent burden estimates in section 6.1 were developed using the factors described below.</w:t>
      </w:r>
    </w:p>
    <w:p w:rsidR="009E1D15" w:rsidRDefault="009E1D15">
      <w:pPr>
        <w:keepNext/>
        <w:keepLines/>
        <w:widowControl/>
        <w:tabs>
          <w:tab w:val="left" w:pos="0"/>
        </w:tabs>
        <w:rPr>
          <w:rFonts w:ascii="Times New Roman" w:hAnsi="Times New Roman"/>
          <w:color w:val="000000"/>
        </w:rPr>
      </w:pPr>
    </w:p>
    <w:p w:rsidR="009E1D15" w:rsidRDefault="009E1D15" w:rsidP="009B0CD7">
      <w:pPr>
        <w:pStyle w:val="a"/>
        <w:keepLines/>
        <w:widowControl/>
        <w:tabs>
          <w:tab w:val="left" w:pos="0"/>
          <w:tab w:val="left" w:pos="1080"/>
        </w:tabs>
        <w:ind w:left="1080" w:hanging="360"/>
        <w:rPr>
          <w:rFonts w:ascii="Times New Roman" w:hAnsi="Times New Roman"/>
          <w:color w:val="000000"/>
        </w:rPr>
      </w:pPr>
      <w:r>
        <w:rPr>
          <w:rFonts w:ascii="Times New Roman" w:hAnsi="Times New Roman"/>
          <w:color w:val="000000"/>
        </w:rPr>
        <w:sym w:font="WP MathA" w:char="F043"/>
      </w:r>
      <w:r w:rsidR="009B0CD7">
        <w:rPr>
          <w:rFonts w:ascii="Times New Roman" w:hAnsi="Times New Roman"/>
          <w:color w:val="000000"/>
        </w:rPr>
        <w:tab/>
      </w:r>
      <w:r>
        <w:rPr>
          <w:rFonts w:ascii="Times New Roman" w:hAnsi="Times New Roman"/>
          <w:i/>
          <w:iCs/>
          <w:color w:val="000000"/>
        </w:rPr>
        <w:t>Review of instructions, guidance and regulations</w:t>
      </w:r>
      <w:r>
        <w:rPr>
          <w:rFonts w:ascii="Times New Roman" w:hAnsi="Times New Roman"/>
          <w:color w:val="000000"/>
        </w:rPr>
        <w:t>: Includes time reviewing documents necessary for the State/Tribe to revise its standards.</w:t>
      </w:r>
      <w:r w:rsidR="0068763C">
        <w:rPr>
          <w:rFonts w:ascii="Times New Roman" w:hAnsi="Times New Roman"/>
          <w:color w:val="000000"/>
        </w:rPr>
        <w:t xml:space="preserve"> </w:t>
      </w:r>
      <w:r>
        <w:rPr>
          <w:rFonts w:ascii="Times New Roman" w:hAnsi="Times New Roman"/>
          <w:color w:val="000000"/>
        </w:rPr>
        <w:t>Burden hours may vary, depending on staff knowledge and turnover rates.</w:t>
      </w:r>
      <w:r w:rsidR="0068763C">
        <w:rPr>
          <w:rFonts w:ascii="Times New Roman" w:hAnsi="Times New Roman"/>
          <w:color w:val="000000"/>
        </w:rPr>
        <w:t xml:space="preserve"> </w:t>
      </w:r>
      <w:r>
        <w:rPr>
          <w:rFonts w:ascii="Times New Roman" w:hAnsi="Times New Roman"/>
          <w:color w:val="000000"/>
        </w:rPr>
        <w:t>(Note that time spent in the field, laboratory and office performing and documenting special water quality</w:t>
      </w:r>
      <w:r>
        <w:rPr>
          <w:rFonts w:ascii="Times New Roman" w:hAnsi="Times New Roman"/>
          <w:color w:val="000000"/>
        </w:rPr>
        <w:noBreakHyphen/>
        <w:t xml:space="preserve">monitoring studies or surveys in connection with the </w:t>
      </w:r>
      <w:r w:rsidR="00E03559">
        <w:rPr>
          <w:rFonts w:ascii="Times New Roman" w:hAnsi="Times New Roman"/>
          <w:color w:val="000000"/>
        </w:rPr>
        <w:t>WQS</w:t>
      </w:r>
      <w:r>
        <w:rPr>
          <w:rFonts w:ascii="Times New Roman" w:hAnsi="Times New Roman"/>
          <w:color w:val="000000"/>
        </w:rPr>
        <w:t xml:space="preserve"> Program is considered under other categories.)</w:t>
      </w:r>
    </w:p>
    <w:p w:rsidR="009E1D15" w:rsidRDefault="009E1D15">
      <w:pPr>
        <w:widowControl/>
        <w:tabs>
          <w:tab w:val="left" w:pos="0"/>
        </w:tabs>
        <w:ind w:left="720"/>
        <w:rPr>
          <w:rFonts w:ascii="Times New Roman" w:hAnsi="Times New Roman"/>
          <w:color w:val="000000"/>
        </w:rPr>
      </w:pPr>
      <w:r>
        <w:rPr>
          <w:rFonts w:ascii="Times New Roman" w:hAnsi="Times New Roman"/>
          <w:color w:val="000000"/>
        </w:rPr>
        <w:t xml:space="preserve"> </w:t>
      </w:r>
    </w:p>
    <w:p w:rsidR="009E1D15" w:rsidRDefault="009E1D15" w:rsidP="009B0CD7">
      <w:pPr>
        <w:pStyle w:val="a"/>
        <w:widowControl/>
        <w:tabs>
          <w:tab w:val="left" w:pos="0"/>
          <w:tab w:val="left" w:pos="1080"/>
        </w:tabs>
        <w:ind w:left="1080" w:hanging="360"/>
        <w:rPr>
          <w:rFonts w:ascii="Times New Roman" w:hAnsi="Times New Roman"/>
          <w:color w:val="000000"/>
        </w:rPr>
      </w:pPr>
      <w:r>
        <w:rPr>
          <w:rFonts w:ascii="Times New Roman" w:hAnsi="Times New Roman"/>
          <w:color w:val="000000"/>
        </w:rPr>
        <w:sym w:font="WP MathA" w:char="F043"/>
      </w:r>
      <w:r>
        <w:rPr>
          <w:rFonts w:ascii="Times New Roman" w:hAnsi="Times New Roman"/>
          <w:color w:val="000000"/>
        </w:rPr>
        <w:tab/>
      </w:r>
      <w:r>
        <w:rPr>
          <w:rFonts w:ascii="Times New Roman" w:hAnsi="Times New Roman"/>
          <w:i/>
          <w:iCs/>
          <w:color w:val="000000"/>
        </w:rPr>
        <w:t>Identify issues and plan activities</w:t>
      </w:r>
      <w:r>
        <w:rPr>
          <w:rFonts w:ascii="Times New Roman" w:hAnsi="Times New Roman"/>
          <w:color w:val="000000"/>
        </w:rPr>
        <w:t>:</w:t>
      </w:r>
      <w:r>
        <w:rPr>
          <w:rFonts w:ascii="Times New Roman" w:hAnsi="Times New Roman"/>
          <w:i/>
          <w:iCs/>
          <w:color w:val="000000"/>
        </w:rPr>
        <w:t xml:space="preserve"> </w:t>
      </w:r>
      <w:r>
        <w:rPr>
          <w:rFonts w:ascii="Times New Roman" w:hAnsi="Times New Roman"/>
          <w:color w:val="000000"/>
        </w:rPr>
        <w:t>Includes identifying the standards issues to be addressed, ordering the standards issues based on EPA and State or Tribal priorities and policies, and planning the activities to be performed.</w:t>
      </w:r>
      <w:r w:rsidR="0068763C">
        <w:rPr>
          <w:rFonts w:ascii="Times New Roman" w:hAnsi="Times New Roman"/>
          <w:color w:val="000000"/>
        </w:rPr>
        <w:t xml:space="preserve"> </w:t>
      </w:r>
      <w:r>
        <w:rPr>
          <w:rFonts w:ascii="Times New Roman" w:hAnsi="Times New Roman"/>
          <w:color w:val="000000"/>
        </w:rPr>
        <w:t>Also includes gathering and analyzing existing water quality data and waterbody use information as needed.</w:t>
      </w:r>
      <w:r w:rsidR="0068763C">
        <w:rPr>
          <w:rFonts w:ascii="Times New Roman" w:hAnsi="Times New Roman"/>
          <w:color w:val="000000"/>
        </w:rPr>
        <w:t xml:space="preserve"> </w:t>
      </w:r>
      <w:r>
        <w:rPr>
          <w:rFonts w:ascii="Times New Roman" w:hAnsi="Times New Roman"/>
          <w:color w:val="000000"/>
        </w:rPr>
        <w:t xml:space="preserve">Planned activities may include developing site-specific criteria modifications, and conducting </w:t>
      </w:r>
      <w:r w:rsidR="00F616B8">
        <w:rPr>
          <w:rFonts w:ascii="Times New Roman" w:hAnsi="Times New Roman"/>
          <w:color w:val="000000"/>
        </w:rPr>
        <w:t>UAAs</w:t>
      </w:r>
      <w:r>
        <w:rPr>
          <w:rFonts w:ascii="Times New Roman" w:hAnsi="Times New Roman"/>
          <w:color w:val="000000"/>
        </w:rPr>
        <w:t>.</w:t>
      </w:r>
    </w:p>
    <w:p w:rsidR="009E1D15" w:rsidRDefault="009E1D15">
      <w:pPr>
        <w:widowControl/>
        <w:tabs>
          <w:tab w:val="left" w:pos="0"/>
        </w:tabs>
        <w:rPr>
          <w:rFonts w:ascii="Times New Roman" w:hAnsi="Times New Roman"/>
          <w:color w:val="000000"/>
        </w:rPr>
      </w:pPr>
    </w:p>
    <w:p w:rsidR="009E1D15" w:rsidRDefault="00F616B8" w:rsidP="009B0CD7">
      <w:pPr>
        <w:pStyle w:val="a"/>
        <w:widowControl/>
        <w:numPr>
          <w:ilvl w:val="0"/>
          <w:numId w:val="9"/>
        </w:numPr>
        <w:tabs>
          <w:tab w:val="left" w:pos="0"/>
        </w:tabs>
        <w:rPr>
          <w:rFonts w:ascii="Times New Roman" w:hAnsi="Times New Roman"/>
          <w:color w:val="000000"/>
        </w:rPr>
      </w:pPr>
      <w:r>
        <w:rPr>
          <w:rFonts w:ascii="Times New Roman" w:hAnsi="Times New Roman"/>
          <w:i/>
          <w:iCs/>
          <w:color w:val="000000"/>
        </w:rPr>
        <w:t>UAA</w:t>
      </w:r>
      <w:r w:rsidR="009E1D15">
        <w:rPr>
          <w:rFonts w:ascii="Times New Roman" w:hAnsi="Times New Roman"/>
          <w:i/>
          <w:iCs/>
          <w:color w:val="000000"/>
        </w:rPr>
        <w:t xml:space="preserve"> studies conducted to support a possible change in use designation</w:t>
      </w:r>
      <w:r w:rsidR="009E1D15">
        <w:rPr>
          <w:rFonts w:ascii="Times New Roman" w:hAnsi="Times New Roman"/>
          <w:color w:val="000000"/>
        </w:rPr>
        <w:t xml:space="preserve">: The </w:t>
      </w:r>
      <w:r w:rsidR="00563712">
        <w:rPr>
          <w:rFonts w:ascii="Times New Roman" w:hAnsi="Times New Roman"/>
          <w:color w:val="000000"/>
        </w:rPr>
        <w:t>WQS r</w:t>
      </w:r>
      <w:r w:rsidR="009E1D15">
        <w:rPr>
          <w:rFonts w:ascii="Times New Roman" w:hAnsi="Times New Roman"/>
          <w:color w:val="000000"/>
        </w:rPr>
        <w:t xml:space="preserve">egulation in section 131.10 requires </w:t>
      </w:r>
      <w:r w:rsidR="00B95A97">
        <w:rPr>
          <w:rFonts w:ascii="Times New Roman" w:hAnsi="Times New Roman"/>
          <w:color w:val="000000"/>
        </w:rPr>
        <w:t>a</w:t>
      </w:r>
      <w:r w:rsidR="009E1D15">
        <w:rPr>
          <w:rFonts w:ascii="Times New Roman" w:hAnsi="Times New Roman"/>
          <w:color w:val="000000"/>
        </w:rPr>
        <w:t xml:space="preserve"> UAAs when a State or Tribe </w:t>
      </w:r>
      <w:r w:rsidR="00B95A97">
        <w:rPr>
          <w:rFonts w:ascii="Times New Roman" w:hAnsi="Times New Roman"/>
          <w:color w:val="000000"/>
        </w:rPr>
        <w:t>designates uses that do not include the uses specified in section 101(a)(2) of the CWA, removes a designated use specified in section 101(a)(2) of the Act, or adopts sub-categories of such uses that require less stringent criteria</w:t>
      </w:r>
      <w:r w:rsidR="00563712">
        <w:rPr>
          <w:rFonts w:ascii="Times New Roman" w:hAnsi="Times New Roman"/>
          <w:color w:val="000000"/>
        </w:rPr>
        <w:t>. Designated uses may only be removed if they are not existing uses</w:t>
      </w:r>
      <w:r w:rsidR="009E1D15">
        <w:rPr>
          <w:rFonts w:ascii="Times New Roman" w:hAnsi="Times New Roman"/>
          <w:color w:val="000000"/>
        </w:rPr>
        <w:t>.</w:t>
      </w:r>
      <w:r w:rsidR="0068763C">
        <w:rPr>
          <w:rFonts w:ascii="Times New Roman" w:hAnsi="Times New Roman"/>
          <w:color w:val="000000"/>
        </w:rPr>
        <w:t xml:space="preserve"> </w:t>
      </w:r>
      <w:r w:rsidR="009E1D15">
        <w:rPr>
          <w:rFonts w:ascii="Times New Roman" w:hAnsi="Times New Roman"/>
          <w:color w:val="000000"/>
        </w:rPr>
        <w:t>UAAs are structured scientific assessments of the factors affecting attainment of a use, including physical, chemical, biological, and economic factors specified in section 131.10(g) of the Regulation.</w:t>
      </w:r>
      <w:r w:rsidR="009E1D15">
        <w:rPr>
          <w:rStyle w:val="FootnoteReference"/>
          <w:rFonts w:ascii="Times New Roman" w:hAnsi="Times New Roman"/>
          <w:color w:val="000000"/>
          <w:vertAlign w:val="superscript"/>
        </w:rPr>
        <w:footnoteReference w:id="5"/>
      </w:r>
      <w:r w:rsidR="0068763C">
        <w:rPr>
          <w:rFonts w:ascii="Times New Roman" w:hAnsi="Times New Roman"/>
          <w:color w:val="000000"/>
        </w:rPr>
        <w:t xml:space="preserve"> </w:t>
      </w:r>
      <w:r>
        <w:rPr>
          <w:rFonts w:ascii="Times New Roman" w:hAnsi="Times New Roman"/>
          <w:color w:val="000000"/>
        </w:rPr>
        <w:t xml:space="preserve">The </w:t>
      </w:r>
      <w:r w:rsidR="009E1D15">
        <w:rPr>
          <w:rFonts w:ascii="Times New Roman" w:hAnsi="Times New Roman"/>
          <w:color w:val="000000"/>
        </w:rPr>
        <w:t>EPA has published a series of technical guidance documents concerning UAAs.</w:t>
      </w:r>
      <w:r w:rsidR="0068763C">
        <w:rPr>
          <w:rFonts w:ascii="Times New Roman" w:hAnsi="Times New Roman"/>
          <w:color w:val="000000"/>
        </w:rPr>
        <w:t xml:space="preserve"> </w:t>
      </w:r>
      <w:r w:rsidR="009E1D15">
        <w:rPr>
          <w:rFonts w:ascii="Times New Roman" w:hAnsi="Times New Roman"/>
          <w:color w:val="000000"/>
        </w:rPr>
        <w:t xml:space="preserve">The actual experiences of </w:t>
      </w:r>
      <w:r w:rsidR="00563712">
        <w:rPr>
          <w:rFonts w:ascii="Times New Roman" w:hAnsi="Times New Roman"/>
          <w:color w:val="000000"/>
        </w:rPr>
        <w:t>s</w:t>
      </w:r>
      <w:r w:rsidR="009E1D15">
        <w:rPr>
          <w:rFonts w:ascii="Times New Roman" w:hAnsi="Times New Roman"/>
          <w:color w:val="000000"/>
        </w:rPr>
        <w:t xml:space="preserve">tates were the primary basis of this portion of the burden estimate. Burden estimates include a mix of </w:t>
      </w:r>
      <w:r w:rsidR="005E4CAC">
        <w:rPr>
          <w:rFonts w:ascii="Times New Roman" w:hAnsi="Times New Roman"/>
          <w:color w:val="000000"/>
        </w:rPr>
        <w:t>“</w:t>
      </w:r>
      <w:r w:rsidR="00563712">
        <w:rPr>
          <w:rFonts w:ascii="Times New Roman" w:hAnsi="Times New Roman"/>
          <w:color w:val="000000"/>
        </w:rPr>
        <w:t>s</w:t>
      </w:r>
      <w:r w:rsidR="009E1D15">
        <w:rPr>
          <w:rFonts w:ascii="Times New Roman" w:hAnsi="Times New Roman"/>
          <w:color w:val="000000"/>
        </w:rPr>
        <w:t>imple</w:t>
      </w:r>
      <w:r w:rsidR="005E4CAC">
        <w:rPr>
          <w:rFonts w:ascii="Times New Roman" w:hAnsi="Times New Roman"/>
          <w:color w:val="000000"/>
        </w:rPr>
        <w:t>”</w:t>
      </w:r>
      <w:r w:rsidR="009E1D15">
        <w:rPr>
          <w:rFonts w:ascii="Times New Roman" w:hAnsi="Times New Roman"/>
          <w:color w:val="000000"/>
        </w:rPr>
        <w:t xml:space="preserve"> cases, involving small water segments, segments where only minor augmentation of physical, chemical and/or biological data are needed, or where simple corrections are needed to correct earlier use classifications; and "</w:t>
      </w:r>
      <w:r w:rsidR="00563712">
        <w:rPr>
          <w:rFonts w:ascii="Times New Roman" w:hAnsi="Times New Roman"/>
          <w:color w:val="000000"/>
        </w:rPr>
        <w:t>c</w:t>
      </w:r>
      <w:r w:rsidR="009E1D15">
        <w:rPr>
          <w:rFonts w:ascii="Times New Roman" w:hAnsi="Times New Roman"/>
          <w:color w:val="000000"/>
        </w:rPr>
        <w:t>omplex" cases generally involving multiple dischargers, larger water segments, and fewer existing physical, chemical, or biological data.</w:t>
      </w:r>
      <w:r w:rsidR="0068763C">
        <w:rPr>
          <w:rFonts w:ascii="Times New Roman" w:hAnsi="Times New Roman"/>
          <w:color w:val="000000"/>
        </w:rPr>
        <w:t xml:space="preserve"> </w:t>
      </w:r>
      <w:r w:rsidR="009E1D15">
        <w:rPr>
          <w:rFonts w:ascii="Times New Roman" w:hAnsi="Times New Roman"/>
          <w:color w:val="000000"/>
        </w:rPr>
        <w:t>Complex cases may involve performing a waterbody survey to help pinpoint the water quality problems and determine present uses, uses impaired, and the reasons the uses are impaired.</w:t>
      </w:r>
      <w:r w:rsidR="0068763C">
        <w:rPr>
          <w:rFonts w:ascii="Times New Roman" w:hAnsi="Times New Roman"/>
          <w:color w:val="000000"/>
        </w:rPr>
        <w:t xml:space="preserve"> </w:t>
      </w:r>
      <w:r w:rsidR="009E1D15">
        <w:rPr>
          <w:rFonts w:ascii="Times New Roman" w:hAnsi="Times New Roman"/>
          <w:color w:val="000000"/>
        </w:rPr>
        <w:t xml:space="preserve">For purposes of this burden calculation, it was assumed that the </w:t>
      </w:r>
      <w:r w:rsidR="00563712">
        <w:rPr>
          <w:rFonts w:ascii="Times New Roman" w:hAnsi="Times New Roman"/>
          <w:color w:val="000000"/>
        </w:rPr>
        <w:t>s</w:t>
      </w:r>
      <w:r w:rsidR="009E1D15">
        <w:rPr>
          <w:rFonts w:ascii="Times New Roman" w:hAnsi="Times New Roman"/>
          <w:color w:val="000000"/>
        </w:rPr>
        <w:t>tates would devote some supplementary review time to significant or controversial UAAs.</w:t>
      </w:r>
    </w:p>
    <w:p w:rsidR="009E1D15" w:rsidRDefault="009E1D15" w:rsidP="009B0CD7">
      <w:pPr>
        <w:pStyle w:val="a"/>
        <w:widowControl/>
        <w:tabs>
          <w:tab w:val="left" w:pos="0"/>
          <w:tab w:val="left" w:pos="1080"/>
        </w:tabs>
        <w:ind w:left="1080" w:hanging="360"/>
        <w:rPr>
          <w:rFonts w:ascii="Times New Roman" w:hAnsi="Times New Roman"/>
          <w:color w:val="000000"/>
        </w:rPr>
      </w:pPr>
      <w:r>
        <w:rPr>
          <w:rFonts w:ascii="Times New Roman" w:hAnsi="Times New Roman"/>
          <w:color w:val="000000"/>
        </w:rPr>
        <w:lastRenderedPageBreak/>
        <w:tab/>
      </w:r>
    </w:p>
    <w:p w:rsidR="009E1D15" w:rsidRDefault="009E1D15" w:rsidP="009B0CD7">
      <w:pPr>
        <w:pStyle w:val="a"/>
        <w:widowControl/>
        <w:tabs>
          <w:tab w:val="left" w:pos="0"/>
          <w:tab w:val="left" w:pos="1080"/>
        </w:tabs>
        <w:ind w:left="1080" w:hanging="360"/>
        <w:rPr>
          <w:rFonts w:ascii="Times New Roman" w:hAnsi="Times New Roman"/>
          <w:color w:val="000000"/>
        </w:rPr>
      </w:pPr>
      <w:r>
        <w:rPr>
          <w:rFonts w:ascii="Times New Roman" w:hAnsi="Times New Roman"/>
          <w:color w:val="000000"/>
        </w:rPr>
        <w:sym w:font="WP MathA" w:char="F043"/>
      </w:r>
      <w:r>
        <w:rPr>
          <w:rFonts w:ascii="Times New Roman" w:hAnsi="Times New Roman"/>
          <w:color w:val="000000"/>
        </w:rPr>
        <w:tab/>
      </w:r>
      <w:r>
        <w:rPr>
          <w:rFonts w:ascii="Times New Roman" w:hAnsi="Times New Roman"/>
          <w:i/>
          <w:iCs/>
          <w:color w:val="000000"/>
        </w:rPr>
        <w:t xml:space="preserve">Prepare revised </w:t>
      </w:r>
      <w:r w:rsidR="00E03559">
        <w:rPr>
          <w:rFonts w:ascii="Times New Roman" w:hAnsi="Times New Roman"/>
          <w:i/>
          <w:iCs/>
          <w:color w:val="000000"/>
        </w:rPr>
        <w:t>WQS</w:t>
      </w:r>
      <w:r>
        <w:rPr>
          <w:rFonts w:ascii="Times New Roman" w:hAnsi="Times New Roman"/>
          <w:i/>
          <w:iCs/>
          <w:color w:val="000000"/>
        </w:rPr>
        <w:t xml:space="preserve"> package for submission</w:t>
      </w:r>
      <w:r>
        <w:rPr>
          <w:rFonts w:ascii="Times New Roman" w:hAnsi="Times New Roman"/>
          <w:color w:val="000000"/>
        </w:rPr>
        <w:t xml:space="preserve">: Includes determining changes to be made to the existing standards, preparing and reviewing the revised standards package, adopting the revised standards according to the </w:t>
      </w:r>
      <w:r w:rsidR="00810244">
        <w:rPr>
          <w:rFonts w:ascii="Times New Roman" w:hAnsi="Times New Roman"/>
          <w:color w:val="000000"/>
        </w:rPr>
        <w:t>State’s</w:t>
      </w:r>
      <w:r>
        <w:rPr>
          <w:rFonts w:ascii="Times New Roman" w:hAnsi="Times New Roman"/>
          <w:color w:val="000000"/>
        </w:rPr>
        <w:t>/Tribe</w:t>
      </w:r>
      <w:r w:rsidR="005E4CAC">
        <w:rPr>
          <w:rFonts w:ascii="Times New Roman" w:hAnsi="Times New Roman"/>
          <w:color w:val="000000"/>
        </w:rPr>
        <w:t>’</w:t>
      </w:r>
      <w:r>
        <w:rPr>
          <w:rFonts w:ascii="Times New Roman" w:hAnsi="Times New Roman"/>
          <w:color w:val="000000"/>
        </w:rPr>
        <w:t xml:space="preserve">s internal administrative procedures and </w:t>
      </w:r>
      <w:r w:rsidR="00F616B8">
        <w:rPr>
          <w:rFonts w:ascii="Times New Roman" w:hAnsi="Times New Roman"/>
          <w:color w:val="000000"/>
        </w:rPr>
        <w:t xml:space="preserve">the </w:t>
      </w:r>
      <w:r w:rsidR="00810244">
        <w:rPr>
          <w:rFonts w:ascii="Times New Roman" w:hAnsi="Times New Roman"/>
          <w:color w:val="000000"/>
        </w:rPr>
        <w:t xml:space="preserve">EPA’s </w:t>
      </w:r>
      <w:r>
        <w:rPr>
          <w:rFonts w:ascii="Times New Roman" w:hAnsi="Times New Roman"/>
          <w:color w:val="000000"/>
        </w:rPr>
        <w:t xml:space="preserve">public participation requirements, conducting a public hearing, and submitting the revised standards to </w:t>
      </w:r>
      <w:r w:rsidR="00F616B8">
        <w:rPr>
          <w:rFonts w:ascii="Times New Roman" w:hAnsi="Times New Roman"/>
          <w:color w:val="000000"/>
        </w:rPr>
        <w:t xml:space="preserve">the </w:t>
      </w:r>
      <w:r>
        <w:rPr>
          <w:rFonts w:ascii="Times New Roman" w:hAnsi="Times New Roman"/>
          <w:color w:val="000000"/>
        </w:rPr>
        <w:t>EPA for approval.</w:t>
      </w:r>
      <w:r w:rsidR="0068763C">
        <w:rPr>
          <w:rFonts w:ascii="Times New Roman" w:hAnsi="Times New Roman"/>
          <w:color w:val="000000"/>
        </w:rPr>
        <w:t xml:space="preserve"> </w:t>
      </w:r>
      <w:r>
        <w:rPr>
          <w:rFonts w:ascii="Times New Roman" w:hAnsi="Times New Roman"/>
          <w:color w:val="000000"/>
        </w:rPr>
        <w:t xml:space="preserve">Also includes the time State or Tribal agency </w:t>
      </w:r>
      <w:r w:rsidR="00450E20">
        <w:rPr>
          <w:rFonts w:ascii="Times New Roman" w:hAnsi="Times New Roman"/>
          <w:color w:val="000000"/>
        </w:rPr>
        <w:t>staff spends</w:t>
      </w:r>
      <w:r>
        <w:rPr>
          <w:rFonts w:ascii="Times New Roman" w:hAnsi="Times New Roman"/>
          <w:color w:val="000000"/>
        </w:rPr>
        <w:t xml:space="preserve"> in consultation with the State legislature and legislative committees or Tribal Council, respectively.</w:t>
      </w:r>
    </w:p>
    <w:p w:rsidR="009E1D15" w:rsidRDefault="009E1D15">
      <w:pPr>
        <w:widowControl/>
        <w:tabs>
          <w:tab w:val="left" w:pos="0"/>
        </w:tabs>
        <w:rPr>
          <w:rFonts w:ascii="Times New Roman" w:hAnsi="Times New Roman"/>
          <w:color w:val="000000"/>
        </w:rPr>
      </w:pPr>
    </w:p>
    <w:p w:rsidR="009E1D15" w:rsidRDefault="009E1D15" w:rsidP="009B0CD7">
      <w:pPr>
        <w:pStyle w:val="a"/>
        <w:widowControl/>
        <w:tabs>
          <w:tab w:val="left" w:pos="0"/>
          <w:tab w:val="left" w:pos="1080"/>
        </w:tabs>
        <w:ind w:left="1080" w:hanging="360"/>
        <w:rPr>
          <w:rFonts w:ascii="Times New Roman" w:hAnsi="Times New Roman"/>
          <w:color w:val="000000"/>
        </w:rPr>
      </w:pPr>
      <w:r>
        <w:rPr>
          <w:rFonts w:ascii="Times New Roman" w:hAnsi="Times New Roman"/>
          <w:color w:val="000000"/>
        </w:rPr>
        <w:sym w:font="WP MathA" w:char="F043"/>
      </w:r>
      <w:r>
        <w:rPr>
          <w:rFonts w:ascii="Times New Roman" w:hAnsi="Times New Roman"/>
          <w:color w:val="000000"/>
        </w:rPr>
        <w:tab/>
      </w:r>
      <w:r>
        <w:rPr>
          <w:rFonts w:ascii="Times New Roman" w:hAnsi="Times New Roman"/>
          <w:i/>
          <w:iCs/>
          <w:color w:val="000000"/>
        </w:rPr>
        <w:t xml:space="preserve">Certification by the State Attorney General or other appropriate legal authority that </w:t>
      </w:r>
      <w:r w:rsidR="00E03559">
        <w:rPr>
          <w:rFonts w:ascii="Times New Roman" w:hAnsi="Times New Roman"/>
          <w:i/>
          <w:iCs/>
          <w:color w:val="000000"/>
        </w:rPr>
        <w:t>WQS</w:t>
      </w:r>
      <w:r>
        <w:rPr>
          <w:rFonts w:ascii="Times New Roman" w:hAnsi="Times New Roman"/>
          <w:i/>
          <w:iCs/>
          <w:color w:val="000000"/>
        </w:rPr>
        <w:t xml:space="preserve"> were duly adopted according to </w:t>
      </w:r>
      <w:r w:rsidR="00563712">
        <w:rPr>
          <w:rFonts w:ascii="Times New Roman" w:hAnsi="Times New Roman"/>
          <w:i/>
          <w:iCs/>
          <w:color w:val="000000"/>
        </w:rPr>
        <w:t>s</w:t>
      </w:r>
      <w:r>
        <w:rPr>
          <w:rFonts w:ascii="Times New Roman" w:hAnsi="Times New Roman"/>
          <w:i/>
          <w:iCs/>
          <w:color w:val="000000"/>
        </w:rPr>
        <w:t>tate law</w:t>
      </w:r>
      <w:r>
        <w:rPr>
          <w:rFonts w:ascii="Times New Roman" w:hAnsi="Times New Roman"/>
          <w:color w:val="000000"/>
        </w:rPr>
        <w:t xml:space="preserve">: Any time a </w:t>
      </w:r>
      <w:r w:rsidR="00563712">
        <w:rPr>
          <w:rFonts w:ascii="Times New Roman" w:hAnsi="Times New Roman"/>
          <w:color w:val="000000"/>
        </w:rPr>
        <w:t>s</w:t>
      </w:r>
      <w:r>
        <w:rPr>
          <w:rFonts w:ascii="Times New Roman" w:hAnsi="Times New Roman"/>
          <w:color w:val="000000"/>
        </w:rPr>
        <w:t xml:space="preserve">tate or </w:t>
      </w:r>
      <w:r w:rsidR="00563712">
        <w:rPr>
          <w:rFonts w:ascii="Times New Roman" w:hAnsi="Times New Roman"/>
          <w:color w:val="000000"/>
        </w:rPr>
        <w:t>t</w:t>
      </w:r>
      <w:r>
        <w:rPr>
          <w:rFonts w:ascii="Times New Roman" w:hAnsi="Times New Roman"/>
          <w:color w:val="000000"/>
        </w:rPr>
        <w:t xml:space="preserve">ribe adopts </w:t>
      </w:r>
      <w:r w:rsidR="00B95A97">
        <w:rPr>
          <w:rFonts w:ascii="Times New Roman" w:hAnsi="Times New Roman"/>
          <w:color w:val="000000"/>
        </w:rPr>
        <w:t xml:space="preserve">new </w:t>
      </w:r>
      <w:r>
        <w:rPr>
          <w:rFonts w:ascii="Times New Roman" w:hAnsi="Times New Roman"/>
          <w:color w:val="000000"/>
        </w:rPr>
        <w:t>or revise</w:t>
      </w:r>
      <w:r w:rsidR="00B95A97">
        <w:rPr>
          <w:rFonts w:ascii="Times New Roman" w:hAnsi="Times New Roman"/>
          <w:color w:val="000000"/>
        </w:rPr>
        <w:t>d</w:t>
      </w:r>
      <w:r>
        <w:rPr>
          <w:rFonts w:ascii="Times New Roman" w:hAnsi="Times New Roman"/>
          <w:color w:val="000000"/>
        </w:rPr>
        <w:t xml:space="preserve"> </w:t>
      </w:r>
      <w:r w:rsidR="00E03559">
        <w:rPr>
          <w:rFonts w:ascii="Times New Roman" w:hAnsi="Times New Roman"/>
          <w:color w:val="000000"/>
        </w:rPr>
        <w:t>WQS</w:t>
      </w:r>
      <w:r>
        <w:rPr>
          <w:rFonts w:ascii="Times New Roman" w:hAnsi="Times New Roman"/>
          <w:color w:val="000000"/>
        </w:rPr>
        <w:t xml:space="preserve">, the </w:t>
      </w:r>
      <w:r w:rsidR="00563712">
        <w:rPr>
          <w:rFonts w:ascii="Times New Roman" w:hAnsi="Times New Roman"/>
          <w:color w:val="000000"/>
        </w:rPr>
        <w:t>s</w:t>
      </w:r>
      <w:r>
        <w:rPr>
          <w:rFonts w:ascii="Times New Roman" w:hAnsi="Times New Roman"/>
          <w:color w:val="000000"/>
        </w:rPr>
        <w:t>tate/</w:t>
      </w:r>
      <w:r w:rsidR="00563712">
        <w:rPr>
          <w:rFonts w:ascii="Times New Roman" w:hAnsi="Times New Roman"/>
          <w:color w:val="000000"/>
        </w:rPr>
        <w:t>t</w:t>
      </w:r>
      <w:r>
        <w:rPr>
          <w:rFonts w:ascii="Times New Roman" w:hAnsi="Times New Roman"/>
          <w:color w:val="000000"/>
        </w:rPr>
        <w:t xml:space="preserve">ribal Attorney General or other appropriate legal authority must certify that the change was adopted according to the unique provisions of </w:t>
      </w:r>
      <w:r w:rsidR="00563712">
        <w:rPr>
          <w:rFonts w:ascii="Times New Roman" w:hAnsi="Times New Roman"/>
          <w:color w:val="000000"/>
        </w:rPr>
        <w:t>s</w:t>
      </w:r>
      <w:r>
        <w:rPr>
          <w:rFonts w:ascii="Times New Roman" w:hAnsi="Times New Roman"/>
          <w:color w:val="000000"/>
        </w:rPr>
        <w:t>tate law.</w:t>
      </w:r>
      <w:r w:rsidR="0068763C">
        <w:rPr>
          <w:rFonts w:ascii="Times New Roman" w:hAnsi="Times New Roman"/>
          <w:color w:val="000000"/>
        </w:rPr>
        <w:t xml:space="preserve"> </w:t>
      </w:r>
      <w:r>
        <w:rPr>
          <w:rFonts w:ascii="Times New Roman" w:hAnsi="Times New Roman"/>
          <w:color w:val="000000"/>
        </w:rPr>
        <w:t>This certification is in the form of a letter to the EPA Regional Administrator.</w:t>
      </w:r>
      <w:r w:rsidR="0068763C">
        <w:rPr>
          <w:rFonts w:ascii="Times New Roman" w:hAnsi="Times New Roman"/>
          <w:color w:val="000000"/>
        </w:rPr>
        <w:t xml:space="preserve"> </w:t>
      </w:r>
      <w:r>
        <w:rPr>
          <w:rFonts w:ascii="Times New Roman" w:hAnsi="Times New Roman"/>
          <w:color w:val="000000"/>
        </w:rPr>
        <w:t xml:space="preserve">This certification is necessary because </w:t>
      </w:r>
      <w:r w:rsidR="00563712">
        <w:rPr>
          <w:rFonts w:ascii="Times New Roman" w:hAnsi="Times New Roman"/>
          <w:color w:val="000000"/>
        </w:rPr>
        <w:t>s</w:t>
      </w:r>
      <w:r>
        <w:rPr>
          <w:rFonts w:ascii="Times New Roman" w:hAnsi="Times New Roman"/>
          <w:color w:val="000000"/>
        </w:rPr>
        <w:t xml:space="preserve">tate and </w:t>
      </w:r>
      <w:r w:rsidR="00563712">
        <w:rPr>
          <w:rFonts w:ascii="Times New Roman" w:hAnsi="Times New Roman"/>
          <w:color w:val="000000"/>
        </w:rPr>
        <w:t>t</w:t>
      </w:r>
      <w:r>
        <w:rPr>
          <w:rFonts w:ascii="Times New Roman" w:hAnsi="Times New Roman"/>
          <w:color w:val="000000"/>
        </w:rPr>
        <w:t xml:space="preserve">ribal </w:t>
      </w:r>
      <w:r w:rsidR="00E03559">
        <w:rPr>
          <w:rFonts w:ascii="Times New Roman" w:hAnsi="Times New Roman"/>
          <w:color w:val="000000"/>
        </w:rPr>
        <w:t>WQS</w:t>
      </w:r>
      <w:r>
        <w:rPr>
          <w:rFonts w:ascii="Times New Roman" w:hAnsi="Times New Roman"/>
          <w:color w:val="000000"/>
        </w:rPr>
        <w:t xml:space="preserve"> may result in enforceable requirements in NPDES permits or other controls.</w:t>
      </w:r>
      <w:r w:rsidR="0068763C">
        <w:rPr>
          <w:rFonts w:ascii="Times New Roman" w:hAnsi="Times New Roman"/>
          <w:color w:val="000000"/>
        </w:rPr>
        <w:t xml:space="preserve"> </w:t>
      </w:r>
      <w:r>
        <w:rPr>
          <w:rFonts w:ascii="Times New Roman" w:hAnsi="Times New Roman"/>
          <w:color w:val="000000"/>
        </w:rPr>
        <w:t xml:space="preserve">Before approving </w:t>
      </w:r>
      <w:r w:rsidR="00563712">
        <w:rPr>
          <w:rFonts w:ascii="Times New Roman" w:hAnsi="Times New Roman"/>
          <w:color w:val="000000"/>
        </w:rPr>
        <w:t>s</w:t>
      </w:r>
      <w:r>
        <w:rPr>
          <w:rFonts w:ascii="Times New Roman" w:hAnsi="Times New Roman"/>
          <w:color w:val="000000"/>
        </w:rPr>
        <w:t xml:space="preserve">tate or </w:t>
      </w:r>
      <w:r w:rsidR="00563712">
        <w:rPr>
          <w:rFonts w:ascii="Times New Roman" w:hAnsi="Times New Roman"/>
          <w:color w:val="000000"/>
        </w:rPr>
        <w:t>t</w:t>
      </w:r>
      <w:r>
        <w:rPr>
          <w:rFonts w:ascii="Times New Roman" w:hAnsi="Times New Roman"/>
          <w:color w:val="000000"/>
        </w:rPr>
        <w:t xml:space="preserve">ribal </w:t>
      </w:r>
      <w:r w:rsidR="00E03559">
        <w:rPr>
          <w:rFonts w:ascii="Times New Roman" w:hAnsi="Times New Roman"/>
          <w:color w:val="000000"/>
        </w:rPr>
        <w:t>WQS</w:t>
      </w:r>
      <w:r>
        <w:rPr>
          <w:rFonts w:ascii="Times New Roman" w:hAnsi="Times New Roman"/>
          <w:color w:val="000000"/>
        </w:rPr>
        <w:t xml:space="preserve">, </w:t>
      </w:r>
      <w:r w:rsidR="00F616B8">
        <w:rPr>
          <w:rFonts w:ascii="Times New Roman" w:hAnsi="Times New Roman"/>
          <w:color w:val="000000"/>
        </w:rPr>
        <w:t xml:space="preserve">the </w:t>
      </w:r>
      <w:r>
        <w:rPr>
          <w:rFonts w:ascii="Times New Roman" w:hAnsi="Times New Roman"/>
          <w:color w:val="000000"/>
        </w:rPr>
        <w:t>EPA must be assured of their legal validity.</w:t>
      </w:r>
    </w:p>
    <w:p w:rsidR="009E1D15" w:rsidRDefault="009E1D15">
      <w:pPr>
        <w:widowControl/>
        <w:tabs>
          <w:tab w:val="left" w:pos="0"/>
        </w:tabs>
        <w:rPr>
          <w:rFonts w:ascii="Times New Roman" w:hAnsi="Times New Roman"/>
          <w:color w:val="000000"/>
        </w:rPr>
      </w:pPr>
    </w:p>
    <w:p w:rsidR="00580340" w:rsidRDefault="00580340" w:rsidP="00097E59">
      <w:pPr>
        <w:widowControl/>
        <w:tabs>
          <w:tab w:val="left" w:pos="0"/>
        </w:tabs>
        <w:ind w:left="720" w:hanging="720"/>
        <w:rPr>
          <w:rFonts w:ascii="Times New Roman" w:hAnsi="Times New Roman"/>
          <w:b/>
          <w:color w:val="000000"/>
        </w:rPr>
      </w:pPr>
    </w:p>
    <w:p w:rsidR="009E1D15" w:rsidRPr="00F13C69" w:rsidRDefault="009E1D15" w:rsidP="00704F82">
      <w:pPr>
        <w:pStyle w:val="Heading1"/>
      </w:pPr>
      <w:bookmarkStart w:id="22" w:name="_Toc361990616"/>
      <w:r w:rsidRPr="00F13C69">
        <w:t>THE INFORMATION COLLECTED</w:t>
      </w:r>
      <w:r w:rsidR="00990946" w:rsidRPr="00F13C69">
        <w:softHyphen/>
        <w:t>–</w:t>
      </w:r>
      <w:r w:rsidRPr="00F13C69">
        <w:t>AGENCY ACTIVITIES, COLLECTION METHODOLOGY, AND INFORMATION MANAGEMENT</w:t>
      </w:r>
      <w:bookmarkEnd w:id="22"/>
    </w:p>
    <w:p w:rsidR="009E1D15" w:rsidRDefault="009E1D15">
      <w:pPr>
        <w:widowControl/>
        <w:tabs>
          <w:tab w:val="left" w:pos="0"/>
        </w:tabs>
        <w:rPr>
          <w:rFonts w:ascii="Times New Roman" w:hAnsi="Times New Roman"/>
          <w:color w:val="000000"/>
        </w:rPr>
      </w:pPr>
    </w:p>
    <w:p w:rsidR="009E1D15" w:rsidRPr="0078227A" w:rsidRDefault="0078227A" w:rsidP="00704F82">
      <w:pPr>
        <w:pStyle w:val="Heading2"/>
      </w:pPr>
      <w:bookmarkStart w:id="23" w:name="_Toc361990617"/>
      <w:r w:rsidRPr="0078227A">
        <w:t>Agency Activities</w:t>
      </w:r>
      <w:bookmarkEnd w:id="23"/>
    </w:p>
    <w:p w:rsidR="009E1D15" w:rsidRDefault="009E1D15">
      <w:pPr>
        <w:widowControl/>
        <w:tabs>
          <w:tab w:val="left" w:pos="0"/>
        </w:tabs>
        <w:rPr>
          <w:rFonts w:ascii="Times New Roman" w:hAnsi="Times New Roman"/>
          <w:color w:val="000000"/>
        </w:rPr>
      </w:pPr>
    </w:p>
    <w:p w:rsidR="009E1D15" w:rsidRDefault="009E1D15">
      <w:pPr>
        <w:widowControl/>
        <w:tabs>
          <w:tab w:val="left" w:pos="0"/>
        </w:tabs>
        <w:ind w:firstLine="720"/>
        <w:rPr>
          <w:rFonts w:ascii="Times New Roman" w:hAnsi="Times New Roman"/>
          <w:color w:val="000000"/>
        </w:rPr>
      </w:pPr>
      <w:r>
        <w:rPr>
          <w:rFonts w:ascii="Times New Roman" w:hAnsi="Times New Roman"/>
          <w:color w:val="000000"/>
        </w:rPr>
        <w:t xml:space="preserve">States and </w:t>
      </w:r>
      <w:r w:rsidR="00563712">
        <w:rPr>
          <w:rFonts w:ascii="Times New Roman" w:hAnsi="Times New Roman"/>
          <w:color w:val="000000"/>
        </w:rPr>
        <w:t>t</w:t>
      </w:r>
      <w:r>
        <w:rPr>
          <w:rFonts w:ascii="Times New Roman" w:hAnsi="Times New Roman"/>
          <w:color w:val="000000"/>
        </w:rPr>
        <w:t xml:space="preserve">ribes are required to review and, as appropriate, revise their </w:t>
      </w:r>
      <w:r w:rsidR="00E03559">
        <w:rPr>
          <w:rFonts w:ascii="Times New Roman" w:hAnsi="Times New Roman"/>
          <w:color w:val="000000"/>
        </w:rPr>
        <w:t>WQS</w:t>
      </w:r>
      <w:r>
        <w:rPr>
          <w:rFonts w:ascii="Times New Roman" w:hAnsi="Times New Roman"/>
          <w:color w:val="000000"/>
        </w:rPr>
        <w:t xml:space="preserve"> at least once every three years.</w:t>
      </w:r>
      <w:r w:rsidR="0068763C">
        <w:rPr>
          <w:rFonts w:ascii="Times New Roman" w:hAnsi="Times New Roman"/>
          <w:color w:val="000000"/>
        </w:rPr>
        <w:t xml:space="preserve"> </w:t>
      </w:r>
      <w:r>
        <w:rPr>
          <w:rFonts w:ascii="Times New Roman" w:hAnsi="Times New Roman"/>
          <w:color w:val="000000"/>
        </w:rPr>
        <w:t xml:space="preserve">The results of such review and revision must be submitted by </w:t>
      </w:r>
      <w:r w:rsidR="00563712">
        <w:rPr>
          <w:rFonts w:ascii="Times New Roman" w:hAnsi="Times New Roman"/>
          <w:color w:val="000000"/>
        </w:rPr>
        <w:t>s</w:t>
      </w:r>
      <w:r>
        <w:rPr>
          <w:rFonts w:ascii="Times New Roman" w:hAnsi="Times New Roman"/>
          <w:color w:val="000000"/>
        </w:rPr>
        <w:t xml:space="preserve">tates and </w:t>
      </w:r>
      <w:r w:rsidR="00563712">
        <w:rPr>
          <w:rFonts w:ascii="Times New Roman" w:hAnsi="Times New Roman"/>
          <w:color w:val="000000"/>
        </w:rPr>
        <w:t>t</w:t>
      </w:r>
      <w:r>
        <w:rPr>
          <w:rFonts w:ascii="Times New Roman" w:hAnsi="Times New Roman"/>
          <w:color w:val="000000"/>
        </w:rPr>
        <w:t xml:space="preserve">ribes to </w:t>
      </w:r>
      <w:r w:rsidR="00F616B8">
        <w:rPr>
          <w:rFonts w:ascii="Times New Roman" w:hAnsi="Times New Roman"/>
          <w:color w:val="000000"/>
        </w:rPr>
        <w:t xml:space="preserve">the </w:t>
      </w:r>
      <w:r>
        <w:rPr>
          <w:rFonts w:ascii="Times New Roman" w:hAnsi="Times New Roman"/>
          <w:color w:val="000000"/>
        </w:rPr>
        <w:t>EPA.</w:t>
      </w:r>
      <w:r w:rsidR="0068763C">
        <w:rPr>
          <w:rFonts w:ascii="Times New Roman" w:hAnsi="Times New Roman"/>
          <w:color w:val="000000"/>
        </w:rPr>
        <w:t xml:space="preserve"> </w:t>
      </w:r>
      <w:r w:rsidR="00F616B8">
        <w:rPr>
          <w:rFonts w:ascii="Times New Roman" w:hAnsi="Times New Roman"/>
          <w:color w:val="000000"/>
        </w:rPr>
        <w:t xml:space="preserve">The </w:t>
      </w:r>
      <w:r>
        <w:rPr>
          <w:rFonts w:ascii="Times New Roman" w:hAnsi="Times New Roman"/>
          <w:color w:val="000000"/>
        </w:rPr>
        <w:t xml:space="preserve">EPA reviews the </w:t>
      </w:r>
      <w:r w:rsidR="00563712">
        <w:rPr>
          <w:rFonts w:ascii="Times New Roman" w:hAnsi="Times New Roman"/>
          <w:color w:val="000000"/>
        </w:rPr>
        <w:t>s</w:t>
      </w:r>
      <w:r w:rsidR="00810244">
        <w:rPr>
          <w:rFonts w:ascii="Times New Roman" w:hAnsi="Times New Roman"/>
          <w:color w:val="000000"/>
        </w:rPr>
        <w:t xml:space="preserve">tates’ </w:t>
      </w:r>
      <w:r>
        <w:rPr>
          <w:rFonts w:ascii="Times New Roman" w:hAnsi="Times New Roman"/>
          <w:color w:val="000000"/>
        </w:rPr>
        <w:t xml:space="preserve">or </w:t>
      </w:r>
      <w:r w:rsidR="00563712">
        <w:rPr>
          <w:rFonts w:ascii="Times New Roman" w:hAnsi="Times New Roman"/>
          <w:color w:val="000000"/>
        </w:rPr>
        <w:t>t</w:t>
      </w:r>
      <w:r w:rsidR="00810244">
        <w:rPr>
          <w:rFonts w:ascii="Times New Roman" w:hAnsi="Times New Roman"/>
          <w:color w:val="000000"/>
        </w:rPr>
        <w:t xml:space="preserve">ribes’ </w:t>
      </w:r>
      <w:r w:rsidR="00E03559">
        <w:rPr>
          <w:rFonts w:ascii="Times New Roman" w:hAnsi="Times New Roman"/>
          <w:color w:val="000000"/>
        </w:rPr>
        <w:t>WQS</w:t>
      </w:r>
      <w:r>
        <w:rPr>
          <w:rFonts w:ascii="Times New Roman" w:hAnsi="Times New Roman"/>
          <w:color w:val="000000"/>
        </w:rPr>
        <w:t xml:space="preserve"> for consistency with the CWA</w:t>
      </w:r>
      <w:r w:rsidR="00563712">
        <w:rPr>
          <w:rFonts w:ascii="Times New Roman" w:hAnsi="Times New Roman"/>
          <w:color w:val="000000"/>
        </w:rPr>
        <w:t xml:space="preserve"> and the WQS regulation at 40 CFR Part 131</w:t>
      </w:r>
      <w:r>
        <w:rPr>
          <w:rFonts w:ascii="Times New Roman" w:hAnsi="Times New Roman"/>
          <w:color w:val="000000"/>
        </w:rPr>
        <w:t>.</w:t>
      </w:r>
      <w:r w:rsidR="0068763C">
        <w:rPr>
          <w:rFonts w:ascii="Times New Roman" w:hAnsi="Times New Roman"/>
          <w:color w:val="000000"/>
        </w:rPr>
        <w:t xml:space="preserve"> </w:t>
      </w:r>
      <w:r>
        <w:rPr>
          <w:rFonts w:ascii="Times New Roman" w:hAnsi="Times New Roman"/>
          <w:color w:val="000000"/>
        </w:rPr>
        <w:t xml:space="preserve">If the </w:t>
      </w:r>
      <w:r w:rsidR="00E03559">
        <w:rPr>
          <w:rFonts w:ascii="Times New Roman" w:hAnsi="Times New Roman"/>
          <w:color w:val="000000"/>
        </w:rPr>
        <w:t>WQS</w:t>
      </w:r>
      <w:r>
        <w:rPr>
          <w:rFonts w:ascii="Times New Roman" w:hAnsi="Times New Roman"/>
          <w:color w:val="000000"/>
        </w:rPr>
        <w:t xml:space="preserve"> are inconsistent with the Act</w:t>
      </w:r>
      <w:r w:rsidR="005641CE">
        <w:rPr>
          <w:rFonts w:ascii="Times New Roman" w:hAnsi="Times New Roman"/>
          <w:color w:val="000000"/>
        </w:rPr>
        <w:t xml:space="preserve"> and the state or tribe does not revise their WQS accordingly</w:t>
      </w:r>
      <w:r>
        <w:rPr>
          <w:rFonts w:ascii="Times New Roman" w:hAnsi="Times New Roman"/>
          <w:color w:val="000000"/>
        </w:rPr>
        <w:t xml:space="preserve">, </w:t>
      </w:r>
      <w:r w:rsidR="00F616B8">
        <w:rPr>
          <w:rFonts w:ascii="Times New Roman" w:hAnsi="Times New Roman"/>
          <w:color w:val="000000"/>
        </w:rPr>
        <w:t xml:space="preserve">the </w:t>
      </w:r>
      <w:r>
        <w:rPr>
          <w:rFonts w:ascii="Times New Roman" w:hAnsi="Times New Roman"/>
          <w:color w:val="000000"/>
        </w:rPr>
        <w:t xml:space="preserve">EPA must promulgate replacement </w:t>
      </w:r>
      <w:r w:rsidR="00563712">
        <w:rPr>
          <w:rFonts w:ascii="Times New Roman" w:hAnsi="Times New Roman"/>
          <w:color w:val="000000"/>
        </w:rPr>
        <w:t>f</w:t>
      </w:r>
      <w:r>
        <w:rPr>
          <w:rFonts w:ascii="Times New Roman" w:hAnsi="Times New Roman"/>
          <w:color w:val="000000"/>
        </w:rPr>
        <w:t>ederal standards.</w:t>
      </w:r>
      <w:r w:rsidR="0068763C">
        <w:rPr>
          <w:rFonts w:ascii="Times New Roman" w:hAnsi="Times New Roman"/>
          <w:color w:val="000000"/>
        </w:rPr>
        <w:t xml:space="preserve"> </w:t>
      </w:r>
    </w:p>
    <w:p w:rsidR="00C375A0" w:rsidRDefault="00C375A0">
      <w:pPr>
        <w:widowControl/>
        <w:tabs>
          <w:tab w:val="left" w:pos="0"/>
        </w:tabs>
        <w:ind w:firstLine="720"/>
        <w:rPr>
          <w:rFonts w:ascii="Times New Roman" w:hAnsi="Times New Roman"/>
          <w:color w:val="000000"/>
        </w:rPr>
      </w:pPr>
    </w:p>
    <w:p w:rsidR="009E1D15" w:rsidRDefault="00F616B8">
      <w:pPr>
        <w:widowControl/>
        <w:tabs>
          <w:tab w:val="left" w:pos="0"/>
        </w:tabs>
        <w:ind w:firstLine="720"/>
        <w:rPr>
          <w:rFonts w:ascii="Times New Roman" w:hAnsi="Times New Roman"/>
          <w:color w:val="000000"/>
        </w:rPr>
      </w:pPr>
      <w:r>
        <w:rPr>
          <w:rFonts w:ascii="Times New Roman" w:hAnsi="Times New Roman"/>
          <w:color w:val="000000"/>
        </w:rPr>
        <w:t xml:space="preserve">The </w:t>
      </w:r>
      <w:r w:rsidR="009E1D15">
        <w:rPr>
          <w:rFonts w:ascii="Times New Roman" w:hAnsi="Times New Roman"/>
          <w:color w:val="000000"/>
        </w:rPr>
        <w:t xml:space="preserve">EPA conducts a full range of activities to manage the </w:t>
      </w:r>
      <w:r w:rsidR="00E03559">
        <w:rPr>
          <w:rFonts w:ascii="Times New Roman" w:hAnsi="Times New Roman"/>
          <w:color w:val="000000"/>
        </w:rPr>
        <w:t>WQS</w:t>
      </w:r>
      <w:r w:rsidR="009E1D15">
        <w:rPr>
          <w:rFonts w:ascii="Times New Roman" w:hAnsi="Times New Roman"/>
          <w:color w:val="000000"/>
        </w:rPr>
        <w:t xml:space="preserve"> program. Activities related to, but </w:t>
      </w:r>
      <w:r w:rsidR="009E1D15">
        <w:rPr>
          <w:rFonts w:ascii="Times New Roman" w:hAnsi="Times New Roman"/>
          <w:color w:val="000000"/>
          <w:u w:val="single"/>
        </w:rPr>
        <w:t>not</w:t>
      </w:r>
      <w:r w:rsidR="009E1D15">
        <w:rPr>
          <w:rFonts w:ascii="Times New Roman" w:hAnsi="Times New Roman"/>
          <w:color w:val="000000"/>
        </w:rPr>
        <w:t xml:space="preserve"> included in, this ICR include the transmission of policy and guidance to the </w:t>
      </w:r>
      <w:r w:rsidR="00563712">
        <w:rPr>
          <w:rFonts w:ascii="Times New Roman" w:hAnsi="Times New Roman"/>
          <w:color w:val="000000"/>
        </w:rPr>
        <w:t>s</w:t>
      </w:r>
      <w:r w:rsidR="009E1D15">
        <w:rPr>
          <w:rFonts w:ascii="Times New Roman" w:hAnsi="Times New Roman"/>
          <w:color w:val="000000"/>
        </w:rPr>
        <w:t xml:space="preserve">tates and </w:t>
      </w:r>
      <w:r w:rsidR="00563712">
        <w:rPr>
          <w:rFonts w:ascii="Times New Roman" w:hAnsi="Times New Roman"/>
          <w:color w:val="000000"/>
        </w:rPr>
        <w:t>t</w:t>
      </w:r>
      <w:r w:rsidR="009E1D15">
        <w:rPr>
          <w:rFonts w:ascii="Times New Roman" w:hAnsi="Times New Roman"/>
          <w:color w:val="000000"/>
        </w:rPr>
        <w:t xml:space="preserve">ribes; development of recommended scientific water quality criteria; assisting </w:t>
      </w:r>
      <w:r w:rsidR="00563712">
        <w:rPr>
          <w:rFonts w:ascii="Times New Roman" w:hAnsi="Times New Roman"/>
          <w:color w:val="000000"/>
        </w:rPr>
        <w:t>s</w:t>
      </w:r>
      <w:r w:rsidR="009E1D15">
        <w:rPr>
          <w:rFonts w:ascii="Times New Roman" w:hAnsi="Times New Roman"/>
          <w:color w:val="000000"/>
        </w:rPr>
        <w:t xml:space="preserve">tates and </w:t>
      </w:r>
      <w:r w:rsidR="00563712">
        <w:rPr>
          <w:rFonts w:ascii="Times New Roman" w:hAnsi="Times New Roman"/>
          <w:color w:val="000000"/>
        </w:rPr>
        <w:t>t</w:t>
      </w:r>
      <w:r w:rsidR="009E1D15">
        <w:rPr>
          <w:rFonts w:ascii="Times New Roman" w:hAnsi="Times New Roman"/>
          <w:color w:val="000000"/>
        </w:rPr>
        <w:t xml:space="preserve">ribes in interpretation and implementation of regulations, policies and initiatives; and the coordination of activities related to standards with other CWA programs, with other federal agencies, and for interstate and international waters. See </w:t>
      </w:r>
      <w:r>
        <w:rPr>
          <w:rFonts w:ascii="Times New Roman" w:hAnsi="Times New Roman"/>
          <w:color w:val="000000"/>
        </w:rPr>
        <w:t xml:space="preserve">the </w:t>
      </w:r>
      <w:r w:rsidR="009E1D15">
        <w:rPr>
          <w:rFonts w:ascii="Times New Roman" w:hAnsi="Times New Roman"/>
          <w:color w:val="000000"/>
        </w:rPr>
        <w:t>EPA</w:t>
      </w:r>
      <w:r w:rsidR="00733419">
        <w:rPr>
          <w:rFonts w:ascii="Times New Roman" w:hAnsi="Times New Roman"/>
          <w:color w:val="000000"/>
        </w:rPr>
        <w:t>’</w:t>
      </w:r>
      <w:r w:rsidR="009E1D15">
        <w:rPr>
          <w:rFonts w:ascii="Times New Roman" w:hAnsi="Times New Roman"/>
          <w:color w:val="000000"/>
        </w:rPr>
        <w:t xml:space="preserve">s website, </w:t>
      </w:r>
      <w:r w:rsidR="00B95A97" w:rsidRPr="00B95A97">
        <w:rPr>
          <w:rStyle w:val="Hypertext"/>
          <w:rFonts w:ascii="Times New Roman" w:hAnsi="Times New Roman"/>
        </w:rPr>
        <w:t>http://water.epa.gov/scitech/</w:t>
      </w:r>
      <w:r w:rsidR="00B95A97" w:rsidRPr="00B95A97" w:rsidDel="00B95A97">
        <w:rPr>
          <w:rStyle w:val="Hypertext"/>
          <w:rFonts w:ascii="Times New Roman" w:hAnsi="Times New Roman"/>
        </w:rPr>
        <w:t xml:space="preserve"> </w:t>
      </w:r>
      <w:r w:rsidR="009E1D15">
        <w:rPr>
          <w:rFonts w:ascii="Times New Roman" w:hAnsi="Times New Roman"/>
          <w:color w:val="000000"/>
        </w:rPr>
        <w:t>for more information.</w:t>
      </w:r>
    </w:p>
    <w:p w:rsidR="009E1D15" w:rsidRDefault="009E1D15">
      <w:pPr>
        <w:widowControl/>
        <w:tabs>
          <w:tab w:val="left" w:pos="0"/>
        </w:tabs>
        <w:rPr>
          <w:rFonts w:ascii="Times New Roman" w:hAnsi="Times New Roman"/>
          <w:color w:val="000000"/>
        </w:rPr>
      </w:pPr>
    </w:p>
    <w:p w:rsidR="009E1D15" w:rsidRDefault="009E1D15">
      <w:pPr>
        <w:widowControl/>
        <w:tabs>
          <w:tab w:val="left" w:pos="0"/>
        </w:tabs>
        <w:ind w:firstLine="720"/>
        <w:rPr>
          <w:rFonts w:ascii="Times New Roman" w:hAnsi="Times New Roman"/>
          <w:color w:val="000000"/>
        </w:rPr>
      </w:pPr>
      <w:r>
        <w:rPr>
          <w:rFonts w:ascii="Times New Roman" w:hAnsi="Times New Roman"/>
          <w:color w:val="000000"/>
        </w:rPr>
        <w:t xml:space="preserve">For this ICR, EPA activities associated with </w:t>
      </w:r>
      <w:r w:rsidR="00E03559">
        <w:rPr>
          <w:rFonts w:ascii="Times New Roman" w:hAnsi="Times New Roman"/>
          <w:color w:val="000000"/>
        </w:rPr>
        <w:t>WQS</w:t>
      </w:r>
      <w:r>
        <w:rPr>
          <w:rFonts w:ascii="Times New Roman" w:hAnsi="Times New Roman"/>
          <w:color w:val="000000"/>
        </w:rPr>
        <w:t xml:space="preserve"> review include: </w:t>
      </w:r>
    </w:p>
    <w:p w:rsidR="009E1D15" w:rsidRDefault="009E1D15">
      <w:pPr>
        <w:widowControl/>
        <w:tabs>
          <w:tab w:val="left" w:pos="0"/>
        </w:tabs>
        <w:rPr>
          <w:rFonts w:ascii="Times New Roman" w:hAnsi="Times New Roman"/>
          <w:color w:val="000000"/>
        </w:rPr>
      </w:pPr>
    </w:p>
    <w:p w:rsidR="009E1D15" w:rsidRDefault="009E1D15">
      <w:pPr>
        <w:pStyle w:val="a"/>
        <w:widowControl/>
        <w:tabs>
          <w:tab w:val="left" w:pos="0"/>
        </w:tabs>
        <w:rPr>
          <w:rFonts w:ascii="Times New Roman" w:hAnsi="Times New Roman"/>
          <w:color w:val="000000"/>
        </w:rPr>
      </w:pPr>
      <w:r>
        <w:rPr>
          <w:rFonts w:ascii="Times New Roman" w:hAnsi="Times New Roman"/>
          <w:color w:val="000000"/>
        </w:rPr>
        <w:sym w:font="WP MathA" w:char="F043"/>
      </w:r>
      <w:r>
        <w:rPr>
          <w:rFonts w:ascii="Times New Roman" w:hAnsi="Times New Roman"/>
          <w:color w:val="000000"/>
        </w:rPr>
        <w:tab/>
        <w:t xml:space="preserve">Assembling relevant information to </w:t>
      </w:r>
      <w:r w:rsidR="00B95A97">
        <w:rPr>
          <w:rFonts w:ascii="Times New Roman" w:hAnsi="Times New Roman"/>
          <w:color w:val="000000"/>
        </w:rPr>
        <w:t xml:space="preserve">conduct </w:t>
      </w:r>
      <w:r>
        <w:rPr>
          <w:rFonts w:ascii="Times New Roman" w:hAnsi="Times New Roman"/>
          <w:color w:val="000000"/>
        </w:rPr>
        <w:t>the EPA review of submitted standards.</w:t>
      </w:r>
    </w:p>
    <w:p w:rsidR="009E1D15" w:rsidRDefault="009E1D15">
      <w:pPr>
        <w:widowControl/>
        <w:tabs>
          <w:tab w:val="left" w:pos="0"/>
        </w:tabs>
        <w:rPr>
          <w:rFonts w:ascii="Times New Roman" w:hAnsi="Times New Roman"/>
          <w:color w:val="000000"/>
        </w:rPr>
      </w:pPr>
    </w:p>
    <w:p w:rsidR="009E1D15" w:rsidRDefault="009E1D15">
      <w:pPr>
        <w:pStyle w:val="a"/>
        <w:widowControl/>
        <w:tabs>
          <w:tab w:val="left" w:pos="0"/>
        </w:tabs>
        <w:rPr>
          <w:rFonts w:ascii="Times New Roman" w:hAnsi="Times New Roman"/>
          <w:color w:val="000000"/>
        </w:rPr>
      </w:pPr>
      <w:r>
        <w:rPr>
          <w:rFonts w:ascii="Times New Roman" w:hAnsi="Times New Roman"/>
          <w:color w:val="000000"/>
        </w:rPr>
        <w:lastRenderedPageBreak/>
        <w:sym w:font="WP MathA" w:char="F043"/>
      </w:r>
      <w:r>
        <w:rPr>
          <w:rFonts w:ascii="Times New Roman" w:hAnsi="Times New Roman"/>
          <w:color w:val="000000"/>
        </w:rPr>
        <w:tab/>
        <w:t xml:space="preserve">Reviewing standards revisions for consistency with the CWA, </w:t>
      </w:r>
      <w:r w:rsidR="009B0CD7">
        <w:rPr>
          <w:rFonts w:ascii="Times New Roman" w:hAnsi="Times New Roman"/>
          <w:color w:val="000000"/>
        </w:rPr>
        <w:t xml:space="preserve">with the WQS regulation, </w:t>
      </w:r>
      <w:r>
        <w:rPr>
          <w:rFonts w:ascii="Times New Roman" w:hAnsi="Times New Roman"/>
          <w:color w:val="000000"/>
        </w:rPr>
        <w:t xml:space="preserve">with downstream </w:t>
      </w:r>
      <w:r w:rsidR="00810244">
        <w:rPr>
          <w:rFonts w:ascii="Times New Roman" w:hAnsi="Times New Roman"/>
          <w:color w:val="000000"/>
        </w:rPr>
        <w:t xml:space="preserve">State’s </w:t>
      </w:r>
      <w:r>
        <w:rPr>
          <w:rFonts w:ascii="Times New Roman" w:hAnsi="Times New Roman"/>
          <w:color w:val="000000"/>
        </w:rPr>
        <w:t xml:space="preserve">or </w:t>
      </w:r>
      <w:r w:rsidR="00810244">
        <w:rPr>
          <w:rFonts w:ascii="Times New Roman" w:hAnsi="Times New Roman"/>
          <w:color w:val="000000"/>
        </w:rPr>
        <w:t xml:space="preserve">Tribe’s </w:t>
      </w:r>
      <w:r w:rsidR="00E03559">
        <w:rPr>
          <w:rFonts w:ascii="Times New Roman" w:hAnsi="Times New Roman"/>
          <w:color w:val="000000"/>
        </w:rPr>
        <w:t>WQS</w:t>
      </w:r>
      <w:r>
        <w:rPr>
          <w:rFonts w:ascii="Times New Roman" w:hAnsi="Times New Roman"/>
          <w:color w:val="000000"/>
        </w:rPr>
        <w:t xml:space="preserve">, and with any standards for international waters.  </w:t>
      </w:r>
    </w:p>
    <w:p w:rsidR="009E1D15" w:rsidRDefault="009E1D15">
      <w:pPr>
        <w:widowControl/>
        <w:tabs>
          <w:tab w:val="left" w:pos="0"/>
        </w:tabs>
        <w:rPr>
          <w:rFonts w:ascii="Times New Roman" w:hAnsi="Times New Roman"/>
          <w:color w:val="000000"/>
        </w:rPr>
      </w:pPr>
    </w:p>
    <w:p w:rsidR="009E1D15" w:rsidRDefault="009E1D15">
      <w:pPr>
        <w:pStyle w:val="a"/>
        <w:widowControl/>
        <w:tabs>
          <w:tab w:val="left" w:pos="0"/>
        </w:tabs>
        <w:rPr>
          <w:rFonts w:ascii="Times New Roman" w:hAnsi="Times New Roman"/>
          <w:color w:val="000000"/>
        </w:rPr>
      </w:pPr>
      <w:r>
        <w:rPr>
          <w:rFonts w:ascii="Times New Roman" w:hAnsi="Times New Roman"/>
          <w:color w:val="000000"/>
        </w:rPr>
        <w:sym w:font="WP MathA" w:char="F043"/>
      </w:r>
      <w:r>
        <w:rPr>
          <w:rFonts w:ascii="Times New Roman" w:hAnsi="Times New Roman"/>
          <w:color w:val="000000"/>
        </w:rPr>
        <w:tab/>
        <w:t xml:space="preserve">Preparing and sending a letter to the </w:t>
      </w:r>
      <w:r w:rsidR="00563712">
        <w:rPr>
          <w:rFonts w:ascii="Times New Roman" w:hAnsi="Times New Roman"/>
          <w:color w:val="000000"/>
        </w:rPr>
        <w:t>s</w:t>
      </w:r>
      <w:r>
        <w:rPr>
          <w:rFonts w:ascii="Times New Roman" w:hAnsi="Times New Roman"/>
          <w:color w:val="000000"/>
        </w:rPr>
        <w:t xml:space="preserve">tate or </w:t>
      </w:r>
      <w:r w:rsidR="00563712">
        <w:rPr>
          <w:rFonts w:ascii="Times New Roman" w:hAnsi="Times New Roman"/>
          <w:color w:val="000000"/>
        </w:rPr>
        <w:t>t</w:t>
      </w:r>
      <w:r>
        <w:rPr>
          <w:rFonts w:ascii="Times New Roman" w:hAnsi="Times New Roman"/>
          <w:color w:val="000000"/>
        </w:rPr>
        <w:t xml:space="preserve">ribe conveying </w:t>
      </w:r>
      <w:r w:rsidR="00F616B8">
        <w:rPr>
          <w:rFonts w:ascii="Times New Roman" w:hAnsi="Times New Roman"/>
          <w:color w:val="000000"/>
        </w:rPr>
        <w:t xml:space="preserve">the </w:t>
      </w:r>
      <w:r>
        <w:rPr>
          <w:rFonts w:ascii="Times New Roman" w:hAnsi="Times New Roman"/>
          <w:color w:val="000000"/>
        </w:rPr>
        <w:t>EPA</w:t>
      </w:r>
      <w:r w:rsidR="003473F0">
        <w:rPr>
          <w:rFonts w:ascii="Times New Roman" w:hAnsi="Times New Roman"/>
          <w:color w:val="000000"/>
        </w:rPr>
        <w:t>’</w:t>
      </w:r>
      <w:r>
        <w:rPr>
          <w:rFonts w:ascii="Times New Roman" w:hAnsi="Times New Roman"/>
          <w:color w:val="000000"/>
        </w:rPr>
        <w:t>s approval or disapproval decision(s).</w:t>
      </w:r>
    </w:p>
    <w:p w:rsidR="009E1D15" w:rsidRDefault="009E1D15">
      <w:pPr>
        <w:widowControl/>
        <w:tabs>
          <w:tab w:val="left" w:pos="0"/>
        </w:tabs>
        <w:rPr>
          <w:rFonts w:ascii="Times New Roman" w:hAnsi="Times New Roman"/>
          <w:color w:val="000000"/>
        </w:rPr>
      </w:pPr>
    </w:p>
    <w:p w:rsidR="009E1D15" w:rsidRDefault="009E1D15">
      <w:pPr>
        <w:pStyle w:val="a"/>
        <w:widowControl/>
        <w:tabs>
          <w:tab w:val="left" w:pos="0"/>
        </w:tabs>
        <w:rPr>
          <w:rFonts w:ascii="Times New Roman" w:hAnsi="Times New Roman"/>
          <w:color w:val="000000"/>
        </w:rPr>
      </w:pPr>
      <w:r>
        <w:rPr>
          <w:rFonts w:ascii="Times New Roman" w:hAnsi="Times New Roman"/>
          <w:color w:val="000000"/>
        </w:rPr>
        <w:sym w:font="WP MathA" w:char="F043"/>
      </w:r>
      <w:r>
        <w:rPr>
          <w:rFonts w:ascii="Times New Roman" w:hAnsi="Times New Roman"/>
          <w:color w:val="000000"/>
        </w:rPr>
        <w:tab/>
        <w:t xml:space="preserve">Making findings that </w:t>
      </w:r>
      <w:r w:rsidR="00563712">
        <w:rPr>
          <w:rFonts w:ascii="Times New Roman" w:hAnsi="Times New Roman"/>
          <w:color w:val="000000"/>
        </w:rPr>
        <w:t>f</w:t>
      </w:r>
      <w:r>
        <w:rPr>
          <w:rFonts w:ascii="Times New Roman" w:hAnsi="Times New Roman"/>
          <w:color w:val="000000"/>
        </w:rPr>
        <w:t xml:space="preserve">ederal </w:t>
      </w:r>
      <w:r w:rsidR="00E03559">
        <w:rPr>
          <w:rFonts w:ascii="Times New Roman" w:hAnsi="Times New Roman"/>
          <w:color w:val="000000"/>
        </w:rPr>
        <w:t>WQS</w:t>
      </w:r>
      <w:r>
        <w:rPr>
          <w:rFonts w:ascii="Times New Roman" w:hAnsi="Times New Roman"/>
          <w:color w:val="000000"/>
        </w:rPr>
        <w:t xml:space="preserve"> are necessary.</w:t>
      </w:r>
    </w:p>
    <w:p w:rsidR="009E1D15" w:rsidRDefault="009E1D15">
      <w:pPr>
        <w:widowControl/>
        <w:tabs>
          <w:tab w:val="left" w:pos="0"/>
        </w:tabs>
        <w:rPr>
          <w:rFonts w:ascii="Times New Roman" w:hAnsi="Times New Roman"/>
          <w:color w:val="000000"/>
        </w:rPr>
      </w:pPr>
    </w:p>
    <w:p w:rsidR="009E1D15" w:rsidRDefault="009E1D15">
      <w:pPr>
        <w:pStyle w:val="a"/>
        <w:widowControl/>
        <w:tabs>
          <w:tab w:val="left" w:pos="0"/>
        </w:tabs>
        <w:rPr>
          <w:rFonts w:ascii="Times New Roman" w:hAnsi="Times New Roman"/>
          <w:color w:val="000000"/>
        </w:rPr>
      </w:pPr>
      <w:r>
        <w:rPr>
          <w:rFonts w:ascii="Times New Roman" w:hAnsi="Times New Roman"/>
          <w:color w:val="000000"/>
        </w:rPr>
        <w:sym w:font="WP MathA" w:char="F043"/>
      </w:r>
      <w:r>
        <w:rPr>
          <w:rFonts w:ascii="Times New Roman" w:hAnsi="Times New Roman"/>
          <w:color w:val="000000"/>
        </w:rPr>
        <w:tab/>
        <w:t xml:space="preserve">Proposing and promulgating </w:t>
      </w:r>
      <w:r w:rsidR="00563712">
        <w:rPr>
          <w:rFonts w:ascii="Times New Roman" w:hAnsi="Times New Roman"/>
          <w:color w:val="000000"/>
        </w:rPr>
        <w:t>f</w:t>
      </w:r>
      <w:r>
        <w:rPr>
          <w:rFonts w:ascii="Times New Roman" w:hAnsi="Times New Roman"/>
          <w:color w:val="000000"/>
        </w:rPr>
        <w:t xml:space="preserve">ederal replacement standards where </w:t>
      </w:r>
      <w:r w:rsidR="00563712">
        <w:rPr>
          <w:rFonts w:ascii="Times New Roman" w:hAnsi="Times New Roman"/>
          <w:color w:val="000000"/>
        </w:rPr>
        <w:t>s</w:t>
      </w:r>
      <w:r w:rsidR="00810244">
        <w:rPr>
          <w:rFonts w:ascii="Times New Roman" w:hAnsi="Times New Roman"/>
          <w:color w:val="000000"/>
        </w:rPr>
        <w:t xml:space="preserve">tate’s </w:t>
      </w:r>
      <w:r>
        <w:rPr>
          <w:rFonts w:ascii="Times New Roman" w:hAnsi="Times New Roman"/>
          <w:color w:val="000000"/>
        </w:rPr>
        <w:t xml:space="preserve">or </w:t>
      </w:r>
      <w:r w:rsidR="00563712">
        <w:rPr>
          <w:rFonts w:ascii="Times New Roman" w:hAnsi="Times New Roman"/>
          <w:color w:val="000000"/>
        </w:rPr>
        <w:t>t</w:t>
      </w:r>
      <w:r>
        <w:rPr>
          <w:rFonts w:ascii="Times New Roman" w:hAnsi="Times New Roman"/>
          <w:color w:val="000000"/>
        </w:rPr>
        <w:t>ribe</w:t>
      </w:r>
      <w:r w:rsidR="006A20CE">
        <w:rPr>
          <w:rFonts w:ascii="Times New Roman" w:hAnsi="Times New Roman"/>
          <w:color w:val="000000"/>
        </w:rPr>
        <w:t>’</w:t>
      </w:r>
      <w:r>
        <w:rPr>
          <w:rFonts w:ascii="Times New Roman" w:hAnsi="Times New Roman"/>
          <w:color w:val="000000"/>
        </w:rPr>
        <w:t xml:space="preserve">s standards are disapproved or where </w:t>
      </w:r>
      <w:r w:rsidR="00563712">
        <w:rPr>
          <w:rFonts w:ascii="Times New Roman" w:hAnsi="Times New Roman"/>
          <w:color w:val="000000"/>
        </w:rPr>
        <w:t>f</w:t>
      </w:r>
      <w:r>
        <w:rPr>
          <w:rFonts w:ascii="Times New Roman" w:hAnsi="Times New Roman"/>
          <w:color w:val="000000"/>
        </w:rPr>
        <w:t>ederal standards are otherwise necessary.</w:t>
      </w:r>
    </w:p>
    <w:p w:rsidR="009E1D15" w:rsidRDefault="009E1D15">
      <w:pPr>
        <w:widowControl/>
        <w:tabs>
          <w:tab w:val="left" w:pos="0"/>
        </w:tabs>
        <w:rPr>
          <w:rFonts w:ascii="Times New Roman" w:hAnsi="Times New Roman"/>
          <w:color w:val="000000"/>
        </w:rPr>
      </w:pPr>
    </w:p>
    <w:p w:rsidR="009E1D15" w:rsidRDefault="009E1D15">
      <w:pPr>
        <w:pStyle w:val="a"/>
        <w:widowControl/>
        <w:tabs>
          <w:tab w:val="left" w:pos="0"/>
        </w:tabs>
        <w:rPr>
          <w:rFonts w:ascii="Times New Roman" w:hAnsi="Times New Roman"/>
          <w:color w:val="000000"/>
        </w:rPr>
      </w:pPr>
      <w:r>
        <w:rPr>
          <w:rFonts w:ascii="Times New Roman" w:hAnsi="Times New Roman"/>
          <w:color w:val="000000"/>
        </w:rPr>
        <w:sym w:font="WP MathA" w:char="F043"/>
      </w:r>
      <w:r>
        <w:rPr>
          <w:rFonts w:ascii="Times New Roman" w:hAnsi="Times New Roman"/>
          <w:color w:val="000000"/>
        </w:rPr>
        <w:tab/>
        <w:t xml:space="preserve">Proposing and finalizing the withdrawal of </w:t>
      </w:r>
      <w:r w:rsidR="00563712">
        <w:rPr>
          <w:rFonts w:ascii="Times New Roman" w:hAnsi="Times New Roman"/>
          <w:color w:val="000000"/>
        </w:rPr>
        <w:t>f</w:t>
      </w:r>
      <w:r>
        <w:rPr>
          <w:rFonts w:ascii="Times New Roman" w:hAnsi="Times New Roman"/>
          <w:color w:val="000000"/>
        </w:rPr>
        <w:t xml:space="preserve">ederal standards when a </w:t>
      </w:r>
      <w:r w:rsidR="00563712">
        <w:rPr>
          <w:rFonts w:ascii="Times New Roman" w:hAnsi="Times New Roman"/>
          <w:color w:val="000000"/>
        </w:rPr>
        <w:t>s</w:t>
      </w:r>
      <w:r>
        <w:rPr>
          <w:rFonts w:ascii="Times New Roman" w:hAnsi="Times New Roman"/>
          <w:color w:val="000000"/>
        </w:rPr>
        <w:t xml:space="preserve">tate or </w:t>
      </w:r>
      <w:r w:rsidR="00563712">
        <w:rPr>
          <w:rFonts w:ascii="Times New Roman" w:hAnsi="Times New Roman"/>
          <w:color w:val="000000"/>
        </w:rPr>
        <w:t>t</w:t>
      </w:r>
      <w:r>
        <w:rPr>
          <w:rFonts w:ascii="Times New Roman" w:hAnsi="Times New Roman"/>
          <w:color w:val="000000"/>
        </w:rPr>
        <w:t>ribe corrects its standards.</w:t>
      </w:r>
    </w:p>
    <w:p w:rsidR="009E1D15" w:rsidRDefault="009E1D15">
      <w:pPr>
        <w:widowControl/>
        <w:tabs>
          <w:tab w:val="left" w:pos="0"/>
        </w:tabs>
        <w:rPr>
          <w:rFonts w:ascii="Times New Roman" w:hAnsi="Times New Roman"/>
          <w:color w:val="000000"/>
        </w:rPr>
      </w:pPr>
    </w:p>
    <w:p w:rsidR="0078227A" w:rsidRDefault="0078227A" w:rsidP="0078227A">
      <w:pPr>
        <w:widowControl/>
        <w:tabs>
          <w:tab w:val="left" w:pos="0"/>
        </w:tabs>
        <w:ind w:firstLine="720"/>
        <w:rPr>
          <w:rFonts w:ascii="Times New Roman" w:hAnsi="Times New Roman"/>
          <w:color w:val="000000"/>
        </w:rPr>
      </w:pPr>
    </w:p>
    <w:p w:rsidR="0078227A" w:rsidRDefault="0078227A" w:rsidP="00704F82">
      <w:pPr>
        <w:pStyle w:val="Heading2"/>
      </w:pPr>
      <w:bookmarkStart w:id="24" w:name="_Toc361990618"/>
      <w:r w:rsidRPr="0078227A">
        <w:t>Collection Methodology and Management</w:t>
      </w:r>
      <w:bookmarkEnd w:id="24"/>
    </w:p>
    <w:p w:rsidR="0078227A" w:rsidRDefault="0078227A" w:rsidP="00580340">
      <w:pPr>
        <w:keepNext/>
        <w:widowControl/>
        <w:tabs>
          <w:tab w:val="left" w:pos="0"/>
        </w:tabs>
        <w:ind w:firstLine="720"/>
        <w:rPr>
          <w:rFonts w:ascii="Times New Roman" w:hAnsi="Times New Roman"/>
          <w:b/>
          <w:bCs/>
          <w:color w:val="000000"/>
        </w:rPr>
      </w:pPr>
    </w:p>
    <w:p w:rsidR="009E1D15" w:rsidRPr="00775065" w:rsidRDefault="009E1D15" w:rsidP="0078227A">
      <w:pPr>
        <w:widowControl/>
        <w:tabs>
          <w:tab w:val="left" w:pos="0"/>
        </w:tabs>
        <w:ind w:firstLine="720"/>
        <w:rPr>
          <w:rFonts w:ascii="Times New Roman" w:hAnsi="Times New Roman"/>
          <w:color w:val="000000"/>
        </w:rPr>
      </w:pPr>
      <w:r>
        <w:rPr>
          <w:rFonts w:ascii="Times New Roman" w:hAnsi="Times New Roman"/>
          <w:color w:val="000000"/>
        </w:rPr>
        <w:t xml:space="preserve">States and </w:t>
      </w:r>
      <w:r w:rsidR="00563712">
        <w:rPr>
          <w:rFonts w:ascii="Times New Roman" w:hAnsi="Times New Roman"/>
          <w:color w:val="000000"/>
        </w:rPr>
        <w:t>t</w:t>
      </w:r>
      <w:r>
        <w:rPr>
          <w:rFonts w:ascii="Times New Roman" w:hAnsi="Times New Roman"/>
          <w:color w:val="000000"/>
        </w:rPr>
        <w:t xml:space="preserve">ribes submit their revised </w:t>
      </w:r>
      <w:r w:rsidR="00E03559">
        <w:rPr>
          <w:rFonts w:ascii="Times New Roman" w:hAnsi="Times New Roman"/>
          <w:color w:val="000000"/>
        </w:rPr>
        <w:t>WQS</w:t>
      </w:r>
      <w:r>
        <w:rPr>
          <w:rFonts w:ascii="Times New Roman" w:hAnsi="Times New Roman"/>
          <w:color w:val="000000"/>
        </w:rPr>
        <w:t xml:space="preserve"> to their EPA </w:t>
      </w:r>
      <w:r w:rsidR="00B95A97">
        <w:rPr>
          <w:rFonts w:ascii="Times New Roman" w:hAnsi="Times New Roman"/>
          <w:color w:val="000000"/>
        </w:rPr>
        <w:t>r</w:t>
      </w:r>
      <w:r>
        <w:rPr>
          <w:rFonts w:ascii="Times New Roman" w:hAnsi="Times New Roman"/>
          <w:color w:val="000000"/>
        </w:rPr>
        <w:t>egional office</w:t>
      </w:r>
      <w:r w:rsidR="00580340">
        <w:rPr>
          <w:rFonts w:ascii="Times New Roman" w:hAnsi="Times New Roman"/>
          <w:color w:val="000000"/>
        </w:rPr>
        <w:t xml:space="preserve">. Regional </w:t>
      </w:r>
      <w:r w:rsidR="00B95A97">
        <w:rPr>
          <w:rFonts w:ascii="Times New Roman" w:hAnsi="Times New Roman"/>
          <w:color w:val="000000"/>
        </w:rPr>
        <w:t>o</w:t>
      </w:r>
      <w:r w:rsidR="00580340">
        <w:rPr>
          <w:rFonts w:ascii="Times New Roman" w:hAnsi="Times New Roman"/>
          <w:color w:val="000000"/>
        </w:rPr>
        <w:t xml:space="preserve">ffices </w:t>
      </w:r>
      <w:r>
        <w:rPr>
          <w:rFonts w:ascii="Times New Roman" w:hAnsi="Times New Roman"/>
          <w:color w:val="000000"/>
        </w:rPr>
        <w:t xml:space="preserve">have been delegated the responsibility to review the submissions for consistency with the </w:t>
      </w:r>
      <w:r w:rsidR="00E03559">
        <w:rPr>
          <w:rFonts w:ascii="Times New Roman" w:hAnsi="Times New Roman"/>
          <w:color w:val="000000"/>
        </w:rPr>
        <w:t>WQS</w:t>
      </w:r>
      <w:r>
        <w:rPr>
          <w:rFonts w:ascii="Times New Roman" w:hAnsi="Times New Roman"/>
          <w:color w:val="000000"/>
        </w:rPr>
        <w:t xml:space="preserve"> </w:t>
      </w:r>
      <w:r w:rsidR="00563712">
        <w:rPr>
          <w:rFonts w:ascii="Times New Roman" w:hAnsi="Times New Roman"/>
          <w:color w:val="000000"/>
        </w:rPr>
        <w:t>r</w:t>
      </w:r>
      <w:r>
        <w:rPr>
          <w:rFonts w:ascii="Times New Roman" w:hAnsi="Times New Roman"/>
          <w:color w:val="000000"/>
        </w:rPr>
        <w:t>egulation, and approve or disapprov</w:t>
      </w:r>
      <w:bookmarkStart w:id="25" w:name="_GoBack"/>
      <w:bookmarkEnd w:id="25"/>
      <w:r>
        <w:rPr>
          <w:rFonts w:ascii="Times New Roman" w:hAnsi="Times New Roman"/>
          <w:color w:val="000000"/>
        </w:rPr>
        <w:t>e the standards.</w:t>
      </w:r>
      <w:r w:rsidR="0068763C">
        <w:rPr>
          <w:rFonts w:ascii="Times New Roman" w:hAnsi="Times New Roman"/>
          <w:color w:val="000000"/>
        </w:rPr>
        <w:t xml:space="preserve"> </w:t>
      </w:r>
      <w:r>
        <w:rPr>
          <w:rFonts w:ascii="Times New Roman" w:hAnsi="Times New Roman"/>
          <w:color w:val="000000"/>
        </w:rPr>
        <w:t xml:space="preserve">The </w:t>
      </w:r>
      <w:r w:rsidR="00E03559">
        <w:rPr>
          <w:rFonts w:ascii="Times New Roman" w:hAnsi="Times New Roman"/>
          <w:color w:val="000000"/>
        </w:rPr>
        <w:t>WQS</w:t>
      </w:r>
      <w:r w:rsidR="00EB20F2">
        <w:rPr>
          <w:rFonts w:ascii="Times New Roman" w:hAnsi="Times New Roman"/>
          <w:color w:val="000000"/>
        </w:rPr>
        <w:t xml:space="preserve"> staff in the </w:t>
      </w:r>
      <w:r w:rsidR="00B95A97">
        <w:rPr>
          <w:rFonts w:ascii="Times New Roman" w:hAnsi="Times New Roman"/>
          <w:color w:val="000000"/>
        </w:rPr>
        <w:t>r</w:t>
      </w:r>
      <w:r w:rsidR="00EB20F2">
        <w:rPr>
          <w:rFonts w:ascii="Times New Roman" w:hAnsi="Times New Roman"/>
          <w:color w:val="000000"/>
        </w:rPr>
        <w:t xml:space="preserve">egional </w:t>
      </w:r>
      <w:r>
        <w:rPr>
          <w:rFonts w:ascii="Times New Roman" w:hAnsi="Times New Roman"/>
          <w:color w:val="000000"/>
        </w:rPr>
        <w:t xml:space="preserve">offices work closely with their respective </w:t>
      </w:r>
      <w:r w:rsidR="00563712">
        <w:rPr>
          <w:rFonts w:ascii="Times New Roman" w:hAnsi="Times New Roman"/>
          <w:color w:val="000000"/>
        </w:rPr>
        <w:t>s</w:t>
      </w:r>
      <w:r>
        <w:rPr>
          <w:rFonts w:ascii="Times New Roman" w:hAnsi="Times New Roman"/>
          <w:color w:val="000000"/>
        </w:rPr>
        <w:t xml:space="preserve">tates and </w:t>
      </w:r>
      <w:r w:rsidR="00563712">
        <w:rPr>
          <w:rFonts w:ascii="Times New Roman" w:hAnsi="Times New Roman"/>
          <w:color w:val="000000"/>
        </w:rPr>
        <w:t>t</w:t>
      </w:r>
      <w:r>
        <w:rPr>
          <w:rFonts w:ascii="Times New Roman" w:hAnsi="Times New Roman"/>
          <w:color w:val="000000"/>
        </w:rPr>
        <w:t xml:space="preserve">ribes on </w:t>
      </w:r>
      <w:r w:rsidR="00E03559">
        <w:rPr>
          <w:rFonts w:ascii="Times New Roman" w:hAnsi="Times New Roman"/>
          <w:color w:val="000000"/>
        </w:rPr>
        <w:t>WQS</w:t>
      </w:r>
      <w:r>
        <w:rPr>
          <w:rFonts w:ascii="Times New Roman" w:hAnsi="Times New Roman"/>
          <w:color w:val="000000"/>
        </w:rPr>
        <w:t xml:space="preserve"> issues, including the review of both draft and final submissions of </w:t>
      </w:r>
      <w:r w:rsidR="00E03559">
        <w:rPr>
          <w:rFonts w:ascii="Times New Roman" w:hAnsi="Times New Roman"/>
          <w:color w:val="000000"/>
        </w:rPr>
        <w:t>WQS</w:t>
      </w:r>
      <w:r>
        <w:rPr>
          <w:rFonts w:ascii="Times New Roman" w:hAnsi="Times New Roman"/>
          <w:color w:val="000000"/>
        </w:rPr>
        <w:t>.</w:t>
      </w:r>
      <w:r w:rsidR="0068763C">
        <w:rPr>
          <w:rFonts w:ascii="Times New Roman" w:hAnsi="Times New Roman"/>
          <w:color w:val="000000"/>
        </w:rPr>
        <w:t xml:space="preserve"> </w:t>
      </w:r>
      <w:r w:rsidR="00F616B8">
        <w:rPr>
          <w:rFonts w:ascii="Times New Roman" w:hAnsi="Times New Roman"/>
          <w:color w:val="000000"/>
        </w:rPr>
        <w:t xml:space="preserve">The </w:t>
      </w:r>
      <w:r>
        <w:rPr>
          <w:rFonts w:ascii="Times New Roman" w:hAnsi="Times New Roman"/>
          <w:color w:val="000000"/>
        </w:rPr>
        <w:t>EPA</w:t>
      </w:r>
      <w:r w:rsidR="001F426D">
        <w:rPr>
          <w:rFonts w:ascii="Times New Roman" w:hAnsi="Times New Roman"/>
          <w:color w:val="000000"/>
        </w:rPr>
        <w:t>’</w:t>
      </w:r>
      <w:r>
        <w:rPr>
          <w:rFonts w:ascii="Times New Roman" w:hAnsi="Times New Roman"/>
          <w:color w:val="000000"/>
        </w:rPr>
        <w:t xml:space="preserve">s national water quality program provides support to the </w:t>
      </w:r>
      <w:r w:rsidR="00B95A97">
        <w:rPr>
          <w:rFonts w:ascii="Times New Roman" w:hAnsi="Times New Roman"/>
          <w:color w:val="000000"/>
        </w:rPr>
        <w:t>r</w:t>
      </w:r>
      <w:r>
        <w:rPr>
          <w:rFonts w:ascii="Times New Roman" w:hAnsi="Times New Roman"/>
          <w:color w:val="000000"/>
        </w:rPr>
        <w:t xml:space="preserve">egional </w:t>
      </w:r>
      <w:r w:rsidRPr="00775065">
        <w:rPr>
          <w:rFonts w:ascii="Times New Roman" w:hAnsi="Times New Roman"/>
          <w:color w:val="000000"/>
        </w:rPr>
        <w:t>offices in the review of these submissions.</w:t>
      </w:r>
      <w:r w:rsidR="0068763C" w:rsidRPr="00775065">
        <w:rPr>
          <w:rFonts w:ascii="Times New Roman" w:hAnsi="Times New Roman"/>
          <w:color w:val="000000"/>
        </w:rPr>
        <w:t xml:space="preserve"> </w:t>
      </w:r>
      <w:r w:rsidRPr="00775065">
        <w:rPr>
          <w:rFonts w:ascii="Times New Roman" w:hAnsi="Times New Roman"/>
          <w:color w:val="000000"/>
        </w:rPr>
        <w:t xml:space="preserve">EPA approved </w:t>
      </w:r>
      <w:r w:rsidR="00563712">
        <w:rPr>
          <w:rFonts w:ascii="Times New Roman" w:hAnsi="Times New Roman"/>
          <w:color w:val="000000"/>
        </w:rPr>
        <w:t>s</w:t>
      </w:r>
      <w:r w:rsidRPr="00775065">
        <w:rPr>
          <w:rFonts w:ascii="Times New Roman" w:hAnsi="Times New Roman"/>
          <w:color w:val="000000"/>
        </w:rPr>
        <w:t>tate/</w:t>
      </w:r>
      <w:r w:rsidR="00563712">
        <w:rPr>
          <w:rFonts w:ascii="Times New Roman" w:hAnsi="Times New Roman"/>
          <w:color w:val="000000"/>
        </w:rPr>
        <w:t>t</w:t>
      </w:r>
      <w:r w:rsidRPr="00775065">
        <w:rPr>
          <w:rFonts w:ascii="Times New Roman" w:hAnsi="Times New Roman"/>
          <w:color w:val="000000"/>
        </w:rPr>
        <w:t>ribal standards can be accessed at</w:t>
      </w:r>
      <w:r w:rsidR="009B0CD7" w:rsidRPr="00775065">
        <w:rPr>
          <w:rFonts w:ascii="Times New Roman" w:hAnsi="Times New Roman"/>
          <w:color w:val="000000"/>
        </w:rPr>
        <w:t xml:space="preserve"> </w:t>
      </w:r>
      <w:r w:rsidR="00B95A97" w:rsidRPr="00775065">
        <w:rPr>
          <w:rFonts w:ascii="Times New Roman" w:hAnsi="Times New Roman"/>
        </w:rPr>
        <w:t>http://water.epa.gov/scitech/swguidance/standards/wqslibrary/index.cfm</w:t>
      </w:r>
      <w:r w:rsidRPr="00775065">
        <w:rPr>
          <w:rFonts w:ascii="Times New Roman" w:hAnsi="Times New Roman"/>
          <w:color w:val="000000"/>
        </w:rPr>
        <w:t>.</w:t>
      </w:r>
      <w:r w:rsidR="0068763C" w:rsidRPr="00775065">
        <w:rPr>
          <w:rFonts w:ascii="Times New Roman" w:hAnsi="Times New Roman"/>
          <w:color w:val="000000"/>
        </w:rPr>
        <w:t xml:space="preserve"> </w:t>
      </w:r>
      <w:r w:rsidRPr="00775065">
        <w:rPr>
          <w:rFonts w:ascii="Times New Roman" w:hAnsi="Times New Roman"/>
          <w:color w:val="000000"/>
        </w:rPr>
        <w:t>EPA</w:t>
      </w:r>
      <w:r w:rsidR="00404BCC">
        <w:rPr>
          <w:rFonts w:ascii="Times New Roman" w:hAnsi="Times New Roman"/>
          <w:color w:val="000000"/>
        </w:rPr>
        <w:t>-</w:t>
      </w:r>
      <w:r w:rsidRPr="00775065">
        <w:rPr>
          <w:rFonts w:ascii="Times New Roman" w:hAnsi="Times New Roman"/>
          <w:color w:val="000000"/>
        </w:rPr>
        <w:t>promulgated standards for States/Tribes are located at</w:t>
      </w:r>
      <w:r w:rsidR="00A5253A" w:rsidRPr="00775065">
        <w:rPr>
          <w:rFonts w:ascii="Times New Roman" w:hAnsi="Times New Roman"/>
          <w:color w:val="000000"/>
        </w:rPr>
        <w:t xml:space="preserve"> </w:t>
      </w:r>
      <w:r w:rsidR="00775065" w:rsidRPr="00775065">
        <w:rPr>
          <w:rFonts w:ascii="Times New Roman" w:hAnsi="Times New Roman"/>
        </w:rPr>
        <w:t>http://water.epa.gov/scitech/swguidance/standards/wqsregs.cfm</w:t>
      </w:r>
      <w:r w:rsidR="00A5253A" w:rsidRPr="00775065">
        <w:rPr>
          <w:rFonts w:ascii="Times New Roman" w:hAnsi="Times New Roman"/>
          <w:color w:val="000000"/>
        </w:rPr>
        <w:t xml:space="preserve">. </w:t>
      </w:r>
    </w:p>
    <w:p w:rsidR="009E1D15" w:rsidRDefault="009E1D15">
      <w:pPr>
        <w:keepLines/>
        <w:widowControl/>
        <w:tabs>
          <w:tab w:val="left" w:pos="0"/>
        </w:tabs>
        <w:ind w:firstLine="720"/>
        <w:rPr>
          <w:rFonts w:ascii="Times New Roman" w:hAnsi="Times New Roman"/>
          <w:color w:val="000000"/>
        </w:rPr>
      </w:pPr>
    </w:p>
    <w:p w:rsidR="009E1D15" w:rsidRDefault="009E1D15">
      <w:pPr>
        <w:widowControl/>
        <w:tabs>
          <w:tab w:val="left" w:pos="0"/>
        </w:tabs>
        <w:rPr>
          <w:rFonts w:ascii="Times New Roman" w:hAnsi="Times New Roman"/>
          <w:color w:val="000000"/>
        </w:rPr>
      </w:pPr>
    </w:p>
    <w:p w:rsidR="00081720" w:rsidRDefault="0078227A" w:rsidP="00704F82">
      <w:pPr>
        <w:pStyle w:val="Heading2"/>
      </w:pPr>
      <w:bookmarkStart w:id="26" w:name="_Toc361990619"/>
      <w:r w:rsidRPr="0078227A">
        <w:t>Small Entity Flexibility</w:t>
      </w:r>
      <w:bookmarkEnd w:id="26"/>
    </w:p>
    <w:p w:rsidR="00957A33" w:rsidRDefault="00957A33">
      <w:pPr>
        <w:widowControl/>
        <w:tabs>
          <w:tab w:val="left" w:pos="0"/>
        </w:tabs>
        <w:ind w:firstLine="720"/>
        <w:rPr>
          <w:rFonts w:ascii="Times New Roman" w:hAnsi="Times New Roman"/>
          <w:b/>
          <w:bCs/>
          <w:color w:val="000000"/>
        </w:rPr>
      </w:pPr>
    </w:p>
    <w:p w:rsidR="00081720" w:rsidRDefault="00747B77">
      <w:pPr>
        <w:widowControl/>
        <w:tabs>
          <w:tab w:val="left" w:pos="0"/>
        </w:tabs>
        <w:ind w:firstLine="720"/>
        <w:rPr>
          <w:rFonts w:ascii="Times New Roman" w:hAnsi="Times New Roman"/>
          <w:bCs/>
          <w:color w:val="000000"/>
        </w:rPr>
      </w:pPr>
      <w:r>
        <w:rPr>
          <w:rFonts w:ascii="Times New Roman" w:hAnsi="Times New Roman"/>
          <w:bCs/>
          <w:color w:val="000000"/>
        </w:rPr>
        <w:t>The 1995 Paperwork Reduction Act (PRA) incorporated the Regulatory Flexibility Act (RFA) into it. The RFA requires that the EPA prepare a regulatory flexibility analysis for any rule that has a “significant economic impact on a substantial number of small entities.” As part of the certification requirement, the Agency must show that the collection:</w:t>
      </w:r>
    </w:p>
    <w:p w:rsidR="00747B77" w:rsidRDefault="00747B77">
      <w:pPr>
        <w:widowControl/>
        <w:tabs>
          <w:tab w:val="left" w:pos="0"/>
        </w:tabs>
        <w:ind w:firstLine="720"/>
        <w:rPr>
          <w:rFonts w:ascii="Times New Roman" w:hAnsi="Times New Roman"/>
          <w:bCs/>
          <w:color w:val="000000"/>
        </w:rPr>
      </w:pPr>
    </w:p>
    <w:p w:rsidR="00747B77" w:rsidRDefault="00747B77" w:rsidP="00747B77">
      <w:pPr>
        <w:widowControl/>
        <w:tabs>
          <w:tab w:val="left" w:pos="0"/>
        </w:tabs>
        <w:ind w:left="1440"/>
        <w:rPr>
          <w:rFonts w:ascii="Times New Roman" w:hAnsi="Times New Roman"/>
          <w:bCs/>
          <w:i/>
          <w:color w:val="000000"/>
        </w:rPr>
      </w:pPr>
      <w:r>
        <w:rPr>
          <w:rFonts w:ascii="Times New Roman" w:hAnsi="Times New Roman"/>
          <w:bCs/>
          <w:i/>
          <w:color w:val="000000"/>
        </w:rPr>
        <w:t>“reduces to the extent practicable</w:t>
      </w:r>
      <w:r w:rsidR="00E3720F">
        <w:rPr>
          <w:rFonts w:ascii="Times New Roman" w:hAnsi="Times New Roman"/>
          <w:bCs/>
          <w:i/>
          <w:color w:val="000000"/>
        </w:rPr>
        <w:t xml:space="preserve"> </w:t>
      </w:r>
      <w:r>
        <w:rPr>
          <w:rFonts w:ascii="Times New Roman" w:hAnsi="Times New Roman"/>
          <w:bCs/>
          <w:i/>
          <w:color w:val="000000"/>
        </w:rPr>
        <w:t>the burden on persons who</w:t>
      </w:r>
      <w:r w:rsidR="00E3720F">
        <w:rPr>
          <w:rFonts w:ascii="Times New Roman" w:hAnsi="Times New Roman"/>
          <w:bCs/>
          <w:i/>
          <w:color w:val="000000"/>
        </w:rPr>
        <w:t xml:space="preserve"> </w:t>
      </w:r>
      <w:r>
        <w:rPr>
          <w:rFonts w:ascii="Times New Roman" w:hAnsi="Times New Roman"/>
          <w:bCs/>
          <w:i/>
          <w:color w:val="000000"/>
        </w:rPr>
        <w:t>shall provide information</w:t>
      </w:r>
      <w:r w:rsidR="00E3720F">
        <w:rPr>
          <w:rFonts w:ascii="Times New Roman" w:hAnsi="Times New Roman"/>
          <w:bCs/>
          <w:i/>
          <w:color w:val="000000"/>
        </w:rPr>
        <w:t xml:space="preserve"> </w:t>
      </w:r>
      <w:r>
        <w:rPr>
          <w:rFonts w:ascii="Times New Roman" w:hAnsi="Times New Roman"/>
          <w:bCs/>
          <w:i/>
          <w:color w:val="000000"/>
        </w:rPr>
        <w:t>to or for the agency, including with respect to small entities, as defined in the Regulatory Flexibility Act (5 U.S.C. 601(6)), the use of such techniques as:</w:t>
      </w:r>
    </w:p>
    <w:p w:rsidR="00747B77" w:rsidRDefault="00747B77" w:rsidP="00747B77">
      <w:pPr>
        <w:widowControl/>
        <w:tabs>
          <w:tab w:val="left" w:pos="0"/>
        </w:tabs>
        <w:ind w:left="1440"/>
        <w:rPr>
          <w:rFonts w:ascii="Times New Roman" w:hAnsi="Times New Roman"/>
          <w:bCs/>
          <w:i/>
          <w:color w:val="000000"/>
        </w:rPr>
      </w:pPr>
      <w:r>
        <w:rPr>
          <w:rFonts w:ascii="Times New Roman" w:hAnsi="Times New Roman"/>
          <w:bCs/>
          <w:i/>
          <w:color w:val="000000"/>
        </w:rPr>
        <w:t>“(1) establishing differing compliance or reporting requirements or timetables</w:t>
      </w:r>
    </w:p>
    <w:p w:rsidR="00747B77" w:rsidRDefault="00747B77" w:rsidP="00747B77">
      <w:pPr>
        <w:widowControl/>
        <w:tabs>
          <w:tab w:val="left" w:pos="0"/>
        </w:tabs>
        <w:ind w:left="1440"/>
        <w:rPr>
          <w:rFonts w:ascii="Times New Roman" w:hAnsi="Times New Roman"/>
          <w:bCs/>
          <w:i/>
          <w:color w:val="000000"/>
        </w:rPr>
      </w:pPr>
      <w:r>
        <w:rPr>
          <w:rFonts w:ascii="Times New Roman" w:hAnsi="Times New Roman"/>
          <w:bCs/>
          <w:i/>
          <w:color w:val="000000"/>
        </w:rPr>
        <w:t>“(2)</w:t>
      </w:r>
      <w:r w:rsidR="00957A33">
        <w:rPr>
          <w:rFonts w:ascii="Times New Roman" w:hAnsi="Times New Roman"/>
          <w:bCs/>
          <w:i/>
          <w:color w:val="000000"/>
        </w:rPr>
        <w:t xml:space="preserve"> the clarification, consolidation, or simplification of compliance and reporting requirements; or </w:t>
      </w:r>
    </w:p>
    <w:p w:rsidR="00957A33" w:rsidRDefault="00957A33" w:rsidP="00747B77">
      <w:pPr>
        <w:widowControl/>
        <w:tabs>
          <w:tab w:val="left" w:pos="0"/>
        </w:tabs>
        <w:ind w:left="1440"/>
        <w:rPr>
          <w:rFonts w:ascii="Times New Roman" w:hAnsi="Times New Roman"/>
          <w:bCs/>
          <w:i/>
          <w:color w:val="000000"/>
        </w:rPr>
      </w:pPr>
      <w:r>
        <w:rPr>
          <w:rFonts w:ascii="Times New Roman" w:hAnsi="Times New Roman"/>
          <w:bCs/>
          <w:i/>
          <w:color w:val="000000"/>
        </w:rPr>
        <w:t>“(3) an exemption from coverage of the collection of information, or any part thereof:”</w:t>
      </w:r>
    </w:p>
    <w:p w:rsidR="00957A33" w:rsidRDefault="00957A33" w:rsidP="00957A33">
      <w:pPr>
        <w:widowControl/>
        <w:tabs>
          <w:tab w:val="left" w:pos="0"/>
        </w:tabs>
        <w:rPr>
          <w:rFonts w:ascii="Times New Roman" w:hAnsi="Times New Roman"/>
          <w:bCs/>
          <w:i/>
          <w:color w:val="000000"/>
        </w:rPr>
      </w:pPr>
      <w:r>
        <w:rPr>
          <w:rFonts w:ascii="Times New Roman" w:hAnsi="Times New Roman"/>
          <w:bCs/>
          <w:i/>
          <w:color w:val="000000"/>
        </w:rPr>
        <w:lastRenderedPageBreak/>
        <w:tab/>
      </w:r>
    </w:p>
    <w:p w:rsidR="00957A33" w:rsidRDefault="00957A33" w:rsidP="002F79A2">
      <w:pPr>
        <w:widowControl/>
        <w:tabs>
          <w:tab w:val="left" w:pos="0"/>
        </w:tabs>
        <w:rPr>
          <w:rFonts w:ascii="Times New Roman" w:hAnsi="Times New Roman"/>
          <w:bCs/>
          <w:color w:val="000000"/>
        </w:rPr>
      </w:pPr>
      <w:r>
        <w:rPr>
          <w:rFonts w:ascii="Times New Roman" w:hAnsi="Times New Roman"/>
          <w:bCs/>
          <w:i/>
          <w:color w:val="000000"/>
        </w:rPr>
        <w:tab/>
      </w:r>
      <w:r>
        <w:rPr>
          <w:rFonts w:ascii="Times New Roman" w:hAnsi="Times New Roman"/>
          <w:bCs/>
          <w:color w:val="000000"/>
        </w:rPr>
        <w:t xml:space="preserve">The requirements of the Small Business Regulatory Enforcement Fairness Act (SBREFA) of 1996 must also be considered. Special </w:t>
      </w:r>
      <w:r w:rsidR="00416A4B">
        <w:rPr>
          <w:rFonts w:ascii="Times New Roman" w:hAnsi="Times New Roman"/>
          <w:bCs/>
          <w:color w:val="000000"/>
        </w:rPr>
        <w:t xml:space="preserve">consideration of small entities is required because such individuals generally cannot devote staff resources to follow regulatory </w:t>
      </w:r>
      <w:r w:rsidR="00E3720F">
        <w:rPr>
          <w:rFonts w:ascii="Times New Roman" w:hAnsi="Times New Roman"/>
          <w:bCs/>
          <w:color w:val="000000"/>
        </w:rPr>
        <w:t xml:space="preserve">developments </w:t>
      </w:r>
      <w:r w:rsidR="00416A4B">
        <w:rPr>
          <w:rFonts w:ascii="Times New Roman" w:hAnsi="Times New Roman"/>
          <w:bCs/>
          <w:color w:val="000000"/>
        </w:rPr>
        <w:t>and often are less likely to have their interests represented by lobbyists and associations. In addition, smaller entities may be less able to bear the burden of an information collection because of their small staff and resources.</w:t>
      </w:r>
    </w:p>
    <w:p w:rsidR="00416A4B" w:rsidRDefault="00416A4B" w:rsidP="00957A33">
      <w:pPr>
        <w:widowControl/>
        <w:tabs>
          <w:tab w:val="left" w:pos="0"/>
        </w:tabs>
        <w:rPr>
          <w:rFonts w:ascii="Times New Roman" w:hAnsi="Times New Roman"/>
          <w:bCs/>
          <w:color w:val="000000"/>
        </w:rPr>
      </w:pPr>
    </w:p>
    <w:p w:rsidR="00416A4B" w:rsidRDefault="002F79A2" w:rsidP="002F79A2">
      <w:pPr>
        <w:widowControl/>
        <w:tabs>
          <w:tab w:val="left" w:pos="0"/>
        </w:tabs>
        <w:rPr>
          <w:rFonts w:ascii="Times New Roman" w:hAnsi="Times New Roman"/>
          <w:bCs/>
          <w:color w:val="000000"/>
        </w:rPr>
      </w:pPr>
      <w:r>
        <w:rPr>
          <w:rFonts w:ascii="Times New Roman" w:hAnsi="Times New Roman"/>
          <w:bCs/>
          <w:color w:val="000000"/>
        </w:rPr>
        <w:tab/>
      </w:r>
      <w:r w:rsidR="00416A4B">
        <w:rPr>
          <w:rFonts w:ascii="Times New Roman" w:hAnsi="Times New Roman"/>
          <w:bCs/>
          <w:color w:val="000000"/>
        </w:rPr>
        <w:t xml:space="preserve">The Small Business Administration’s size eligibility provisions and standards are codified at 13 CFR part 121. The RFA also provides some guidance for defining a small entity. Section 601 of the RFA defines a “small entity” to include “small business,” “small organization,” and “small governmental </w:t>
      </w:r>
      <w:r w:rsidR="00D82994">
        <w:rPr>
          <w:rFonts w:ascii="Times New Roman" w:hAnsi="Times New Roman"/>
          <w:bCs/>
          <w:color w:val="000000"/>
        </w:rPr>
        <w:t>jurisdiction</w:t>
      </w:r>
      <w:r w:rsidR="00416A4B">
        <w:rPr>
          <w:rFonts w:ascii="Times New Roman" w:hAnsi="Times New Roman"/>
          <w:bCs/>
          <w:color w:val="000000"/>
        </w:rPr>
        <w:t>.” These terms are defined as follows:</w:t>
      </w:r>
    </w:p>
    <w:p w:rsidR="00416A4B" w:rsidRDefault="00416A4B" w:rsidP="00957A33">
      <w:pPr>
        <w:widowControl/>
        <w:tabs>
          <w:tab w:val="left" w:pos="0"/>
        </w:tabs>
        <w:rPr>
          <w:rFonts w:ascii="Times New Roman" w:hAnsi="Times New Roman"/>
          <w:bCs/>
          <w:color w:val="000000"/>
        </w:rPr>
      </w:pPr>
      <w:r>
        <w:rPr>
          <w:rFonts w:ascii="Times New Roman" w:hAnsi="Times New Roman"/>
          <w:bCs/>
          <w:color w:val="000000"/>
        </w:rPr>
        <w:tab/>
      </w:r>
    </w:p>
    <w:p w:rsidR="00416A4B" w:rsidRDefault="00416A4B" w:rsidP="00416A4B">
      <w:pPr>
        <w:widowControl/>
        <w:numPr>
          <w:ilvl w:val="0"/>
          <w:numId w:val="4"/>
        </w:numPr>
        <w:tabs>
          <w:tab w:val="left" w:pos="0"/>
        </w:tabs>
        <w:rPr>
          <w:rFonts w:ascii="Times New Roman" w:hAnsi="Times New Roman"/>
          <w:bCs/>
          <w:color w:val="000000"/>
        </w:rPr>
      </w:pPr>
      <w:r>
        <w:rPr>
          <w:rFonts w:ascii="Times New Roman" w:hAnsi="Times New Roman"/>
          <w:bCs/>
          <w:color w:val="000000"/>
        </w:rPr>
        <w:t>A “Small Business” is defined as any business that is independently owned and operated and not dominant in its field a</w:t>
      </w:r>
      <w:r w:rsidR="00E3720F">
        <w:rPr>
          <w:rFonts w:ascii="Times New Roman" w:hAnsi="Times New Roman"/>
          <w:bCs/>
          <w:color w:val="000000"/>
        </w:rPr>
        <w:t>s</w:t>
      </w:r>
      <w:r>
        <w:rPr>
          <w:rFonts w:ascii="Times New Roman" w:hAnsi="Times New Roman"/>
          <w:bCs/>
          <w:color w:val="000000"/>
        </w:rPr>
        <w:t xml:space="preserve"> defined by the Small Business Administration (SBA) regulations under Section 3 of the Small Business Act.</w:t>
      </w:r>
    </w:p>
    <w:p w:rsidR="002F79A2" w:rsidRDefault="002F79A2" w:rsidP="002F79A2">
      <w:pPr>
        <w:widowControl/>
        <w:tabs>
          <w:tab w:val="left" w:pos="0"/>
        </w:tabs>
        <w:rPr>
          <w:rFonts w:ascii="Times New Roman" w:hAnsi="Times New Roman"/>
          <w:bCs/>
          <w:color w:val="000000"/>
        </w:rPr>
      </w:pPr>
    </w:p>
    <w:p w:rsidR="002F79A2" w:rsidRDefault="002F79A2" w:rsidP="002F79A2">
      <w:pPr>
        <w:widowControl/>
        <w:numPr>
          <w:ilvl w:val="0"/>
          <w:numId w:val="4"/>
        </w:numPr>
        <w:tabs>
          <w:tab w:val="left" w:pos="0"/>
        </w:tabs>
        <w:rPr>
          <w:rFonts w:ascii="Times New Roman" w:hAnsi="Times New Roman"/>
          <w:bCs/>
          <w:color w:val="000000"/>
        </w:rPr>
      </w:pPr>
      <w:r>
        <w:rPr>
          <w:rFonts w:ascii="Times New Roman" w:hAnsi="Times New Roman"/>
          <w:bCs/>
          <w:color w:val="000000"/>
        </w:rPr>
        <w:t>A “Small Organ</w:t>
      </w:r>
      <w:r w:rsidR="00D82994">
        <w:rPr>
          <w:rFonts w:ascii="Times New Roman" w:hAnsi="Times New Roman"/>
          <w:bCs/>
          <w:color w:val="000000"/>
        </w:rPr>
        <w:t>i</w:t>
      </w:r>
      <w:r>
        <w:rPr>
          <w:rFonts w:ascii="Times New Roman" w:hAnsi="Times New Roman"/>
          <w:bCs/>
          <w:color w:val="000000"/>
        </w:rPr>
        <w:t xml:space="preserve">zation” is defined as any </w:t>
      </w:r>
      <w:r w:rsidR="00E3720F">
        <w:rPr>
          <w:rFonts w:ascii="Times New Roman" w:hAnsi="Times New Roman"/>
          <w:bCs/>
          <w:color w:val="000000"/>
        </w:rPr>
        <w:t>not</w:t>
      </w:r>
      <w:r>
        <w:rPr>
          <w:rFonts w:ascii="Times New Roman" w:hAnsi="Times New Roman"/>
          <w:bCs/>
          <w:color w:val="000000"/>
        </w:rPr>
        <w:t>-for-profit enterprise that is independently owned and operated and not dominant in its field (e.g., private hospitals and educational institutions).</w:t>
      </w:r>
    </w:p>
    <w:p w:rsidR="002F79A2" w:rsidRDefault="002F79A2" w:rsidP="002F79A2">
      <w:pPr>
        <w:widowControl/>
        <w:tabs>
          <w:tab w:val="left" w:pos="0"/>
        </w:tabs>
        <w:rPr>
          <w:rFonts w:ascii="Times New Roman" w:hAnsi="Times New Roman"/>
          <w:bCs/>
          <w:color w:val="000000"/>
        </w:rPr>
      </w:pPr>
    </w:p>
    <w:p w:rsidR="002F79A2" w:rsidRDefault="002F79A2" w:rsidP="002F79A2">
      <w:pPr>
        <w:widowControl/>
        <w:numPr>
          <w:ilvl w:val="0"/>
          <w:numId w:val="4"/>
        </w:numPr>
        <w:tabs>
          <w:tab w:val="left" w:pos="0"/>
        </w:tabs>
        <w:rPr>
          <w:rFonts w:ascii="Times New Roman" w:hAnsi="Times New Roman"/>
          <w:bCs/>
          <w:color w:val="000000"/>
        </w:rPr>
      </w:pPr>
      <w:r>
        <w:rPr>
          <w:rFonts w:ascii="Times New Roman" w:hAnsi="Times New Roman"/>
          <w:bCs/>
          <w:color w:val="000000"/>
        </w:rPr>
        <w:t>A “Small Governmental Jurisdiction” is defined as governments of cities, counties, towns</w:t>
      </w:r>
      <w:r w:rsidR="00E3720F">
        <w:rPr>
          <w:rFonts w:ascii="Times New Roman" w:hAnsi="Times New Roman"/>
          <w:bCs/>
          <w:color w:val="000000"/>
        </w:rPr>
        <w:t>,</w:t>
      </w:r>
      <w:r>
        <w:rPr>
          <w:rFonts w:ascii="Times New Roman" w:hAnsi="Times New Roman"/>
          <w:bCs/>
          <w:color w:val="000000"/>
        </w:rPr>
        <w:t xml:space="preserve"> townships, villages, school districts, or special districts with a population of less than 50,000. The definition of a small governmental jurisdiction may also include Indian Tribes, in keeping with the President’s Federal Indian Policy.</w:t>
      </w:r>
    </w:p>
    <w:p w:rsidR="002F79A2" w:rsidRDefault="002F79A2" w:rsidP="002F79A2">
      <w:pPr>
        <w:widowControl/>
        <w:tabs>
          <w:tab w:val="left" w:pos="0"/>
        </w:tabs>
        <w:rPr>
          <w:rFonts w:ascii="Times New Roman" w:hAnsi="Times New Roman"/>
          <w:bCs/>
          <w:color w:val="000000"/>
        </w:rPr>
      </w:pPr>
    </w:p>
    <w:p w:rsidR="002F79A2" w:rsidRDefault="002F79A2" w:rsidP="002F79A2">
      <w:pPr>
        <w:widowControl/>
        <w:tabs>
          <w:tab w:val="left" w:pos="0"/>
        </w:tabs>
        <w:rPr>
          <w:rFonts w:ascii="Times New Roman" w:hAnsi="Times New Roman"/>
          <w:bCs/>
          <w:color w:val="000000"/>
        </w:rPr>
      </w:pPr>
      <w:r>
        <w:rPr>
          <w:rFonts w:ascii="Times New Roman" w:hAnsi="Times New Roman"/>
          <w:bCs/>
          <w:color w:val="000000"/>
        </w:rPr>
        <w:tab/>
      </w:r>
      <w:r w:rsidR="00F616B8">
        <w:rPr>
          <w:rFonts w:ascii="Times New Roman" w:hAnsi="Times New Roman"/>
          <w:bCs/>
          <w:color w:val="000000"/>
        </w:rPr>
        <w:t xml:space="preserve">The </w:t>
      </w:r>
      <w:r>
        <w:rPr>
          <w:rFonts w:ascii="Times New Roman" w:hAnsi="Times New Roman"/>
          <w:bCs/>
          <w:color w:val="000000"/>
        </w:rPr>
        <w:t>EPA may also develop regulation-specific definitions of small entities when the above definitions ar</w:t>
      </w:r>
      <w:r w:rsidR="00FC098A">
        <w:rPr>
          <w:rFonts w:ascii="Times New Roman" w:hAnsi="Times New Roman"/>
          <w:bCs/>
          <w:color w:val="000000"/>
        </w:rPr>
        <w:t>e</w:t>
      </w:r>
      <w:r>
        <w:rPr>
          <w:rFonts w:ascii="Times New Roman" w:hAnsi="Times New Roman"/>
          <w:bCs/>
          <w:color w:val="000000"/>
        </w:rPr>
        <w:t xml:space="preserve"> not appropriate</w:t>
      </w:r>
      <w:r w:rsidR="00FC098A">
        <w:rPr>
          <w:rFonts w:ascii="Times New Roman" w:hAnsi="Times New Roman"/>
          <w:bCs/>
          <w:color w:val="000000"/>
        </w:rPr>
        <w:t>. Appendix D of the EPA Guidelines for Implementing the Regulatory Flexibility Act (as revised April 1992) suggests that categories of affected entities be defined based on size and type (size is generally based on number of employees, annual revenues, assets, or population size). The quantitative cutoff point for defining small entities should be selected based on the following criteria (as provided in the EPA Guidelines):</w:t>
      </w:r>
    </w:p>
    <w:p w:rsidR="00FC098A" w:rsidRDefault="00FC098A" w:rsidP="002F79A2">
      <w:pPr>
        <w:widowControl/>
        <w:tabs>
          <w:tab w:val="left" w:pos="0"/>
        </w:tabs>
        <w:rPr>
          <w:rFonts w:ascii="Times New Roman" w:hAnsi="Times New Roman"/>
          <w:bCs/>
          <w:color w:val="000000"/>
        </w:rPr>
      </w:pPr>
    </w:p>
    <w:p w:rsidR="00FC098A" w:rsidRDefault="00FC098A" w:rsidP="00FC098A">
      <w:pPr>
        <w:widowControl/>
        <w:tabs>
          <w:tab w:val="left" w:pos="0"/>
        </w:tabs>
        <w:ind w:left="1440" w:hanging="1440"/>
        <w:rPr>
          <w:rFonts w:ascii="Times New Roman" w:hAnsi="Times New Roman"/>
          <w:bCs/>
          <w:color w:val="000000"/>
        </w:rPr>
      </w:pPr>
      <w:r>
        <w:rPr>
          <w:rFonts w:ascii="Times New Roman" w:hAnsi="Times New Roman"/>
          <w:bCs/>
          <w:color w:val="000000"/>
        </w:rPr>
        <w:tab/>
        <w:t xml:space="preserve">(a) </w:t>
      </w:r>
      <w:r>
        <w:rPr>
          <w:rFonts w:ascii="Times New Roman" w:hAnsi="Times New Roman"/>
          <w:bCs/>
          <w:color w:val="000000"/>
        </w:rPr>
        <w:tab/>
        <w:t>The p</w:t>
      </w:r>
      <w:r w:rsidR="00775065">
        <w:rPr>
          <w:rFonts w:ascii="Times New Roman" w:hAnsi="Times New Roman"/>
          <w:bCs/>
          <w:color w:val="000000"/>
        </w:rPr>
        <w:t>o</w:t>
      </w:r>
      <w:r>
        <w:rPr>
          <w:rFonts w:ascii="Times New Roman" w:hAnsi="Times New Roman"/>
          <w:bCs/>
          <w:color w:val="000000"/>
        </w:rPr>
        <w:t>int at which the economic impact appears to rise or fall substantially (e.g., higher costs);</w:t>
      </w:r>
    </w:p>
    <w:p w:rsidR="00FC098A" w:rsidRDefault="00FC098A" w:rsidP="00FC098A">
      <w:pPr>
        <w:widowControl/>
        <w:tabs>
          <w:tab w:val="left" w:pos="0"/>
        </w:tabs>
        <w:ind w:left="1440" w:hanging="1440"/>
        <w:rPr>
          <w:rFonts w:ascii="Times New Roman" w:hAnsi="Times New Roman"/>
          <w:bCs/>
          <w:color w:val="000000"/>
        </w:rPr>
      </w:pPr>
    </w:p>
    <w:p w:rsidR="00FC098A" w:rsidRDefault="00FC098A" w:rsidP="00FC098A">
      <w:pPr>
        <w:widowControl/>
        <w:tabs>
          <w:tab w:val="left" w:pos="0"/>
        </w:tabs>
        <w:ind w:left="1440" w:hanging="1440"/>
        <w:rPr>
          <w:rFonts w:ascii="Times New Roman" w:hAnsi="Times New Roman"/>
          <w:bCs/>
          <w:color w:val="000000"/>
        </w:rPr>
      </w:pPr>
      <w:r>
        <w:rPr>
          <w:rFonts w:ascii="Times New Roman" w:hAnsi="Times New Roman"/>
          <w:bCs/>
          <w:color w:val="000000"/>
        </w:rPr>
        <w:tab/>
        <w:t>(b)</w:t>
      </w:r>
      <w:r>
        <w:rPr>
          <w:rFonts w:ascii="Times New Roman" w:hAnsi="Times New Roman"/>
          <w:bCs/>
          <w:color w:val="000000"/>
        </w:rPr>
        <w:tab/>
        <w:t>The point in the range of size segments that most closely approximates SBA’s definitions;</w:t>
      </w:r>
    </w:p>
    <w:p w:rsidR="00FC098A" w:rsidRDefault="00FC098A" w:rsidP="00FC098A">
      <w:pPr>
        <w:widowControl/>
        <w:tabs>
          <w:tab w:val="left" w:pos="0"/>
        </w:tabs>
        <w:ind w:left="1440" w:hanging="1440"/>
        <w:rPr>
          <w:rFonts w:ascii="Times New Roman" w:hAnsi="Times New Roman"/>
          <w:bCs/>
          <w:color w:val="000000"/>
        </w:rPr>
      </w:pPr>
    </w:p>
    <w:p w:rsidR="00FC098A" w:rsidRDefault="00FC098A" w:rsidP="00FC098A">
      <w:pPr>
        <w:widowControl/>
        <w:tabs>
          <w:tab w:val="left" w:pos="0"/>
        </w:tabs>
        <w:ind w:left="1440" w:hanging="1440"/>
        <w:rPr>
          <w:rFonts w:ascii="Times New Roman" w:hAnsi="Times New Roman"/>
          <w:bCs/>
          <w:color w:val="000000"/>
        </w:rPr>
      </w:pPr>
      <w:r>
        <w:rPr>
          <w:rFonts w:ascii="Times New Roman" w:hAnsi="Times New Roman"/>
          <w:bCs/>
          <w:color w:val="000000"/>
        </w:rPr>
        <w:tab/>
        <w:t>(c)</w:t>
      </w:r>
      <w:r>
        <w:rPr>
          <w:rFonts w:ascii="Times New Roman" w:hAnsi="Times New Roman"/>
          <w:bCs/>
          <w:color w:val="000000"/>
        </w:rPr>
        <w:tab/>
        <w:t>The point at which the regulation effectively includes a large number of regulated entities without covering a large portion of the pollution probl</w:t>
      </w:r>
      <w:r w:rsidR="00BC3DBD">
        <w:rPr>
          <w:rFonts w:ascii="Times New Roman" w:hAnsi="Times New Roman"/>
          <w:bCs/>
          <w:color w:val="000000"/>
        </w:rPr>
        <w:t>e</w:t>
      </w:r>
      <w:r>
        <w:rPr>
          <w:rFonts w:ascii="Times New Roman" w:hAnsi="Times New Roman"/>
          <w:bCs/>
          <w:color w:val="000000"/>
        </w:rPr>
        <w:t>m;</w:t>
      </w:r>
    </w:p>
    <w:p w:rsidR="00FC098A" w:rsidRDefault="00FC098A" w:rsidP="00FC098A">
      <w:pPr>
        <w:widowControl/>
        <w:tabs>
          <w:tab w:val="left" w:pos="0"/>
        </w:tabs>
        <w:ind w:left="1440" w:hanging="1440"/>
        <w:rPr>
          <w:rFonts w:ascii="Times New Roman" w:hAnsi="Times New Roman"/>
          <w:bCs/>
          <w:color w:val="000000"/>
        </w:rPr>
      </w:pPr>
    </w:p>
    <w:p w:rsidR="00FC098A" w:rsidRDefault="00FC098A" w:rsidP="00FC098A">
      <w:pPr>
        <w:widowControl/>
        <w:tabs>
          <w:tab w:val="left" w:pos="0"/>
        </w:tabs>
        <w:ind w:left="1440" w:hanging="1440"/>
        <w:rPr>
          <w:rFonts w:ascii="Times New Roman" w:hAnsi="Times New Roman"/>
          <w:bCs/>
          <w:color w:val="000000"/>
        </w:rPr>
      </w:pPr>
      <w:r>
        <w:rPr>
          <w:rFonts w:ascii="Times New Roman" w:hAnsi="Times New Roman"/>
          <w:bCs/>
          <w:color w:val="000000"/>
        </w:rPr>
        <w:tab/>
        <w:t>(d)</w:t>
      </w:r>
      <w:r>
        <w:rPr>
          <w:rFonts w:ascii="Times New Roman" w:hAnsi="Times New Roman"/>
          <w:bCs/>
          <w:color w:val="000000"/>
        </w:rPr>
        <w:tab/>
        <w:t>The presence of significantly different requirements or impacts below specific size, population, production, geographic, or other factors.</w:t>
      </w:r>
    </w:p>
    <w:p w:rsidR="00FC098A" w:rsidRDefault="00FC098A" w:rsidP="00FC098A">
      <w:pPr>
        <w:widowControl/>
        <w:tabs>
          <w:tab w:val="left" w:pos="0"/>
        </w:tabs>
        <w:ind w:left="1440" w:hanging="1440"/>
        <w:rPr>
          <w:rFonts w:ascii="Times New Roman" w:hAnsi="Times New Roman"/>
          <w:bCs/>
          <w:color w:val="000000"/>
        </w:rPr>
      </w:pPr>
    </w:p>
    <w:p w:rsidR="004F7931" w:rsidRDefault="00877526" w:rsidP="00877526">
      <w:pPr>
        <w:widowControl/>
        <w:tabs>
          <w:tab w:val="left" w:pos="0"/>
        </w:tabs>
        <w:rPr>
          <w:rFonts w:ascii="Times New Roman" w:hAnsi="Times New Roman"/>
          <w:bCs/>
          <w:color w:val="000000"/>
        </w:rPr>
      </w:pPr>
      <w:r>
        <w:rPr>
          <w:rFonts w:ascii="Times New Roman" w:hAnsi="Times New Roman"/>
          <w:bCs/>
          <w:color w:val="000000"/>
        </w:rPr>
        <w:lastRenderedPageBreak/>
        <w:tab/>
      </w:r>
      <w:r w:rsidR="00FC098A">
        <w:rPr>
          <w:rFonts w:ascii="Times New Roman" w:hAnsi="Times New Roman"/>
          <w:bCs/>
          <w:color w:val="000000"/>
        </w:rPr>
        <w:t>If an Economic Analysis (EA) has been prepared in conjunction with the ICR, it should</w:t>
      </w:r>
      <w:r>
        <w:rPr>
          <w:rFonts w:ascii="Times New Roman" w:hAnsi="Times New Roman"/>
          <w:bCs/>
          <w:color w:val="000000"/>
        </w:rPr>
        <w:t xml:space="preserve"> </w:t>
      </w:r>
      <w:r w:rsidR="001F6498">
        <w:rPr>
          <w:rFonts w:ascii="Times New Roman" w:hAnsi="Times New Roman"/>
          <w:bCs/>
          <w:color w:val="000000"/>
        </w:rPr>
        <w:t xml:space="preserve">provide </w:t>
      </w:r>
      <w:r w:rsidR="00FC098A">
        <w:rPr>
          <w:rFonts w:ascii="Times New Roman" w:hAnsi="Times New Roman"/>
          <w:bCs/>
          <w:color w:val="000000"/>
        </w:rPr>
        <w:t>a definition of a small entity as affected under the rulemaking that can be used for the</w:t>
      </w:r>
      <w:r>
        <w:rPr>
          <w:rFonts w:ascii="Times New Roman" w:hAnsi="Times New Roman"/>
          <w:bCs/>
          <w:color w:val="000000"/>
        </w:rPr>
        <w:t xml:space="preserve"> </w:t>
      </w:r>
      <w:r w:rsidR="00FC098A">
        <w:rPr>
          <w:rFonts w:ascii="Times New Roman" w:hAnsi="Times New Roman"/>
          <w:bCs/>
          <w:color w:val="000000"/>
        </w:rPr>
        <w:t>information collection.</w:t>
      </w:r>
      <w:r w:rsidR="004F7931">
        <w:rPr>
          <w:rFonts w:ascii="Times New Roman" w:hAnsi="Times New Roman"/>
          <w:bCs/>
          <w:color w:val="000000"/>
        </w:rPr>
        <w:t xml:space="preserve"> The EA might also provide an estimate of the information costs for small</w:t>
      </w:r>
      <w:r>
        <w:rPr>
          <w:rFonts w:ascii="Times New Roman" w:hAnsi="Times New Roman"/>
          <w:bCs/>
          <w:color w:val="000000"/>
        </w:rPr>
        <w:t xml:space="preserve"> </w:t>
      </w:r>
      <w:r w:rsidR="004F7931">
        <w:rPr>
          <w:rFonts w:ascii="Times New Roman" w:hAnsi="Times New Roman"/>
          <w:bCs/>
          <w:color w:val="000000"/>
        </w:rPr>
        <w:t>entities. Otherwise, the ICR should define a “small entity” as discussed above, and calculate the</w:t>
      </w:r>
      <w:r w:rsidR="00450E20">
        <w:rPr>
          <w:rFonts w:ascii="Times New Roman" w:hAnsi="Times New Roman"/>
          <w:bCs/>
          <w:color w:val="000000"/>
        </w:rPr>
        <w:t xml:space="preserve"> b</w:t>
      </w:r>
      <w:r w:rsidR="004F7931">
        <w:rPr>
          <w:rFonts w:ascii="Times New Roman" w:hAnsi="Times New Roman"/>
          <w:bCs/>
          <w:color w:val="000000"/>
        </w:rPr>
        <w:t>urden to such entities for the information collection.</w:t>
      </w:r>
    </w:p>
    <w:p w:rsidR="004F7931" w:rsidRDefault="004F7931" w:rsidP="004F7931">
      <w:pPr>
        <w:widowControl/>
        <w:tabs>
          <w:tab w:val="left" w:pos="0"/>
        </w:tabs>
        <w:rPr>
          <w:rFonts w:ascii="Times New Roman" w:hAnsi="Times New Roman"/>
          <w:bCs/>
          <w:color w:val="000000"/>
        </w:rPr>
      </w:pPr>
    </w:p>
    <w:p w:rsidR="004F7931" w:rsidRDefault="004F7931" w:rsidP="004F7931">
      <w:pPr>
        <w:widowControl/>
        <w:tabs>
          <w:tab w:val="left" w:pos="0"/>
        </w:tabs>
        <w:rPr>
          <w:rFonts w:ascii="Times New Roman" w:hAnsi="Times New Roman"/>
          <w:bCs/>
          <w:color w:val="000000"/>
        </w:rPr>
      </w:pPr>
      <w:r>
        <w:rPr>
          <w:rFonts w:ascii="Times New Roman" w:hAnsi="Times New Roman"/>
          <w:bCs/>
          <w:color w:val="000000"/>
        </w:rPr>
        <w:tab/>
        <w:t xml:space="preserve">The </w:t>
      </w:r>
      <w:r w:rsidR="00E03559">
        <w:rPr>
          <w:rFonts w:ascii="Times New Roman" w:hAnsi="Times New Roman"/>
          <w:bCs/>
          <w:color w:val="000000"/>
        </w:rPr>
        <w:t>WQS</w:t>
      </w:r>
      <w:r>
        <w:rPr>
          <w:rFonts w:ascii="Times New Roman" w:hAnsi="Times New Roman"/>
          <w:bCs/>
          <w:color w:val="000000"/>
        </w:rPr>
        <w:t xml:space="preserve"> </w:t>
      </w:r>
      <w:r w:rsidR="00580340">
        <w:rPr>
          <w:rFonts w:ascii="Times New Roman" w:hAnsi="Times New Roman"/>
          <w:bCs/>
          <w:color w:val="000000"/>
        </w:rPr>
        <w:t xml:space="preserve">program </w:t>
      </w:r>
      <w:r>
        <w:rPr>
          <w:rFonts w:ascii="Times New Roman" w:hAnsi="Times New Roman"/>
          <w:bCs/>
          <w:color w:val="000000"/>
        </w:rPr>
        <w:t xml:space="preserve">will have no </w:t>
      </w:r>
      <w:r w:rsidR="001F426D">
        <w:rPr>
          <w:rFonts w:ascii="Times New Roman" w:hAnsi="Times New Roman"/>
          <w:bCs/>
          <w:color w:val="000000"/>
        </w:rPr>
        <w:t>direct</w:t>
      </w:r>
      <w:r>
        <w:rPr>
          <w:rFonts w:ascii="Times New Roman" w:hAnsi="Times New Roman"/>
          <w:bCs/>
          <w:color w:val="000000"/>
        </w:rPr>
        <w:t xml:space="preserve"> impact on small businesses as the primary impact will be on State and Tribal government. There may be a secondary impact on permitted facilities, including businesses, federal government entities, and local government with POTWs. The Agency has instituted several efforts to minimize the impact on businesses as a whole, and on small businesses, specifically.</w:t>
      </w:r>
    </w:p>
    <w:p w:rsidR="004F7931" w:rsidRDefault="004F7931" w:rsidP="004F7931">
      <w:pPr>
        <w:widowControl/>
        <w:tabs>
          <w:tab w:val="left" w:pos="0"/>
        </w:tabs>
        <w:rPr>
          <w:rFonts w:ascii="Times New Roman" w:hAnsi="Times New Roman"/>
          <w:bCs/>
          <w:color w:val="000000"/>
        </w:rPr>
      </w:pPr>
    </w:p>
    <w:p w:rsidR="004F7931" w:rsidRDefault="004F7931" w:rsidP="004F7931">
      <w:pPr>
        <w:widowControl/>
        <w:tabs>
          <w:tab w:val="left" w:pos="0"/>
        </w:tabs>
        <w:rPr>
          <w:rFonts w:ascii="Times New Roman" w:hAnsi="Times New Roman"/>
          <w:bCs/>
          <w:color w:val="000000"/>
        </w:rPr>
      </w:pPr>
      <w:r>
        <w:rPr>
          <w:rFonts w:ascii="Times New Roman" w:hAnsi="Times New Roman"/>
          <w:bCs/>
          <w:color w:val="000000"/>
        </w:rPr>
        <w:tab/>
      </w:r>
      <w:r w:rsidR="00F616B8">
        <w:rPr>
          <w:rFonts w:ascii="Times New Roman" w:hAnsi="Times New Roman"/>
          <w:bCs/>
          <w:color w:val="000000"/>
        </w:rPr>
        <w:t xml:space="preserve">The </w:t>
      </w:r>
      <w:r>
        <w:rPr>
          <w:rFonts w:ascii="Times New Roman" w:hAnsi="Times New Roman"/>
          <w:bCs/>
          <w:color w:val="000000"/>
        </w:rPr>
        <w:t>EPA’s Small Business Division</w:t>
      </w:r>
      <w:r w:rsidR="00AE3689">
        <w:rPr>
          <w:rFonts w:ascii="Times New Roman" w:hAnsi="Times New Roman"/>
          <w:bCs/>
          <w:color w:val="000000"/>
        </w:rPr>
        <w:t xml:space="preserve"> </w:t>
      </w:r>
      <w:r w:rsidR="001F6498">
        <w:rPr>
          <w:rFonts w:ascii="Times New Roman" w:hAnsi="Times New Roman"/>
          <w:bCs/>
          <w:color w:val="000000"/>
        </w:rPr>
        <w:t xml:space="preserve">(SBD) </w:t>
      </w:r>
      <w:r w:rsidR="00AE3689">
        <w:rPr>
          <w:rFonts w:ascii="Times New Roman" w:hAnsi="Times New Roman"/>
          <w:bCs/>
          <w:color w:val="000000"/>
        </w:rPr>
        <w:t>maintains a website and a telephone hotline that small businesses can access with their questions about complying with environmental requirements. Small businesses are assisted by programs in the States, so partnerships between EPA and the States are essential. The Agency, pursuant to CAA section 507, has developed an extensive network with State Compliance Advisory Panels, Small Business Ombudsmen and Small Business Assistance Providers.</w:t>
      </w:r>
      <w:r w:rsidR="0068763C">
        <w:rPr>
          <w:rFonts w:ascii="Times New Roman" w:hAnsi="Times New Roman"/>
          <w:bCs/>
          <w:color w:val="000000"/>
        </w:rPr>
        <w:t xml:space="preserve"> </w:t>
      </w:r>
      <w:r w:rsidR="00AE3689">
        <w:rPr>
          <w:rFonts w:ascii="Times New Roman" w:hAnsi="Times New Roman"/>
          <w:bCs/>
          <w:color w:val="000000"/>
        </w:rPr>
        <w:t xml:space="preserve">SBD hosts an annual conference which provides an opportunity for State small business assistance providers, Compliance Advisory Panel members, trade association representatives, </w:t>
      </w:r>
      <w:r w:rsidR="00F616B8">
        <w:rPr>
          <w:rFonts w:ascii="Times New Roman" w:hAnsi="Times New Roman"/>
          <w:bCs/>
          <w:color w:val="000000"/>
        </w:rPr>
        <w:t xml:space="preserve">the </w:t>
      </w:r>
      <w:r w:rsidR="00AE3689">
        <w:rPr>
          <w:rFonts w:ascii="Times New Roman" w:hAnsi="Times New Roman"/>
          <w:bCs/>
          <w:color w:val="000000"/>
        </w:rPr>
        <w:t>EPA and other federal agencies staff to learn and share information about helping the small business community. This event is key in helping States better coordinate their small business assistance delivery mechanisms. The EPA Small Business Ombudsman also periodically reports to Congress on the activities and progress of the State and territory Small Business Assistance Programs.</w:t>
      </w:r>
    </w:p>
    <w:p w:rsidR="002F79A2" w:rsidRPr="00957A33" w:rsidRDefault="002F79A2" w:rsidP="002F79A2">
      <w:pPr>
        <w:widowControl/>
        <w:tabs>
          <w:tab w:val="left" w:pos="0"/>
        </w:tabs>
        <w:rPr>
          <w:rFonts w:ascii="Times New Roman" w:hAnsi="Times New Roman"/>
          <w:bCs/>
          <w:color w:val="000000"/>
        </w:rPr>
      </w:pPr>
    </w:p>
    <w:p w:rsidR="009E1D15" w:rsidRDefault="0078227A" w:rsidP="00704F82">
      <w:pPr>
        <w:pStyle w:val="Heading2"/>
      </w:pPr>
      <w:bookmarkStart w:id="27" w:name="_Toc361990620"/>
      <w:r w:rsidRPr="0078227A">
        <w:t>Collection Schedule</w:t>
      </w:r>
      <w:bookmarkEnd w:id="27"/>
    </w:p>
    <w:p w:rsidR="009E1D15" w:rsidRDefault="009E1D15">
      <w:pPr>
        <w:widowControl/>
        <w:tabs>
          <w:tab w:val="left" w:pos="0"/>
        </w:tabs>
        <w:rPr>
          <w:rFonts w:ascii="Times New Roman" w:hAnsi="Times New Roman"/>
          <w:color w:val="000000"/>
        </w:rPr>
      </w:pPr>
    </w:p>
    <w:p w:rsidR="005E4CAC" w:rsidRDefault="009E1D15">
      <w:pPr>
        <w:widowControl/>
        <w:tabs>
          <w:tab w:val="left" w:pos="0"/>
        </w:tabs>
        <w:ind w:firstLine="720"/>
        <w:rPr>
          <w:rFonts w:ascii="Times New Roman" w:hAnsi="Times New Roman"/>
          <w:color w:val="000000"/>
        </w:rPr>
      </w:pPr>
      <w:r>
        <w:rPr>
          <w:rFonts w:ascii="Times New Roman" w:hAnsi="Times New Roman"/>
          <w:color w:val="000000"/>
        </w:rPr>
        <w:t xml:space="preserve">The CWA requires States and authorized Tribes to review their </w:t>
      </w:r>
      <w:r w:rsidR="00E03559">
        <w:rPr>
          <w:rFonts w:ascii="Times New Roman" w:hAnsi="Times New Roman"/>
          <w:color w:val="000000"/>
        </w:rPr>
        <w:t>WQS</w:t>
      </w:r>
      <w:r>
        <w:rPr>
          <w:rFonts w:ascii="Times New Roman" w:hAnsi="Times New Roman"/>
          <w:color w:val="000000"/>
        </w:rPr>
        <w:t xml:space="preserve"> at least once every three years and provide the results to </w:t>
      </w:r>
      <w:r w:rsidR="00F616B8">
        <w:rPr>
          <w:rFonts w:ascii="Times New Roman" w:hAnsi="Times New Roman"/>
          <w:color w:val="000000"/>
        </w:rPr>
        <w:t xml:space="preserve">the </w:t>
      </w:r>
      <w:r>
        <w:rPr>
          <w:rFonts w:ascii="Times New Roman" w:hAnsi="Times New Roman"/>
          <w:color w:val="000000"/>
        </w:rPr>
        <w:t>EPA.</w:t>
      </w:r>
      <w:r w:rsidR="0068763C">
        <w:rPr>
          <w:rFonts w:ascii="Times New Roman" w:hAnsi="Times New Roman"/>
          <w:color w:val="000000"/>
        </w:rPr>
        <w:t xml:space="preserve"> </w:t>
      </w:r>
      <w:r>
        <w:rPr>
          <w:rFonts w:ascii="Times New Roman" w:hAnsi="Times New Roman"/>
          <w:color w:val="000000"/>
        </w:rPr>
        <w:t>In practice, some States and Tribes choose to submit revised standards for portions of their waters more frequently.</w:t>
      </w:r>
    </w:p>
    <w:p w:rsidR="005E4CAC" w:rsidRDefault="005E4CAC">
      <w:pPr>
        <w:widowControl/>
        <w:tabs>
          <w:tab w:val="left" w:pos="0"/>
        </w:tabs>
        <w:ind w:firstLine="720"/>
        <w:rPr>
          <w:rFonts w:ascii="Times New Roman" w:hAnsi="Times New Roman"/>
          <w:color w:val="000000"/>
        </w:rPr>
      </w:pPr>
    </w:p>
    <w:p w:rsidR="005E4CAC" w:rsidRDefault="005E4CAC">
      <w:pPr>
        <w:widowControl/>
        <w:tabs>
          <w:tab w:val="left" w:pos="0"/>
        </w:tabs>
        <w:ind w:firstLine="720"/>
        <w:rPr>
          <w:rFonts w:ascii="Times New Roman" w:hAnsi="Times New Roman"/>
          <w:color w:val="000000"/>
        </w:rPr>
      </w:pPr>
    </w:p>
    <w:p w:rsidR="009E1D15" w:rsidRDefault="009E1D15" w:rsidP="00704F82">
      <w:pPr>
        <w:pStyle w:val="Heading1"/>
      </w:pPr>
      <w:bookmarkStart w:id="28" w:name="_Toc361990621"/>
      <w:r>
        <w:t>ESTIMATING THE BURDEN AND COST OF THE COLLECTION</w:t>
      </w:r>
      <w:bookmarkEnd w:id="28"/>
    </w:p>
    <w:p w:rsidR="00D9711C" w:rsidRDefault="00D9711C" w:rsidP="00D9711C">
      <w:pPr>
        <w:widowControl/>
        <w:tabs>
          <w:tab w:val="left" w:pos="0"/>
        </w:tabs>
        <w:rPr>
          <w:rFonts w:ascii="Times New Roman" w:hAnsi="Times New Roman"/>
          <w:b/>
          <w:bCs/>
          <w:color w:val="000000"/>
        </w:rPr>
      </w:pPr>
    </w:p>
    <w:p w:rsidR="00D9711C" w:rsidRDefault="00D9711C" w:rsidP="00704F82">
      <w:pPr>
        <w:pStyle w:val="Heading2"/>
      </w:pPr>
      <w:bookmarkStart w:id="29" w:name="_Toc361990622"/>
      <w:r>
        <w:t>Estimating potential incremental burdens and costs</w:t>
      </w:r>
      <w:bookmarkEnd w:id="29"/>
    </w:p>
    <w:p w:rsidR="00F317D3" w:rsidRDefault="00F317D3" w:rsidP="00D9711C">
      <w:pPr>
        <w:widowControl/>
        <w:tabs>
          <w:tab w:val="left" w:pos="0"/>
        </w:tabs>
        <w:rPr>
          <w:rFonts w:ascii="Times New Roman" w:hAnsi="Times New Roman"/>
          <w:b/>
          <w:bCs/>
          <w:smallCaps/>
          <w:color w:val="000000"/>
        </w:rPr>
      </w:pPr>
    </w:p>
    <w:p w:rsidR="00F317D3" w:rsidRDefault="00F317D3" w:rsidP="00F317D3">
      <w:pPr>
        <w:pStyle w:val="Bodynoindent"/>
        <w:ind w:firstLine="720"/>
        <w:rPr>
          <w:bCs/>
        </w:rPr>
      </w:pPr>
      <w:r w:rsidRPr="001D6A05">
        <w:rPr>
          <w:color w:val="000000"/>
        </w:rPr>
        <w:t>The proposed rule</w:t>
      </w:r>
      <w:r>
        <w:rPr>
          <w:color w:val="000000"/>
        </w:rPr>
        <w:t xml:space="preserve"> addresses </w:t>
      </w:r>
      <w:r w:rsidRPr="001D6A05">
        <w:rPr>
          <w:color w:val="000000"/>
        </w:rPr>
        <w:t xml:space="preserve">the following key </w:t>
      </w:r>
      <w:r>
        <w:rPr>
          <w:color w:val="000000"/>
        </w:rPr>
        <w:t xml:space="preserve">program </w:t>
      </w:r>
      <w:r w:rsidRPr="001D6A05">
        <w:rPr>
          <w:color w:val="000000"/>
        </w:rPr>
        <w:t>areas:</w:t>
      </w:r>
      <w:r>
        <w:rPr>
          <w:color w:val="000000"/>
        </w:rPr>
        <w:t xml:space="preserve"> </w:t>
      </w:r>
      <w:r>
        <w:rPr>
          <w:bCs/>
        </w:rPr>
        <w:t>(1) </w:t>
      </w:r>
      <w:r w:rsidRPr="001D6A05">
        <w:rPr>
          <w:bCs/>
        </w:rPr>
        <w:t>Administrator’s determination</w:t>
      </w:r>
      <w:r>
        <w:rPr>
          <w:bCs/>
        </w:rPr>
        <w:t>s that new or revised WQS are necessary</w:t>
      </w:r>
      <w:r w:rsidRPr="001D6A05">
        <w:rPr>
          <w:bCs/>
        </w:rPr>
        <w:t xml:space="preserve">, </w:t>
      </w:r>
      <w:r>
        <w:rPr>
          <w:bCs/>
        </w:rPr>
        <w:t xml:space="preserve">(2) designated </w:t>
      </w:r>
      <w:r w:rsidRPr="001D6A05">
        <w:rPr>
          <w:bCs/>
        </w:rPr>
        <w:t xml:space="preserve">uses, </w:t>
      </w:r>
      <w:r>
        <w:rPr>
          <w:bCs/>
        </w:rPr>
        <w:t xml:space="preserve">(3) </w:t>
      </w:r>
      <w:r w:rsidRPr="001D6A05">
        <w:rPr>
          <w:bCs/>
        </w:rPr>
        <w:t>triennial review</w:t>
      </w:r>
      <w:r>
        <w:rPr>
          <w:bCs/>
        </w:rPr>
        <w:t>s</w:t>
      </w:r>
      <w:r w:rsidRPr="001D6A05">
        <w:rPr>
          <w:bCs/>
        </w:rPr>
        <w:t xml:space="preserve">, </w:t>
      </w:r>
      <w:r>
        <w:rPr>
          <w:bCs/>
        </w:rPr>
        <w:t>(4) an</w:t>
      </w:r>
      <w:r w:rsidRPr="001D6A05">
        <w:rPr>
          <w:bCs/>
        </w:rPr>
        <w:t xml:space="preserve">tidegradation, </w:t>
      </w:r>
      <w:r>
        <w:rPr>
          <w:bCs/>
        </w:rPr>
        <w:t>(5) v</w:t>
      </w:r>
      <w:r w:rsidRPr="001D6A05">
        <w:rPr>
          <w:bCs/>
        </w:rPr>
        <w:t>ariances</w:t>
      </w:r>
      <w:r>
        <w:rPr>
          <w:bCs/>
        </w:rPr>
        <w:t xml:space="preserve"> to WQS, and (6) compliance schedule authorizing provisions.  </w:t>
      </w:r>
      <w:r w:rsidR="003766ED">
        <w:rPr>
          <w:bCs/>
        </w:rPr>
        <w:t xml:space="preserve">The </w:t>
      </w:r>
      <w:r>
        <w:rPr>
          <w:bCs/>
        </w:rPr>
        <w:t xml:space="preserve">EPA expects that two of these program areas, Administrator’s Determinations and triennial reviews, will not generate incremental burdens and costs. </w:t>
      </w:r>
    </w:p>
    <w:p w:rsidR="00F317D3" w:rsidRPr="00F317D3" w:rsidRDefault="003766ED" w:rsidP="00E23416">
      <w:pPr>
        <w:pStyle w:val="Bodynoindent"/>
        <w:ind w:firstLine="720"/>
      </w:pPr>
      <w:r>
        <w:t xml:space="preserve">The </w:t>
      </w:r>
      <w:r w:rsidR="00F317D3" w:rsidRPr="00F317D3">
        <w:t xml:space="preserve">EPA estimates the cost of labor from data on state government hourly wage rates (data are not available for tribes). The labor categories chosen as applicable to WQS regulatory revision efforts are Environmental Scientist, Department Manager, Environmental Engineer, and </w:t>
      </w:r>
      <w:r w:rsidR="00F317D3" w:rsidRPr="00BC0EB1">
        <w:t xml:space="preserve">Economist. </w:t>
      </w:r>
      <w:r w:rsidR="00D85E8C">
        <w:fldChar w:fldCharType="begin"/>
      </w:r>
      <w:r w:rsidR="00D85E8C">
        <w:instrText xml:space="preserve"> REF _Ref301788750 \h  \* MERGEFORMAT </w:instrText>
      </w:r>
      <w:r w:rsidR="00D85E8C">
        <w:fldChar w:fldCharType="separate"/>
      </w:r>
      <w:r w:rsidR="00826119">
        <w:t>Table 6</w:t>
      </w:r>
      <w:r w:rsidR="00826119">
        <w:noBreakHyphen/>
        <w:t>1</w:t>
      </w:r>
      <w:r w:rsidR="00D85E8C">
        <w:fldChar w:fldCharType="end"/>
      </w:r>
      <w:r w:rsidR="00F317D3" w:rsidRPr="00BC0EB1">
        <w:t xml:space="preserve"> shows the </w:t>
      </w:r>
      <w:r w:rsidR="00877526">
        <w:t>2012</w:t>
      </w:r>
      <w:r w:rsidR="00877526" w:rsidRPr="00BC0EB1">
        <w:t xml:space="preserve"> </w:t>
      </w:r>
      <w:r w:rsidR="00F317D3" w:rsidRPr="00BC0EB1">
        <w:t xml:space="preserve">labor rates for these categories, inflated to </w:t>
      </w:r>
      <w:r w:rsidR="00877526">
        <w:t>March</w:t>
      </w:r>
      <w:r w:rsidR="00877526" w:rsidRPr="00BC0EB1">
        <w:t xml:space="preserve"> </w:t>
      </w:r>
      <w:r w:rsidR="00877526">
        <w:t>2013</w:t>
      </w:r>
      <w:r w:rsidR="00877526" w:rsidRPr="00BC0EB1">
        <w:t xml:space="preserve"> </w:t>
      </w:r>
      <w:r w:rsidR="00F317D3" w:rsidRPr="00BC0EB1">
        <w:lastRenderedPageBreak/>
        <w:t>dollars using the Bureau of</w:t>
      </w:r>
      <w:r w:rsidR="00F317D3" w:rsidRPr="00F317D3">
        <w:t xml:space="preserve"> Labor Statistics (BLS) Employment Cost Index for professional and related state and local government workers (</w:t>
      </w:r>
      <w:r w:rsidR="00877526">
        <w:t>116.0/115.0 = 1.01</w:t>
      </w:r>
      <w:r w:rsidR="00F317D3" w:rsidRPr="00F317D3">
        <w:t>), and accounting for benefits using the BLS Employer Cost for Employee Compensation for state and local professional government workers (</w:t>
      </w:r>
      <w:r w:rsidR="00877526">
        <w:t>32.7</w:t>
      </w:r>
      <w:r w:rsidR="00F317D3" w:rsidRPr="00F317D3">
        <w:t xml:space="preserve">% of total compensation is attributable to benefits). An average wage rate is used because </w:t>
      </w:r>
      <w:r>
        <w:t xml:space="preserve">the </w:t>
      </w:r>
      <w:r w:rsidR="00F317D3" w:rsidRPr="00F317D3">
        <w:t>EPA does not have information on the division of labor hours by professional category that states and tribes use to administer their WQS programs</w:t>
      </w:r>
      <w:r w:rsidR="00F317D3" w:rsidRPr="00F317D3">
        <w:rPr>
          <w:rStyle w:val="BodyTextChar"/>
          <w:sz w:val="24"/>
        </w:rPr>
        <w:t xml:space="preserve">. </w:t>
      </w:r>
    </w:p>
    <w:p w:rsidR="00523340" w:rsidRPr="00085D5C" w:rsidRDefault="00523340" w:rsidP="00523340">
      <w:pPr>
        <w:pStyle w:val="BodyText"/>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80"/>
        <w:gridCol w:w="1980"/>
        <w:gridCol w:w="1800"/>
        <w:gridCol w:w="1800"/>
      </w:tblGrid>
      <w:tr w:rsidR="00523340" w:rsidRPr="00C3412F" w:rsidTr="00686E79">
        <w:trPr>
          <w:trHeight w:val="255"/>
          <w:jc w:val="center"/>
        </w:trPr>
        <w:tc>
          <w:tcPr>
            <w:tcW w:w="9360" w:type="dxa"/>
            <w:gridSpan w:val="4"/>
            <w:shd w:val="clear" w:color="auto" w:fill="D9D9D9"/>
            <w:noWrap/>
            <w:vAlign w:val="bottom"/>
          </w:tcPr>
          <w:p w:rsidR="00523340" w:rsidRPr="00E03B76" w:rsidRDefault="00523340" w:rsidP="00282419">
            <w:pPr>
              <w:pStyle w:val="Caption"/>
              <w:rPr>
                <w:szCs w:val="24"/>
              </w:rPr>
            </w:pPr>
            <w:bookmarkStart w:id="30" w:name="_Ref279661033"/>
            <w:bookmarkStart w:id="31" w:name="_Ref301788750"/>
            <w:bookmarkStart w:id="32" w:name="_Toc288043052"/>
            <w:bookmarkStart w:id="33" w:name="_Ref291066085"/>
            <w:bookmarkStart w:id="34" w:name="_Toc300763558"/>
            <w:r>
              <w:rPr>
                <w:szCs w:val="24"/>
              </w:rPr>
              <w:t xml:space="preserve">Table </w:t>
            </w:r>
            <w:bookmarkEnd w:id="30"/>
            <w:r w:rsidR="00EA39AA">
              <w:rPr>
                <w:szCs w:val="24"/>
              </w:rPr>
              <w:fldChar w:fldCharType="begin"/>
            </w:r>
            <w:r w:rsidR="00A27F3D">
              <w:rPr>
                <w:szCs w:val="24"/>
              </w:rPr>
              <w:instrText xml:space="preserve"> STYLEREF 1 \s </w:instrText>
            </w:r>
            <w:r w:rsidR="00EA39AA">
              <w:rPr>
                <w:szCs w:val="24"/>
              </w:rPr>
              <w:fldChar w:fldCharType="separate"/>
            </w:r>
            <w:r w:rsidR="00826119">
              <w:rPr>
                <w:noProof/>
                <w:szCs w:val="24"/>
              </w:rPr>
              <w:t>6</w:t>
            </w:r>
            <w:r w:rsidR="00EA39AA">
              <w:rPr>
                <w:szCs w:val="24"/>
              </w:rPr>
              <w:fldChar w:fldCharType="end"/>
            </w:r>
            <w:r w:rsidR="00A27F3D">
              <w:rPr>
                <w:szCs w:val="24"/>
              </w:rPr>
              <w:noBreakHyphen/>
            </w:r>
            <w:r w:rsidR="00EA39AA">
              <w:rPr>
                <w:szCs w:val="24"/>
              </w:rPr>
              <w:fldChar w:fldCharType="begin"/>
            </w:r>
            <w:r w:rsidR="00A27F3D">
              <w:rPr>
                <w:szCs w:val="24"/>
              </w:rPr>
              <w:instrText xml:space="preserve"> SEQ Table \* ARABIC \s 1 </w:instrText>
            </w:r>
            <w:r w:rsidR="00EA39AA">
              <w:rPr>
                <w:szCs w:val="24"/>
              </w:rPr>
              <w:fldChar w:fldCharType="separate"/>
            </w:r>
            <w:r w:rsidR="00826119">
              <w:rPr>
                <w:noProof/>
                <w:szCs w:val="24"/>
              </w:rPr>
              <w:t>1</w:t>
            </w:r>
            <w:r w:rsidR="00EA39AA">
              <w:rPr>
                <w:szCs w:val="24"/>
              </w:rPr>
              <w:fldChar w:fldCharType="end"/>
            </w:r>
            <w:bookmarkEnd w:id="31"/>
            <w:r w:rsidR="00F13C69">
              <w:rPr>
                <w:szCs w:val="24"/>
              </w:rPr>
              <w:t>:</w:t>
            </w:r>
            <w:r w:rsidRPr="00E03B76">
              <w:rPr>
                <w:szCs w:val="24"/>
              </w:rPr>
              <w:t xml:space="preserve"> Summary of State Government Average Hourly Wage Rates</w:t>
            </w:r>
            <w:bookmarkEnd w:id="32"/>
            <w:r w:rsidRPr="00E03B76">
              <w:rPr>
                <w:szCs w:val="24"/>
              </w:rPr>
              <w:t xml:space="preserve"> (201</w:t>
            </w:r>
            <w:r w:rsidR="00877526">
              <w:rPr>
                <w:szCs w:val="24"/>
              </w:rPr>
              <w:t>3</w:t>
            </w:r>
            <w:r w:rsidRPr="00E03B76">
              <w:rPr>
                <w:szCs w:val="24"/>
              </w:rPr>
              <w:t xml:space="preserve"> $)</w:t>
            </w:r>
            <w:bookmarkEnd w:id="33"/>
            <w:bookmarkEnd w:id="34"/>
          </w:p>
        </w:tc>
      </w:tr>
      <w:tr w:rsidR="00523340" w:rsidRPr="00C3412F" w:rsidTr="00686E79">
        <w:trPr>
          <w:trHeight w:val="485"/>
          <w:jc w:val="center"/>
        </w:trPr>
        <w:tc>
          <w:tcPr>
            <w:tcW w:w="3780" w:type="dxa"/>
            <w:shd w:val="clear" w:color="auto" w:fill="FFFF99"/>
            <w:noWrap/>
            <w:vAlign w:val="bottom"/>
          </w:tcPr>
          <w:p w:rsidR="00523340" w:rsidRPr="00C3412F" w:rsidRDefault="00523340" w:rsidP="00686E79">
            <w:pPr>
              <w:pStyle w:val="ExhibitHeading"/>
              <w:keepNext/>
              <w:keepLines/>
            </w:pPr>
            <w:r w:rsidRPr="00C3412F">
              <w:t>Labor Category</w:t>
            </w:r>
            <w:r>
              <w:t xml:space="preserve"> (OES Category)</w:t>
            </w:r>
          </w:p>
        </w:tc>
        <w:tc>
          <w:tcPr>
            <w:tcW w:w="1980" w:type="dxa"/>
            <w:shd w:val="clear" w:color="auto" w:fill="FFFF99"/>
            <w:noWrap/>
            <w:vAlign w:val="bottom"/>
          </w:tcPr>
          <w:p w:rsidR="00523340" w:rsidRPr="00C3412F" w:rsidRDefault="00523340" w:rsidP="00686E79">
            <w:pPr>
              <w:pStyle w:val="ExhibitHeading"/>
              <w:keepNext/>
              <w:keepLines/>
            </w:pPr>
            <w:r>
              <w:t>Hourly Labor Rate</w:t>
            </w:r>
          </w:p>
        </w:tc>
        <w:tc>
          <w:tcPr>
            <w:tcW w:w="1800" w:type="dxa"/>
            <w:shd w:val="clear" w:color="auto" w:fill="FFFF99"/>
            <w:vAlign w:val="bottom"/>
          </w:tcPr>
          <w:p w:rsidR="00523340" w:rsidRPr="00C3412F" w:rsidRDefault="00523340" w:rsidP="00A30F1D">
            <w:pPr>
              <w:pStyle w:val="ExhibitHeading"/>
              <w:keepNext/>
              <w:keepLines/>
            </w:pPr>
            <w:r>
              <w:t xml:space="preserve">Hourly Benefits </w:t>
            </w:r>
          </w:p>
        </w:tc>
        <w:tc>
          <w:tcPr>
            <w:tcW w:w="1800" w:type="dxa"/>
            <w:shd w:val="clear" w:color="auto" w:fill="FFFF99"/>
            <w:noWrap/>
            <w:vAlign w:val="bottom"/>
          </w:tcPr>
          <w:p w:rsidR="00523340" w:rsidRPr="00C3412F" w:rsidRDefault="00523340" w:rsidP="00686E79">
            <w:pPr>
              <w:pStyle w:val="ExhibitHeading"/>
              <w:keepNext/>
              <w:keepLines/>
            </w:pPr>
            <w:r w:rsidRPr="00C3412F">
              <w:t xml:space="preserve">Hourly </w:t>
            </w:r>
            <w:r>
              <w:t xml:space="preserve">Wage </w:t>
            </w:r>
            <w:r w:rsidRPr="00C3412F">
              <w:t>Rate</w:t>
            </w:r>
          </w:p>
        </w:tc>
      </w:tr>
      <w:tr w:rsidR="00877526" w:rsidRPr="00C3412F" w:rsidTr="00686E79">
        <w:trPr>
          <w:trHeight w:val="255"/>
          <w:jc w:val="center"/>
        </w:trPr>
        <w:tc>
          <w:tcPr>
            <w:tcW w:w="3780" w:type="dxa"/>
            <w:noWrap/>
            <w:vAlign w:val="bottom"/>
          </w:tcPr>
          <w:p w:rsidR="00877526" w:rsidRPr="00C3412F" w:rsidRDefault="00877526" w:rsidP="00686E79">
            <w:pPr>
              <w:pStyle w:val="ExhibitCenter"/>
            </w:pPr>
            <w:r w:rsidRPr="00C3412F">
              <w:t>Environmental Scientist</w:t>
            </w:r>
            <w:r>
              <w:t xml:space="preserve"> (19-2041)</w:t>
            </w:r>
          </w:p>
        </w:tc>
        <w:tc>
          <w:tcPr>
            <w:tcW w:w="1980" w:type="dxa"/>
            <w:noWrap/>
            <w:vAlign w:val="center"/>
          </w:tcPr>
          <w:p w:rsidR="00877526" w:rsidRPr="00C3412F" w:rsidRDefault="00877526" w:rsidP="00686E79">
            <w:pPr>
              <w:pStyle w:val="ExhibitCenter"/>
              <w:jc w:val="center"/>
            </w:pPr>
            <w:r>
              <w:rPr>
                <w:szCs w:val="22"/>
              </w:rPr>
              <w:t xml:space="preserve">$28 </w:t>
            </w:r>
          </w:p>
        </w:tc>
        <w:tc>
          <w:tcPr>
            <w:tcW w:w="1800" w:type="dxa"/>
            <w:vAlign w:val="center"/>
          </w:tcPr>
          <w:p w:rsidR="00877526" w:rsidRPr="00C3412F" w:rsidRDefault="00877526" w:rsidP="00686E79">
            <w:pPr>
              <w:pStyle w:val="ExhibitCenter"/>
              <w:jc w:val="center"/>
            </w:pPr>
            <w:r>
              <w:rPr>
                <w:szCs w:val="22"/>
              </w:rPr>
              <w:t xml:space="preserve">$14 </w:t>
            </w:r>
          </w:p>
        </w:tc>
        <w:tc>
          <w:tcPr>
            <w:tcW w:w="1800" w:type="dxa"/>
            <w:noWrap/>
            <w:vAlign w:val="center"/>
          </w:tcPr>
          <w:p w:rsidR="00877526" w:rsidRPr="00C3412F" w:rsidRDefault="00877526" w:rsidP="00686E79">
            <w:pPr>
              <w:pStyle w:val="ExhibitCenter"/>
              <w:jc w:val="center"/>
            </w:pPr>
            <w:r>
              <w:rPr>
                <w:szCs w:val="22"/>
              </w:rPr>
              <w:t xml:space="preserve">$42 </w:t>
            </w:r>
          </w:p>
        </w:tc>
      </w:tr>
      <w:tr w:rsidR="00877526" w:rsidRPr="00C3412F" w:rsidTr="00686E79">
        <w:trPr>
          <w:trHeight w:val="255"/>
          <w:jc w:val="center"/>
        </w:trPr>
        <w:tc>
          <w:tcPr>
            <w:tcW w:w="3780" w:type="dxa"/>
            <w:noWrap/>
            <w:vAlign w:val="bottom"/>
          </w:tcPr>
          <w:p w:rsidR="00877526" w:rsidRPr="00C3412F" w:rsidRDefault="00877526" w:rsidP="00686E79">
            <w:pPr>
              <w:pStyle w:val="ExhibitCenter"/>
            </w:pPr>
            <w:r w:rsidRPr="00C3412F">
              <w:t>Environmental Engineer</w:t>
            </w:r>
            <w:r>
              <w:t xml:space="preserve"> (17-2081)</w:t>
            </w:r>
          </w:p>
        </w:tc>
        <w:tc>
          <w:tcPr>
            <w:tcW w:w="1980" w:type="dxa"/>
            <w:noWrap/>
            <w:vAlign w:val="center"/>
          </w:tcPr>
          <w:p w:rsidR="00877526" w:rsidRPr="00C3412F" w:rsidRDefault="00877526" w:rsidP="00686E79">
            <w:pPr>
              <w:pStyle w:val="ExhibitCenter"/>
              <w:jc w:val="center"/>
            </w:pPr>
            <w:r>
              <w:rPr>
                <w:szCs w:val="22"/>
              </w:rPr>
              <w:t xml:space="preserve">$33 </w:t>
            </w:r>
          </w:p>
        </w:tc>
        <w:tc>
          <w:tcPr>
            <w:tcW w:w="1800" w:type="dxa"/>
            <w:vAlign w:val="center"/>
          </w:tcPr>
          <w:p w:rsidR="00877526" w:rsidRPr="00C3412F" w:rsidRDefault="00877526" w:rsidP="00686E79">
            <w:pPr>
              <w:pStyle w:val="ExhibitCenter"/>
              <w:jc w:val="center"/>
            </w:pPr>
            <w:r>
              <w:rPr>
                <w:szCs w:val="22"/>
              </w:rPr>
              <w:t xml:space="preserve">$16 </w:t>
            </w:r>
          </w:p>
        </w:tc>
        <w:tc>
          <w:tcPr>
            <w:tcW w:w="1800" w:type="dxa"/>
            <w:noWrap/>
            <w:vAlign w:val="center"/>
          </w:tcPr>
          <w:p w:rsidR="00877526" w:rsidRPr="00C3412F" w:rsidRDefault="00877526" w:rsidP="00686E79">
            <w:pPr>
              <w:pStyle w:val="ExhibitCenter"/>
              <w:jc w:val="center"/>
            </w:pPr>
            <w:r>
              <w:rPr>
                <w:szCs w:val="22"/>
              </w:rPr>
              <w:t xml:space="preserve">$50 </w:t>
            </w:r>
          </w:p>
        </w:tc>
      </w:tr>
      <w:tr w:rsidR="00877526" w:rsidRPr="00C3412F" w:rsidTr="00686E79">
        <w:trPr>
          <w:trHeight w:val="255"/>
          <w:jc w:val="center"/>
        </w:trPr>
        <w:tc>
          <w:tcPr>
            <w:tcW w:w="3780" w:type="dxa"/>
            <w:noWrap/>
            <w:vAlign w:val="bottom"/>
          </w:tcPr>
          <w:p w:rsidR="00877526" w:rsidRPr="00C3412F" w:rsidRDefault="00877526" w:rsidP="00686E79">
            <w:pPr>
              <w:pStyle w:val="ExhibitCenter"/>
            </w:pPr>
            <w:r w:rsidRPr="00C3412F">
              <w:t>Economist</w:t>
            </w:r>
            <w:r>
              <w:t xml:space="preserve"> (19-3011)</w:t>
            </w:r>
          </w:p>
        </w:tc>
        <w:tc>
          <w:tcPr>
            <w:tcW w:w="1980" w:type="dxa"/>
            <w:noWrap/>
            <w:vAlign w:val="center"/>
          </w:tcPr>
          <w:p w:rsidR="00877526" w:rsidRPr="00C3412F" w:rsidRDefault="00877526" w:rsidP="00686E79">
            <w:pPr>
              <w:pStyle w:val="ExhibitCenter"/>
              <w:jc w:val="center"/>
            </w:pPr>
            <w:r>
              <w:rPr>
                <w:szCs w:val="22"/>
              </w:rPr>
              <w:t xml:space="preserve">$30 </w:t>
            </w:r>
          </w:p>
        </w:tc>
        <w:tc>
          <w:tcPr>
            <w:tcW w:w="1800" w:type="dxa"/>
            <w:vAlign w:val="center"/>
          </w:tcPr>
          <w:p w:rsidR="00877526" w:rsidRPr="00C3412F" w:rsidRDefault="00877526" w:rsidP="00686E79">
            <w:pPr>
              <w:pStyle w:val="ExhibitCenter"/>
              <w:jc w:val="center"/>
            </w:pPr>
            <w:r>
              <w:rPr>
                <w:szCs w:val="22"/>
              </w:rPr>
              <w:t xml:space="preserve">$15 </w:t>
            </w:r>
          </w:p>
        </w:tc>
        <w:tc>
          <w:tcPr>
            <w:tcW w:w="1800" w:type="dxa"/>
            <w:noWrap/>
            <w:vAlign w:val="center"/>
          </w:tcPr>
          <w:p w:rsidR="00877526" w:rsidRPr="00C3412F" w:rsidRDefault="00877526" w:rsidP="00686E79">
            <w:pPr>
              <w:pStyle w:val="ExhibitCenter"/>
              <w:jc w:val="center"/>
            </w:pPr>
            <w:r>
              <w:rPr>
                <w:szCs w:val="22"/>
              </w:rPr>
              <w:t xml:space="preserve">$45 </w:t>
            </w:r>
          </w:p>
        </w:tc>
      </w:tr>
      <w:tr w:rsidR="00877526" w:rsidRPr="00C3412F" w:rsidTr="00686E79">
        <w:trPr>
          <w:trHeight w:val="255"/>
          <w:jc w:val="center"/>
        </w:trPr>
        <w:tc>
          <w:tcPr>
            <w:tcW w:w="3780" w:type="dxa"/>
            <w:noWrap/>
            <w:vAlign w:val="bottom"/>
          </w:tcPr>
          <w:p w:rsidR="00877526" w:rsidRPr="00C3412F" w:rsidRDefault="00877526" w:rsidP="00686E79">
            <w:pPr>
              <w:pStyle w:val="ExhibitCenter"/>
            </w:pPr>
            <w:r w:rsidRPr="00C3412F">
              <w:t>Manager</w:t>
            </w:r>
            <w:r>
              <w:t xml:space="preserve"> (11-9121)</w:t>
            </w:r>
          </w:p>
        </w:tc>
        <w:tc>
          <w:tcPr>
            <w:tcW w:w="1980" w:type="dxa"/>
            <w:noWrap/>
            <w:vAlign w:val="center"/>
          </w:tcPr>
          <w:p w:rsidR="00877526" w:rsidRPr="00C3412F" w:rsidRDefault="00877526" w:rsidP="00686E79">
            <w:pPr>
              <w:pStyle w:val="ExhibitCenter"/>
              <w:jc w:val="center"/>
            </w:pPr>
            <w:r>
              <w:rPr>
                <w:szCs w:val="22"/>
              </w:rPr>
              <w:t xml:space="preserve">$36 </w:t>
            </w:r>
          </w:p>
        </w:tc>
        <w:tc>
          <w:tcPr>
            <w:tcW w:w="1800" w:type="dxa"/>
            <w:vAlign w:val="center"/>
          </w:tcPr>
          <w:p w:rsidR="00877526" w:rsidRPr="00C3412F" w:rsidRDefault="00877526" w:rsidP="00686E79">
            <w:pPr>
              <w:pStyle w:val="ExhibitCenter"/>
              <w:jc w:val="center"/>
            </w:pPr>
            <w:r>
              <w:rPr>
                <w:szCs w:val="22"/>
              </w:rPr>
              <w:t xml:space="preserve">$18 </w:t>
            </w:r>
          </w:p>
        </w:tc>
        <w:tc>
          <w:tcPr>
            <w:tcW w:w="1800" w:type="dxa"/>
            <w:noWrap/>
            <w:vAlign w:val="center"/>
          </w:tcPr>
          <w:p w:rsidR="00877526" w:rsidRPr="00C3412F" w:rsidRDefault="00877526" w:rsidP="00686E79">
            <w:pPr>
              <w:pStyle w:val="ExhibitCenter"/>
              <w:jc w:val="center"/>
            </w:pPr>
            <w:r>
              <w:rPr>
                <w:szCs w:val="22"/>
              </w:rPr>
              <w:t xml:space="preserve">$54 </w:t>
            </w:r>
          </w:p>
        </w:tc>
      </w:tr>
      <w:tr w:rsidR="00877526" w:rsidRPr="00C3412F" w:rsidTr="00877526">
        <w:trPr>
          <w:trHeight w:val="70"/>
          <w:jc w:val="center"/>
        </w:trPr>
        <w:tc>
          <w:tcPr>
            <w:tcW w:w="3780" w:type="dxa"/>
            <w:noWrap/>
            <w:vAlign w:val="bottom"/>
          </w:tcPr>
          <w:p w:rsidR="00877526" w:rsidRPr="00C3412F" w:rsidRDefault="00877526" w:rsidP="00877526">
            <w:pPr>
              <w:pStyle w:val="Exhibitright"/>
              <w:keepNext/>
              <w:keepLines/>
              <w:spacing w:after="0"/>
              <w:jc w:val="left"/>
            </w:pPr>
            <w:r w:rsidRPr="00C3412F">
              <w:t>Average</w:t>
            </w:r>
          </w:p>
        </w:tc>
        <w:tc>
          <w:tcPr>
            <w:tcW w:w="1980" w:type="dxa"/>
            <w:vAlign w:val="center"/>
          </w:tcPr>
          <w:p w:rsidR="00877526" w:rsidRPr="009F7426" w:rsidRDefault="00877526" w:rsidP="00877526">
            <w:pPr>
              <w:pStyle w:val="Exhibitright"/>
              <w:keepNext/>
              <w:keepLines/>
              <w:spacing w:after="0"/>
              <w:jc w:val="center"/>
              <w:rPr>
                <w:b w:val="0"/>
              </w:rPr>
            </w:pPr>
            <w:r>
              <w:rPr>
                <w:sz w:val="22"/>
              </w:rPr>
              <w:t>--</w:t>
            </w:r>
          </w:p>
        </w:tc>
        <w:tc>
          <w:tcPr>
            <w:tcW w:w="1800" w:type="dxa"/>
            <w:vAlign w:val="center"/>
          </w:tcPr>
          <w:p w:rsidR="00877526" w:rsidRPr="009F7426" w:rsidRDefault="00877526" w:rsidP="00877526">
            <w:pPr>
              <w:pStyle w:val="Exhibitright"/>
              <w:keepNext/>
              <w:keepLines/>
              <w:spacing w:after="0"/>
              <w:jc w:val="center"/>
              <w:rPr>
                <w:b w:val="0"/>
              </w:rPr>
            </w:pPr>
            <w:r>
              <w:rPr>
                <w:sz w:val="22"/>
              </w:rPr>
              <w:t>--</w:t>
            </w:r>
          </w:p>
        </w:tc>
        <w:tc>
          <w:tcPr>
            <w:tcW w:w="1800" w:type="dxa"/>
            <w:noWrap/>
            <w:vAlign w:val="center"/>
          </w:tcPr>
          <w:p w:rsidR="00877526" w:rsidRPr="00C3412F" w:rsidRDefault="00877526" w:rsidP="00877526">
            <w:pPr>
              <w:pStyle w:val="ExhibitCenter"/>
              <w:jc w:val="center"/>
            </w:pPr>
            <w:r>
              <w:rPr>
                <w:szCs w:val="22"/>
              </w:rPr>
              <w:t xml:space="preserve">$48 </w:t>
            </w:r>
          </w:p>
        </w:tc>
      </w:tr>
      <w:tr w:rsidR="00523340" w:rsidRPr="00C3412F" w:rsidTr="00686E79">
        <w:trPr>
          <w:trHeight w:val="512"/>
          <w:jc w:val="center"/>
        </w:trPr>
        <w:tc>
          <w:tcPr>
            <w:tcW w:w="9360" w:type="dxa"/>
            <w:gridSpan w:val="4"/>
            <w:noWrap/>
            <w:vAlign w:val="bottom"/>
          </w:tcPr>
          <w:p w:rsidR="00523340" w:rsidRDefault="00523340" w:rsidP="00686E79">
            <w:pPr>
              <w:pStyle w:val="ExhibitLeft"/>
              <w:keepNext/>
              <w:keepLines/>
            </w:pPr>
            <w:r>
              <w:t>OES = Occupational employment statistics</w:t>
            </w:r>
          </w:p>
          <w:p w:rsidR="00523340" w:rsidRPr="00C3412F" w:rsidRDefault="00523340" w:rsidP="00877526">
            <w:pPr>
              <w:pStyle w:val="ExhibitLeft"/>
              <w:keepNext/>
              <w:keepLines/>
              <w:rPr>
                <w:b/>
              </w:rPr>
            </w:pPr>
            <w:r>
              <w:t>Source: BLS (</w:t>
            </w:r>
            <w:r w:rsidR="00877526">
              <w:t>2012</w:t>
            </w:r>
            <w:r>
              <w:t xml:space="preserve">; </w:t>
            </w:r>
            <w:r w:rsidR="00877526">
              <w:t>2013a</w:t>
            </w:r>
            <w:r>
              <w:t xml:space="preserve">; </w:t>
            </w:r>
            <w:r w:rsidR="00877526">
              <w:t>2013b</w:t>
            </w:r>
            <w:r>
              <w:t>)</w:t>
            </w:r>
          </w:p>
        </w:tc>
      </w:tr>
    </w:tbl>
    <w:p w:rsidR="00F317D3" w:rsidRDefault="00F317D3" w:rsidP="00D9711C">
      <w:pPr>
        <w:widowControl/>
        <w:tabs>
          <w:tab w:val="left" w:pos="0"/>
        </w:tabs>
        <w:rPr>
          <w:rFonts w:ascii="Times New Roman" w:hAnsi="Times New Roman"/>
          <w:b/>
          <w:bCs/>
          <w:smallCaps/>
          <w:color w:val="000000"/>
        </w:rPr>
      </w:pPr>
    </w:p>
    <w:p w:rsidR="00FC6EB5" w:rsidRDefault="003766ED" w:rsidP="00FC6EB5">
      <w:pPr>
        <w:pStyle w:val="BodyText"/>
        <w:ind w:firstLine="720"/>
        <w:rPr>
          <w:sz w:val="24"/>
          <w:szCs w:val="24"/>
        </w:rPr>
      </w:pPr>
      <w:r>
        <w:rPr>
          <w:sz w:val="24"/>
          <w:szCs w:val="24"/>
        </w:rPr>
        <w:t xml:space="preserve">The </w:t>
      </w:r>
      <w:r w:rsidR="00F317D3" w:rsidRPr="00F317D3">
        <w:rPr>
          <w:sz w:val="24"/>
          <w:szCs w:val="24"/>
        </w:rPr>
        <w:t xml:space="preserve">EPA estimates </w:t>
      </w:r>
      <w:r w:rsidR="00FC6EB5">
        <w:rPr>
          <w:sz w:val="24"/>
          <w:szCs w:val="24"/>
        </w:rPr>
        <w:t xml:space="preserve">the incremental number of labor hours </w:t>
      </w:r>
      <w:r w:rsidR="00FC6EB5" w:rsidRPr="00FC6EB5">
        <w:rPr>
          <w:sz w:val="24"/>
          <w:szCs w:val="24"/>
        </w:rPr>
        <w:t>using historical information and data, and the historical knowledge and best professional judgment of EPA personnel with experience administering the WQS program</w:t>
      </w:r>
      <w:r w:rsidR="00FC6EB5">
        <w:rPr>
          <w:sz w:val="24"/>
          <w:szCs w:val="24"/>
        </w:rPr>
        <w:t>. These estimates of labor burden, and the resulting costs, include:</w:t>
      </w:r>
    </w:p>
    <w:p w:rsidR="00FF6CDC" w:rsidRPr="00FF6CDC" w:rsidRDefault="00FF6CDC" w:rsidP="007473E4">
      <w:pPr>
        <w:pStyle w:val="BodyText"/>
        <w:keepNext/>
        <w:rPr>
          <w:b/>
          <w:sz w:val="24"/>
          <w:szCs w:val="24"/>
        </w:rPr>
      </w:pPr>
      <w:r w:rsidRPr="00FF6CDC">
        <w:rPr>
          <w:b/>
          <w:sz w:val="24"/>
          <w:szCs w:val="24"/>
        </w:rPr>
        <w:t>Rulemaking Activities</w:t>
      </w:r>
    </w:p>
    <w:p w:rsidR="00FF6CDC" w:rsidRDefault="00FF6CDC" w:rsidP="00FC6EB5">
      <w:pPr>
        <w:pStyle w:val="BodyText"/>
        <w:numPr>
          <w:ilvl w:val="0"/>
          <w:numId w:val="26"/>
        </w:numPr>
        <w:rPr>
          <w:sz w:val="24"/>
          <w:szCs w:val="24"/>
        </w:rPr>
      </w:pPr>
      <w:r>
        <w:rPr>
          <w:sz w:val="24"/>
          <w:szCs w:val="24"/>
        </w:rPr>
        <w:t xml:space="preserve">Incremental </w:t>
      </w:r>
      <w:r w:rsidR="00061CFF">
        <w:rPr>
          <w:sz w:val="24"/>
          <w:szCs w:val="24"/>
        </w:rPr>
        <w:t xml:space="preserve">per entity </w:t>
      </w:r>
      <w:r>
        <w:rPr>
          <w:sz w:val="24"/>
          <w:szCs w:val="24"/>
        </w:rPr>
        <w:t xml:space="preserve">effort ranging from </w:t>
      </w:r>
      <w:r w:rsidR="00F317D3" w:rsidRPr="00F317D3">
        <w:rPr>
          <w:sz w:val="24"/>
          <w:szCs w:val="24"/>
        </w:rPr>
        <w:t xml:space="preserve">100 to 500 hours </w:t>
      </w:r>
      <w:r w:rsidR="00FC6EB5">
        <w:rPr>
          <w:sz w:val="24"/>
          <w:szCs w:val="24"/>
        </w:rPr>
        <w:t>to come into compliance with the proposed rule</w:t>
      </w:r>
      <w:r w:rsidR="00061CFF">
        <w:rPr>
          <w:sz w:val="24"/>
          <w:szCs w:val="24"/>
        </w:rPr>
        <w:t>.</w:t>
      </w:r>
    </w:p>
    <w:p w:rsidR="00F317D3" w:rsidRDefault="00FF6CDC" w:rsidP="00FC6EB5">
      <w:pPr>
        <w:pStyle w:val="BodyText"/>
        <w:numPr>
          <w:ilvl w:val="0"/>
          <w:numId w:val="26"/>
        </w:numPr>
        <w:rPr>
          <w:sz w:val="24"/>
          <w:szCs w:val="24"/>
        </w:rPr>
      </w:pPr>
      <w:r>
        <w:rPr>
          <w:sz w:val="24"/>
          <w:szCs w:val="24"/>
        </w:rPr>
        <w:t>Incremental per entity c</w:t>
      </w:r>
      <w:r w:rsidR="00FC6EB5">
        <w:rPr>
          <w:sz w:val="24"/>
          <w:szCs w:val="24"/>
        </w:rPr>
        <w:t xml:space="preserve">osts </w:t>
      </w:r>
      <w:r>
        <w:rPr>
          <w:sz w:val="24"/>
          <w:szCs w:val="24"/>
        </w:rPr>
        <w:t>ranging from</w:t>
      </w:r>
      <w:r w:rsidR="00F317D3" w:rsidRPr="00F317D3">
        <w:rPr>
          <w:sz w:val="24"/>
          <w:szCs w:val="24"/>
        </w:rPr>
        <w:t xml:space="preserve"> $</w:t>
      </w:r>
      <w:r w:rsidR="001C671A">
        <w:rPr>
          <w:sz w:val="24"/>
          <w:szCs w:val="24"/>
        </w:rPr>
        <w:t>4,800</w:t>
      </w:r>
      <w:r w:rsidR="00F317D3" w:rsidRPr="00F317D3">
        <w:rPr>
          <w:sz w:val="24"/>
          <w:szCs w:val="24"/>
        </w:rPr>
        <w:t xml:space="preserve"> ($</w:t>
      </w:r>
      <w:r w:rsidR="001C671A">
        <w:rPr>
          <w:sz w:val="24"/>
          <w:szCs w:val="24"/>
        </w:rPr>
        <w:t>48</w:t>
      </w:r>
      <w:r w:rsidR="001C671A" w:rsidRPr="00F317D3">
        <w:rPr>
          <w:sz w:val="24"/>
          <w:szCs w:val="24"/>
        </w:rPr>
        <w:t xml:space="preserve"> </w:t>
      </w:r>
      <w:r w:rsidR="00F317D3" w:rsidRPr="00F317D3">
        <w:rPr>
          <w:sz w:val="24"/>
          <w:szCs w:val="24"/>
        </w:rPr>
        <w:sym w:font="Wingdings 2" w:char="F0CD"/>
      </w:r>
      <w:r w:rsidR="00F317D3" w:rsidRPr="00F317D3">
        <w:rPr>
          <w:sz w:val="24"/>
          <w:szCs w:val="24"/>
        </w:rPr>
        <w:t xml:space="preserve"> 100 hours) to $</w:t>
      </w:r>
      <w:r w:rsidR="001C671A">
        <w:rPr>
          <w:sz w:val="24"/>
          <w:szCs w:val="24"/>
        </w:rPr>
        <w:t>24,000</w:t>
      </w:r>
      <w:r w:rsidR="00F317D3" w:rsidRPr="00F317D3">
        <w:rPr>
          <w:sz w:val="24"/>
          <w:szCs w:val="24"/>
        </w:rPr>
        <w:t xml:space="preserve"> ($</w:t>
      </w:r>
      <w:r w:rsidR="001C671A">
        <w:rPr>
          <w:sz w:val="24"/>
          <w:szCs w:val="24"/>
        </w:rPr>
        <w:t>48</w:t>
      </w:r>
      <w:r w:rsidR="001C671A" w:rsidRPr="00F317D3">
        <w:rPr>
          <w:sz w:val="24"/>
          <w:szCs w:val="24"/>
        </w:rPr>
        <w:t xml:space="preserve"> </w:t>
      </w:r>
      <w:r w:rsidR="00F317D3" w:rsidRPr="00F317D3">
        <w:rPr>
          <w:sz w:val="24"/>
          <w:szCs w:val="24"/>
        </w:rPr>
        <w:sym w:font="Wingdings 2" w:char="F0CD"/>
      </w:r>
      <w:r w:rsidR="00000289">
        <w:rPr>
          <w:sz w:val="24"/>
          <w:szCs w:val="24"/>
        </w:rPr>
        <w:t xml:space="preserve"> 500 hours)</w:t>
      </w:r>
      <w:r w:rsidR="00824DD3">
        <w:rPr>
          <w:sz w:val="24"/>
          <w:szCs w:val="24"/>
        </w:rPr>
        <w:t>,</w:t>
      </w:r>
      <w:r w:rsidR="00824DD3">
        <w:rPr>
          <w:sz w:val="24"/>
        </w:rPr>
        <w:t xml:space="preserve"> </w:t>
      </w:r>
      <w:r w:rsidR="00FC3DCF">
        <w:rPr>
          <w:sz w:val="24"/>
        </w:rPr>
        <w:t>given</w:t>
      </w:r>
      <w:r w:rsidR="00824DD3" w:rsidRPr="00F13C69">
        <w:rPr>
          <w:sz w:val="24"/>
        </w:rPr>
        <w:t xml:space="preserve"> the estimated average hourly wage rate </w:t>
      </w:r>
      <w:r w:rsidR="00824DD3">
        <w:rPr>
          <w:sz w:val="24"/>
        </w:rPr>
        <w:t>of $</w:t>
      </w:r>
      <w:r w:rsidR="001C671A">
        <w:rPr>
          <w:sz w:val="24"/>
        </w:rPr>
        <w:t xml:space="preserve">48 </w:t>
      </w:r>
      <w:r w:rsidR="00824DD3" w:rsidRPr="00F13C69">
        <w:rPr>
          <w:sz w:val="24"/>
        </w:rPr>
        <w:t>(</w:t>
      </w:r>
      <w:r w:rsidR="00824DD3">
        <w:rPr>
          <w:sz w:val="24"/>
        </w:rPr>
        <w:t xml:space="preserve">see </w:t>
      </w:r>
      <w:r w:rsidR="00D85E8C">
        <w:fldChar w:fldCharType="begin"/>
      </w:r>
      <w:r w:rsidR="00D85E8C">
        <w:instrText xml:space="preserve"> REF _Ref301788750 \h  \* MERGEFORMAT </w:instrText>
      </w:r>
      <w:r w:rsidR="00D85E8C">
        <w:fldChar w:fldCharType="separate"/>
      </w:r>
      <w:r w:rsidR="00826119" w:rsidRPr="00826119">
        <w:rPr>
          <w:sz w:val="24"/>
          <w:szCs w:val="24"/>
        </w:rPr>
        <w:t>Table 6</w:t>
      </w:r>
      <w:r w:rsidR="00826119" w:rsidRPr="00826119">
        <w:rPr>
          <w:sz w:val="24"/>
          <w:szCs w:val="24"/>
        </w:rPr>
        <w:noBreakHyphen/>
        <w:t>1</w:t>
      </w:r>
      <w:r w:rsidR="00D85E8C">
        <w:fldChar w:fldCharType="end"/>
      </w:r>
      <w:r w:rsidR="00824DD3" w:rsidRPr="00C5149C">
        <w:rPr>
          <w:sz w:val="24"/>
          <w:szCs w:val="24"/>
        </w:rPr>
        <w:t>)</w:t>
      </w:r>
      <w:r w:rsidR="00061CFF">
        <w:rPr>
          <w:sz w:val="24"/>
          <w:szCs w:val="24"/>
        </w:rPr>
        <w:t>.</w:t>
      </w:r>
    </w:p>
    <w:p w:rsidR="00344572" w:rsidRDefault="00344572" w:rsidP="00344572">
      <w:pPr>
        <w:pStyle w:val="BodyText"/>
        <w:numPr>
          <w:ilvl w:val="0"/>
          <w:numId w:val="26"/>
        </w:numPr>
        <w:rPr>
          <w:sz w:val="24"/>
          <w:szCs w:val="24"/>
        </w:rPr>
      </w:pPr>
      <w:r>
        <w:rPr>
          <w:sz w:val="24"/>
          <w:szCs w:val="24"/>
        </w:rPr>
        <w:t xml:space="preserve">Total one-time (nonrecurring) incremental burden ranging from </w:t>
      </w:r>
      <w:r w:rsidR="001C671A">
        <w:rPr>
          <w:sz w:val="24"/>
          <w:szCs w:val="24"/>
        </w:rPr>
        <w:t>9,500</w:t>
      </w:r>
      <w:r>
        <w:rPr>
          <w:sz w:val="24"/>
          <w:szCs w:val="24"/>
        </w:rPr>
        <w:t xml:space="preserve"> hours</w:t>
      </w:r>
      <w:r w:rsidRPr="00F317D3">
        <w:rPr>
          <w:sz w:val="24"/>
          <w:szCs w:val="24"/>
        </w:rPr>
        <w:t xml:space="preserve"> (</w:t>
      </w:r>
      <w:r>
        <w:rPr>
          <w:sz w:val="24"/>
          <w:szCs w:val="24"/>
        </w:rPr>
        <w:t>1</w:t>
      </w:r>
      <w:r w:rsidRPr="00F317D3">
        <w:rPr>
          <w:sz w:val="24"/>
          <w:szCs w:val="24"/>
        </w:rPr>
        <w:t>00</w:t>
      </w:r>
      <w:r>
        <w:rPr>
          <w:sz w:val="24"/>
          <w:szCs w:val="24"/>
        </w:rPr>
        <w:t xml:space="preserve"> hours</w:t>
      </w:r>
      <w:r w:rsidRPr="00F317D3">
        <w:rPr>
          <w:sz w:val="24"/>
          <w:szCs w:val="24"/>
        </w:rPr>
        <w:t xml:space="preserve"> </w:t>
      </w:r>
      <w:r w:rsidRPr="00F317D3">
        <w:rPr>
          <w:sz w:val="24"/>
          <w:szCs w:val="24"/>
        </w:rPr>
        <w:sym w:font="Wingdings 2" w:char="F0CD"/>
      </w:r>
      <w:r w:rsidRPr="00F317D3">
        <w:rPr>
          <w:sz w:val="24"/>
          <w:szCs w:val="24"/>
        </w:rPr>
        <w:t xml:space="preserve"> </w:t>
      </w:r>
      <w:r w:rsidR="001C671A">
        <w:rPr>
          <w:sz w:val="24"/>
          <w:szCs w:val="24"/>
        </w:rPr>
        <w:t>95</w:t>
      </w:r>
      <w:r w:rsidRPr="00F317D3">
        <w:rPr>
          <w:sz w:val="24"/>
          <w:szCs w:val="24"/>
        </w:rPr>
        <w:t xml:space="preserve">) to </w:t>
      </w:r>
      <w:r w:rsidR="001C671A">
        <w:rPr>
          <w:sz w:val="24"/>
          <w:szCs w:val="24"/>
        </w:rPr>
        <w:t>47,500</w:t>
      </w:r>
      <w:r>
        <w:rPr>
          <w:sz w:val="24"/>
          <w:szCs w:val="24"/>
        </w:rPr>
        <w:t xml:space="preserve"> hours</w:t>
      </w:r>
      <w:r w:rsidRPr="00F317D3">
        <w:rPr>
          <w:sz w:val="24"/>
          <w:szCs w:val="24"/>
        </w:rPr>
        <w:t xml:space="preserve"> (</w:t>
      </w:r>
      <w:r>
        <w:rPr>
          <w:sz w:val="24"/>
          <w:szCs w:val="24"/>
        </w:rPr>
        <w:t>5</w:t>
      </w:r>
      <w:r w:rsidRPr="00F317D3">
        <w:rPr>
          <w:sz w:val="24"/>
          <w:szCs w:val="24"/>
        </w:rPr>
        <w:t>00</w:t>
      </w:r>
      <w:r>
        <w:rPr>
          <w:sz w:val="24"/>
          <w:szCs w:val="24"/>
        </w:rPr>
        <w:t xml:space="preserve"> hours</w:t>
      </w:r>
      <w:r w:rsidRPr="00F317D3">
        <w:rPr>
          <w:sz w:val="24"/>
          <w:szCs w:val="24"/>
        </w:rPr>
        <w:t xml:space="preserve"> </w:t>
      </w:r>
      <w:r w:rsidRPr="00F317D3">
        <w:rPr>
          <w:sz w:val="24"/>
          <w:szCs w:val="24"/>
        </w:rPr>
        <w:sym w:font="Wingdings 2" w:char="F0CD"/>
      </w:r>
      <w:r w:rsidRPr="00F317D3">
        <w:rPr>
          <w:sz w:val="24"/>
          <w:szCs w:val="24"/>
        </w:rPr>
        <w:t xml:space="preserve"> </w:t>
      </w:r>
      <w:r w:rsidR="001C671A">
        <w:rPr>
          <w:sz w:val="24"/>
          <w:szCs w:val="24"/>
        </w:rPr>
        <w:t>95</w:t>
      </w:r>
      <w:r w:rsidRPr="00F317D3">
        <w:rPr>
          <w:sz w:val="24"/>
          <w:szCs w:val="24"/>
        </w:rPr>
        <w:t>)</w:t>
      </w:r>
      <w:r>
        <w:rPr>
          <w:sz w:val="24"/>
          <w:szCs w:val="24"/>
        </w:rPr>
        <w:t>,</w:t>
      </w:r>
      <w:r w:rsidRPr="00344572">
        <w:rPr>
          <w:sz w:val="24"/>
          <w:szCs w:val="24"/>
        </w:rPr>
        <w:t xml:space="preserve"> </w:t>
      </w:r>
      <w:r>
        <w:rPr>
          <w:sz w:val="24"/>
          <w:szCs w:val="24"/>
        </w:rPr>
        <w:t xml:space="preserve">based on a total of </w:t>
      </w:r>
      <w:r w:rsidR="001C671A">
        <w:rPr>
          <w:sz w:val="24"/>
          <w:szCs w:val="24"/>
        </w:rPr>
        <w:t xml:space="preserve">95 </w:t>
      </w:r>
      <w:r>
        <w:rPr>
          <w:sz w:val="24"/>
          <w:szCs w:val="24"/>
        </w:rPr>
        <w:t xml:space="preserve">governmental entities potentially affected by the proposed rule (50 </w:t>
      </w:r>
      <w:r w:rsidRPr="00FF6CDC">
        <w:rPr>
          <w:sz w:val="24"/>
          <w:szCs w:val="24"/>
        </w:rPr>
        <w:t xml:space="preserve">states, 6 territories, and </w:t>
      </w:r>
      <w:r w:rsidR="001C671A">
        <w:rPr>
          <w:sz w:val="24"/>
          <w:szCs w:val="24"/>
        </w:rPr>
        <w:t>39</w:t>
      </w:r>
      <w:r w:rsidR="001C671A" w:rsidRPr="00FF6CDC">
        <w:rPr>
          <w:sz w:val="24"/>
          <w:szCs w:val="24"/>
        </w:rPr>
        <w:t xml:space="preserve"> </w:t>
      </w:r>
      <w:r w:rsidRPr="00FF6CDC">
        <w:rPr>
          <w:sz w:val="24"/>
          <w:szCs w:val="24"/>
        </w:rPr>
        <w:t>tribes</w:t>
      </w:r>
      <w:r>
        <w:rPr>
          <w:sz w:val="24"/>
          <w:szCs w:val="24"/>
        </w:rPr>
        <w:t xml:space="preserve"> that </w:t>
      </w:r>
      <w:r w:rsidRPr="00FF6CDC">
        <w:rPr>
          <w:sz w:val="24"/>
          <w:szCs w:val="24"/>
        </w:rPr>
        <w:t>have authority to administer WQS programs</w:t>
      </w:r>
      <w:r w:rsidR="00D40E5B">
        <w:rPr>
          <w:sz w:val="24"/>
          <w:szCs w:val="24"/>
        </w:rPr>
        <w:t xml:space="preserve"> and have adopted EPA-approved WQS</w:t>
      </w:r>
      <w:r>
        <w:rPr>
          <w:sz w:val="24"/>
          <w:szCs w:val="24"/>
        </w:rPr>
        <w:t>).</w:t>
      </w:r>
    </w:p>
    <w:p w:rsidR="00F317D3" w:rsidRDefault="00FF6CDC" w:rsidP="00FF6CDC">
      <w:pPr>
        <w:pStyle w:val="BodyText"/>
        <w:numPr>
          <w:ilvl w:val="0"/>
          <w:numId w:val="26"/>
        </w:numPr>
        <w:rPr>
          <w:sz w:val="24"/>
          <w:szCs w:val="24"/>
        </w:rPr>
      </w:pPr>
      <w:r>
        <w:rPr>
          <w:sz w:val="24"/>
          <w:szCs w:val="24"/>
        </w:rPr>
        <w:t xml:space="preserve">Total one-time (nonrecurring) incremental costs ranging from </w:t>
      </w:r>
      <w:r w:rsidRPr="00F317D3">
        <w:rPr>
          <w:sz w:val="24"/>
          <w:szCs w:val="24"/>
        </w:rPr>
        <w:t>$</w:t>
      </w:r>
      <w:r w:rsidR="001C671A">
        <w:rPr>
          <w:sz w:val="24"/>
          <w:szCs w:val="24"/>
        </w:rPr>
        <w:t>456,000</w:t>
      </w:r>
      <w:r w:rsidRPr="00F317D3">
        <w:rPr>
          <w:sz w:val="24"/>
          <w:szCs w:val="24"/>
        </w:rPr>
        <w:t xml:space="preserve"> ($</w:t>
      </w:r>
      <w:r w:rsidR="001C671A">
        <w:rPr>
          <w:sz w:val="24"/>
          <w:szCs w:val="24"/>
        </w:rPr>
        <w:t>4,800</w:t>
      </w:r>
      <w:r w:rsidRPr="00F317D3">
        <w:rPr>
          <w:sz w:val="24"/>
          <w:szCs w:val="24"/>
        </w:rPr>
        <w:t xml:space="preserve"> </w:t>
      </w:r>
      <w:r w:rsidRPr="00F317D3">
        <w:rPr>
          <w:sz w:val="24"/>
          <w:szCs w:val="24"/>
        </w:rPr>
        <w:sym w:font="Wingdings 2" w:char="F0CD"/>
      </w:r>
      <w:r w:rsidRPr="00F317D3">
        <w:rPr>
          <w:sz w:val="24"/>
          <w:szCs w:val="24"/>
        </w:rPr>
        <w:t xml:space="preserve"> </w:t>
      </w:r>
      <w:r w:rsidR="001C671A">
        <w:rPr>
          <w:sz w:val="24"/>
          <w:szCs w:val="24"/>
        </w:rPr>
        <w:t xml:space="preserve">95 </w:t>
      </w:r>
      <w:r w:rsidR="0050157D">
        <w:rPr>
          <w:sz w:val="24"/>
          <w:szCs w:val="24"/>
        </w:rPr>
        <w:t>states and tribes</w:t>
      </w:r>
      <w:r w:rsidRPr="00F317D3">
        <w:rPr>
          <w:sz w:val="24"/>
          <w:szCs w:val="24"/>
        </w:rPr>
        <w:t>) to $</w:t>
      </w:r>
      <w:r w:rsidR="001C671A">
        <w:rPr>
          <w:sz w:val="24"/>
          <w:szCs w:val="24"/>
        </w:rPr>
        <w:t>2,280,000</w:t>
      </w:r>
      <w:r w:rsidRPr="00F317D3">
        <w:rPr>
          <w:sz w:val="24"/>
          <w:szCs w:val="24"/>
        </w:rPr>
        <w:t xml:space="preserve"> ($</w:t>
      </w:r>
      <w:r w:rsidR="001C671A">
        <w:rPr>
          <w:sz w:val="24"/>
          <w:szCs w:val="24"/>
        </w:rPr>
        <w:t>24,000</w:t>
      </w:r>
      <w:r w:rsidRPr="00F317D3">
        <w:rPr>
          <w:sz w:val="24"/>
          <w:szCs w:val="24"/>
        </w:rPr>
        <w:t xml:space="preserve"> </w:t>
      </w:r>
      <w:r w:rsidRPr="00F317D3">
        <w:rPr>
          <w:sz w:val="24"/>
          <w:szCs w:val="24"/>
        </w:rPr>
        <w:sym w:font="Wingdings 2" w:char="F0CD"/>
      </w:r>
      <w:r w:rsidRPr="00F317D3">
        <w:rPr>
          <w:sz w:val="24"/>
          <w:szCs w:val="24"/>
        </w:rPr>
        <w:t xml:space="preserve"> </w:t>
      </w:r>
      <w:r w:rsidR="001C671A">
        <w:rPr>
          <w:sz w:val="24"/>
          <w:szCs w:val="24"/>
        </w:rPr>
        <w:t xml:space="preserve">95 </w:t>
      </w:r>
      <w:r w:rsidR="0050157D">
        <w:rPr>
          <w:sz w:val="24"/>
          <w:szCs w:val="24"/>
        </w:rPr>
        <w:t>states and tribes</w:t>
      </w:r>
      <w:r w:rsidRPr="00F317D3">
        <w:rPr>
          <w:sz w:val="24"/>
          <w:szCs w:val="24"/>
        </w:rPr>
        <w:t>)</w:t>
      </w:r>
      <w:r w:rsidR="00F317D3" w:rsidRPr="00FF6CDC">
        <w:rPr>
          <w:sz w:val="24"/>
          <w:szCs w:val="24"/>
        </w:rPr>
        <w:t xml:space="preserve">. </w:t>
      </w:r>
    </w:p>
    <w:p w:rsidR="00FF6CDC" w:rsidRPr="00FF6CDC" w:rsidRDefault="00FF6CDC" w:rsidP="00FF6CDC">
      <w:pPr>
        <w:pStyle w:val="BodyText"/>
        <w:numPr>
          <w:ilvl w:val="0"/>
          <w:numId w:val="26"/>
        </w:numPr>
        <w:rPr>
          <w:sz w:val="24"/>
          <w:szCs w:val="24"/>
        </w:rPr>
      </w:pPr>
      <w:r>
        <w:rPr>
          <w:sz w:val="24"/>
          <w:szCs w:val="24"/>
        </w:rPr>
        <w:t xml:space="preserve">Assuming that </w:t>
      </w:r>
      <w:r w:rsidR="00D02557">
        <w:rPr>
          <w:sz w:val="24"/>
          <w:szCs w:val="24"/>
        </w:rPr>
        <w:t xml:space="preserve">the </w:t>
      </w:r>
      <w:r>
        <w:rPr>
          <w:sz w:val="24"/>
          <w:szCs w:val="24"/>
        </w:rPr>
        <w:t xml:space="preserve">total one-time </w:t>
      </w:r>
      <w:r w:rsidR="002F6AC2">
        <w:rPr>
          <w:sz w:val="24"/>
          <w:szCs w:val="24"/>
        </w:rPr>
        <w:t xml:space="preserve">burden and </w:t>
      </w:r>
      <w:r>
        <w:rPr>
          <w:sz w:val="24"/>
          <w:szCs w:val="24"/>
        </w:rPr>
        <w:t xml:space="preserve">costs are incurred over an initial 3-year period, </w:t>
      </w:r>
      <w:r w:rsidR="00380EE0">
        <w:rPr>
          <w:sz w:val="24"/>
          <w:szCs w:val="24"/>
        </w:rPr>
        <w:t xml:space="preserve">annual burden in each of the first three years would range from approximately </w:t>
      </w:r>
      <w:r w:rsidR="001C671A">
        <w:rPr>
          <w:sz w:val="24"/>
          <w:szCs w:val="24"/>
        </w:rPr>
        <w:t>3,170</w:t>
      </w:r>
      <w:r w:rsidR="0050157D">
        <w:rPr>
          <w:sz w:val="24"/>
          <w:szCs w:val="24"/>
        </w:rPr>
        <w:t xml:space="preserve"> </w:t>
      </w:r>
      <w:r w:rsidR="00380EE0">
        <w:rPr>
          <w:sz w:val="24"/>
          <w:szCs w:val="24"/>
        </w:rPr>
        <w:t>hours (</w:t>
      </w:r>
      <w:r w:rsidR="001C671A">
        <w:rPr>
          <w:sz w:val="24"/>
          <w:szCs w:val="24"/>
        </w:rPr>
        <w:t>9,500</w:t>
      </w:r>
      <w:r w:rsidR="00380EE0">
        <w:rPr>
          <w:sz w:val="24"/>
          <w:szCs w:val="24"/>
        </w:rPr>
        <w:t xml:space="preserve"> hours ÷ 3 years) to </w:t>
      </w:r>
      <w:r w:rsidR="001C671A">
        <w:rPr>
          <w:sz w:val="24"/>
          <w:szCs w:val="24"/>
        </w:rPr>
        <w:t>15,830</w:t>
      </w:r>
      <w:r w:rsidR="00380EE0">
        <w:rPr>
          <w:sz w:val="24"/>
          <w:szCs w:val="24"/>
        </w:rPr>
        <w:t xml:space="preserve"> hours (</w:t>
      </w:r>
      <w:r w:rsidR="001C671A">
        <w:rPr>
          <w:sz w:val="24"/>
          <w:szCs w:val="24"/>
        </w:rPr>
        <w:t>47,500</w:t>
      </w:r>
      <w:r w:rsidR="00380EE0">
        <w:rPr>
          <w:sz w:val="24"/>
          <w:szCs w:val="24"/>
        </w:rPr>
        <w:t xml:space="preserve"> hours ÷ 3 years), and </w:t>
      </w:r>
      <w:r>
        <w:rPr>
          <w:sz w:val="24"/>
          <w:szCs w:val="24"/>
        </w:rPr>
        <w:t xml:space="preserve">annual costs in each of the first three years would range from </w:t>
      </w:r>
      <w:r w:rsidR="00061CFF">
        <w:rPr>
          <w:sz w:val="24"/>
          <w:szCs w:val="24"/>
        </w:rPr>
        <w:lastRenderedPageBreak/>
        <w:t xml:space="preserve">approximately </w:t>
      </w:r>
      <w:r>
        <w:rPr>
          <w:sz w:val="24"/>
          <w:szCs w:val="24"/>
        </w:rPr>
        <w:t>$</w:t>
      </w:r>
      <w:r w:rsidR="001C671A">
        <w:rPr>
          <w:sz w:val="24"/>
          <w:szCs w:val="24"/>
        </w:rPr>
        <w:t>152,000</w:t>
      </w:r>
      <w:r w:rsidR="00061CFF">
        <w:rPr>
          <w:sz w:val="24"/>
          <w:szCs w:val="24"/>
        </w:rPr>
        <w:t xml:space="preserve"> ($</w:t>
      </w:r>
      <w:r w:rsidR="001C671A">
        <w:rPr>
          <w:sz w:val="24"/>
          <w:szCs w:val="24"/>
        </w:rPr>
        <w:t>456,000</w:t>
      </w:r>
      <w:r w:rsidR="00061CFF">
        <w:rPr>
          <w:sz w:val="24"/>
          <w:szCs w:val="24"/>
        </w:rPr>
        <w:t xml:space="preserve"> ÷ 3</w:t>
      </w:r>
      <w:r w:rsidR="004D6680">
        <w:rPr>
          <w:sz w:val="24"/>
          <w:szCs w:val="24"/>
        </w:rPr>
        <w:t xml:space="preserve"> years</w:t>
      </w:r>
      <w:r w:rsidR="00061CFF">
        <w:rPr>
          <w:sz w:val="24"/>
          <w:szCs w:val="24"/>
        </w:rPr>
        <w:t>)</w:t>
      </w:r>
      <w:r>
        <w:rPr>
          <w:sz w:val="24"/>
          <w:szCs w:val="24"/>
        </w:rPr>
        <w:t xml:space="preserve"> to $</w:t>
      </w:r>
      <w:r w:rsidR="001C671A">
        <w:rPr>
          <w:sz w:val="24"/>
          <w:szCs w:val="24"/>
        </w:rPr>
        <w:t>760,000</w:t>
      </w:r>
      <w:r w:rsidR="00061CFF">
        <w:rPr>
          <w:sz w:val="24"/>
          <w:szCs w:val="24"/>
        </w:rPr>
        <w:t xml:space="preserve"> (</w:t>
      </w:r>
      <w:r w:rsidR="00061CFF" w:rsidRPr="00F317D3">
        <w:rPr>
          <w:sz w:val="24"/>
          <w:szCs w:val="24"/>
        </w:rPr>
        <w:t>$</w:t>
      </w:r>
      <w:r w:rsidR="001C671A">
        <w:rPr>
          <w:sz w:val="24"/>
          <w:szCs w:val="24"/>
        </w:rPr>
        <w:t>2,280,000</w:t>
      </w:r>
      <w:r w:rsidR="00061CFF">
        <w:rPr>
          <w:sz w:val="24"/>
          <w:szCs w:val="24"/>
        </w:rPr>
        <w:t xml:space="preserve"> ÷ 3</w:t>
      </w:r>
      <w:r w:rsidR="004D6680">
        <w:rPr>
          <w:sz w:val="24"/>
          <w:szCs w:val="24"/>
        </w:rPr>
        <w:t xml:space="preserve"> years</w:t>
      </w:r>
      <w:r w:rsidR="00061CFF">
        <w:rPr>
          <w:sz w:val="24"/>
          <w:szCs w:val="24"/>
        </w:rPr>
        <w:t>)</w:t>
      </w:r>
      <w:r>
        <w:rPr>
          <w:sz w:val="24"/>
          <w:szCs w:val="24"/>
        </w:rPr>
        <w:t>.</w:t>
      </w:r>
    </w:p>
    <w:p w:rsidR="00F13C69" w:rsidRPr="00FF6CDC" w:rsidRDefault="00F13C69" w:rsidP="007473E4">
      <w:pPr>
        <w:keepNext/>
        <w:rPr>
          <w:rFonts w:ascii="Times New Roman" w:hAnsi="Times New Roman"/>
          <w:b/>
          <w:bCs/>
        </w:rPr>
      </w:pPr>
      <w:r w:rsidRPr="00FF6CDC">
        <w:rPr>
          <w:rFonts w:ascii="Times New Roman" w:hAnsi="Times New Roman"/>
          <w:b/>
          <w:bCs/>
        </w:rPr>
        <w:t>Designated Uses</w:t>
      </w:r>
    </w:p>
    <w:p w:rsidR="00C45E9E" w:rsidRDefault="00FC3DCF" w:rsidP="00C45E9E">
      <w:pPr>
        <w:pStyle w:val="BodyText"/>
        <w:numPr>
          <w:ilvl w:val="0"/>
          <w:numId w:val="27"/>
        </w:numPr>
        <w:rPr>
          <w:sz w:val="24"/>
          <w:szCs w:val="24"/>
        </w:rPr>
      </w:pPr>
      <w:r>
        <w:rPr>
          <w:sz w:val="24"/>
        </w:rPr>
        <w:t>I</w:t>
      </w:r>
      <w:r>
        <w:rPr>
          <w:sz w:val="24"/>
          <w:szCs w:val="24"/>
        </w:rPr>
        <w:t xml:space="preserve">ncremental effort ranging from </w:t>
      </w:r>
      <w:r w:rsidRPr="00F13C69">
        <w:rPr>
          <w:sz w:val="24"/>
        </w:rPr>
        <w:t xml:space="preserve">30 hours (100 hours </w:t>
      </w:r>
      <w:r w:rsidRPr="00F13C69">
        <w:rPr>
          <w:sz w:val="24"/>
        </w:rPr>
        <w:sym w:font="Wingdings 2" w:char="F0CD"/>
      </w:r>
      <w:r>
        <w:rPr>
          <w:sz w:val="24"/>
        </w:rPr>
        <w:t xml:space="preserve"> </w:t>
      </w:r>
      <w:r w:rsidRPr="00F13C69">
        <w:rPr>
          <w:sz w:val="24"/>
        </w:rPr>
        <w:t>30</w:t>
      </w:r>
      <w:r>
        <w:rPr>
          <w:sz w:val="24"/>
        </w:rPr>
        <w:t>%</w:t>
      </w:r>
      <w:r w:rsidRPr="00F13C69">
        <w:rPr>
          <w:sz w:val="24"/>
        </w:rPr>
        <w:t xml:space="preserve">) to 150 hours (500 hours </w:t>
      </w:r>
      <w:r w:rsidRPr="00F13C69">
        <w:rPr>
          <w:sz w:val="24"/>
        </w:rPr>
        <w:sym w:font="Wingdings 2" w:char="F0CD"/>
      </w:r>
      <w:r>
        <w:rPr>
          <w:sz w:val="24"/>
        </w:rPr>
        <w:t xml:space="preserve"> </w:t>
      </w:r>
      <w:r w:rsidRPr="00F13C69">
        <w:rPr>
          <w:sz w:val="24"/>
        </w:rPr>
        <w:t>30</w:t>
      </w:r>
      <w:r>
        <w:rPr>
          <w:sz w:val="24"/>
        </w:rPr>
        <w:t>%</w:t>
      </w:r>
      <w:r w:rsidRPr="00F13C69">
        <w:rPr>
          <w:sz w:val="24"/>
        </w:rPr>
        <w:t>) per UAA</w:t>
      </w:r>
      <w:r w:rsidRPr="00F317D3">
        <w:rPr>
          <w:sz w:val="24"/>
          <w:szCs w:val="24"/>
        </w:rPr>
        <w:t xml:space="preserve"> </w:t>
      </w:r>
      <w:r w:rsidRPr="00F13C69">
        <w:rPr>
          <w:sz w:val="24"/>
        </w:rPr>
        <w:t xml:space="preserve">may be required to determine the HAU for states </w:t>
      </w:r>
      <w:r>
        <w:rPr>
          <w:sz w:val="24"/>
          <w:szCs w:val="24"/>
        </w:rPr>
        <w:t>to come into compliance with the proposed rule, b</w:t>
      </w:r>
      <w:r w:rsidR="00C5149C">
        <w:rPr>
          <w:sz w:val="24"/>
          <w:szCs w:val="24"/>
        </w:rPr>
        <w:t xml:space="preserve">ased on </w:t>
      </w:r>
      <w:r w:rsidR="003766ED">
        <w:rPr>
          <w:sz w:val="24"/>
          <w:szCs w:val="24"/>
        </w:rPr>
        <w:t xml:space="preserve">the </w:t>
      </w:r>
      <w:r w:rsidR="00C5149C">
        <w:rPr>
          <w:sz w:val="24"/>
          <w:szCs w:val="24"/>
        </w:rPr>
        <w:t xml:space="preserve">EPA’s estimates that </w:t>
      </w:r>
      <w:r w:rsidR="00C5149C" w:rsidRPr="00F13C69">
        <w:rPr>
          <w:sz w:val="24"/>
        </w:rPr>
        <w:t xml:space="preserve">a single UAA </w:t>
      </w:r>
      <w:r w:rsidR="00891634">
        <w:rPr>
          <w:sz w:val="24"/>
        </w:rPr>
        <w:t xml:space="preserve">conducted where the state </w:t>
      </w:r>
      <w:r w:rsidR="00C5149C" w:rsidRPr="00F13C69">
        <w:rPr>
          <w:sz w:val="24"/>
        </w:rPr>
        <w:t>does not identify the HAU requires approximately 100 to 500 labor hours to develop and that up to 30 percent additional effort may be needed to determine the HAU</w:t>
      </w:r>
      <w:r w:rsidR="00C45E9E">
        <w:rPr>
          <w:sz w:val="24"/>
          <w:szCs w:val="24"/>
        </w:rPr>
        <w:t>.</w:t>
      </w:r>
    </w:p>
    <w:p w:rsidR="00C45E9E" w:rsidRDefault="00C45E9E" w:rsidP="00C45E9E">
      <w:pPr>
        <w:pStyle w:val="BodyText"/>
        <w:numPr>
          <w:ilvl w:val="0"/>
          <w:numId w:val="27"/>
        </w:numPr>
        <w:rPr>
          <w:sz w:val="24"/>
          <w:szCs w:val="24"/>
        </w:rPr>
      </w:pPr>
      <w:r>
        <w:rPr>
          <w:sz w:val="24"/>
          <w:szCs w:val="24"/>
        </w:rPr>
        <w:t xml:space="preserve">Incremental </w:t>
      </w:r>
      <w:r w:rsidR="00C5149C">
        <w:rPr>
          <w:sz w:val="24"/>
          <w:szCs w:val="24"/>
        </w:rPr>
        <w:t xml:space="preserve">costs </w:t>
      </w:r>
      <w:r w:rsidR="00C5149C" w:rsidRPr="00F13C69">
        <w:rPr>
          <w:sz w:val="24"/>
        </w:rPr>
        <w:t>associated with identifying the HAU can range from approximately $</w:t>
      </w:r>
      <w:r w:rsidR="00B254DC">
        <w:rPr>
          <w:sz w:val="24"/>
        </w:rPr>
        <w:t>1,400</w:t>
      </w:r>
      <w:r w:rsidR="00C5149C" w:rsidRPr="00F13C69">
        <w:rPr>
          <w:sz w:val="24"/>
        </w:rPr>
        <w:t xml:space="preserve"> to $</w:t>
      </w:r>
      <w:r w:rsidR="00B254DC">
        <w:rPr>
          <w:sz w:val="24"/>
        </w:rPr>
        <w:t>7,200</w:t>
      </w:r>
      <w:r w:rsidR="00C5149C" w:rsidRPr="00F13C69">
        <w:rPr>
          <w:sz w:val="24"/>
        </w:rPr>
        <w:t xml:space="preserve"> per UAA</w:t>
      </w:r>
      <w:r w:rsidRPr="00C5149C">
        <w:rPr>
          <w:sz w:val="24"/>
          <w:szCs w:val="24"/>
        </w:rPr>
        <w:t>.</w:t>
      </w:r>
    </w:p>
    <w:p w:rsidR="00344572" w:rsidRDefault="00344572" w:rsidP="00344572">
      <w:pPr>
        <w:pStyle w:val="BodyText"/>
        <w:numPr>
          <w:ilvl w:val="0"/>
          <w:numId w:val="27"/>
        </w:numPr>
        <w:rPr>
          <w:sz w:val="24"/>
          <w:szCs w:val="24"/>
        </w:rPr>
      </w:pPr>
      <w:r>
        <w:rPr>
          <w:sz w:val="24"/>
          <w:szCs w:val="24"/>
        </w:rPr>
        <w:t xml:space="preserve">Total annual incremental burden ranging from 240 hours (30 hours </w:t>
      </w:r>
      <w:r w:rsidRPr="00F13C69">
        <w:rPr>
          <w:sz w:val="24"/>
        </w:rPr>
        <w:sym w:font="Wingdings 2" w:char="F0CD"/>
      </w:r>
      <w:r>
        <w:rPr>
          <w:sz w:val="24"/>
        </w:rPr>
        <w:t xml:space="preserve"> 8 UAAs</w:t>
      </w:r>
      <w:r>
        <w:rPr>
          <w:sz w:val="24"/>
          <w:szCs w:val="24"/>
        </w:rPr>
        <w:t xml:space="preserve">) to 1,200 hours (150 hours </w:t>
      </w:r>
      <w:r w:rsidRPr="00F13C69">
        <w:rPr>
          <w:sz w:val="24"/>
        </w:rPr>
        <w:sym w:font="Wingdings 2" w:char="F0CD"/>
      </w:r>
      <w:r>
        <w:rPr>
          <w:sz w:val="24"/>
        </w:rPr>
        <w:t xml:space="preserve"> 8 UAAs</w:t>
      </w:r>
      <w:r>
        <w:rPr>
          <w:sz w:val="24"/>
          <w:szCs w:val="24"/>
        </w:rPr>
        <w:t>),</w:t>
      </w:r>
      <w:r w:rsidRPr="00344572">
        <w:rPr>
          <w:sz w:val="24"/>
          <w:szCs w:val="24"/>
        </w:rPr>
        <w:t xml:space="preserve"> </w:t>
      </w:r>
      <w:r>
        <w:rPr>
          <w:sz w:val="24"/>
          <w:szCs w:val="24"/>
        </w:rPr>
        <w:t xml:space="preserve">based on a total of </w:t>
      </w:r>
      <w:r w:rsidRPr="00F13C69">
        <w:rPr>
          <w:sz w:val="24"/>
        </w:rPr>
        <w:t>8 states may not consistently identify the HAU when conducting UAAs</w:t>
      </w:r>
      <w:r>
        <w:rPr>
          <w:sz w:val="24"/>
        </w:rPr>
        <w:t xml:space="preserve"> and </w:t>
      </w:r>
      <w:r w:rsidR="003766ED">
        <w:rPr>
          <w:sz w:val="24"/>
        </w:rPr>
        <w:t xml:space="preserve">the </w:t>
      </w:r>
      <w:r>
        <w:rPr>
          <w:sz w:val="24"/>
        </w:rPr>
        <w:t xml:space="preserve">EPA’s estimate </w:t>
      </w:r>
      <w:r w:rsidRPr="00F13C69">
        <w:rPr>
          <w:sz w:val="24"/>
        </w:rPr>
        <w:t>that states and tribes conduct an average of one UAA per year</w:t>
      </w:r>
      <w:r>
        <w:rPr>
          <w:sz w:val="24"/>
        </w:rPr>
        <w:t>,</w:t>
      </w:r>
    </w:p>
    <w:p w:rsidR="00C45E9E" w:rsidRDefault="00C45E9E" w:rsidP="00C45E9E">
      <w:pPr>
        <w:pStyle w:val="BodyText"/>
        <w:numPr>
          <w:ilvl w:val="0"/>
          <w:numId w:val="27"/>
        </w:numPr>
        <w:rPr>
          <w:sz w:val="24"/>
          <w:szCs w:val="24"/>
        </w:rPr>
      </w:pPr>
      <w:r>
        <w:rPr>
          <w:sz w:val="24"/>
          <w:szCs w:val="24"/>
        </w:rPr>
        <w:t xml:space="preserve">Total annual incremental costs ranging from </w:t>
      </w:r>
      <w:r w:rsidR="00203212" w:rsidRPr="00F13C69">
        <w:rPr>
          <w:sz w:val="24"/>
        </w:rPr>
        <w:t>$</w:t>
      </w:r>
      <w:r w:rsidR="00B254DC">
        <w:rPr>
          <w:sz w:val="24"/>
        </w:rPr>
        <w:t>11,000</w:t>
      </w:r>
      <w:r w:rsidR="00203212" w:rsidRPr="00F13C69">
        <w:rPr>
          <w:sz w:val="24"/>
        </w:rPr>
        <w:t xml:space="preserve"> ($</w:t>
      </w:r>
      <w:r w:rsidR="00B254DC">
        <w:rPr>
          <w:sz w:val="24"/>
        </w:rPr>
        <w:t>1,400</w:t>
      </w:r>
      <w:r w:rsidR="00344572">
        <w:rPr>
          <w:sz w:val="24"/>
        </w:rPr>
        <w:t xml:space="preserve"> </w:t>
      </w:r>
      <w:r w:rsidR="00344572" w:rsidRPr="00F13C69">
        <w:rPr>
          <w:sz w:val="24"/>
        </w:rPr>
        <w:sym w:font="Wingdings 2" w:char="F0CD"/>
      </w:r>
      <w:r w:rsidR="00344572">
        <w:rPr>
          <w:sz w:val="24"/>
        </w:rPr>
        <w:t xml:space="preserve"> </w:t>
      </w:r>
      <w:r w:rsidR="00344572" w:rsidRPr="00F13C69">
        <w:rPr>
          <w:sz w:val="24"/>
        </w:rPr>
        <w:t xml:space="preserve">8 </w:t>
      </w:r>
      <w:r w:rsidR="00344572">
        <w:rPr>
          <w:sz w:val="24"/>
        </w:rPr>
        <w:t>UAAs</w:t>
      </w:r>
      <w:r w:rsidR="00203212" w:rsidRPr="00F13C69">
        <w:rPr>
          <w:sz w:val="24"/>
        </w:rPr>
        <w:t>) to $</w:t>
      </w:r>
      <w:r w:rsidR="00B254DC">
        <w:rPr>
          <w:sz w:val="24"/>
        </w:rPr>
        <w:t>58,000</w:t>
      </w:r>
      <w:r w:rsidR="00203212" w:rsidRPr="00F13C69">
        <w:rPr>
          <w:sz w:val="24"/>
        </w:rPr>
        <w:t xml:space="preserve"> ($</w:t>
      </w:r>
      <w:r w:rsidR="00B254DC">
        <w:rPr>
          <w:sz w:val="24"/>
        </w:rPr>
        <w:t>7,200</w:t>
      </w:r>
      <w:r w:rsidR="00344572">
        <w:rPr>
          <w:sz w:val="24"/>
        </w:rPr>
        <w:t xml:space="preserve"> </w:t>
      </w:r>
      <w:r w:rsidR="00344572" w:rsidRPr="00F13C69">
        <w:rPr>
          <w:sz w:val="24"/>
        </w:rPr>
        <w:sym w:font="Wingdings 2" w:char="F0CD"/>
      </w:r>
      <w:r w:rsidR="00344572">
        <w:rPr>
          <w:sz w:val="24"/>
        </w:rPr>
        <w:t xml:space="preserve"> </w:t>
      </w:r>
      <w:r w:rsidR="00344572" w:rsidRPr="00F13C69">
        <w:rPr>
          <w:sz w:val="24"/>
        </w:rPr>
        <w:t xml:space="preserve">8 </w:t>
      </w:r>
      <w:r w:rsidR="00344572">
        <w:rPr>
          <w:sz w:val="24"/>
        </w:rPr>
        <w:t>UAAs</w:t>
      </w:r>
      <w:r w:rsidR="00203212" w:rsidRPr="00F13C69">
        <w:rPr>
          <w:sz w:val="24"/>
        </w:rPr>
        <w:t>)</w:t>
      </w:r>
      <w:r w:rsidR="00344572">
        <w:rPr>
          <w:sz w:val="24"/>
          <w:szCs w:val="24"/>
        </w:rPr>
        <w:t>.</w:t>
      </w:r>
    </w:p>
    <w:p w:rsidR="00BC0EB1" w:rsidRPr="00C45E9E" w:rsidRDefault="00BC0EB1" w:rsidP="007473E4">
      <w:pPr>
        <w:keepNext/>
        <w:rPr>
          <w:rFonts w:ascii="Times New Roman" w:hAnsi="Times New Roman"/>
          <w:b/>
          <w:bCs/>
        </w:rPr>
      </w:pPr>
      <w:r w:rsidRPr="00C45E9E">
        <w:rPr>
          <w:rFonts w:ascii="Times New Roman" w:hAnsi="Times New Roman"/>
          <w:b/>
          <w:bCs/>
        </w:rPr>
        <w:t>Antidegradation</w:t>
      </w:r>
    </w:p>
    <w:p w:rsidR="002370EE" w:rsidRPr="002370EE" w:rsidRDefault="002370EE" w:rsidP="002370EE">
      <w:pPr>
        <w:pStyle w:val="BodyText"/>
        <w:ind w:firstLine="720"/>
        <w:rPr>
          <w:sz w:val="24"/>
        </w:rPr>
      </w:pPr>
      <w:r w:rsidRPr="002370EE">
        <w:rPr>
          <w:sz w:val="24"/>
        </w:rPr>
        <w:t xml:space="preserve">The proposed antidegradation provisions may result in </w:t>
      </w:r>
      <w:r w:rsidR="00513443">
        <w:rPr>
          <w:sz w:val="24"/>
        </w:rPr>
        <w:t>r</w:t>
      </w:r>
      <w:r w:rsidRPr="002370EE">
        <w:rPr>
          <w:sz w:val="24"/>
        </w:rPr>
        <w:t xml:space="preserve">ecurring burden and costs associated with reviewing </w:t>
      </w:r>
      <w:r w:rsidR="004E6730" w:rsidRPr="004E6730">
        <w:rPr>
          <w:sz w:val="24"/>
        </w:rPr>
        <w:t>antidegradation requests that evaluate a range of non-degrading and mi</w:t>
      </w:r>
      <w:r w:rsidR="004E6730">
        <w:rPr>
          <w:sz w:val="24"/>
        </w:rPr>
        <w:t>nimally degrading alternatives</w:t>
      </w:r>
      <w:r w:rsidR="00203212">
        <w:rPr>
          <w:sz w:val="24"/>
        </w:rPr>
        <w:t xml:space="preserve"> and reviewing additional antidegradation requests:</w:t>
      </w:r>
      <w:r w:rsidRPr="002370EE">
        <w:rPr>
          <w:sz w:val="24"/>
        </w:rPr>
        <w:t xml:space="preserve"> </w:t>
      </w:r>
    </w:p>
    <w:p w:rsidR="002370EE" w:rsidRPr="002370EE" w:rsidRDefault="002370EE" w:rsidP="007473E4">
      <w:pPr>
        <w:keepNext/>
        <w:ind w:left="720"/>
      </w:pPr>
      <w:r w:rsidRPr="00C45E9E">
        <w:rPr>
          <w:rFonts w:ascii="Times New Roman" w:hAnsi="Times New Roman"/>
          <w:bCs/>
          <w:u w:val="single"/>
        </w:rPr>
        <w:t>Review of Alternative Analyses</w:t>
      </w:r>
      <w:r w:rsidR="00274C17" w:rsidRPr="00C45E9E">
        <w:rPr>
          <w:rFonts w:ascii="Times New Roman" w:hAnsi="Times New Roman"/>
          <w:bCs/>
          <w:u w:val="single"/>
        </w:rPr>
        <w:t xml:space="preserve"> in Antidegradation Requests</w:t>
      </w:r>
    </w:p>
    <w:p w:rsidR="002C53C3" w:rsidRPr="002C53C3" w:rsidRDefault="002C53C3" w:rsidP="002C53C3">
      <w:pPr>
        <w:pStyle w:val="BodyText"/>
        <w:numPr>
          <w:ilvl w:val="0"/>
          <w:numId w:val="29"/>
        </w:numPr>
        <w:rPr>
          <w:sz w:val="24"/>
        </w:rPr>
      </w:pPr>
      <w:r>
        <w:rPr>
          <w:sz w:val="24"/>
          <w:szCs w:val="24"/>
        </w:rPr>
        <w:t>Incremental effort ranging from</w:t>
      </w:r>
      <w:r w:rsidR="006774B1">
        <w:rPr>
          <w:sz w:val="24"/>
          <w:szCs w:val="24"/>
        </w:rPr>
        <w:t xml:space="preserve"> </w:t>
      </w:r>
      <w:r w:rsidR="006774B1" w:rsidRPr="002370EE">
        <w:rPr>
          <w:sz w:val="24"/>
        </w:rPr>
        <w:t xml:space="preserve">approximately 30 hours (100 hours </w:t>
      </w:r>
      <w:r w:rsidR="006774B1" w:rsidRPr="002370EE">
        <w:rPr>
          <w:sz w:val="24"/>
        </w:rPr>
        <w:sym w:font="Wingdings 2" w:char="F0CD"/>
      </w:r>
      <w:r w:rsidR="006774B1" w:rsidRPr="002370EE">
        <w:rPr>
          <w:sz w:val="24"/>
        </w:rPr>
        <w:t xml:space="preserve"> </w:t>
      </w:r>
      <w:r w:rsidR="007473E4">
        <w:rPr>
          <w:sz w:val="24"/>
        </w:rPr>
        <w:t>30%</w:t>
      </w:r>
      <w:r w:rsidR="006774B1" w:rsidRPr="002370EE">
        <w:rPr>
          <w:sz w:val="24"/>
        </w:rPr>
        <w:t xml:space="preserve">) to 45 hours (150 hours </w:t>
      </w:r>
      <w:r w:rsidR="006774B1" w:rsidRPr="002370EE">
        <w:rPr>
          <w:sz w:val="24"/>
        </w:rPr>
        <w:sym w:font="Wingdings 2" w:char="F0CD"/>
      </w:r>
      <w:r w:rsidR="006774B1" w:rsidRPr="002370EE">
        <w:rPr>
          <w:sz w:val="24"/>
        </w:rPr>
        <w:t xml:space="preserve"> </w:t>
      </w:r>
      <w:r w:rsidR="007473E4">
        <w:rPr>
          <w:sz w:val="24"/>
        </w:rPr>
        <w:t>30%</w:t>
      </w:r>
      <w:r w:rsidR="006774B1" w:rsidRPr="002370EE">
        <w:rPr>
          <w:sz w:val="24"/>
        </w:rPr>
        <w:t>) for</w:t>
      </w:r>
      <w:r w:rsidR="006774B1">
        <w:rPr>
          <w:sz w:val="24"/>
        </w:rPr>
        <w:t xml:space="preserve"> the review of </w:t>
      </w:r>
      <w:r w:rsidR="006774B1" w:rsidRPr="002370EE">
        <w:rPr>
          <w:sz w:val="24"/>
        </w:rPr>
        <w:t>each</w:t>
      </w:r>
      <w:r w:rsidR="006774B1">
        <w:rPr>
          <w:sz w:val="24"/>
        </w:rPr>
        <w:t xml:space="preserve"> antidegradation request, based on </w:t>
      </w:r>
      <w:r w:rsidR="006774B1" w:rsidRPr="002370EE">
        <w:rPr>
          <w:sz w:val="24"/>
        </w:rPr>
        <w:t>EPA</w:t>
      </w:r>
      <w:r w:rsidR="006774B1">
        <w:rPr>
          <w:sz w:val="24"/>
        </w:rPr>
        <w:t>’s</w:t>
      </w:r>
      <w:r w:rsidR="006774B1" w:rsidRPr="002370EE">
        <w:rPr>
          <w:sz w:val="24"/>
        </w:rPr>
        <w:t xml:space="preserve"> estimates that the review of a single request to lower water quality in a Tier 2 water that does not include an alternatives analysis requires on average approximately 100 hours to 150 labor hours</w:t>
      </w:r>
      <w:r w:rsidR="006774B1">
        <w:rPr>
          <w:sz w:val="24"/>
        </w:rPr>
        <w:t xml:space="preserve"> and</w:t>
      </w:r>
      <w:r w:rsidR="006774B1" w:rsidRPr="002370EE">
        <w:rPr>
          <w:sz w:val="24"/>
        </w:rPr>
        <w:t xml:space="preserve"> that including an alternatives analysis may increase the effort to review the request by approximately 30 percent.</w:t>
      </w:r>
    </w:p>
    <w:p w:rsidR="002C53C3" w:rsidRPr="002C53C3" w:rsidRDefault="002C53C3" w:rsidP="002C53C3">
      <w:pPr>
        <w:pStyle w:val="BodyText"/>
        <w:numPr>
          <w:ilvl w:val="0"/>
          <w:numId w:val="29"/>
        </w:numPr>
        <w:rPr>
          <w:sz w:val="24"/>
        </w:rPr>
      </w:pPr>
      <w:r>
        <w:rPr>
          <w:sz w:val="24"/>
          <w:szCs w:val="24"/>
        </w:rPr>
        <w:t xml:space="preserve">Incremental per </w:t>
      </w:r>
      <w:r w:rsidR="00A26D2B">
        <w:rPr>
          <w:sz w:val="24"/>
          <w:szCs w:val="24"/>
        </w:rPr>
        <w:t>review</w:t>
      </w:r>
      <w:r>
        <w:rPr>
          <w:sz w:val="24"/>
          <w:szCs w:val="24"/>
        </w:rPr>
        <w:t xml:space="preserve"> costs ranging from</w:t>
      </w:r>
      <w:r w:rsidR="006774B1">
        <w:rPr>
          <w:sz w:val="24"/>
          <w:szCs w:val="24"/>
        </w:rPr>
        <w:t xml:space="preserve"> $</w:t>
      </w:r>
      <w:r w:rsidR="00024A2E">
        <w:rPr>
          <w:sz w:val="24"/>
          <w:szCs w:val="24"/>
        </w:rPr>
        <w:t>1,400</w:t>
      </w:r>
      <w:r w:rsidR="006774B1">
        <w:rPr>
          <w:sz w:val="24"/>
          <w:szCs w:val="24"/>
        </w:rPr>
        <w:t xml:space="preserve"> </w:t>
      </w:r>
      <w:r w:rsidR="006774B1" w:rsidRPr="002370EE">
        <w:rPr>
          <w:sz w:val="24"/>
        </w:rPr>
        <w:t>(</w:t>
      </w:r>
      <w:r w:rsidR="006774B1">
        <w:rPr>
          <w:sz w:val="24"/>
        </w:rPr>
        <w:t>30</w:t>
      </w:r>
      <w:r w:rsidR="006774B1" w:rsidRPr="002370EE">
        <w:rPr>
          <w:sz w:val="24"/>
        </w:rPr>
        <w:t xml:space="preserve"> hours </w:t>
      </w:r>
      <w:r w:rsidR="006774B1" w:rsidRPr="002370EE">
        <w:rPr>
          <w:sz w:val="24"/>
          <w:szCs w:val="22"/>
        </w:rPr>
        <w:sym w:font="Wingdings 2" w:char="F0CD"/>
      </w:r>
      <w:r w:rsidR="006774B1" w:rsidRPr="002370EE">
        <w:rPr>
          <w:sz w:val="24"/>
        </w:rPr>
        <w:t xml:space="preserve"> $</w:t>
      </w:r>
      <w:r w:rsidR="00024A2E">
        <w:rPr>
          <w:sz w:val="24"/>
        </w:rPr>
        <w:t>48</w:t>
      </w:r>
      <w:r w:rsidR="006774B1" w:rsidRPr="002370EE">
        <w:rPr>
          <w:sz w:val="24"/>
        </w:rPr>
        <w:t>/hour)</w:t>
      </w:r>
      <w:r w:rsidR="006774B1">
        <w:rPr>
          <w:sz w:val="24"/>
        </w:rPr>
        <w:t xml:space="preserve"> </w:t>
      </w:r>
      <w:r w:rsidR="006774B1">
        <w:rPr>
          <w:sz w:val="24"/>
          <w:szCs w:val="24"/>
        </w:rPr>
        <w:t>to $</w:t>
      </w:r>
      <w:r w:rsidR="00024A2E">
        <w:rPr>
          <w:sz w:val="24"/>
          <w:szCs w:val="24"/>
        </w:rPr>
        <w:t>2,200</w:t>
      </w:r>
      <w:r w:rsidR="006774B1">
        <w:rPr>
          <w:sz w:val="24"/>
          <w:szCs w:val="24"/>
        </w:rPr>
        <w:t xml:space="preserve"> </w:t>
      </w:r>
      <w:r w:rsidR="006774B1" w:rsidRPr="002370EE">
        <w:rPr>
          <w:sz w:val="24"/>
        </w:rPr>
        <w:t>(</w:t>
      </w:r>
      <w:r w:rsidR="006774B1">
        <w:rPr>
          <w:sz w:val="24"/>
        </w:rPr>
        <w:t>45</w:t>
      </w:r>
      <w:r w:rsidR="006774B1" w:rsidRPr="002370EE">
        <w:rPr>
          <w:sz w:val="24"/>
        </w:rPr>
        <w:t xml:space="preserve"> hours </w:t>
      </w:r>
      <w:r w:rsidR="006774B1" w:rsidRPr="002370EE">
        <w:rPr>
          <w:sz w:val="24"/>
          <w:szCs w:val="22"/>
        </w:rPr>
        <w:sym w:font="Wingdings 2" w:char="F0CD"/>
      </w:r>
      <w:r w:rsidR="006774B1" w:rsidRPr="002370EE">
        <w:rPr>
          <w:sz w:val="24"/>
        </w:rPr>
        <w:t xml:space="preserve"> $</w:t>
      </w:r>
      <w:r w:rsidR="00024A2E">
        <w:rPr>
          <w:sz w:val="24"/>
        </w:rPr>
        <w:t>48</w:t>
      </w:r>
      <w:r w:rsidR="006774B1" w:rsidRPr="002370EE">
        <w:rPr>
          <w:sz w:val="24"/>
        </w:rPr>
        <w:t>/hour)</w:t>
      </w:r>
      <w:r w:rsidR="006774B1">
        <w:rPr>
          <w:sz w:val="24"/>
          <w:szCs w:val="24"/>
        </w:rPr>
        <w:t>.</w:t>
      </w:r>
    </w:p>
    <w:p w:rsidR="00D10B55" w:rsidRDefault="00D10B55" w:rsidP="002C53C3">
      <w:pPr>
        <w:pStyle w:val="BodyText"/>
        <w:numPr>
          <w:ilvl w:val="0"/>
          <w:numId w:val="29"/>
        </w:numPr>
        <w:rPr>
          <w:sz w:val="24"/>
        </w:rPr>
      </w:pPr>
      <w:r>
        <w:rPr>
          <w:sz w:val="24"/>
        </w:rPr>
        <w:t xml:space="preserve">Potentially affected entities including </w:t>
      </w:r>
      <w:r w:rsidRPr="002370EE">
        <w:rPr>
          <w:sz w:val="24"/>
        </w:rPr>
        <w:t xml:space="preserve">17 states, 4 territories, and 34 tribes </w:t>
      </w:r>
      <w:r w:rsidR="00143463">
        <w:rPr>
          <w:sz w:val="24"/>
        </w:rPr>
        <w:t xml:space="preserve">that </w:t>
      </w:r>
      <w:r w:rsidRPr="002370EE">
        <w:rPr>
          <w:sz w:val="24"/>
        </w:rPr>
        <w:t xml:space="preserve">do not currently </w:t>
      </w:r>
      <w:r w:rsidR="004E6730" w:rsidRPr="004E6730">
        <w:rPr>
          <w:sz w:val="24"/>
        </w:rPr>
        <w:t xml:space="preserve">evaluate a range of non-degrading and minimally degrading alternatives </w:t>
      </w:r>
      <w:r w:rsidRPr="002370EE">
        <w:rPr>
          <w:sz w:val="24"/>
        </w:rPr>
        <w:t xml:space="preserve">for all Tier 2 antidegradation reviews. Because requests to lower water quality in Tier 2 waters are usually associated with NPDES permit applications, EPA uses information on the number of antidegradation reviews as a percent of the total number of NPDES permits for states and tribes where such information is available </w:t>
      </w:r>
      <w:r w:rsidR="0095395D">
        <w:rPr>
          <w:sz w:val="24"/>
        </w:rPr>
        <w:t xml:space="preserve">(i.e., Iowa and Missouri) </w:t>
      </w:r>
      <w:r w:rsidRPr="002370EE">
        <w:rPr>
          <w:sz w:val="24"/>
        </w:rPr>
        <w:t xml:space="preserve">to estimate the number of </w:t>
      </w:r>
      <w:r w:rsidRPr="002370EE">
        <w:rPr>
          <w:sz w:val="24"/>
        </w:rPr>
        <w:lastRenderedPageBreak/>
        <w:t>antidegradation reviews in all potentially affected states and tribes</w:t>
      </w:r>
      <w:r>
        <w:rPr>
          <w:sz w:val="24"/>
        </w:rPr>
        <w:t xml:space="preserve">: </w:t>
      </w:r>
      <w:r w:rsidR="00024A2E">
        <w:rPr>
          <w:sz w:val="24"/>
        </w:rPr>
        <w:t xml:space="preserve">744 </w:t>
      </w:r>
      <w:r>
        <w:rPr>
          <w:sz w:val="24"/>
        </w:rPr>
        <w:t>reviews per year</w:t>
      </w:r>
      <w:r w:rsidRPr="002370EE">
        <w:rPr>
          <w:sz w:val="24"/>
        </w:rPr>
        <w:t>.</w:t>
      </w:r>
    </w:p>
    <w:p w:rsidR="002C53C3" w:rsidRDefault="006774B1" w:rsidP="002C53C3">
      <w:pPr>
        <w:pStyle w:val="BodyText"/>
        <w:numPr>
          <w:ilvl w:val="0"/>
          <w:numId w:val="29"/>
        </w:numPr>
        <w:rPr>
          <w:sz w:val="24"/>
        </w:rPr>
      </w:pPr>
      <w:r>
        <w:rPr>
          <w:sz w:val="24"/>
        </w:rPr>
        <w:t>T</w:t>
      </w:r>
      <w:r w:rsidRPr="002370EE">
        <w:rPr>
          <w:sz w:val="24"/>
        </w:rPr>
        <w:t xml:space="preserve">otal </w:t>
      </w:r>
      <w:r>
        <w:rPr>
          <w:sz w:val="24"/>
        </w:rPr>
        <w:t xml:space="preserve">annual </w:t>
      </w:r>
      <w:r w:rsidRPr="002370EE">
        <w:rPr>
          <w:sz w:val="24"/>
        </w:rPr>
        <w:t xml:space="preserve">incremental burden to perform this activity could range between </w:t>
      </w:r>
      <w:r w:rsidR="00024A2E">
        <w:rPr>
          <w:sz w:val="24"/>
        </w:rPr>
        <w:t>22,320</w:t>
      </w:r>
      <w:r w:rsidRPr="002370EE">
        <w:rPr>
          <w:sz w:val="24"/>
        </w:rPr>
        <w:t xml:space="preserve"> hours and </w:t>
      </w:r>
      <w:r w:rsidR="00024A2E">
        <w:rPr>
          <w:sz w:val="24"/>
        </w:rPr>
        <w:t>33,480</w:t>
      </w:r>
      <w:r w:rsidRPr="002370EE">
        <w:rPr>
          <w:sz w:val="24"/>
        </w:rPr>
        <w:t xml:space="preserve"> hours</w:t>
      </w:r>
      <w:r>
        <w:rPr>
          <w:sz w:val="24"/>
          <w:szCs w:val="24"/>
        </w:rPr>
        <w:t xml:space="preserve"> and </w:t>
      </w:r>
      <w:r w:rsidR="002C53C3">
        <w:rPr>
          <w:sz w:val="24"/>
          <w:szCs w:val="24"/>
        </w:rPr>
        <w:t>costs ranging from</w:t>
      </w:r>
      <w:r>
        <w:rPr>
          <w:sz w:val="24"/>
          <w:szCs w:val="24"/>
        </w:rPr>
        <w:t xml:space="preserve"> </w:t>
      </w:r>
      <w:r w:rsidRPr="002370EE">
        <w:rPr>
          <w:sz w:val="24"/>
        </w:rPr>
        <w:t>approximately $</w:t>
      </w:r>
      <w:r w:rsidR="00024A2E">
        <w:rPr>
          <w:sz w:val="24"/>
        </w:rPr>
        <w:t>1,041,600</w:t>
      </w:r>
      <w:r w:rsidRPr="002370EE">
        <w:rPr>
          <w:sz w:val="24"/>
        </w:rPr>
        <w:t xml:space="preserve"> </w:t>
      </w:r>
      <w:r w:rsidR="007473E4">
        <w:rPr>
          <w:sz w:val="24"/>
        </w:rPr>
        <w:t>to</w:t>
      </w:r>
      <w:r w:rsidRPr="002370EE">
        <w:rPr>
          <w:sz w:val="24"/>
        </w:rPr>
        <w:t xml:space="preserve"> $</w:t>
      </w:r>
      <w:r w:rsidR="00024A2E">
        <w:rPr>
          <w:sz w:val="24"/>
        </w:rPr>
        <w:t>1,636,800</w:t>
      </w:r>
      <w:r>
        <w:rPr>
          <w:sz w:val="24"/>
        </w:rPr>
        <w:t xml:space="preserve">, based on </w:t>
      </w:r>
      <w:r w:rsidRPr="006774B1">
        <w:rPr>
          <w:sz w:val="24"/>
        </w:rPr>
        <w:t>EPA</w:t>
      </w:r>
      <w:r>
        <w:rPr>
          <w:sz w:val="24"/>
        </w:rPr>
        <w:t>’s</w:t>
      </w:r>
      <w:r w:rsidRPr="006774B1">
        <w:rPr>
          <w:sz w:val="24"/>
        </w:rPr>
        <w:t xml:space="preserve"> estimate that </w:t>
      </w:r>
      <w:r w:rsidR="00024A2E">
        <w:rPr>
          <w:sz w:val="24"/>
        </w:rPr>
        <w:t>744</w:t>
      </w:r>
      <w:r w:rsidR="00024A2E" w:rsidRPr="006774B1">
        <w:rPr>
          <w:sz w:val="24"/>
        </w:rPr>
        <w:t xml:space="preserve"> </w:t>
      </w:r>
      <w:r w:rsidRPr="006774B1">
        <w:rPr>
          <w:sz w:val="24"/>
        </w:rPr>
        <w:t>antidegradation reviews per year may require additional effort due to the need to begin reviewing alternative analyses and chosen p</w:t>
      </w:r>
      <w:r>
        <w:rPr>
          <w:sz w:val="24"/>
        </w:rPr>
        <w:t>ollution prevention alternatives</w:t>
      </w:r>
      <w:r w:rsidRPr="006774B1">
        <w:rPr>
          <w:sz w:val="24"/>
        </w:rPr>
        <w:t>.</w:t>
      </w:r>
    </w:p>
    <w:p w:rsidR="00B009F7" w:rsidRPr="00B009F7" w:rsidRDefault="00B009F7" w:rsidP="00B009F7">
      <w:pPr>
        <w:pStyle w:val="BodyText"/>
        <w:numPr>
          <w:ilvl w:val="0"/>
          <w:numId w:val="29"/>
        </w:numPr>
        <w:rPr>
          <w:sz w:val="24"/>
        </w:rPr>
      </w:pPr>
      <w:r w:rsidRPr="002370EE">
        <w:rPr>
          <w:sz w:val="24"/>
        </w:rPr>
        <w:t>Note that these are average estimates, and do not reflect potential differences in water quality and the geographical distribution of dischargers relative to Tier 2 waters</w:t>
      </w:r>
      <w:r>
        <w:rPr>
          <w:sz w:val="24"/>
        </w:rPr>
        <w:t>.</w:t>
      </w:r>
    </w:p>
    <w:p w:rsidR="002370EE" w:rsidRPr="002370EE" w:rsidRDefault="00274C17" w:rsidP="007473E4">
      <w:pPr>
        <w:keepNext/>
        <w:ind w:left="720"/>
      </w:pPr>
      <w:r w:rsidRPr="00C45E9E">
        <w:rPr>
          <w:rFonts w:ascii="Times New Roman" w:hAnsi="Times New Roman"/>
          <w:bCs/>
          <w:u w:val="single"/>
        </w:rPr>
        <w:t>Review of Additional Antidegradation Requests</w:t>
      </w:r>
    </w:p>
    <w:p w:rsidR="00A26D2B" w:rsidRPr="00A26D2B" w:rsidRDefault="00A26D2B" w:rsidP="00A26D2B">
      <w:pPr>
        <w:pStyle w:val="BodyText"/>
        <w:numPr>
          <w:ilvl w:val="0"/>
          <w:numId w:val="30"/>
        </w:numPr>
        <w:rPr>
          <w:sz w:val="24"/>
        </w:rPr>
      </w:pPr>
      <w:r>
        <w:rPr>
          <w:sz w:val="24"/>
          <w:szCs w:val="24"/>
        </w:rPr>
        <w:t xml:space="preserve">Incremental effort </w:t>
      </w:r>
      <w:r w:rsidRPr="002370EE">
        <w:rPr>
          <w:sz w:val="24"/>
        </w:rPr>
        <w:t xml:space="preserve">to conduct a single Tier 2 review </w:t>
      </w:r>
      <w:r>
        <w:rPr>
          <w:sz w:val="24"/>
          <w:szCs w:val="24"/>
        </w:rPr>
        <w:t>ranging from</w:t>
      </w:r>
      <w:r w:rsidR="00EC6D76">
        <w:rPr>
          <w:sz w:val="24"/>
          <w:szCs w:val="24"/>
        </w:rPr>
        <w:t xml:space="preserve"> </w:t>
      </w:r>
      <w:r w:rsidRPr="002370EE">
        <w:rPr>
          <w:sz w:val="24"/>
        </w:rPr>
        <w:t xml:space="preserve">130 hours (100 hours + (100 hours × 30%)) to 195 hours (150 hours + (150 hours × 30%)), </w:t>
      </w:r>
      <w:r w:rsidR="00FC3DCF">
        <w:rPr>
          <w:sz w:val="24"/>
        </w:rPr>
        <w:t>given</w:t>
      </w:r>
      <w:r w:rsidRPr="002370EE">
        <w:rPr>
          <w:sz w:val="24"/>
        </w:rPr>
        <w:t xml:space="preserve"> the calculation of labor hours for alternative analyses</w:t>
      </w:r>
      <w:r>
        <w:rPr>
          <w:sz w:val="24"/>
        </w:rPr>
        <w:t xml:space="preserve"> above.</w:t>
      </w:r>
    </w:p>
    <w:p w:rsidR="00A26D2B" w:rsidRDefault="00A26D2B" w:rsidP="00A26D2B">
      <w:pPr>
        <w:pStyle w:val="BodyText"/>
        <w:numPr>
          <w:ilvl w:val="0"/>
          <w:numId w:val="30"/>
        </w:numPr>
        <w:rPr>
          <w:sz w:val="24"/>
        </w:rPr>
      </w:pPr>
      <w:r>
        <w:rPr>
          <w:sz w:val="24"/>
          <w:szCs w:val="24"/>
        </w:rPr>
        <w:t>Incremental per request costs ranging from $</w:t>
      </w:r>
      <w:r w:rsidR="00024A2E">
        <w:rPr>
          <w:sz w:val="24"/>
          <w:szCs w:val="24"/>
        </w:rPr>
        <w:t>6,200</w:t>
      </w:r>
      <w:r>
        <w:rPr>
          <w:sz w:val="24"/>
          <w:szCs w:val="24"/>
        </w:rPr>
        <w:t xml:space="preserve"> (130 hours </w:t>
      </w:r>
      <w:r w:rsidRPr="002370EE">
        <w:rPr>
          <w:sz w:val="24"/>
        </w:rPr>
        <w:t>×</w:t>
      </w:r>
      <w:r>
        <w:rPr>
          <w:sz w:val="24"/>
        </w:rPr>
        <w:t xml:space="preserve"> $</w:t>
      </w:r>
      <w:r w:rsidR="00024A2E">
        <w:rPr>
          <w:sz w:val="24"/>
        </w:rPr>
        <w:t>48</w:t>
      </w:r>
      <w:r>
        <w:rPr>
          <w:sz w:val="24"/>
        </w:rPr>
        <w:t xml:space="preserve">/hour) </w:t>
      </w:r>
      <w:r>
        <w:rPr>
          <w:sz w:val="24"/>
          <w:szCs w:val="24"/>
        </w:rPr>
        <w:t>to $</w:t>
      </w:r>
      <w:r w:rsidR="00024A2E">
        <w:rPr>
          <w:sz w:val="24"/>
          <w:szCs w:val="24"/>
        </w:rPr>
        <w:t>9,400</w:t>
      </w:r>
      <w:r>
        <w:rPr>
          <w:sz w:val="24"/>
          <w:szCs w:val="24"/>
        </w:rPr>
        <w:t xml:space="preserve"> (195 hours </w:t>
      </w:r>
      <w:r w:rsidRPr="002370EE">
        <w:rPr>
          <w:sz w:val="24"/>
        </w:rPr>
        <w:t>×</w:t>
      </w:r>
      <w:r w:rsidR="004758D4">
        <w:rPr>
          <w:sz w:val="24"/>
        </w:rPr>
        <w:t xml:space="preserve"> $</w:t>
      </w:r>
      <w:r w:rsidR="00024A2E">
        <w:rPr>
          <w:sz w:val="24"/>
        </w:rPr>
        <w:t>48</w:t>
      </w:r>
      <w:r w:rsidR="004758D4">
        <w:rPr>
          <w:sz w:val="24"/>
        </w:rPr>
        <w:t>/hour).</w:t>
      </w:r>
    </w:p>
    <w:p w:rsidR="00D10B55" w:rsidRPr="00A26D2B" w:rsidRDefault="00D10B55" w:rsidP="00A26D2B">
      <w:pPr>
        <w:pStyle w:val="BodyText"/>
        <w:numPr>
          <w:ilvl w:val="0"/>
          <w:numId w:val="30"/>
        </w:numPr>
        <w:rPr>
          <w:sz w:val="24"/>
        </w:rPr>
      </w:pPr>
      <w:r>
        <w:rPr>
          <w:sz w:val="24"/>
        </w:rPr>
        <w:t xml:space="preserve">Potentially affected entities including </w:t>
      </w:r>
      <w:r w:rsidRPr="002370EE">
        <w:rPr>
          <w:sz w:val="24"/>
        </w:rPr>
        <w:t xml:space="preserve">seven states and tribes </w:t>
      </w:r>
      <w:r>
        <w:rPr>
          <w:sz w:val="24"/>
        </w:rPr>
        <w:t xml:space="preserve">that </w:t>
      </w:r>
      <w:r w:rsidRPr="002370EE">
        <w:rPr>
          <w:sz w:val="24"/>
        </w:rPr>
        <w:t xml:space="preserve">are currently using a water body-by-water body approach to identifying high quality waters and are excluding waters from Tier 2 protection </w:t>
      </w:r>
      <w:r w:rsidR="00CC0C01" w:rsidRPr="0016362D">
        <w:rPr>
          <w:bCs/>
        </w:rPr>
        <w:t>solely because not all of the uses specified in CWA section 101(a)(2) are attained</w:t>
      </w:r>
      <w:r w:rsidRPr="002370EE">
        <w:rPr>
          <w:sz w:val="24"/>
        </w:rPr>
        <w:t xml:space="preserve">. </w:t>
      </w:r>
      <w:r w:rsidR="003766ED">
        <w:rPr>
          <w:sz w:val="24"/>
        </w:rPr>
        <w:t xml:space="preserve">The </w:t>
      </w:r>
      <w:r w:rsidRPr="002370EE">
        <w:rPr>
          <w:sz w:val="24"/>
        </w:rPr>
        <w:t>EPA assumes that, in order to comply with the proposed rule, these seven states and tribes will choose to continue using the water body-by-water body approach, but will revise their</w:t>
      </w:r>
      <w:r w:rsidR="00CC0C01">
        <w:rPr>
          <w:sz w:val="24"/>
        </w:rPr>
        <w:t xml:space="preserve"> antidegradation</w:t>
      </w:r>
      <w:r w:rsidRPr="002370EE">
        <w:rPr>
          <w:sz w:val="24"/>
        </w:rPr>
        <w:t xml:space="preserve"> implementation methods so that they are no longer excluding waters from Tier 2 protection</w:t>
      </w:r>
      <w:r w:rsidR="00687CD3">
        <w:rPr>
          <w:sz w:val="24"/>
        </w:rPr>
        <w:t xml:space="preserve"> </w:t>
      </w:r>
      <w:r w:rsidR="00CC0C01" w:rsidRPr="0016362D">
        <w:rPr>
          <w:bCs/>
        </w:rPr>
        <w:t>solely because not all of the uses specified in CWA section 101(a)(2) are attained</w:t>
      </w:r>
      <w:r>
        <w:rPr>
          <w:sz w:val="24"/>
        </w:rPr>
        <w:t>.</w:t>
      </w:r>
    </w:p>
    <w:p w:rsidR="00D10B55" w:rsidRPr="002370EE" w:rsidRDefault="00D10B55" w:rsidP="00D10B55">
      <w:pPr>
        <w:pStyle w:val="BodyText"/>
        <w:numPr>
          <w:ilvl w:val="0"/>
          <w:numId w:val="30"/>
        </w:numPr>
        <w:rPr>
          <w:sz w:val="24"/>
        </w:rPr>
      </w:pPr>
      <w:r>
        <w:rPr>
          <w:sz w:val="24"/>
        </w:rPr>
        <w:t xml:space="preserve">A total of </w:t>
      </w:r>
      <w:r w:rsidR="00024A2E">
        <w:rPr>
          <w:sz w:val="24"/>
        </w:rPr>
        <w:t>575</w:t>
      </w:r>
      <w:r w:rsidR="00024A2E" w:rsidRPr="002370EE">
        <w:rPr>
          <w:sz w:val="24"/>
        </w:rPr>
        <w:t xml:space="preserve"> </w:t>
      </w:r>
      <w:r w:rsidRPr="002370EE">
        <w:rPr>
          <w:sz w:val="24"/>
        </w:rPr>
        <w:t xml:space="preserve">additional antidegradation requests </w:t>
      </w:r>
      <w:r w:rsidR="00731DC1">
        <w:rPr>
          <w:sz w:val="24"/>
        </w:rPr>
        <w:t xml:space="preserve">in </w:t>
      </w:r>
      <w:r w:rsidRPr="002370EE">
        <w:rPr>
          <w:sz w:val="24"/>
        </w:rPr>
        <w:t xml:space="preserve">the seven </w:t>
      </w:r>
      <w:r w:rsidR="00731DC1">
        <w:rPr>
          <w:sz w:val="24"/>
        </w:rPr>
        <w:t xml:space="preserve">affected </w:t>
      </w:r>
      <w:r w:rsidRPr="002370EE">
        <w:rPr>
          <w:sz w:val="24"/>
        </w:rPr>
        <w:t>states and tribes</w:t>
      </w:r>
      <w:r w:rsidR="00731DC1">
        <w:rPr>
          <w:sz w:val="24"/>
        </w:rPr>
        <w:t xml:space="preserve">. </w:t>
      </w:r>
      <w:r w:rsidRPr="002370EE">
        <w:rPr>
          <w:sz w:val="24"/>
        </w:rPr>
        <w:t>Using the previously estimated range of Tier 2 reviews as a percent of the total number of NPDES-permitted dischargers from Missouri and Iowa (</w:t>
      </w:r>
      <w:r w:rsidR="0095395D">
        <w:rPr>
          <w:sz w:val="24"/>
        </w:rPr>
        <w:t>a midpoint of 6 percent across the two states</w:t>
      </w:r>
      <w:r w:rsidRPr="002370EE">
        <w:rPr>
          <w:sz w:val="24"/>
        </w:rPr>
        <w:t xml:space="preserve">), </w:t>
      </w:r>
      <w:r w:rsidR="003766ED">
        <w:rPr>
          <w:sz w:val="24"/>
        </w:rPr>
        <w:t xml:space="preserve">the </w:t>
      </w:r>
      <w:r w:rsidRPr="002370EE">
        <w:rPr>
          <w:sz w:val="24"/>
        </w:rPr>
        <w:t xml:space="preserve">EPA estimates the number of potential additional Tier 2 requests requiring review by states and tribes that currently exclude waters from Tier 2 protection based on the impairment of one parameter. Using </w:t>
      </w:r>
      <w:r w:rsidR="003766ED">
        <w:rPr>
          <w:sz w:val="24"/>
        </w:rPr>
        <w:t xml:space="preserve">the </w:t>
      </w:r>
      <w:r w:rsidRPr="002370EE">
        <w:rPr>
          <w:sz w:val="24"/>
        </w:rPr>
        <w:t xml:space="preserve">EPA’s ICIS-NPDES databases, </w:t>
      </w:r>
      <w:r w:rsidR="003766ED">
        <w:rPr>
          <w:sz w:val="24"/>
        </w:rPr>
        <w:t xml:space="preserve">the </w:t>
      </w:r>
      <w:r w:rsidRPr="002370EE">
        <w:rPr>
          <w:sz w:val="24"/>
        </w:rPr>
        <w:t xml:space="preserve">EPA determines the number of dischargers in each of the </w:t>
      </w:r>
      <w:r w:rsidR="00024A2E">
        <w:rPr>
          <w:sz w:val="24"/>
        </w:rPr>
        <w:t>12</w:t>
      </w:r>
      <w:r w:rsidR="00024A2E" w:rsidRPr="002370EE">
        <w:rPr>
          <w:sz w:val="24"/>
        </w:rPr>
        <w:t xml:space="preserve"> </w:t>
      </w:r>
      <w:r w:rsidRPr="002370EE">
        <w:rPr>
          <w:sz w:val="24"/>
        </w:rPr>
        <w:t>states</w:t>
      </w:r>
      <w:r w:rsidR="00024A2E">
        <w:rPr>
          <w:sz w:val="24"/>
        </w:rPr>
        <w:t xml:space="preserve"> using the waterbody-by-waterbody approach for determining high quality waters</w:t>
      </w:r>
      <w:r w:rsidRPr="002370EE">
        <w:rPr>
          <w:sz w:val="24"/>
        </w:rPr>
        <w:t xml:space="preserve">. For the four states known to exclude Tier 2 protection based on impairment of one parameter, </w:t>
      </w:r>
      <w:r w:rsidR="003766ED">
        <w:rPr>
          <w:sz w:val="24"/>
        </w:rPr>
        <w:t xml:space="preserve">the </w:t>
      </w:r>
      <w:r w:rsidRPr="002370EE">
        <w:rPr>
          <w:sz w:val="24"/>
        </w:rPr>
        <w:t xml:space="preserve">EPA estimates the number of additional reviews by multiplying the number of dischargers in each state by </w:t>
      </w:r>
      <w:r w:rsidR="0095395D">
        <w:rPr>
          <w:sz w:val="24"/>
        </w:rPr>
        <w:t>6</w:t>
      </w:r>
      <w:r w:rsidRPr="002370EE">
        <w:rPr>
          <w:sz w:val="24"/>
        </w:rPr>
        <w:t xml:space="preserve"> percent. For each of the three other states and tribes excluding Tier 2 protection based on impairment of one parameter, </w:t>
      </w:r>
      <w:r w:rsidR="003766ED">
        <w:rPr>
          <w:sz w:val="24"/>
        </w:rPr>
        <w:t xml:space="preserve">the </w:t>
      </w:r>
      <w:r w:rsidRPr="002370EE">
        <w:rPr>
          <w:sz w:val="24"/>
        </w:rPr>
        <w:t xml:space="preserve">EPA </w:t>
      </w:r>
      <w:r w:rsidRPr="002370EE">
        <w:rPr>
          <w:sz w:val="24"/>
        </w:rPr>
        <w:lastRenderedPageBreak/>
        <w:t xml:space="preserve">multiplies the average number of dischargers in </w:t>
      </w:r>
      <w:r w:rsidR="00024A2E">
        <w:rPr>
          <w:sz w:val="24"/>
        </w:rPr>
        <w:t>the 12</w:t>
      </w:r>
      <w:r w:rsidRPr="002370EE">
        <w:rPr>
          <w:sz w:val="24"/>
        </w:rPr>
        <w:t xml:space="preserve"> states</w:t>
      </w:r>
      <w:r w:rsidR="00024A2E">
        <w:rPr>
          <w:sz w:val="24"/>
        </w:rPr>
        <w:t xml:space="preserve"> using the waterbody-by-waterbody approach</w:t>
      </w:r>
      <w:r w:rsidRPr="002370EE">
        <w:rPr>
          <w:sz w:val="24"/>
        </w:rPr>
        <w:t xml:space="preserve"> (</w:t>
      </w:r>
      <w:r w:rsidR="00024A2E">
        <w:rPr>
          <w:sz w:val="24"/>
        </w:rPr>
        <w:t>1,422</w:t>
      </w:r>
      <w:r w:rsidRPr="002370EE">
        <w:rPr>
          <w:sz w:val="24"/>
        </w:rPr>
        <w:t xml:space="preserve">) by </w:t>
      </w:r>
      <w:r w:rsidR="0095395D">
        <w:rPr>
          <w:sz w:val="24"/>
        </w:rPr>
        <w:t>6</w:t>
      </w:r>
      <w:r w:rsidRPr="002370EE">
        <w:rPr>
          <w:sz w:val="24"/>
        </w:rPr>
        <w:t xml:space="preserve"> percent.</w:t>
      </w:r>
    </w:p>
    <w:p w:rsidR="00A26D2B" w:rsidRDefault="004758D4" w:rsidP="00A26D2B">
      <w:pPr>
        <w:pStyle w:val="BodyText"/>
        <w:numPr>
          <w:ilvl w:val="0"/>
          <w:numId w:val="30"/>
        </w:numPr>
        <w:rPr>
          <w:sz w:val="24"/>
        </w:rPr>
      </w:pPr>
      <w:r>
        <w:rPr>
          <w:sz w:val="24"/>
        </w:rPr>
        <w:t>T</w:t>
      </w:r>
      <w:r w:rsidRPr="002370EE">
        <w:rPr>
          <w:sz w:val="24"/>
        </w:rPr>
        <w:t xml:space="preserve">otal </w:t>
      </w:r>
      <w:r>
        <w:rPr>
          <w:sz w:val="24"/>
        </w:rPr>
        <w:t xml:space="preserve">annual </w:t>
      </w:r>
      <w:r w:rsidRPr="002370EE">
        <w:rPr>
          <w:sz w:val="24"/>
        </w:rPr>
        <w:t xml:space="preserve">incremental </w:t>
      </w:r>
      <w:r>
        <w:rPr>
          <w:sz w:val="24"/>
        </w:rPr>
        <w:t>costs</w:t>
      </w:r>
      <w:r w:rsidRPr="002370EE">
        <w:rPr>
          <w:sz w:val="24"/>
        </w:rPr>
        <w:t xml:space="preserve"> to perform this activity could range between</w:t>
      </w:r>
      <w:r>
        <w:rPr>
          <w:sz w:val="24"/>
        </w:rPr>
        <w:t xml:space="preserve"> </w:t>
      </w:r>
      <w:r w:rsidRPr="002370EE">
        <w:rPr>
          <w:sz w:val="24"/>
        </w:rPr>
        <w:t>$</w:t>
      </w:r>
      <w:r w:rsidR="00024A2E">
        <w:rPr>
          <w:sz w:val="24"/>
        </w:rPr>
        <w:t>3,565,000</w:t>
      </w:r>
      <w:r w:rsidRPr="002370EE">
        <w:rPr>
          <w:sz w:val="24"/>
        </w:rPr>
        <w:t xml:space="preserve"> to $</w:t>
      </w:r>
      <w:r w:rsidR="00024A2E">
        <w:rPr>
          <w:sz w:val="24"/>
        </w:rPr>
        <w:t>5,405,000</w:t>
      </w:r>
      <w:r>
        <w:rPr>
          <w:sz w:val="24"/>
        </w:rPr>
        <w:t xml:space="preserve"> and to</w:t>
      </w:r>
      <w:r w:rsidRPr="002370EE">
        <w:rPr>
          <w:sz w:val="24"/>
        </w:rPr>
        <w:t xml:space="preserve">tal incremental burden ranges from </w:t>
      </w:r>
      <w:r w:rsidR="00024A2E">
        <w:rPr>
          <w:sz w:val="24"/>
        </w:rPr>
        <w:t>74,750</w:t>
      </w:r>
      <w:r w:rsidRPr="002370EE">
        <w:rPr>
          <w:sz w:val="24"/>
        </w:rPr>
        <w:t xml:space="preserve"> hours per year to </w:t>
      </w:r>
      <w:r w:rsidR="00024A2E">
        <w:rPr>
          <w:sz w:val="24"/>
        </w:rPr>
        <w:t>112,125</w:t>
      </w:r>
      <w:r w:rsidRPr="002370EE">
        <w:rPr>
          <w:sz w:val="24"/>
        </w:rPr>
        <w:t xml:space="preserve"> hours per year</w:t>
      </w:r>
      <w:r w:rsidR="007E40E2">
        <w:rPr>
          <w:sz w:val="24"/>
        </w:rPr>
        <w:t xml:space="preserve">, based on </w:t>
      </w:r>
      <w:r w:rsidR="003766ED">
        <w:rPr>
          <w:sz w:val="24"/>
        </w:rPr>
        <w:t xml:space="preserve">the </w:t>
      </w:r>
      <w:r w:rsidR="007E40E2" w:rsidRPr="002370EE">
        <w:rPr>
          <w:sz w:val="24"/>
        </w:rPr>
        <w:t>EPA</w:t>
      </w:r>
      <w:r w:rsidR="007E40E2">
        <w:rPr>
          <w:sz w:val="24"/>
        </w:rPr>
        <w:t>’s</w:t>
      </w:r>
      <w:r w:rsidR="007E40E2" w:rsidRPr="002370EE">
        <w:rPr>
          <w:sz w:val="24"/>
        </w:rPr>
        <w:t xml:space="preserve"> estimate that </w:t>
      </w:r>
      <w:r w:rsidR="00024A2E">
        <w:rPr>
          <w:sz w:val="24"/>
        </w:rPr>
        <w:t>575</w:t>
      </w:r>
      <w:r w:rsidR="00024A2E" w:rsidRPr="002370EE">
        <w:rPr>
          <w:sz w:val="24"/>
        </w:rPr>
        <w:t xml:space="preserve"> </w:t>
      </w:r>
      <w:r w:rsidR="007E40E2" w:rsidRPr="002370EE">
        <w:rPr>
          <w:sz w:val="24"/>
        </w:rPr>
        <w:t>additional antidegradation requests may need to be reviewed because states and tribes provide Tier 2 protection for waters with impairment of one parameter</w:t>
      </w:r>
      <w:r>
        <w:rPr>
          <w:sz w:val="24"/>
        </w:rPr>
        <w:t>.</w:t>
      </w:r>
    </w:p>
    <w:p w:rsidR="00BC0EB1" w:rsidRDefault="00BC0EB1" w:rsidP="007473E4">
      <w:pPr>
        <w:keepNext/>
      </w:pPr>
      <w:r w:rsidRPr="00C45E9E">
        <w:rPr>
          <w:rFonts w:ascii="Times New Roman" w:hAnsi="Times New Roman"/>
          <w:b/>
          <w:bCs/>
        </w:rPr>
        <w:t>Variances</w:t>
      </w:r>
    </w:p>
    <w:p w:rsidR="002370EE" w:rsidRPr="002370EE" w:rsidRDefault="002370EE" w:rsidP="002370EE">
      <w:pPr>
        <w:pStyle w:val="BodyText"/>
        <w:ind w:firstLine="720"/>
        <w:rPr>
          <w:sz w:val="24"/>
        </w:rPr>
      </w:pPr>
      <w:r w:rsidRPr="002370EE">
        <w:rPr>
          <w:sz w:val="24"/>
        </w:rPr>
        <w:t xml:space="preserve">The proposed revisions to the WQS regulation may result in </w:t>
      </w:r>
      <w:r w:rsidR="00EC6D76">
        <w:rPr>
          <w:sz w:val="24"/>
        </w:rPr>
        <w:t xml:space="preserve">the following </w:t>
      </w:r>
      <w:r w:rsidRPr="002370EE">
        <w:rPr>
          <w:sz w:val="24"/>
        </w:rPr>
        <w:t>incremental burden and costs associated with an increase in submission requirements for variances and an increase in the number of renewal requests for states and tribes that currently issue varian</w:t>
      </w:r>
      <w:r w:rsidR="00EC6D76">
        <w:rPr>
          <w:sz w:val="24"/>
        </w:rPr>
        <w:t>ces lasting more than 10 years:</w:t>
      </w:r>
    </w:p>
    <w:p w:rsidR="002370EE" w:rsidRPr="002370EE" w:rsidRDefault="002370EE" w:rsidP="007473E4">
      <w:pPr>
        <w:keepNext/>
        <w:ind w:left="720"/>
      </w:pPr>
      <w:r w:rsidRPr="00C45E9E">
        <w:rPr>
          <w:rFonts w:ascii="Times New Roman" w:hAnsi="Times New Roman"/>
          <w:bCs/>
          <w:u w:val="single"/>
        </w:rPr>
        <w:t>Submission Requirements</w:t>
      </w:r>
    </w:p>
    <w:p w:rsidR="00EC6D76" w:rsidRDefault="00EC6D76" w:rsidP="00EC6D76">
      <w:pPr>
        <w:pStyle w:val="BodyText"/>
        <w:numPr>
          <w:ilvl w:val="0"/>
          <w:numId w:val="31"/>
        </w:numPr>
        <w:rPr>
          <w:sz w:val="24"/>
        </w:rPr>
      </w:pPr>
      <w:r>
        <w:rPr>
          <w:sz w:val="24"/>
          <w:szCs w:val="24"/>
        </w:rPr>
        <w:t xml:space="preserve">Incremental effort </w:t>
      </w:r>
      <w:r w:rsidRPr="002370EE">
        <w:rPr>
          <w:sz w:val="24"/>
        </w:rPr>
        <w:t xml:space="preserve">to develop and document a single variance request </w:t>
      </w:r>
      <w:r>
        <w:rPr>
          <w:sz w:val="24"/>
          <w:szCs w:val="24"/>
        </w:rPr>
        <w:t>ranging from</w:t>
      </w:r>
      <w:r w:rsidR="0068775D">
        <w:rPr>
          <w:sz w:val="24"/>
          <w:szCs w:val="24"/>
        </w:rPr>
        <w:t xml:space="preserve"> </w:t>
      </w:r>
      <w:r w:rsidR="0068775D" w:rsidRPr="002370EE">
        <w:rPr>
          <w:sz w:val="24"/>
        </w:rPr>
        <w:t>40 hours (125 hours × 30%) to 45 hours (150 hours × 30%)</w:t>
      </w:r>
      <w:r w:rsidR="0068775D">
        <w:rPr>
          <w:sz w:val="24"/>
        </w:rPr>
        <w:t>, based on</w:t>
      </w:r>
      <w:r w:rsidR="003766ED">
        <w:rPr>
          <w:sz w:val="24"/>
        </w:rPr>
        <w:t xml:space="preserve"> the</w:t>
      </w:r>
      <w:r w:rsidR="0068775D">
        <w:rPr>
          <w:sz w:val="24"/>
        </w:rPr>
        <w:t xml:space="preserve"> EPA’s estimates </w:t>
      </w:r>
      <w:r w:rsidR="0068775D" w:rsidRPr="002370EE">
        <w:rPr>
          <w:sz w:val="24"/>
        </w:rPr>
        <w:t>that the development and documentation of a single variance request currently requires an average of approximately 125 to 150 labor hours</w:t>
      </w:r>
      <w:r w:rsidR="0068775D">
        <w:rPr>
          <w:sz w:val="24"/>
        </w:rPr>
        <w:t xml:space="preserve"> and that </w:t>
      </w:r>
      <w:r w:rsidR="00731DC1">
        <w:rPr>
          <w:sz w:val="24"/>
        </w:rPr>
        <w:t xml:space="preserve">including </w:t>
      </w:r>
      <w:r w:rsidR="0068775D" w:rsidRPr="002370EE">
        <w:rPr>
          <w:sz w:val="24"/>
        </w:rPr>
        <w:t>the information and documentation described in the proposed rule would increase the labor hours required to fully develop and document variance requests by approximately 30%.</w:t>
      </w:r>
    </w:p>
    <w:p w:rsidR="002370EE" w:rsidRDefault="0068775D" w:rsidP="00EC6D76">
      <w:pPr>
        <w:pStyle w:val="BodyText"/>
        <w:numPr>
          <w:ilvl w:val="0"/>
          <w:numId w:val="31"/>
        </w:numPr>
        <w:rPr>
          <w:sz w:val="24"/>
        </w:rPr>
      </w:pPr>
      <w:r>
        <w:rPr>
          <w:sz w:val="24"/>
          <w:szCs w:val="24"/>
        </w:rPr>
        <w:t xml:space="preserve">Incremental per variance costs ranging from </w:t>
      </w:r>
      <w:r w:rsidRPr="002370EE">
        <w:rPr>
          <w:sz w:val="24"/>
        </w:rPr>
        <w:t>$</w:t>
      </w:r>
      <w:r w:rsidR="00CC0E0B">
        <w:rPr>
          <w:sz w:val="24"/>
        </w:rPr>
        <w:t>1,900</w:t>
      </w:r>
      <w:r w:rsidRPr="002370EE">
        <w:rPr>
          <w:sz w:val="24"/>
        </w:rPr>
        <w:t xml:space="preserve"> (40 hours per variance </w:t>
      </w:r>
      <w:r w:rsidRPr="002370EE">
        <w:rPr>
          <w:sz w:val="24"/>
        </w:rPr>
        <w:sym w:font="Wingdings 2" w:char="F0CD"/>
      </w:r>
      <w:r w:rsidRPr="002370EE">
        <w:rPr>
          <w:sz w:val="24"/>
        </w:rPr>
        <w:t xml:space="preserve"> $</w:t>
      </w:r>
      <w:r w:rsidR="00CC0E0B">
        <w:rPr>
          <w:sz w:val="24"/>
        </w:rPr>
        <w:t>48</w:t>
      </w:r>
      <w:r w:rsidR="00CC0E0B" w:rsidRPr="002370EE">
        <w:rPr>
          <w:sz w:val="24"/>
        </w:rPr>
        <w:t xml:space="preserve"> </w:t>
      </w:r>
      <w:r w:rsidRPr="002370EE">
        <w:rPr>
          <w:sz w:val="24"/>
        </w:rPr>
        <w:t>per hour) to $</w:t>
      </w:r>
      <w:r w:rsidR="00CC0E0B">
        <w:rPr>
          <w:sz w:val="24"/>
        </w:rPr>
        <w:t>2,200</w:t>
      </w:r>
      <w:r w:rsidRPr="002370EE">
        <w:rPr>
          <w:sz w:val="24"/>
        </w:rPr>
        <w:t xml:space="preserve"> (45 hours per variance </w:t>
      </w:r>
      <w:r w:rsidRPr="002370EE">
        <w:rPr>
          <w:sz w:val="24"/>
        </w:rPr>
        <w:sym w:font="Wingdings 2" w:char="F0CD"/>
      </w:r>
      <w:r w:rsidRPr="002370EE">
        <w:rPr>
          <w:sz w:val="24"/>
        </w:rPr>
        <w:t xml:space="preserve"> $</w:t>
      </w:r>
      <w:r w:rsidR="00CC0E0B">
        <w:rPr>
          <w:sz w:val="24"/>
        </w:rPr>
        <w:t>48</w:t>
      </w:r>
      <w:r w:rsidR="00CC0E0B" w:rsidRPr="002370EE">
        <w:rPr>
          <w:sz w:val="24"/>
        </w:rPr>
        <w:t xml:space="preserve"> </w:t>
      </w:r>
      <w:r w:rsidRPr="002370EE">
        <w:rPr>
          <w:sz w:val="24"/>
        </w:rPr>
        <w:t>per hour).</w:t>
      </w:r>
    </w:p>
    <w:p w:rsidR="002E062B" w:rsidRDefault="002E062B" w:rsidP="002E062B">
      <w:pPr>
        <w:pStyle w:val="BodyText"/>
        <w:numPr>
          <w:ilvl w:val="0"/>
          <w:numId w:val="31"/>
        </w:numPr>
        <w:rPr>
          <w:sz w:val="24"/>
        </w:rPr>
      </w:pPr>
      <w:r>
        <w:rPr>
          <w:sz w:val="24"/>
        </w:rPr>
        <w:t>T</w:t>
      </w:r>
      <w:r w:rsidRPr="002370EE">
        <w:rPr>
          <w:sz w:val="24"/>
        </w:rPr>
        <w:t xml:space="preserve">otal incremental burden </w:t>
      </w:r>
      <w:r>
        <w:rPr>
          <w:sz w:val="24"/>
        </w:rPr>
        <w:t>ranging from approximately</w:t>
      </w:r>
      <w:r w:rsidRPr="002370EE">
        <w:rPr>
          <w:sz w:val="24"/>
        </w:rPr>
        <w:t xml:space="preserve"> 2,640 hours per year (40 hours per variance × 3 variances per year × 22 states and tribes) to 2,970 hours per year (45 hours per variance × 3 variances pe</w:t>
      </w:r>
      <w:r>
        <w:rPr>
          <w:sz w:val="24"/>
        </w:rPr>
        <w:t xml:space="preserve">r year × 22 states and tribes), based on </w:t>
      </w:r>
      <w:r w:rsidR="003766ED">
        <w:rPr>
          <w:sz w:val="24"/>
        </w:rPr>
        <w:t xml:space="preserve">the </w:t>
      </w:r>
      <w:r>
        <w:rPr>
          <w:sz w:val="24"/>
        </w:rPr>
        <w:t xml:space="preserve">EPA’s estimate that </w:t>
      </w:r>
      <w:r w:rsidRPr="002370EE">
        <w:rPr>
          <w:sz w:val="24"/>
        </w:rPr>
        <w:t xml:space="preserve">states and tribes review on average approximately 3 variance requests from dischargers per year prior to submitting them to </w:t>
      </w:r>
      <w:r w:rsidR="003766ED">
        <w:rPr>
          <w:sz w:val="24"/>
        </w:rPr>
        <w:t xml:space="preserve">the </w:t>
      </w:r>
      <w:r w:rsidRPr="002370EE">
        <w:rPr>
          <w:sz w:val="24"/>
        </w:rPr>
        <w:t>EPA for approval or disapproval as a WQS</w:t>
      </w:r>
      <w:r>
        <w:rPr>
          <w:sz w:val="24"/>
        </w:rPr>
        <w:t xml:space="preserve"> and</w:t>
      </w:r>
      <w:r w:rsidRPr="002370EE">
        <w:rPr>
          <w:sz w:val="24"/>
        </w:rPr>
        <w:t xml:space="preserve"> that approximately 22 states and tribes do not currently fulfill all of the submission requirements</w:t>
      </w:r>
      <w:r>
        <w:rPr>
          <w:sz w:val="24"/>
        </w:rPr>
        <w:t xml:space="preserve"> specified in the proposed rule.</w:t>
      </w:r>
    </w:p>
    <w:p w:rsidR="0068775D" w:rsidRPr="002370EE" w:rsidRDefault="0068775D" w:rsidP="00EC6D76">
      <w:pPr>
        <w:pStyle w:val="BodyText"/>
        <w:numPr>
          <w:ilvl w:val="0"/>
          <w:numId w:val="31"/>
        </w:numPr>
        <w:rPr>
          <w:sz w:val="24"/>
        </w:rPr>
      </w:pPr>
      <w:r>
        <w:rPr>
          <w:sz w:val="24"/>
        </w:rPr>
        <w:t>T</w:t>
      </w:r>
      <w:r w:rsidRPr="002370EE">
        <w:rPr>
          <w:sz w:val="24"/>
        </w:rPr>
        <w:t xml:space="preserve">otal </w:t>
      </w:r>
      <w:r>
        <w:rPr>
          <w:sz w:val="24"/>
        </w:rPr>
        <w:t xml:space="preserve">annual </w:t>
      </w:r>
      <w:r w:rsidRPr="002370EE">
        <w:rPr>
          <w:sz w:val="24"/>
        </w:rPr>
        <w:t xml:space="preserve">incremental </w:t>
      </w:r>
      <w:r>
        <w:rPr>
          <w:sz w:val="24"/>
        </w:rPr>
        <w:t>costs</w:t>
      </w:r>
      <w:r w:rsidRPr="002370EE">
        <w:rPr>
          <w:sz w:val="24"/>
        </w:rPr>
        <w:t xml:space="preserve"> </w:t>
      </w:r>
      <w:r>
        <w:rPr>
          <w:sz w:val="24"/>
        </w:rPr>
        <w:t>ranging</w:t>
      </w:r>
      <w:r w:rsidRPr="002370EE">
        <w:rPr>
          <w:sz w:val="24"/>
        </w:rPr>
        <w:t xml:space="preserve"> between</w:t>
      </w:r>
      <w:r>
        <w:rPr>
          <w:sz w:val="24"/>
        </w:rPr>
        <w:t xml:space="preserve"> </w:t>
      </w:r>
      <w:r w:rsidR="00824DD3" w:rsidRPr="002370EE">
        <w:rPr>
          <w:sz w:val="24"/>
        </w:rPr>
        <w:t>$</w:t>
      </w:r>
      <w:r w:rsidR="00CC0E0B">
        <w:rPr>
          <w:sz w:val="24"/>
        </w:rPr>
        <w:t>125,400</w:t>
      </w:r>
      <w:r w:rsidR="00824DD3" w:rsidRPr="002370EE">
        <w:rPr>
          <w:sz w:val="24"/>
        </w:rPr>
        <w:t xml:space="preserve"> per year ($</w:t>
      </w:r>
      <w:r w:rsidR="00CC0E0B">
        <w:rPr>
          <w:sz w:val="24"/>
        </w:rPr>
        <w:t>1,900</w:t>
      </w:r>
      <w:r w:rsidR="00824DD3" w:rsidRPr="002370EE">
        <w:rPr>
          <w:sz w:val="24"/>
        </w:rPr>
        <w:t xml:space="preserve"> per variance × 3 variances per year × 22 states and tribes) to $</w:t>
      </w:r>
      <w:r w:rsidR="00CC0E0B">
        <w:rPr>
          <w:sz w:val="24"/>
        </w:rPr>
        <w:t>145,200</w:t>
      </w:r>
      <w:r w:rsidR="00824DD3" w:rsidRPr="002370EE">
        <w:rPr>
          <w:sz w:val="24"/>
        </w:rPr>
        <w:t xml:space="preserve"> per year ($</w:t>
      </w:r>
      <w:r w:rsidR="00CC0E0B">
        <w:rPr>
          <w:sz w:val="24"/>
        </w:rPr>
        <w:t>2,200</w:t>
      </w:r>
      <w:r w:rsidR="00824DD3" w:rsidRPr="002370EE">
        <w:rPr>
          <w:sz w:val="24"/>
        </w:rPr>
        <w:t xml:space="preserve"> per variance × 3 variances per year × 22 states and tribes)</w:t>
      </w:r>
      <w:r w:rsidR="00824DD3">
        <w:rPr>
          <w:sz w:val="24"/>
        </w:rPr>
        <w:t>.</w:t>
      </w:r>
    </w:p>
    <w:p w:rsidR="002370EE" w:rsidRPr="002370EE" w:rsidRDefault="002370EE" w:rsidP="007473E4">
      <w:pPr>
        <w:keepNext/>
        <w:ind w:left="720"/>
      </w:pPr>
      <w:r w:rsidRPr="00C45E9E">
        <w:rPr>
          <w:rFonts w:ascii="Times New Roman" w:hAnsi="Times New Roman"/>
          <w:bCs/>
          <w:u w:val="single"/>
        </w:rPr>
        <w:t>Renewals</w:t>
      </w:r>
    </w:p>
    <w:p w:rsidR="00687355" w:rsidRDefault="00687355" w:rsidP="00687355">
      <w:pPr>
        <w:pStyle w:val="BodyText"/>
        <w:numPr>
          <w:ilvl w:val="0"/>
          <w:numId w:val="32"/>
        </w:numPr>
        <w:rPr>
          <w:sz w:val="24"/>
        </w:rPr>
      </w:pPr>
      <w:r>
        <w:rPr>
          <w:sz w:val="24"/>
          <w:szCs w:val="24"/>
        </w:rPr>
        <w:t xml:space="preserve">Incremental effort </w:t>
      </w:r>
      <w:r w:rsidRPr="002370EE">
        <w:rPr>
          <w:sz w:val="24"/>
        </w:rPr>
        <w:t xml:space="preserve">to review a renewal application </w:t>
      </w:r>
      <w:r>
        <w:rPr>
          <w:sz w:val="24"/>
          <w:szCs w:val="24"/>
        </w:rPr>
        <w:t xml:space="preserve">ranging from </w:t>
      </w:r>
      <w:r w:rsidRPr="002370EE">
        <w:rPr>
          <w:sz w:val="24"/>
        </w:rPr>
        <w:t>165 hours (125 hours + (125 hours × 30%)) to 195 hours (150 hours + (150 hours × 30%))</w:t>
      </w:r>
      <w:r>
        <w:rPr>
          <w:sz w:val="24"/>
        </w:rPr>
        <w:t xml:space="preserve">, assuming that </w:t>
      </w:r>
      <w:r w:rsidRPr="002370EE">
        <w:rPr>
          <w:sz w:val="24"/>
        </w:rPr>
        <w:t xml:space="preserve">the labor hours needed to review a renewal application are the same </w:t>
      </w:r>
      <w:r w:rsidRPr="002370EE">
        <w:rPr>
          <w:sz w:val="24"/>
        </w:rPr>
        <w:lastRenderedPageBreak/>
        <w:t>as the labor hours required to review a new variance application that satisfies the new submission requirements.</w:t>
      </w:r>
    </w:p>
    <w:p w:rsidR="00687355" w:rsidRPr="005E43A9" w:rsidRDefault="00687355" w:rsidP="00687355">
      <w:pPr>
        <w:pStyle w:val="BodyText"/>
        <w:numPr>
          <w:ilvl w:val="0"/>
          <w:numId w:val="32"/>
        </w:numPr>
        <w:rPr>
          <w:sz w:val="24"/>
        </w:rPr>
      </w:pPr>
      <w:r>
        <w:rPr>
          <w:sz w:val="24"/>
          <w:szCs w:val="24"/>
        </w:rPr>
        <w:t xml:space="preserve">Incremental per renewal costs ranging from </w:t>
      </w:r>
      <w:r w:rsidR="005E43A9">
        <w:rPr>
          <w:sz w:val="24"/>
          <w:szCs w:val="24"/>
        </w:rPr>
        <w:t>approximately $</w:t>
      </w:r>
      <w:r w:rsidR="00CC0E0B">
        <w:rPr>
          <w:sz w:val="24"/>
          <w:szCs w:val="24"/>
        </w:rPr>
        <w:t>7,900</w:t>
      </w:r>
      <w:r w:rsidR="005E43A9">
        <w:rPr>
          <w:sz w:val="24"/>
          <w:szCs w:val="24"/>
        </w:rPr>
        <w:t xml:space="preserve"> (165 </w:t>
      </w:r>
      <w:r w:rsidR="005E43A9" w:rsidRPr="002370EE">
        <w:rPr>
          <w:sz w:val="24"/>
        </w:rPr>
        <w:sym w:font="Wingdings 2" w:char="F0CD"/>
      </w:r>
      <w:r w:rsidR="005E43A9" w:rsidRPr="002370EE">
        <w:rPr>
          <w:sz w:val="24"/>
        </w:rPr>
        <w:t xml:space="preserve"> $</w:t>
      </w:r>
      <w:r w:rsidR="00CC0E0B">
        <w:rPr>
          <w:sz w:val="24"/>
        </w:rPr>
        <w:t>48</w:t>
      </w:r>
      <w:r w:rsidR="00CC0E0B" w:rsidRPr="002370EE">
        <w:rPr>
          <w:sz w:val="24"/>
        </w:rPr>
        <w:t xml:space="preserve"> </w:t>
      </w:r>
      <w:r w:rsidR="005E43A9" w:rsidRPr="002370EE">
        <w:rPr>
          <w:sz w:val="24"/>
        </w:rPr>
        <w:t>per hour</w:t>
      </w:r>
      <w:r w:rsidR="005E43A9">
        <w:rPr>
          <w:sz w:val="24"/>
          <w:szCs w:val="24"/>
        </w:rPr>
        <w:t>) to $</w:t>
      </w:r>
      <w:r w:rsidR="00CC0E0B">
        <w:rPr>
          <w:sz w:val="24"/>
          <w:szCs w:val="24"/>
        </w:rPr>
        <w:t>9,400</w:t>
      </w:r>
      <w:r w:rsidR="005E43A9">
        <w:rPr>
          <w:sz w:val="24"/>
          <w:szCs w:val="24"/>
        </w:rPr>
        <w:t xml:space="preserve"> (195 </w:t>
      </w:r>
      <w:r w:rsidR="005E43A9" w:rsidRPr="002370EE">
        <w:rPr>
          <w:sz w:val="24"/>
        </w:rPr>
        <w:sym w:font="Wingdings 2" w:char="F0CD"/>
      </w:r>
      <w:r w:rsidR="005E43A9" w:rsidRPr="002370EE">
        <w:rPr>
          <w:sz w:val="24"/>
        </w:rPr>
        <w:t xml:space="preserve"> $</w:t>
      </w:r>
      <w:r w:rsidR="00CC0E0B">
        <w:rPr>
          <w:sz w:val="24"/>
        </w:rPr>
        <w:t>48</w:t>
      </w:r>
      <w:r w:rsidR="00CC0E0B" w:rsidRPr="002370EE">
        <w:rPr>
          <w:sz w:val="24"/>
        </w:rPr>
        <w:t xml:space="preserve"> </w:t>
      </w:r>
      <w:r w:rsidR="005E43A9" w:rsidRPr="002370EE">
        <w:rPr>
          <w:sz w:val="24"/>
        </w:rPr>
        <w:t>per hour</w:t>
      </w:r>
      <w:r w:rsidR="005E43A9">
        <w:rPr>
          <w:sz w:val="24"/>
          <w:szCs w:val="24"/>
        </w:rPr>
        <w:t>).</w:t>
      </w:r>
    </w:p>
    <w:p w:rsidR="005B2276" w:rsidRDefault="005B2276" w:rsidP="005B2276">
      <w:pPr>
        <w:pStyle w:val="BodyText"/>
        <w:numPr>
          <w:ilvl w:val="0"/>
          <w:numId w:val="32"/>
        </w:numPr>
        <w:rPr>
          <w:sz w:val="24"/>
        </w:rPr>
      </w:pPr>
      <w:r>
        <w:rPr>
          <w:sz w:val="24"/>
        </w:rPr>
        <w:t xml:space="preserve">Potentially affected entities including </w:t>
      </w:r>
      <w:r w:rsidRPr="002370EE">
        <w:rPr>
          <w:sz w:val="24"/>
        </w:rPr>
        <w:t xml:space="preserve">4 states and tribes </w:t>
      </w:r>
      <w:r w:rsidR="0045256B">
        <w:rPr>
          <w:sz w:val="24"/>
        </w:rPr>
        <w:t xml:space="preserve">that </w:t>
      </w:r>
      <w:r w:rsidRPr="002370EE">
        <w:rPr>
          <w:sz w:val="24"/>
        </w:rPr>
        <w:t>at least occasionally issue variances with a duration longer than 10 years</w:t>
      </w:r>
      <w:r>
        <w:rPr>
          <w:sz w:val="24"/>
        </w:rPr>
        <w:t>. Assuming</w:t>
      </w:r>
      <w:r w:rsidRPr="002370EE">
        <w:rPr>
          <w:sz w:val="24"/>
        </w:rPr>
        <w:t xml:space="preserve"> that these 4 states and tribes will begin granting variances with a duration of 10 years</w:t>
      </w:r>
      <w:r>
        <w:rPr>
          <w:sz w:val="24"/>
        </w:rPr>
        <w:t xml:space="preserve"> and estimating</w:t>
      </w:r>
      <w:r w:rsidRPr="002370EE">
        <w:rPr>
          <w:sz w:val="24"/>
        </w:rPr>
        <w:t xml:space="preserve"> that these states and tribes will review on average approximately 3 variance renewal requests per year, </w:t>
      </w:r>
      <w:r w:rsidR="003766ED">
        <w:rPr>
          <w:sz w:val="24"/>
        </w:rPr>
        <w:t xml:space="preserve">the </w:t>
      </w:r>
      <w:r w:rsidRPr="002370EE">
        <w:rPr>
          <w:sz w:val="24"/>
        </w:rPr>
        <w:t xml:space="preserve">EPA estimates that </w:t>
      </w:r>
      <w:r>
        <w:rPr>
          <w:sz w:val="24"/>
        </w:rPr>
        <w:t>the affected</w:t>
      </w:r>
      <w:r w:rsidRPr="002370EE">
        <w:rPr>
          <w:sz w:val="24"/>
        </w:rPr>
        <w:t xml:space="preserve"> states and tribes will potentially need to review </w:t>
      </w:r>
      <w:r>
        <w:rPr>
          <w:sz w:val="24"/>
        </w:rPr>
        <w:t>a total of</w:t>
      </w:r>
      <w:r w:rsidRPr="002370EE">
        <w:rPr>
          <w:sz w:val="24"/>
        </w:rPr>
        <w:t xml:space="preserve"> 12 </w:t>
      </w:r>
      <w:r>
        <w:rPr>
          <w:sz w:val="24"/>
        </w:rPr>
        <w:t xml:space="preserve">additional </w:t>
      </w:r>
      <w:r w:rsidRPr="002370EE">
        <w:rPr>
          <w:sz w:val="24"/>
        </w:rPr>
        <w:t>variance renewal applications per year (3 variance renewal requests per state per year × 4 states).</w:t>
      </w:r>
    </w:p>
    <w:p w:rsidR="0045256B" w:rsidRDefault="0045256B" w:rsidP="0045256B">
      <w:pPr>
        <w:pStyle w:val="BodyText"/>
        <w:numPr>
          <w:ilvl w:val="0"/>
          <w:numId w:val="32"/>
        </w:numPr>
        <w:rPr>
          <w:sz w:val="24"/>
        </w:rPr>
      </w:pPr>
      <w:r>
        <w:rPr>
          <w:sz w:val="24"/>
        </w:rPr>
        <w:t>T</w:t>
      </w:r>
      <w:r w:rsidRPr="002370EE">
        <w:rPr>
          <w:sz w:val="24"/>
        </w:rPr>
        <w:t xml:space="preserve">otal </w:t>
      </w:r>
      <w:r w:rsidR="005F4AE1">
        <w:rPr>
          <w:sz w:val="24"/>
        </w:rPr>
        <w:t xml:space="preserve">annual </w:t>
      </w:r>
      <w:r w:rsidRPr="002370EE">
        <w:rPr>
          <w:sz w:val="24"/>
        </w:rPr>
        <w:t xml:space="preserve">incremental burden </w:t>
      </w:r>
      <w:r>
        <w:rPr>
          <w:sz w:val="24"/>
        </w:rPr>
        <w:t>ranging from</w:t>
      </w:r>
      <w:r w:rsidRPr="002370EE">
        <w:rPr>
          <w:sz w:val="24"/>
        </w:rPr>
        <w:t xml:space="preserve"> approximately </w:t>
      </w:r>
      <w:r w:rsidR="00CC0E0B">
        <w:rPr>
          <w:sz w:val="24"/>
        </w:rPr>
        <w:t>1,980</w:t>
      </w:r>
      <w:r w:rsidRPr="002370EE">
        <w:rPr>
          <w:sz w:val="24"/>
        </w:rPr>
        <w:t xml:space="preserve"> hours per year (165 hours per variance × 12 variance renewals) to </w:t>
      </w:r>
      <w:r w:rsidR="00CC0E0B">
        <w:rPr>
          <w:sz w:val="24"/>
        </w:rPr>
        <w:t>2,340</w:t>
      </w:r>
      <w:r w:rsidRPr="002370EE">
        <w:rPr>
          <w:sz w:val="24"/>
        </w:rPr>
        <w:t xml:space="preserve"> hours per year (195 hours per variance × 12 variance renewals).</w:t>
      </w:r>
    </w:p>
    <w:p w:rsidR="00244975" w:rsidRDefault="00244975" w:rsidP="00244975">
      <w:pPr>
        <w:pStyle w:val="BodyText"/>
        <w:numPr>
          <w:ilvl w:val="0"/>
          <w:numId w:val="32"/>
        </w:numPr>
        <w:rPr>
          <w:sz w:val="24"/>
        </w:rPr>
      </w:pPr>
      <w:r>
        <w:rPr>
          <w:sz w:val="24"/>
        </w:rPr>
        <w:t>T</w:t>
      </w:r>
      <w:r w:rsidRPr="002370EE">
        <w:rPr>
          <w:sz w:val="24"/>
        </w:rPr>
        <w:t xml:space="preserve">otal </w:t>
      </w:r>
      <w:r>
        <w:rPr>
          <w:sz w:val="24"/>
        </w:rPr>
        <w:t xml:space="preserve">annual </w:t>
      </w:r>
      <w:r w:rsidRPr="002370EE">
        <w:rPr>
          <w:sz w:val="24"/>
        </w:rPr>
        <w:t xml:space="preserve">incremental </w:t>
      </w:r>
      <w:r>
        <w:rPr>
          <w:sz w:val="24"/>
        </w:rPr>
        <w:t>costs</w:t>
      </w:r>
      <w:r w:rsidRPr="002370EE">
        <w:rPr>
          <w:sz w:val="24"/>
        </w:rPr>
        <w:t xml:space="preserve"> </w:t>
      </w:r>
      <w:r>
        <w:rPr>
          <w:sz w:val="24"/>
        </w:rPr>
        <w:t>ranging</w:t>
      </w:r>
      <w:r w:rsidRPr="002370EE">
        <w:rPr>
          <w:sz w:val="24"/>
        </w:rPr>
        <w:t xml:space="preserve"> between</w:t>
      </w:r>
      <w:r w:rsidRPr="00D10B55">
        <w:rPr>
          <w:sz w:val="24"/>
        </w:rPr>
        <w:t xml:space="preserve"> </w:t>
      </w:r>
      <w:r w:rsidRPr="002370EE">
        <w:rPr>
          <w:sz w:val="24"/>
        </w:rPr>
        <w:t>approximately $</w:t>
      </w:r>
      <w:r w:rsidR="00CC0E0B">
        <w:rPr>
          <w:sz w:val="24"/>
        </w:rPr>
        <w:t>95,200</w:t>
      </w:r>
      <w:r>
        <w:rPr>
          <w:sz w:val="24"/>
        </w:rPr>
        <w:t xml:space="preserve"> (</w:t>
      </w:r>
      <w:r w:rsidRPr="002370EE">
        <w:rPr>
          <w:sz w:val="24"/>
        </w:rPr>
        <w:t>165 hours per variance × 12 variance renewals</w:t>
      </w:r>
      <w:r>
        <w:rPr>
          <w:sz w:val="24"/>
        </w:rPr>
        <w:t xml:space="preserve"> </w:t>
      </w:r>
      <w:r w:rsidRPr="002370EE">
        <w:rPr>
          <w:sz w:val="24"/>
        </w:rPr>
        <w:t>× </w:t>
      </w:r>
      <w:r>
        <w:rPr>
          <w:sz w:val="24"/>
        </w:rPr>
        <w:t>$</w:t>
      </w:r>
      <w:r w:rsidR="00CC0E0B">
        <w:rPr>
          <w:sz w:val="24"/>
        </w:rPr>
        <w:t>48</w:t>
      </w:r>
      <w:r>
        <w:rPr>
          <w:sz w:val="24"/>
        </w:rPr>
        <w:t>/hour) per year to $</w:t>
      </w:r>
      <w:r w:rsidR="00CC0E0B">
        <w:rPr>
          <w:sz w:val="24"/>
        </w:rPr>
        <w:t>112,400</w:t>
      </w:r>
      <w:r>
        <w:rPr>
          <w:sz w:val="24"/>
        </w:rPr>
        <w:t xml:space="preserve"> (</w:t>
      </w:r>
      <w:r w:rsidRPr="002370EE">
        <w:rPr>
          <w:sz w:val="24"/>
        </w:rPr>
        <w:t>195 hours per variance × 12 variance renewals × </w:t>
      </w:r>
      <w:r>
        <w:rPr>
          <w:sz w:val="24"/>
        </w:rPr>
        <w:t>$</w:t>
      </w:r>
      <w:r w:rsidR="00CC0E0B">
        <w:rPr>
          <w:sz w:val="24"/>
        </w:rPr>
        <w:t>48</w:t>
      </w:r>
      <w:r>
        <w:rPr>
          <w:sz w:val="24"/>
        </w:rPr>
        <w:t>/hour) per year.</w:t>
      </w:r>
    </w:p>
    <w:p w:rsidR="007212B5" w:rsidRDefault="007212B5" w:rsidP="00704F82">
      <w:pPr>
        <w:pStyle w:val="Heading3"/>
        <w:numPr>
          <w:ilvl w:val="2"/>
          <w:numId w:val="13"/>
        </w:numPr>
      </w:pPr>
      <w:bookmarkStart w:id="35" w:name="_Toc361990623"/>
      <w:r w:rsidRPr="007212B5">
        <w:t xml:space="preserve">Summary of </w:t>
      </w:r>
      <w:r w:rsidR="003730FD">
        <w:t>National</w:t>
      </w:r>
      <w:r w:rsidRPr="007212B5">
        <w:t xml:space="preserve"> Incremental Burdens and Costs</w:t>
      </w:r>
      <w:bookmarkEnd w:id="35"/>
    </w:p>
    <w:p w:rsidR="001E681D" w:rsidRDefault="005F4AE1" w:rsidP="00826119">
      <w:pPr>
        <w:pStyle w:val="BodyText"/>
        <w:tabs>
          <w:tab w:val="left" w:pos="8910"/>
        </w:tabs>
        <w:ind w:firstLine="720"/>
        <w:rPr>
          <w:sz w:val="24"/>
          <w:szCs w:val="24"/>
        </w:rPr>
      </w:pPr>
      <w:r>
        <w:rPr>
          <w:sz w:val="24"/>
          <w:szCs w:val="24"/>
        </w:rPr>
        <w:t xml:space="preserve">Thus, summing the total incremental burden across all provisions, the total one-time </w:t>
      </w:r>
      <w:r w:rsidR="00AC63D2">
        <w:rPr>
          <w:sz w:val="24"/>
          <w:szCs w:val="24"/>
        </w:rPr>
        <w:t xml:space="preserve">(nonrecurring) </w:t>
      </w:r>
      <w:r>
        <w:rPr>
          <w:sz w:val="24"/>
          <w:szCs w:val="24"/>
        </w:rPr>
        <w:t xml:space="preserve">burden associated with the proposed rule ranges from </w:t>
      </w:r>
      <w:r w:rsidR="00932B55">
        <w:rPr>
          <w:sz w:val="24"/>
          <w:szCs w:val="24"/>
        </w:rPr>
        <w:t>9,500</w:t>
      </w:r>
      <w:r>
        <w:rPr>
          <w:sz w:val="24"/>
          <w:szCs w:val="24"/>
        </w:rPr>
        <w:t xml:space="preserve"> hours to </w:t>
      </w:r>
      <w:r w:rsidR="00932B55">
        <w:rPr>
          <w:sz w:val="24"/>
          <w:szCs w:val="24"/>
        </w:rPr>
        <w:t>47,500</w:t>
      </w:r>
      <w:r w:rsidR="00AC63D2">
        <w:rPr>
          <w:sz w:val="24"/>
          <w:szCs w:val="24"/>
        </w:rPr>
        <w:t xml:space="preserve"> hours and the total annual (recurring) burden ranges from </w:t>
      </w:r>
      <w:r w:rsidR="00681F56">
        <w:rPr>
          <w:sz w:val="24"/>
          <w:szCs w:val="24"/>
        </w:rPr>
        <w:t>101,930</w:t>
      </w:r>
      <w:r w:rsidR="00AC63D2">
        <w:rPr>
          <w:sz w:val="24"/>
          <w:szCs w:val="24"/>
        </w:rPr>
        <w:t xml:space="preserve"> hours to </w:t>
      </w:r>
      <w:r w:rsidR="00681F56">
        <w:rPr>
          <w:sz w:val="24"/>
          <w:szCs w:val="24"/>
        </w:rPr>
        <w:t>152,115</w:t>
      </w:r>
      <w:r w:rsidR="00AC63D2">
        <w:rPr>
          <w:sz w:val="24"/>
          <w:szCs w:val="24"/>
        </w:rPr>
        <w:t xml:space="preserve"> hours</w:t>
      </w:r>
      <w:r w:rsidR="00D61A55" w:rsidRPr="00F13C69">
        <w:rPr>
          <w:sz w:val="24"/>
        </w:rPr>
        <w:t>.</w:t>
      </w:r>
      <w:r>
        <w:rPr>
          <w:sz w:val="24"/>
        </w:rPr>
        <w:t xml:space="preserve"> </w:t>
      </w:r>
      <w:r w:rsidR="00AC63D2">
        <w:rPr>
          <w:sz w:val="24"/>
        </w:rPr>
        <w:t>Similarly, t</w:t>
      </w:r>
      <w:r>
        <w:rPr>
          <w:sz w:val="24"/>
        </w:rPr>
        <w:t xml:space="preserve">he total </w:t>
      </w:r>
      <w:r w:rsidR="00943C8E">
        <w:rPr>
          <w:sz w:val="24"/>
        </w:rPr>
        <w:t xml:space="preserve">one-time </w:t>
      </w:r>
      <w:r>
        <w:rPr>
          <w:sz w:val="24"/>
        </w:rPr>
        <w:t>incremental costs</w:t>
      </w:r>
      <w:r w:rsidR="00AC63D2">
        <w:rPr>
          <w:sz w:val="24"/>
        </w:rPr>
        <w:t xml:space="preserve"> for all provisions are between $</w:t>
      </w:r>
      <w:r w:rsidR="00932B55">
        <w:rPr>
          <w:sz w:val="24"/>
        </w:rPr>
        <w:t>0.46</w:t>
      </w:r>
      <w:r w:rsidR="00AC63D2">
        <w:rPr>
          <w:sz w:val="24"/>
        </w:rPr>
        <w:t xml:space="preserve"> million and $</w:t>
      </w:r>
      <w:r w:rsidR="00932B55">
        <w:rPr>
          <w:sz w:val="24"/>
        </w:rPr>
        <w:t>2.28</w:t>
      </w:r>
      <w:r w:rsidR="00AC63D2">
        <w:rPr>
          <w:sz w:val="24"/>
        </w:rPr>
        <w:t xml:space="preserve"> million, while the total </w:t>
      </w:r>
      <w:r w:rsidR="00943C8E">
        <w:rPr>
          <w:sz w:val="24"/>
        </w:rPr>
        <w:t xml:space="preserve">annual </w:t>
      </w:r>
      <w:r w:rsidR="00AC63D2">
        <w:rPr>
          <w:sz w:val="24"/>
        </w:rPr>
        <w:t xml:space="preserve">incremental </w:t>
      </w:r>
      <w:r w:rsidR="00943C8E">
        <w:rPr>
          <w:sz w:val="24"/>
        </w:rPr>
        <w:t>costs range from $</w:t>
      </w:r>
      <w:r w:rsidR="00681F56">
        <w:rPr>
          <w:sz w:val="24"/>
        </w:rPr>
        <w:t>4.84</w:t>
      </w:r>
      <w:r w:rsidR="00943C8E">
        <w:rPr>
          <w:sz w:val="24"/>
        </w:rPr>
        <w:t xml:space="preserve"> million to $</w:t>
      </w:r>
      <w:r w:rsidR="00681F56">
        <w:rPr>
          <w:sz w:val="24"/>
        </w:rPr>
        <w:t>7.36</w:t>
      </w:r>
      <w:r w:rsidR="00943C8E">
        <w:rPr>
          <w:sz w:val="24"/>
        </w:rPr>
        <w:t xml:space="preserve"> million.</w:t>
      </w:r>
      <w:r w:rsidR="004D6680">
        <w:rPr>
          <w:sz w:val="24"/>
        </w:rPr>
        <w:t xml:space="preserve"> </w:t>
      </w:r>
      <w:r w:rsidR="00D85E8C">
        <w:fldChar w:fldCharType="begin"/>
      </w:r>
      <w:r w:rsidR="00D85E8C">
        <w:instrText xml:space="preserve"> REF _Ref301789340 \h  \* MERGEFORMAT </w:instrText>
      </w:r>
      <w:r w:rsidR="00D85E8C">
        <w:fldChar w:fldCharType="separate"/>
      </w:r>
      <w:r w:rsidR="00826119" w:rsidRPr="00826119">
        <w:rPr>
          <w:sz w:val="24"/>
          <w:szCs w:val="24"/>
        </w:rPr>
        <w:t>Table 6</w:t>
      </w:r>
      <w:r w:rsidR="00826119" w:rsidRPr="00826119">
        <w:rPr>
          <w:sz w:val="24"/>
          <w:szCs w:val="24"/>
        </w:rPr>
        <w:noBreakHyphen/>
        <w:t>2</w:t>
      </w:r>
      <w:r w:rsidR="00D85E8C">
        <w:fldChar w:fldCharType="end"/>
      </w:r>
      <w:r w:rsidR="001E681D" w:rsidRPr="009A3117">
        <w:rPr>
          <w:sz w:val="24"/>
          <w:szCs w:val="24"/>
        </w:rPr>
        <w:t xml:space="preserve"> provides</w:t>
      </w:r>
      <w:r w:rsidR="001E681D" w:rsidRPr="00BC0EB1">
        <w:rPr>
          <w:sz w:val="24"/>
          <w:szCs w:val="24"/>
        </w:rPr>
        <w:t xml:space="preserve"> a summary of the estimated national costs to all states and tribes. Note that the proposed revisions regarding antidegradation policies result in a large proportion of the total costs of the proposed rule because the incremental burden and costs are based on the number of dischargers in ea</w:t>
      </w:r>
      <w:r w:rsidR="001E681D">
        <w:rPr>
          <w:sz w:val="24"/>
          <w:szCs w:val="24"/>
        </w:rPr>
        <w:t>ch affected state and tribe</w:t>
      </w:r>
      <w:r w:rsidR="001E681D" w:rsidRPr="00E23416">
        <w:rPr>
          <w:sz w:val="24"/>
          <w:szCs w:val="24"/>
        </w:rPr>
        <w:t xml:space="preserve">. </w:t>
      </w:r>
      <w:r w:rsidR="00D85E8C">
        <w:fldChar w:fldCharType="begin"/>
      </w:r>
      <w:r w:rsidR="00D85E8C">
        <w:instrText xml:space="preserve"> REF _Ref361830312 \h  \* MERGEFORMAT </w:instrText>
      </w:r>
      <w:r w:rsidR="00D85E8C">
        <w:fldChar w:fldCharType="separate"/>
      </w:r>
      <w:r w:rsidR="00826119" w:rsidRPr="00826119">
        <w:rPr>
          <w:sz w:val="24"/>
          <w:szCs w:val="24"/>
        </w:rPr>
        <w:t xml:space="preserve">Table </w:t>
      </w:r>
      <w:r w:rsidR="00826119" w:rsidRPr="00826119">
        <w:rPr>
          <w:noProof/>
          <w:sz w:val="24"/>
          <w:szCs w:val="24"/>
        </w:rPr>
        <w:t>6</w:t>
      </w:r>
      <w:r w:rsidR="00826119" w:rsidRPr="00826119">
        <w:rPr>
          <w:noProof/>
          <w:sz w:val="24"/>
          <w:szCs w:val="24"/>
        </w:rPr>
        <w:noBreakHyphen/>
        <w:t>4</w:t>
      </w:r>
      <w:r w:rsidR="00D85E8C">
        <w:fldChar w:fldCharType="end"/>
      </w:r>
      <w:r w:rsidR="001E681D" w:rsidRPr="00BC0EB1">
        <w:rPr>
          <w:sz w:val="24"/>
          <w:szCs w:val="24"/>
        </w:rPr>
        <w:t xml:space="preserve"> provides a summary</w:t>
      </w:r>
      <w:r w:rsidR="001E681D" w:rsidRPr="00F13C69">
        <w:rPr>
          <w:sz w:val="24"/>
        </w:rPr>
        <w:t xml:space="preserve"> of the uncertainties associated with the estimates.</w:t>
      </w:r>
    </w:p>
    <w:p w:rsidR="005F4AE1" w:rsidRDefault="004D6680" w:rsidP="005F4AE1">
      <w:pPr>
        <w:pStyle w:val="BodyText"/>
        <w:ind w:firstLine="720"/>
        <w:rPr>
          <w:sz w:val="24"/>
        </w:rPr>
      </w:pPr>
      <w:r>
        <w:rPr>
          <w:sz w:val="24"/>
        </w:rPr>
        <w:t xml:space="preserve">The incremental burden and costs are associated with a total of </w:t>
      </w:r>
      <w:r w:rsidR="00681F56">
        <w:rPr>
          <w:sz w:val="24"/>
        </w:rPr>
        <w:t>32</w:t>
      </w:r>
      <w:r w:rsidR="00681F56" w:rsidRPr="004D6680">
        <w:rPr>
          <w:sz w:val="24"/>
        </w:rPr>
        <w:t xml:space="preserve"> </w:t>
      </w:r>
      <w:r w:rsidRPr="004D6680">
        <w:rPr>
          <w:sz w:val="24"/>
        </w:rPr>
        <w:t>one-time (nonrecurr</w:t>
      </w:r>
      <w:r>
        <w:rPr>
          <w:sz w:val="24"/>
        </w:rPr>
        <w:t>ing) responses per year (</w:t>
      </w:r>
      <w:r w:rsidR="00681F56">
        <w:rPr>
          <w:sz w:val="24"/>
        </w:rPr>
        <w:t xml:space="preserve">95 </w:t>
      </w:r>
      <w:r>
        <w:rPr>
          <w:sz w:val="24"/>
        </w:rPr>
        <w:t>affected entities ÷ 3 years) during the</w:t>
      </w:r>
      <w:r w:rsidRPr="004D6680">
        <w:rPr>
          <w:sz w:val="24"/>
        </w:rPr>
        <w:t xml:space="preserve"> initial 3-year period</w:t>
      </w:r>
      <w:r>
        <w:rPr>
          <w:sz w:val="24"/>
        </w:rPr>
        <w:t xml:space="preserve"> for rulemaking activities</w:t>
      </w:r>
      <w:r w:rsidR="001E681D">
        <w:rPr>
          <w:sz w:val="24"/>
        </w:rPr>
        <w:t xml:space="preserve">. In addition, the number of annual responses </w:t>
      </w:r>
      <w:r w:rsidR="0022611F">
        <w:rPr>
          <w:sz w:val="24"/>
        </w:rPr>
        <w:t>is equal to</w:t>
      </w:r>
      <w:r>
        <w:rPr>
          <w:sz w:val="24"/>
        </w:rPr>
        <w:t xml:space="preserve"> </w:t>
      </w:r>
      <w:r w:rsidR="00681F56">
        <w:rPr>
          <w:sz w:val="24"/>
        </w:rPr>
        <w:t xml:space="preserve">1,405 </w:t>
      </w:r>
      <w:r>
        <w:rPr>
          <w:sz w:val="24"/>
        </w:rPr>
        <w:t>responses (</w:t>
      </w:r>
      <w:r w:rsidR="001E681D">
        <w:rPr>
          <w:sz w:val="24"/>
        </w:rPr>
        <w:t xml:space="preserve">8 UAAs + </w:t>
      </w:r>
      <w:r w:rsidR="00681F56">
        <w:rPr>
          <w:sz w:val="24"/>
        </w:rPr>
        <w:t xml:space="preserve">744 </w:t>
      </w:r>
      <w:r w:rsidR="001E681D">
        <w:rPr>
          <w:sz w:val="24"/>
        </w:rPr>
        <w:t>re</w:t>
      </w:r>
      <w:r w:rsidR="001E681D" w:rsidRPr="001E681D">
        <w:rPr>
          <w:sz w:val="24"/>
        </w:rPr>
        <w:t>view</w:t>
      </w:r>
      <w:r w:rsidR="001E681D">
        <w:rPr>
          <w:sz w:val="24"/>
        </w:rPr>
        <w:t>s of a</w:t>
      </w:r>
      <w:r w:rsidR="001E681D" w:rsidRPr="001E681D">
        <w:rPr>
          <w:sz w:val="24"/>
        </w:rPr>
        <w:t xml:space="preserve">lternative </w:t>
      </w:r>
      <w:r w:rsidR="001E681D">
        <w:rPr>
          <w:sz w:val="24"/>
        </w:rPr>
        <w:t>a</w:t>
      </w:r>
      <w:r w:rsidR="001E681D" w:rsidRPr="001E681D">
        <w:rPr>
          <w:sz w:val="24"/>
        </w:rPr>
        <w:t xml:space="preserve">nalyses in </w:t>
      </w:r>
      <w:r w:rsidR="001E681D">
        <w:rPr>
          <w:sz w:val="24"/>
        </w:rPr>
        <w:t>a</w:t>
      </w:r>
      <w:r w:rsidR="001E681D" w:rsidRPr="001E681D">
        <w:rPr>
          <w:sz w:val="24"/>
        </w:rPr>
        <w:t xml:space="preserve">ntidegradation </w:t>
      </w:r>
      <w:r w:rsidR="001E681D">
        <w:rPr>
          <w:sz w:val="24"/>
        </w:rPr>
        <w:t>r</w:t>
      </w:r>
      <w:r w:rsidR="001E681D" w:rsidRPr="001E681D">
        <w:rPr>
          <w:sz w:val="24"/>
        </w:rPr>
        <w:t xml:space="preserve">equests </w:t>
      </w:r>
      <w:r w:rsidR="001E681D">
        <w:rPr>
          <w:sz w:val="24"/>
        </w:rPr>
        <w:t xml:space="preserve">+ </w:t>
      </w:r>
      <w:r w:rsidR="00681F56">
        <w:rPr>
          <w:sz w:val="24"/>
        </w:rPr>
        <w:t xml:space="preserve">575 </w:t>
      </w:r>
      <w:r w:rsidR="001E681D">
        <w:rPr>
          <w:sz w:val="24"/>
        </w:rPr>
        <w:t>additional antidegradation requests + 66 variance submissions + 12 variance renewals</w:t>
      </w:r>
      <w:r>
        <w:rPr>
          <w:sz w:val="24"/>
        </w:rPr>
        <w:t>).</w:t>
      </w:r>
    </w:p>
    <w:tbl>
      <w:tblPr>
        <w:tblW w:w="9315" w:type="dxa"/>
        <w:tblInd w:w="103" w:type="dxa"/>
        <w:tblLayout w:type="fixed"/>
        <w:tblCellMar>
          <w:left w:w="58" w:type="dxa"/>
          <w:right w:w="58" w:type="dxa"/>
        </w:tblCellMar>
        <w:tblLook w:val="0000" w:firstRow="0" w:lastRow="0" w:firstColumn="0" w:lastColumn="0" w:noHBand="0" w:noVBand="0"/>
      </w:tblPr>
      <w:tblGrid>
        <w:gridCol w:w="2205"/>
        <w:gridCol w:w="1777"/>
        <w:gridCol w:w="1778"/>
        <w:gridCol w:w="1777"/>
        <w:gridCol w:w="1778"/>
      </w:tblGrid>
      <w:tr w:rsidR="00D40658" w:rsidRPr="00E7436E" w:rsidTr="00D40658">
        <w:trPr>
          <w:trHeight w:val="255"/>
          <w:tblHeader/>
        </w:trPr>
        <w:tc>
          <w:tcPr>
            <w:tcW w:w="9315" w:type="dxa"/>
            <w:gridSpan w:val="5"/>
            <w:tcBorders>
              <w:top w:val="single" w:sz="4" w:space="0" w:color="auto"/>
              <w:left w:val="single" w:sz="4" w:space="0" w:color="auto"/>
              <w:bottom w:val="single" w:sz="4" w:space="0" w:color="000000"/>
              <w:right w:val="single" w:sz="4" w:space="0" w:color="auto"/>
            </w:tcBorders>
            <w:shd w:val="clear" w:color="auto" w:fill="D9D9D9"/>
            <w:vAlign w:val="center"/>
          </w:tcPr>
          <w:p w:rsidR="003730FD" w:rsidRDefault="00765D6E" w:rsidP="00A27F3D">
            <w:pPr>
              <w:pStyle w:val="Caption"/>
              <w:rPr>
                <w:szCs w:val="24"/>
              </w:rPr>
            </w:pPr>
            <w:bookmarkStart w:id="36" w:name="_Ref301789340"/>
            <w:bookmarkStart w:id="37" w:name="_Toc300763566"/>
            <w:r>
              <w:lastRenderedPageBreak/>
              <w:t xml:space="preserve">Table </w:t>
            </w:r>
            <w:r w:rsidR="00D85E8C">
              <w:fldChar w:fldCharType="begin"/>
            </w:r>
            <w:r w:rsidR="00D85E8C">
              <w:instrText xml:space="preserve"> STYLEREF 1 \s </w:instrText>
            </w:r>
            <w:r w:rsidR="00D85E8C">
              <w:fldChar w:fldCharType="separate"/>
            </w:r>
            <w:r w:rsidR="00826119">
              <w:rPr>
                <w:noProof/>
              </w:rPr>
              <w:t>6</w:t>
            </w:r>
            <w:r w:rsidR="00D85E8C">
              <w:rPr>
                <w:noProof/>
              </w:rPr>
              <w:fldChar w:fldCharType="end"/>
            </w:r>
            <w:r w:rsidR="00A27F3D">
              <w:noBreakHyphen/>
            </w:r>
            <w:r w:rsidR="00D85E8C">
              <w:fldChar w:fldCharType="begin"/>
            </w:r>
            <w:r w:rsidR="00D85E8C">
              <w:instrText xml:space="preserve"> SEQ Table \* ARABIC \s 1 </w:instrText>
            </w:r>
            <w:r w:rsidR="00D85E8C">
              <w:fldChar w:fldCharType="separate"/>
            </w:r>
            <w:r w:rsidR="00826119">
              <w:rPr>
                <w:noProof/>
              </w:rPr>
              <w:t>2</w:t>
            </w:r>
            <w:r w:rsidR="00D85E8C">
              <w:rPr>
                <w:noProof/>
              </w:rPr>
              <w:fldChar w:fldCharType="end"/>
            </w:r>
            <w:bookmarkEnd w:id="36"/>
            <w:r w:rsidR="00D40658" w:rsidRPr="00FB63BC">
              <w:rPr>
                <w:szCs w:val="24"/>
              </w:rPr>
              <w:t xml:space="preserve">: Summary of </w:t>
            </w:r>
            <w:r w:rsidR="00D40658">
              <w:rPr>
                <w:szCs w:val="24"/>
              </w:rPr>
              <w:t>National</w:t>
            </w:r>
            <w:r w:rsidR="00D40658" w:rsidRPr="00FB63BC">
              <w:rPr>
                <w:szCs w:val="24"/>
              </w:rPr>
              <w:t xml:space="preserve"> Incremental Administrative </w:t>
            </w:r>
            <w:r w:rsidR="00D40658">
              <w:rPr>
                <w:szCs w:val="24"/>
              </w:rPr>
              <w:t xml:space="preserve">Burdens and </w:t>
            </w:r>
            <w:r w:rsidR="003730FD">
              <w:rPr>
                <w:szCs w:val="24"/>
              </w:rPr>
              <w:t>Costs</w:t>
            </w:r>
          </w:p>
          <w:p w:rsidR="00D40658" w:rsidRPr="00FB63BC" w:rsidRDefault="00D40658" w:rsidP="003730FD">
            <w:pPr>
              <w:pStyle w:val="Caption"/>
              <w:rPr>
                <w:szCs w:val="24"/>
              </w:rPr>
            </w:pPr>
            <w:r w:rsidRPr="00FB63BC">
              <w:rPr>
                <w:szCs w:val="24"/>
              </w:rPr>
              <w:t>Associated with th</w:t>
            </w:r>
            <w:r w:rsidR="003730FD">
              <w:rPr>
                <w:szCs w:val="24"/>
              </w:rPr>
              <w:t>is</w:t>
            </w:r>
            <w:r w:rsidRPr="00FB63BC">
              <w:rPr>
                <w:szCs w:val="24"/>
              </w:rPr>
              <w:t xml:space="preserve"> Proposed Rule</w:t>
            </w:r>
            <w:bookmarkEnd w:id="37"/>
          </w:p>
        </w:tc>
      </w:tr>
      <w:tr w:rsidR="00D40658" w:rsidRPr="00E7436E" w:rsidTr="00DB7013">
        <w:trPr>
          <w:trHeight w:val="70"/>
          <w:tblHeader/>
        </w:trPr>
        <w:tc>
          <w:tcPr>
            <w:tcW w:w="2205" w:type="dxa"/>
            <w:vMerge w:val="restart"/>
            <w:tcBorders>
              <w:top w:val="single" w:sz="4" w:space="0" w:color="auto"/>
              <w:left w:val="single" w:sz="4" w:space="0" w:color="auto"/>
              <w:right w:val="single" w:sz="4" w:space="0" w:color="auto"/>
            </w:tcBorders>
            <w:shd w:val="clear" w:color="auto" w:fill="FFFF99"/>
            <w:vAlign w:val="center"/>
          </w:tcPr>
          <w:p w:rsidR="00D40658" w:rsidRPr="00E7436E" w:rsidRDefault="00D40658" w:rsidP="00D40658">
            <w:pPr>
              <w:pStyle w:val="ExhibitHeading"/>
              <w:keepNext/>
              <w:keepLines/>
            </w:pPr>
            <w:r>
              <w:t>Provision</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tcPr>
          <w:p w:rsidR="00D40658" w:rsidRPr="00E23416" w:rsidRDefault="00D40658" w:rsidP="00D40658">
            <w:pPr>
              <w:pStyle w:val="ExhibitHeading"/>
              <w:keepNext/>
              <w:keepLines/>
              <w:rPr>
                <w:vertAlign w:val="superscript"/>
              </w:rPr>
            </w:pPr>
            <w:r w:rsidRPr="00E7436E">
              <w:t>One-time</w:t>
            </w:r>
            <w:r w:rsidR="00282419">
              <w:t xml:space="preserve"> Activities</w:t>
            </w:r>
            <w:r w:rsidR="00B35257">
              <w:rPr>
                <w:vertAlign w:val="superscript"/>
              </w:rPr>
              <w:t>1</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40658" w:rsidRPr="008F326C" w:rsidRDefault="00D40658" w:rsidP="00D40658">
            <w:pPr>
              <w:pStyle w:val="ExhibitHeading"/>
              <w:keepNext/>
              <w:keepLines/>
            </w:pPr>
            <w:r w:rsidRPr="00E7436E">
              <w:t>Annual</w:t>
            </w:r>
            <w:r w:rsidR="00282419">
              <w:t xml:space="preserve"> Activities</w:t>
            </w:r>
          </w:p>
        </w:tc>
      </w:tr>
      <w:tr w:rsidR="00D40658" w:rsidRPr="00E7436E" w:rsidTr="00DB7013">
        <w:trPr>
          <w:trHeight w:val="255"/>
        </w:trPr>
        <w:tc>
          <w:tcPr>
            <w:tcW w:w="2205" w:type="dxa"/>
            <w:vMerge/>
            <w:tcBorders>
              <w:left w:val="single" w:sz="4" w:space="0" w:color="auto"/>
              <w:bottom w:val="single" w:sz="4" w:space="0" w:color="auto"/>
              <w:right w:val="single" w:sz="4" w:space="0" w:color="auto"/>
            </w:tcBorders>
            <w:vAlign w:val="center"/>
          </w:tcPr>
          <w:p w:rsidR="00D40658" w:rsidRDefault="00D40658" w:rsidP="00D40658">
            <w:pPr>
              <w:pStyle w:val="ExhibitLeft"/>
              <w:keepNext/>
              <w:keepLines/>
            </w:pPr>
          </w:p>
        </w:tc>
        <w:tc>
          <w:tcPr>
            <w:tcW w:w="1777" w:type="dxa"/>
            <w:tcBorders>
              <w:top w:val="nil"/>
              <w:left w:val="nil"/>
              <w:bottom w:val="single" w:sz="4" w:space="0" w:color="auto"/>
              <w:right w:val="single" w:sz="4" w:space="0" w:color="auto"/>
            </w:tcBorders>
            <w:shd w:val="clear" w:color="auto" w:fill="FFFF99"/>
            <w:noWrap/>
            <w:vAlign w:val="center"/>
          </w:tcPr>
          <w:p w:rsidR="00D40658" w:rsidRPr="00085D5C" w:rsidRDefault="00D40658" w:rsidP="00D40658">
            <w:pPr>
              <w:pStyle w:val="ExhibitHeading"/>
              <w:keepNext/>
              <w:keepLines/>
            </w:pPr>
            <w:r>
              <w:t>Burden (hours)</w:t>
            </w:r>
          </w:p>
        </w:tc>
        <w:tc>
          <w:tcPr>
            <w:tcW w:w="1778" w:type="dxa"/>
            <w:tcBorders>
              <w:top w:val="nil"/>
              <w:left w:val="nil"/>
              <w:bottom w:val="single" w:sz="4" w:space="0" w:color="auto"/>
              <w:right w:val="single" w:sz="4" w:space="0" w:color="auto"/>
            </w:tcBorders>
            <w:shd w:val="clear" w:color="auto" w:fill="FFFF99"/>
            <w:vAlign w:val="center"/>
          </w:tcPr>
          <w:p w:rsidR="00D40658" w:rsidRDefault="00D40658" w:rsidP="00D40658">
            <w:pPr>
              <w:pStyle w:val="ExhibitHeading"/>
              <w:keepNext/>
              <w:keepLines/>
            </w:pPr>
            <w:r>
              <w:t xml:space="preserve">Cost </w:t>
            </w:r>
          </w:p>
          <w:p w:rsidR="00D40658" w:rsidRPr="00E7436E" w:rsidRDefault="00D40658" w:rsidP="00B35257">
            <w:pPr>
              <w:pStyle w:val="ExhibitHeading"/>
              <w:keepNext/>
              <w:keepLines/>
            </w:pPr>
            <w:r>
              <w:t>(201</w:t>
            </w:r>
            <w:r w:rsidR="00681F56">
              <w:t>3</w:t>
            </w:r>
            <w:r>
              <w:t>$ million</w:t>
            </w:r>
            <w:r w:rsidR="00B35257">
              <w:t>/year</w:t>
            </w:r>
            <w:r>
              <w:t>)</w:t>
            </w:r>
          </w:p>
        </w:tc>
        <w:tc>
          <w:tcPr>
            <w:tcW w:w="1777" w:type="dxa"/>
            <w:tcBorders>
              <w:top w:val="nil"/>
              <w:left w:val="nil"/>
              <w:bottom w:val="single" w:sz="4" w:space="0" w:color="auto"/>
              <w:right w:val="single" w:sz="4" w:space="0" w:color="auto"/>
            </w:tcBorders>
            <w:shd w:val="clear" w:color="auto" w:fill="FFFF99"/>
            <w:noWrap/>
            <w:vAlign w:val="center"/>
          </w:tcPr>
          <w:p w:rsidR="00D40658" w:rsidRDefault="00D40658" w:rsidP="00D40658">
            <w:pPr>
              <w:pStyle w:val="ExhibitHeading"/>
              <w:keepNext/>
              <w:keepLines/>
            </w:pPr>
            <w:r>
              <w:t>Burden (hours/year)</w:t>
            </w:r>
          </w:p>
        </w:tc>
        <w:tc>
          <w:tcPr>
            <w:tcW w:w="1778" w:type="dxa"/>
            <w:tcBorders>
              <w:top w:val="nil"/>
              <w:left w:val="nil"/>
              <w:bottom w:val="single" w:sz="4" w:space="0" w:color="auto"/>
              <w:right w:val="single" w:sz="4" w:space="0" w:color="auto"/>
            </w:tcBorders>
            <w:shd w:val="clear" w:color="auto" w:fill="FFFF99"/>
            <w:vAlign w:val="center"/>
          </w:tcPr>
          <w:p w:rsidR="00D40658" w:rsidRPr="00E7436E" w:rsidRDefault="00D40658" w:rsidP="00B35257">
            <w:pPr>
              <w:pStyle w:val="ExhibitHeading"/>
              <w:keepNext/>
              <w:keepLines/>
            </w:pPr>
            <w:r>
              <w:t>Cost (201</w:t>
            </w:r>
            <w:r w:rsidR="00681F56">
              <w:t>3</w:t>
            </w:r>
            <w:r>
              <w:t>$</w:t>
            </w:r>
            <w:r w:rsidR="00B35257">
              <w:t xml:space="preserve"> </w:t>
            </w:r>
            <w:r>
              <w:t>million/year)</w:t>
            </w:r>
          </w:p>
        </w:tc>
      </w:tr>
      <w:tr w:rsidR="00681F56" w:rsidRPr="00E7436E" w:rsidTr="0070388C">
        <w:trPr>
          <w:trHeight w:val="255"/>
        </w:trPr>
        <w:tc>
          <w:tcPr>
            <w:tcW w:w="2205" w:type="dxa"/>
            <w:tcBorders>
              <w:top w:val="nil"/>
              <w:left w:val="single" w:sz="4" w:space="0" w:color="auto"/>
              <w:bottom w:val="single" w:sz="4" w:space="0" w:color="auto"/>
              <w:right w:val="single" w:sz="4" w:space="0" w:color="auto"/>
            </w:tcBorders>
            <w:vAlign w:val="center"/>
          </w:tcPr>
          <w:p w:rsidR="00681F56" w:rsidRPr="00E7436E" w:rsidRDefault="00681F56" w:rsidP="00D40658">
            <w:pPr>
              <w:pStyle w:val="ExhibitLeft"/>
              <w:keepNext/>
              <w:keepLines/>
            </w:pPr>
            <w:r>
              <w:t>Rulemaking Activities</w:t>
            </w:r>
          </w:p>
        </w:tc>
        <w:tc>
          <w:tcPr>
            <w:tcW w:w="1777" w:type="dxa"/>
            <w:tcBorders>
              <w:top w:val="nil"/>
              <w:left w:val="nil"/>
              <w:bottom w:val="single" w:sz="4" w:space="0" w:color="auto"/>
              <w:right w:val="single" w:sz="4" w:space="0" w:color="auto"/>
            </w:tcBorders>
            <w:noWrap/>
            <w:vAlign w:val="bottom"/>
          </w:tcPr>
          <w:p w:rsidR="00681F56" w:rsidRPr="003730FD" w:rsidRDefault="00932B55" w:rsidP="00D40658">
            <w:pPr>
              <w:pStyle w:val="ExhibitCenter"/>
              <w:jc w:val="center"/>
              <w:rPr>
                <w:szCs w:val="22"/>
              </w:rPr>
            </w:pPr>
            <w:r>
              <w:rPr>
                <w:szCs w:val="22"/>
              </w:rPr>
              <w:t>9,500 – 47,500</w:t>
            </w:r>
          </w:p>
        </w:tc>
        <w:tc>
          <w:tcPr>
            <w:tcW w:w="1778" w:type="dxa"/>
            <w:tcBorders>
              <w:top w:val="nil"/>
              <w:left w:val="nil"/>
              <w:bottom w:val="single" w:sz="4" w:space="0" w:color="auto"/>
              <w:right w:val="single" w:sz="4" w:space="0" w:color="auto"/>
            </w:tcBorders>
            <w:vAlign w:val="bottom"/>
          </w:tcPr>
          <w:p w:rsidR="00681F56" w:rsidRPr="003730FD" w:rsidRDefault="00681F56" w:rsidP="00932B55">
            <w:pPr>
              <w:pStyle w:val="ExhibitCenter"/>
              <w:jc w:val="center"/>
              <w:rPr>
                <w:szCs w:val="22"/>
              </w:rPr>
            </w:pPr>
            <w:r>
              <w:rPr>
                <w:szCs w:val="22"/>
              </w:rPr>
              <w:t>$0.</w:t>
            </w:r>
            <w:r w:rsidR="00932B55">
              <w:rPr>
                <w:szCs w:val="22"/>
              </w:rPr>
              <w:t>46</w:t>
            </w:r>
            <w:r>
              <w:rPr>
                <w:szCs w:val="22"/>
              </w:rPr>
              <w:t xml:space="preserve"> - $0.</w:t>
            </w:r>
            <w:r w:rsidR="00932B55">
              <w:rPr>
                <w:szCs w:val="22"/>
              </w:rPr>
              <w:t>2.28</w:t>
            </w:r>
          </w:p>
        </w:tc>
        <w:tc>
          <w:tcPr>
            <w:tcW w:w="1777" w:type="dxa"/>
            <w:tcBorders>
              <w:top w:val="nil"/>
              <w:left w:val="nil"/>
              <w:bottom w:val="single" w:sz="4" w:space="0" w:color="auto"/>
              <w:right w:val="single" w:sz="4" w:space="0" w:color="auto"/>
            </w:tcBorders>
            <w:noWrap/>
            <w:vAlign w:val="bottom"/>
          </w:tcPr>
          <w:p w:rsidR="00681F56" w:rsidRPr="003730FD" w:rsidRDefault="00681F56" w:rsidP="00D40658">
            <w:pPr>
              <w:pStyle w:val="ExhibitCenter"/>
              <w:jc w:val="center"/>
              <w:rPr>
                <w:szCs w:val="22"/>
              </w:rPr>
            </w:pPr>
            <w:r>
              <w:rPr>
                <w:szCs w:val="22"/>
              </w:rPr>
              <w:t>--</w:t>
            </w:r>
          </w:p>
        </w:tc>
        <w:tc>
          <w:tcPr>
            <w:tcW w:w="1778" w:type="dxa"/>
            <w:tcBorders>
              <w:top w:val="nil"/>
              <w:left w:val="nil"/>
              <w:bottom w:val="single" w:sz="4" w:space="0" w:color="auto"/>
              <w:right w:val="single" w:sz="4" w:space="0" w:color="auto"/>
            </w:tcBorders>
            <w:vAlign w:val="bottom"/>
          </w:tcPr>
          <w:p w:rsidR="00681F56" w:rsidRPr="003730FD" w:rsidRDefault="00681F56" w:rsidP="00D40658">
            <w:pPr>
              <w:pStyle w:val="ExhibitCenter"/>
              <w:jc w:val="center"/>
              <w:rPr>
                <w:szCs w:val="22"/>
              </w:rPr>
            </w:pPr>
            <w:r>
              <w:rPr>
                <w:szCs w:val="22"/>
              </w:rPr>
              <w:t>--</w:t>
            </w:r>
          </w:p>
        </w:tc>
      </w:tr>
      <w:tr w:rsidR="00681F56" w:rsidRPr="00E7436E" w:rsidTr="0070388C">
        <w:trPr>
          <w:trHeight w:val="255"/>
        </w:trPr>
        <w:tc>
          <w:tcPr>
            <w:tcW w:w="2205" w:type="dxa"/>
            <w:tcBorders>
              <w:top w:val="nil"/>
              <w:left w:val="single" w:sz="4" w:space="0" w:color="auto"/>
              <w:bottom w:val="single" w:sz="4" w:space="0" w:color="auto"/>
              <w:right w:val="single" w:sz="4" w:space="0" w:color="auto"/>
            </w:tcBorders>
            <w:vAlign w:val="center"/>
          </w:tcPr>
          <w:p w:rsidR="00681F56" w:rsidRPr="00E7436E" w:rsidRDefault="00681F56" w:rsidP="00D40658">
            <w:pPr>
              <w:pStyle w:val="ExhibitLeft"/>
              <w:keepNext/>
              <w:keepLines/>
            </w:pPr>
            <w:r>
              <w:t>Designated Uses</w:t>
            </w:r>
          </w:p>
        </w:tc>
        <w:tc>
          <w:tcPr>
            <w:tcW w:w="1777" w:type="dxa"/>
            <w:tcBorders>
              <w:top w:val="nil"/>
              <w:left w:val="nil"/>
              <w:bottom w:val="single" w:sz="4" w:space="0" w:color="auto"/>
              <w:right w:val="single" w:sz="4" w:space="0" w:color="auto"/>
            </w:tcBorders>
            <w:noWrap/>
            <w:vAlign w:val="center"/>
          </w:tcPr>
          <w:p w:rsidR="00681F56" w:rsidRPr="003730FD" w:rsidRDefault="00681F56" w:rsidP="00D40658">
            <w:pPr>
              <w:pStyle w:val="ExhibitCenter"/>
              <w:jc w:val="center"/>
              <w:rPr>
                <w:szCs w:val="22"/>
              </w:rPr>
            </w:pPr>
            <w:r>
              <w:rPr>
                <w:szCs w:val="22"/>
              </w:rPr>
              <w:t>--</w:t>
            </w:r>
          </w:p>
        </w:tc>
        <w:tc>
          <w:tcPr>
            <w:tcW w:w="1778" w:type="dxa"/>
            <w:tcBorders>
              <w:top w:val="nil"/>
              <w:left w:val="nil"/>
              <w:bottom w:val="single" w:sz="4" w:space="0" w:color="auto"/>
              <w:right w:val="single" w:sz="4" w:space="0" w:color="auto"/>
            </w:tcBorders>
            <w:vAlign w:val="bottom"/>
          </w:tcPr>
          <w:p w:rsidR="00681F56" w:rsidRPr="003730FD" w:rsidRDefault="00681F56" w:rsidP="00D40658">
            <w:pPr>
              <w:pStyle w:val="ExhibitCenter"/>
              <w:jc w:val="center"/>
              <w:rPr>
                <w:szCs w:val="22"/>
              </w:rPr>
            </w:pPr>
            <w:r>
              <w:rPr>
                <w:szCs w:val="22"/>
              </w:rPr>
              <w:t>--</w:t>
            </w:r>
          </w:p>
        </w:tc>
        <w:tc>
          <w:tcPr>
            <w:tcW w:w="1777" w:type="dxa"/>
            <w:tcBorders>
              <w:top w:val="nil"/>
              <w:left w:val="nil"/>
              <w:bottom w:val="single" w:sz="4" w:space="0" w:color="auto"/>
              <w:right w:val="single" w:sz="4" w:space="0" w:color="auto"/>
            </w:tcBorders>
            <w:noWrap/>
            <w:vAlign w:val="bottom"/>
          </w:tcPr>
          <w:p w:rsidR="00681F56" w:rsidRPr="003730FD" w:rsidRDefault="00681F56" w:rsidP="00D40658">
            <w:pPr>
              <w:pStyle w:val="ExhibitCenter"/>
              <w:jc w:val="center"/>
              <w:rPr>
                <w:szCs w:val="22"/>
              </w:rPr>
            </w:pPr>
            <w:r>
              <w:rPr>
                <w:szCs w:val="22"/>
              </w:rPr>
              <w:t>240 - 1,200</w:t>
            </w:r>
          </w:p>
        </w:tc>
        <w:tc>
          <w:tcPr>
            <w:tcW w:w="1778" w:type="dxa"/>
            <w:tcBorders>
              <w:top w:val="nil"/>
              <w:left w:val="nil"/>
              <w:bottom w:val="single" w:sz="4" w:space="0" w:color="auto"/>
              <w:right w:val="single" w:sz="4" w:space="0" w:color="auto"/>
            </w:tcBorders>
            <w:vAlign w:val="bottom"/>
          </w:tcPr>
          <w:p w:rsidR="00681F56" w:rsidRPr="003730FD" w:rsidRDefault="00681F56" w:rsidP="00D40658">
            <w:pPr>
              <w:pStyle w:val="ExhibitCenter"/>
              <w:jc w:val="center"/>
              <w:rPr>
                <w:szCs w:val="22"/>
              </w:rPr>
            </w:pPr>
            <w:r>
              <w:rPr>
                <w:szCs w:val="22"/>
              </w:rPr>
              <w:t>$0.01 - $0.06</w:t>
            </w:r>
          </w:p>
        </w:tc>
      </w:tr>
      <w:tr w:rsidR="00681F56" w:rsidRPr="00E7436E" w:rsidTr="0070388C">
        <w:trPr>
          <w:trHeight w:val="255"/>
        </w:trPr>
        <w:tc>
          <w:tcPr>
            <w:tcW w:w="2205" w:type="dxa"/>
            <w:tcBorders>
              <w:top w:val="nil"/>
              <w:left w:val="single" w:sz="4" w:space="0" w:color="auto"/>
              <w:bottom w:val="single" w:sz="4" w:space="0" w:color="auto"/>
              <w:right w:val="single" w:sz="4" w:space="0" w:color="auto"/>
            </w:tcBorders>
            <w:vAlign w:val="center"/>
          </w:tcPr>
          <w:p w:rsidR="00681F56" w:rsidRPr="00E7436E" w:rsidRDefault="00681F56" w:rsidP="00D40658">
            <w:pPr>
              <w:pStyle w:val="ExhibitLeft"/>
              <w:keepNext/>
              <w:keepLines/>
            </w:pPr>
            <w:r>
              <w:t>Antidegradation</w:t>
            </w:r>
          </w:p>
        </w:tc>
        <w:tc>
          <w:tcPr>
            <w:tcW w:w="1777" w:type="dxa"/>
            <w:tcBorders>
              <w:top w:val="nil"/>
              <w:left w:val="nil"/>
              <w:bottom w:val="single" w:sz="4" w:space="0" w:color="auto"/>
              <w:right w:val="single" w:sz="4" w:space="0" w:color="auto"/>
            </w:tcBorders>
            <w:noWrap/>
            <w:vAlign w:val="bottom"/>
          </w:tcPr>
          <w:p w:rsidR="00681F56" w:rsidRPr="003730FD" w:rsidRDefault="00932B55" w:rsidP="005D7685">
            <w:pPr>
              <w:pStyle w:val="ExhibitCenter"/>
              <w:jc w:val="center"/>
              <w:rPr>
                <w:szCs w:val="22"/>
              </w:rPr>
            </w:pPr>
            <w:r>
              <w:rPr>
                <w:szCs w:val="22"/>
              </w:rPr>
              <w:t>--</w:t>
            </w:r>
          </w:p>
        </w:tc>
        <w:tc>
          <w:tcPr>
            <w:tcW w:w="1778" w:type="dxa"/>
            <w:tcBorders>
              <w:top w:val="nil"/>
              <w:left w:val="nil"/>
              <w:bottom w:val="single" w:sz="4" w:space="0" w:color="auto"/>
              <w:right w:val="single" w:sz="4" w:space="0" w:color="auto"/>
            </w:tcBorders>
            <w:vAlign w:val="bottom"/>
          </w:tcPr>
          <w:p w:rsidR="00681F56" w:rsidRPr="003730FD" w:rsidRDefault="00932B55" w:rsidP="005D7685">
            <w:pPr>
              <w:pStyle w:val="ExhibitCenter"/>
              <w:jc w:val="center"/>
              <w:rPr>
                <w:szCs w:val="22"/>
              </w:rPr>
            </w:pPr>
            <w:r>
              <w:rPr>
                <w:szCs w:val="22"/>
              </w:rPr>
              <w:t>--</w:t>
            </w:r>
          </w:p>
        </w:tc>
        <w:tc>
          <w:tcPr>
            <w:tcW w:w="1777" w:type="dxa"/>
            <w:tcBorders>
              <w:top w:val="nil"/>
              <w:left w:val="nil"/>
              <w:bottom w:val="single" w:sz="4" w:space="0" w:color="auto"/>
              <w:right w:val="single" w:sz="4" w:space="0" w:color="auto"/>
            </w:tcBorders>
            <w:noWrap/>
            <w:vAlign w:val="bottom"/>
          </w:tcPr>
          <w:p w:rsidR="00681F56" w:rsidRPr="00C23146" w:rsidRDefault="00681F56" w:rsidP="00260BFE">
            <w:pPr>
              <w:pStyle w:val="ExhibitCenter"/>
              <w:keepNext/>
              <w:keepLines/>
              <w:jc w:val="center"/>
              <w:rPr>
                <w:szCs w:val="22"/>
              </w:rPr>
            </w:pPr>
            <w:r>
              <w:rPr>
                <w:szCs w:val="22"/>
              </w:rPr>
              <w:t>97,070 - 145,605</w:t>
            </w:r>
          </w:p>
        </w:tc>
        <w:tc>
          <w:tcPr>
            <w:tcW w:w="1778" w:type="dxa"/>
            <w:tcBorders>
              <w:top w:val="nil"/>
              <w:left w:val="nil"/>
              <w:bottom w:val="single" w:sz="4" w:space="0" w:color="auto"/>
              <w:right w:val="single" w:sz="4" w:space="0" w:color="auto"/>
            </w:tcBorders>
            <w:vAlign w:val="bottom"/>
          </w:tcPr>
          <w:p w:rsidR="00681F56" w:rsidRPr="00260BFE" w:rsidRDefault="00681F56" w:rsidP="00260BFE">
            <w:pPr>
              <w:keepNext/>
              <w:keepLines/>
              <w:jc w:val="center"/>
              <w:rPr>
                <w:rFonts w:ascii="Garamond" w:hAnsi="Garamond" w:cs="Arial"/>
                <w:sz w:val="22"/>
                <w:szCs w:val="22"/>
              </w:rPr>
            </w:pPr>
            <w:r>
              <w:rPr>
                <w:rFonts w:ascii="Garamond" w:hAnsi="Garamond" w:cs="Arial"/>
                <w:sz w:val="22"/>
                <w:szCs w:val="22"/>
              </w:rPr>
              <w:t>$4.61 - $7.04</w:t>
            </w:r>
          </w:p>
        </w:tc>
      </w:tr>
      <w:tr w:rsidR="00681F56" w:rsidRPr="00E7436E" w:rsidTr="0070388C">
        <w:trPr>
          <w:trHeight w:val="255"/>
        </w:trPr>
        <w:tc>
          <w:tcPr>
            <w:tcW w:w="2205" w:type="dxa"/>
            <w:tcBorders>
              <w:top w:val="nil"/>
              <w:left w:val="single" w:sz="4" w:space="0" w:color="auto"/>
              <w:bottom w:val="single" w:sz="4" w:space="0" w:color="auto"/>
              <w:right w:val="single" w:sz="4" w:space="0" w:color="auto"/>
            </w:tcBorders>
            <w:vAlign w:val="center"/>
          </w:tcPr>
          <w:p w:rsidR="00681F56" w:rsidRPr="00E7436E" w:rsidRDefault="00681F56" w:rsidP="00D40658">
            <w:pPr>
              <w:pStyle w:val="ExhibitLeft"/>
              <w:keepNext/>
              <w:keepLines/>
            </w:pPr>
            <w:r>
              <w:t>Variances</w:t>
            </w:r>
          </w:p>
        </w:tc>
        <w:tc>
          <w:tcPr>
            <w:tcW w:w="1777" w:type="dxa"/>
            <w:tcBorders>
              <w:top w:val="nil"/>
              <w:left w:val="nil"/>
              <w:bottom w:val="single" w:sz="4" w:space="0" w:color="auto"/>
              <w:right w:val="single" w:sz="4" w:space="0" w:color="auto"/>
            </w:tcBorders>
            <w:noWrap/>
            <w:vAlign w:val="bottom"/>
          </w:tcPr>
          <w:p w:rsidR="00681F56" w:rsidRPr="003730FD" w:rsidRDefault="00681F56" w:rsidP="00D40658">
            <w:pPr>
              <w:pStyle w:val="ExhibitCenter"/>
              <w:jc w:val="center"/>
              <w:rPr>
                <w:szCs w:val="22"/>
              </w:rPr>
            </w:pPr>
            <w:r>
              <w:rPr>
                <w:szCs w:val="22"/>
              </w:rPr>
              <w:t>--</w:t>
            </w:r>
          </w:p>
        </w:tc>
        <w:tc>
          <w:tcPr>
            <w:tcW w:w="1778" w:type="dxa"/>
            <w:tcBorders>
              <w:top w:val="nil"/>
              <w:left w:val="nil"/>
              <w:bottom w:val="single" w:sz="4" w:space="0" w:color="auto"/>
              <w:right w:val="single" w:sz="4" w:space="0" w:color="auto"/>
            </w:tcBorders>
            <w:vAlign w:val="bottom"/>
          </w:tcPr>
          <w:p w:rsidR="00681F56" w:rsidRPr="003730FD" w:rsidRDefault="00681F56" w:rsidP="00D40658">
            <w:pPr>
              <w:pStyle w:val="ExhibitCenter"/>
              <w:jc w:val="center"/>
              <w:rPr>
                <w:szCs w:val="22"/>
              </w:rPr>
            </w:pPr>
            <w:r>
              <w:rPr>
                <w:szCs w:val="22"/>
              </w:rPr>
              <w:t>--</w:t>
            </w:r>
          </w:p>
        </w:tc>
        <w:tc>
          <w:tcPr>
            <w:tcW w:w="1777" w:type="dxa"/>
            <w:tcBorders>
              <w:top w:val="nil"/>
              <w:left w:val="nil"/>
              <w:bottom w:val="single" w:sz="4" w:space="0" w:color="auto"/>
              <w:right w:val="single" w:sz="4" w:space="0" w:color="auto"/>
            </w:tcBorders>
            <w:noWrap/>
            <w:vAlign w:val="bottom"/>
          </w:tcPr>
          <w:p w:rsidR="00681F56" w:rsidRPr="00C23146" w:rsidRDefault="00681F56" w:rsidP="00260BFE">
            <w:pPr>
              <w:pStyle w:val="ExhibitCenter"/>
              <w:keepNext/>
              <w:keepLines/>
              <w:jc w:val="center"/>
              <w:rPr>
                <w:szCs w:val="22"/>
              </w:rPr>
            </w:pPr>
            <w:r>
              <w:rPr>
                <w:szCs w:val="22"/>
              </w:rPr>
              <w:t>4,620 - 5,310</w:t>
            </w:r>
          </w:p>
        </w:tc>
        <w:tc>
          <w:tcPr>
            <w:tcW w:w="1778" w:type="dxa"/>
            <w:tcBorders>
              <w:top w:val="nil"/>
              <w:left w:val="nil"/>
              <w:bottom w:val="single" w:sz="4" w:space="0" w:color="auto"/>
              <w:right w:val="single" w:sz="4" w:space="0" w:color="auto"/>
            </w:tcBorders>
            <w:vAlign w:val="bottom"/>
          </w:tcPr>
          <w:p w:rsidR="00681F56" w:rsidRPr="00260BFE" w:rsidRDefault="00681F56" w:rsidP="00260BFE">
            <w:pPr>
              <w:keepNext/>
              <w:keepLines/>
              <w:jc w:val="center"/>
              <w:rPr>
                <w:rFonts w:ascii="Garamond" w:hAnsi="Garamond" w:cs="Arial"/>
                <w:sz w:val="22"/>
                <w:szCs w:val="22"/>
              </w:rPr>
            </w:pPr>
            <w:r>
              <w:rPr>
                <w:rFonts w:ascii="Garamond" w:hAnsi="Garamond" w:cs="Arial"/>
                <w:sz w:val="22"/>
                <w:szCs w:val="22"/>
              </w:rPr>
              <w:t>$0.22 - $0.26</w:t>
            </w:r>
          </w:p>
        </w:tc>
      </w:tr>
      <w:tr w:rsidR="00681F56" w:rsidRPr="00E7436E" w:rsidTr="0070388C">
        <w:trPr>
          <w:trHeight w:val="255"/>
        </w:trPr>
        <w:tc>
          <w:tcPr>
            <w:tcW w:w="2205" w:type="dxa"/>
            <w:tcBorders>
              <w:top w:val="single" w:sz="4" w:space="0" w:color="auto"/>
              <w:left w:val="single" w:sz="4" w:space="0" w:color="auto"/>
              <w:bottom w:val="single" w:sz="4" w:space="0" w:color="auto"/>
              <w:right w:val="single" w:sz="4" w:space="0" w:color="auto"/>
            </w:tcBorders>
            <w:vAlign w:val="center"/>
          </w:tcPr>
          <w:p w:rsidR="00681F56" w:rsidRPr="003730FD" w:rsidRDefault="00681F56" w:rsidP="00D40658">
            <w:pPr>
              <w:pStyle w:val="ExhibitLeft"/>
              <w:keepNext/>
              <w:keepLines/>
              <w:rPr>
                <w:b/>
              </w:rPr>
            </w:pPr>
            <w:r w:rsidRPr="003730FD">
              <w:rPr>
                <w:b/>
              </w:rPr>
              <w:t>National Total</w:t>
            </w:r>
          </w:p>
        </w:tc>
        <w:tc>
          <w:tcPr>
            <w:tcW w:w="1777" w:type="dxa"/>
            <w:tcBorders>
              <w:top w:val="single" w:sz="4" w:space="0" w:color="auto"/>
              <w:left w:val="nil"/>
              <w:bottom w:val="single" w:sz="4" w:space="0" w:color="auto"/>
              <w:right w:val="single" w:sz="4" w:space="0" w:color="auto"/>
            </w:tcBorders>
            <w:noWrap/>
            <w:vAlign w:val="bottom"/>
          </w:tcPr>
          <w:p w:rsidR="00681F56" w:rsidRPr="00681F56" w:rsidRDefault="00932B55" w:rsidP="005D7685">
            <w:pPr>
              <w:pStyle w:val="ExhibitCenter"/>
              <w:jc w:val="center"/>
              <w:rPr>
                <w:b/>
                <w:szCs w:val="22"/>
              </w:rPr>
            </w:pPr>
            <w:r>
              <w:rPr>
                <w:b/>
                <w:szCs w:val="22"/>
              </w:rPr>
              <w:t>9,500 – 47,500</w:t>
            </w:r>
          </w:p>
        </w:tc>
        <w:tc>
          <w:tcPr>
            <w:tcW w:w="1778" w:type="dxa"/>
            <w:tcBorders>
              <w:top w:val="single" w:sz="4" w:space="0" w:color="auto"/>
              <w:left w:val="nil"/>
              <w:bottom w:val="single" w:sz="4" w:space="0" w:color="auto"/>
              <w:right w:val="single" w:sz="4" w:space="0" w:color="auto"/>
            </w:tcBorders>
            <w:vAlign w:val="bottom"/>
          </w:tcPr>
          <w:p w:rsidR="00681F56" w:rsidRPr="00681F56" w:rsidRDefault="00932B55" w:rsidP="005D7685">
            <w:pPr>
              <w:pStyle w:val="ExhibitCenter"/>
              <w:jc w:val="center"/>
              <w:rPr>
                <w:b/>
                <w:szCs w:val="22"/>
              </w:rPr>
            </w:pPr>
            <w:r>
              <w:rPr>
                <w:b/>
                <w:szCs w:val="22"/>
              </w:rPr>
              <w:t>$0.46 - $2.28</w:t>
            </w:r>
          </w:p>
        </w:tc>
        <w:tc>
          <w:tcPr>
            <w:tcW w:w="1777" w:type="dxa"/>
            <w:tcBorders>
              <w:top w:val="single" w:sz="4" w:space="0" w:color="auto"/>
              <w:left w:val="nil"/>
              <w:bottom w:val="single" w:sz="4" w:space="0" w:color="auto"/>
              <w:right w:val="single" w:sz="4" w:space="0" w:color="auto"/>
            </w:tcBorders>
            <w:noWrap/>
            <w:vAlign w:val="bottom"/>
          </w:tcPr>
          <w:p w:rsidR="00681F56" w:rsidRPr="00681F56" w:rsidRDefault="00681F56" w:rsidP="00260BFE">
            <w:pPr>
              <w:pStyle w:val="ExhibitCenter"/>
              <w:keepNext/>
              <w:keepLines/>
              <w:jc w:val="center"/>
              <w:rPr>
                <w:b/>
              </w:rPr>
            </w:pPr>
            <w:r w:rsidRPr="00E23416">
              <w:rPr>
                <w:b/>
                <w:szCs w:val="22"/>
              </w:rPr>
              <w:t>101,930 - 152,115</w:t>
            </w:r>
          </w:p>
        </w:tc>
        <w:tc>
          <w:tcPr>
            <w:tcW w:w="1778" w:type="dxa"/>
            <w:tcBorders>
              <w:top w:val="single" w:sz="4" w:space="0" w:color="auto"/>
              <w:left w:val="nil"/>
              <w:bottom w:val="single" w:sz="4" w:space="0" w:color="auto"/>
              <w:right w:val="single" w:sz="4" w:space="0" w:color="auto"/>
            </w:tcBorders>
            <w:vAlign w:val="bottom"/>
          </w:tcPr>
          <w:p w:rsidR="00681F56" w:rsidRPr="00681F56" w:rsidRDefault="00681F56" w:rsidP="00260BFE">
            <w:pPr>
              <w:keepNext/>
              <w:keepLines/>
              <w:jc w:val="center"/>
              <w:rPr>
                <w:rFonts w:ascii="Garamond" w:hAnsi="Garamond" w:cs="Arial"/>
                <w:b/>
                <w:sz w:val="22"/>
                <w:szCs w:val="22"/>
              </w:rPr>
            </w:pPr>
            <w:r w:rsidRPr="00E23416">
              <w:rPr>
                <w:rFonts w:ascii="Garamond" w:hAnsi="Garamond" w:cs="Arial"/>
                <w:b/>
                <w:sz w:val="22"/>
                <w:szCs w:val="22"/>
              </w:rPr>
              <w:t>$4.84 - $7.36</w:t>
            </w:r>
          </w:p>
        </w:tc>
      </w:tr>
      <w:tr w:rsidR="00D40658" w:rsidRPr="00E7436E" w:rsidTr="00D40658">
        <w:trPr>
          <w:trHeight w:val="255"/>
        </w:trPr>
        <w:tc>
          <w:tcPr>
            <w:tcW w:w="9315" w:type="dxa"/>
            <w:gridSpan w:val="5"/>
            <w:tcBorders>
              <w:top w:val="single" w:sz="4" w:space="0" w:color="auto"/>
              <w:left w:val="single" w:sz="4" w:space="0" w:color="auto"/>
              <w:bottom w:val="single" w:sz="4" w:space="0" w:color="auto"/>
              <w:right w:val="single" w:sz="4" w:space="0" w:color="auto"/>
            </w:tcBorders>
            <w:vAlign w:val="center"/>
          </w:tcPr>
          <w:p w:rsidR="00D40658" w:rsidRDefault="00D40658" w:rsidP="00D40658">
            <w:pPr>
              <w:pStyle w:val="ExhibitLeft"/>
              <w:keepNext/>
              <w:keepLines/>
            </w:pPr>
            <w:r>
              <w:t xml:space="preserve"> ‘--‘ = not applicable</w:t>
            </w:r>
          </w:p>
          <w:p w:rsidR="002E4B36" w:rsidRDefault="002E4B36" w:rsidP="002E4B36">
            <w:pPr>
              <w:pStyle w:val="ExhibitLeft"/>
              <w:keepNext/>
              <w:keepLines/>
            </w:pPr>
            <w:r>
              <w:t>1. One-time incremental burden and costs for rulemaking activities are spread over an initial three-year period.</w:t>
            </w:r>
          </w:p>
        </w:tc>
      </w:tr>
    </w:tbl>
    <w:p w:rsidR="00463574" w:rsidRDefault="00463574" w:rsidP="00D61A55">
      <w:pPr>
        <w:widowControl/>
        <w:tabs>
          <w:tab w:val="left" w:pos="0"/>
        </w:tabs>
        <w:rPr>
          <w:rFonts w:ascii="Times New Roman" w:hAnsi="Times New Roman"/>
          <w:color w:val="000000"/>
        </w:rPr>
      </w:pPr>
    </w:p>
    <w:p w:rsidR="00932B55" w:rsidRPr="00E23416" w:rsidRDefault="001457E7" w:rsidP="00E23416">
      <w:pPr>
        <w:pStyle w:val="BodyText"/>
        <w:ind w:firstLine="720"/>
        <w:rPr>
          <w:sz w:val="24"/>
        </w:rPr>
      </w:pPr>
      <w:r>
        <w:rPr>
          <w:sz w:val="24"/>
        </w:rPr>
        <w:t xml:space="preserve">The </w:t>
      </w:r>
      <w:r w:rsidR="00932B55" w:rsidRPr="00E23416">
        <w:rPr>
          <w:sz w:val="24"/>
        </w:rPr>
        <w:t>EPA</w:t>
      </w:r>
      <w:r w:rsidR="001F0113">
        <w:rPr>
          <w:sz w:val="24"/>
        </w:rPr>
        <w:t>’s proposal specifies that it</w:t>
      </w:r>
      <w:r w:rsidR="00932B55" w:rsidRPr="00E23416">
        <w:rPr>
          <w:sz w:val="24"/>
        </w:rPr>
        <w:t xml:space="preserve"> is also considering </w:t>
      </w:r>
      <w:r>
        <w:rPr>
          <w:sz w:val="24"/>
        </w:rPr>
        <w:t xml:space="preserve">and requesting comment on whether to require adoption of </w:t>
      </w:r>
      <w:r w:rsidR="00932B55" w:rsidRPr="00E23416">
        <w:rPr>
          <w:sz w:val="24"/>
        </w:rPr>
        <w:t xml:space="preserve">antidegradation implementation </w:t>
      </w:r>
      <w:r>
        <w:rPr>
          <w:sz w:val="24"/>
        </w:rPr>
        <w:t>methods as WQS</w:t>
      </w:r>
      <w:r w:rsidR="00932B55" w:rsidRPr="00E23416">
        <w:rPr>
          <w:sz w:val="24"/>
        </w:rPr>
        <w:t>. If</w:t>
      </w:r>
      <w:r>
        <w:rPr>
          <w:sz w:val="24"/>
        </w:rPr>
        <w:t xml:space="preserve"> the</w:t>
      </w:r>
      <w:r w:rsidR="00932B55" w:rsidRPr="00E23416">
        <w:rPr>
          <w:sz w:val="24"/>
        </w:rPr>
        <w:t xml:space="preserve"> EPA includes th</w:t>
      </w:r>
      <w:r>
        <w:rPr>
          <w:sz w:val="24"/>
        </w:rPr>
        <w:t xml:space="preserve">is requirement </w:t>
      </w:r>
      <w:r w:rsidR="00932B55" w:rsidRPr="00E23416">
        <w:rPr>
          <w:sz w:val="24"/>
        </w:rPr>
        <w:t xml:space="preserve">in the final rule, total one-time burden and costs to states and tribes could be 43,100 hours to 114,700 hours and $2.07 million to $5.51 million, respectively, and total annual burden and costs would remain the same at 101,930 hours to 152,115 hours and $4.84 million to $7.36 million, respectively, as shown in </w:t>
      </w:r>
      <w:r w:rsidR="00EA39AA">
        <w:rPr>
          <w:sz w:val="24"/>
        </w:rPr>
        <w:fldChar w:fldCharType="begin"/>
      </w:r>
      <w:r w:rsidR="00765D6E">
        <w:rPr>
          <w:sz w:val="24"/>
        </w:rPr>
        <w:instrText xml:space="preserve"> REF _Ref361830190 \h </w:instrText>
      </w:r>
      <w:r w:rsidR="00EA39AA">
        <w:rPr>
          <w:sz w:val="24"/>
        </w:rPr>
      </w:r>
      <w:r w:rsidR="00EA39AA">
        <w:rPr>
          <w:sz w:val="24"/>
        </w:rPr>
        <w:fldChar w:fldCharType="separate"/>
      </w:r>
      <w:r w:rsidR="00826119">
        <w:t xml:space="preserve">Table </w:t>
      </w:r>
      <w:r w:rsidR="00826119">
        <w:rPr>
          <w:noProof/>
        </w:rPr>
        <w:t>6</w:t>
      </w:r>
      <w:r w:rsidR="00826119">
        <w:noBreakHyphen/>
      </w:r>
      <w:r w:rsidR="00826119">
        <w:rPr>
          <w:noProof/>
        </w:rPr>
        <w:t>3</w:t>
      </w:r>
      <w:r w:rsidR="00EA39AA">
        <w:rPr>
          <w:sz w:val="24"/>
        </w:rPr>
        <w:fldChar w:fldCharType="end"/>
      </w:r>
      <w:r w:rsidR="00932B55" w:rsidRPr="00E23416">
        <w:rPr>
          <w:sz w:val="24"/>
        </w:rPr>
        <w:t>.</w:t>
      </w:r>
    </w:p>
    <w:tbl>
      <w:tblPr>
        <w:tblW w:w="9315" w:type="dxa"/>
        <w:tblInd w:w="103" w:type="dxa"/>
        <w:tblLayout w:type="fixed"/>
        <w:tblCellMar>
          <w:left w:w="58" w:type="dxa"/>
          <w:right w:w="58" w:type="dxa"/>
        </w:tblCellMar>
        <w:tblLook w:val="0000" w:firstRow="0" w:lastRow="0" w:firstColumn="0" w:lastColumn="0" w:noHBand="0" w:noVBand="0"/>
      </w:tblPr>
      <w:tblGrid>
        <w:gridCol w:w="2205"/>
        <w:gridCol w:w="1777"/>
        <w:gridCol w:w="1778"/>
        <w:gridCol w:w="1777"/>
        <w:gridCol w:w="1778"/>
      </w:tblGrid>
      <w:tr w:rsidR="00932B55" w:rsidRPr="00E7436E" w:rsidTr="00765D6E">
        <w:trPr>
          <w:trHeight w:val="255"/>
          <w:tblHeader/>
        </w:trPr>
        <w:tc>
          <w:tcPr>
            <w:tcW w:w="9315" w:type="dxa"/>
            <w:gridSpan w:val="5"/>
            <w:tcBorders>
              <w:top w:val="single" w:sz="4" w:space="0" w:color="auto"/>
              <w:left w:val="single" w:sz="4" w:space="0" w:color="auto"/>
              <w:bottom w:val="single" w:sz="4" w:space="0" w:color="000000"/>
              <w:right w:val="single" w:sz="4" w:space="0" w:color="auto"/>
            </w:tcBorders>
            <w:shd w:val="clear" w:color="auto" w:fill="D9D9D9"/>
            <w:vAlign w:val="center"/>
          </w:tcPr>
          <w:p w:rsidR="00932B55" w:rsidRDefault="00765D6E" w:rsidP="00A27F3D">
            <w:pPr>
              <w:pStyle w:val="Caption"/>
              <w:rPr>
                <w:szCs w:val="24"/>
              </w:rPr>
            </w:pPr>
            <w:bookmarkStart w:id="38" w:name="_Ref361830190"/>
            <w:bookmarkStart w:id="39" w:name="_Ref361830185"/>
            <w:r>
              <w:t xml:space="preserve">Table </w:t>
            </w:r>
            <w:r w:rsidR="00D85E8C">
              <w:fldChar w:fldCharType="begin"/>
            </w:r>
            <w:r w:rsidR="00D85E8C">
              <w:instrText xml:space="preserve"> STYLEREF 1 \s </w:instrText>
            </w:r>
            <w:r w:rsidR="00D85E8C">
              <w:fldChar w:fldCharType="separate"/>
            </w:r>
            <w:r w:rsidR="00826119">
              <w:rPr>
                <w:noProof/>
              </w:rPr>
              <w:t>6</w:t>
            </w:r>
            <w:r w:rsidR="00D85E8C">
              <w:rPr>
                <w:noProof/>
              </w:rPr>
              <w:fldChar w:fldCharType="end"/>
            </w:r>
            <w:r w:rsidR="00A27F3D">
              <w:noBreakHyphen/>
            </w:r>
            <w:r w:rsidR="00D85E8C">
              <w:fldChar w:fldCharType="begin"/>
            </w:r>
            <w:r w:rsidR="00D85E8C">
              <w:instrText xml:space="preserve"> SEQ Table \* ARABIC \s 1 </w:instrText>
            </w:r>
            <w:r w:rsidR="00D85E8C">
              <w:fldChar w:fldCharType="separate"/>
            </w:r>
            <w:r w:rsidR="00826119">
              <w:rPr>
                <w:noProof/>
              </w:rPr>
              <w:t>3</w:t>
            </w:r>
            <w:r w:rsidR="00D85E8C">
              <w:rPr>
                <w:noProof/>
              </w:rPr>
              <w:fldChar w:fldCharType="end"/>
            </w:r>
            <w:bookmarkEnd w:id="38"/>
            <w:r w:rsidR="00932B55" w:rsidRPr="00FB63BC">
              <w:rPr>
                <w:szCs w:val="24"/>
              </w:rPr>
              <w:t xml:space="preserve">: Summary of </w:t>
            </w:r>
            <w:r w:rsidR="00932B55">
              <w:rPr>
                <w:szCs w:val="24"/>
              </w:rPr>
              <w:t>National</w:t>
            </w:r>
            <w:r w:rsidR="00932B55" w:rsidRPr="00FB63BC">
              <w:rPr>
                <w:szCs w:val="24"/>
              </w:rPr>
              <w:t xml:space="preserve"> Incremental Administrative </w:t>
            </w:r>
            <w:r w:rsidR="00932B55">
              <w:rPr>
                <w:szCs w:val="24"/>
              </w:rPr>
              <w:t>Burdens and Costs</w:t>
            </w:r>
            <w:bookmarkEnd w:id="39"/>
          </w:p>
          <w:p w:rsidR="00932B55" w:rsidRPr="00FB63BC" w:rsidRDefault="00932B55" w:rsidP="00247365">
            <w:pPr>
              <w:pStyle w:val="Caption"/>
              <w:rPr>
                <w:szCs w:val="24"/>
              </w:rPr>
            </w:pPr>
            <w:r w:rsidRPr="00FB63BC">
              <w:rPr>
                <w:szCs w:val="24"/>
              </w:rPr>
              <w:t>Associated with th</w:t>
            </w:r>
            <w:r>
              <w:rPr>
                <w:szCs w:val="24"/>
              </w:rPr>
              <w:t>is</w:t>
            </w:r>
            <w:r w:rsidRPr="00FB63BC">
              <w:rPr>
                <w:szCs w:val="24"/>
              </w:rPr>
              <w:t xml:space="preserve"> Proposed Rule</w:t>
            </w:r>
            <w:r w:rsidR="00765D6E">
              <w:rPr>
                <w:szCs w:val="24"/>
              </w:rPr>
              <w:t xml:space="preserve">, including </w:t>
            </w:r>
            <w:r w:rsidR="001457E7">
              <w:rPr>
                <w:szCs w:val="24"/>
              </w:rPr>
              <w:t>Requirement to</w:t>
            </w:r>
            <w:r w:rsidR="00247365">
              <w:rPr>
                <w:szCs w:val="24"/>
              </w:rPr>
              <w:t xml:space="preserve"> Adopt Antidegradation Implementation Methods as WQS</w:t>
            </w:r>
          </w:p>
        </w:tc>
      </w:tr>
      <w:tr w:rsidR="00932B55" w:rsidRPr="00E7436E" w:rsidTr="00765D6E">
        <w:trPr>
          <w:trHeight w:val="70"/>
          <w:tblHeader/>
        </w:trPr>
        <w:tc>
          <w:tcPr>
            <w:tcW w:w="2205" w:type="dxa"/>
            <w:vMerge w:val="restart"/>
            <w:tcBorders>
              <w:top w:val="single" w:sz="4" w:space="0" w:color="auto"/>
              <w:left w:val="single" w:sz="4" w:space="0" w:color="auto"/>
              <w:right w:val="single" w:sz="4" w:space="0" w:color="auto"/>
            </w:tcBorders>
            <w:shd w:val="clear" w:color="auto" w:fill="FFFF99"/>
            <w:vAlign w:val="center"/>
          </w:tcPr>
          <w:p w:rsidR="00932B55" w:rsidRPr="00E7436E" w:rsidRDefault="00932B55" w:rsidP="00765D6E">
            <w:pPr>
              <w:pStyle w:val="ExhibitHeading"/>
              <w:keepNext/>
              <w:keepLines/>
            </w:pPr>
            <w:r>
              <w:t>Provision</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tcPr>
          <w:p w:rsidR="00932B55" w:rsidRPr="00E23416" w:rsidRDefault="00932B55" w:rsidP="00765D6E">
            <w:pPr>
              <w:pStyle w:val="ExhibitHeading"/>
              <w:keepNext/>
              <w:keepLines/>
              <w:rPr>
                <w:vertAlign w:val="superscript"/>
              </w:rPr>
            </w:pPr>
            <w:r w:rsidRPr="00E7436E">
              <w:t>One-time</w:t>
            </w:r>
            <w:r w:rsidR="00B35257">
              <w:t xml:space="preserve"> Activities</w:t>
            </w:r>
            <w:r w:rsidR="00B35257">
              <w:rPr>
                <w:vertAlign w:val="superscript"/>
              </w:rPr>
              <w:t>1</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932B55" w:rsidRPr="008F326C" w:rsidRDefault="00932B55" w:rsidP="00765D6E">
            <w:pPr>
              <w:pStyle w:val="ExhibitHeading"/>
              <w:keepNext/>
              <w:keepLines/>
            </w:pPr>
            <w:r w:rsidRPr="00E7436E">
              <w:t>Annual</w:t>
            </w:r>
            <w:r w:rsidR="00B35257">
              <w:t xml:space="preserve"> Activities</w:t>
            </w:r>
          </w:p>
        </w:tc>
      </w:tr>
      <w:tr w:rsidR="00932B55" w:rsidRPr="00E7436E" w:rsidTr="00765D6E">
        <w:trPr>
          <w:trHeight w:val="255"/>
        </w:trPr>
        <w:tc>
          <w:tcPr>
            <w:tcW w:w="2205" w:type="dxa"/>
            <w:vMerge/>
            <w:tcBorders>
              <w:left w:val="single" w:sz="4" w:space="0" w:color="auto"/>
              <w:bottom w:val="single" w:sz="4" w:space="0" w:color="auto"/>
              <w:right w:val="single" w:sz="4" w:space="0" w:color="auto"/>
            </w:tcBorders>
            <w:vAlign w:val="center"/>
          </w:tcPr>
          <w:p w:rsidR="00932B55" w:rsidRDefault="00932B55" w:rsidP="00765D6E">
            <w:pPr>
              <w:pStyle w:val="ExhibitLeft"/>
              <w:keepNext/>
              <w:keepLines/>
            </w:pPr>
          </w:p>
        </w:tc>
        <w:tc>
          <w:tcPr>
            <w:tcW w:w="1777" w:type="dxa"/>
            <w:tcBorders>
              <w:top w:val="nil"/>
              <w:left w:val="nil"/>
              <w:bottom w:val="single" w:sz="4" w:space="0" w:color="auto"/>
              <w:right w:val="single" w:sz="4" w:space="0" w:color="auto"/>
            </w:tcBorders>
            <w:shd w:val="clear" w:color="auto" w:fill="FFFF99"/>
            <w:noWrap/>
            <w:vAlign w:val="center"/>
          </w:tcPr>
          <w:p w:rsidR="00932B55" w:rsidRPr="00085D5C" w:rsidRDefault="00932B55" w:rsidP="00765D6E">
            <w:pPr>
              <w:pStyle w:val="ExhibitHeading"/>
              <w:keepNext/>
              <w:keepLines/>
            </w:pPr>
            <w:r>
              <w:t>Burden (hours)</w:t>
            </w:r>
          </w:p>
        </w:tc>
        <w:tc>
          <w:tcPr>
            <w:tcW w:w="1778" w:type="dxa"/>
            <w:tcBorders>
              <w:top w:val="nil"/>
              <w:left w:val="nil"/>
              <w:bottom w:val="single" w:sz="4" w:space="0" w:color="auto"/>
              <w:right w:val="single" w:sz="4" w:space="0" w:color="auto"/>
            </w:tcBorders>
            <w:shd w:val="clear" w:color="auto" w:fill="FFFF99"/>
            <w:vAlign w:val="center"/>
          </w:tcPr>
          <w:p w:rsidR="00932B55" w:rsidRDefault="00932B55" w:rsidP="00765D6E">
            <w:pPr>
              <w:pStyle w:val="ExhibitHeading"/>
              <w:keepNext/>
              <w:keepLines/>
            </w:pPr>
            <w:r>
              <w:t xml:space="preserve">Cost </w:t>
            </w:r>
          </w:p>
          <w:p w:rsidR="00932B55" w:rsidRPr="00E7436E" w:rsidRDefault="00932B55" w:rsidP="00765D6E">
            <w:pPr>
              <w:pStyle w:val="ExhibitHeading"/>
              <w:keepNext/>
              <w:keepLines/>
            </w:pPr>
            <w:r>
              <w:t>(2013$ million</w:t>
            </w:r>
            <w:r w:rsidR="00B35257">
              <w:t>/year</w:t>
            </w:r>
            <w:r>
              <w:t>)</w:t>
            </w:r>
          </w:p>
        </w:tc>
        <w:tc>
          <w:tcPr>
            <w:tcW w:w="1777" w:type="dxa"/>
            <w:tcBorders>
              <w:top w:val="nil"/>
              <w:left w:val="nil"/>
              <w:bottom w:val="single" w:sz="4" w:space="0" w:color="auto"/>
              <w:right w:val="single" w:sz="4" w:space="0" w:color="auto"/>
            </w:tcBorders>
            <w:shd w:val="clear" w:color="auto" w:fill="FFFF99"/>
            <w:noWrap/>
            <w:vAlign w:val="center"/>
          </w:tcPr>
          <w:p w:rsidR="00932B55" w:rsidRDefault="00932B55" w:rsidP="00765D6E">
            <w:pPr>
              <w:pStyle w:val="ExhibitHeading"/>
              <w:keepNext/>
              <w:keepLines/>
            </w:pPr>
            <w:r>
              <w:t>Burden (hours/year)</w:t>
            </w:r>
          </w:p>
        </w:tc>
        <w:tc>
          <w:tcPr>
            <w:tcW w:w="1778" w:type="dxa"/>
            <w:tcBorders>
              <w:top w:val="nil"/>
              <w:left w:val="nil"/>
              <w:bottom w:val="single" w:sz="4" w:space="0" w:color="auto"/>
              <w:right w:val="single" w:sz="4" w:space="0" w:color="auto"/>
            </w:tcBorders>
            <w:shd w:val="clear" w:color="auto" w:fill="FFFF99"/>
            <w:vAlign w:val="center"/>
          </w:tcPr>
          <w:p w:rsidR="00932B55" w:rsidRPr="00E7436E" w:rsidRDefault="00932B55" w:rsidP="00B35257">
            <w:pPr>
              <w:pStyle w:val="ExhibitHeading"/>
              <w:keepNext/>
              <w:keepLines/>
            </w:pPr>
            <w:r>
              <w:t>Cost (2013$</w:t>
            </w:r>
            <w:r w:rsidR="00B35257">
              <w:t xml:space="preserve"> </w:t>
            </w:r>
            <w:r>
              <w:t>million/year)</w:t>
            </w:r>
          </w:p>
        </w:tc>
      </w:tr>
      <w:tr w:rsidR="00932B55" w:rsidRPr="00E7436E" w:rsidTr="00765D6E">
        <w:trPr>
          <w:trHeight w:val="255"/>
        </w:trPr>
        <w:tc>
          <w:tcPr>
            <w:tcW w:w="2205" w:type="dxa"/>
            <w:tcBorders>
              <w:top w:val="nil"/>
              <w:left w:val="single" w:sz="4" w:space="0" w:color="auto"/>
              <w:bottom w:val="single" w:sz="4" w:space="0" w:color="auto"/>
              <w:right w:val="single" w:sz="4" w:space="0" w:color="auto"/>
            </w:tcBorders>
            <w:vAlign w:val="center"/>
          </w:tcPr>
          <w:p w:rsidR="00932B55" w:rsidRPr="00E7436E" w:rsidRDefault="00932B55" w:rsidP="00765D6E">
            <w:pPr>
              <w:pStyle w:val="ExhibitLeft"/>
              <w:keepNext/>
              <w:keepLines/>
            </w:pPr>
            <w:r>
              <w:t>Rulemaking Activities</w:t>
            </w:r>
          </w:p>
        </w:tc>
        <w:tc>
          <w:tcPr>
            <w:tcW w:w="1777" w:type="dxa"/>
            <w:tcBorders>
              <w:top w:val="nil"/>
              <w:left w:val="nil"/>
              <w:bottom w:val="single" w:sz="4" w:space="0" w:color="auto"/>
              <w:right w:val="single" w:sz="4" w:space="0" w:color="auto"/>
            </w:tcBorders>
            <w:noWrap/>
            <w:vAlign w:val="bottom"/>
          </w:tcPr>
          <w:p w:rsidR="00932B55" w:rsidRPr="003730FD" w:rsidRDefault="00932B55" w:rsidP="00765D6E">
            <w:pPr>
              <w:pStyle w:val="ExhibitCenter"/>
              <w:jc w:val="center"/>
              <w:rPr>
                <w:szCs w:val="22"/>
              </w:rPr>
            </w:pPr>
            <w:r w:rsidRPr="00C53D9B">
              <w:rPr>
                <w:szCs w:val="24"/>
              </w:rPr>
              <w:t>9</w:t>
            </w:r>
            <w:r>
              <w:rPr>
                <w:szCs w:val="24"/>
              </w:rPr>
              <w:t>,500</w:t>
            </w:r>
            <w:r w:rsidRPr="00C53D9B">
              <w:rPr>
                <w:szCs w:val="24"/>
              </w:rPr>
              <w:t xml:space="preserve"> </w:t>
            </w:r>
            <w:r>
              <w:rPr>
                <w:szCs w:val="24"/>
              </w:rPr>
              <w:t>–</w:t>
            </w:r>
            <w:r w:rsidRPr="00C53D9B">
              <w:rPr>
                <w:szCs w:val="24"/>
              </w:rPr>
              <w:t xml:space="preserve"> </w:t>
            </w:r>
            <w:r>
              <w:rPr>
                <w:szCs w:val="24"/>
              </w:rPr>
              <w:t>47,500</w:t>
            </w:r>
          </w:p>
        </w:tc>
        <w:tc>
          <w:tcPr>
            <w:tcW w:w="1778" w:type="dxa"/>
            <w:tcBorders>
              <w:top w:val="nil"/>
              <w:left w:val="nil"/>
              <w:bottom w:val="single" w:sz="4" w:space="0" w:color="auto"/>
              <w:right w:val="single" w:sz="4" w:space="0" w:color="auto"/>
            </w:tcBorders>
            <w:vAlign w:val="bottom"/>
          </w:tcPr>
          <w:p w:rsidR="00932B55" w:rsidRPr="003730FD" w:rsidRDefault="00932B55" w:rsidP="00765D6E">
            <w:pPr>
              <w:pStyle w:val="ExhibitCenter"/>
              <w:jc w:val="center"/>
              <w:rPr>
                <w:szCs w:val="22"/>
              </w:rPr>
            </w:pPr>
            <w:r w:rsidRPr="00C53D9B">
              <w:rPr>
                <w:szCs w:val="24"/>
              </w:rPr>
              <w:t>$0.</w:t>
            </w:r>
            <w:r>
              <w:rPr>
                <w:szCs w:val="24"/>
              </w:rPr>
              <w:t>46</w:t>
            </w:r>
            <w:r w:rsidRPr="00C53D9B">
              <w:rPr>
                <w:szCs w:val="24"/>
              </w:rPr>
              <w:t xml:space="preserve"> - $</w:t>
            </w:r>
            <w:r>
              <w:rPr>
                <w:szCs w:val="24"/>
              </w:rPr>
              <w:t>2.28</w:t>
            </w:r>
          </w:p>
        </w:tc>
        <w:tc>
          <w:tcPr>
            <w:tcW w:w="1777" w:type="dxa"/>
            <w:tcBorders>
              <w:top w:val="nil"/>
              <w:left w:val="nil"/>
              <w:bottom w:val="single" w:sz="4" w:space="0" w:color="auto"/>
              <w:right w:val="single" w:sz="4" w:space="0" w:color="auto"/>
            </w:tcBorders>
            <w:noWrap/>
            <w:vAlign w:val="bottom"/>
          </w:tcPr>
          <w:p w:rsidR="00932B55" w:rsidRPr="003730FD" w:rsidRDefault="00932B55" w:rsidP="00765D6E">
            <w:pPr>
              <w:pStyle w:val="ExhibitCenter"/>
              <w:jc w:val="center"/>
              <w:rPr>
                <w:szCs w:val="22"/>
              </w:rPr>
            </w:pPr>
            <w:r>
              <w:rPr>
                <w:szCs w:val="22"/>
              </w:rPr>
              <w:t>--</w:t>
            </w:r>
          </w:p>
        </w:tc>
        <w:tc>
          <w:tcPr>
            <w:tcW w:w="1778" w:type="dxa"/>
            <w:tcBorders>
              <w:top w:val="nil"/>
              <w:left w:val="nil"/>
              <w:bottom w:val="single" w:sz="4" w:space="0" w:color="auto"/>
              <w:right w:val="single" w:sz="4" w:space="0" w:color="auto"/>
            </w:tcBorders>
            <w:vAlign w:val="bottom"/>
          </w:tcPr>
          <w:p w:rsidR="00932B55" w:rsidRPr="003730FD" w:rsidRDefault="00932B55" w:rsidP="00765D6E">
            <w:pPr>
              <w:pStyle w:val="ExhibitCenter"/>
              <w:jc w:val="center"/>
              <w:rPr>
                <w:szCs w:val="22"/>
              </w:rPr>
            </w:pPr>
            <w:r>
              <w:rPr>
                <w:szCs w:val="22"/>
              </w:rPr>
              <w:t>--</w:t>
            </w:r>
          </w:p>
        </w:tc>
      </w:tr>
      <w:tr w:rsidR="00932B55" w:rsidRPr="00E7436E" w:rsidTr="00765D6E">
        <w:trPr>
          <w:trHeight w:val="255"/>
        </w:trPr>
        <w:tc>
          <w:tcPr>
            <w:tcW w:w="2205" w:type="dxa"/>
            <w:tcBorders>
              <w:top w:val="nil"/>
              <w:left w:val="single" w:sz="4" w:space="0" w:color="auto"/>
              <w:bottom w:val="single" w:sz="4" w:space="0" w:color="auto"/>
              <w:right w:val="single" w:sz="4" w:space="0" w:color="auto"/>
            </w:tcBorders>
            <w:vAlign w:val="center"/>
          </w:tcPr>
          <w:p w:rsidR="00932B55" w:rsidRPr="00E7436E" w:rsidRDefault="00932B55" w:rsidP="00765D6E">
            <w:pPr>
              <w:pStyle w:val="ExhibitLeft"/>
              <w:keepNext/>
              <w:keepLines/>
            </w:pPr>
            <w:r>
              <w:t>Designated Uses</w:t>
            </w:r>
          </w:p>
        </w:tc>
        <w:tc>
          <w:tcPr>
            <w:tcW w:w="1777" w:type="dxa"/>
            <w:tcBorders>
              <w:top w:val="nil"/>
              <w:left w:val="nil"/>
              <w:bottom w:val="single" w:sz="4" w:space="0" w:color="auto"/>
              <w:right w:val="single" w:sz="4" w:space="0" w:color="auto"/>
            </w:tcBorders>
            <w:noWrap/>
            <w:vAlign w:val="center"/>
          </w:tcPr>
          <w:p w:rsidR="00932B55" w:rsidRPr="003730FD" w:rsidRDefault="00932B55" w:rsidP="00765D6E">
            <w:pPr>
              <w:pStyle w:val="ExhibitCenter"/>
              <w:jc w:val="center"/>
              <w:rPr>
                <w:szCs w:val="22"/>
              </w:rPr>
            </w:pPr>
            <w:r w:rsidRPr="00C53D9B">
              <w:rPr>
                <w:szCs w:val="24"/>
              </w:rPr>
              <w:t>--</w:t>
            </w:r>
          </w:p>
        </w:tc>
        <w:tc>
          <w:tcPr>
            <w:tcW w:w="1778" w:type="dxa"/>
            <w:tcBorders>
              <w:top w:val="nil"/>
              <w:left w:val="nil"/>
              <w:bottom w:val="single" w:sz="4" w:space="0" w:color="auto"/>
              <w:right w:val="single" w:sz="4" w:space="0" w:color="auto"/>
            </w:tcBorders>
            <w:vAlign w:val="bottom"/>
          </w:tcPr>
          <w:p w:rsidR="00932B55" w:rsidRPr="003730FD" w:rsidRDefault="00932B55" w:rsidP="00765D6E">
            <w:pPr>
              <w:pStyle w:val="ExhibitCenter"/>
              <w:jc w:val="center"/>
              <w:rPr>
                <w:szCs w:val="22"/>
              </w:rPr>
            </w:pPr>
            <w:r w:rsidRPr="00C53D9B">
              <w:rPr>
                <w:szCs w:val="24"/>
              </w:rPr>
              <w:t>--</w:t>
            </w:r>
          </w:p>
        </w:tc>
        <w:tc>
          <w:tcPr>
            <w:tcW w:w="1777" w:type="dxa"/>
            <w:tcBorders>
              <w:top w:val="nil"/>
              <w:left w:val="nil"/>
              <w:bottom w:val="single" w:sz="4" w:space="0" w:color="auto"/>
              <w:right w:val="single" w:sz="4" w:space="0" w:color="auto"/>
            </w:tcBorders>
            <w:noWrap/>
            <w:vAlign w:val="bottom"/>
          </w:tcPr>
          <w:p w:rsidR="00932B55" w:rsidRPr="003730FD" w:rsidRDefault="00932B55" w:rsidP="00765D6E">
            <w:pPr>
              <w:pStyle w:val="ExhibitCenter"/>
              <w:jc w:val="center"/>
              <w:rPr>
                <w:szCs w:val="22"/>
              </w:rPr>
            </w:pPr>
            <w:r>
              <w:rPr>
                <w:szCs w:val="22"/>
              </w:rPr>
              <w:t>240 - 1,200</w:t>
            </w:r>
          </w:p>
        </w:tc>
        <w:tc>
          <w:tcPr>
            <w:tcW w:w="1778" w:type="dxa"/>
            <w:tcBorders>
              <w:top w:val="nil"/>
              <w:left w:val="nil"/>
              <w:bottom w:val="single" w:sz="4" w:space="0" w:color="auto"/>
              <w:right w:val="single" w:sz="4" w:space="0" w:color="auto"/>
            </w:tcBorders>
            <w:vAlign w:val="bottom"/>
          </w:tcPr>
          <w:p w:rsidR="00932B55" w:rsidRPr="003730FD" w:rsidRDefault="00932B55" w:rsidP="00765D6E">
            <w:pPr>
              <w:pStyle w:val="ExhibitCenter"/>
              <w:jc w:val="center"/>
              <w:rPr>
                <w:szCs w:val="22"/>
              </w:rPr>
            </w:pPr>
            <w:r>
              <w:rPr>
                <w:szCs w:val="22"/>
              </w:rPr>
              <w:t>$0.01 - $0.06</w:t>
            </w:r>
          </w:p>
        </w:tc>
      </w:tr>
      <w:tr w:rsidR="00932B55" w:rsidRPr="00E7436E" w:rsidTr="00765D6E">
        <w:trPr>
          <w:trHeight w:val="255"/>
        </w:trPr>
        <w:tc>
          <w:tcPr>
            <w:tcW w:w="2205" w:type="dxa"/>
            <w:tcBorders>
              <w:top w:val="nil"/>
              <w:left w:val="single" w:sz="4" w:space="0" w:color="auto"/>
              <w:bottom w:val="single" w:sz="4" w:space="0" w:color="auto"/>
              <w:right w:val="single" w:sz="4" w:space="0" w:color="auto"/>
            </w:tcBorders>
            <w:vAlign w:val="center"/>
          </w:tcPr>
          <w:p w:rsidR="00932B55" w:rsidRPr="00E7436E" w:rsidRDefault="00932B55" w:rsidP="00765D6E">
            <w:pPr>
              <w:pStyle w:val="ExhibitLeft"/>
              <w:keepNext/>
              <w:keepLines/>
            </w:pPr>
            <w:r>
              <w:t>Antidegradation</w:t>
            </w:r>
          </w:p>
        </w:tc>
        <w:tc>
          <w:tcPr>
            <w:tcW w:w="1777" w:type="dxa"/>
            <w:tcBorders>
              <w:top w:val="nil"/>
              <w:left w:val="nil"/>
              <w:bottom w:val="single" w:sz="4" w:space="0" w:color="auto"/>
              <w:right w:val="single" w:sz="4" w:space="0" w:color="auto"/>
            </w:tcBorders>
            <w:noWrap/>
            <w:vAlign w:val="bottom"/>
          </w:tcPr>
          <w:p w:rsidR="00932B55" w:rsidRPr="003730FD" w:rsidRDefault="00932B55" w:rsidP="00765D6E">
            <w:pPr>
              <w:pStyle w:val="ExhibitCenter"/>
              <w:jc w:val="center"/>
              <w:rPr>
                <w:szCs w:val="22"/>
              </w:rPr>
            </w:pPr>
            <w:r>
              <w:rPr>
                <w:szCs w:val="24"/>
              </w:rPr>
              <w:t>33,600</w:t>
            </w:r>
            <w:r w:rsidRPr="00C53D9B">
              <w:rPr>
                <w:szCs w:val="24"/>
              </w:rPr>
              <w:t xml:space="preserve"> </w:t>
            </w:r>
            <w:r>
              <w:rPr>
                <w:szCs w:val="24"/>
              </w:rPr>
              <w:t>–</w:t>
            </w:r>
            <w:r w:rsidRPr="00C53D9B">
              <w:rPr>
                <w:szCs w:val="24"/>
              </w:rPr>
              <w:t xml:space="preserve"> </w:t>
            </w:r>
            <w:r>
              <w:rPr>
                <w:szCs w:val="24"/>
              </w:rPr>
              <w:t>67,200</w:t>
            </w:r>
          </w:p>
        </w:tc>
        <w:tc>
          <w:tcPr>
            <w:tcW w:w="1778" w:type="dxa"/>
            <w:tcBorders>
              <w:top w:val="nil"/>
              <w:left w:val="nil"/>
              <w:bottom w:val="single" w:sz="4" w:space="0" w:color="auto"/>
              <w:right w:val="single" w:sz="4" w:space="0" w:color="auto"/>
            </w:tcBorders>
            <w:vAlign w:val="bottom"/>
          </w:tcPr>
          <w:p w:rsidR="00932B55" w:rsidRPr="003730FD" w:rsidRDefault="00932B55" w:rsidP="00765D6E">
            <w:pPr>
              <w:pStyle w:val="ExhibitCenter"/>
              <w:jc w:val="center"/>
              <w:rPr>
                <w:szCs w:val="22"/>
              </w:rPr>
            </w:pPr>
            <w:r w:rsidRPr="00C53D9B">
              <w:rPr>
                <w:szCs w:val="24"/>
              </w:rPr>
              <w:t>$1.</w:t>
            </w:r>
            <w:r>
              <w:rPr>
                <w:szCs w:val="24"/>
              </w:rPr>
              <w:t>61</w:t>
            </w:r>
            <w:r w:rsidRPr="00C53D9B">
              <w:rPr>
                <w:szCs w:val="24"/>
              </w:rPr>
              <w:t xml:space="preserve"> - $</w:t>
            </w:r>
            <w:r>
              <w:rPr>
                <w:szCs w:val="24"/>
              </w:rPr>
              <w:t>3.23</w:t>
            </w:r>
          </w:p>
        </w:tc>
        <w:tc>
          <w:tcPr>
            <w:tcW w:w="1777" w:type="dxa"/>
            <w:tcBorders>
              <w:top w:val="nil"/>
              <w:left w:val="nil"/>
              <w:bottom w:val="single" w:sz="4" w:space="0" w:color="auto"/>
              <w:right w:val="single" w:sz="4" w:space="0" w:color="auto"/>
            </w:tcBorders>
            <w:noWrap/>
            <w:vAlign w:val="bottom"/>
          </w:tcPr>
          <w:p w:rsidR="00932B55" w:rsidRPr="00C23146" w:rsidRDefault="00932B55" w:rsidP="00765D6E">
            <w:pPr>
              <w:pStyle w:val="ExhibitCenter"/>
              <w:keepNext/>
              <w:keepLines/>
              <w:jc w:val="center"/>
              <w:rPr>
                <w:szCs w:val="22"/>
              </w:rPr>
            </w:pPr>
            <w:r>
              <w:rPr>
                <w:szCs w:val="22"/>
              </w:rPr>
              <w:t>97,070 - 145,605</w:t>
            </w:r>
          </w:p>
        </w:tc>
        <w:tc>
          <w:tcPr>
            <w:tcW w:w="1778" w:type="dxa"/>
            <w:tcBorders>
              <w:top w:val="nil"/>
              <w:left w:val="nil"/>
              <w:bottom w:val="single" w:sz="4" w:space="0" w:color="auto"/>
              <w:right w:val="single" w:sz="4" w:space="0" w:color="auto"/>
            </w:tcBorders>
            <w:vAlign w:val="bottom"/>
          </w:tcPr>
          <w:p w:rsidR="00932B55" w:rsidRPr="00260BFE" w:rsidRDefault="00932B55" w:rsidP="00765D6E">
            <w:pPr>
              <w:keepNext/>
              <w:keepLines/>
              <w:jc w:val="center"/>
              <w:rPr>
                <w:rFonts w:ascii="Garamond" w:hAnsi="Garamond" w:cs="Arial"/>
                <w:sz w:val="22"/>
                <w:szCs w:val="22"/>
              </w:rPr>
            </w:pPr>
            <w:r>
              <w:rPr>
                <w:rFonts w:ascii="Garamond" w:hAnsi="Garamond" w:cs="Arial"/>
                <w:sz w:val="22"/>
                <w:szCs w:val="22"/>
              </w:rPr>
              <w:t>$4.61 - $7.04</w:t>
            </w:r>
          </w:p>
        </w:tc>
      </w:tr>
      <w:tr w:rsidR="00932B55" w:rsidRPr="00E7436E" w:rsidTr="00765D6E">
        <w:trPr>
          <w:trHeight w:val="255"/>
        </w:trPr>
        <w:tc>
          <w:tcPr>
            <w:tcW w:w="2205" w:type="dxa"/>
            <w:tcBorders>
              <w:top w:val="nil"/>
              <w:left w:val="single" w:sz="4" w:space="0" w:color="auto"/>
              <w:bottom w:val="single" w:sz="4" w:space="0" w:color="auto"/>
              <w:right w:val="single" w:sz="4" w:space="0" w:color="auto"/>
            </w:tcBorders>
            <w:vAlign w:val="center"/>
          </w:tcPr>
          <w:p w:rsidR="00932B55" w:rsidRPr="00E7436E" w:rsidRDefault="00932B55" w:rsidP="00765D6E">
            <w:pPr>
              <w:pStyle w:val="ExhibitLeft"/>
              <w:keepNext/>
              <w:keepLines/>
            </w:pPr>
            <w:r>
              <w:t>Variances</w:t>
            </w:r>
          </w:p>
        </w:tc>
        <w:tc>
          <w:tcPr>
            <w:tcW w:w="1777" w:type="dxa"/>
            <w:tcBorders>
              <w:top w:val="nil"/>
              <w:left w:val="nil"/>
              <w:bottom w:val="single" w:sz="4" w:space="0" w:color="auto"/>
              <w:right w:val="single" w:sz="4" w:space="0" w:color="auto"/>
            </w:tcBorders>
            <w:noWrap/>
            <w:vAlign w:val="bottom"/>
          </w:tcPr>
          <w:p w:rsidR="00932B55" w:rsidRPr="003730FD" w:rsidRDefault="00932B55" w:rsidP="00765D6E">
            <w:pPr>
              <w:pStyle w:val="ExhibitCenter"/>
              <w:jc w:val="center"/>
              <w:rPr>
                <w:szCs w:val="22"/>
              </w:rPr>
            </w:pPr>
            <w:r w:rsidRPr="00C53D9B">
              <w:rPr>
                <w:szCs w:val="24"/>
              </w:rPr>
              <w:t>--</w:t>
            </w:r>
          </w:p>
        </w:tc>
        <w:tc>
          <w:tcPr>
            <w:tcW w:w="1778" w:type="dxa"/>
            <w:tcBorders>
              <w:top w:val="nil"/>
              <w:left w:val="nil"/>
              <w:bottom w:val="single" w:sz="4" w:space="0" w:color="auto"/>
              <w:right w:val="single" w:sz="4" w:space="0" w:color="auto"/>
            </w:tcBorders>
            <w:vAlign w:val="bottom"/>
          </w:tcPr>
          <w:p w:rsidR="00932B55" w:rsidRPr="003730FD" w:rsidRDefault="00932B55" w:rsidP="00765D6E">
            <w:pPr>
              <w:pStyle w:val="ExhibitCenter"/>
              <w:jc w:val="center"/>
              <w:rPr>
                <w:szCs w:val="22"/>
              </w:rPr>
            </w:pPr>
            <w:r w:rsidRPr="00C53D9B">
              <w:rPr>
                <w:szCs w:val="24"/>
              </w:rPr>
              <w:t>--</w:t>
            </w:r>
          </w:p>
        </w:tc>
        <w:tc>
          <w:tcPr>
            <w:tcW w:w="1777" w:type="dxa"/>
            <w:tcBorders>
              <w:top w:val="nil"/>
              <w:left w:val="nil"/>
              <w:bottom w:val="single" w:sz="4" w:space="0" w:color="auto"/>
              <w:right w:val="single" w:sz="4" w:space="0" w:color="auto"/>
            </w:tcBorders>
            <w:noWrap/>
            <w:vAlign w:val="bottom"/>
          </w:tcPr>
          <w:p w:rsidR="00932B55" w:rsidRPr="00C23146" w:rsidRDefault="00932B55" w:rsidP="00765D6E">
            <w:pPr>
              <w:pStyle w:val="ExhibitCenter"/>
              <w:keepNext/>
              <w:keepLines/>
              <w:jc w:val="center"/>
              <w:rPr>
                <w:szCs w:val="22"/>
              </w:rPr>
            </w:pPr>
            <w:r>
              <w:rPr>
                <w:szCs w:val="22"/>
              </w:rPr>
              <w:t>4,620 - 5,310</w:t>
            </w:r>
          </w:p>
        </w:tc>
        <w:tc>
          <w:tcPr>
            <w:tcW w:w="1778" w:type="dxa"/>
            <w:tcBorders>
              <w:top w:val="nil"/>
              <w:left w:val="nil"/>
              <w:bottom w:val="single" w:sz="4" w:space="0" w:color="auto"/>
              <w:right w:val="single" w:sz="4" w:space="0" w:color="auto"/>
            </w:tcBorders>
            <w:vAlign w:val="bottom"/>
          </w:tcPr>
          <w:p w:rsidR="00932B55" w:rsidRPr="00260BFE" w:rsidRDefault="00932B55" w:rsidP="00765D6E">
            <w:pPr>
              <w:keepNext/>
              <w:keepLines/>
              <w:jc w:val="center"/>
              <w:rPr>
                <w:rFonts w:ascii="Garamond" w:hAnsi="Garamond" w:cs="Arial"/>
                <w:sz w:val="22"/>
                <w:szCs w:val="22"/>
              </w:rPr>
            </w:pPr>
            <w:r>
              <w:rPr>
                <w:rFonts w:ascii="Garamond" w:hAnsi="Garamond" w:cs="Arial"/>
                <w:sz w:val="22"/>
                <w:szCs w:val="22"/>
              </w:rPr>
              <w:t>$0.22 - $0.26</w:t>
            </w:r>
          </w:p>
        </w:tc>
      </w:tr>
      <w:tr w:rsidR="00932B55" w:rsidRPr="00E7436E" w:rsidTr="00765D6E">
        <w:trPr>
          <w:trHeight w:val="255"/>
        </w:trPr>
        <w:tc>
          <w:tcPr>
            <w:tcW w:w="2205" w:type="dxa"/>
            <w:tcBorders>
              <w:top w:val="single" w:sz="4" w:space="0" w:color="auto"/>
              <w:left w:val="single" w:sz="4" w:space="0" w:color="auto"/>
              <w:bottom w:val="single" w:sz="4" w:space="0" w:color="auto"/>
              <w:right w:val="single" w:sz="4" w:space="0" w:color="auto"/>
            </w:tcBorders>
            <w:vAlign w:val="center"/>
          </w:tcPr>
          <w:p w:rsidR="00932B55" w:rsidRPr="003730FD" w:rsidRDefault="00932B55" w:rsidP="00765D6E">
            <w:pPr>
              <w:pStyle w:val="ExhibitLeft"/>
              <w:keepNext/>
              <w:keepLines/>
              <w:rPr>
                <w:b/>
              </w:rPr>
            </w:pPr>
            <w:r w:rsidRPr="003730FD">
              <w:rPr>
                <w:b/>
              </w:rPr>
              <w:t>National Total</w:t>
            </w:r>
          </w:p>
        </w:tc>
        <w:tc>
          <w:tcPr>
            <w:tcW w:w="1777" w:type="dxa"/>
            <w:tcBorders>
              <w:top w:val="single" w:sz="4" w:space="0" w:color="auto"/>
              <w:left w:val="nil"/>
              <w:bottom w:val="single" w:sz="4" w:space="0" w:color="auto"/>
              <w:right w:val="single" w:sz="4" w:space="0" w:color="auto"/>
            </w:tcBorders>
            <w:noWrap/>
            <w:vAlign w:val="bottom"/>
          </w:tcPr>
          <w:p w:rsidR="00932B55" w:rsidRPr="00932B55" w:rsidRDefault="00932B55" w:rsidP="00765D6E">
            <w:pPr>
              <w:pStyle w:val="ExhibitCenter"/>
              <w:jc w:val="center"/>
              <w:rPr>
                <w:b/>
                <w:szCs w:val="22"/>
              </w:rPr>
            </w:pPr>
            <w:r w:rsidRPr="00932B55">
              <w:rPr>
                <w:b/>
                <w:szCs w:val="24"/>
              </w:rPr>
              <w:t>43,100 – 114,700</w:t>
            </w:r>
          </w:p>
        </w:tc>
        <w:tc>
          <w:tcPr>
            <w:tcW w:w="1778" w:type="dxa"/>
            <w:tcBorders>
              <w:top w:val="single" w:sz="4" w:space="0" w:color="auto"/>
              <w:left w:val="nil"/>
              <w:bottom w:val="single" w:sz="4" w:space="0" w:color="auto"/>
              <w:right w:val="single" w:sz="4" w:space="0" w:color="auto"/>
            </w:tcBorders>
            <w:vAlign w:val="bottom"/>
          </w:tcPr>
          <w:p w:rsidR="00932B55" w:rsidRPr="00932B55" w:rsidRDefault="00932B55" w:rsidP="00765D6E">
            <w:pPr>
              <w:pStyle w:val="ExhibitCenter"/>
              <w:jc w:val="center"/>
              <w:rPr>
                <w:b/>
                <w:szCs w:val="22"/>
              </w:rPr>
            </w:pPr>
            <w:r w:rsidRPr="00932B55">
              <w:rPr>
                <w:b/>
                <w:szCs w:val="24"/>
              </w:rPr>
              <w:t>$2.07 - $5.51</w:t>
            </w:r>
          </w:p>
        </w:tc>
        <w:tc>
          <w:tcPr>
            <w:tcW w:w="1777" w:type="dxa"/>
            <w:tcBorders>
              <w:top w:val="single" w:sz="4" w:space="0" w:color="auto"/>
              <w:left w:val="nil"/>
              <w:bottom w:val="single" w:sz="4" w:space="0" w:color="auto"/>
              <w:right w:val="single" w:sz="4" w:space="0" w:color="auto"/>
            </w:tcBorders>
            <w:noWrap/>
            <w:vAlign w:val="bottom"/>
          </w:tcPr>
          <w:p w:rsidR="00932B55" w:rsidRPr="00681F56" w:rsidRDefault="00932B55" w:rsidP="00765D6E">
            <w:pPr>
              <w:pStyle w:val="ExhibitCenter"/>
              <w:keepNext/>
              <w:keepLines/>
              <w:jc w:val="center"/>
              <w:rPr>
                <w:b/>
              </w:rPr>
            </w:pPr>
            <w:r w:rsidRPr="006B44C4">
              <w:rPr>
                <w:b/>
                <w:szCs w:val="22"/>
              </w:rPr>
              <w:t>101,930 - 152,115</w:t>
            </w:r>
          </w:p>
        </w:tc>
        <w:tc>
          <w:tcPr>
            <w:tcW w:w="1778" w:type="dxa"/>
            <w:tcBorders>
              <w:top w:val="single" w:sz="4" w:space="0" w:color="auto"/>
              <w:left w:val="nil"/>
              <w:bottom w:val="single" w:sz="4" w:space="0" w:color="auto"/>
              <w:right w:val="single" w:sz="4" w:space="0" w:color="auto"/>
            </w:tcBorders>
            <w:vAlign w:val="bottom"/>
          </w:tcPr>
          <w:p w:rsidR="00932B55" w:rsidRPr="00681F56" w:rsidRDefault="00932B55" w:rsidP="00765D6E">
            <w:pPr>
              <w:keepNext/>
              <w:keepLines/>
              <w:jc w:val="center"/>
              <w:rPr>
                <w:rFonts w:ascii="Garamond" w:hAnsi="Garamond" w:cs="Arial"/>
                <w:b/>
                <w:sz w:val="22"/>
                <w:szCs w:val="22"/>
              </w:rPr>
            </w:pPr>
            <w:r w:rsidRPr="006B44C4">
              <w:rPr>
                <w:rFonts w:ascii="Garamond" w:hAnsi="Garamond" w:cs="Arial"/>
                <w:b/>
                <w:sz w:val="22"/>
                <w:szCs w:val="22"/>
              </w:rPr>
              <w:t>$4.84 - $7.36</w:t>
            </w:r>
          </w:p>
        </w:tc>
      </w:tr>
      <w:tr w:rsidR="00932B55" w:rsidRPr="00E7436E" w:rsidTr="00765D6E">
        <w:trPr>
          <w:trHeight w:val="255"/>
        </w:trPr>
        <w:tc>
          <w:tcPr>
            <w:tcW w:w="9315" w:type="dxa"/>
            <w:gridSpan w:val="5"/>
            <w:tcBorders>
              <w:top w:val="single" w:sz="4" w:space="0" w:color="auto"/>
              <w:left w:val="single" w:sz="4" w:space="0" w:color="auto"/>
              <w:bottom w:val="single" w:sz="4" w:space="0" w:color="auto"/>
              <w:right w:val="single" w:sz="4" w:space="0" w:color="auto"/>
            </w:tcBorders>
            <w:vAlign w:val="center"/>
          </w:tcPr>
          <w:p w:rsidR="00932B55" w:rsidRDefault="00932B55" w:rsidP="00765D6E">
            <w:pPr>
              <w:pStyle w:val="ExhibitLeft"/>
              <w:keepNext/>
              <w:keepLines/>
            </w:pPr>
            <w:r>
              <w:t xml:space="preserve"> ‘--‘ = not applicable</w:t>
            </w:r>
          </w:p>
          <w:p w:rsidR="00932B55" w:rsidRDefault="00932B55" w:rsidP="00765D6E">
            <w:pPr>
              <w:pStyle w:val="ExhibitLeft"/>
              <w:keepNext/>
              <w:keepLines/>
            </w:pPr>
            <w:r>
              <w:t>1. One-time incremental burden and costs for rulemaking activities are spread over an initial three-year period.</w:t>
            </w:r>
          </w:p>
        </w:tc>
      </w:tr>
    </w:tbl>
    <w:p w:rsidR="00932B55" w:rsidRDefault="00932B55" w:rsidP="00932B55">
      <w:pPr>
        <w:pStyle w:val="BodyText"/>
      </w:pPr>
    </w:p>
    <w:p w:rsidR="008661C0" w:rsidRDefault="008661C0" w:rsidP="00932B55">
      <w:pPr>
        <w:pStyle w:val="BodyText"/>
      </w:pPr>
    </w:p>
    <w:p w:rsidR="008661C0" w:rsidRDefault="008661C0" w:rsidP="00932B55">
      <w:pPr>
        <w:pStyle w:val="BodyText"/>
      </w:pPr>
    </w:p>
    <w:p w:rsidR="008661C0" w:rsidRDefault="008661C0" w:rsidP="00932B55">
      <w:pPr>
        <w:pStyle w:val="BodyText"/>
      </w:pPr>
    </w:p>
    <w:p w:rsidR="008661C0" w:rsidRDefault="008661C0" w:rsidP="00932B55">
      <w:pPr>
        <w:pStyle w:val="BodyText"/>
      </w:pPr>
    </w:p>
    <w:p w:rsidR="008661C0" w:rsidRPr="00D340AA" w:rsidRDefault="008661C0" w:rsidP="00932B55">
      <w:pPr>
        <w:pStyle w:val="BodyText"/>
      </w:pPr>
    </w:p>
    <w:p w:rsidR="00932B55" w:rsidRDefault="00932B55" w:rsidP="00D61A55">
      <w:pPr>
        <w:widowControl/>
        <w:tabs>
          <w:tab w:val="left" w:pos="0"/>
        </w:tabs>
        <w:rPr>
          <w:rFonts w:ascii="Times New Roman" w:hAnsi="Times New Roman"/>
          <w:color w:val="000000"/>
        </w:rPr>
      </w:pPr>
    </w:p>
    <w:tbl>
      <w:tblPr>
        <w:tblW w:w="93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55"/>
        <w:gridCol w:w="2040"/>
        <w:gridCol w:w="3765"/>
      </w:tblGrid>
      <w:tr w:rsidR="00D61A55" w:rsidTr="006968F5">
        <w:trPr>
          <w:cantSplit/>
          <w:trHeight w:val="70"/>
          <w:tblHead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61A55" w:rsidRDefault="00A27F3D" w:rsidP="00E23416">
            <w:pPr>
              <w:pStyle w:val="Caption"/>
              <w:keepNext w:val="0"/>
              <w:keepLines w:val="0"/>
              <w:rPr>
                <w:szCs w:val="24"/>
              </w:rPr>
            </w:pPr>
            <w:bookmarkStart w:id="40" w:name="_Ref361830312"/>
            <w:bookmarkStart w:id="41" w:name="_Ref301788804"/>
            <w:bookmarkStart w:id="42" w:name="_Toc279663513"/>
            <w:bookmarkStart w:id="43" w:name="_Toc295293549"/>
            <w:bookmarkStart w:id="44" w:name="_Toc300240610"/>
            <w:bookmarkStart w:id="45" w:name="_Ref361830303"/>
            <w:r>
              <w:lastRenderedPageBreak/>
              <w:t xml:space="preserve">Table </w:t>
            </w:r>
            <w:r w:rsidR="00D85E8C">
              <w:fldChar w:fldCharType="begin"/>
            </w:r>
            <w:r w:rsidR="00D85E8C">
              <w:instrText xml:space="preserve"> STYLEREF 1 \s </w:instrText>
            </w:r>
            <w:r w:rsidR="00D85E8C">
              <w:fldChar w:fldCharType="separate"/>
            </w:r>
            <w:r w:rsidR="00826119">
              <w:rPr>
                <w:noProof/>
              </w:rPr>
              <w:t>6</w:t>
            </w:r>
            <w:r w:rsidR="00D85E8C">
              <w:rPr>
                <w:noProof/>
              </w:rPr>
              <w:fldChar w:fldCharType="end"/>
            </w:r>
            <w:r>
              <w:noBreakHyphen/>
            </w:r>
            <w:r w:rsidR="00D85E8C">
              <w:fldChar w:fldCharType="begin"/>
            </w:r>
            <w:r w:rsidR="00D85E8C">
              <w:instrText xml:space="preserve"> SEQ Table \* ARABIC \s 1 </w:instrText>
            </w:r>
            <w:r w:rsidR="00D85E8C">
              <w:fldChar w:fldCharType="separate"/>
            </w:r>
            <w:r w:rsidR="00826119">
              <w:rPr>
                <w:noProof/>
              </w:rPr>
              <w:t>4</w:t>
            </w:r>
            <w:r w:rsidR="00D85E8C">
              <w:rPr>
                <w:noProof/>
              </w:rPr>
              <w:fldChar w:fldCharType="end"/>
            </w:r>
            <w:bookmarkEnd w:id="40"/>
            <w:bookmarkEnd w:id="41"/>
            <w:r w:rsidR="00D61A55">
              <w:rPr>
                <w:szCs w:val="24"/>
              </w:rPr>
              <w:t>: Uncertainties in the Analysis</w:t>
            </w:r>
            <w:bookmarkEnd w:id="42"/>
            <w:bookmarkEnd w:id="43"/>
            <w:bookmarkEnd w:id="44"/>
            <w:bookmarkEnd w:id="45"/>
          </w:p>
        </w:tc>
      </w:tr>
      <w:tr w:rsidR="00D61A55" w:rsidTr="006968F5">
        <w:trPr>
          <w:cantSplit/>
          <w:trHeight w:val="520"/>
          <w:tblHeader/>
        </w:trPr>
        <w:tc>
          <w:tcPr>
            <w:tcW w:w="355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D61A55" w:rsidRDefault="00D61A55" w:rsidP="00E23416">
            <w:pPr>
              <w:pStyle w:val="ExhibitHeading"/>
            </w:pPr>
            <w:r>
              <w:t>Key Assumptions/Uncertainties</w:t>
            </w:r>
          </w:p>
        </w:tc>
        <w:tc>
          <w:tcPr>
            <w:tcW w:w="204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D61A55" w:rsidRDefault="00D61A55" w:rsidP="00E23416">
            <w:pPr>
              <w:pStyle w:val="ExhibitHeading"/>
            </w:pPr>
            <w:r>
              <w:t>Potential Impact on Estimated Burdens and Costs</w:t>
            </w:r>
          </w:p>
        </w:tc>
        <w:tc>
          <w:tcPr>
            <w:tcW w:w="376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D61A55" w:rsidRDefault="00D61A55" w:rsidP="00E23416">
            <w:pPr>
              <w:pStyle w:val="ExhibitHeading"/>
            </w:pPr>
            <w:r>
              <w:t>Comment</w:t>
            </w:r>
          </w:p>
        </w:tc>
      </w:tr>
      <w:tr w:rsidR="00D61A55" w:rsidTr="006968F5">
        <w:trPr>
          <w:cantSplit/>
          <w:trHeight w:val="720"/>
        </w:trPr>
        <w:tc>
          <w:tcPr>
            <w:tcW w:w="355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Labor hours required to implement various provisions is based on best professional judgment.</w:t>
            </w:r>
          </w:p>
        </w:tc>
        <w:tc>
          <w:tcPr>
            <w:tcW w:w="2040"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 xml:space="preserve">Labor hours needed depends on a number of factors including state and tribe sizes, level of economic activity involving dischargers to water, existing regulatory framework, and may be higher or lower than </w:t>
            </w:r>
            <w:r w:rsidR="00775065">
              <w:t xml:space="preserve">the </w:t>
            </w:r>
            <w:r>
              <w:t>EPA’s estimates. The estimates do not account for potential reductions in burden resulting from the increased clarity provided by the proposed rule.</w:t>
            </w:r>
          </w:p>
        </w:tc>
      </w:tr>
      <w:tr w:rsidR="00D61A55" w:rsidTr="006968F5">
        <w:trPr>
          <w:cantSplit/>
          <w:trHeight w:val="720"/>
        </w:trPr>
        <w:tc>
          <w:tcPr>
            <w:tcW w:w="355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Number of states and tribes affected by each provision is uncertain.</w:t>
            </w:r>
          </w:p>
        </w:tc>
        <w:tc>
          <w:tcPr>
            <w:tcW w:w="2040"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 xml:space="preserve">Actual number of states and tribes that will incur costs could be higher or lower than </w:t>
            </w:r>
            <w:r w:rsidR="00DA1275">
              <w:t xml:space="preserve">the </w:t>
            </w:r>
            <w:r>
              <w:t>EPA</w:t>
            </w:r>
            <w:r w:rsidR="00DA1275">
              <w:t>’s</w:t>
            </w:r>
            <w:r>
              <w:t xml:space="preserve"> estimates.</w:t>
            </w:r>
          </w:p>
        </w:tc>
      </w:tr>
      <w:tr w:rsidR="00D61A55" w:rsidTr="006968F5">
        <w:trPr>
          <w:cantSplit/>
          <w:trHeight w:val="70"/>
        </w:trPr>
        <w:tc>
          <w:tcPr>
            <w:tcW w:w="355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Labor costs based are state government wage rates.</w:t>
            </w:r>
          </w:p>
        </w:tc>
        <w:tc>
          <w:tcPr>
            <w:tcW w:w="2040"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 xml:space="preserve">The mix of labor categories (e.g., environmental scientist, engineer, etc.) may be different for individual states from the mix </w:t>
            </w:r>
            <w:r w:rsidR="00DA1275">
              <w:t xml:space="preserve">the </w:t>
            </w:r>
            <w:r>
              <w:t>EPA used to calculate a wage rate. Also, labor costs for authorized tribes and territories may differ from states.</w:t>
            </w:r>
          </w:p>
        </w:tc>
      </w:tr>
      <w:tr w:rsidR="00D61A55" w:rsidTr="006968F5">
        <w:trPr>
          <w:cantSplit/>
          <w:trHeight w:val="70"/>
        </w:trPr>
        <w:tc>
          <w:tcPr>
            <w:tcW w:w="355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No states or tribes set time limits for variances and none review variances during triennial review periods.</w:t>
            </w:r>
          </w:p>
        </w:tc>
        <w:tc>
          <w:tcPr>
            <w:tcW w:w="2040"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Costs would be overestimated for states and tribes that already set expiration or renewal dates or adopt variances as part of their WQS.</w:t>
            </w:r>
          </w:p>
        </w:tc>
      </w:tr>
      <w:tr w:rsidR="00D61A55" w:rsidTr="006968F5">
        <w:trPr>
          <w:cantSplit/>
          <w:trHeight w:val="960"/>
        </w:trPr>
        <w:tc>
          <w:tcPr>
            <w:tcW w:w="355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All states and tribes would undertake a rulemaking effort in response to the proposed rule.</w:t>
            </w:r>
          </w:p>
        </w:tc>
        <w:tc>
          <w:tcPr>
            <w:tcW w:w="2040"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 xml:space="preserve">States and tribes that already have policies and procedures consistent with </w:t>
            </w:r>
            <w:r w:rsidR="00DA1275">
              <w:t xml:space="preserve">the </w:t>
            </w:r>
            <w:r>
              <w:t>EPA’s proposed rule would not incur costs.</w:t>
            </w:r>
          </w:p>
        </w:tc>
      </w:tr>
      <w:tr w:rsidR="00D61A55" w:rsidTr="006968F5">
        <w:trPr>
          <w:cantSplit/>
          <w:trHeight w:val="960"/>
        </w:trPr>
        <w:tc>
          <w:tcPr>
            <w:tcW w:w="3555" w:type="dxa"/>
            <w:tcBorders>
              <w:top w:val="single" w:sz="4" w:space="0" w:color="auto"/>
              <w:left w:val="single" w:sz="4" w:space="0" w:color="auto"/>
              <w:bottom w:val="single" w:sz="4" w:space="0" w:color="auto"/>
              <w:right w:val="single" w:sz="4" w:space="0" w:color="auto"/>
            </w:tcBorders>
            <w:vAlign w:val="center"/>
            <w:hideMark/>
          </w:tcPr>
          <w:p w:rsidR="00D61A55" w:rsidRDefault="004967F2" w:rsidP="00E23416">
            <w:pPr>
              <w:pStyle w:val="ExhibitLeft"/>
            </w:pPr>
            <w:r>
              <w:t>The number of Tier 2 antidegradation requests per year is based on information from two states (Iowa and Missouri).</w:t>
            </w:r>
          </w:p>
        </w:tc>
        <w:tc>
          <w:tcPr>
            <w:tcW w:w="2040" w:type="dxa"/>
            <w:tcBorders>
              <w:top w:val="single" w:sz="4" w:space="0" w:color="auto"/>
              <w:left w:val="single" w:sz="4" w:space="0" w:color="auto"/>
              <w:bottom w:val="single" w:sz="4" w:space="0" w:color="auto"/>
              <w:right w:val="single" w:sz="4" w:space="0" w:color="auto"/>
            </w:tcBorders>
            <w:vAlign w:val="center"/>
            <w:hideMark/>
          </w:tcPr>
          <w:p w:rsidR="00D61A55" w:rsidRDefault="004967F2"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D61A55" w:rsidRPr="00C00798" w:rsidRDefault="004967F2" w:rsidP="00E23416">
            <w:pPr>
              <w:pStyle w:val="ExhibitLeft"/>
              <w:rPr>
                <w:b/>
              </w:rPr>
            </w:pPr>
            <w:r>
              <w:t xml:space="preserve">The actual number of Tier 2 antidegradation requests per state or tribe may be higher or lower than </w:t>
            </w:r>
            <w:r w:rsidR="00DA1275">
              <w:t xml:space="preserve">the </w:t>
            </w:r>
            <w:r>
              <w:t>EPA’s estimates.</w:t>
            </w:r>
          </w:p>
        </w:tc>
      </w:tr>
      <w:tr w:rsidR="00241D56" w:rsidTr="006968F5">
        <w:trPr>
          <w:cantSplit/>
          <w:trHeight w:val="960"/>
        </w:trPr>
        <w:tc>
          <w:tcPr>
            <w:tcW w:w="3555" w:type="dxa"/>
            <w:tcBorders>
              <w:top w:val="single" w:sz="4" w:space="0" w:color="auto"/>
              <w:left w:val="single" w:sz="4" w:space="0" w:color="auto"/>
              <w:bottom w:val="single" w:sz="4" w:space="0" w:color="auto"/>
              <w:right w:val="single" w:sz="4" w:space="0" w:color="auto"/>
            </w:tcBorders>
            <w:vAlign w:val="center"/>
          </w:tcPr>
          <w:p w:rsidR="00241D56" w:rsidRDefault="00241D56" w:rsidP="00E23416">
            <w:pPr>
              <w:pStyle w:val="ExhibitLeft"/>
            </w:pPr>
            <w:r w:rsidRPr="00241D56">
              <w:t>The number of states and tribes that would review additional antidegradation requests for high quality waters is based on the EPA’s assumption of the number of states and tribes that currently exclude waters from Tier 2 protection based on the impairment of one parameter.</w:t>
            </w:r>
          </w:p>
        </w:tc>
        <w:tc>
          <w:tcPr>
            <w:tcW w:w="2040" w:type="dxa"/>
            <w:tcBorders>
              <w:top w:val="single" w:sz="4" w:space="0" w:color="auto"/>
              <w:left w:val="single" w:sz="4" w:space="0" w:color="auto"/>
              <w:bottom w:val="single" w:sz="4" w:space="0" w:color="auto"/>
              <w:right w:val="single" w:sz="4" w:space="0" w:color="auto"/>
            </w:tcBorders>
            <w:vAlign w:val="center"/>
          </w:tcPr>
          <w:p w:rsidR="00241D56" w:rsidRDefault="00241D56"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vAlign w:val="center"/>
          </w:tcPr>
          <w:p w:rsidR="00241D56" w:rsidRDefault="00241D56" w:rsidP="00E23416">
            <w:pPr>
              <w:pStyle w:val="ExhibitLeft"/>
            </w:pPr>
            <w:r w:rsidRPr="00241D56">
              <w:t xml:space="preserve">Additional states and tribes exclude waters from Tier 2 protection based on the </w:t>
            </w:r>
            <w:r w:rsidRPr="00241D56">
              <w:rPr>
                <w:bCs/>
              </w:rPr>
              <w:t>impairment of a group of parameters.</w:t>
            </w:r>
            <w:r w:rsidRPr="00241D56">
              <w:t xml:space="preserve"> Since the proposed rule prohibits states and tribes from excluding Tier 2 protection based solely on the </w:t>
            </w:r>
            <w:r w:rsidRPr="00241D56">
              <w:rPr>
                <w:bCs/>
              </w:rPr>
              <w:t>impairment of a single or group of parameters</w:t>
            </w:r>
            <w:r w:rsidRPr="00241D56">
              <w:t>, this assumption is likely to result in an underestimation of costs.</w:t>
            </w:r>
          </w:p>
        </w:tc>
      </w:tr>
      <w:tr w:rsidR="00D61A55" w:rsidTr="006968F5">
        <w:trPr>
          <w:cantSplit/>
          <w:trHeight w:val="960"/>
        </w:trPr>
        <w:tc>
          <w:tcPr>
            <w:tcW w:w="355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States and tribes would renew three variances per year.</w:t>
            </w:r>
          </w:p>
        </w:tc>
        <w:tc>
          <w:tcPr>
            <w:tcW w:w="2040"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States and tribes may end up reviewing fewer variance requests because current variances may not qualify for renewal under the new requirements, or discharger progress toward interim goals may allow them to meet the standard.</w:t>
            </w:r>
          </w:p>
        </w:tc>
      </w:tr>
      <w:tr w:rsidR="00D61A55" w:rsidTr="006968F5">
        <w:trPr>
          <w:cantSplit/>
          <w:trHeight w:val="960"/>
        </w:trPr>
        <w:tc>
          <w:tcPr>
            <w:tcW w:w="35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1A55" w:rsidRDefault="00D61A55" w:rsidP="00E23416">
            <w:pPr>
              <w:pStyle w:val="ExhibitLeft"/>
            </w:pPr>
            <w:r>
              <w:lastRenderedPageBreak/>
              <w:t xml:space="preserve">States and tribes may be required to undertake activities related to the proposed rule that </w:t>
            </w:r>
            <w:r w:rsidR="00DA1275">
              <w:t xml:space="preserve">the </w:t>
            </w:r>
            <w:r>
              <w:t>EPA has not identified in this analysis.</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1A55" w:rsidRDefault="00D61A55" w:rsidP="00E23416">
            <w:pPr>
              <w:pStyle w:val="ExhibitCenter"/>
              <w:jc w:val="center"/>
            </w:pPr>
            <w:r>
              <w:t>-</w:t>
            </w:r>
          </w:p>
        </w:tc>
        <w:tc>
          <w:tcPr>
            <w:tcW w:w="37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1A55" w:rsidRDefault="00D61A55" w:rsidP="00E23416">
            <w:pPr>
              <w:pStyle w:val="ExhibitLeft"/>
            </w:pPr>
            <w:r>
              <w:t xml:space="preserve">To the extent that affected states and tribes may be required to undertake additional activities that </w:t>
            </w:r>
            <w:r w:rsidR="00DA1275">
              <w:t xml:space="preserve">the </w:t>
            </w:r>
            <w:r>
              <w:t xml:space="preserve">EPA has not identified in this analysis, the analysis may underestimate actual burdens and costs. </w:t>
            </w:r>
          </w:p>
        </w:tc>
      </w:tr>
      <w:tr w:rsidR="00820637" w:rsidTr="006968F5">
        <w:trPr>
          <w:cantSplit/>
          <w:trHeight w:val="960"/>
        </w:trPr>
        <w:tc>
          <w:tcPr>
            <w:tcW w:w="35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637" w:rsidRPr="00820637" w:rsidRDefault="00820637" w:rsidP="00E23416">
            <w:pPr>
              <w:pStyle w:val="ExhibitLeft"/>
            </w:pPr>
            <w:r w:rsidRPr="00820637">
              <w:rPr>
                <w:rFonts w:cs="Helv"/>
                <w:color w:val="000000"/>
              </w:rPr>
              <w:t>Activities may be included in the cost and burden estimates in this ICR which are not information collection activities subject to the Paperwork Reduction Act</w:t>
            </w:r>
            <w:r>
              <w:rPr>
                <w:rFonts w:cs="Helv"/>
                <w:color w:val="000000"/>
              </w:rPr>
              <w:t>.</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637" w:rsidRPr="00820637" w:rsidRDefault="00820637" w:rsidP="00E23416">
            <w:pPr>
              <w:pStyle w:val="ExhibitCenter"/>
              <w:jc w:val="center"/>
              <w:rPr>
                <w:szCs w:val="22"/>
              </w:rPr>
            </w:pPr>
            <w:r w:rsidRPr="00820637">
              <w:rPr>
                <w:szCs w:val="22"/>
              </w:rPr>
              <w:t>+</w:t>
            </w:r>
          </w:p>
        </w:tc>
        <w:tc>
          <w:tcPr>
            <w:tcW w:w="37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637" w:rsidRPr="00820637" w:rsidRDefault="00820637" w:rsidP="00E23416">
            <w:pPr>
              <w:pStyle w:val="ExhibitLeft"/>
            </w:pPr>
            <w:r w:rsidRPr="00820637">
              <w:rPr>
                <w:rFonts w:cs="Helv"/>
                <w:color w:val="000000"/>
              </w:rPr>
              <w:t>To the extent that activities which are not information collection activities subject to the Paperwork Reduction Act are included in the analysis, the analysis may overestimate actual burdens and costs</w:t>
            </w:r>
            <w:r>
              <w:rPr>
                <w:rFonts w:cs="Helv"/>
                <w:color w:val="000000"/>
              </w:rPr>
              <w:t>.</w:t>
            </w:r>
          </w:p>
        </w:tc>
      </w:tr>
      <w:tr w:rsidR="00D61A55" w:rsidTr="006968F5">
        <w:trPr>
          <w:cantSplit/>
          <w:trHeight w:val="70"/>
        </w:trPr>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D61A55" w:rsidRDefault="00D61A55" w:rsidP="00E23416">
            <w:pPr>
              <w:pStyle w:val="ExhibitLeft"/>
            </w:pPr>
            <w:r>
              <w:t>Key:</w:t>
            </w:r>
          </w:p>
          <w:p w:rsidR="00D61A55" w:rsidRDefault="00D61A55" w:rsidP="00E23416">
            <w:pPr>
              <w:pStyle w:val="ExhibitLeft"/>
            </w:pPr>
            <w:r>
              <w:t>“+” = Burdens and costs potentially overestimated</w:t>
            </w:r>
          </w:p>
          <w:p w:rsidR="00D61A55" w:rsidRDefault="00D61A55" w:rsidP="00E23416">
            <w:pPr>
              <w:pStyle w:val="ExhibitLeft"/>
            </w:pPr>
            <w:r>
              <w:t>“-“ = Burdens and costs potentially underestimated</w:t>
            </w:r>
          </w:p>
          <w:p w:rsidR="00D61A55" w:rsidRDefault="00D61A55" w:rsidP="00E23416">
            <w:pPr>
              <w:pStyle w:val="ExhibitLeft"/>
            </w:pPr>
            <w:r>
              <w:t>“?” = Impact on burdens and costs uncertain</w:t>
            </w:r>
          </w:p>
        </w:tc>
      </w:tr>
    </w:tbl>
    <w:p w:rsidR="006A4927" w:rsidRDefault="006A4927" w:rsidP="00D61A55">
      <w:pPr>
        <w:widowControl/>
        <w:tabs>
          <w:tab w:val="left" w:pos="0"/>
        </w:tabs>
        <w:rPr>
          <w:rFonts w:ascii="Times New Roman" w:hAnsi="Times New Roman"/>
          <w:color w:val="000000"/>
        </w:rPr>
      </w:pPr>
    </w:p>
    <w:p w:rsidR="00826119" w:rsidRDefault="00FB4E52">
      <w:pPr>
        <w:pStyle w:val="Heading3"/>
        <w:numPr>
          <w:ilvl w:val="2"/>
          <w:numId w:val="13"/>
        </w:numPr>
      </w:pPr>
      <w:r>
        <w:t>Incremental Agency Burden</w:t>
      </w:r>
    </w:p>
    <w:p w:rsidR="00826119" w:rsidRDefault="00826119">
      <w:pPr>
        <w:rPr>
          <w:rFonts w:ascii="Times New Roman" w:hAnsi="Times New Roman"/>
          <w:color w:val="000000"/>
        </w:rPr>
      </w:pPr>
    </w:p>
    <w:p w:rsidR="00FB4E52" w:rsidRDefault="00FB4E52" w:rsidP="00FB4E52">
      <w:pPr>
        <w:pStyle w:val="BodyText"/>
      </w:pPr>
      <w:r>
        <w:t xml:space="preserve">In addition to the potential burden and costs to states and tribes, the proposed WQS regulation revisions may potentially be associated with incremental burden and costs to the EPA. These incremental burden and costs to the EPA are associated with the potential increase in workload to </w:t>
      </w:r>
      <w:r w:rsidRPr="007E753C">
        <w:t xml:space="preserve">review </w:t>
      </w:r>
      <w:r>
        <w:t xml:space="preserve">the additional </w:t>
      </w:r>
      <w:r w:rsidRPr="007E753C">
        <w:t>WQS program materials</w:t>
      </w:r>
      <w:r>
        <w:t xml:space="preserve"> submitted by states and tribes as a result of the proposed WQS regulation revisions. On the basis of best professional judgment, the EPA conservatively estimates the incremental burden and costs to the EPA based on costs being up to 20% of the costs to states and tribes. Thus, the EPA estimates that one-time incremental costs to the Agency would range from $91,000 ($456,000 × 20%) to $456,000 ($2,280,000 × 20%), and estimated annual incremental costs to the EPA range from $968,000 ($4,838,200 × 20%) to $1,471,000 ($7,357,400 × 20%).</w:t>
      </w:r>
    </w:p>
    <w:p w:rsidR="00FB4E52" w:rsidRDefault="00FB4E52" w:rsidP="00FB4E52">
      <w:pPr>
        <w:pStyle w:val="BodyText"/>
      </w:pPr>
      <w:r>
        <w:t xml:space="preserve">The EPA assumes that the EPA staff who conduct </w:t>
      </w:r>
      <w:r w:rsidRPr="007E753C">
        <w:t>reviews of WQS program materials</w:t>
      </w:r>
      <w:r>
        <w:t xml:space="preserve"> are General Schedule (GS) 13, Step 5 federal employees (including EPA regional staff). In 2013, the average hourly wage rate for all </w:t>
      </w:r>
      <w:r w:rsidRPr="00177465">
        <w:t xml:space="preserve">federal </w:t>
      </w:r>
      <w:r>
        <w:t>employees at this grade and step was $47.22 per hour (U.S. Office of Personnel Management 2013)</w:t>
      </w:r>
      <w:r>
        <w:rPr>
          <w:rStyle w:val="FootnoteReference"/>
        </w:rPr>
        <w:footnoteReference w:id="6"/>
      </w:r>
      <w:r>
        <w:t>. Assuming that benefits and overhead are equal to 60% of the hourly wage, the average loaded hourly wage rate for federal employees is equal to $75.55 ($47.22 per hour + (60% × ($47.22 per hour)). Full-time equivalent (FTE) employees work 2,080 hours per year (40 hours per week × 52 weeks).</w:t>
      </w:r>
    </w:p>
    <w:p w:rsidR="00FB4E52" w:rsidRDefault="00FB4E52" w:rsidP="00FB4E52">
      <w:pPr>
        <w:pStyle w:val="BodyText"/>
      </w:pPr>
      <w:r>
        <w:t xml:space="preserve">Using the average loaded wage rate and the number of hours worked per FTE, the EPA estimated the number of burden hours and the EPA FTEs associated with the increased workload under the proposed WQS regulation revisions. Estimated one-time incremental burden to the EPA ranges from 1,200 hours ($91,000 ÷ $75.55 per hour) to 6,040 hours ($456,000 ÷ $75.55 per hour). These one-time incremental burden estimates correspond to 0.58 FTEs (1,200 burden hours ÷ 2,080 hours worked per FTE per year) </w:t>
      </w:r>
      <w:r>
        <w:lastRenderedPageBreak/>
        <w:t>to 2.90 FTEs (6,040 burden hours ÷ 2,080 hours worked per FTE per year). Estimated annual incremental burden to the EPA ranges from 12,810 hours per year ($968,000 ÷ $75.55 per hour) to 19,470 hours per year ($1,471,000 ÷ $75.55 per hour). These annual incremental burden estimates correspond to 6.16 FTEs per year (12,810 burden hours ÷ 2,080 hours worked per FTE per year) to 9.36 FTEs per year (19,470 burden hours ÷ 2,080 hours worked per FTE per year).</w:t>
      </w:r>
    </w:p>
    <w:p w:rsidR="00FB4E52" w:rsidRDefault="00EA39AA" w:rsidP="00FB4E52">
      <w:pPr>
        <w:pStyle w:val="BodyText"/>
      </w:pPr>
      <w:r>
        <w:fldChar w:fldCharType="begin"/>
      </w:r>
      <w:r w:rsidR="00FB4E52">
        <w:instrText xml:space="preserve"> REF Exhibit310 \h </w:instrText>
      </w:r>
      <w:r>
        <w:fldChar w:fldCharType="separate"/>
      </w:r>
      <w:r w:rsidR="00826119">
        <w:rPr>
          <w:rFonts w:cs="Arial"/>
        </w:rPr>
        <w:t>Table</w:t>
      </w:r>
      <w:r w:rsidR="00826119" w:rsidRPr="002D1D26">
        <w:rPr>
          <w:rFonts w:cs="Arial"/>
        </w:rPr>
        <w:t xml:space="preserve"> </w:t>
      </w:r>
      <w:r w:rsidR="00826119">
        <w:rPr>
          <w:rFonts w:cs="Arial"/>
          <w:noProof/>
          <w:szCs w:val="24"/>
        </w:rPr>
        <w:t>6</w:t>
      </w:r>
      <w:r w:rsidR="00826119">
        <w:rPr>
          <w:rFonts w:cs="Arial"/>
          <w:szCs w:val="24"/>
        </w:rPr>
        <w:t>-5</w:t>
      </w:r>
      <w:r>
        <w:fldChar w:fldCharType="end"/>
      </w:r>
      <w:r w:rsidR="00FB4E52">
        <w:t xml:space="preserve"> summarizes the potential incremental annual burden and costs to the Agency associated with the proposed WQS regulation revisions.</w:t>
      </w:r>
    </w:p>
    <w:tbl>
      <w:tblPr>
        <w:tblW w:w="9496" w:type="dxa"/>
        <w:jc w:val="center"/>
        <w:tblLayout w:type="fixed"/>
        <w:tblCellMar>
          <w:left w:w="58" w:type="dxa"/>
          <w:right w:w="58" w:type="dxa"/>
        </w:tblCellMar>
        <w:tblLook w:val="0000" w:firstRow="0" w:lastRow="0" w:firstColumn="0" w:lastColumn="0" w:noHBand="0" w:noVBand="0"/>
      </w:tblPr>
      <w:tblGrid>
        <w:gridCol w:w="1260"/>
        <w:gridCol w:w="990"/>
        <w:gridCol w:w="1350"/>
        <w:gridCol w:w="900"/>
        <w:gridCol w:w="810"/>
        <w:gridCol w:w="1216"/>
        <w:gridCol w:w="1260"/>
        <w:gridCol w:w="900"/>
        <w:gridCol w:w="810"/>
      </w:tblGrid>
      <w:tr w:rsidR="00FB4E52" w:rsidRPr="002D1D26" w:rsidTr="00826119">
        <w:trPr>
          <w:trHeight w:val="70"/>
          <w:jc w:val="center"/>
        </w:trPr>
        <w:tc>
          <w:tcPr>
            <w:tcW w:w="949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FB4E52" w:rsidRPr="002D1D26" w:rsidRDefault="00826119" w:rsidP="00C4315E">
            <w:pPr>
              <w:pStyle w:val="Caption"/>
              <w:rPr>
                <w:rFonts w:cs="Arial"/>
              </w:rPr>
            </w:pPr>
            <w:bookmarkStart w:id="46" w:name="Exhibit310"/>
            <w:bookmarkStart w:id="47" w:name="_Toc362953288"/>
            <w:r>
              <w:rPr>
                <w:rFonts w:cs="Arial"/>
              </w:rPr>
              <w:t>Table</w:t>
            </w:r>
            <w:r w:rsidR="00FB4E52" w:rsidRPr="002D1D26">
              <w:rPr>
                <w:rFonts w:cs="Arial"/>
              </w:rPr>
              <w:t xml:space="preserve"> </w:t>
            </w:r>
            <w:r w:rsidR="00EA39AA" w:rsidRPr="002D1D26">
              <w:rPr>
                <w:rFonts w:cs="Arial"/>
                <w:szCs w:val="24"/>
              </w:rPr>
              <w:fldChar w:fldCharType="begin"/>
            </w:r>
            <w:r w:rsidR="00FB4E52" w:rsidRPr="002D1D26">
              <w:rPr>
                <w:rFonts w:cs="Arial"/>
                <w:szCs w:val="24"/>
              </w:rPr>
              <w:instrText xml:space="preserve"> STYLEREF 1 \s </w:instrText>
            </w:r>
            <w:r w:rsidR="00EA39AA" w:rsidRPr="002D1D26">
              <w:rPr>
                <w:rFonts w:cs="Arial"/>
                <w:szCs w:val="24"/>
              </w:rPr>
              <w:fldChar w:fldCharType="separate"/>
            </w:r>
            <w:r>
              <w:rPr>
                <w:rFonts w:cs="Arial"/>
                <w:noProof/>
                <w:szCs w:val="24"/>
              </w:rPr>
              <w:t>6</w:t>
            </w:r>
            <w:r w:rsidR="00EA39AA" w:rsidRPr="002D1D26">
              <w:rPr>
                <w:rFonts w:cs="Arial"/>
                <w:szCs w:val="24"/>
              </w:rPr>
              <w:fldChar w:fldCharType="end"/>
            </w:r>
            <w:r>
              <w:rPr>
                <w:rFonts w:cs="Arial"/>
                <w:szCs w:val="24"/>
              </w:rPr>
              <w:t>-5</w:t>
            </w:r>
            <w:bookmarkEnd w:id="46"/>
            <w:r w:rsidR="00FB4E52" w:rsidRPr="002D1D26">
              <w:rPr>
                <w:rFonts w:cs="Arial"/>
              </w:rPr>
              <w:t xml:space="preserve">: Potential Incremental Burden and Costs to the Agency Associated with the Proposed </w:t>
            </w:r>
            <w:bookmarkEnd w:id="47"/>
            <w:r w:rsidR="00FB4E52" w:rsidRPr="002D1D26">
              <w:rPr>
                <w:rFonts w:cs="Arial"/>
              </w:rPr>
              <w:t>Rule</w:t>
            </w:r>
          </w:p>
        </w:tc>
      </w:tr>
      <w:tr w:rsidR="00FB4E52" w:rsidRPr="002D1D26" w:rsidTr="00826119">
        <w:trPr>
          <w:trHeight w:val="305"/>
          <w:jc w:val="center"/>
        </w:trPr>
        <w:tc>
          <w:tcPr>
            <w:tcW w:w="5310" w:type="dxa"/>
            <w:gridSpan w:val="5"/>
            <w:tcBorders>
              <w:top w:val="single" w:sz="4" w:space="0" w:color="auto"/>
              <w:left w:val="single" w:sz="4" w:space="0" w:color="auto"/>
              <w:bottom w:val="single" w:sz="4" w:space="0" w:color="auto"/>
              <w:right w:val="single" w:sz="8" w:space="0" w:color="auto"/>
            </w:tcBorders>
            <w:shd w:val="clear" w:color="auto" w:fill="FFFF99"/>
            <w:vAlign w:val="center"/>
          </w:tcPr>
          <w:p w:rsidR="00FB4E52" w:rsidRDefault="00FB4E52" w:rsidP="00826119">
            <w:pPr>
              <w:pStyle w:val="ExhibitHeading"/>
              <w:keepNext/>
              <w:keepLines/>
            </w:pPr>
            <w:r>
              <w:t>One-time Activities</w:t>
            </w:r>
          </w:p>
        </w:tc>
        <w:tc>
          <w:tcPr>
            <w:tcW w:w="4186"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rsidR="00FB4E52" w:rsidRPr="00314C2D" w:rsidRDefault="00FB4E52" w:rsidP="00826119">
            <w:pPr>
              <w:pStyle w:val="ExhibitHeading"/>
              <w:keepNext/>
              <w:keepLines/>
            </w:pPr>
            <w:r>
              <w:t>Annual Activities</w:t>
            </w:r>
          </w:p>
        </w:tc>
      </w:tr>
      <w:tr w:rsidR="00FB4E52" w:rsidRPr="002D1D26" w:rsidTr="00826119">
        <w:trPr>
          <w:trHeight w:val="350"/>
          <w:jc w:val="center"/>
        </w:trPr>
        <w:tc>
          <w:tcPr>
            <w:tcW w:w="1260" w:type="dxa"/>
            <w:vMerge w:val="restart"/>
            <w:tcBorders>
              <w:top w:val="single" w:sz="4" w:space="0" w:color="auto"/>
              <w:left w:val="single" w:sz="4" w:space="0" w:color="auto"/>
              <w:right w:val="single" w:sz="4" w:space="0" w:color="auto"/>
            </w:tcBorders>
            <w:shd w:val="clear" w:color="auto" w:fill="FFFF99"/>
            <w:vAlign w:val="center"/>
          </w:tcPr>
          <w:p w:rsidR="00FB4E52" w:rsidRPr="00314C2D" w:rsidRDefault="00FB4E52" w:rsidP="00826119">
            <w:pPr>
              <w:pStyle w:val="ExhibitHeading"/>
              <w:keepNext/>
              <w:keepLines/>
            </w:pPr>
            <w:r>
              <w:t>Costs to States and Tribes</w:t>
            </w:r>
            <w:r>
              <w:rPr>
                <w:vertAlign w:val="superscript"/>
              </w:rPr>
              <w:t xml:space="preserve"> </w:t>
            </w:r>
            <w:r w:rsidRPr="00314C2D">
              <w:t>(</w:t>
            </w:r>
            <w:r>
              <w:t>2013$ million</w:t>
            </w:r>
            <w:r w:rsidRPr="00314C2D">
              <w:t>)</w:t>
            </w:r>
          </w:p>
        </w:tc>
        <w:tc>
          <w:tcPr>
            <w:tcW w:w="990" w:type="dxa"/>
            <w:vMerge w:val="restart"/>
            <w:tcBorders>
              <w:top w:val="single" w:sz="4" w:space="0" w:color="auto"/>
              <w:left w:val="single" w:sz="4" w:space="0" w:color="auto"/>
              <w:right w:val="single" w:sz="4" w:space="0" w:color="auto"/>
            </w:tcBorders>
            <w:shd w:val="clear" w:color="auto" w:fill="FFFF99"/>
            <w:vAlign w:val="center"/>
          </w:tcPr>
          <w:p w:rsidR="00FB4E52" w:rsidRPr="00FB0B64" w:rsidRDefault="00FB4E52" w:rsidP="00826119">
            <w:pPr>
              <w:pStyle w:val="ExhibitHeading"/>
              <w:keepNext/>
              <w:keepLines/>
              <w:rPr>
                <w:vertAlign w:val="superscript"/>
              </w:rPr>
            </w:pPr>
            <w:r>
              <w:t>Costs to the Agency</w:t>
            </w:r>
            <w:r w:rsidRPr="00165136">
              <w:rPr>
                <w:vertAlign w:val="superscript"/>
              </w:rPr>
              <w:t>1</w:t>
            </w:r>
            <w:r>
              <w:rPr>
                <w:vertAlign w:val="superscript"/>
              </w:rPr>
              <w:t xml:space="preserve"> </w:t>
            </w:r>
            <w:r w:rsidRPr="00314C2D">
              <w:t>(</w:t>
            </w:r>
            <w:r>
              <w:t>2013$ million</w:t>
            </w:r>
            <w:r w:rsidRPr="00314C2D">
              <w:t>)</w:t>
            </w:r>
          </w:p>
        </w:tc>
        <w:tc>
          <w:tcPr>
            <w:tcW w:w="1350" w:type="dxa"/>
            <w:vMerge w:val="restart"/>
            <w:tcBorders>
              <w:top w:val="single" w:sz="4" w:space="0" w:color="auto"/>
              <w:left w:val="single" w:sz="4" w:space="0" w:color="auto"/>
              <w:right w:val="single" w:sz="4" w:space="0" w:color="auto"/>
            </w:tcBorders>
            <w:shd w:val="clear" w:color="auto" w:fill="FFFF99"/>
            <w:vAlign w:val="center"/>
          </w:tcPr>
          <w:p w:rsidR="00FB4E52" w:rsidRPr="006F0485" w:rsidRDefault="00FB4E52" w:rsidP="00826119">
            <w:pPr>
              <w:pStyle w:val="ExhibitHeading"/>
              <w:keepNext/>
              <w:keepLines/>
              <w:rPr>
                <w:vertAlign w:val="superscript"/>
              </w:rPr>
            </w:pPr>
            <w:r>
              <w:t>Annualized Costs to the Agency (2013$ million per year)</w:t>
            </w:r>
            <w:r>
              <w:rPr>
                <w:vertAlign w:val="superscript"/>
              </w:rPr>
              <w:t>2</w:t>
            </w:r>
          </w:p>
        </w:tc>
        <w:tc>
          <w:tcPr>
            <w:tcW w:w="1710" w:type="dxa"/>
            <w:gridSpan w:val="2"/>
            <w:tcBorders>
              <w:top w:val="single" w:sz="4" w:space="0" w:color="auto"/>
              <w:left w:val="single" w:sz="8" w:space="0" w:color="auto"/>
              <w:bottom w:val="single" w:sz="4" w:space="0" w:color="auto"/>
              <w:right w:val="single" w:sz="8" w:space="0" w:color="auto"/>
            </w:tcBorders>
            <w:shd w:val="clear" w:color="auto" w:fill="FFFF99"/>
            <w:vAlign w:val="center"/>
          </w:tcPr>
          <w:p w:rsidR="00FB4E52" w:rsidRPr="00D62AAB" w:rsidRDefault="00FB4E52" w:rsidP="00826119">
            <w:pPr>
              <w:pStyle w:val="ExhibitHeading"/>
              <w:keepNext/>
              <w:keepLines/>
              <w:rPr>
                <w:vertAlign w:val="superscript"/>
              </w:rPr>
            </w:pPr>
            <w:r>
              <w:t>Burden</w:t>
            </w:r>
          </w:p>
        </w:tc>
        <w:tc>
          <w:tcPr>
            <w:tcW w:w="1216" w:type="dxa"/>
            <w:vMerge w:val="restart"/>
            <w:tcBorders>
              <w:top w:val="single" w:sz="4" w:space="0" w:color="auto"/>
              <w:left w:val="single" w:sz="4" w:space="0" w:color="auto"/>
              <w:right w:val="single" w:sz="4" w:space="0" w:color="auto"/>
            </w:tcBorders>
            <w:shd w:val="clear" w:color="auto" w:fill="FFFF99"/>
            <w:vAlign w:val="center"/>
          </w:tcPr>
          <w:p w:rsidR="00FB4E52" w:rsidRPr="00314C2D" w:rsidRDefault="00FB4E52" w:rsidP="00826119">
            <w:pPr>
              <w:pStyle w:val="ExhibitHeading"/>
              <w:keepNext/>
              <w:keepLines/>
            </w:pPr>
            <w:r>
              <w:t>Costs to States and Tribes</w:t>
            </w:r>
            <w:r>
              <w:rPr>
                <w:vertAlign w:val="superscript"/>
              </w:rPr>
              <w:t xml:space="preserve"> </w:t>
            </w:r>
            <w:r w:rsidRPr="00314C2D">
              <w:t>(</w:t>
            </w:r>
            <w:r>
              <w:t>2013$ million per year</w:t>
            </w:r>
            <w:r w:rsidRPr="00314C2D">
              <w:t>)</w:t>
            </w:r>
          </w:p>
        </w:tc>
        <w:tc>
          <w:tcPr>
            <w:tcW w:w="1260" w:type="dxa"/>
            <w:vMerge w:val="restart"/>
            <w:tcBorders>
              <w:top w:val="single" w:sz="4" w:space="0" w:color="auto"/>
              <w:left w:val="nil"/>
              <w:right w:val="single" w:sz="4" w:space="0" w:color="auto"/>
            </w:tcBorders>
            <w:shd w:val="clear" w:color="auto" w:fill="FFFF99"/>
            <w:vAlign w:val="center"/>
          </w:tcPr>
          <w:p w:rsidR="00FB4E52" w:rsidRPr="00FB0B64" w:rsidRDefault="00FB4E52" w:rsidP="00826119">
            <w:pPr>
              <w:pStyle w:val="ExhibitHeading"/>
              <w:keepNext/>
              <w:keepLines/>
              <w:rPr>
                <w:vertAlign w:val="superscript"/>
              </w:rPr>
            </w:pPr>
            <w:r>
              <w:t>Costs to the Agency</w:t>
            </w:r>
            <w:r w:rsidRPr="00165136">
              <w:rPr>
                <w:vertAlign w:val="superscript"/>
              </w:rPr>
              <w:t>1</w:t>
            </w:r>
            <w:r>
              <w:rPr>
                <w:vertAlign w:val="superscript"/>
              </w:rPr>
              <w:t xml:space="preserve"> </w:t>
            </w:r>
            <w:r w:rsidRPr="00314C2D">
              <w:t>(</w:t>
            </w:r>
            <w:r>
              <w:t>2013$ million per year</w:t>
            </w:r>
            <w:r w:rsidRPr="00314C2D">
              <w:t>)</w:t>
            </w:r>
          </w:p>
        </w:tc>
        <w:tc>
          <w:tcPr>
            <w:tcW w:w="1710" w:type="dxa"/>
            <w:gridSpan w:val="2"/>
            <w:tcBorders>
              <w:top w:val="single" w:sz="4" w:space="0" w:color="auto"/>
              <w:left w:val="nil"/>
              <w:bottom w:val="single" w:sz="4" w:space="0" w:color="auto"/>
              <w:right w:val="single" w:sz="4" w:space="0" w:color="auto"/>
            </w:tcBorders>
            <w:shd w:val="clear" w:color="auto" w:fill="FFFF99"/>
            <w:vAlign w:val="center"/>
          </w:tcPr>
          <w:p w:rsidR="00FB4E52" w:rsidRPr="00D62AAB" w:rsidRDefault="00FB4E52" w:rsidP="00826119">
            <w:pPr>
              <w:pStyle w:val="ExhibitHeading"/>
              <w:keepNext/>
              <w:keepLines/>
              <w:rPr>
                <w:vertAlign w:val="superscript"/>
              </w:rPr>
            </w:pPr>
            <w:r>
              <w:t>Burden</w:t>
            </w:r>
          </w:p>
        </w:tc>
      </w:tr>
      <w:tr w:rsidR="00FB4E52" w:rsidRPr="002D1D26" w:rsidTr="00826119">
        <w:trPr>
          <w:trHeight w:val="600"/>
          <w:jc w:val="center"/>
        </w:trPr>
        <w:tc>
          <w:tcPr>
            <w:tcW w:w="1260" w:type="dxa"/>
            <w:vMerge/>
            <w:tcBorders>
              <w:left w:val="single" w:sz="4" w:space="0" w:color="auto"/>
              <w:bottom w:val="single" w:sz="4" w:space="0" w:color="auto"/>
              <w:right w:val="single" w:sz="4" w:space="0" w:color="auto"/>
            </w:tcBorders>
            <w:shd w:val="clear" w:color="auto" w:fill="FFFF99"/>
            <w:vAlign w:val="center"/>
          </w:tcPr>
          <w:p w:rsidR="00FB4E52" w:rsidRDefault="00FB4E52" w:rsidP="00826119">
            <w:pPr>
              <w:pStyle w:val="ExhibitHeading"/>
              <w:keepNext/>
              <w:keepLines/>
            </w:pPr>
          </w:p>
        </w:tc>
        <w:tc>
          <w:tcPr>
            <w:tcW w:w="990" w:type="dxa"/>
            <w:vMerge/>
            <w:tcBorders>
              <w:left w:val="single" w:sz="4" w:space="0" w:color="auto"/>
              <w:bottom w:val="single" w:sz="4" w:space="0" w:color="auto"/>
              <w:right w:val="single" w:sz="4" w:space="0" w:color="auto"/>
            </w:tcBorders>
            <w:shd w:val="clear" w:color="auto" w:fill="FFFF99"/>
            <w:vAlign w:val="center"/>
          </w:tcPr>
          <w:p w:rsidR="00FB4E52" w:rsidRDefault="00FB4E52" w:rsidP="00826119">
            <w:pPr>
              <w:pStyle w:val="ExhibitHeading"/>
              <w:keepNext/>
              <w:keepLines/>
            </w:pPr>
          </w:p>
        </w:tc>
        <w:tc>
          <w:tcPr>
            <w:tcW w:w="1350" w:type="dxa"/>
            <w:vMerge/>
            <w:tcBorders>
              <w:left w:val="single" w:sz="4" w:space="0" w:color="auto"/>
              <w:bottom w:val="single" w:sz="4" w:space="0" w:color="auto"/>
              <w:right w:val="single" w:sz="4" w:space="0" w:color="auto"/>
            </w:tcBorders>
            <w:shd w:val="clear" w:color="auto" w:fill="FFFF99"/>
            <w:vAlign w:val="center"/>
          </w:tcPr>
          <w:p w:rsidR="00FB4E52" w:rsidRDefault="00FB4E52" w:rsidP="00826119">
            <w:pPr>
              <w:pStyle w:val="ExhibitHeading"/>
              <w:keepNext/>
              <w:keepLines/>
            </w:pPr>
          </w:p>
        </w:tc>
        <w:tc>
          <w:tcPr>
            <w:tcW w:w="900" w:type="dxa"/>
            <w:tcBorders>
              <w:top w:val="single" w:sz="4" w:space="0" w:color="auto"/>
              <w:left w:val="single" w:sz="8" w:space="0" w:color="auto"/>
              <w:bottom w:val="single" w:sz="4" w:space="0" w:color="auto"/>
              <w:right w:val="single" w:sz="8" w:space="0" w:color="auto"/>
            </w:tcBorders>
            <w:shd w:val="clear" w:color="auto" w:fill="FFFF99"/>
            <w:vAlign w:val="center"/>
          </w:tcPr>
          <w:p w:rsidR="00FB4E52" w:rsidRDefault="00FB4E52" w:rsidP="00826119">
            <w:pPr>
              <w:pStyle w:val="ExhibitHeading"/>
              <w:keepNext/>
              <w:keepLines/>
            </w:pPr>
            <w:r>
              <w:t>Hours</w:t>
            </w:r>
            <w:r>
              <w:rPr>
                <w:vertAlign w:val="superscript"/>
              </w:rPr>
              <w:t>3</w:t>
            </w:r>
          </w:p>
        </w:tc>
        <w:tc>
          <w:tcPr>
            <w:tcW w:w="810" w:type="dxa"/>
            <w:tcBorders>
              <w:top w:val="single" w:sz="4" w:space="0" w:color="auto"/>
              <w:left w:val="single" w:sz="8" w:space="0" w:color="auto"/>
              <w:bottom w:val="single" w:sz="4" w:space="0" w:color="auto"/>
              <w:right w:val="single" w:sz="8" w:space="0" w:color="auto"/>
            </w:tcBorders>
            <w:shd w:val="clear" w:color="auto" w:fill="FFFF99"/>
            <w:vAlign w:val="center"/>
          </w:tcPr>
          <w:p w:rsidR="00FB4E52" w:rsidRDefault="00FB4E52" w:rsidP="00826119">
            <w:pPr>
              <w:pStyle w:val="ExhibitHeading"/>
              <w:keepNext/>
              <w:keepLines/>
            </w:pPr>
            <w:r>
              <w:t>FTEs</w:t>
            </w:r>
            <w:r>
              <w:rPr>
                <w:vertAlign w:val="superscript"/>
              </w:rPr>
              <w:t>4</w:t>
            </w:r>
          </w:p>
        </w:tc>
        <w:tc>
          <w:tcPr>
            <w:tcW w:w="1216" w:type="dxa"/>
            <w:vMerge/>
            <w:tcBorders>
              <w:left w:val="single" w:sz="4" w:space="0" w:color="auto"/>
              <w:bottom w:val="single" w:sz="4" w:space="0" w:color="auto"/>
              <w:right w:val="single" w:sz="4" w:space="0" w:color="auto"/>
            </w:tcBorders>
            <w:shd w:val="clear" w:color="auto" w:fill="FFFF99"/>
            <w:vAlign w:val="center"/>
          </w:tcPr>
          <w:p w:rsidR="00FB4E52" w:rsidRDefault="00FB4E52" w:rsidP="00826119">
            <w:pPr>
              <w:pStyle w:val="ExhibitHeading"/>
              <w:keepNext/>
              <w:keepLines/>
            </w:pPr>
          </w:p>
        </w:tc>
        <w:tc>
          <w:tcPr>
            <w:tcW w:w="1260" w:type="dxa"/>
            <w:vMerge/>
            <w:tcBorders>
              <w:left w:val="nil"/>
              <w:bottom w:val="single" w:sz="4" w:space="0" w:color="auto"/>
              <w:right w:val="single" w:sz="4" w:space="0" w:color="auto"/>
            </w:tcBorders>
            <w:shd w:val="clear" w:color="auto" w:fill="FFFF99"/>
            <w:vAlign w:val="center"/>
          </w:tcPr>
          <w:p w:rsidR="00FB4E52" w:rsidRDefault="00FB4E52" w:rsidP="00826119">
            <w:pPr>
              <w:pStyle w:val="ExhibitHeading"/>
              <w:keepNext/>
              <w:keepLines/>
            </w:pPr>
          </w:p>
        </w:tc>
        <w:tc>
          <w:tcPr>
            <w:tcW w:w="900" w:type="dxa"/>
            <w:tcBorders>
              <w:top w:val="single" w:sz="4" w:space="0" w:color="auto"/>
              <w:left w:val="nil"/>
              <w:bottom w:val="single" w:sz="4" w:space="0" w:color="auto"/>
              <w:right w:val="single" w:sz="4" w:space="0" w:color="auto"/>
            </w:tcBorders>
            <w:shd w:val="clear" w:color="auto" w:fill="FFFF99"/>
            <w:vAlign w:val="center"/>
          </w:tcPr>
          <w:p w:rsidR="00FB4E52" w:rsidRDefault="00FB4E52" w:rsidP="00826119">
            <w:pPr>
              <w:pStyle w:val="ExhibitHeading"/>
              <w:keepNext/>
              <w:keepLines/>
            </w:pPr>
            <w:r>
              <w:t>Hours per year</w:t>
            </w:r>
            <w:r>
              <w:rPr>
                <w:vertAlign w:val="superscript"/>
              </w:rPr>
              <w:t>3</w:t>
            </w:r>
          </w:p>
        </w:tc>
        <w:tc>
          <w:tcPr>
            <w:tcW w:w="810" w:type="dxa"/>
            <w:tcBorders>
              <w:top w:val="single" w:sz="4" w:space="0" w:color="auto"/>
              <w:left w:val="nil"/>
              <w:bottom w:val="single" w:sz="4" w:space="0" w:color="auto"/>
              <w:right w:val="single" w:sz="4" w:space="0" w:color="auto"/>
            </w:tcBorders>
            <w:shd w:val="clear" w:color="auto" w:fill="FFFF99"/>
            <w:vAlign w:val="center"/>
          </w:tcPr>
          <w:p w:rsidR="00FB4E52" w:rsidRDefault="00FB4E52" w:rsidP="00826119">
            <w:pPr>
              <w:pStyle w:val="ExhibitHeading"/>
              <w:keepNext/>
              <w:keepLines/>
            </w:pPr>
            <w:r>
              <w:t>FTEs per year</w:t>
            </w:r>
            <w:r>
              <w:rPr>
                <w:vertAlign w:val="superscript"/>
              </w:rPr>
              <w:t>4</w:t>
            </w:r>
          </w:p>
        </w:tc>
      </w:tr>
      <w:tr w:rsidR="00FB4E52" w:rsidRPr="002D1D26" w:rsidTr="00826119">
        <w:trPr>
          <w:trHeight w:val="70"/>
          <w:jc w:val="center"/>
        </w:trPr>
        <w:tc>
          <w:tcPr>
            <w:tcW w:w="1260" w:type="dxa"/>
            <w:tcBorders>
              <w:top w:val="single" w:sz="4" w:space="0" w:color="auto"/>
              <w:left w:val="single" w:sz="4" w:space="0" w:color="auto"/>
              <w:bottom w:val="single" w:sz="4" w:space="0" w:color="auto"/>
              <w:right w:val="single" w:sz="4" w:space="0" w:color="auto"/>
            </w:tcBorders>
            <w:vAlign w:val="center"/>
          </w:tcPr>
          <w:p w:rsidR="00FB4E52" w:rsidRPr="002D1D26" w:rsidRDefault="00FB4E52" w:rsidP="00826119">
            <w:pPr>
              <w:jc w:val="center"/>
              <w:rPr>
                <w:rFonts w:ascii="Garamond" w:hAnsi="Garamond" w:cs="Arial"/>
              </w:rPr>
            </w:pPr>
            <w:r w:rsidRPr="002D1D26">
              <w:rPr>
                <w:rFonts w:ascii="Garamond" w:hAnsi="Garamond" w:cs="Arial"/>
              </w:rPr>
              <w:t>$0.46 - $2.28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B4E52" w:rsidRPr="002D1D26" w:rsidRDefault="00FB4E52" w:rsidP="00826119">
            <w:pPr>
              <w:jc w:val="center"/>
              <w:rPr>
                <w:rFonts w:ascii="Garamond" w:hAnsi="Garamond" w:cs="Arial"/>
              </w:rPr>
            </w:pPr>
            <w:r w:rsidRPr="002D1D26">
              <w:rPr>
                <w:rFonts w:ascii="Garamond" w:hAnsi="Garamond" w:cs="Arial"/>
              </w:rPr>
              <w:t>$0.09 - $0.46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B4E52" w:rsidRPr="002D1D26" w:rsidRDefault="00FB4E52" w:rsidP="00826119">
            <w:pPr>
              <w:jc w:val="center"/>
              <w:rPr>
                <w:rFonts w:ascii="Garamond" w:hAnsi="Garamond" w:cs="Arial"/>
              </w:rPr>
            </w:pPr>
            <w:r w:rsidRPr="002D1D26">
              <w:rPr>
                <w:rFonts w:ascii="Garamond" w:hAnsi="Garamond" w:cs="Arial"/>
              </w:rPr>
              <w:t>$0.01 - $0.03</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FB4E52" w:rsidRPr="002D1D26" w:rsidRDefault="00FB4E52" w:rsidP="00826119">
            <w:pPr>
              <w:jc w:val="center"/>
              <w:rPr>
                <w:rFonts w:ascii="Garamond" w:hAnsi="Garamond" w:cs="Arial"/>
              </w:rPr>
            </w:pPr>
            <w:r w:rsidRPr="002D1D26">
              <w:rPr>
                <w:rFonts w:ascii="Garamond" w:hAnsi="Garamond" w:cs="Arial"/>
              </w:rPr>
              <w:t>1,200 - 6,040</w:t>
            </w:r>
          </w:p>
        </w:tc>
        <w:tc>
          <w:tcPr>
            <w:tcW w:w="810" w:type="dxa"/>
            <w:tcBorders>
              <w:top w:val="single" w:sz="4" w:space="0" w:color="auto"/>
              <w:left w:val="nil"/>
              <w:bottom w:val="single" w:sz="4" w:space="0" w:color="auto"/>
              <w:right w:val="single" w:sz="4" w:space="0" w:color="auto"/>
            </w:tcBorders>
            <w:shd w:val="clear" w:color="auto" w:fill="auto"/>
            <w:vAlign w:val="center"/>
          </w:tcPr>
          <w:p w:rsidR="00FB4E52" w:rsidRPr="002D1D26" w:rsidRDefault="00FB4E52" w:rsidP="00826119">
            <w:pPr>
              <w:jc w:val="center"/>
              <w:rPr>
                <w:rFonts w:ascii="Garamond" w:hAnsi="Garamond" w:cs="Arial"/>
              </w:rPr>
            </w:pPr>
            <w:r w:rsidRPr="002D1D26">
              <w:rPr>
                <w:rFonts w:ascii="Garamond" w:hAnsi="Garamond" w:cs="Arial"/>
              </w:rPr>
              <w:t>0.58 - 2.9</w:t>
            </w: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FB4E52" w:rsidRPr="002D1D26" w:rsidRDefault="00FB4E52" w:rsidP="00826119">
            <w:pPr>
              <w:jc w:val="center"/>
              <w:rPr>
                <w:rFonts w:ascii="Garamond" w:hAnsi="Garamond" w:cs="Arial"/>
              </w:rPr>
            </w:pPr>
            <w:r w:rsidRPr="002D1D26">
              <w:rPr>
                <w:rFonts w:ascii="Garamond" w:hAnsi="Garamond" w:cs="Arial"/>
              </w:rPr>
              <w:t>$4.84 - $7.36</w:t>
            </w:r>
          </w:p>
        </w:tc>
        <w:tc>
          <w:tcPr>
            <w:tcW w:w="1260" w:type="dxa"/>
            <w:tcBorders>
              <w:top w:val="single" w:sz="4" w:space="0" w:color="auto"/>
              <w:left w:val="nil"/>
              <w:bottom w:val="single" w:sz="4" w:space="0" w:color="auto"/>
              <w:right w:val="single" w:sz="4" w:space="0" w:color="auto"/>
            </w:tcBorders>
            <w:shd w:val="clear" w:color="auto" w:fill="auto"/>
            <w:vAlign w:val="center"/>
          </w:tcPr>
          <w:p w:rsidR="00FB4E52" w:rsidRPr="002D1D26" w:rsidRDefault="00FB4E52" w:rsidP="00826119">
            <w:pPr>
              <w:jc w:val="center"/>
              <w:rPr>
                <w:rFonts w:ascii="Garamond" w:hAnsi="Garamond" w:cs="Arial"/>
              </w:rPr>
            </w:pPr>
            <w:r w:rsidRPr="002D1D26">
              <w:rPr>
                <w:rFonts w:ascii="Garamond" w:hAnsi="Garamond" w:cs="Arial"/>
              </w:rPr>
              <w:t>$0.97 - $1.47</w:t>
            </w:r>
          </w:p>
        </w:tc>
        <w:tc>
          <w:tcPr>
            <w:tcW w:w="900" w:type="dxa"/>
            <w:tcBorders>
              <w:top w:val="single" w:sz="4" w:space="0" w:color="auto"/>
              <w:left w:val="nil"/>
              <w:bottom w:val="single" w:sz="4" w:space="0" w:color="auto"/>
              <w:right w:val="single" w:sz="4" w:space="0" w:color="auto"/>
            </w:tcBorders>
            <w:shd w:val="clear" w:color="auto" w:fill="auto"/>
            <w:vAlign w:val="center"/>
          </w:tcPr>
          <w:p w:rsidR="00FB4E52" w:rsidRPr="002D1D26" w:rsidRDefault="00FB4E52" w:rsidP="00826119">
            <w:pPr>
              <w:jc w:val="center"/>
              <w:rPr>
                <w:rFonts w:ascii="Garamond" w:hAnsi="Garamond" w:cs="Arial"/>
              </w:rPr>
            </w:pPr>
            <w:r w:rsidRPr="002D1D26">
              <w:rPr>
                <w:rFonts w:ascii="Garamond" w:hAnsi="Garamond" w:cs="Arial"/>
              </w:rPr>
              <w:t>12,810 - 19,470</w:t>
            </w:r>
          </w:p>
        </w:tc>
        <w:tc>
          <w:tcPr>
            <w:tcW w:w="810" w:type="dxa"/>
            <w:tcBorders>
              <w:top w:val="single" w:sz="4" w:space="0" w:color="auto"/>
              <w:left w:val="nil"/>
              <w:bottom w:val="single" w:sz="4" w:space="0" w:color="auto"/>
              <w:right w:val="single" w:sz="4" w:space="0" w:color="auto"/>
            </w:tcBorders>
            <w:shd w:val="clear" w:color="auto" w:fill="auto"/>
            <w:vAlign w:val="center"/>
          </w:tcPr>
          <w:p w:rsidR="00FB4E52" w:rsidRPr="002D1D26" w:rsidRDefault="00FB4E52" w:rsidP="00826119">
            <w:pPr>
              <w:jc w:val="center"/>
              <w:rPr>
                <w:rFonts w:ascii="Garamond" w:hAnsi="Garamond" w:cs="Arial"/>
              </w:rPr>
            </w:pPr>
            <w:r w:rsidRPr="002D1D26">
              <w:rPr>
                <w:rFonts w:ascii="Garamond" w:hAnsi="Garamond" w:cs="Arial"/>
              </w:rPr>
              <w:t>6.16 - 9.36</w:t>
            </w:r>
          </w:p>
        </w:tc>
      </w:tr>
      <w:tr w:rsidR="00FB4E52" w:rsidRPr="002D1D26" w:rsidTr="00826119">
        <w:trPr>
          <w:trHeight w:val="135"/>
          <w:jc w:val="center"/>
        </w:trPr>
        <w:tc>
          <w:tcPr>
            <w:tcW w:w="9496" w:type="dxa"/>
            <w:gridSpan w:val="9"/>
            <w:tcBorders>
              <w:top w:val="single" w:sz="4" w:space="0" w:color="auto"/>
              <w:left w:val="single" w:sz="4" w:space="0" w:color="auto"/>
              <w:bottom w:val="single" w:sz="4" w:space="0" w:color="auto"/>
              <w:right w:val="single" w:sz="4" w:space="0" w:color="auto"/>
            </w:tcBorders>
            <w:vAlign w:val="center"/>
          </w:tcPr>
          <w:p w:rsidR="00FB4E52" w:rsidRDefault="00FB4E52" w:rsidP="00826119">
            <w:pPr>
              <w:pStyle w:val="ExhibitLeft"/>
              <w:keepNext/>
              <w:keepLines/>
            </w:pPr>
            <w:r>
              <w:t xml:space="preserve">1. Assuming that the incremental costs to the EPA are equal to 20% of the costs to states and tribes. </w:t>
            </w:r>
          </w:p>
          <w:p w:rsidR="00FB4E52" w:rsidRDefault="00FB4E52" w:rsidP="00826119">
            <w:pPr>
              <w:pStyle w:val="ExhibitLeft"/>
              <w:keepNext/>
              <w:keepLines/>
            </w:pPr>
            <w:r>
              <w:t>2. Although the EPA expects these one-time costs to be incurred over an initial three year period, the costs are annualized at 3% discount rate over 20 years for comparative purposes.</w:t>
            </w:r>
          </w:p>
          <w:p w:rsidR="00FB4E52" w:rsidRDefault="00FB4E52" w:rsidP="00826119">
            <w:pPr>
              <w:pStyle w:val="ExhibitLeft"/>
              <w:keepNext/>
              <w:keepLines/>
            </w:pPr>
            <w:r>
              <w:t>3. Total costs to the Agency divided by hourly wage rate ($75.55 per hour).</w:t>
            </w:r>
          </w:p>
          <w:p w:rsidR="00FB4E52" w:rsidRDefault="00FB4E52" w:rsidP="00826119">
            <w:pPr>
              <w:pStyle w:val="ExhibitLeft"/>
              <w:keepNext/>
              <w:keepLines/>
            </w:pPr>
            <w:r>
              <w:t>4. Burden hours to the Agency divided by hours worked by full-time equivalent (FTE) employees per year (2,080 hours per year).</w:t>
            </w:r>
          </w:p>
        </w:tc>
      </w:tr>
    </w:tbl>
    <w:p w:rsidR="00FB4E52" w:rsidRDefault="00FB4E52" w:rsidP="00FB4E52">
      <w:pPr>
        <w:pStyle w:val="BodyText"/>
      </w:pPr>
    </w:p>
    <w:p w:rsidR="00FB4E52" w:rsidRDefault="00FB4E52" w:rsidP="00D61A55">
      <w:pPr>
        <w:widowControl/>
        <w:tabs>
          <w:tab w:val="left" w:pos="0"/>
        </w:tabs>
        <w:rPr>
          <w:rFonts w:ascii="Times New Roman" w:hAnsi="Times New Roman"/>
          <w:color w:val="000000"/>
        </w:rPr>
      </w:pPr>
    </w:p>
    <w:p w:rsidR="00D9711C" w:rsidRDefault="00D9711C" w:rsidP="00704F82">
      <w:pPr>
        <w:pStyle w:val="Heading2"/>
      </w:pPr>
      <w:bookmarkStart w:id="48" w:name="_Toc361990624"/>
      <w:r>
        <w:t>Potential Incremental Benefits Associated with the Proposed Rule</w:t>
      </w:r>
      <w:bookmarkEnd w:id="48"/>
    </w:p>
    <w:p w:rsidR="00580340" w:rsidRDefault="00580340" w:rsidP="00D9711C">
      <w:pPr>
        <w:widowControl/>
        <w:tabs>
          <w:tab w:val="left" w:pos="0"/>
        </w:tabs>
        <w:rPr>
          <w:rFonts w:ascii="Times New Roman" w:hAnsi="Times New Roman"/>
          <w:color w:val="000000"/>
        </w:rPr>
      </w:pPr>
    </w:p>
    <w:p w:rsidR="00D9711C" w:rsidRPr="00D9711C" w:rsidRDefault="00D9711C" w:rsidP="00D9711C">
      <w:pPr>
        <w:widowControl/>
        <w:tabs>
          <w:tab w:val="left" w:pos="0"/>
        </w:tabs>
        <w:rPr>
          <w:rFonts w:ascii="Times New Roman" w:hAnsi="Times New Roman"/>
          <w:color w:val="000000"/>
        </w:rPr>
      </w:pPr>
      <w:r>
        <w:rPr>
          <w:rFonts w:ascii="Times New Roman" w:hAnsi="Times New Roman"/>
          <w:color w:val="000000"/>
        </w:rPr>
        <w:tab/>
        <w:t>The proposed rule is expected to improve the CWA’s effectiveness of restoring and maintaining the chemical, physical, and biological integrity of the nation’s waters.</w:t>
      </w:r>
      <w:r w:rsidR="0068763C">
        <w:rPr>
          <w:rFonts w:ascii="Times New Roman" w:hAnsi="Times New Roman"/>
          <w:color w:val="000000"/>
        </w:rPr>
        <w:t xml:space="preserve"> </w:t>
      </w:r>
      <w:r w:rsidR="0019285A">
        <w:rPr>
          <w:rFonts w:ascii="Times New Roman" w:hAnsi="Times New Roman"/>
          <w:color w:val="000000"/>
        </w:rPr>
        <w:t xml:space="preserve">The </w:t>
      </w:r>
      <w:r>
        <w:rPr>
          <w:rFonts w:ascii="Times New Roman" w:hAnsi="Times New Roman"/>
          <w:color w:val="000000"/>
        </w:rPr>
        <w:t>EPA believes that states and tribes, other stakeholders, and the public will benefit from the clarification in these key areas to better understand and make proper use of available CWA tools and flexibilities, while maintaining open and transparent</w:t>
      </w:r>
      <w:r w:rsidR="0068763C">
        <w:rPr>
          <w:rFonts w:ascii="Times New Roman" w:hAnsi="Times New Roman"/>
          <w:color w:val="000000"/>
        </w:rPr>
        <w:t xml:space="preserve"> </w:t>
      </w:r>
      <w:r>
        <w:rPr>
          <w:rFonts w:ascii="Times New Roman" w:hAnsi="Times New Roman"/>
          <w:color w:val="000000"/>
        </w:rPr>
        <w:t>public participation.</w:t>
      </w:r>
      <w:r w:rsidR="0068763C">
        <w:rPr>
          <w:rFonts w:ascii="Times New Roman" w:hAnsi="Times New Roman"/>
          <w:color w:val="000000"/>
        </w:rPr>
        <w:t xml:space="preserve"> </w:t>
      </w:r>
      <w:r>
        <w:rPr>
          <w:rFonts w:ascii="Times New Roman" w:hAnsi="Times New Roman"/>
          <w:color w:val="000000"/>
        </w:rPr>
        <w:t>Clear regulatory requirements and improved implementation will provide a more transparent and well-defined pathway for maintaining and restoring the biological, chemical, and physical integrity of the nation’s waters.</w:t>
      </w:r>
      <w:r w:rsidR="0068763C">
        <w:rPr>
          <w:rFonts w:ascii="Times New Roman" w:hAnsi="Times New Roman"/>
          <w:color w:val="000000"/>
        </w:rPr>
        <w:t xml:space="preserve"> </w:t>
      </w:r>
      <w:r>
        <w:rPr>
          <w:rFonts w:ascii="Times New Roman" w:hAnsi="Times New Roman"/>
          <w:color w:val="000000"/>
        </w:rPr>
        <w:t>In addition to the benefits of each proposed revision, there are potential benefits of improving and maintaining and nation’s waters as a result of today’s rule.</w:t>
      </w:r>
      <w:r w:rsidR="0068763C">
        <w:rPr>
          <w:rFonts w:ascii="Times New Roman" w:hAnsi="Times New Roman"/>
          <w:color w:val="000000"/>
        </w:rPr>
        <w:t xml:space="preserve"> </w:t>
      </w:r>
      <w:r>
        <w:rPr>
          <w:rFonts w:ascii="Times New Roman" w:hAnsi="Times New Roman"/>
          <w:color w:val="000000"/>
        </w:rPr>
        <w:t>One market benefit is water supply and use, including drinking water treatment and household water use, agricultural water use, reservoir dredging, and industrial water use.</w:t>
      </w:r>
      <w:r w:rsidR="0068763C">
        <w:rPr>
          <w:rFonts w:ascii="Times New Roman" w:hAnsi="Times New Roman"/>
          <w:color w:val="000000"/>
        </w:rPr>
        <w:t xml:space="preserve"> </w:t>
      </w:r>
      <w:r>
        <w:rPr>
          <w:rFonts w:ascii="Times New Roman" w:hAnsi="Times New Roman"/>
          <w:color w:val="000000"/>
        </w:rPr>
        <w:t>Other market benefits consist of commercial fishing and public and private property ownership.</w:t>
      </w:r>
      <w:r w:rsidR="0068763C">
        <w:rPr>
          <w:rFonts w:ascii="Times New Roman" w:hAnsi="Times New Roman"/>
          <w:color w:val="000000"/>
        </w:rPr>
        <w:t xml:space="preserve"> </w:t>
      </w:r>
      <w:r>
        <w:rPr>
          <w:rFonts w:ascii="Times New Roman" w:hAnsi="Times New Roman"/>
          <w:color w:val="000000"/>
        </w:rPr>
        <w:t>Nonmarket benefits include human health improvements, recreational benefits, and nonuse benefits.</w:t>
      </w:r>
    </w:p>
    <w:p w:rsidR="00D9711C" w:rsidRDefault="00D9711C" w:rsidP="00D61A55">
      <w:pPr>
        <w:widowControl/>
        <w:tabs>
          <w:tab w:val="left" w:pos="0"/>
        </w:tabs>
        <w:rPr>
          <w:rFonts w:ascii="Times New Roman" w:hAnsi="Times New Roman"/>
          <w:color w:val="000000"/>
        </w:rPr>
      </w:pPr>
    </w:p>
    <w:p w:rsidR="00972FB2" w:rsidRDefault="00972FB2" w:rsidP="00704F82">
      <w:pPr>
        <w:pStyle w:val="Heading2"/>
      </w:pPr>
      <w:bookmarkStart w:id="49" w:name="_Toc361990625"/>
      <w:r>
        <w:t>Reasons for Change in Burden</w:t>
      </w:r>
      <w:bookmarkEnd w:id="49"/>
    </w:p>
    <w:p w:rsidR="00972FB2" w:rsidRDefault="00972FB2" w:rsidP="00972FB2">
      <w:pPr>
        <w:widowControl/>
        <w:tabs>
          <w:tab w:val="left" w:pos="0"/>
        </w:tabs>
        <w:rPr>
          <w:rFonts w:ascii="Times New Roman Bold" w:hAnsi="Times New Roman Bold"/>
          <w:b/>
          <w:bCs/>
          <w:smallCaps/>
          <w:color w:val="000000"/>
        </w:rPr>
      </w:pPr>
    </w:p>
    <w:p w:rsidR="00972FB2" w:rsidRPr="00972FB2" w:rsidRDefault="00972FB2" w:rsidP="00972FB2">
      <w:pPr>
        <w:widowControl/>
        <w:tabs>
          <w:tab w:val="left" w:pos="0"/>
        </w:tabs>
        <w:rPr>
          <w:rFonts w:ascii="Times New Roman" w:hAnsi="Times New Roman"/>
          <w:bCs/>
          <w:color w:val="000000"/>
        </w:rPr>
      </w:pPr>
      <w:r>
        <w:rPr>
          <w:rFonts w:ascii="Times New Roman" w:hAnsi="Times New Roman"/>
          <w:bCs/>
          <w:color w:val="000000"/>
        </w:rPr>
        <w:lastRenderedPageBreak/>
        <w:tab/>
      </w:r>
      <w:r w:rsidR="0019285A">
        <w:rPr>
          <w:rFonts w:ascii="Times New Roman" w:hAnsi="Times New Roman"/>
          <w:bCs/>
          <w:color w:val="000000"/>
        </w:rPr>
        <w:t xml:space="preserve">The </w:t>
      </w:r>
      <w:r>
        <w:rPr>
          <w:rFonts w:ascii="Times New Roman" w:hAnsi="Times New Roman"/>
          <w:bCs/>
          <w:color w:val="000000"/>
        </w:rPr>
        <w:t>EPA is proposing to amend the WQS regulation at 40 CFR Part 131.  The proposed amendments will add new burden as outlined in this ICR.</w:t>
      </w:r>
    </w:p>
    <w:p w:rsidR="00972FB2" w:rsidRDefault="00972FB2" w:rsidP="00D61A55">
      <w:pPr>
        <w:widowControl/>
        <w:tabs>
          <w:tab w:val="left" w:pos="0"/>
        </w:tabs>
        <w:rPr>
          <w:rFonts w:ascii="Times New Roman" w:hAnsi="Times New Roman"/>
          <w:color w:val="000000"/>
        </w:rPr>
      </w:pPr>
    </w:p>
    <w:p w:rsidR="003C4B12" w:rsidRDefault="003C4B12" w:rsidP="00D61A55">
      <w:pPr>
        <w:widowControl/>
        <w:tabs>
          <w:tab w:val="left" w:pos="0"/>
        </w:tabs>
        <w:rPr>
          <w:rFonts w:ascii="Times New Roman" w:hAnsi="Times New Roman"/>
          <w:color w:val="000000"/>
        </w:rPr>
      </w:pPr>
    </w:p>
    <w:p w:rsidR="00826119" w:rsidRDefault="002C7AB1">
      <w:pPr>
        <w:pStyle w:val="Heading2"/>
      </w:pPr>
      <w:r w:rsidRPr="002C7AB1">
        <w:rPr>
          <w:rStyle w:val="Heading1Char"/>
          <w:b/>
        </w:rPr>
        <w:t>Burden Statement</w:t>
      </w:r>
      <w:r w:rsidR="003C4B12" w:rsidRPr="009B544B">
        <w:t xml:space="preserve"> </w:t>
      </w:r>
    </w:p>
    <w:p w:rsidR="00826119" w:rsidRDefault="00826119">
      <w:pPr>
        <w:rPr>
          <w:rFonts w:ascii="Times New Roman" w:hAnsi="Times New Roman"/>
        </w:rPr>
      </w:pPr>
    </w:p>
    <w:p w:rsidR="00826119" w:rsidRDefault="002C7AB1">
      <w:pPr>
        <w:ind w:firstLine="720"/>
        <w:rPr>
          <w:rFonts w:ascii="Times New Roman" w:hAnsi="Times New Roman"/>
          <w:color w:val="000000"/>
        </w:rPr>
      </w:pPr>
      <w:r w:rsidRPr="002C7AB1">
        <w:rPr>
          <w:rFonts w:ascii="Times New Roman" w:hAnsi="Times New Roman"/>
        </w:rPr>
        <w:t>The annual public reporting and recordkeeping burden for this collection of information is estimated to average 186</w:t>
      </w:r>
      <w:r w:rsidRPr="002C7AB1">
        <w:rPr>
          <w:rFonts w:ascii="Times New Roman" w:hAnsi="Times New Roman"/>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C4B12" w:rsidRPr="003C4B12" w:rsidRDefault="003C4B12" w:rsidP="003C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C4B12" w:rsidRPr="003C4B12" w:rsidRDefault="002C7AB1" w:rsidP="003C4B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rPr>
      </w:pPr>
      <w:r w:rsidRPr="002C7AB1">
        <w:rPr>
          <w:rFonts w:ascii="Times New Roman" w:hAnsi="Times New Roman"/>
          <w:color w:val="000000"/>
        </w:rPr>
        <w:tab/>
      </w:r>
      <w:r w:rsidRPr="002C7AB1">
        <w:rPr>
          <w:rFonts w:ascii="Times New Roman" w:hAnsi="Times New Roman"/>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C4B12" w:rsidRPr="003C4B12">
        <w:rPr>
          <w:rFonts w:ascii="Times New Roman" w:hAnsi="Times New Roman"/>
          <w:color w:val="0F0F0F"/>
        </w:rPr>
        <w:t>EPA–HQ–OW–2010–0606</w:t>
      </w:r>
      <w:r w:rsidRPr="002C7AB1">
        <w:rPr>
          <w:rFonts w:ascii="Times New Roman" w:hAnsi="Times New Roman"/>
          <w:color w:val="0F0F0F"/>
        </w:rPr>
        <w:t xml:space="preserve">, which is available for online viewing at </w:t>
      </w:r>
      <w:hyperlink r:id="rId9" w:history="1">
        <w:r w:rsidRPr="002C7AB1">
          <w:rPr>
            <w:rStyle w:val="Hyperlink"/>
            <w:rFonts w:ascii="Times New Roman" w:hAnsi="Times New Roman"/>
          </w:rPr>
          <w:t>www.regulations.gov</w:t>
        </w:r>
      </w:hyperlink>
      <w:r w:rsidRPr="002C7AB1">
        <w:rPr>
          <w:rFonts w:ascii="Times New Roman" w:hAnsi="Times New Roman"/>
          <w:color w:val="0F0F0F"/>
        </w:rPr>
        <w:t xml:space="preserve">, or in person viewing at the </w:t>
      </w:r>
      <w:r w:rsidR="00826119">
        <w:rPr>
          <w:rFonts w:ascii="Times New Roman" w:hAnsi="Times New Roman"/>
          <w:color w:val="0F0F0F"/>
        </w:rPr>
        <w:t>Water Docket</w:t>
      </w:r>
      <w:r w:rsidRPr="002C7AB1">
        <w:rPr>
          <w:rFonts w:ascii="Times New Roman" w:hAnsi="Times New Roman"/>
          <w:color w:val="0F0F0F"/>
        </w:rP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003C4B12">
        <w:rPr>
          <w:rFonts w:ascii="Times New Roman" w:hAnsi="Times New Roman"/>
          <w:color w:val="0F0F0F"/>
        </w:rPr>
        <w:t xml:space="preserve">Water Docket </w:t>
      </w:r>
      <w:r w:rsidRPr="002C7AB1">
        <w:rPr>
          <w:rFonts w:ascii="Times New Roman" w:hAnsi="Times New Roman"/>
          <w:color w:val="0F0F0F"/>
        </w:rPr>
        <w:t xml:space="preserve">is (202) </w:t>
      </w:r>
      <w:r w:rsidRPr="00C4315E">
        <w:rPr>
          <w:rFonts w:ascii="Times New Roman" w:hAnsi="Times New Roman"/>
        </w:rPr>
        <w:t>566-</w:t>
      </w:r>
      <w:r w:rsidR="003C4B12" w:rsidRPr="00C4315E">
        <w:rPr>
          <w:rFonts w:ascii="Times New Roman" w:hAnsi="Times New Roman"/>
        </w:rPr>
        <w:t>2426</w:t>
      </w:r>
      <w:r w:rsidRPr="00C4315E">
        <w:rPr>
          <w:rFonts w:ascii="Times New Roman" w:hAnsi="Times New Roman"/>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w:t>
      </w:r>
      <w:r w:rsidR="009B544B" w:rsidRPr="00C4315E">
        <w:rPr>
          <w:rFonts w:ascii="Times New Roman" w:hAnsi="Times New Roman"/>
        </w:rPr>
        <w:t xml:space="preserve"> at oira_submission</w:t>
      </w:r>
      <w:r w:rsidR="003C4B12" w:rsidRPr="00C4315E">
        <w:rPr>
          <w:rFonts w:ascii="Times New Roman" w:hAnsi="Times New Roman"/>
        </w:rPr>
        <w:t xml:space="preserve">@omb.eop.gov. </w:t>
      </w:r>
      <w:r w:rsidRPr="00C4315E">
        <w:rPr>
          <w:rFonts w:ascii="Times New Roman" w:hAnsi="Times New Roman"/>
        </w:rPr>
        <w:t xml:space="preserve">Please include the EPA Docket ID Number </w:t>
      </w:r>
      <w:r w:rsidR="003C4B12" w:rsidRPr="00C4315E">
        <w:rPr>
          <w:rFonts w:ascii="Times New Roman" w:hAnsi="Times New Roman"/>
        </w:rPr>
        <w:t>EPA–HQ–OW–2010–0606</w:t>
      </w:r>
      <w:r w:rsidRPr="00C4315E">
        <w:rPr>
          <w:rFonts w:ascii="Times New Roman" w:hAnsi="Times New Roman"/>
        </w:rPr>
        <w:t xml:space="preserve"> and OMB Control Number </w:t>
      </w:r>
      <w:r w:rsidR="003C4B12" w:rsidRPr="00C4315E">
        <w:rPr>
          <w:rFonts w:ascii="Times New Roman" w:hAnsi="Times New Roman"/>
        </w:rPr>
        <w:t xml:space="preserve">2040-NEW </w:t>
      </w:r>
      <w:r w:rsidRPr="00C4315E">
        <w:rPr>
          <w:rFonts w:ascii="Times New Roman" w:hAnsi="Times New Roman"/>
        </w:rPr>
        <w:t>in any correspondence.</w:t>
      </w:r>
    </w:p>
    <w:p w:rsidR="003C4B12" w:rsidRPr="003C4B12" w:rsidRDefault="003C4B12" w:rsidP="00D61A55">
      <w:pPr>
        <w:widowControl/>
        <w:tabs>
          <w:tab w:val="left" w:pos="0"/>
        </w:tabs>
        <w:rPr>
          <w:rFonts w:ascii="Times New Roman" w:hAnsi="Times New Roman"/>
          <w:color w:val="000000"/>
        </w:rPr>
      </w:pPr>
    </w:p>
    <w:sectPr w:rsidR="003C4B12" w:rsidRPr="003C4B12" w:rsidSect="00234AF7">
      <w:headerReference w:type="default" r:id="rId10"/>
      <w:footerReference w:type="default" r:id="rId11"/>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E8C" w:rsidRDefault="00D85E8C">
      <w:r>
        <w:separator/>
      </w:r>
    </w:p>
  </w:endnote>
  <w:endnote w:type="continuationSeparator" w:id="0">
    <w:p w:rsidR="00D85E8C" w:rsidRDefault="00D8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19" w:rsidRPr="00E77608" w:rsidRDefault="00EA39AA" w:rsidP="005E4CAC">
    <w:pPr>
      <w:spacing w:line="240" w:lineRule="exact"/>
      <w:jc w:val="center"/>
      <w:rPr>
        <w:rFonts w:ascii="Times New Roman" w:hAnsi="Times New Roman"/>
      </w:rPr>
    </w:pPr>
    <w:r w:rsidRPr="00E77608">
      <w:rPr>
        <w:rStyle w:val="PageNumber"/>
        <w:rFonts w:ascii="Times New Roman" w:hAnsi="Times New Roman"/>
      </w:rPr>
      <w:fldChar w:fldCharType="begin"/>
    </w:r>
    <w:r w:rsidR="00826119" w:rsidRPr="00E77608">
      <w:rPr>
        <w:rStyle w:val="PageNumber"/>
        <w:rFonts w:ascii="Times New Roman" w:hAnsi="Times New Roman"/>
      </w:rPr>
      <w:instrText xml:space="preserve"> PAGE </w:instrText>
    </w:r>
    <w:r w:rsidRPr="00E77608">
      <w:rPr>
        <w:rStyle w:val="PageNumber"/>
        <w:rFonts w:ascii="Times New Roman" w:hAnsi="Times New Roman"/>
      </w:rPr>
      <w:fldChar w:fldCharType="separate"/>
    </w:r>
    <w:r w:rsidR="00702038">
      <w:rPr>
        <w:rStyle w:val="PageNumber"/>
        <w:rFonts w:ascii="Times New Roman" w:hAnsi="Times New Roman"/>
        <w:noProof/>
      </w:rPr>
      <w:t>11</w:t>
    </w:r>
    <w:r w:rsidRPr="00E77608">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E8C" w:rsidRDefault="00D85E8C">
      <w:r>
        <w:separator/>
      </w:r>
    </w:p>
  </w:footnote>
  <w:footnote w:type="continuationSeparator" w:id="0">
    <w:p w:rsidR="00D85E8C" w:rsidRDefault="00D85E8C">
      <w:r>
        <w:continuationSeparator/>
      </w:r>
    </w:p>
  </w:footnote>
  <w:footnote w:id="1">
    <w:p w:rsidR="00826119" w:rsidRDefault="00826119">
      <w:pPr>
        <w:spacing w:after="240"/>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sz w:val="20"/>
          <w:szCs w:val="20"/>
        </w:rPr>
        <w:t xml:space="preserve">The Regulation defines the term “State” to mean the 50 States, the </w:t>
      </w:r>
      <w:smartTag w:uri="urn:schemas-microsoft-com:office:smarttags" w:element="State">
        <w:r>
          <w:rPr>
            <w:rFonts w:ascii="Times New Roman" w:hAnsi="Times New Roman"/>
            <w:sz w:val="20"/>
            <w:szCs w:val="20"/>
          </w:rPr>
          <w:t>District of Columbia</w:t>
        </w:r>
      </w:smartTag>
      <w:r>
        <w:rPr>
          <w:rFonts w:ascii="Times New Roman" w:hAnsi="Times New Roman"/>
          <w:sz w:val="20"/>
          <w:szCs w:val="20"/>
        </w:rPr>
        <w:t xml:space="preserve">, and specific Territories including Guam, the </w:t>
      </w:r>
      <w:smartTag w:uri="urn:schemas-microsoft-com:office:smarttags" w:element="PlaceType">
        <w:r>
          <w:rPr>
            <w:rFonts w:ascii="Times New Roman" w:hAnsi="Times New Roman"/>
            <w:sz w:val="20"/>
            <w:szCs w:val="20"/>
          </w:rPr>
          <w:t>Commonwealth</w:t>
        </w:r>
      </w:smartTag>
      <w:r>
        <w:rPr>
          <w:rFonts w:ascii="Times New Roman" w:hAnsi="Times New Roman"/>
          <w:sz w:val="20"/>
          <w:szCs w:val="20"/>
        </w:rPr>
        <w:t xml:space="preserve"> of </w:t>
      </w:r>
      <w:smartTag w:uri="urn:schemas-microsoft-com:office:smarttags" w:element="PlaceName">
        <w:r>
          <w:rPr>
            <w:rFonts w:ascii="Times New Roman" w:hAnsi="Times New Roman"/>
            <w:sz w:val="20"/>
            <w:szCs w:val="20"/>
          </w:rPr>
          <w:t>Puerto Rico</w:t>
        </w:r>
      </w:smartTag>
      <w:r>
        <w:rPr>
          <w:rFonts w:ascii="Times New Roman" w:hAnsi="Times New Roman"/>
          <w:sz w:val="20"/>
          <w:szCs w:val="20"/>
        </w:rPr>
        <w:t xml:space="preserve">, the Virgin Islands, </w:t>
      </w:r>
      <w:smartTag w:uri="urn:schemas-microsoft-com:office:smarttags" w:element="State">
        <w:r>
          <w:rPr>
            <w:rFonts w:ascii="Times New Roman" w:hAnsi="Times New Roman"/>
            <w:sz w:val="20"/>
            <w:szCs w:val="20"/>
          </w:rPr>
          <w:t>American Samoa</w:t>
        </w:r>
      </w:smartTag>
      <w:r>
        <w:rPr>
          <w:rFonts w:ascii="Times New Roman" w:hAnsi="Times New Roman"/>
          <w:sz w:val="20"/>
          <w:szCs w:val="20"/>
        </w:rPr>
        <w:t xml:space="preserve">, and the Commonwealth of the </w:t>
      </w:r>
      <w:smartTag w:uri="urn:schemas-microsoft-com:office:smarttags" w:element="place">
        <w:r>
          <w:rPr>
            <w:rFonts w:ascii="Times New Roman" w:hAnsi="Times New Roman"/>
            <w:sz w:val="20"/>
            <w:szCs w:val="20"/>
          </w:rPr>
          <w:t>Northern Mariana Islands</w:t>
        </w:r>
      </w:smartTag>
      <w:r>
        <w:rPr>
          <w:rFonts w:ascii="Times New Roman" w:hAnsi="Times New Roman"/>
          <w:sz w:val="20"/>
          <w:szCs w:val="20"/>
        </w:rPr>
        <w:t xml:space="preserve">. </w:t>
      </w:r>
    </w:p>
  </w:footnote>
  <w:footnote w:id="2">
    <w:p w:rsidR="00826119" w:rsidRPr="00687CD3" w:rsidRDefault="00826119" w:rsidP="00687CD3">
      <w:pPr>
        <w:spacing w:after="240"/>
        <w:ind w:firstLine="720"/>
        <w:rPr>
          <w:rFonts w:ascii="Times New Roman" w:hAnsi="Times New Roman"/>
          <w:sz w:val="20"/>
          <w:szCs w:val="20"/>
        </w:rPr>
      </w:pPr>
      <w:r w:rsidRPr="00687CD3">
        <w:rPr>
          <w:rStyle w:val="FootnoteReference"/>
          <w:rFonts w:ascii="Times New Roman" w:hAnsi="Times New Roman"/>
          <w:sz w:val="20"/>
          <w:szCs w:val="20"/>
          <w:vertAlign w:val="superscript"/>
        </w:rPr>
        <w:footnoteRef/>
      </w:r>
      <w:r w:rsidRPr="00687CD3">
        <w:rPr>
          <w:rStyle w:val="FootnoteReference"/>
          <w:rFonts w:ascii="Times New Roman" w:hAnsi="Times New Roman"/>
          <w:sz w:val="20"/>
          <w:szCs w:val="20"/>
          <w:vertAlign w:val="superscript"/>
        </w:rPr>
        <w:t xml:space="preserve"> </w:t>
      </w:r>
      <w:r w:rsidRPr="00687CD3">
        <w:rPr>
          <w:rStyle w:val="FootnoteReference"/>
          <w:rFonts w:ascii="Times New Roman" w:hAnsi="Times New Roman"/>
          <w:sz w:val="20"/>
          <w:szCs w:val="20"/>
        </w:rPr>
        <w:t>Formerly known as the Association of State and Interstate Water Pollution Control Administrators’(ASIWPCA) Monitoring, Standards, and Assessment Task Force.</w:t>
      </w:r>
    </w:p>
  </w:footnote>
  <w:footnote w:id="3">
    <w:p w:rsidR="00826119" w:rsidRDefault="00826119" w:rsidP="00567F32">
      <w:pPr>
        <w:spacing w:after="120"/>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sz w:val="20"/>
          <w:szCs w:val="20"/>
        </w:rPr>
        <w:t xml:space="preserve"> For the purposes of the CWA, States include the 50 States, the </w:t>
      </w:r>
      <w:smartTag w:uri="urn:schemas-microsoft-com:office:smarttags" w:element="State">
        <w:r>
          <w:rPr>
            <w:rFonts w:ascii="Times New Roman" w:hAnsi="Times New Roman"/>
            <w:sz w:val="20"/>
            <w:szCs w:val="20"/>
          </w:rPr>
          <w:t>District of Columbia</w:t>
        </w:r>
      </w:smartTag>
      <w:r>
        <w:rPr>
          <w:rFonts w:ascii="Times New Roman" w:hAnsi="Times New Roman"/>
          <w:sz w:val="20"/>
          <w:szCs w:val="20"/>
        </w:rPr>
        <w:t xml:space="preserve">, the </w:t>
      </w:r>
      <w:smartTag w:uri="urn:schemas-microsoft-com:office:smarttags" w:element="PlaceType">
        <w:r>
          <w:rPr>
            <w:rFonts w:ascii="Times New Roman" w:hAnsi="Times New Roman"/>
            <w:sz w:val="20"/>
            <w:szCs w:val="20"/>
          </w:rPr>
          <w:t>Commonwealth</w:t>
        </w:r>
      </w:smartTag>
      <w:r>
        <w:rPr>
          <w:rFonts w:ascii="Times New Roman" w:hAnsi="Times New Roman"/>
          <w:sz w:val="20"/>
          <w:szCs w:val="20"/>
        </w:rPr>
        <w:t xml:space="preserve"> of </w:t>
      </w:r>
      <w:smartTag w:uri="urn:schemas-microsoft-com:office:smarttags" w:element="PlaceName">
        <w:r>
          <w:rPr>
            <w:rFonts w:ascii="Times New Roman" w:hAnsi="Times New Roman"/>
            <w:sz w:val="20"/>
            <w:szCs w:val="20"/>
          </w:rPr>
          <w:t>Puerto Rico</w:t>
        </w:r>
      </w:smartTag>
      <w:r>
        <w:rPr>
          <w:rFonts w:ascii="Times New Roman" w:hAnsi="Times New Roman"/>
          <w:sz w:val="20"/>
          <w:szCs w:val="20"/>
        </w:rPr>
        <w:t xml:space="preserve">, the Virgin Islands, </w:t>
      </w:r>
      <w:smartTag w:uri="urn:schemas-microsoft-com:office:smarttags" w:element="City">
        <w:r>
          <w:rPr>
            <w:rFonts w:ascii="Times New Roman" w:hAnsi="Times New Roman"/>
            <w:sz w:val="20"/>
            <w:szCs w:val="20"/>
          </w:rPr>
          <w:t>Guam</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American Samoa</w:t>
        </w:r>
      </w:smartTag>
      <w:r>
        <w:rPr>
          <w:rFonts w:ascii="Times New Roman" w:hAnsi="Times New Roman"/>
          <w:sz w:val="20"/>
          <w:szCs w:val="20"/>
        </w:rPr>
        <w:t xml:space="preserve">, and the Commonwealth of the </w:t>
      </w:r>
      <w:smartTag w:uri="urn:schemas-microsoft-com:office:smarttags" w:element="place">
        <w:r>
          <w:rPr>
            <w:rFonts w:ascii="Times New Roman" w:hAnsi="Times New Roman"/>
            <w:sz w:val="20"/>
            <w:szCs w:val="20"/>
          </w:rPr>
          <w:t>Northern Mariana Islands</w:t>
        </w:r>
      </w:smartTag>
      <w:r>
        <w:rPr>
          <w:rFonts w:ascii="Times New Roman" w:hAnsi="Times New Roman"/>
          <w:sz w:val="20"/>
          <w:szCs w:val="20"/>
        </w:rPr>
        <w:t xml:space="preserve">.  </w:t>
      </w:r>
    </w:p>
  </w:footnote>
  <w:footnote w:id="4">
    <w:p w:rsidR="00826119" w:rsidRDefault="00826119" w:rsidP="00567F32">
      <w:pPr>
        <w:spacing w:after="120"/>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w:t>
      </w:r>
      <w:r>
        <w:rPr>
          <w:rFonts w:ascii="Times New Roman" w:hAnsi="Times New Roman"/>
          <w:sz w:val="20"/>
          <w:szCs w:val="20"/>
        </w:rPr>
        <w:t>48</w:t>
      </w:r>
      <w:r w:rsidRPr="00287779">
        <w:rPr>
          <w:rFonts w:ascii="Times New Roman" w:hAnsi="Times New Roman"/>
          <w:sz w:val="20"/>
          <w:szCs w:val="20"/>
        </w:rPr>
        <w:t xml:space="preserve"> Tribes have received EPA authorization to administer the water quality standards program under 40 CFR 131.8. The EPA maintains a current list of such Tribes at http://water.epa.gov/scitech/swguidance/standards/wqslibrary/approvtable.cfm. However, for this ICR, the EPA assumes that only 39 tribes will be adopting or revising standards every three years, since only 39 of the </w:t>
      </w:r>
      <w:r>
        <w:rPr>
          <w:rFonts w:ascii="Times New Roman" w:hAnsi="Times New Roman"/>
          <w:sz w:val="20"/>
          <w:szCs w:val="20"/>
        </w:rPr>
        <w:t xml:space="preserve">48 </w:t>
      </w:r>
      <w:r w:rsidRPr="00287779">
        <w:rPr>
          <w:rFonts w:ascii="Times New Roman" w:hAnsi="Times New Roman"/>
          <w:sz w:val="20"/>
          <w:szCs w:val="20"/>
        </w:rPr>
        <w:t>authorized Tribes have adopted EPA-approved initial standards to date.</w:t>
      </w:r>
    </w:p>
  </w:footnote>
  <w:footnote w:id="5">
    <w:p w:rsidR="00826119" w:rsidRDefault="00826119">
      <w:pPr>
        <w:spacing w:after="240"/>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sz w:val="20"/>
          <w:szCs w:val="20"/>
        </w:rPr>
        <w:t xml:space="preserve">Removing a designated use requires information demonstrating that the use is not existing, and that attaining the use is not feasible based on one or more of six specified factors, including natural conditions, human-caused conditions that cannot be remedied, certain hydrologic modifications, or controls that would result in substantial and widespread economic and social impact. These are similar to the factors for variances for the </w:t>
      </w:r>
      <w:smartTag w:uri="urn:schemas-microsoft-com:office:smarttags" w:element="place">
        <w:r>
          <w:rPr>
            <w:rFonts w:ascii="Times New Roman" w:hAnsi="Times New Roman"/>
            <w:sz w:val="20"/>
            <w:szCs w:val="20"/>
          </w:rPr>
          <w:t>Great Lakes</w:t>
        </w:r>
      </w:smartTag>
      <w:r>
        <w:rPr>
          <w:rFonts w:ascii="Times New Roman" w:hAnsi="Times New Roman"/>
          <w:sz w:val="20"/>
          <w:szCs w:val="20"/>
        </w:rPr>
        <w:t xml:space="preserve"> system described above.</w:t>
      </w:r>
    </w:p>
  </w:footnote>
  <w:footnote w:id="6">
    <w:p w:rsidR="00826119" w:rsidRPr="00826119" w:rsidRDefault="00826119" w:rsidP="00826119">
      <w:pPr>
        <w:spacing w:after="120"/>
        <w:ind w:firstLine="720"/>
        <w:rPr>
          <w:rFonts w:ascii="Times New Roman" w:hAnsi="Times New Roman"/>
          <w:sz w:val="20"/>
          <w:szCs w:val="20"/>
        </w:rPr>
      </w:pPr>
      <w:r w:rsidRPr="00826119">
        <w:rPr>
          <w:rStyle w:val="FootnoteReference"/>
          <w:rFonts w:ascii="Times New Roman" w:hAnsi="Times New Roman"/>
          <w:sz w:val="20"/>
          <w:szCs w:val="20"/>
          <w:vertAlign w:val="superscript"/>
        </w:rPr>
        <w:footnoteRef/>
      </w:r>
      <w:r w:rsidR="00EA39AA" w:rsidRPr="00EA39AA">
        <w:rPr>
          <w:rFonts w:ascii="Times New Roman" w:hAnsi="Times New Roman"/>
          <w:sz w:val="20"/>
          <w:szCs w:val="20"/>
        </w:rPr>
        <w:t>The employees reviewing and approving WQS materials submitted by states and tribes include EPA staff in the Washington, DC area and EPA regional staff. Hence, we calculate the average of all locality wage rates for federal employees at GS 13, Step 5 in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19" w:rsidRPr="0049406C" w:rsidRDefault="00826119">
    <w:pPr>
      <w:rPr>
        <w:rFonts w:ascii="Shruti" w:hAnsi="Shruti" w:cs="Shruti"/>
        <w:sz w:val="22"/>
        <w:szCs w:val="22"/>
      </w:rPr>
    </w:pPr>
    <w:r w:rsidRPr="0049406C">
      <w:rPr>
        <w:rFonts w:ascii="Shruti" w:hAnsi="Shruti" w:cs="Shruti"/>
        <w:sz w:val="22"/>
        <w:szCs w:val="22"/>
      </w:rPr>
      <w:t>Water Quality Standards Regulat</w:t>
    </w:r>
    <w:r>
      <w:rPr>
        <w:rFonts w:ascii="Shruti" w:hAnsi="Shruti" w:cs="Shruti"/>
        <w:sz w:val="22"/>
        <w:szCs w:val="22"/>
      </w:rPr>
      <w:t xml:space="preserve">ory Clarifications </w:t>
    </w:r>
    <w:r w:rsidRPr="0049406C">
      <w:rPr>
        <w:rFonts w:ascii="Shruti" w:hAnsi="Shruti" w:cs="Shruti"/>
        <w:sz w:val="22"/>
        <w:szCs w:val="22"/>
      </w:rPr>
      <w:t>ICR</w:t>
    </w:r>
  </w:p>
  <w:p w:rsidR="00826119" w:rsidRDefault="00702038">
    <w:pPr>
      <w:spacing w:line="19" w:lineRule="exact"/>
      <w:rPr>
        <w:rFonts w:ascii="Shruti" w:hAnsi="Shruti" w:cs="Shruti"/>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AX/lLo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rsidR="00826119" w:rsidRDefault="00826119">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56265D2"/>
    <w:lvl w:ilvl="0">
      <w:start w:val="1"/>
      <w:numFmt w:val="decimal"/>
      <w:lvlText w:val="%1."/>
      <w:lvlJc w:val="left"/>
      <w:pPr>
        <w:tabs>
          <w:tab w:val="num" w:pos="720"/>
        </w:tabs>
        <w:ind w:left="720" w:hanging="360"/>
      </w:pPr>
      <w:rPr>
        <w:rFonts w:cs="Times New Roman"/>
      </w:rPr>
    </w:lvl>
  </w:abstractNum>
  <w:abstractNum w:abstractNumId="1">
    <w:nsid w:val="FFFFFFFE"/>
    <w:multiLevelType w:val="singleLevel"/>
    <w:tmpl w:val="6E08A494"/>
    <w:lvl w:ilvl="0">
      <w:numFmt w:val="bullet"/>
      <w:lvlText w:val="*"/>
      <w:lvlJc w:val="left"/>
    </w:lvl>
  </w:abstractNum>
  <w:abstractNum w:abstractNumId="2">
    <w:nsid w:val="00000001"/>
    <w:multiLevelType w:val="multilevel"/>
    <w:tmpl w:val="00000000"/>
    <w:name w:val="AutoList34"/>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3">
    <w:nsid w:val="00000002"/>
    <w:multiLevelType w:val="multilevel"/>
    <w:tmpl w:val="00000000"/>
    <w:name w:val="AutoList1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4">
    <w:nsid w:val="00000003"/>
    <w:multiLevelType w:val="multilevel"/>
    <w:tmpl w:val="00000000"/>
    <w:name w:val="AutoList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5">
    <w:nsid w:val="00000004"/>
    <w:multiLevelType w:val="multilevel"/>
    <w:tmpl w:val="00000000"/>
    <w:name w:val="AutoList3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5"/>
    <w:multiLevelType w:val="multilevel"/>
    <w:tmpl w:val="00000000"/>
    <w:name w:val="AutoList14"/>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7">
    <w:nsid w:val="00E618DC"/>
    <w:multiLevelType w:val="multilevel"/>
    <w:tmpl w:val="E8303DE8"/>
    <w:lvl w:ilvl="0">
      <w:start w:val="1"/>
      <w:numFmt w:val="decimal"/>
      <w:lvlText w:val="%1."/>
      <w:lvlJc w:val="left"/>
      <w:pPr>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015414BF"/>
    <w:multiLevelType w:val="multilevel"/>
    <w:tmpl w:val="8EA0F53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9">
    <w:nsid w:val="023853BC"/>
    <w:multiLevelType w:val="hybridMultilevel"/>
    <w:tmpl w:val="E0E09A9A"/>
    <w:lvl w:ilvl="0" w:tplc="12FCA9E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8556F4"/>
    <w:multiLevelType w:val="multilevel"/>
    <w:tmpl w:val="D56ADAC0"/>
    <w:lvl w:ilvl="0">
      <w:start w:val="1"/>
      <w:numFmt w:val="bullet"/>
      <w:pStyle w:val="List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4542C7C"/>
    <w:multiLevelType w:val="hybridMultilevel"/>
    <w:tmpl w:val="A6EE8C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1A4592"/>
    <w:multiLevelType w:val="hybridMultilevel"/>
    <w:tmpl w:val="74766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26F6B14"/>
    <w:multiLevelType w:val="hybridMultilevel"/>
    <w:tmpl w:val="7EAE4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24561"/>
    <w:multiLevelType w:val="hybridMultilevel"/>
    <w:tmpl w:val="FEC8C612"/>
    <w:lvl w:ilvl="0" w:tplc="91B07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8A00C3"/>
    <w:multiLevelType w:val="hybridMultilevel"/>
    <w:tmpl w:val="C3704378"/>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C827038"/>
    <w:multiLevelType w:val="hybridMultilevel"/>
    <w:tmpl w:val="FC60B832"/>
    <w:lvl w:ilvl="0" w:tplc="9B0477F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F3C09C3"/>
    <w:multiLevelType w:val="multilevel"/>
    <w:tmpl w:val="E8303DE8"/>
    <w:lvl w:ilvl="0">
      <w:start w:val="1"/>
      <w:numFmt w:val="decimal"/>
      <w:lvlText w:val="%1."/>
      <w:lvlJc w:val="left"/>
      <w:pPr>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nsid w:val="218C2B34"/>
    <w:multiLevelType w:val="multilevel"/>
    <w:tmpl w:val="E8303DE8"/>
    <w:lvl w:ilvl="0">
      <w:start w:val="1"/>
      <w:numFmt w:val="decimal"/>
      <w:lvlText w:val="%1."/>
      <w:lvlJc w:val="left"/>
      <w:pPr>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9">
    <w:nsid w:val="2E676CD3"/>
    <w:multiLevelType w:val="multilevel"/>
    <w:tmpl w:val="D2B4D328"/>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pStyle w:val="Heading4"/>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0">
    <w:nsid w:val="2F9223F9"/>
    <w:multiLevelType w:val="hybridMultilevel"/>
    <w:tmpl w:val="7D28DB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28C5A11"/>
    <w:multiLevelType w:val="hybridMultilevel"/>
    <w:tmpl w:val="781E8836"/>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581385"/>
    <w:multiLevelType w:val="hybridMultilevel"/>
    <w:tmpl w:val="F37699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B2712A7"/>
    <w:multiLevelType w:val="hybridMultilevel"/>
    <w:tmpl w:val="77D6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5D76EE"/>
    <w:multiLevelType w:val="hybridMultilevel"/>
    <w:tmpl w:val="CB061D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886396"/>
    <w:multiLevelType w:val="hybridMultilevel"/>
    <w:tmpl w:val="6D68985A"/>
    <w:lvl w:ilvl="0" w:tplc="12FCA9E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30201"/>
    <w:multiLevelType w:val="multilevel"/>
    <w:tmpl w:val="5874F34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C1022D"/>
    <w:multiLevelType w:val="hybridMultilevel"/>
    <w:tmpl w:val="3D040FC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4BE85023"/>
    <w:multiLevelType w:val="hybridMultilevel"/>
    <w:tmpl w:val="07E68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A4F1C"/>
    <w:multiLevelType w:val="hybridMultilevel"/>
    <w:tmpl w:val="4F9C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851E7"/>
    <w:multiLevelType w:val="hybridMultilevel"/>
    <w:tmpl w:val="8916753A"/>
    <w:lvl w:ilvl="0" w:tplc="C7768494">
      <w:start w:val="4"/>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8F32F62"/>
    <w:multiLevelType w:val="multilevel"/>
    <w:tmpl w:val="E8303DE8"/>
    <w:lvl w:ilvl="0">
      <w:start w:val="1"/>
      <w:numFmt w:val="decimal"/>
      <w:lvlText w:val="%1."/>
      <w:lvlJc w:val="left"/>
      <w:pPr>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2">
    <w:nsid w:val="5D206127"/>
    <w:multiLevelType w:val="hybridMultilevel"/>
    <w:tmpl w:val="A0F0BC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DD62DF"/>
    <w:multiLevelType w:val="multilevel"/>
    <w:tmpl w:val="04090023"/>
    <w:styleLink w:val="ArticleSection"/>
    <w:lvl w:ilvl="0">
      <w:start w:val="1"/>
      <w:numFmt w:val="upperRoman"/>
      <w:pStyle w:val="ListNumber5"/>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4">
    <w:nsid w:val="6AF1767E"/>
    <w:multiLevelType w:val="multilevel"/>
    <w:tmpl w:val="81A039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FEF032D"/>
    <w:multiLevelType w:val="multilevel"/>
    <w:tmpl w:val="E8303DE8"/>
    <w:lvl w:ilvl="0">
      <w:start w:val="1"/>
      <w:numFmt w:val="decimal"/>
      <w:lvlText w:val="%1."/>
      <w:lvlJc w:val="left"/>
      <w:pPr>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6">
    <w:nsid w:val="758A1376"/>
    <w:multiLevelType w:val="hybridMultilevel"/>
    <w:tmpl w:val="81A039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2">
    <w:abstractNumId w:val="36"/>
  </w:num>
  <w:num w:numId="3">
    <w:abstractNumId w:val="34"/>
  </w:num>
  <w:num w:numId="4">
    <w:abstractNumId w:val="16"/>
  </w:num>
  <w:num w:numId="5">
    <w:abstractNumId w:val="8"/>
  </w:num>
  <w:num w:numId="6">
    <w:abstractNumId w:val="10"/>
  </w:num>
  <w:num w:numId="7">
    <w:abstractNumId w:val="12"/>
  </w:num>
  <w:num w:numId="8">
    <w:abstractNumId w:val="26"/>
  </w:num>
  <w:num w:numId="9">
    <w:abstractNumId w:val="30"/>
  </w:num>
  <w:num w:numId="10">
    <w:abstractNumId w:val="23"/>
  </w:num>
  <w:num w:numId="11">
    <w:abstractNumId w:val="29"/>
  </w:num>
  <w:num w:numId="12">
    <w:abstractNumId w:val="33"/>
  </w:num>
  <w:num w:numId="13">
    <w:abstractNumId w:val="19"/>
  </w:num>
  <w:num w:numId="14">
    <w:abstractNumId w:val="9"/>
  </w:num>
  <w:num w:numId="15">
    <w:abstractNumId w:val="25"/>
  </w:num>
  <w:num w:numId="16">
    <w:abstractNumId w:val="7"/>
  </w:num>
  <w:num w:numId="17">
    <w:abstractNumId w:val="35"/>
  </w:num>
  <w:num w:numId="18">
    <w:abstractNumId w:val="17"/>
  </w:num>
  <w:num w:numId="19">
    <w:abstractNumId w:val="31"/>
  </w:num>
  <w:num w:numId="20">
    <w:abstractNumId w:val="18"/>
  </w:num>
  <w:num w:numId="21">
    <w:abstractNumId w:val="32"/>
  </w:num>
  <w:num w:numId="22">
    <w:abstractNumId w:val="0"/>
  </w:num>
  <w:num w:numId="23">
    <w:abstractNumId w:val="13"/>
  </w:num>
  <w:num w:numId="24">
    <w:abstractNumId w:val="28"/>
  </w:num>
  <w:num w:numId="25">
    <w:abstractNumId w:val="14"/>
  </w:num>
  <w:num w:numId="26">
    <w:abstractNumId w:val="27"/>
  </w:num>
  <w:num w:numId="27">
    <w:abstractNumId w:val="24"/>
  </w:num>
  <w:num w:numId="28">
    <w:abstractNumId w:val="20"/>
  </w:num>
  <w:num w:numId="29">
    <w:abstractNumId w:val="15"/>
  </w:num>
  <w:num w:numId="30">
    <w:abstractNumId w:val="21"/>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15"/>
    <w:rsid w:val="00000289"/>
    <w:rsid w:val="00012670"/>
    <w:rsid w:val="00022BCC"/>
    <w:rsid w:val="000234AA"/>
    <w:rsid w:val="00024A2E"/>
    <w:rsid w:val="000416E8"/>
    <w:rsid w:val="00042B2A"/>
    <w:rsid w:val="00045F9B"/>
    <w:rsid w:val="00061CFF"/>
    <w:rsid w:val="00081720"/>
    <w:rsid w:val="00084B4A"/>
    <w:rsid w:val="00097E59"/>
    <w:rsid w:val="000B04ED"/>
    <w:rsid w:val="000B4EB5"/>
    <w:rsid w:val="000C18F9"/>
    <w:rsid w:val="000C678F"/>
    <w:rsid w:val="000D7928"/>
    <w:rsid w:val="000E2790"/>
    <w:rsid w:val="000E2837"/>
    <w:rsid w:val="00102F7E"/>
    <w:rsid w:val="00105A6D"/>
    <w:rsid w:val="00121389"/>
    <w:rsid w:val="001241A0"/>
    <w:rsid w:val="00143463"/>
    <w:rsid w:val="001457E7"/>
    <w:rsid w:val="001635C2"/>
    <w:rsid w:val="001730E1"/>
    <w:rsid w:val="00184B7F"/>
    <w:rsid w:val="0019285A"/>
    <w:rsid w:val="001952D3"/>
    <w:rsid w:val="001968D7"/>
    <w:rsid w:val="00196EC5"/>
    <w:rsid w:val="00197612"/>
    <w:rsid w:val="001A2466"/>
    <w:rsid w:val="001A6BD0"/>
    <w:rsid w:val="001B0EAE"/>
    <w:rsid w:val="001B49F5"/>
    <w:rsid w:val="001B4D3C"/>
    <w:rsid w:val="001B63D9"/>
    <w:rsid w:val="001C671A"/>
    <w:rsid w:val="001D11FB"/>
    <w:rsid w:val="001E681D"/>
    <w:rsid w:val="001F0113"/>
    <w:rsid w:val="001F070B"/>
    <w:rsid w:val="001F2C83"/>
    <w:rsid w:val="001F426D"/>
    <w:rsid w:val="001F6498"/>
    <w:rsid w:val="00203212"/>
    <w:rsid w:val="00224461"/>
    <w:rsid w:val="0022611F"/>
    <w:rsid w:val="00234AF7"/>
    <w:rsid w:val="002370EE"/>
    <w:rsid w:val="00241D56"/>
    <w:rsid w:val="00244975"/>
    <w:rsid w:val="00247365"/>
    <w:rsid w:val="00256385"/>
    <w:rsid w:val="00260BFE"/>
    <w:rsid w:val="00261560"/>
    <w:rsid w:val="00265FFE"/>
    <w:rsid w:val="002670AF"/>
    <w:rsid w:val="00271917"/>
    <w:rsid w:val="00274C17"/>
    <w:rsid w:val="00282419"/>
    <w:rsid w:val="00287779"/>
    <w:rsid w:val="0029092D"/>
    <w:rsid w:val="002976A0"/>
    <w:rsid w:val="002C53C3"/>
    <w:rsid w:val="002C7AB1"/>
    <w:rsid w:val="002D72F6"/>
    <w:rsid w:val="002E062B"/>
    <w:rsid w:val="002E19A3"/>
    <w:rsid w:val="002E4B36"/>
    <w:rsid w:val="002E50A3"/>
    <w:rsid w:val="002E525B"/>
    <w:rsid w:val="002E6F4E"/>
    <w:rsid w:val="002F0D5B"/>
    <w:rsid w:val="002F6AC2"/>
    <w:rsid w:val="002F6F12"/>
    <w:rsid w:val="002F79A2"/>
    <w:rsid w:val="0031626B"/>
    <w:rsid w:val="003207F4"/>
    <w:rsid w:val="00320F9D"/>
    <w:rsid w:val="0032361E"/>
    <w:rsid w:val="00324F19"/>
    <w:rsid w:val="003301A2"/>
    <w:rsid w:val="00330A4F"/>
    <w:rsid w:val="00333219"/>
    <w:rsid w:val="0033403D"/>
    <w:rsid w:val="00344572"/>
    <w:rsid w:val="003473F0"/>
    <w:rsid w:val="003635B1"/>
    <w:rsid w:val="00367B72"/>
    <w:rsid w:val="003730FD"/>
    <w:rsid w:val="003766ED"/>
    <w:rsid w:val="00380EE0"/>
    <w:rsid w:val="00392982"/>
    <w:rsid w:val="003B2649"/>
    <w:rsid w:val="003B71F6"/>
    <w:rsid w:val="003C36C6"/>
    <w:rsid w:val="003C4B12"/>
    <w:rsid w:val="003C5CF6"/>
    <w:rsid w:val="003D2039"/>
    <w:rsid w:val="004045DF"/>
    <w:rsid w:val="00404BCC"/>
    <w:rsid w:val="004073BE"/>
    <w:rsid w:val="00416A4B"/>
    <w:rsid w:val="00424F54"/>
    <w:rsid w:val="00436EBB"/>
    <w:rsid w:val="004464B2"/>
    <w:rsid w:val="004464F9"/>
    <w:rsid w:val="00450E20"/>
    <w:rsid w:val="0045256B"/>
    <w:rsid w:val="00463574"/>
    <w:rsid w:val="004637F0"/>
    <w:rsid w:val="004758D4"/>
    <w:rsid w:val="00480F25"/>
    <w:rsid w:val="004863AF"/>
    <w:rsid w:val="00491000"/>
    <w:rsid w:val="0049198C"/>
    <w:rsid w:val="0049406C"/>
    <w:rsid w:val="004943D5"/>
    <w:rsid w:val="004953D5"/>
    <w:rsid w:val="004967F2"/>
    <w:rsid w:val="00497E55"/>
    <w:rsid w:val="004D55F3"/>
    <w:rsid w:val="004D6680"/>
    <w:rsid w:val="004E6730"/>
    <w:rsid w:val="004F7931"/>
    <w:rsid w:val="0050157D"/>
    <w:rsid w:val="005046E3"/>
    <w:rsid w:val="005077B1"/>
    <w:rsid w:val="00513443"/>
    <w:rsid w:val="00523340"/>
    <w:rsid w:val="00527728"/>
    <w:rsid w:val="00527CFB"/>
    <w:rsid w:val="005319C8"/>
    <w:rsid w:val="00533214"/>
    <w:rsid w:val="005512DB"/>
    <w:rsid w:val="00552FA9"/>
    <w:rsid w:val="00553227"/>
    <w:rsid w:val="00563712"/>
    <w:rsid w:val="005641CE"/>
    <w:rsid w:val="005652F6"/>
    <w:rsid w:val="00567F32"/>
    <w:rsid w:val="00570161"/>
    <w:rsid w:val="005754E6"/>
    <w:rsid w:val="00576948"/>
    <w:rsid w:val="00580340"/>
    <w:rsid w:val="005A0123"/>
    <w:rsid w:val="005B2276"/>
    <w:rsid w:val="005B5593"/>
    <w:rsid w:val="005C72C2"/>
    <w:rsid w:val="005D5CC8"/>
    <w:rsid w:val="005D7685"/>
    <w:rsid w:val="005E1036"/>
    <w:rsid w:val="005E43A9"/>
    <w:rsid w:val="005E4CAC"/>
    <w:rsid w:val="005E6B10"/>
    <w:rsid w:val="005F3A70"/>
    <w:rsid w:val="005F4AE1"/>
    <w:rsid w:val="005F5BCC"/>
    <w:rsid w:val="006045EB"/>
    <w:rsid w:val="006125C2"/>
    <w:rsid w:val="00614D75"/>
    <w:rsid w:val="00617AED"/>
    <w:rsid w:val="006429F8"/>
    <w:rsid w:val="00656F82"/>
    <w:rsid w:val="00663B38"/>
    <w:rsid w:val="00665F7A"/>
    <w:rsid w:val="006748E7"/>
    <w:rsid w:val="006774B1"/>
    <w:rsid w:val="00681F56"/>
    <w:rsid w:val="00682A53"/>
    <w:rsid w:val="006853C9"/>
    <w:rsid w:val="00686E79"/>
    <w:rsid w:val="00687355"/>
    <w:rsid w:val="0068763C"/>
    <w:rsid w:val="0068775D"/>
    <w:rsid w:val="00687CD3"/>
    <w:rsid w:val="00687E7D"/>
    <w:rsid w:val="00693F8E"/>
    <w:rsid w:val="006968F5"/>
    <w:rsid w:val="006A20CE"/>
    <w:rsid w:val="006A4927"/>
    <w:rsid w:val="006B0B6D"/>
    <w:rsid w:val="006E757E"/>
    <w:rsid w:val="006F466B"/>
    <w:rsid w:val="006F59F3"/>
    <w:rsid w:val="00701540"/>
    <w:rsid w:val="00702038"/>
    <w:rsid w:val="0070388C"/>
    <w:rsid w:val="00704A75"/>
    <w:rsid w:val="00704F82"/>
    <w:rsid w:val="00714CB0"/>
    <w:rsid w:val="00717331"/>
    <w:rsid w:val="007212B5"/>
    <w:rsid w:val="00731DC1"/>
    <w:rsid w:val="0073269D"/>
    <w:rsid w:val="00733419"/>
    <w:rsid w:val="007473E4"/>
    <w:rsid w:val="00747B77"/>
    <w:rsid w:val="007609E2"/>
    <w:rsid w:val="0076123B"/>
    <w:rsid w:val="00762D98"/>
    <w:rsid w:val="00765D6E"/>
    <w:rsid w:val="00766725"/>
    <w:rsid w:val="00775065"/>
    <w:rsid w:val="0078227A"/>
    <w:rsid w:val="007D309D"/>
    <w:rsid w:val="007E40E2"/>
    <w:rsid w:val="007F1282"/>
    <w:rsid w:val="007F52FD"/>
    <w:rsid w:val="007F6326"/>
    <w:rsid w:val="007F6BCA"/>
    <w:rsid w:val="007F78E7"/>
    <w:rsid w:val="008027D1"/>
    <w:rsid w:val="00805643"/>
    <w:rsid w:val="00810244"/>
    <w:rsid w:val="00810772"/>
    <w:rsid w:val="008131B7"/>
    <w:rsid w:val="00820637"/>
    <w:rsid w:val="00824DD3"/>
    <w:rsid w:val="00826119"/>
    <w:rsid w:val="00840C7F"/>
    <w:rsid w:val="00843D69"/>
    <w:rsid w:val="00856090"/>
    <w:rsid w:val="00861755"/>
    <w:rsid w:val="00861B3E"/>
    <w:rsid w:val="008661C0"/>
    <w:rsid w:val="00867538"/>
    <w:rsid w:val="00877526"/>
    <w:rsid w:val="00890398"/>
    <w:rsid w:val="00891634"/>
    <w:rsid w:val="008941A7"/>
    <w:rsid w:val="008A2F93"/>
    <w:rsid w:val="008B085E"/>
    <w:rsid w:val="008D0F72"/>
    <w:rsid w:val="008D781B"/>
    <w:rsid w:val="008E2A20"/>
    <w:rsid w:val="008E3118"/>
    <w:rsid w:val="008F6FC0"/>
    <w:rsid w:val="00912385"/>
    <w:rsid w:val="00920648"/>
    <w:rsid w:val="00932B55"/>
    <w:rsid w:val="00943C8E"/>
    <w:rsid w:val="009460E1"/>
    <w:rsid w:val="0095395D"/>
    <w:rsid w:val="00957A33"/>
    <w:rsid w:val="00957DEC"/>
    <w:rsid w:val="00962FE7"/>
    <w:rsid w:val="009677ED"/>
    <w:rsid w:val="00972FB2"/>
    <w:rsid w:val="009833C7"/>
    <w:rsid w:val="009856BA"/>
    <w:rsid w:val="00987DCC"/>
    <w:rsid w:val="00990946"/>
    <w:rsid w:val="00990E2B"/>
    <w:rsid w:val="00991398"/>
    <w:rsid w:val="009946F3"/>
    <w:rsid w:val="009A3117"/>
    <w:rsid w:val="009A4AEA"/>
    <w:rsid w:val="009B0CD7"/>
    <w:rsid w:val="009B36D5"/>
    <w:rsid w:val="009B544B"/>
    <w:rsid w:val="009C2F94"/>
    <w:rsid w:val="009E09F0"/>
    <w:rsid w:val="009E1D15"/>
    <w:rsid w:val="009F0C8F"/>
    <w:rsid w:val="00A074E2"/>
    <w:rsid w:val="00A1442D"/>
    <w:rsid w:val="00A14D24"/>
    <w:rsid w:val="00A17DBC"/>
    <w:rsid w:val="00A2089B"/>
    <w:rsid w:val="00A20E08"/>
    <w:rsid w:val="00A23938"/>
    <w:rsid w:val="00A26D2B"/>
    <w:rsid w:val="00A27F3D"/>
    <w:rsid w:val="00A30F1D"/>
    <w:rsid w:val="00A34874"/>
    <w:rsid w:val="00A43964"/>
    <w:rsid w:val="00A5253A"/>
    <w:rsid w:val="00A5376F"/>
    <w:rsid w:val="00A551EF"/>
    <w:rsid w:val="00A6223C"/>
    <w:rsid w:val="00A63D37"/>
    <w:rsid w:val="00AA5B05"/>
    <w:rsid w:val="00AB136F"/>
    <w:rsid w:val="00AB4124"/>
    <w:rsid w:val="00AB567E"/>
    <w:rsid w:val="00AC050E"/>
    <w:rsid w:val="00AC1A4B"/>
    <w:rsid w:val="00AC412A"/>
    <w:rsid w:val="00AC63D2"/>
    <w:rsid w:val="00AE05C7"/>
    <w:rsid w:val="00AE2D00"/>
    <w:rsid w:val="00AE3689"/>
    <w:rsid w:val="00AF270B"/>
    <w:rsid w:val="00AF67C1"/>
    <w:rsid w:val="00B009F7"/>
    <w:rsid w:val="00B254DC"/>
    <w:rsid w:val="00B35257"/>
    <w:rsid w:val="00B5193F"/>
    <w:rsid w:val="00B546F5"/>
    <w:rsid w:val="00B70B6A"/>
    <w:rsid w:val="00B80253"/>
    <w:rsid w:val="00B90926"/>
    <w:rsid w:val="00B95A97"/>
    <w:rsid w:val="00BA1E1B"/>
    <w:rsid w:val="00BA26BD"/>
    <w:rsid w:val="00BB3653"/>
    <w:rsid w:val="00BB3706"/>
    <w:rsid w:val="00BB6EEA"/>
    <w:rsid w:val="00BC03AB"/>
    <w:rsid w:val="00BC05DA"/>
    <w:rsid w:val="00BC0EB1"/>
    <w:rsid w:val="00BC3DBD"/>
    <w:rsid w:val="00BE4E5E"/>
    <w:rsid w:val="00BE68DC"/>
    <w:rsid w:val="00BF4A9B"/>
    <w:rsid w:val="00C00798"/>
    <w:rsid w:val="00C13C4D"/>
    <w:rsid w:val="00C14EF2"/>
    <w:rsid w:val="00C16ED1"/>
    <w:rsid w:val="00C238E5"/>
    <w:rsid w:val="00C375A0"/>
    <w:rsid w:val="00C4315E"/>
    <w:rsid w:val="00C45E9E"/>
    <w:rsid w:val="00C5149C"/>
    <w:rsid w:val="00C71600"/>
    <w:rsid w:val="00C85AEA"/>
    <w:rsid w:val="00C94A38"/>
    <w:rsid w:val="00CA0086"/>
    <w:rsid w:val="00CA181A"/>
    <w:rsid w:val="00CA3FF4"/>
    <w:rsid w:val="00CA4319"/>
    <w:rsid w:val="00CA5A17"/>
    <w:rsid w:val="00CB15BB"/>
    <w:rsid w:val="00CB7EE3"/>
    <w:rsid w:val="00CC0C01"/>
    <w:rsid w:val="00CC0E0B"/>
    <w:rsid w:val="00CD3B30"/>
    <w:rsid w:val="00CD4947"/>
    <w:rsid w:val="00D01229"/>
    <w:rsid w:val="00D01FA4"/>
    <w:rsid w:val="00D02557"/>
    <w:rsid w:val="00D06B9C"/>
    <w:rsid w:val="00D10B55"/>
    <w:rsid w:val="00D14627"/>
    <w:rsid w:val="00D15E72"/>
    <w:rsid w:val="00D265B9"/>
    <w:rsid w:val="00D366D5"/>
    <w:rsid w:val="00D40658"/>
    <w:rsid w:val="00D40E5B"/>
    <w:rsid w:val="00D50313"/>
    <w:rsid w:val="00D61A55"/>
    <w:rsid w:val="00D62D2B"/>
    <w:rsid w:val="00D710D6"/>
    <w:rsid w:val="00D71DB1"/>
    <w:rsid w:val="00D82994"/>
    <w:rsid w:val="00D85E8C"/>
    <w:rsid w:val="00D9711C"/>
    <w:rsid w:val="00DA1275"/>
    <w:rsid w:val="00DB0434"/>
    <w:rsid w:val="00DB07CB"/>
    <w:rsid w:val="00DB7013"/>
    <w:rsid w:val="00DC6AC8"/>
    <w:rsid w:val="00DD56F0"/>
    <w:rsid w:val="00DE51B1"/>
    <w:rsid w:val="00DF5D12"/>
    <w:rsid w:val="00E03559"/>
    <w:rsid w:val="00E05BD8"/>
    <w:rsid w:val="00E07E85"/>
    <w:rsid w:val="00E2333D"/>
    <w:rsid w:val="00E23416"/>
    <w:rsid w:val="00E3720F"/>
    <w:rsid w:val="00E56DAB"/>
    <w:rsid w:val="00E65B3C"/>
    <w:rsid w:val="00E71A33"/>
    <w:rsid w:val="00E71E62"/>
    <w:rsid w:val="00E737AD"/>
    <w:rsid w:val="00E77362"/>
    <w:rsid w:val="00E77608"/>
    <w:rsid w:val="00E81D62"/>
    <w:rsid w:val="00E91F28"/>
    <w:rsid w:val="00E92685"/>
    <w:rsid w:val="00EA2F59"/>
    <w:rsid w:val="00EA3669"/>
    <w:rsid w:val="00EA39AA"/>
    <w:rsid w:val="00EA6000"/>
    <w:rsid w:val="00EA74F9"/>
    <w:rsid w:val="00EB20F2"/>
    <w:rsid w:val="00EB5356"/>
    <w:rsid w:val="00EB7AC9"/>
    <w:rsid w:val="00EC56E9"/>
    <w:rsid w:val="00EC6D76"/>
    <w:rsid w:val="00EE0268"/>
    <w:rsid w:val="00EE2C9F"/>
    <w:rsid w:val="00EE3121"/>
    <w:rsid w:val="00EF5D1A"/>
    <w:rsid w:val="00EF7337"/>
    <w:rsid w:val="00F061FC"/>
    <w:rsid w:val="00F11708"/>
    <w:rsid w:val="00F13C69"/>
    <w:rsid w:val="00F14E48"/>
    <w:rsid w:val="00F317D3"/>
    <w:rsid w:val="00F32709"/>
    <w:rsid w:val="00F616B8"/>
    <w:rsid w:val="00F62C71"/>
    <w:rsid w:val="00F7775E"/>
    <w:rsid w:val="00F83B4E"/>
    <w:rsid w:val="00F90B9D"/>
    <w:rsid w:val="00F914C8"/>
    <w:rsid w:val="00F9492B"/>
    <w:rsid w:val="00FA08BB"/>
    <w:rsid w:val="00FB4E52"/>
    <w:rsid w:val="00FC07D9"/>
    <w:rsid w:val="00FC098A"/>
    <w:rsid w:val="00FC0F24"/>
    <w:rsid w:val="00FC3DCF"/>
    <w:rsid w:val="00FC6EB5"/>
    <w:rsid w:val="00FD53CD"/>
    <w:rsid w:val="00FE016E"/>
    <w:rsid w:val="00FE1442"/>
    <w:rsid w:val="00FE660D"/>
    <w:rsid w:val="00FF324A"/>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footnote text" w:uiPriority="99"/>
    <w:lsdException w:name="header" w:uiPriority="99"/>
    <w:lsdException w:name="caption" w:uiPriority="99" w:qFormat="1"/>
    <w:lsdException w:name="footnote reference" w:uiPriority="99"/>
    <w:lsdException w:name="List Bullet" w:uiPriority="99"/>
    <w:lsdException w:name="List Number 5" w:uiPriority="99"/>
    <w:lsdException w:name="Title" w:qFormat="1"/>
    <w:lsdException w:name="Body Text" w:uiPriority="99"/>
    <w:lsdException w:name="Subtitle" w:qFormat="1"/>
    <w:lsdException w:name="Strong" w:qFormat="1"/>
    <w:lsdException w:name="Emphasis" w:qFormat="1"/>
    <w:lsdException w:name="Outline List 3"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4C8"/>
    <w:pPr>
      <w:widowControl w:val="0"/>
      <w:autoSpaceDE w:val="0"/>
      <w:autoSpaceDN w:val="0"/>
      <w:adjustRightInd w:val="0"/>
    </w:pPr>
    <w:rPr>
      <w:rFonts w:ascii="Courier" w:hAnsi="Courier"/>
      <w:sz w:val="24"/>
      <w:szCs w:val="24"/>
    </w:rPr>
  </w:style>
  <w:style w:type="paragraph" w:styleId="Heading1">
    <w:name w:val="heading 1"/>
    <w:basedOn w:val="Normal"/>
    <w:next w:val="BodyText"/>
    <w:link w:val="Heading1Char"/>
    <w:autoRedefine/>
    <w:uiPriority w:val="99"/>
    <w:qFormat/>
    <w:rsid w:val="001952D3"/>
    <w:pPr>
      <w:keepNext/>
      <w:widowControl/>
      <w:numPr>
        <w:numId w:val="13"/>
      </w:numPr>
      <w:outlineLvl w:val="0"/>
    </w:pPr>
    <w:rPr>
      <w:rFonts w:ascii="Times New Roman" w:hAnsi="Times New Roman"/>
      <w:b/>
      <w:bCs/>
    </w:rPr>
  </w:style>
  <w:style w:type="paragraph" w:styleId="Heading2">
    <w:name w:val="heading 2"/>
    <w:basedOn w:val="Normal"/>
    <w:next w:val="BodyText"/>
    <w:link w:val="Heading2Char"/>
    <w:uiPriority w:val="99"/>
    <w:qFormat/>
    <w:rsid w:val="008B085E"/>
    <w:pPr>
      <w:widowControl/>
      <w:numPr>
        <w:ilvl w:val="1"/>
        <w:numId w:val="13"/>
      </w:numPr>
      <w:tabs>
        <w:tab w:val="left" w:pos="0"/>
      </w:tabs>
      <w:outlineLvl w:val="1"/>
    </w:pPr>
    <w:rPr>
      <w:rFonts w:ascii="Times New Roman" w:hAnsi="Times New Roman"/>
      <w:b/>
      <w:bCs/>
      <w:smallCaps/>
    </w:rPr>
  </w:style>
  <w:style w:type="paragraph" w:styleId="Heading3">
    <w:name w:val="heading 3"/>
    <w:basedOn w:val="Normal"/>
    <w:next w:val="BodyText"/>
    <w:link w:val="Heading3Char"/>
    <w:uiPriority w:val="99"/>
    <w:qFormat/>
    <w:rsid w:val="00765D6E"/>
    <w:pPr>
      <w:keepNext/>
      <w:widowControl/>
      <w:numPr>
        <w:ilvl w:val="2"/>
        <w:numId w:val="8"/>
      </w:numPr>
      <w:tabs>
        <w:tab w:val="left" w:pos="0"/>
      </w:tabs>
      <w:outlineLvl w:val="2"/>
    </w:pPr>
    <w:rPr>
      <w:rFonts w:ascii="Times New Roman" w:hAnsi="Times New Roman"/>
      <w:b/>
      <w:bCs/>
      <w:smallCaps/>
      <w:color w:val="000000"/>
    </w:rPr>
  </w:style>
  <w:style w:type="paragraph" w:styleId="Heading4">
    <w:name w:val="heading 4"/>
    <w:basedOn w:val="BodyText"/>
    <w:link w:val="Heading4Char"/>
    <w:uiPriority w:val="99"/>
    <w:qFormat/>
    <w:rsid w:val="002370EE"/>
    <w:pPr>
      <w:numPr>
        <w:ilvl w:val="3"/>
        <w:numId w:val="13"/>
      </w:numPr>
      <w:outlineLvl w:val="3"/>
    </w:pPr>
    <w:rPr>
      <w:b/>
      <w:sz w:val="24"/>
    </w:rPr>
  </w:style>
  <w:style w:type="paragraph" w:styleId="Heading5">
    <w:name w:val="heading 5"/>
    <w:basedOn w:val="Heading4"/>
    <w:link w:val="Heading5Char"/>
    <w:uiPriority w:val="99"/>
    <w:qFormat/>
    <w:rsid w:val="00D71DB1"/>
    <w:pPr>
      <w:numPr>
        <w:ilvl w:val="4"/>
        <w:numId w:val="5"/>
      </w:numPr>
      <w:ind w:left="0" w:firstLine="0"/>
      <w:outlineLvl w:val="4"/>
    </w:pPr>
  </w:style>
  <w:style w:type="paragraph" w:styleId="Heading6">
    <w:name w:val="heading 6"/>
    <w:basedOn w:val="Normal"/>
    <w:next w:val="Normal"/>
    <w:link w:val="Heading6Char"/>
    <w:uiPriority w:val="99"/>
    <w:qFormat/>
    <w:rsid w:val="00D71DB1"/>
    <w:pPr>
      <w:widowControl/>
      <w:numPr>
        <w:ilvl w:val="5"/>
        <w:numId w:val="5"/>
      </w:numPr>
      <w:autoSpaceDE/>
      <w:autoSpaceDN/>
      <w:adjustRightInd/>
      <w:spacing w:before="240" w:after="60"/>
      <w:outlineLvl w:val="5"/>
    </w:pPr>
    <w:rPr>
      <w:rFonts w:ascii="Times New Roman" w:hAnsi="Times New Roman"/>
      <w:i/>
      <w:sz w:val="20"/>
      <w:szCs w:val="20"/>
    </w:rPr>
  </w:style>
  <w:style w:type="paragraph" w:styleId="Heading7">
    <w:name w:val="heading 7"/>
    <w:basedOn w:val="Heading1"/>
    <w:next w:val="Normal"/>
    <w:link w:val="Heading7Char"/>
    <w:uiPriority w:val="99"/>
    <w:qFormat/>
    <w:rsid w:val="00D71DB1"/>
    <w:pPr>
      <w:numPr>
        <w:ilvl w:val="6"/>
        <w:numId w:val="5"/>
      </w:numPr>
      <w:spacing w:after="60"/>
      <w:ind w:left="0" w:firstLine="0"/>
      <w:outlineLvl w:val="6"/>
    </w:pPr>
    <w:rPr>
      <w:rFonts w:ascii="Arial Bold" w:hAnsi="Arial Bold"/>
    </w:rPr>
  </w:style>
  <w:style w:type="paragraph" w:styleId="Heading8">
    <w:name w:val="heading 8"/>
    <w:basedOn w:val="Normal"/>
    <w:next w:val="Normal"/>
    <w:link w:val="Heading8Char"/>
    <w:uiPriority w:val="99"/>
    <w:qFormat/>
    <w:rsid w:val="00D71DB1"/>
    <w:pPr>
      <w:widowControl/>
      <w:numPr>
        <w:ilvl w:val="7"/>
        <w:numId w:val="5"/>
      </w:numPr>
      <w:autoSpaceDE/>
      <w:autoSpaceDN/>
      <w:adjustRightInd/>
      <w:spacing w:before="240" w:after="60"/>
      <w:outlineLvl w:val="7"/>
    </w:pPr>
    <w:rPr>
      <w:rFonts w:ascii="Arial" w:hAnsi="Arial"/>
      <w:i/>
      <w:sz w:val="20"/>
      <w:szCs w:val="20"/>
    </w:rPr>
  </w:style>
  <w:style w:type="paragraph" w:styleId="Heading9">
    <w:name w:val="heading 9"/>
    <w:basedOn w:val="Normal"/>
    <w:next w:val="Normal"/>
    <w:link w:val="Heading9Char"/>
    <w:uiPriority w:val="99"/>
    <w:qFormat/>
    <w:rsid w:val="00D71DB1"/>
    <w:pPr>
      <w:widowControl/>
      <w:numPr>
        <w:ilvl w:val="8"/>
        <w:numId w:val="5"/>
      </w:numPr>
      <w:autoSpaceDE/>
      <w:autoSpaceDN/>
      <w:adjustRightInd/>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914C8"/>
  </w:style>
  <w:style w:type="paragraph" w:styleId="TOC1">
    <w:name w:val="toc 1"/>
    <w:basedOn w:val="Normal"/>
    <w:next w:val="Normal"/>
    <w:uiPriority w:val="39"/>
    <w:rsid w:val="001952D3"/>
    <w:pPr>
      <w:ind w:left="720" w:hanging="720"/>
    </w:pPr>
    <w:rPr>
      <w:rFonts w:ascii="Times New Roman" w:hAnsi="Times New Roman"/>
    </w:rPr>
  </w:style>
  <w:style w:type="paragraph" w:styleId="TOC2">
    <w:name w:val="toc 2"/>
    <w:basedOn w:val="Normal"/>
    <w:next w:val="Normal"/>
    <w:uiPriority w:val="39"/>
    <w:rsid w:val="001952D3"/>
    <w:pPr>
      <w:ind w:left="1440" w:hanging="720"/>
    </w:pPr>
    <w:rPr>
      <w:rFonts w:ascii="Times New Roman" w:hAnsi="Times New Roman"/>
    </w:rPr>
  </w:style>
  <w:style w:type="character" w:customStyle="1" w:styleId="Level-01">
    <w:name w:val="Level-01"/>
    <w:rsid w:val="00F914C8"/>
    <w:rPr>
      <w:rFonts w:ascii="Shruti" w:hAnsi="Shruti" w:cs="Shruti"/>
      <w:sz w:val="20"/>
      <w:szCs w:val="20"/>
    </w:rPr>
  </w:style>
  <w:style w:type="character" w:customStyle="1" w:styleId="Hypertext">
    <w:name w:val="Hypertext"/>
    <w:rsid w:val="00F914C8"/>
    <w:rPr>
      <w:color w:val="0000FF"/>
      <w:u w:val="single"/>
    </w:rPr>
  </w:style>
  <w:style w:type="paragraph" w:customStyle="1" w:styleId="Level1">
    <w:name w:val="Level 1"/>
    <w:basedOn w:val="Normal"/>
    <w:rsid w:val="00F914C8"/>
    <w:pPr>
      <w:ind w:left="1440" w:hanging="720"/>
    </w:pPr>
  </w:style>
  <w:style w:type="paragraph" w:customStyle="1" w:styleId="a">
    <w:name w:val="_"/>
    <w:basedOn w:val="Normal"/>
    <w:rsid w:val="00F914C8"/>
    <w:pPr>
      <w:ind w:left="1440" w:hanging="720"/>
    </w:pPr>
  </w:style>
  <w:style w:type="paragraph" w:styleId="BalloonText">
    <w:name w:val="Balloon Text"/>
    <w:basedOn w:val="Normal"/>
    <w:semiHidden/>
    <w:rsid w:val="001B63D9"/>
    <w:rPr>
      <w:rFonts w:ascii="Tahoma" w:hAnsi="Tahoma" w:cs="Tahoma"/>
      <w:sz w:val="16"/>
      <w:szCs w:val="16"/>
    </w:rPr>
  </w:style>
  <w:style w:type="paragraph" w:styleId="Header">
    <w:name w:val="header"/>
    <w:basedOn w:val="Normal"/>
    <w:link w:val="HeaderChar"/>
    <w:uiPriority w:val="99"/>
    <w:rsid w:val="0049406C"/>
    <w:pPr>
      <w:tabs>
        <w:tab w:val="center" w:pos="4320"/>
        <w:tab w:val="right" w:pos="8640"/>
      </w:tabs>
    </w:pPr>
  </w:style>
  <w:style w:type="paragraph" w:styleId="Footer">
    <w:name w:val="footer"/>
    <w:basedOn w:val="Normal"/>
    <w:rsid w:val="0049406C"/>
    <w:pPr>
      <w:tabs>
        <w:tab w:val="center" w:pos="4320"/>
        <w:tab w:val="right" w:pos="8640"/>
      </w:tabs>
    </w:pPr>
  </w:style>
  <w:style w:type="character" w:styleId="Hyperlink">
    <w:name w:val="Hyperlink"/>
    <w:rsid w:val="00B70B6A"/>
    <w:rPr>
      <w:color w:val="0000FF"/>
      <w:u w:val="single"/>
    </w:rPr>
  </w:style>
  <w:style w:type="character" w:styleId="PageNumber">
    <w:name w:val="page number"/>
    <w:basedOn w:val="DefaultParagraphFont"/>
    <w:rsid w:val="005E4CAC"/>
  </w:style>
  <w:style w:type="paragraph" w:styleId="FootnoteText">
    <w:name w:val="footnote text"/>
    <w:basedOn w:val="Normal"/>
    <w:link w:val="FootnoteTextChar"/>
    <w:uiPriority w:val="99"/>
    <w:rsid w:val="00121389"/>
    <w:rPr>
      <w:sz w:val="20"/>
      <w:szCs w:val="20"/>
    </w:rPr>
  </w:style>
  <w:style w:type="character" w:customStyle="1" w:styleId="FootnoteTextChar">
    <w:name w:val="Footnote Text Char"/>
    <w:link w:val="FootnoteText"/>
    <w:rsid w:val="00121389"/>
    <w:rPr>
      <w:rFonts w:ascii="Courier" w:hAnsi="Courier"/>
    </w:rPr>
  </w:style>
  <w:style w:type="character" w:styleId="CommentReference">
    <w:name w:val="annotation reference"/>
    <w:rsid w:val="00E71A33"/>
    <w:rPr>
      <w:sz w:val="16"/>
      <w:szCs w:val="16"/>
    </w:rPr>
  </w:style>
  <w:style w:type="paragraph" w:styleId="CommentText">
    <w:name w:val="annotation text"/>
    <w:basedOn w:val="Normal"/>
    <w:link w:val="CommentTextChar"/>
    <w:rsid w:val="00E71A33"/>
    <w:rPr>
      <w:sz w:val="20"/>
      <w:szCs w:val="20"/>
    </w:rPr>
  </w:style>
  <w:style w:type="character" w:customStyle="1" w:styleId="CommentTextChar">
    <w:name w:val="Comment Text Char"/>
    <w:link w:val="CommentText"/>
    <w:rsid w:val="00E71A33"/>
    <w:rPr>
      <w:rFonts w:ascii="Courier" w:hAnsi="Courier"/>
    </w:rPr>
  </w:style>
  <w:style w:type="paragraph" w:styleId="CommentSubject">
    <w:name w:val="annotation subject"/>
    <w:basedOn w:val="CommentText"/>
    <w:next w:val="CommentText"/>
    <w:link w:val="CommentSubjectChar"/>
    <w:rsid w:val="00E71A33"/>
    <w:rPr>
      <w:b/>
      <w:bCs/>
    </w:rPr>
  </w:style>
  <w:style w:type="character" w:customStyle="1" w:styleId="CommentSubjectChar">
    <w:name w:val="Comment Subject Char"/>
    <w:link w:val="CommentSubject"/>
    <w:rsid w:val="00E71A33"/>
    <w:rPr>
      <w:rFonts w:ascii="Courier" w:hAnsi="Courier"/>
      <w:b/>
      <w:bCs/>
    </w:rPr>
  </w:style>
  <w:style w:type="paragraph" w:customStyle="1" w:styleId="Bodynoindent">
    <w:name w:val="Bodynoindent"/>
    <w:basedOn w:val="Normal"/>
    <w:link w:val="BodynoindentChar"/>
    <w:qFormat/>
    <w:rsid w:val="00BC05DA"/>
    <w:pPr>
      <w:widowControl/>
      <w:numPr>
        <w:ilvl w:val="12"/>
      </w:numPr>
      <w:autoSpaceDE/>
      <w:autoSpaceDN/>
      <w:adjustRightInd/>
      <w:spacing w:before="120" w:after="120"/>
    </w:pPr>
    <w:rPr>
      <w:rFonts w:ascii="Times New Roman" w:hAnsi="Times New Roman"/>
    </w:rPr>
  </w:style>
  <w:style w:type="character" w:customStyle="1" w:styleId="BodynoindentChar">
    <w:name w:val="Bodynoindent Char"/>
    <w:link w:val="Bodynoindent"/>
    <w:rsid w:val="00BC05DA"/>
    <w:rPr>
      <w:sz w:val="24"/>
      <w:szCs w:val="24"/>
    </w:rPr>
  </w:style>
  <w:style w:type="character" w:customStyle="1" w:styleId="Heading1Char">
    <w:name w:val="Heading 1 Char"/>
    <w:link w:val="Heading1"/>
    <w:uiPriority w:val="99"/>
    <w:rsid w:val="001952D3"/>
    <w:rPr>
      <w:b/>
      <w:bCs/>
      <w:sz w:val="24"/>
      <w:szCs w:val="24"/>
    </w:rPr>
  </w:style>
  <w:style w:type="character" w:customStyle="1" w:styleId="Heading2Char">
    <w:name w:val="Heading 2 Char"/>
    <w:link w:val="Heading2"/>
    <w:uiPriority w:val="99"/>
    <w:rsid w:val="008B085E"/>
    <w:rPr>
      <w:b/>
      <w:bCs/>
      <w:smallCaps/>
      <w:sz w:val="24"/>
      <w:szCs w:val="24"/>
    </w:rPr>
  </w:style>
  <w:style w:type="character" w:customStyle="1" w:styleId="Heading3Char">
    <w:name w:val="Heading 3 Char"/>
    <w:link w:val="Heading3"/>
    <w:uiPriority w:val="99"/>
    <w:rsid w:val="00765D6E"/>
    <w:rPr>
      <w:b/>
      <w:bCs/>
      <w:smallCaps/>
      <w:color w:val="000000"/>
      <w:sz w:val="24"/>
      <w:szCs w:val="24"/>
    </w:rPr>
  </w:style>
  <w:style w:type="character" w:customStyle="1" w:styleId="Heading4Char">
    <w:name w:val="Heading 4 Char"/>
    <w:link w:val="Heading4"/>
    <w:uiPriority w:val="99"/>
    <w:rsid w:val="002370EE"/>
    <w:rPr>
      <w:b/>
      <w:sz w:val="24"/>
    </w:rPr>
  </w:style>
  <w:style w:type="character" w:customStyle="1" w:styleId="Heading5Char">
    <w:name w:val="Heading 5 Char"/>
    <w:link w:val="Heading5"/>
    <w:uiPriority w:val="99"/>
    <w:rsid w:val="00D71DB1"/>
    <w:rPr>
      <w:rFonts w:ascii="Arial" w:hAnsi="Arial"/>
      <w:b/>
      <w:bCs/>
      <w:kern w:val="28"/>
    </w:rPr>
  </w:style>
  <w:style w:type="character" w:customStyle="1" w:styleId="Heading6Char">
    <w:name w:val="Heading 6 Char"/>
    <w:link w:val="Heading6"/>
    <w:uiPriority w:val="99"/>
    <w:rsid w:val="00D71DB1"/>
    <w:rPr>
      <w:i/>
    </w:rPr>
  </w:style>
  <w:style w:type="character" w:customStyle="1" w:styleId="Heading7Char">
    <w:name w:val="Heading 7 Char"/>
    <w:link w:val="Heading7"/>
    <w:uiPriority w:val="99"/>
    <w:rsid w:val="00D71DB1"/>
    <w:rPr>
      <w:rFonts w:ascii="Arial Bold" w:hAnsi="Arial Bold"/>
      <w:b/>
      <w:color w:val="FFFFFF"/>
      <w:kern w:val="28"/>
      <w:sz w:val="28"/>
      <w:shd w:val="clear" w:color="auto" w:fill="000066"/>
    </w:rPr>
  </w:style>
  <w:style w:type="character" w:customStyle="1" w:styleId="Heading8Char">
    <w:name w:val="Heading 8 Char"/>
    <w:link w:val="Heading8"/>
    <w:uiPriority w:val="99"/>
    <w:rsid w:val="00D71DB1"/>
    <w:rPr>
      <w:rFonts w:ascii="Arial" w:hAnsi="Arial"/>
      <w:i/>
    </w:rPr>
  </w:style>
  <w:style w:type="character" w:customStyle="1" w:styleId="Heading9Char">
    <w:name w:val="Heading 9 Char"/>
    <w:link w:val="Heading9"/>
    <w:uiPriority w:val="99"/>
    <w:rsid w:val="00D71DB1"/>
    <w:rPr>
      <w:rFonts w:ascii="Arial" w:hAnsi="Arial"/>
      <w:b/>
      <w:i/>
      <w:sz w:val="18"/>
    </w:rPr>
  </w:style>
  <w:style w:type="paragraph" w:styleId="BodyText">
    <w:name w:val="Body Text"/>
    <w:basedOn w:val="Normal"/>
    <w:link w:val="BodyTextChar"/>
    <w:uiPriority w:val="99"/>
    <w:rsid w:val="00D71DB1"/>
    <w:pPr>
      <w:widowControl/>
      <w:autoSpaceDE/>
      <w:autoSpaceDN/>
      <w:adjustRightInd/>
      <w:spacing w:before="60" w:after="120" w:line="264" w:lineRule="auto"/>
    </w:pPr>
    <w:rPr>
      <w:rFonts w:ascii="Times New Roman" w:hAnsi="Times New Roman"/>
      <w:sz w:val="22"/>
      <w:szCs w:val="20"/>
    </w:rPr>
  </w:style>
  <w:style w:type="character" w:customStyle="1" w:styleId="BodyTextChar">
    <w:name w:val="Body Text Char"/>
    <w:link w:val="BodyText"/>
    <w:uiPriority w:val="99"/>
    <w:rsid w:val="00D71DB1"/>
    <w:rPr>
      <w:sz w:val="22"/>
    </w:rPr>
  </w:style>
  <w:style w:type="paragraph" w:styleId="Caption">
    <w:name w:val="caption"/>
    <w:basedOn w:val="Normal"/>
    <w:next w:val="Normal"/>
    <w:link w:val="CaptionChar"/>
    <w:uiPriority w:val="99"/>
    <w:qFormat/>
    <w:rsid w:val="00D71DB1"/>
    <w:pPr>
      <w:keepNext/>
      <w:keepLines/>
      <w:widowControl/>
      <w:autoSpaceDE/>
      <w:autoSpaceDN/>
      <w:adjustRightInd/>
      <w:jc w:val="center"/>
    </w:pPr>
    <w:rPr>
      <w:rFonts w:ascii="Times New Roman" w:hAnsi="Times New Roman"/>
      <w:b/>
      <w:sz w:val="22"/>
      <w:szCs w:val="20"/>
    </w:rPr>
  </w:style>
  <w:style w:type="character" w:customStyle="1" w:styleId="CaptionChar">
    <w:name w:val="Caption Char"/>
    <w:link w:val="Caption"/>
    <w:uiPriority w:val="99"/>
    <w:locked/>
    <w:rsid w:val="00D71DB1"/>
    <w:rPr>
      <w:rFonts w:cs="Arial"/>
      <w:b/>
      <w:sz w:val="22"/>
    </w:rPr>
  </w:style>
  <w:style w:type="paragraph" w:customStyle="1" w:styleId="ExhibitHeading">
    <w:name w:val="Exhibit Heading"/>
    <w:basedOn w:val="Normal"/>
    <w:uiPriority w:val="99"/>
    <w:rsid w:val="00D71DB1"/>
    <w:pPr>
      <w:widowControl/>
      <w:jc w:val="center"/>
    </w:pPr>
    <w:rPr>
      <w:rFonts w:ascii="Garamond" w:hAnsi="Garamond" w:cs="Arial"/>
      <w:b/>
      <w:bCs/>
      <w:sz w:val="22"/>
      <w:szCs w:val="22"/>
    </w:rPr>
  </w:style>
  <w:style w:type="paragraph" w:customStyle="1" w:styleId="ExhibitLeft">
    <w:name w:val="Exhibit Left"/>
    <w:basedOn w:val="Normal"/>
    <w:uiPriority w:val="99"/>
    <w:rsid w:val="00D71DB1"/>
    <w:pPr>
      <w:widowControl/>
    </w:pPr>
    <w:rPr>
      <w:rFonts w:ascii="Garamond" w:hAnsi="Garamond" w:cs="Arial"/>
      <w:sz w:val="22"/>
      <w:szCs w:val="22"/>
    </w:rPr>
  </w:style>
  <w:style w:type="paragraph" w:customStyle="1" w:styleId="ExhibitCenter">
    <w:name w:val="Exhibit Center"/>
    <w:basedOn w:val="Normal"/>
    <w:autoRedefine/>
    <w:uiPriority w:val="99"/>
    <w:rsid w:val="00D71DB1"/>
    <w:pPr>
      <w:widowControl/>
      <w:autoSpaceDE/>
      <w:autoSpaceDN/>
      <w:adjustRightInd/>
    </w:pPr>
    <w:rPr>
      <w:rFonts w:ascii="Garamond" w:hAnsi="Garamond" w:cs="Arial"/>
      <w:sz w:val="22"/>
      <w:szCs w:val="20"/>
    </w:rPr>
  </w:style>
  <w:style w:type="paragraph" w:customStyle="1" w:styleId="ExhibitTitle">
    <w:name w:val="Exhibit Title"/>
    <w:basedOn w:val="Normal"/>
    <w:uiPriority w:val="99"/>
    <w:rsid w:val="00D71DB1"/>
    <w:pPr>
      <w:widowControl/>
      <w:autoSpaceDE/>
      <w:autoSpaceDN/>
      <w:adjustRightInd/>
      <w:jc w:val="center"/>
    </w:pPr>
    <w:rPr>
      <w:rFonts w:ascii="Times New Roman" w:hAnsi="Times New Roman" w:cs="Arial"/>
      <w:b/>
      <w:bCs/>
    </w:rPr>
  </w:style>
  <w:style w:type="paragraph" w:styleId="ListBullet">
    <w:name w:val="List Bullet"/>
    <w:basedOn w:val="Normal"/>
    <w:link w:val="ListBulletChar"/>
    <w:uiPriority w:val="99"/>
    <w:rsid w:val="00D71DB1"/>
    <w:pPr>
      <w:widowControl/>
      <w:numPr>
        <w:numId w:val="6"/>
      </w:numPr>
      <w:autoSpaceDE/>
      <w:autoSpaceDN/>
      <w:adjustRightInd/>
      <w:spacing w:after="120" w:line="264" w:lineRule="auto"/>
    </w:pPr>
    <w:rPr>
      <w:rFonts w:ascii="Times New Roman" w:hAnsi="Times New Roman"/>
      <w:sz w:val="20"/>
      <w:szCs w:val="20"/>
    </w:rPr>
  </w:style>
  <w:style w:type="character" w:customStyle="1" w:styleId="ListBulletChar">
    <w:name w:val="List Bullet Char"/>
    <w:link w:val="ListBullet"/>
    <w:uiPriority w:val="99"/>
    <w:locked/>
    <w:rsid w:val="00D71DB1"/>
  </w:style>
  <w:style w:type="paragraph" w:styleId="DocumentMap">
    <w:name w:val="Document Map"/>
    <w:basedOn w:val="Normal"/>
    <w:semiHidden/>
    <w:rsid w:val="00DC6AC8"/>
    <w:pPr>
      <w:shd w:val="clear" w:color="auto" w:fill="000080"/>
    </w:pPr>
    <w:rPr>
      <w:rFonts w:ascii="Tahoma" w:hAnsi="Tahoma" w:cs="Tahoma"/>
      <w:sz w:val="20"/>
      <w:szCs w:val="20"/>
    </w:rPr>
  </w:style>
  <w:style w:type="character" w:styleId="FollowedHyperlink">
    <w:name w:val="FollowedHyperlink"/>
    <w:rsid w:val="009B0CD7"/>
    <w:rPr>
      <w:color w:val="800080"/>
      <w:u w:val="single"/>
    </w:rPr>
  </w:style>
  <w:style w:type="character" w:customStyle="1" w:styleId="CaptionChar1">
    <w:name w:val="Caption Char1"/>
    <w:uiPriority w:val="99"/>
    <w:locked/>
    <w:rsid w:val="00D61A55"/>
    <w:rPr>
      <w:rFonts w:cs="Arial"/>
      <w:b/>
      <w:sz w:val="24"/>
    </w:rPr>
  </w:style>
  <w:style w:type="paragraph" w:styleId="ListNumber5">
    <w:name w:val="List Number 5"/>
    <w:basedOn w:val="Normal"/>
    <w:uiPriority w:val="99"/>
    <w:rsid w:val="00F317D3"/>
    <w:pPr>
      <w:widowControl/>
      <w:numPr>
        <w:numId w:val="12"/>
      </w:numPr>
      <w:tabs>
        <w:tab w:val="clear" w:pos="1440"/>
        <w:tab w:val="num" w:pos="1800"/>
      </w:tabs>
      <w:autoSpaceDE/>
      <w:autoSpaceDN/>
      <w:adjustRightInd/>
      <w:spacing w:after="120"/>
      <w:ind w:left="1800" w:hanging="360"/>
    </w:pPr>
    <w:rPr>
      <w:rFonts w:ascii="Times New Roman" w:hAnsi="Times New Roman"/>
      <w:szCs w:val="20"/>
    </w:rPr>
  </w:style>
  <w:style w:type="numbering" w:styleId="ArticleSection">
    <w:name w:val="Outline List 3"/>
    <w:basedOn w:val="NoList"/>
    <w:uiPriority w:val="99"/>
    <w:unhideWhenUsed/>
    <w:rsid w:val="00F317D3"/>
    <w:pPr>
      <w:numPr>
        <w:numId w:val="12"/>
      </w:numPr>
    </w:pPr>
  </w:style>
  <w:style w:type="paragraph" w:customStyle="1" w:styleId="Exhibitright">
    <w:name w:val="Exhibit right"/>
    <w:basedOn w:val="ExhibitLeft"/>
    <w:uiPriority w:val="99"/>
    <w:rsid w:val="00F317D3"/>
    <w:pPr>
      <w:spacing w:after="120"/>
      <w:jc w:val="right"/>
    </w:pPr>
    <w:rPr>
      <w:b/>
      <w:sz w:val="24"/>
    </w:rPr>
  </w:style>
  <w:style w:type="paragraph" w:styleId="Revision">
    <w:name w:val="Revision"/>
    <w:hidden/>
    <w:uiPriority w:val="99"/>
    <w:semiHidden/>
    <w:rsid w:val="00FF6CDC"/>
    <w:rPr>
      <w:rFonts w:ascii="Courier" w:hAnsi="Courier"/>
      <w:sz w:val="24"/>
      <w:szCs w:val="24"/>
    </w:rPr>
  </w:style>
  <w:style w:type="paragraph" w:styleId="TOC3">
    <w:name w:val="toc 3"/>
    <w:basedOn w:val="Normal"/>
    <w:next w:val="Normal"/>
    <w:autoRedefine/>
    <w:uiPriority w:val="39"/>
    <w:rsid w:val="001952D3"/>
    <w:pPr>
      <w:ind w:left="480"/>
    </w:pPr>
    <w:rPr>
      <w:rFonts w:ascii="Times New Roman" w:hAnsi="Times New Roman"/>
    </w:rPr>
  </w:style>
  <w:style w:type="character" w:customStyle="1" w:styleId="HeaderChar">
    <w:name w:val="Header Char"/>
    <w:basedOn w:val="DefaultParagraphFont"/>
    <w:link w:val="Header"/>
    <w:uiPriority w:val="99"/>
    <w:rsid w:val="00EB5356"/>
    <w:rPr>
      <w:rFonts w:ascii="Courier" w:hAnsi="Courier"/>
      <w:sz w:val="24"/>
      <w:szCs w:val="24"/>
    </w:rPr>
  </w:style>
  <w:style w:type="character" w:customStyle="1" w:styleId="FootnoteTextChar1">
    <w:name w:val="Footnote Text Char1"/>
    <w:uiPriority w:val="99"/>
    <w:locked/>
    <w:rsid w:val="00FB4E52"/>
    <w:rPr>
      <w:rFonts w:ascii="Times New Roman" w:eastAsia="Times New Roman"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footnote text" w:uiPriority="99"/>
    <w:lsdException w:name="header" w:uiPriority="99"/>
    <w:lsdException w:name="caption" w:uiPriority="99" w:qFormat="1"/>
    <w:lsdException w:name="footnote reference" w:uiPriority="99"/>
    <w:lsdException w:name="List Bullet" w:uiPriority="99"/>
    <w:lsdException w:name="List Number 5" w:uiPriority="99"/>
    <w:lsdException w:name="Title" w:qFormat="1"/>
    <w:lsdException w:name="Body Text" w:uiPriority="99"/>
    <w:lsdException w:name="Subtitle" w:qFormat="1"/>
    <w:lsdException w:name="Strong" w:qFormat="1"/>
    <w:lsdException w:name="Emphasis" w:qFormat="1"/>
    <w:lsdException w:name="Outline List 3"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4C8"/>
    <w:pPr>
      <w:widowControl w:val="0"/>
      <w:autoSpaceDE w:val="0"/>
      <w:autoSpaceDN w:val="0"/>
      <w:adjustRightInd w:val="0"/>
    </w:pPr>
    <w:rPr>
      <w:rFonts w:ascii="Courier" w:hAnsi="Courier"/>
      <w:sz w:val="24"/>
      <w:szCs w:val="24"/>
    </w:rPr>
  </w:style>
  <w:style w:type="paragraph" w:styleId="Heading1">
    <w:name w:val="heading 1"/>
    <w:basedOn w:val="Normal"/>
    <w:next w:val="BodyText"/>
    <w:link w:val="Heading1Char"/>
    <w:autoRedefine/>
    <w:uiPriority w:val="99"/>
    <w:qFormat/>
    <w:rsid w:val="001952D3"/>
    <w:pPr>
      <w:keepNext/>
      <w:widowControl/>
      <w:numPr>
        <w:numId w:val="13"/>
      </w:numPr>
      <w:outlineLvl w:val="0"/>
    </w:pPr>
    <w:rPr>
      <w:rFonts w:ascii="Times New Roman" w:hAnsi="Times New Roman"/>
      <w:b/>
      <w:bCs/>
    </w:rPr>
  </w:style>
  <w:style w:type="paragraph" w:styleId="Heading2">
    <w:name w:val="heading 2"/>
    <w:basedOn w:val="Normal"/>
    <w:next w:val="BodyText"/>
    <w:link w:val="Heading2Char"/>
    <w:uiPriority w:val="99"/>
    <w:qFormat/>
    <w:rsid w:val="008B085E"/>
    <w:pPr>
      <w:widowControl/>
      <w:numPr>
        <w:ilvl w:val="1"/>
        <w:numId w:val="13"/>
      </w:numPr>
      <w:tabs>
        <w:tab w:val="left" w:pos="0"/>
      </w:tabs>
      <w:outlineLvl w:val="1"/>
    </w:pPr>
    <w:rPr>
      <w:rFonts w:ascii="Times New Roman" w:hAnsi="Times New Roman"/>
      <w:b/>
      <w:bCs/>
      <w:smallCaps/>
    </w:rPr>
  </w:style>
  <w:style w:type="paragraph" w:styleId="Heading3">
    <w:name w:val="heading 3"/>
    <w:basedOn w:val="Normal"/>
    <w:next w:val="BodyText"/>
    <w:link w:val="Heading3Char"/>
    <w:uiPriority w:val="99"/>
    <w:qFormat/>
    <w:rsid w:val="00765D6E"/>
    <w:pPr>
      <w:keepNext/>
      <w:widowControl/>
      <w:numPr>
        <w:ilvl w:val="2"/>
        <w:numId w:val="8"/>
      </w:numPr>
      <w:tabs>
        <w:tab w:val="left" w:pos="0"/>
      </w:tabs>
      <w:outlineLvl w:val="2"/>
    </w:pPr>
    <w:rPr>
      <w:rFonts w:ascii="Times New Roman" w:hAnsi="Times New Roman"/>
      <w:b/>
      <w:bCs/>
      <w:smallCaps/>
      <w:color w:val="000000"/>
    </w:rPr>
  </w:style>
  <w:style w:type="paragraph" w:styleId="Heading4">
    <w:name w:val="heading 4"/>
    <w:basedOn w:val="BodyText"/>
    <w:link w:val="Heading4Char"/>
    <w:uiPriority w:val="99"/>
    <w:qFormat/>
    <w:rsid w:val="002370EE"/>
    <w:pPr>
      <w:numPr>
        <w:ilvl w:val="3"/>
        <w:numId w:val="13"/>
      </w:numPr>
      <w:outlineLvl w:val="3"/>
    </w:pPr>
    <w:rPr>
      <w:b/>
      <w:sz w:val="24"/>
    </w:rPr>
  </w:style>
  <w:style w:type="paragraph" w:styleId="Heading5">
    <w:name w:val="heading 5"/>
    <w:basedOn w:val="Heading4"/>
    <w:link w:val="Heading5Char"/>
    <w:uiPriority w:val="99"/>
    <w:qFormat/>
    <w:rsid w:val="00D71DB1"/>
    <w:pPr>
      <w:numPr>
        <w:ilvl w:val="4"/>
        <w:numId w:val="5"/>
      </w:numPr>
      <w:ind w:left="0" w:firstLine="0"/>
      <w:outlineLvl w:val="4"/>
    </w:pPr>
  </w:style>
  <w:style w:type="paragraph" w:styleId="Heading6">
    <w:name w:val="heading 6"/>
    <w:basedOn w:val="Normal"/>
    <w:next w:val="Normal"/>
    <w:link w:val="Heading6Char"/>
    <w:uiPriority w:val="99"/>
    <w:qFormat/>
    <w:rsid w:val="00D71DB1"/>
    <w:pPr>
      <w:widowControl/>
      <w:numPr>
        <w:ilvl w:val="5"/>
        <w:numId w:val="5"/>
      </w:numPr>
      <w:autoSpaceDE/>
      <w:autoSpaceDN/>
      <w:adjustRightInd/>
      <w:spacing w:before="240" w:after="60"/>
      <w:outlineLvl w:val="5"/>
    </w:pPr>
    <w:rPr>
      <w:rFonts w:ascii="Times New Roman" w:hAnsi="Times New Roman"/>
      <w:i/>
      <w:sz w:val="20"/>
      <w:szCs w:val="20"/>
    </w:rPr>
  </w:style>
  <w:style w:type="paragraph" w:styleId="Heading7">
    <w:name w:val="heading 7"/>
    <w:basedOn w:val="Heading1"/>
    <w:next w:val="Normal"/>
    <w:link w:val="Heading7Char"/>
    <w:uiPriority w:val="99"/>
    <w:qFormat/>
    <w:rsid w:val="00D71DB1"/>
    <w:pPr>
      <w:numPr>
        <w:ilvl w:val="6"/>
        <w:numId w:val="5"/>
      </w:numPr>
      <w:spacing w:after="60"/>
      <w:ind w:left="0" w:firstLine="0"/>
      <w:outlineLvl w:val="6"/>
    </w:pPr>
    <w:rPr>
      <w:rFonts w:ascii="Arial Bold" w:hAnsi="Arial Bold"/>
    </w:rPr>
  </w:style>
  <w:style w:type="paragraph" w:styleId="Heading8">
    <w:name w:val="heading 8"/>
    <w:basedOn w:val="Normal"/>
    <w:next w:val="Normal"/>
    <w:link w:val="Heading8Char"/>
    <w:uiPriority w:val="99"/>
    <w:qFormat/>
    <w:rsid w:val="00D71DB1"/>
    <w:pPr>
      <w:widowControl/>
      <w:numPr>
        <w:ilvl w:val="7"/>
        <w:numId w:val="5"/>
      </w:numPr>
      <w:autoSpaceDE/>
      <w:autoSpaceDN/>
      <w:adjustRightInd/>
      <w:spacing w:before="240" w:after="60"/>
      <w:outlineLvl w:val="7"/>
    </w:pPr>
    <w:rPr>
      <w:rFonts w:ascii="Arial" w:hAnsi="Arial"/>
      <w:i/>
      <w:sz w:val="20"/>
      <w:szCs w:val="20"/>
    </w:rPr>
  </w:style>
  <w:style w:type="paragraph" w:styleId="Heading9">
    <w:name w:val="heading 9"/>
    <w:basedOn w:val="Normal"/>
    <w:next w:val="Normal"/>
    <w:link w:val="Heading9Char"/>
    <w:uiPriority w:val="99"/>
    <w:qFormat/>
    <w:rsid w:val="00D71DB1"/>
    <w:pPr>
      <w:widowControl/>
      <w:numPr>
        <w:ilvl w:val="8"/>
        <w:numId w:val="5"/>
      </w:numPr>
      <w:autoSpaceDE/>
      <w:autoSpaceDN/>
      <w:adjustRightInd/>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914C8"/>
  </w:style>
  <w:style w:type="paragraph" w:styleId="TOC1">
    <w:name w:val="toc 1"/>
    <w:basedOn w:val="Normal"/>
    <w:next w:val="Normal"/>
    <w:uiPriority w:val="39"/>
    <w:rsid w:val="001952D3"/>
    <w:pPr>
      <w:ind w:left="720" w:hanging="720"/>
    </w:pPr>
    <w:rPr>
      <w:rFonts w:ascii="Times New Roman" w:hAnsi="Times New Roman"/>
    </w:rPr>
  </w:style>
  <w:style w:type="paragraph" w:styleId="TOC2">
    <w:name w:val="toc 2"/>
    <w:basedOn w:val="Normal"/>
    <w:next w:val="Normal"/>
    <w:uiPriority w:val="39"/>
    <w:rsid w:val="001952D3"/>
    <w:pPr>
      <w:ind w:left="1440" w:hanging="720"/>
    </w:pPr>
    <w:rPr>
      <w:rFonts w:ascii="Times New Roman" w:hAnsi="Times New Roman"/>
    </w:rPr>
  </w:style>
  <w:style w:type="character" w:customStyle="1" w:styleId="Level-01">
    <w:name w:val="Level-01"/>
    <w:rsid w:val="00F914C8"/>
    <w:rPr>
      <w:rFonts w:ascii="Shruti" w:hAnsi="Shruti" w:cs="Shruti"/>
      <w:sz w:val="20"/>
      <w:szCs w:val="20"/>
    </w:rPr>
  </w:style>
  <w:style w:type="character" w:customStyle="1" w:styleId="Hypertext">
    <w:name w:val="Hypertext"/>
    <w:rsid w:val="00F914C8"/>
    <w:rPr>
      <w:color w:val="0000FF"/>
      <w:u w:val="single"/>
    </w:rPr>
  </w:style>
  <w:style w:type="paragraph" w:customStyle="1" w:styleId="Level1">
    <w:name w:val="Level 1"/>
    <w:basedOn w:val="Normal"/>
    <w:rsid w:val="00F914C8"/>
    <w:pPr>
      <w:ind w:left="1440" w:hanging="720"/>
    </w:pPr>
  </w:style>
  <w:style w:type="paragraph" w:customStyle="1" w:styleId="a">
    <w:name w:val="_"/>
    <w:basedOn w:val="Normal"/>
    <w:rsid w:val="00F914C8"/>
    <w:pPr>
      <w:ind w:left="1440" w:hanging="720"/>
    </w:pPr>
  </w:style>
  <w:style w:type="paragraph" w:styleId="BalloonText">
    <w:name w:val="Balloon Text"/>
    <w:basedOn w:val="Normal"/>
    <w:semiHidden/>
    <w:rsid w:val="001B63D9"/>
    <w:rPr>
      <w:rFonts w:ascii="Tahoma" w:hAnsi="Tahoma" w:cs="Tahoma"/>
      <w:sz w:val="16"/>
      <w:szCs w:val="16"/>
    </w:rPr>
  </w:style>
  <w:style w:type="paragraph" w:styleId="Header">
    <w:name w:val="header"/>
    <w:basedOn w:val="Normal"/>
    <w:link w:val="HeaderChar"/>
    <w:uiPriority w:val="99"/>
    <w:rsid w:val="0049406C"/>
    <w:pPr>
      <w:tabs>
        <w:tab w:val="center" w:pos="4320"/>
        <w:tab w:val="right" w:pos="8640"/>
      </w:tabs>
    </w:pPr>
  </w:style>
  <w:style w:type="paragraph" w:styleId="Footer">
    <w:name w:val="footer"/>
    <w:basedOn w:val="Normal"/>
    <w:rsid w:val="0049406C"/>
    <w:pPr>
      <w:tabs>
        <w:tab w:val="center" w:pos="4320"/>
        <w:tab w:val="right" w:pos="8640"/>
      </w:tabs>
    </w:pPr>
  </w:style>
  <w:style w:type="character" w:styleId="Hyperlink">
    <w:name w:val="Hyperlink"/>
    <w:rsid w:val="00B70B6A"/>
    <w:rPr>
      <w:color w:val="0000FF"/>
      <w:u w:val="single"/>
    </w:rPr>
  </w:style>
  <w:style w:type="character" w:styleId="PageNumber">
    <w:name w:val="page number"/>
    <w:basedOn w:val="DefaultParagraphFont"/>
    <w:rsid w:val="005E4CAC"/>
  </w:style>
  <w:style w:type="paragraph" w:styleId="FootnoteText">
    <w:name w:val="footnote text"/>
    <w:basedOn w:val="Normal"/>
    <w:link w:val="FootnoteTextChar"/>
    <w:uiPriority w:val="99"/>
    <w:rsid w:val="00121389"/>
    <w:rPr>
      <w:sz w:val="20"/>
      <w:szCs w:val="20"/>
    </w:rPr>
  </w:style>
  <w:style w:type="character" w:customStyle="1" w:styleId="FootnoteTextChar">
    <w:name w:val="Footnote Text Char"/>
    <w:link w:val="FootnoteText"/>
    <w:rsid w:val="00121389"/>
    <w:rPr>
      <w:rFonts w:ascii="Courier" w:hAnsi="Courier"/>
    </w:rPr>
  </w:style>
  <w:style w:type="character" w:styleId="CommentReference">
    <w:name w:val="annotation reference"/>
    <w:rsid w:val="00E71A33"/>
    <w:rPr>
      <w:sz w:val="16"/>
      <w:szCs w:val="16"/>
    </w:rPr>
  </w:style>
  <w:style w:type="paragraph" w:styleId="CommentText">
    <w:name w:val="annotation text"/>
    <w:basedOn w:val="Normal"/>
    <w:link w:val="CommentTextChar"/>
    <w:rsid w:val="00E71A33"/>
    <w:rPr>
      <w:sz w:val="20"/>
      <w:szCs w:val="20"/>
    </w:rPr>
  </w:style>
  <w:style w:type="character" w:customStyle="1" w:styleId="CommentTextChar">
    <w:name w:val="Comment Text Char"/>
    <w:link w:val="CommentText"/>
    <w:rsid w:val="00E71A33"/>
    <w:rPr>
      <w:rFonts w:ascii="Courier" w:hAnsi="Courier"/>
    </w:rPr>
  </w:style>
  <w:style w:type="paragraph" w:styleId="CommentSubject">
    <w:name w:val="annotation subject"/>
    <w:basedOn w:val="CommentText"/>
    <w:next w:val="CommentText"/>
    <w:link w:val="CommentSubjectChar"/>
    <w:rsid w:val="00E71A33"/>
    <w:rPr>
      <w:b/>
      <w:bCs/>
    </w:rPr>
  </w:style>
  <w:style w:type="character" w:customStyle="1" w:styleId="CommentSubjectChar">
    <w:name w:val="Comment Subject Char"/>
    <w:link w:val="CommentSubject"/>
    <w:rsid w:val="00E71A33"/>
    <w:rPr>
      <w:rFonts w:ascii="Courier" w:hAnsi="Courier"/>
      <w:b/>
      <w:bCs/>
    </w:rPr>
  </w:style>
  <w:style w:type="paragraph" w:customStyle="1" w:styleId="Bodynoindent">
    <w:name w:val="Bodynoindent"/>
    <w:basedOn w:val="Normal"/>
    <w:link w:val="BodynoindentChar"/>
    <w:qFormat/>
    <w:rsid w:val="00BC05DA"/>
    <w:pPr>
      <w:widowControl/>
      <w:numPr>
        <w:ilvl w:val="12"/>
      </w:numPr>
      <w:autoSpaceDE/>
      <w:autoSpaceDN/>
      <w:adjustRightInd/>
      <w:spacing w:before="120" w:after="120"/>
    </w:pPr>
    <w:rPr>
      <w:rFonts w:ascii="Times New Roman" w:hAnsi="Times New Roman"/>
    </w:rPr>
  </w:style>
  <w:style w:type="character" w:customStyle="1" w:styleId="BodynoindentChar">
    <w:name w:val="Bodynoindent Char"/>
    <w:link w:val="Bodynoindent"/>
    <w:rsid w:val="00BC05DA"/>
    <w:rPr>
      <w:sz w:val="24"/>
      <w:szCs w:val="24"/>
    </w:rPr>
  </w:style>
  <w:style w:type="character" w:customStyle="1" w:styleId="Heading1Char">
    <w:name w:val="Heading 1 Char"/>
    <w:link w:val="Heading1"/>
    <w:uiPriority w:val="99"/>
    <w:rsid w:val="001952D3"/>
    <w:rPr>
      <w:b/>
      <w:bCs/>
      <w:sz w:val="24"/>
      <w:szCs w:val="24"/>
    </w:rPr>
  </w:style>
  <w:style w:type="character" w:customStyle="1" w:styleId="Heading2Char">
    <w:name w:val="Heading 2 Char"/>
    <w:link w:val="Heading2"/>
    <w:uiPriority w:val="99"/>
    <w:rsid w:val="008B085E"/>
    <w:rPr>
      <w:b/>
      <w:bCs/>
      <w:smallCaps/>
      <w:sz w:val="24"/>
      <w:szCs w:val="24"/>
    </w:rPr>
  </w:style>
  <w:style w:type="character" w:customStyle="1" w:styleId="Heading3Char">
    <w:name w:val="Heading 3 Char"/>
    <w:link w:val="Heading3"/>
    <w:uiPriority w:val="99"/>
    <w:rsid w:val="00765D6E"/>
    <w:rPr>
      <w:b/>
      <w:bCs/>
      <w:smallCaps/>
      <w:color w:val="000000"/>
      <w:sz w:val="24"/>
      <w:szCs w:val="24"/>
    </w:rPr>
  </w:style>
  <w:style w:type="character" w:customStyle="1" w:styleId="Heading4Char">
    <w:name w:val="Heading 4 Char"/>
    <w:link w:val="Heading4"/>
    <w:uiPriority w:val="99"/>
    <w:rsid w:val="002370EE"/>
    <w:rPr>
      <w:b/>
      <w:sz w:val="24"/>
    </w:rPr>
  </w:style>
  <w:style w:type="character" w:customStyle="1" w:styleId="Heading5Char">
    <w:name w:val="Heading 5 Char"/>
    <w:link w:val="Heading5"/>
    <w:uiPriority w:val="99"/>
    <w:rsid w:val="00D71DB1"/>
    <w:rPr>
      <w:rFonts w:ascii="Arial" w:hAnsi="Arial"/>
      <w:b/>
      <w:bCs/>
      <w:kern w:val="28"/>
    </w:rPr>
  </w:style>
  <w:style w:type="character" w:customStyle="1" w:styleId="Heading6Char">
    <w:name w:val="Heading 6 Char"/>
    <w:link w:val="Heading6"/>
    <w:uiPriority w:val="99"/>
    <w:rsid w:val="00D71DB1"/>
    <w:rPr>
      <w:i/>
    </w:rPr>
  </w:style>
  <w:style w:type="character" w:customStyle="1" w:styleId="Heading7Char">
    <w:name w:val="Heading 7 Char"/>
    <w:link w:val="Heading7"/>
    <w:uiPriority w:val="99"/>
    <w:rsid w:val="00D71DB1"/>
    <w:rPr>
      <w:rFonts w:ascii="Arial Bold" w:hAnsi="Arial Bold"/>
      <w:b/>
      <w:color w:val="FFFFFF"/>
      <w:kern w:val="28"/>
      <w:sz w:val="28"/>
      <w:shd w:val="clear" w:color="auto" w:fill="000066"/>
    </w:rPr>
  </w:style>
  <w:style w:type="character" w:customStyle="1" w:styleId="Heading8Char">
    <w:name w:val="Heading 8 Char"/>
    <w:link w:val="Heading8"/>
    <w:uiPriority w:val="99"/>
    <w:rsid w:val="00D71DB1"/>
    <w:rPr>
      <w:rFonts w:ascii="Arial" w:hAnsi="Arial"/>
      <w:i/>
    </w:rPr>
  </w:style>
  <w:style w:type="character" w:customStyle="1" w:styleId="Heading9Char">
    <w:name w:val="Heading 9 Char"/>
    <w:link w:val="Heading9"/>
    <w:uiPriority w:val="99"/>
    <w:rsid w:val="00D71DB1"/>
    <w:rPr>
      <w:rFonts w:ascii="Arial" w:hAnsi="Arial"/>
      <w:b/>
      <w:i/>
      <w:sz w:val="18"/>
    </w:rPr>
  </w:style>
  <w:style w:type="paragraph" w:styleId="BodyText">
    <w:name w:val="Body Text"/>
    <w:basedOn w:val="Normal"/>
    <w:link w:val="BodyTextChar"/>
    <w:uiPriority w:val="99"/>
    <w:rsid w:val="00D71DB1"/>
    <w:pPr>
      <w:widowControl/>
      <w:autoSpaceDE/>
      <w:autoSpaceDN/>
      <w:adjustRightInd/>
      <w:spacing w:before="60" w:after="120" w:line="264" w:lineRule="auto"/>
    </w:pPr>
    <w:rPr>
      <w:rFonts w:ascii="Times New Roman" w:hAnsi="Times New Roman"/>
      <w:sz w:val="22"/>
      <w:szCs w:val="20"/>
    </w:rPr>
  </w:style>
  <w:style w:type="character" w:customStyle="1" w:styleId="BodyTextChar">
    <w:name w:val="Body Text Char"/>
    <w:link w:val="BodyText"/>
    <w:uiPriority w:val="99"/>
    <w:rsid w:val="00D71DB1"/>
    <w:rPr>
      <w:sz w:val="22"/>
    </w:rPr>
  </w:style>
  <w:style w:type="paragraph" w:styleId="Caption">
    <w:name w:val="caption"/>
    <w:basedOn w:val="Normal"/>
    <w:next w:val="Normal"/>
    <w:link w:val="CaptionChar"/>
    <w:uiPriority w:val="99"/>
    <w:qFormat/>
    <w:rsid w:val="00D71DB1"/>
    <w:pPr>
      <w:keepNext/>
      <w:keepLines/>
      <w:widowControl/>
      <w:autoSpaceDE/>
      <w:autoSpaceDN/>
      <w:adjustRightInd/>
      <w:jc w:val="center"/>
    </w:pPr>
    <w:rPr>
      <w:rFonts w:ascii="Times New Roman" w:hAnsi="Times New Roman"/>
      <w:b/>
      <w:sz w:val="22"/>
      <w:szCs w:val="20"/>
    </w:rPr>
  </w:style>
  <w:style w:type="character" w:customStyle="1" w:styleId="CaptionChar">
    <w:name w:val="Caption Char"/>
    <w:link w:val="Caption"/>
    <w:uiPriority w:val="99"/>
    <w:locked/>
    <w:rsid w:val="00D71DB1"/>
    <w:rPr>
      <w:rFonts w:cs="Arial"/>
      <w:b/>
      <w:sz w:val="22"/>
    </w:rPr>
  </w:style>
  <w:style w:type="paragraph" w:customStyle="1" w:styleId="ExhibitHeading">
    <w:name w:val="Exhibit Heading"/>
    <w:basedOn w:val="Normal"/>
    <w:uiPriority w:val="99"/>
    <w:rsid w:val="00D71DB1"/>
    <w:pPr>
      <w:widowControl/>
      <w:jc w:val="center"/>
    </w:pPr>
    <w:rPr>
      <w:rFonts w:ascii="Garamond" w:hAnsi="Garamond" w:cs="Arial"/>
      <w:b/>
      <w:bCs/>
      <w:sz w:val="22"/>
      <w:szCs w:val="22"/>
    </w:rPr>
  </w:style>
  <w:style w:type="paragraph" w:customStyle="1" w:styleId="ExhibitLeft">
    <w:name w:val="Exhibit Left"/>
    <w:basedOn w:val="Normal"/>
    <w:uiPriority w:val="99"/>
    <w:rsid w:val="00D71DB1"/>
    <w:pPr>
      <w:widowControl/>
    </w:pPr>
    <w:rPr>
      <w:rFonts w:ascii="Garamond" w:hAnsi="Garamond" w:cs="Arial"/>
      <w:sz w:val="22"/>
      <w:szCs w:val="22"/>
    </w:rPr>
  </w:style>
  <w:style w:type="paragraph" w:customStyle="1" w:styleId="ExhibitCenter">
    <w:name w:val="Exhibit Center"/>
    <w:basedOn w:val="Normal"/>
    <w:autoRedefine/>
    <w:uiPriority w:val="99"/>
    <w:rsid w:val="00D71DB1"/>
    <w:pPr>
      <w:widowControl/>
      <w:autoSpaceDE/>
      <w:autoSpaceDN/>
      <w:adjustRightInd/>
    </w:pPr>
    <w:rPr>
      <w:rFonts w:ascii="Garamond" w:hAnsi="Garamond" w:cs="Arial"/>
      <w:sz w:val="22"/>
      <w:szCs w:val="20"/>
    </w:rPr>
  </w:style>
  <w:style w:type="paragraph" w:customStyle="1" w:styleId="ExhibitTitle">
    <w:name w:val="Exhibit Title"/>
    <w:basedOn w:val="Normal"/>
    <w:uiPriority w:val="99"/>
    <w:rsid w:val="00D71DB1"/>
    <w:pPr>
      <w:widowControl/>
      <w:autoSpaceDE/>
      <w:autoSpaceDN/>
      <w:adjustRightInd/>
      <w:jc w:val="center"/>
    </w:pPr>
    <w:rPr>
      <w:rFonts w:ascii="Times New Roman" w:hAnsi="Times New Roman" w:cs="Arial"/>
      <w:b/>
      <w:bCs/>
    </w:rPr>
  </w:style>
  <w:style w:type="paragraph" w:styleId="ListBullet">
    <w:name w:val="List Bullet"/>
    <w:basedOn w:val="Normal"/>
    <w:link w:val="ListBulletChar"/>
    <w:uiPriority w:val="99"/>
    <w:rsid w:val="00D71DB1"/>
    <w:pPr>
      <w:widowControl/>
      <w:numPr>
        <w:numId w:val="6"/>
      </w:numPr>
      <w:autoSpaceDE/>
      <w:autoSpaceDN/>
      <w:adjustRightInd/>
      <w:spacing w:after="120" w:line="264" w:lineRule="auto"/>
    </w:pPr>
    <w:rPr>
      <w:rFonts w:ascii="Times New Roman" w:hAnsi="Times New Roman"/>
      <w:sz w:val="20"/>
      <w:szCs w:val="20"/>
    </w:rPr>
  </w:style>
  <w:style w:type="character" w:customStyle="1" w:styleId="ListBulletChar">
    <w:name w:val="List Bullet Char"/>
    <w:link w:val="ListBullet"/>
    <w:uiPriority w:val="99"/>
    <w:locked/>
    <w:rsid w:val="00D71DB1"/>
  </w:style>
  <w:style w:type="paragraph" w:styleId="DocumentMap">
    <w:name w:val="Document Map"/>
    <w:basedOn w:val="Normal"/>
    <w:semiHidden/>
    <w:rsid w:val="00DC6AC8"/>
    <w:pPr>
      <w:shd w:val="clear" w:color="auto" w:fill="000080"/>
    </w:pPr>
    <w:rPr>
      <w:rFonts w:ascii="Tahoma" w:hAnsi="Tahoma" w:cs="Tahoma"/>
      <w:sz w:val="20"/>
      <w:szCs w:val="20"/>
    </w:rPr>
  </w:style>
  <w:style w:type="character" w:styleId="FollowedHyperlink">
    <w:name w:val="FollowedHyperlink"/>
    <w:rsid w:val="009B0CD7"/>
    <w:rPr>
      <w:color w:val="800080"/>
      <w:u w:val="single"/>
    </w:rPr>
  </w:style>
  <w:style w:type="character" w:customStyle="1" w:styleId="CaptionChar1">
    <w:name w:val="Caption Char1"/>
    <w:uiPriority w:val="99"/>
    <w:locked/>
    <w:rsid w:val="00D61A55"/>
    <w:rPr>
      <w:rFonts w:cs="Arial"/>
      <w:b/>
      <w:sz w:val="24"/>
    </w:rPr>
  </w:style>
  <w:style w:type="paragraph" w:styleId="ListNumber5">
    <w:name w:val="List Number 5"/>
    <w:basedOn w:val="Normal"/>
    <w:uiPriority w:val="99"/>
    <w:rsid w:val="00F317D3"/>
    <w:pPr>
      <w:widowControl/>
      <w:numPr>
        <w:numId w:val="12"/>
      </w:numPr>
      <w:tabs>
        <w:tab w:val="clear" w:pos="1440"/>
        <w:tab w:val="num" w:pos="1800"/>
      </w:tabs>
      <w:autoSpaceDE/>
      <w:autoSpaceDN/>
      <w:adjustRightInd/>
      <w:spacing w:after="120"/>
      <w:ind w:left="1800" w:hanging="360"/>
    </w:pPr>
    <w:rPr>
      <w:rFonts w:ascii="Times New Roman" w:hAnsi="Times New Roman"/>
      <w:szCs w:val="20"/>
    </w:rPr>
  </w:style>
  <w:style w:type="numbering" w:styleId="ArticleSection">
    <w:name w:val="Outline List 3"/>
    <w:basedOn w:val="NoList"/>
    <w:uiPriority w:val="99"/>
    <w:unhideWhenUsed/>
    <w:rsid w:val="00F317D3"/>
    <w:pPr>
      <w:numPr>
        <w:numId w:val="12"/>
      </w:numPr>
    </w:pPr>
  </w:style>
  <w:style w:type="paragraph" w:customStyle="1" w:styleId="Exhibitright">
    <w:name w:val="Exhibit right"/>
    <w:basedOn w:val="ExhibitLeft"/>
    <w:uiPriority w:val="99"/>
    <w:rsid w:val="00F317D3"/>
    <w:pPr>
      <w:spacing w:after="120"/>
      <w:jc w:val="right"/>
    </w:pPr>
    <w:rPr>
      <w:b/>
      <w:sz w:val="24"/>
    </w:rPr>
  </w:style>
  <w:style w:type="paragraph" w:styleId="Revision">
    <w:name w:val="Revision"/>
    <w:hidden/>
    <w:uiPriority w:val="99"/>
    <w:semiHidden/>
    <w:rsid w:val="00FF6CDC"/>
    <w:rPr>
      <w:rFonts w:ascii="Courier" w:hAnsi="Courier"/>
      <w:sz w:val="24"/>
      <w:szCs w:val="24"/>
    </w:rPr>
  </w:style>
  <w:style w:type="paragraph" w:styleId="TOC3">
    <w:name w:val="toc 3"/>
    <w:basedOn w:val="Normal"/>
    <w:next w:val="Normal"/>
    <w:autoRedefine/>
    <w:uiPriority w:val="39"/>
    <w:rsid w:val="001952D3"/>
    <w:pPr>
      <w:ind w:left="480"/>
    </w:pPr>
    <w:rPr>
      <w:rFonts w:ascii="Times New Roman" w:hAnsi="Times New Roman"/>
    </w:rPr>
  </w:style>
  <w:style w:type="character" w:customStyle="1" w:styleId="HeaderChar">
    <w:name w:val="Header Char"/>
    <w:basedOn w:val="DefaultParagraphFont"/>
    <w:link w:val="Header"/>
    <w:uiPriority w:val="99"/>
    <w:rsid w:val="00EB5356"/>
    <w:rPr>
      <w:rFonts w:ascii="Courier" w:hAnsi="Courier"/>
      <w:sz w:val="24"/>
      <w:szCs w:val="24"/>
    </w:rPr>
  </w:style>
  <w:style w:type="character" w:customStyle="1" w:styleId="FootnoteTextChar1">
    <w:name w:val="Footnote Text Char1"/>
    <w:uiPriority w:val="99"/>
    <w:locked/>
    <w:rsid w:val="00FB4E52"/>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81491">
      <w:bodyDiv w:val="1"/>
      <w:marLeft w:val="0"/>
      <w:marRight w:val="0"/>
      <w:marTop w:val="0"/>
      <w:marBottom w:val="0"/>
      <w:divBdr>
        <w:top w:val="none" w:sz="0" w:space="0" w:color="auto"/>
        <w:left w:val="none" w:sz="0" w:space="0" w:color="auto"/>
        <w:bottom w:val="none" w:sz="0" w:space="0" w:color="auto"/>
        <w:right w:val="none" w:sz="0" w:space="0" w:color="auto"/>
      </w:divBdr>
    </w:div>
    <w:div w:id="411778996">
      <w:bodyDiv w:val="1"/>
      <w:marLeft w:val="0"/>
      <w:marRight w:val="0"/>
      <w:marTop w:val="0"/>
      <w:marBottom w:val="0"/>
      <w:divBdr>
        <w:top w:val="none" w:sz="0" w:space="0" w:color="auto"/>
        <w:left w:val="none" w:sz="0" w:space="0" w:color="auto"/>
        <w:bottom w:val="none" w:sz="0" w:space="0" w:color="auto"/>
        <w:right w:val="none" w:sz="0" w:space="0" w:color="auto"/>
      </w:divBdr>
    </w:div>
    <w:div w:id="1132288407">
      <w:bodyDiv w:val="1"/>
      <w:marLeft w:val="0"/>
      <w:marRight w:val="0"/>
      <w:marTop w:val="0"/>
      <w:marBottom w:val="0"/>
      <w:divBdr>
        <w:top w:val="none" w:sz="0" w:space="0" w:color="auto"/>
        <w:left w:val="none" w:sz="0" w:space="0" w:color="auto"/>
        <w:bottom w:val="none" w:sz="0" w:space="0" w:color="auto"/>
        <w:right w:val="none" w:sz="0" w:space="0" w:color="auto"/>
      </w:divBdr>
    </w:div>
    <w:div w:id="1140540695">
      <w:bodyDiv w:val="1"/>
      <w:marLeft w:val="0"/>
      <w:marRight w:val="0"/>
      <w:marTop w:val="0"/>
      <w:marBottom w:val="0"/>
      <w:divBdr>
        <w:top w:val="none" w:sz="0" w:space="0" w:color="auto"/>
        <w:left w:val="none" w:sz="0" w:space="0" w:color="auto"/>
        <w:bottom w:val="none" w:sz="0" w:space="0" w:color="auto"/>
        <w:right w:val="none" w:sz="0" w:space="0" w:color="auto"/>
      </w:divBdr>
    </w:div>
    <w:div w:id="144711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9D1C-BA59-4A97-8767-F5D07F70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8321</Words>
  <Characters>47433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55643</CharactersWithSpaces>
  <SharedDoc>false</SharedDoc>
  <HLinks>
    <vt:vector size="18" baseType="variant">
      <vt:variant>
        <vt:i4>3473452</vt:i4>
      </vt:variant>
      <vt:variant>
        <vt:i4>6</vt:i4>
      </vt:variant>
      <vt:variant>
        <vt:i4>0</vt:i4>
      </vt:variant>
      <vt:variant>
        <vt:i4>5</vt:i4>
      </vt:variant>
      <vt:variant>
        <vt:lpwstr>http://www.epa.gov/waterscience/standards/</vt:lpwstr>
      </vt:variant>
      <vt:variant>
        <vt:lpwstr/>
      </vt:variant>
      <vt:variant>
        <vt:i4>4063294</vt:i4>
      </vt:variant>
      <vt:variant>
        <vt:i4>3</vt:i4>
      </vt:variant>
      <vt:variant>
        <vt:i4>0</vt:i4>
      </vt:variant>
      <vt:variant>
        <vt:i4>5</vt:i4>
      </vt:variant>
      <vt:variant>
        <vt:lpwstr>http://www.epa.gov/wqsdatabase</vt:lpwstr>
      </vt:variant>
      <vt:variant>
        <vt:lpwstr/>
      </vt:variant>
      <vt:variant>
        <vt:i4>7209078</vt:i4>
      </vt:variant>
      <vt:variant>
        <vt:i4>0</vt:i4>
      </vt:variant>
      <vt:variant>
        <vt:i4>0</vt:i4>
      </vt:variant>
      <vt:variant>
        <vt:i4>5</vt:i4>
      </vt:variant>
      <vt:variant>
        <vt:lpwstr>http://epa.gov/waterscience/tribes/approvtable.htm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Haskell</dc:creator>
  <cp:lastModifiedBy>Cherry</cp:lastModifiedBy>
  <cp:revision>2</cp:revision>
  <cp:lastPrinted>2013-08-13T16:25:00Z</cp:lastPrinted>
  <dcterms:created xsi:type="dcterms:W3CDTF">2013-08-16T13:40:00Z</dcterms:created>
  <dcterms:modified xsi:type="dcterms:W3CDTF">2013-08-16T13:40:00Z</dcterms:modified>
</cp:coreProperties>
</file>