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969F5" w14:textId="77777777" w:rsidR="00FD0B87" w:rsidRDefault="00FD0B87">
      <w:pPr>
        <w:tabs>
          <w:tab w:val="left" w:pos="480"/>
          <w:tab w:val="right" w:pos="8640"/>
        </w:tabs>
        <w:ind w:right="684"/>
        <w:jc w:val="center"/>
        <w:rPr>
          <w:sz w:val="24"/>
        </w:rPr>
      </w:pPr>
      <w:r>
        <w:rPr>
          <w:sz w:val="24"/>
        </w:rPr>
        <w:t>Supporting Statement for VA Form 21-4502</w:t>
      </w:r>
    </w:p>
    <w:p w14:paraId="3DE2915A" w14:textId="77777777" w:rsidR="00FD0B87" w:rsidRDefault="00FD0B87">
      <w:pPr>
        <w:tabs>
          <w:tab w:val="left" w:pos="480"/>
          <w:tab w:val="right" w:pos="8640"/>
        </w:tabs>
        <w:ind w:right="684"/>
        <w:jc w:val="center"/>
        <w:rPr>
          <w:sz w:val="24"/>
        </w:rPr>
      </w:pPr>
      <w:r>
        <w:rPr>
          <w:sz w:val="24"/>
        </w:rPr>
        <w:t>Application for Automobile or Other Conveyance and</w:t>
      </w:r>
    </w:p>
    <w:p w14:paraId="37EF1020" w14:textId="77777777" w:rsidR="00FD0B87" w:rsidRDefault="00FD0B87">
      <w:pPr>
        <w:tabs>
          <w:tab w:val="left" w:pos="480"/>
          <w:tab w:val="right" w:pos="8640"/>
        </w:tabs>
        <w:ind w:right="684"/>
        <w:jc w:val="center"/>
        <w:rPr>
          <w:sz w:val="24"/>
        </w:rPr>
      </w:pPr>
      <w:r>
        <w:rPr>
          <w:sz w:val="24"/>
        </w:rPr>
        <w:t>Adaptive Equipment (Under 38 U.S.C. 3901-3904)</w:t>
      </w:r>
    </w:p>
    <w:p w14:paraId="694A5AB6" w14:textId="77777777" w:rsidR="00FD0B87" w:rsidRDefault="00FD0B87">
      <w:pPr>
        <w:tabs>
          <w:tab w:val="left" w:pos="480"/>
          <w:tab w:val="right" w:pos="8640"/>
        </w:tabs>
        <w:ind w:right="684"/>
        <w:jc w:val="center"/>
        <w:rPr>
          <w:sz w:val="24"/>
        </w:rPr>
      </w:pPr>
      <w:r>
        <w:rPr>
          <w:sz w:val="24"/>
        </w:rPr>
        <w:t>(2900-0067)</w:t>
      </w:r>
    </w:p>
    <w:p w14:paraId="6486F612" w14:textId="77777777" w:rsidR="00FD0B87" w:rsidRDefault="00FD0B87">
      <w:pPr>
        <w:tabs>
          <w:tab w:val="left" w:pos="480"/>
          <w:tab w:val="right" w:pos="8640"/>
        </w:tabs>
        <w:ind w:right="684"/>
        <w:rPr>
          <w:sz w:val="24"/>
        </w:rPr>
      </w:pPr>
    </w:p>
    <w:p w14:paraId="289AF758" w14:textId="77777777" w:rsidR="00FD0B87" w:rsidRDefault="00FD0B87">
      <w:pPr>
        <w:tabs>
          <w:tab w:val="left" w:pos="480"/>
          <w:tab w:val="right" w:pos="8640"/>
        </w:tabs>
        <w:ind w:right="684"/>
        <w:rPr>
          <w:sz w:val="24"/>
        </w:rPr>
      </w:pPr>
      <w:r>
        <w:rPr>
          <w:sz w:val="24"/>
        </w:rPr>
        <w:t xml:space="preserve">A.  </w:t>
      </w:r>
      <w:r>
        <w:rPr>
          <w:sz w:val="24"/>
          <w:u w:val="single"/>
        </w:rPr>
        <w:t>Justification</w:t>
      </w:r>
    </w:p>
    <w:p w14:paraId="5C0FA689" w14:textId="77777777" w:rsidR="00FD0B87" w:rsidRDefault="00FD0B87">
      <w:pPr>
        <w:tabs>
          <w:tab w:val="left" w:pos="480"/>
          <w:tab w:val="right" w:pos="8640"/>
        </w:tabs>
        <w:ind w:right="684"/>
        <w:rPr>
          <w:sz w:val="24"/>
        </w:rPr>
      </w:pPr>
    </w:p>
    <w:p w14:paraId="5F74BF1E" w14:textId="77777777" w:rsidR="00FD0B87" w:rsidRDefault="00FD0B87">
      <w:pPr>
        <w:ind w:right="540"/>
        <w:rPr>
          <w:sz w:val="24"/>
        </w:rPr>
      </w:pPr>
      <w:r>
        <w:rPr>
          <w:sz w:val="24"/>
        </w:rPr>
        <w:t>1.  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14:paraId="1CD4CA93" w14:textId="77777777" w:rsidR="00FD0B87" w:rsidRDefault="00FD0B87">
      <w:pPr>
        <w:ind w:right="540"/>
        <w:rPr>
          <w:sz w:val="24"/>
        </w:rPr>
      </w:pPr>
    </w:p>
    <w:p w14:paraId="2A6C39BA" w14:textId="77777777" w:rsidR="00FD0B87" w:rsidRDefault="00FD0B87">
      <w:pPr>
        <w:tabs>
          <w:tab w:val="left" w:pos="480"/>
          <w:tab w:val="right" w:pos="8640"/>
        </w:tabs>
        <w:ind w:right="684"/>
        <w:rPr>
          <w:sz w:val="24"/>
        </w:rPr>
      </w:pPr>
      <w:r>
        <w:rPr>
          <w:sz w:val="24"/>
        </w:rPr>
        <w:t>2.  VA Form 21-4502 is used to gather the necessary information to determine if a veteran or serviceperson is entitled to an automobile allowance and adaptive equipment.</w:t>
      </w:r>
    </w:p>
    <w:p w14:paraId="14EF639F" w14:textId="77777777" w:rsidR="00FD0B87" w:rsidRDefault="00FD0B87">
      <w:pPr>
        <w:ind w:right="540"/>
        <w:rPr>
          <w:sz w:val="24"/>
        </w:rPr>
      </w:pPr>
    </w:p>
    <w:p w14:paraId="3ECD9671" w14:textId="77777777" w:rsidR="00FD0B87" w:rsidRDefault="00FD0B87">
      <w:pPr>
        <w:pStyle w:val="BodyText2"/>
        <w:rPr>
          <w:rFonts w:ascii="Times New Roman" w:hAnsi="Times New Roman"/>
          <w:sz w:val="24"/>
        </w:rPr>
      </w:pPr>
      <w:r>
        <w:rPr>
          <w:rFonts w:ascii="Times New Roman" w:hAnsi="Times New Roman"/>
          <w:sz w:val="24"/>
        </w:rPr>
        <w:t xml:space="preserve">3.  VA Form 21-4502 is available on the One-VA web site in a fillable electronic format.  VBA is currently hosting this form on a secure server and does not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21-4502 is not one of the forms currently scheduled to be added to VONAPP because estimated total usage of this form is low.  The Department will reconsider adding this form to VONAPP when the resources become available or if usage of this form becomes greater.</w:t>
      </w:r>
    </w:p>
    <w:p w14:paraId="7011320F" w14:textId="77777777" w:rsidR="00FD0B87" w:rsidRDefault="00FD0B87">
      <w:pPr>
        <w:pStyle w:val="BodyText2"/>
        <w:rPr>
          <w:rFonts w:ascii="Times New Roman" w:hAnsi="Times New Roman"/>
          <w:sz w:val="24"/>
        </w:rPr>
      </w:pPr>
    </w:p>
    <w:p w14:paraId="5EBA4E73" w14:textId="77777777" w:rsidR="00FD0B87" w:rsidRDefault="00FD0B87">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14:paraId="2C608C49" w14:textId="77777777" w:rsidR="00FD0B87" w:rsidRDefault="00FD0B87">
      <w:pPr>
        <w:tabs>
          <w:tab w:val="left" w:pos="480"/>
          <w:tab w:val="right" w:pos="8640"/>
        </w:tabs>
        <w:ind w:right="684"/>
        <w:rPr>
          <w:sz w:val="24"/>
        </w:rPr>
      </w:pPr>
    </w:p>
    <w:p w14:paraId="0EF2A5B0" w14:textId="77777777" w:rsidR="00FD0B87" w:rsidRDefault="00FD0B87">
      <w:pPr>
        <w:tabs>
          <w:tab w:val="left" w:pos="480"/>
          <w:tab w:val="right" w:pos="8640"/>
        </w:tabs>
        <w:ind w:right="684"/>
        <w:rPr>
          <w:sz w:val="24"/>
        </w:rPr>
      </w:pPr>
      <w:r>
        <w:rPr>
          <w:sz w:val="24"/>
        </w:rPr>
        <w:t>5.  The collection of information does not involve small businesses or entities.</w:t>
      </w:r>
    </w:p>
    <w:p w14:paraId="0DCB0A43" w14:textId="77777777" w:rsidR="00FD0B87" w:rsidRDefault="00FD0B87">
      <w:pPr>
        <w:tabs>
          <w:tab w:val="left" w:pos="480"/>
          <w:tab w:val="right" w:pos="8640"/>
        </w:tabs>
        <w:ind w:right="684"/>
        <w:rPr>
          <w:sz w:val="24"/>
        </w:rPr>
      </w:pPr>
    </w:p>
    <w:p w14:paraId="41555E18" w14:textId="77777777" w:rsidR="00FD0B87" w:rsidRDefault="00FD0B87">
      <w:pPr>
        <w:tabs>
          <w:tab w:val="left" w:pos="480"/>
          <w:tab w:val="right" w:pos="8640"/>
        </w:tabs>
        <w:ind w:right="684"/>
        <w:rPr>
          <w:sz w:val="24"/>
        </w:rPr>
      </w:pPr>
      <w:r>
        <w:rPr>
          <w:sz w:val="24"/>
        </w:rPr>
        <w:t xml:space="preserve">6.  VA Form 21-4502 is used by veterans and servicepersons to apply for automobile and adaptive equipment benefits.   Without the information solicited by this form, VA would be unable to determine eligibility, and benefits would not be properly paid.  </w:t>
      </w:r>
    </w:p>
    <w:p w14:paraId="03078993" w14:textId="77777777" w:rsidR="00FD0B87" w:rsidRDefault="00FD0B87">
      <w:pPr>
        <w:tabs>
          <w:tab w:val="left" w:pos="480"/>
          <w:tab w:val="right" w:pos="8640"/>
        </w:tabs>
        <w:ind w:right="684"/>
        <w:rPr>
          <w:sz w:val="24"/>
        </w:rPr>
      </w:pPr>
    </w:p>
    <w:p w14:paraId="5335917C" w14:textId="77777777" w:rsidR="00FD0B87" w:rsidRDefault="00FD0B87">
      <w:pPr>
        <w:tabs>
          <w:tab w:val="left" w:pos="480"/>
          <w:tab w:val="right" w:pos="8640"/>
        </w:tabs>
        <w:ind w:right="684"/>
        <w:rPr>
          <w:sz w:val="24"/>
        </w:rPr>
      </w:pPr>
      <w:r>
        <w:rPr>
          <w:sz w:val="24"/>
        </w:rPr>
        <w:t>7.  There is no special circumstance requiring collection in a manner inconsistent with 5 CFR 1320.6 guidelines.</w:t>
      </w:r>
    </w:p>
    <w:p w14:paraId="491B2E05" w14:textId="77777777" w:rsidR="00FD0B87" w:rsidRDefault="00FD0B87">
      <w:pPr>
        <w:tabs>
          <w:tab w:val="left" w:pos="480"/>
          <w:tab w:val="right" w:pos="8640"/>
        </w:tabs>
        <w:ind w:right="684"/>
        <w:rPr>
          <w:sz w:val="24"/>
        </w:rPr>
      </w:pPr>
    </w:p>
    <w:p w14:paraId="32C15CD8" w14:textId="77777777" w:rsidR="00FD0B87" w:rsidRDefault="00FD0B87">
      <w:pPr>
        <w:widowControl w:val="0"/>
        <w:rPr>
          <w:sz w:val="24"/>
        </w:rPr>
      </w:pPr>
    </w:p>
    <w:p w14:paraId="3F139AF1" w14:textId="77777777" w:rsidR="00FD0B87" w:rsidRDefault="00FD0B87" w:rsidP="00FD0B87">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40679B">
        <w:rPr>
          <w:rFonts w:ascii="Times New Roman" w:hAnsi="Times New Roman"/>
          <w:sz w:val="24"/>
        </w:rPr>
        <w:t>July 25, 2011</w:t>
      </w:r>
      <w:r>
        <w:rPr>
          <w:rFonts w:ascii="Times New Roman" w:hAnsi="Times New Roman"/>
          <w:sz w:val="24"/>
        </w:rPr>
        <w:t xml:space="preserve">, page </w:t>
      </w:r>
      <w:r w:rsidR="0040679B">
        <w:rPr>
          <w:rFonts w:ascii="Times New Roman" w:hAnsi="Times New Roman"/>
          <w:sz w:val="24"/>
        </w:rPr>
        <w:t>44402</w:t>
      </w:r>
      <w:r>
        <w:rPr>
          <w:rFonts w:ascii="Times New Roman" w:hAnsi="Times New Roman"/>
          <w:sz w:val="24"/>
        </w:rPr>
        <w:t>.  No comments were received</w:t>
      </w:r>
      <w:r w:rsidR="0040679B">
        <w:rPr>
          <w:rFonts w:ascii="Times New Roman" w:hAnsi="Times New Roman"/>
          <w:sz w:val="24"/>
        </w:rPr>
        <w:t xml:space="preserve"> in response to this notice</w:t>
      </w:r>
      <w:r>
        <w:rPr>
          <w:rFonts w:ascii="Times New Roman" w:hAnsi="Times New Roman"/>
          <w:sz w:val="24"/>
        </w:rPr>
        <w:t>.</w:t>
      </w:r>
    </w:p>
    <w:p w14:paraId="6E2BEC89" w14:textId="77777777" w:rsidR="00FD0B87" w:rsidRDefault="00FD0B87">
      <w:pPr>
        <w:tabs>
          <w:tab w:val="left" w:pos="480"/>
          <w:tab w:val="right" w:pos="8640"/>
        </w:tabs>
        <w:ind w:right="684"/>
        <w:rPr>
          <w:sz w:val="24"/>
        </w:rPr>
      </w:pPr>
    </w:p>
    <w:p w14:paraId="261E2D92" w14:textId="77777777" w:rsidR="00FD0B87" w:rsidRDefault="00FD0B87">
      <w:pPr>
        <w:tabs>
          <w:tab w:val="left" w:pos="480"/>
          <w:tab w:val="right" w:pos="8640"/>
        </w:tabs>
        <w:ind w:right="684"/>
        <w:rPr>
          <w:sz w:val="24"/>
        </w:rPr>
      </w:pPr>
      <w:r>
        <w:rPr>
          <w:sz w:val="24"/>
        </w:rPr>
        <w:t>9.  No payments or gifts to respondents have been made under this collection of information.</w:t>
      </w:r>
    </w:p>
    <w:p w14:paraId="6EC6FFCB" w14:textId="77777777" w:rsidR="00FD0B87" w:rsidRDefault="00FD0B87">
      <w:pPr>
        <w:tabs>
          <w:tab w:val="left" w:pos="480"/>
          <w:tab w:val="right" w:pos="8640"/>
        </w:tabs>
        <w:ind w:right="684"/>
        <w:rPr>
          <w:sz w:val="24"/>
        </w:rPr>
      </w:pPr>
    </w:p>
    <w:p w14:paraId="63501311" w14:textId="33F35F02" w:rsidR="00FD0B87" w:rsidRPr="00924B82" w:rsidRDefault="00FD0B87" w:rsidP="00FD0B87">
      <w:pPr>
        <w:rPr>
          <w:sz w:val="24"/>
          <w:szCs w:val="24"/>
        </w:rPr>
      </w:pPr>
      <w:r w:rsidRPr="00924B82">
        <w:rPr>
          <w:sz w:val="24"/>
          <w:szCs w:val="24"/>
        </w:rPr>
        <w:t xml:space="preserve">10.  </w:t>
      </w:r>
      <w:r w:rsidR="006A0146" w:rsidRPr="006A0146">
        <w:rPr>
          <w:sz w:val="24"/>
          <w:szCs w:val="24"/>
        </w:rPr>
        <w:t>The records are maintained in the appropriate Privacy Act System of Records identified as “</w:t>
      </w:r>
      <w:bookmarkStart w:id="0" w:name="_GoBack"/>
      <w:r w:rsidR="006A0146" w:rsidRPr="006A0146">
        <w:rPr>
          <w:sz w:val="24"/>
          <w:szCs w:val="24"/>
        </w:rPr>
        <w:t>Compensation, Pension, Education, and Vocational Rehabilitation and Employment Records-VA (58VA21/22/28)</w:t>
      </w:r>
      <w:bookmarkEnd w:id="0"/>
      <w:r w:rsidR="006A0146" w:rsidRPr="006A0146">
        <w:rPr>
          <w:sz w:val="24"/>
          <w:szCs w:val="24"/>
        </w:rPr>
        <w:t>,” published at 74 FR 29275 on June 19, 2009, and last amended at 77 FR 42593 (July 19, 2012).</w:t>
      </w:r>
    </w:p>
    <w:p w14:paraId="11F86AFD" w14:textId="77777777" w:rsidR="00FD0B87" w:rsidRDefault="00FD0B87">
      <w:pPr>
        <w:tabs>
          <w:tab w:val="left" w:pos="480"/>
          <w:tab w:val="right" w:pos="8640"/>
        </w:tabs>
        <w:ind w:right="684"/>
        <w:rPr>
          <w:sz w:val="24"/>
        </w:rPr>
      </w:pPr>
    </w:p>
    <w:p w14:paraId="022D3066" w14:textId="77777777" w:rsidR="00FD0B87" w:rsidRDefault="00FD0B87">
      <w:pPr>
        <w:tabs>
          <w:tab w:val="left" w:pos="480"/>
          <w:tab w:val="right" w:pos="8640"/>
        </w:tabs>
        <w:ind w:right="684"/>
        <w:rPr>
          <w:sz w:val="24"/>
        </w:rPr>
      </w:pPr>
      <w:r>
        <w:rPr>
          <w:sz w:val="24"/>
        </w:rPr>
        <w:t>11.  There are no questions of a sensitive nature.</w:t>
      </w:r>
    </w:p>
    <w:p w14:paraId="1AA66D48" w14:textId="77777777" w:rsidR="00FD0B87" w:rsidRDefault="00FD0B87">
      <w:pPr>
        <w:tabs>
          <w:tab w:val="left" w:pos="480"/>
          <w:tab w:val="right" w:pos="8640"/>
        </w:tabs>
        <w:ind w:right="684"/>
        <w:rPr>
          <w:sz w:val="24"/>
        </w:rPr>
      </w:pPr>
    </w:p>
    <w:p w14:paraId="7DBB2DC9" w14:textId="77777777" w:rsidR="00FD0B87" w:rsidRDefault="00FD0B87">
      <w:pPr>
        <w:tabs>
          <w:tab w:val="left" w:pos="480"/>
          <w:tab w:val="right" w:pos="8640"/>
        </w:tabs>
        <w:ind w:right="684"/>
        <w:rPr>
          <w:sz w:val="24"/>
        </w:rPr>
      </w:pPr>
      <w:r>
        <w:rPr>
          <w:sz w:val="24"/>
        </w:rPr>
        <w:t>12.  Estimate of Information Collection Burden.</w:t>
      </w:r>
    </w:p>
    <w:p w14:paraId="10D86591" w14:textId="77777777" w:rsidR="00FD0B87" w:rsidRDefault="00FD0B87">
      <w:pPr>
        <w:tabs>
          <w:tab w:val="left" w:pos="480"/>
          <w:tab w:val="right" w:pos="8640"/>
        </w:tabs>
        <w:ind w:right="684"/>
        <w:rPr>
          <w:sz w:val="24"/>
        </w:rPr>
      </w:pPr>
    </w:p>
    <w:p w14:paraId="58BD34BB" w14:textId="77777777" w:rsidR="00FD0B87" w:rsidRDefault="00FD0B87">
      <w:pPr>
        <w:tabs>
          <w:tab w:val="left" w:pos="480"/>
          <w:tab w:val="right" w:pos="8640"/>
        </w:tabs>
        <w:ind w:right="684"/>
        <w:rPr>
          <w:sz w:val="24"/>
        </w:rPr>
      </w:pPr>
      <w:proofErr w:type="gramStart"/>
      <w:r>
        <w:rPr>
          <w:sz w:val="24"/>
        </w:rPr>
        <w:t>a.  Number</w:t>
      </w:r>
      <w:proofErr w:type="gramEnd"/>
      <w:r>
        <w:rPr>
          <w:sz w:val="24"/>
        </w:rPr>
        <w:t xml:space="preserve"> of Respondents is estimated at 1,552 per year.</w:t>
      </w:r>
    </w:p>
    <w:p w14:paraId="6D9CC797" w14:textId="77777777" w:rsidR="00FD0B87" w:rsidRDefault="00FD0B87">
      <w:pPr>
        <w:tabs>
          <w:tab w:val="left" w:pos="480"/>
          <w:tab w:val="right" w:pos="8640"/>
        </w:tabs>
        <w:ind w:right="684"/>
        <w:rPr>
          <w:sz w:val="24"/>
        </w:rPr>
      </w:pPr>
    </w:p>
    <w:p w14:paraId="32A1EE02" w14:textId="77777777" w:rsidR="00FD0B87" w:rsidRDefault="00FD0B87">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14:paraId="093489D6" w14:textId="77777777" w:rsidR="00FD0B87" w:rsidRDefault="00FD0B87">
      <w:pPr>
        <w:tabs>
          <w:tab w:val="left" w:pos="480"/>
          <w:tab w:val="right" w:pos="8640"/>
        </w:tabs>
        <w:ind w:right="684"/>
        <w:rPr>
          <w:sz w:val="24"/>
        </w:rPr>
      </w:pPr>
    </w:p>
    <w:p w14:paraId="3F9898AE" w14:textId="77777777" w:rsidR="00FD0B87" w:rsidRDefault="00FD0B87">
      <w:pPr>
        <w:tabs>
          <w:tab w:val="left" w:pos="480"/>
          <w:tab w:val="right" w:pos="8640"/>
        </w:tabs>
        <w:ind w:right="684"/>
        <w:rPr>
          <w:sz w:val="24"/>
        </w:rPr>
      </w:pPr>
      <w:proofErr w:type="gramStart"/>
      <w:r>
        <w:rPr>
          <w:sz w:val="24"/>
        </w:rPr>
        <w:t>c.  Annual</w:t>
      </w:r>
      <w:proofErr w:type="gramEnd"/>
      <w:r>
        <w:rPr>
          <w:sz w:val="24"/>
        </w:rPr>
        <w:t xml:space="preserve"> burden is 388 hours.</w:t>
      </w:r>
    </w:p>
    <w:p w14:paraId="5C261F0E" w14:textId="77777777" w:rsidR="00FD0B87" w:rsidRDefault="00FD0B87">
      <w:pPr>
        <w:tabs>
          <w:tab w:val="left" w:pos="480"/>
          <w:tab w:val="right" w:pos="8640"/>
        </w:tabs>
        <w:ind w:right="684"/>
        <w:rPr>
          <w:sz w:val="24"/>
        </w:rPr>
      </w:pPr>
    </w:p>
    <w:p w14:paraId="3D823FBE" w14:textId="77777777" w:rsidR="00FD0B87" w:rsidRDefault="00FD0B87">
      <w:pPr>
        <w:tabs>
          <w:tab w:val="left" w:pos="480"/>
          <w:tab w:val="right" w:pos="8640"/>
        </w:tabs>
        <w:ind w:right="684"/>
        <w:rPr>
          <w:sz w:val="24"/>
        </w:rPr>
      </w:pPr>
      <w:proofErr w:type="gramStart"/>
      <w:r>
        <w:rPr>
          <w:sz w:val="24"/>
        </w:rPr>
        <w:t>d.  The</w:t>
      </w:r>
      <w:proofErr w:type="gramEnd"/>
      <w:r>
        <w:rPr>
          <w:sz w:val="24"/>
        </w:rPr>
        <w:t xml:space="preserve"> estimated completion time of 15 minutes is based on review by staff personnel and previous usage of this form.</w:t>
      </w:r>
    </w:p>
    <w:p w14:paraId="48D425D4" w14:textId="77777777" w:rsidR="00FD0B87" w:rsidRDefault="00FD0B87">
      <w:pPr>
        <w:tabs>
          <w:tab w:val="left" w:pos="480"/>
          <w:tab w:val="right" w:pos="8640"/>
        </w:tabs>
        <w:ind w:right="684"/>
        <w:rPr>
          <w:sz w:val="24"/>
        </w:rPr>
      </w:pPr>
    </w:p>
    <w:p w14:paraId="0DBC0CA3" w14:textId="77777777" w:rsidR="00FD0B87" w:rsidRDefault="00FD0B87">
      <w:pPr>
        <w:tabs>
          <w:tab w:val="left" w:pos="480"/>
          <w:tab w:val="right" w:pos="8640"/>
        </w:tabs>
        <w:ind w:right="684"/>
        <w:rPr>
          <w:sz w:val="24"/>
        </w:rPr>
      </w:pPr>
      <w:proofErr w:type="gramStart"/>
      <w:r>
        <w:rPr>
          <w:sz w:val="24"/>
        </w:rPr>
        <w:t>e.  The</w:t>
      </w:r>
      <w:proofErr w:type="gramEnd"/>
      <w:r>
        <w:rPr>
          <w:sz w:val="24"/>
        </w:rPr>
        <w:t xml:space="preserve"> total estimated cost to respondents is $5,820 (388 hours x $15 per hour).</w:t>
      </w:r>
    </w:p>
    <w:p w14:paraId="023D7BCC" w14:textId="77777777" w:rsidR="00FD0B87" w:rsidRDefault="00FD0B87">
      <w:pPr>
        <w:tabs>
          <w:tab w:val="left" w:pos="480"/>
          <w:tab w:val="right" w:pos="8640"/>
        </w:tabs>
        <w:ind w:right="684"/>
        <w:rPr>
          <w:sz w:val="24"/>
        </w:rPr>
      </w:pPr>
    </w:p>
    <w:p w14:paraId="0BC2E587" w14:textId="77777777" w:rsidR="00FD0B87" w:rsidRDefault="00FD0B87">
      <w:pPr>
        <w:tabs>
          <w:tab w:val="left" w:pos="480"/>
          <w:tab w:val="right" w:pos="8640"/>
        </w:tabs>
        <w:ind w:right="684"/>
        <w:rPr>
          <w:sz w:val="24"/>
        </w:rPr>
      </w:pPr>
      <w:r>
        <w:rPr>
          <w:sz w:val="24"/>
        </w:rPr>
        <w:t>13.  This submission does not involve any recordkeeping costs.</w:t>
      </w:r>
    </w:p>
    <w:p w14:paraId="4EEC2A29" w14:textId="77777777" w:rsidR="00FD0B87" w:rsidRDefault="00FD0B87">
      <w:pPr>
        <w:tabs>
          <w:tab w:val="left" w:pos="480"/>
          <w:tab w:val="right" w:pos="8640"/>
        </w:tabs>
        <w:ind w:right="684"/>
        <w:rPr>
          <w:sz w:val="24"/>
        </w:rPr>
      </w:pPr>
    </w:p>
    <w:p w14:paraId="551A479E" w14:textId="77777777" w:rsidR="00FD0B87" w:rsidRDefault="00FD0B87">
      <w:pPr>
        <w:tabs>
          <w:tab w:val="left" w:pos="480"/>
          <w:tab w:val="right" w:pos="8640"/>
        </w:tabs>
        <w:ind w:right="684"/>
        <w:rPr>
          <w:sz w:val="24"/>
        </w:rPr>
      </w:pPr>
      <w:r>
        <w:rPr>
          <w:sz w:val="24"/>
        </w:rPr>
        <w:t>14.  Estimated Costs to the Federal Government:</w:t>
      </w:r>
    </w:p>
    <w:p w14:paraId="6C3A560E" w14:textId="77777777" w:rsidR="00FD0B87" w:rsidRDefault="00FD0B87">
      <w:pPr>
        <w:tabs>
          <w:tab w:val="left" w:pos="480"/>
          <w:tab w:val="right" w:pos="8640"/>
        </w:tabs>
        <w:ind w:right="684"/>
        <w:rPr>
          <w:sz w:val="24"/>
        </w:rPr>
      </w:pPr>
    </w:p>
    <w:p w14:paraId="1504593D" w14:textId="77777777" w:rsidR="00FD0B87" w:rsidRDefault="00FD0B87">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FB5184">
        <w:rPr>
          <w:sz w:val="24"/>
        </w:rPr>
        <w:t>63,650</w:t>
      </w:r>
    </w:p>
    <w:p w14:paraId="62E04044" w14:textId="77777777" w:rsidR="00FD0B87" w:rsidRDefault="00FD0B87">
      <w:pPr>
        <w:tabs>
          <w:tab w:val="left" w:pos="480"/>
          <w:tab w:val="right" w:pos="4680"/>
          <w:tab w:val="right" w:pos="8640"/>
        </w:tabs>
        <w:ind w:right="684"/>
        <w:rPr>
          <w:sz w:val="24"/>
        </w:rPr>
      </w:pPr>
    </w:p>
    <w:p w14:paraId="500E5901" w14:textId="77777777" w:rsidR="00FD0B87" w:rsidRDefault="00FD0B87">
      <w:pPr>
        <w:tabs>
          <w:tab w:val="left" w:pos="480"/>
          <w:tab w:val="right" w:pos="4680"/>
          <w:tab w:val="right" w:pos="8640"/>
        </w:tabs>
        <w:ind w:right="684"/>
        <w:rPr>
          <w:sz w:val="24"/>
        </w:rPr>
      </w:pPr>
      <w:r>
        <w:rPr>
          <w:sz w:val="24"/>
        </w:rPr>
        <w:tab/>
      </w:r>
      <w:r>
        <w:rPr>
          <w:sz w:val="24"/>
        </w:rPr>
        <w:tab/>
        <w:t xml:space="preserve">(GS-12/5 @ $40.66 x 1,552 x   5/60 minutes =      </w:t>
      </w:r>
      <w:proofErr w:type="gramStart"/>
      <w:r>
        <w:rPr>
          <w:sz w:val="24"/>
        </w:rPr>
        <w:t>$  5,259</w:t>
      </w:r>
      <w:proofErr w:type="gramEnd"/>
      <w:r>
        <w:rPr>
          <w:sz w:val="24"/>
        </w:rPr>
        <w:t>)</w:t>
      </w:r>
    </w:p>
    <w:p w14:paraId="51794F35" w14:textId="77777777"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9</w:t>
      </w:r>
      <w:proofErr w:type="gramEnd"/>
      <w:r>
        <w:rPr>
          <w:sz w:val="24"/>
        </w:rPr>
        <w:t>/5 @ $28.04 x 1,552 x 70/60 minutes =      $50,771)</w:t>
      </w:r>
    </w:p>
    <w:p w14:paraId="35E087E9" w14:textId="77777777" w:rsidR="00FD0B87" w:rsidRDefault="00FD0B87">
      <w:pPr>
        <w:tabs>
          <w:tab w:val="left" w:pos="480"/>
          <w:tab w:val="right" w:pos="4680"/>
          <w:tab w:val="right" w:pos="8640"/>
        </w:tabs>
        <w:ind w:right="684"/>
        <w:rPr>
          <w:sz w:val="24"/>
        </w:rPr>
      </w:pPr>
      <w:r>
        <w:rPr>
          <w:sz w:val="24"/>
        </w:rPr>
        <w:tab/>
      </w:r>
      <w:r>
        <w:rPr>
          <w:sz w:val="24"/>
        </w:rPr>
        <w:tab/>
        <w:t>(GS</w:t>
      </w:r>
      <w:proofErr w:type="gramStart"/>
      <w:r>
        <w:rPr>
          <w:sz w:val="24"/>
        </w:rPr>
        <w:t>-  3</w:t>
      </w:r>
      <w:proofErr w:type="gramEnd"/>
      <w:r>
        <w:rPr>
          <w:sz w:val="24"/>
        </w:rPr>
        <w:t xml:space="preserve">/5 @ $14.73 x 1,552 x 20/60 minutes =      $  </w:t>
      </w:r>
      <w:r w:rsidR="00FB5184">
        <w:rPr>
          <w:sz w:val="24"/>
        </w:rPr>
        <w:t>7,620</w:t>
      </w:r>
      <w:r>
        <w:rPr>
          <w:sz w:val="24"/>
        </w:rPr>
        <w:t>)</w:t>
      </w:r>
    </w:p>
    <w:p w14:paraId="01CABF74" w14:textId="77777777" w:rsidR="00FD0B87" w:rsidRDefault="00FD0B87">
      <w:pPr>
        <w:tabs>
          <w:tab w:val="left" w:pos="480"/>
          <w:tab w:val="right" w:pos="4680"/>
          <w:tab w:val="right" w:pos="8640"/>
        </w:tabs>
        <w:ind w:right="684"/>
        <w:rPr>
          <w:sz w:val="24"/>
        </w:rPr>
      </w:pPr>
    </w:p>
    <w:p w14:paraId="5A1F7565" w14:textId="77777777" w:rsidR="00FD0B87" w:rsidRDefault="00FD0B87">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sidR="00056845">
        <w:rPr>
          <w:sz w:val="24"/>
        </w:rPr>
        <w:t xml:space="preserve"> ($90 per thousand)</w:t>
      </w:r>
      <w:r>
        <w:rPr>
          <w:sz w:val="24"/>
        </w:rPr>
        <w:tab/>
      </w:r>
      <w:r>
        <w:rPr>
          <w:sz w:val="24"/>
        </w:rPr>
        <w:tab/>
        <w:t>$</w:t>
      </w:r>
      <w:r w:rsidR="00056845">
        <w:rPr>
          <w:sz w:val="24"/>
        </w:rPr>
        <w:t>140</w:t>
      </w:r>
    </w:p>
    <w:p w14:paraId="03E77CA3" w14:textId="77777777" w:rsidR="00FD0B87" w:rsidRDefault="00FD0B87">
      <w:pPr>
        <w:tabs>
          <w:tab w:val="left" w:pos="480"/>
          <w:tab w:val="right" w:pos="6120"/>
          <w:tab w:val="right" w:pos="8640"/>
        </w:tabs>
        <w:ind w:right="684"/>
        <w:rPr>
          <w:sz w:val="24"/>
        </w:rPr>
      </w:pPr>
    </w:p>
    <w:p w14:paraId="62A534A2" w14:textId="77777777" w:rsidR="00FD0B87" w:rsidRDefault="00FD0B87">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056845">
        <w:rPr>
          <w:sz w:val="24"/>
        </w:rPr>
        <w:t>63,790</w:t>
      </w:r>
    </w:p>
    <w:p w14:paraId="76E10643" w14:textId="77777777" w:rsidR="00FD0B87" w:rsidRDefault="00FD0B87">
      <w:pPr>
        <w:tabs>
          <w:tab w:val="left" w:pos="480"/>
          <w:tab w:val="right" w:pos="8640"/>
        </w:tabs>
        <w:ind w:right="684"/>
        <w:rPr>
          <w:sz w:val="24"/>
        </w:rPr>
      </w:pPr>
    </w:p>
    <w:p w14:paraId="31BA2942" w14:textId="2CCB9258" w:rsidR="00FD0B87" w:rsidRDefault="00FD0B87">
      <w:pPr>
        <w:tabs>
          <w:tab w:val="left" w:pos="480"/>
          <w:tab w:val="right" w:pos="8640"/>
        </w:tabs>
        <w:ind w:right="684"/>
        <w:rPr>
          <w:sz w:val="24"/>
        </w:rPr>
      </w:pPr>
      <w:r>
        <w:rPr>
          <w:sz w:val="24"/>
        </w:rPr>
        <w:t>15.  The r</w:t>
      </w:r>
      <w:r w:rsidR="002F1B6D">
        <w:rPr>
          <w:sz w:val="24"/>
        </w:rPr>
        <w:t xml:space="preserve">eporting burden has not changed even with the Notice of Proposed Rulemaking (NPRM) RIN 2900-AO81, “Standard Claims and Appeals Forms” which proposes to require all claims for benefits to be submitted on an application or form prescribed by the Secretary.  </w:t>
      </w:r>
      <w:r w:rsidR="00056845">
        <w:rPr>
          <w:sz w:val="24"/>
        </w:rPr>
        <w:t>However, the</w:t>
      </w:r>
      <w:r w:rsidR="00346674">
        <w:rPr>
          <w:sz w:val="24"/>
        </w:rPr>
        <w:t xml:space="preserve"> estimated costs to the federal government</w:t>
      </w:r>
      <w:r w:rsidR="00056845">
        <w:rPr>
          <w:sz w:val="24"/>
        </w:rPr>
        <w:t xml:space="preserve"> have been revised to reflect updated data.   </w:t>
      </w:r>
    </w:p>
    <w:p w14:paraId="4DCD98A0" w14:textId="77777777" w:rsidR="00FD0B87" w:rsidRDefault="00FD0B87">
      <w:pPr>
        <w:tabs>
          <w:tab w:val="left" w:pos="480"/>
          <w:tab w:val="right" w:pos="8640"/>
        </w:tabs>
        <w:ind w:right="684"/>
        <w:rPr>
          <w:sz w:val="24"/>
        </w:rPr>
      </w:pPr>
    </w:p>
    <w:p w14:paraId="63650F2F" w14:textId="77777777" w:rsidR="00FD0B87" w:rsidRDefault="00FD0B87">
      <w:pPr>
        <w:tabs>
          <w:tab w:val="left" w:pos="480"/>
          <w:tab w:val="right" w:pos="8640"/>
        </w:tabs>
        <w:ind w:right="684"/>
        <w:rPr>
          <w:sz w:val="24"/>
        </w:rPr>
      </w:pPr>
      <w:r>
        <w:rPr>
          <w:sz w:val="24"/>
        </w:rPr>
        <w:t>16.  The information collection is not for publication or tabulation use.</w:t>
      </w:r>
    </w:p>
    <w:p w14:paraId="37046ED8" w14:textId="77777777" w:rsidR="00FD0B87" w:rsidRDefault="00FD0B87">
      <w:pPr>
        <w:tabs>
          <w:tab w:val="left" w:pos="480"/>
          <w:tab w:val="right" w:pos="8640"/>
        </w:tabs>
        <w:ind w:right="684"/>
        <w:rPr>
          <w:sz w:val="24"/>
        </w:rPr>
      </w:pPr>
    </w:p>
    <w:p w14:paraId="401D161B" w14:textId="77777777" w:rsidR="00FD0B87" w:rsidRDefault="00FD0B87">
      <w:pPr>
        <w:tabs>
          <w:tab w:val="left" w:pos="480"/>
          <w:tab w:val="right" w:pos="8640"/>
        </w:tabs>
        <w:ind w:right="504"/>
        <w:rPr>
          <w:sz w:val="24"/>
        </w:rPr>
      </w:pPr>
      <w:r>
        <w:rPr>
          <w:sz w:val="24"/>
        </w:rPr>
        <w:t xml:space="preserve">17.  The collection instrument, VA Form 21-4502, may be reproduced and/or stocked by the respondents and veterans service organizations.  This VA form does not display an </w:t>
      </w:r>
      <w:r>
        <w:rPr>
          <w:sz w:val="24"/>
        </w:rPr>
        <w:lastRenderedPageBreak/>
        <w:t>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w:t>
      </w:r>
      <w:r w:rsidR="008C37EA">
        <w:rPr>
          <w:sz w:val="24"/>
        </w:rPr>
        <w:t>4</w:t>
      </w:r>
      <w:r>
        <w:rPr>
          <w:sz w:val="24"/>
        </w:rPr>
        <w:t>502.</w:t>
      </w:r>
    </w:p>
    <w:p w14:paraId="36E5E825" w14:textId="77777777" w:rsidR="00FD0B87" w:rsidRDefault="00FD0B87">
      <w:pPr>
        <w:tabs>
          <w:tab w:val="left" w:pos="480"/>
          <w:tab w:val="right" w:pos="8640"/>
        </w:tabs>
        <w:ind w:right="684"/>
        <w:rPr>
          <w:sz w:val="24"/>
        </w:rPr>
      </w:pPr>
    </w:p>
    <w:p w14:paraId="2D07A138" w14:textId="77777777" w:rsidR="00FD0B87" w:rsidRDefault="00FD0B87">
      <w:pPr>
        <w:tabs>
          <w:tab w:val="left" w:pos="480"/>
          <w:tab w:val="right" w:pos="8640"/>
        </w:tabs>
        <w:ind w:right="684"/>
        <w:rPr>
          <w:sz w:val="24"/>
        </w:rPr>
      </w:pPr>
      <w:r>
        <w:rPr>
          <w:sz w:val="24"/>
        </w:rPr>
        <w:t>18.  This submission does not contain any exceptions to the certification statement.</w:t>
      </w:r>
    </w:p>
    <w:p w14:paraId="18C0A9A7" w14:textId="77777777" w:rsidR="00FD0B87" w:rsidRDefault="00FD0B87">
      <w:pPr>
        <w:rPr>
          <w:sz w:val="24"/>
        </w:rPr>
      </w:pPr>
    </w:p>
    <w:p w14:paraId="32392A02" w14:textId="77777777" w:rsidR="00FD0B87" w:rsidRDefault="00FD0B8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14:paraId="560D6D5C" w14:textId="77777777" w:rsidR="00FD0B87" w:rsidRDefault="00FD0B87">
      <w:pPr>
        <w:autoSpaceDE w:val="0"/>
        <w:autoSpaceDN w:val="0"/>
        <w:adjustRightInd w:val="0"/>
        <w:jc w:val="both"/>
        <w:rPr>
          <w:sz w:val="24"/>
          <w:szCs w:val="24"/>
        </w:rPr>
      </w:pPr>
    </w:p>
    <w:p w14:paraId="5C294C12" w14:textId="77777777" w:rsidR="00FD0B87" w:rsidRDefault="00FD0B87">
      <w:pPr>
        <w:autoSpaceDE w:val="0"/>
        <w:autoSpaceDN w:val="0"/>
        <w:adjustRightInd w:val="0"/>
        <w:jc w:val="both"/>
        <w:rPr>
          <w:sz w:val="24"/>
          <w:szCs w:val="24"/>
        </w:rPr>
      </w:pPr>
      <w:r>
        <w:rPr>
          <w:sz w:val="24"/>
          <w:szCs w:val="24"/>
        </w:rPr>
        <w:t>The Veterans Benefits Administration does not collect information employing statistical methods.</w:t>
      </w:r>
    </w:p>
    <w:p w14:paraId="37582CBA" w14:textId="77777777" w:rsidR="0040679B" w:rsidRDefault="0040679B">
      <w:pPr>
        <w:autoSpaceDE w:val="0"/>
        <w:autoSpaceDN w:val="0"/>
        <w:adjustRightInd w:val="0"/>
        <w:jc w:val="both"/>
        <w:rPr>
          <w:sz w:val="24"/>
        </w:rPr>
      </w:pPr>
    </w:p>
    <w:sectPr w:rsidR="0040679B">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C01017"/>
    <w:multiLevelType w:val="hybridMultilevel"/>
    <w:tmpl w:val="7BBA2A6C"/>
    <w:lvl w:ilvl="0" w:tplc="FBEE930A">
      <w:start w:val="1"/>
      <w:numFmt w:val="decimal"/>
      <w:lvlText w:val="(%1)"/>
      <w:lvlJc w:val="left"/>
      <w:pPr>
        <w:tabs>
          <w:tab w:val="num" w:pos="1749"/>
        </w:tabs>
        <w:ind w:left="1749" w:hanging="720"/>
      </w:pPr>
      <w:rPr>
        <w:rFonts w:hint="default"/>
      </w:rPr>
    </w:lvl>
    <w:lvl w:ilvl="1" w:tplc="04090019" w:tentative="1">
      <w:start w:val="1"/>
      <w:numFmt w:val="lowerLetter"/>
      <w:lvlText w:val="%2."/>
      <w:lvlJc w:val="left"/>
      <w:pPr>
        <w:tabs>
          <w:tab w:val="num" w:pos="2109"/>
        </w:tabs>
        <w:ind w:left="2109" w:hanging="360"/>
      </w:pPr>
    </w:lvl>
    <w:lvl w:ilvl="2" w:tplc="0409001B" w:tentative="1">
      <w:start w:val="1"/>
      <w:numFmt w:val="lowerRoman"/>
      <w:lvlText w:val="%3."/>
      <w:lvlJc w:val="right"/>
      <w:pPr>
        <w:tabs>
          <w:tab w:val="num" w:pos="2829"/>
        </w:tabs>
        <w:ind w:left="2829" w:hanging="180"/>
      </w:pPr>
    </w:lvl>
    <w:lvl w:ilvl="3" w:tplc="0409000F" w:tentative="1">
      <w:start w:val="1"/>
      <w:numFmt w:val="decimal"/>
      <w:lvlText w:val="%4."/>
      <w:lvlJc w:val="left"/>
      <w:pPr>
        <w:tabs>
          <w:tab w:val="num" w:pos="3549"/>
        </w:tabs>
        <w:ind w:left="3549" w:hanging="360"/>
      </w:pPr>
    </w:lvl>
    <w:lvl w:ilvl="4" w:tplc="04090019" w:tentative="1">
      <w:start w:val="1"/>
      <w:numFmt w:val="lowerLetter"/>
      <w:lvlText w:val="%5."/>
      <w:lvlJc w:val="left"/>
      <w:pPr>
        <w:tabs>
          <w:tab w:val="num" w:pos="4269"/>
        </w:tabs>
        <w:ind w:left="4269" w:hanging="360"/>
      </w:pPr>
    </w:lvl>
    <w:lvl w:ilvl="5" w:tplc="0409001B" w:tentative="1">
      <w:start w:val="1"/>
      <w:numFmt w:val="lowerRoman"/>
      <w:lvlText w:val="%6."/>
      <w:lvlJc w:val="right"/>
      <w:pPr>
        <w:tabs>
          <w:tab w:val="num" w:pos="4989"/>
        </w:tabs>
        <w:ind w:left="4989" w:hanging="180"/>
      </w:pPr>
    </w:lvl>
    <w:lvl w:ilvl="6" w:tplc="0409000F" w:tentative="1">
      <w:start w:val="1"/>
      <w:numFmt w:val="decimal"/>
      <w:lvlText w:val="%7."/>
      <w:lvlJc w:val="left"/>
      <w:pPr>
        <w:tabs>
          <w:tab w:val="num" w:pos="5709"/>
        </w:tabs>
        <w:ind w:left="5709" w:hanging="360"/>
      </w:pPr>
    </w:lvl>
    <w:lvl w:ilvl="7" w:tplc="04090019" w:tentative="1">
      <w:start w:val="1"/>
      <w:numFmt w:val="lowerLetter"/>
      <w:lvlText w:val="%8."/>
      <w:lvlJc w:val="left"/>
      <w:pPr>
        <w:tabs>
          <w:tab w:val="num" w:pos="6429"/>
        </w:tabs>
        <w:ind w:left="6429" w:hanging="360"/>
      </w:pPr>
    </w:lvl>
    <w:lvl w:ilvl="8" w:tplc="0409001B" w:tentative="1">
      <w:start w:val="1"/>
      <w:numFmt w:val="lowerRoman"/>
      <w:lvlText w:val="%9."/>
      <w:lvlJc w:val="right"/>
      <w:pPr>
        <w:tabs>
          <w:tab w:val="num" w:pos="7149"/>
        </w:tabs>
        <w:ind w:left="7149" w:hanging="180"/>
      </w:pPr>
    </w:lvl>
  </w:abstractNum>
  <w:abstractNum w:abstractNumId="2">
    <w:nsid w:val="64CE0B68"/>
    <w:multiLevelType w:val="hybridMultilevel"/>
    <w:tmpl w:val="AC94502C"/>
    <w:lvl w:ilvl="0" w:tplc="59DEFCA4">
      <w:start w:val="1"/>
      <w:numFmt w:val="upperLetter"/>
      <w:lvlText w:val="(%1)"/>
      <w:lvlJc w:val="left"/>
      <w:pPr>
        <w:tabs>
          <w:tab w:val="num" w:pos="1734"/>
        </w:tabs>
        <w:ind w:left="1734" w:hanging="435"/>
      </w:pPr>
      <w:rPr>
        <w:rFonts w:hint="default"/>
        <w:b/>
      </w:rPr>
    </w:lvl>
    <w:lvl w:ilvl="1" w:tplc="04090019" w:tentative="1">
      <w:start w:val="1"/>
      <w:numFmt w:val="lowerLetter"/>
      <w:lvlText w:val="%2."/>
      <w:lvlJc w:val="left"/>
      <w:pPr>
        <w:tabs>
          <w:tab w:val="num" w:pos="2379"/>
        </w:tabs>
        <w:ind w:left="2379" w:hanging="360"/>
      </w:pPr>
    </w:lvl>
    <w:lvl w:ilvl="2" w:tplc="0409001B" w:tentative="1">
      <w:start w:val="1"/>
      <w:numFmt w:val="lowerRoman"/>
      <w:lvlText w:val="%3."/>
      <w:lvlJc w:val="right"/>
      <w:pPr>
        <w:tabs>
          <w:tab w:val="num" w:pos="3099"/>
        </w:tabs>
        <w:ind w:left="3099" w:hanging="180"/>
      </w:pPr>
    </w:lvl>
    <w:lvl w:ilvl="3" w:tplc="0409000F" w:tentative="1">
      <w:start w:val="1"/>
      <w:numFmt w:val="decimal"/>
      <w:lvlText w:val="%4."/>
      <w:lvlJc w:val="left"/>
      <w:pPr>
        <w:tabs>
          <w:tab w:val="num" w:pos="3819"/>
        </w:tabs>
        <w:ind w:left="3819" w:hanging="360"/>
      </w:pPr>
    </w:lvl>
    <w:lvl w:ilvl="4" w:tplc="04090019" w:tentative="1">
      <w:start w:val="1"/>
      <w:numFmt w:val="lowerLetter"/>
      <w:lvlText w:val="%5."/>
      <w:lvlJc w:val="left"/>
      <w:pPr>
        <w:tabs>
          <w:tab w:val="num" w:pos="4539"/>
        </w:tabs>
        <w:ind w:left="4539" w:hanging="360"/>
      </w:pPr>
    </w:lvl>
    <w:lvl w:ilvl="5" w:tplc="0409001B" w:tentative="1">
      <w:start w:val="1"/>
      <w:numFmt w:val="lowerRoman"/>
      <w:lvlText w:val="%6."/>
      <w:lvlJc w:val="right"/>
      <w:pPr>
        <w:tabs>
          <w:tab w:val="num" w:pos="5259"/>
        </w:tabs>
        <w:ind w:left="5259" w:hanging="180"/>
      </w:pPr>
    </w:lvl>
    <w:lvl w:ilvl="6" w:tplc="0409000F" w:tentative="1">
      <w:start w:val="1"/>
      <w:numFmt w:val="decimal"/>
      <w:lvlText w:val="%7."/>
      <w:lvlJc w:val="left"/>
      <w:pPr>
        <w:tabs>
          <w:tab w:val="num" w:pos="5979"/>
        </w:tabs>
        <w:ind w:left="5979" w:hanging="360"/>
      </w:pPr>
    </w:lvl>
    <w:lvl w:ilvl="7" w:tplc="04090019" w:tentative="1">
      <w:start w:val="1"/>
      <w:numFmt w:val="lowerLetter"/>
      <w:lvlText w:val="%8."/>
      <w:lvlJc w:val="left"/>
      <w:pPr>
        <w:tabs>
          <w:tab w:val="num" w:pos="6699"/>
        </w:tabs>
        <w:ind w:left="6699" w:hanging="360"/>
      </w:pPr>
    </w:lvl>
    <w:lvl w:ilvl="8" w:tplc="0409001B" w:tentative="1">
      <w:start w:val="1"/>
      <w:numFmt w:val="lowerRoman"/>
      <w:lvlText w:val="%9."/>
      <w:lvlJc w:val="right"/>
      <w:pPr>
        <w:tabs>
          <w:tab w:val="num" w:pos="7419"/>
        </w:tabs>
        <w:ind w:left="7419"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87"/>
    <w:rsid w:val="00056845"/>
    <w:rsid w:val="000B7E81"/>
    <w:rsid w:val="00262131"/>
    <w:rsid w:val="002F1B6D"/>
    <w:rsid w:val="00346674"/>
    <w:rsid w:val="003B0538"/>
    <w:rsid w:val="0040679B"/>
    <w:rsid w:val="006A0146"/>
    <w:rsid w:val="008C37EA"/>
    <w:rsid w:val="00FB5184"/>
    <w:rsid w:val="00FD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E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4763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5619</CharactersWithSpaces>
  <SharedDoc>false</SharedDoc>
  <HLinks>
    <vt:vector size="78" baseType="variant">
      <vt:variant>
        <vt:i4>6815810</vt:i4>
      </vt:variant>
      <vt:variant>
        <vt:i4>36</vt:i4>
      </vt:variant>
      <vt:variant>
        <vt:i4>0</vt:i4>
      </vt:variant>
      <vt:variant>
        <vt:i4>5</vt:i4>
      </vt:variant>
      <vt:variant>
        <vt:lpwstr>..\38/ch17.html</vt:lpwstr>
      </vt:variant>
      <vt:variant>
        <vt:lpwstr/>
      </vt:variant>
      <vt:variant>
        <vt:i4>7602195</vt:i4>
      </vt:variant>
      <vt:variant>
        <vt:i4>33</vt:i4>
      </vt:variant>
      <vt:variant>
        <vt:i4>0</vt:i4>
      </vt:variant>
      <vt:variant>
        <vt:i4>5</vt:i4>
      </vt:variant>
      <vt:variant>
        <vt:lpwstr>http://www.law.cornell.edu/uscode/search/display.html?terms=1151&amp;url=/uscode/html/uscode28/usc_sup_01_28.html</vt:lpwstr>
      </vt:variant>
      <vt:variant>
        <vt:lpwstr/>
      </vt:variant>
      <vt:variant>
        <vt:i4>4259901</vt:i4>
      </vt:variant>
      <vt:variant>
        <vt:i4>30</vt:i4>
      </vt:variant>
      <vt:variant>
        <vt:i4>0</vt:i4>
      </vt:variant>
      <vt:variant>
        <vt:i4>5</vt:i4>
      </vt:variant>
      <vt:variant>
        <vt:lpwstr>http://www.law.cornell.edu/uscode/search/display.html?terms=1151&amp;url=/uscode/html/uscode28/usc_sec_28_00002677----000-.html</vt:lpwstr>
      </vt:variant>
      <vt:variant>
        <vt:lpwstr/>
      </vt:variant>
      <vt:variant>
        <vt:i4>4456509</vt:i4>
      </vt:variant>
      <vt:variant>
        <vt:i4>27</vt:i4>
      </vt:variant>
      <vt:variant>
        <vt:i4>0</vt:i4>
      </vt:variant>
      <vt:variant>
        <vt:i4>5</vt:i4>
      </vt:variant>
      <vt:variant>
        <vt:lpwstr>http://www.law.cornell.edu/uscode/search/display.html?terms=1151&amp;url=/uscode/html/uscode28/usc_sec_28_00002672----000-.html</vt:lpwstr>
      </vt:variant>
      <vt:variant>
        <vt:lpwstr/>
      </vt:variant>
      <vt:variant>
        <vt:i4>7602195</vt:i4>
      </vt:variant>
      <vt:variant>
        <vt:i4>24</vt:i4>
      </vt:variant>
      <vt:variant>
        <vt:i4>0</vt:i4>
      </vt:variant>
      <vt:variant>
        <vt:i4>5</vt:i4>
      </vt:variant>
      <vt:variant>
        <vt:lpwstr>http://www.law.cornell.edu/uscode/search/display.html?terms=1151&amp;url=/uscode/html/uscode28/usc_sup_01_28.html</vt:lpwstr>
      </vt:variant>
      <vt:variant>
        <vt:lpwstr/>
      </vt:variant>
      <vt:variant>
        <vt:i4>4522079</vt:i4>
      </vt:variant>
      <vt:variant>
        <vt:i4>21</vt:i4>
      </vt:variant>
      <vt:variant>
        <vt:i4>0</vt:i4>
      </vt:variant>
      <vt:variant>
        <vt:i4>5</vt:i4>
      </vt:variant>
      <vt:variant>
        <vt:lpwstr>http://www.law.cornell.edu/uscode/search/display.html?terms=1151&amp;url=/uscode/html/uscode28/usc_sec_28_00001346----000-.html</vt:lpwstr>
      </vt:variant>
      <vt:variant>
        <vt:lpwstr>b</vt:lpwstr>
      </vt:variant>
      <vt:variant>
        <vt:i4>4522045</vt:i4>
      </vt:variant>
      <vt:variant>
        <vt:i4>18</vt:i4>
      </vt:variant>
      <vt:variant>
        <vt:i4>0</vt:i4>
      </vt:variant>
      <vt:variant>
        <vt:i4>5</vt:i4>
      </vt:variant>
      <vt:variant>
        <vt:lpwstr>http://www.law.cornell.edu/uscode/search/display.html?terms=1151&amp;url=/uscode/html/uscode28/usc_sec_28_00001346----000-.html</vt:lpwstr>
      </vt:variant>
      <vt:variant>
        <vt:lpwstr/>
      </vt:variant>
      <vt:variant>
        <vt:i4>5111865</vt:i4>
      </vt:variant>
      <vt:variant>
        <vt:i4>15</vt:i4>
      </vt:variant>
      <vt:variant>
        <vt:i4>0</vt:i4>
      </vt:variant>
      <vt:variant>
        <vt:i4>5</vt:i4>
      </vt:variant>
      <vt:variant>
        <vt:lpwstr>http://www.law.cornell.edu/uscode/search/display.html?terms=1151&amp;url=/uscode/html/uscode38/usc_sec_38_00001718----000-.html</vt:lpwstr>
      </vt:variant>
      <vt:variant>
        <vt:lpwstr/>
      </vt:variant>
      <vt:variant>
        <vt:i4>1835135</vt:i4>
      </vt:variant>
      <vt:variant>
        <vt:i4>12</vt:i4>
      </vt:variant>
      <vt:variant>
        <vt:i4>0</vt:i4>
      </vt:variant>
      <vt:variant>
        <vt:i4>5</vt:i4>
      </vt:variant>
      <vt:variant>
        <vt:lpwstr>http://www.law.cornell.edu/uscode/search/display.html?terms=1151&amp;url=/uscode/html/uscode38/usc_sup_01_38_10_III_20_31.html</vt:lpwstr>
      </vt:variant>
      <vt:variant>
        <vt:lpwstr/>
      </vt:variant>
      <vt:variant>
        <vt:i4>4522043</vt:i4>
      </vt:variant>
      <vt:variant>
        <vt:i4>9</vt:i4>
      </vt:variant>
      <vt:variant>
        <vt:i4>0</vt:i4>
      </vt:variant>
      <vt:variant>
        <vt:i4>5</vt:i4>
      </vt:variant>
      <vt:variant>
        <vt:lpwstr>http://www.law.cornell.edu/uscode/search/display.html?terms=1151&amp;url=/uscode/html/uscode38/usc_sec_38_00003115----000-.html</vt:lpwstr>
      </vt:variant>
      <vt:variant>
        <vt:lpwstr/>
      </vt:variant>
      <vt:variant>
        <vt:i4>1572875</vt:i4>
      </vt:variant>
      <vt:variant>
        <vt:i4>6</vt:i4>
      </vt:variant>
      <vt:variant>
        <vt:i4>0</vt:i4>
      </vt:variant>
      <vt:variant>
        <vt:i4>5</vt:i4>
      </vt:variant>
      <vt:variant>
        <vt:lpwstr>http://www.law.cornell.edu/uscode/search/display.html?terms=1151&amp;url=/uscode/html/uscode38/usc_sec_38_00001701----000-.html</vt:lpwstr>
      </vt:variant>
      <vt:variant>
        <vt:lpwstr>3_A</vt:lpwstr>
      </vt:variant>
      <vt:variant>
        <vt:i4>4653112</vt:i4>
      </vt:variant>
      <vt:variant>
        <vt:i4>3</vt:i4>
      </vt:variant>
      <vt:variant>
        <vt:i4>0</vt:i4>
      </vt:variant>
      <vt:variant>
        <vt:i4>5</vt:i4>
      </vt:variant>
      <vt:variant>
        <vt:lpwstr>http://www.law.cornell.edu/uscode/search/display.html?terms=1151&amp;url=/uscode/html/uscode38/usc_sec_38_00001701----000-.html</vt:lpwstr>
      </vt:variant>
      <vt:variant>
        <vt:lpwstr/>
      </vt:variant>
      <vt:variant>
        <vt:i4>2949195</vt:i4>
      </vt:variant>
      <vt:variant>
        <vt:i4>0</vt:i4>
      </vt:variant>
      <vt:variant>
        <vt:i4>0</vt:i4>
      </vt:variant>
      <vt:variant>
        <vt:i4>5</vt:i4>
      </vt:variant>
      <vt:variant>
        <vt:lpwstr>http://www.law.cornell.edu/uscode/search/display.html?terms=1151&amp;url=/uscode/html/uscode38/usc_sup_01_38_10_II_20_13.html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James, Belinda, VBAVACO</cp:lastModifiedBy>
  <cp:revision>2</cp:revision>
  <cp:lastPrinted>2005-07-19T11:52:00Z</cp:lastPrinted>
  <dcterms:created xsi:type="dcterms:W3CDTF">2013-09-12T22:36:00Z</dcterms:created>
  <dcterms:modified xsi:type="dcterms:W3CDTF">2013-09-12T22:36:00Z</dcterms:modified>
</cp:coreProperties>
</file>