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D89" w:rsidRDefault="00F65D89">
      <w:pPr>
        <w:tabs>
          <w:tab w:val="center" w:pos="4680"/>
        </w:tabs>
        <w:jc w:val="center"/>
        <w:rPr>
          <w:rFonts w:ascii="Times New Roman" w:hAnsi="Times New Roman"/>
        </w:rPr>
      </w:pPr>
      <w:r>
        <w:rPr>
          <w:rFonts w:ascii="Times New Roman" w:hAnsi="Times New Roman"/>
        </w:rPr>
        <w:t xml:space="preserve">SUPPORTING STATEMENT  </w:t>
      </w:r>
    </w:p>
    <w:p w:rsidR="00F65D89" w:rsidRDefault="00C768D5">
      <w:pPr>
        <w:tabs>
          <w:tab w:val="center" w:pos="4680"/>
        </w:tabs>
        <w:jc w:val="center"/>
        <w:rPr>
          <w:rFonts w:ascii="Times New Roman" w:hAnsi="Times New Roman"/>
        </w:rPr>
      </w:pPr>
      <w:r>
        <w:rPr>
          <w:rFonts w:ascii="Times New Roman" w:hAnsi="Times New Roman"/>
        </w:rPr>
        <w:t xml:space="preserve">COVERED FINANCIAL COMPANY </w:t>
      </w:r>
      <w:r w:rsidR="00F65D89">
        <w:rPr>
          <w:rFonts w:ascii="Times New Roman" w:hAnsi="Times New Roman"/>
        </w:rPr>
        <w:t>ASSET PURCHASER ELIGIBILITY</w:t>
      </w:r>
    </w:p>
    <w:p w:rsidR="00F65D89" w:rsidRDefault="00F65D89">
      <w:pPr>
        <w:tabs>
          <w:tab w:val="center" w:pos="4680"/>
        </w:tabs>
        <w:jc w:val="center"/>
        <w:rPr>
          <w:rFonts w:ascii="Times New Roman" w:hAnsi="Times New Roman"/>
        </w:rPr>
      </w:pPr>
      <w:r>
        <w:rPr>
          <w:rFonts w:ascii="Times New Roman" w:hAnsi="Times New Roman"/>
        </w:rPr>
        <w:t xml:space="preserve">OMB No. </w:t>
      </w:r>
      <w:r w:rsidR="006204DC">
        <w:rPr>
          <w:rFonts w:ascii="Times New Roman" w:hAnsi="Times New Roman"/>
        </w:rPr>
        <w:t>3064-NEW</w:t>
      </w:r>
    </w:p>
    <w:p w:rsidR="00F65D89" w:rsidRDefault="00F65D89">
      <w:pPr>
        <w:tabs>
          <w:tab w:val="center" w:pos="4680"/>
        </w:tabs>
        <w:jc w:val="center"/>
        <w:rPr>
          <w:rFonts w:ascii="Times New Roman" w:hAnsi="Times New Roman"/>
        </w:rPr>
      </w:pP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r>
        <w:rPr>
          <w:rFonts w:ascii="Times New Roman" w:hAnsi="Times New Roman"/>
          <w:u w:val="single"/>
        </w:rPr>
        <w:t>INTRODUCTION</w:t>
      </w: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r>
        <w:rPr>
          <w:rFonts w:ascii="Times New Roman" w:hAnsi="Times New Roman"/>
        </w:rPr>
        <w:t xml:space="preserve">The FDIC requests OMB approval </w:t>
      </w:r>
      <w:r w:rsidR="00C768D5">
        <w:rPr>
          <w:rFonts w:ascii="Times New Roman" w:hAnsi="Times New Roman"/>
        </w:rPr>
        <w:t>for the</w:t>
      </w:r>
      <w:r>
        <w:rPr>
          <w:rFonts w:ascii="Times New Roman" w:hAnsi="Times New Roman"/>
        </w:rPr>
        <w:t xml:space="preserve"> collection of information captioned above.  The </w:t>
      </w:r>
      <w:r w:rsidR="00C768D5">
        <w:rPr>
          <w:rFonts w:ascii="Times New Roman" w:hAnsi="Times New Roman"/>
        </w:rPr>
        <w:t xml:space="preserve">Covered Financial Company </w:t>
      </w:r>
      <w:r w:rsidR="00A13E1B">
        <w:rPr>
          <w:rFonts w:ascii="Times New Roman" w:hAnsi="Times New Roman"/>
        </w:rPr>
        <w:t>Asset Pur</w:t>
      </w:r>
      <w:r>
        <w:rPr>
          <w:rFonts w:ascii="Times New Roman" w:hAnsi="Times New Roman"/>
        </w:rPr>
        <w:t xml:space="preserve">chaser Eligibility </w:t>
      </w:r>
      <w:r w:rsidR="00A13E1B">
        <w:rPr>
          <w:rFonts w:ascii="Times New Roman" w:hAnsi="Times New Roman"/>
        </w:rPr>
        <w:t xml:space="preserve">information collection </w:t>
      </w:r>
      <w:r>
        <w:rPr>
          <w:rFonts w:ascii="Times New Roman" w:hAnsi="Times New Roman"/>
        </w:rPr>
        <w:t xml:space="preserve">implements the statutory requirement that assets held by the FDIC in the course of liquidating any </w:t>
      </w:r>
      <w:r w:rsidR="00C768D5">
        <w:rPr>
          <w:rFonts w:ascii="Times New Roman" w:hAnsi="Times New Roman"/>
        </w:rPr>
        <w:t>covered financial company</w:t>
      </w:r>
      <w:r>
        <w:rPr>
          <w:rFonts w:ascii="Times New Roman" w:hAnsi="Times New Roman"/>
        </w:rPr>
        <w:t xml:space="preserve"> not be sold to persons who contributed to the demise of </w:t>
      </w:r>
      <w:r w:rsidR="00C768D5">
        <w:rPr>
          <w:rFonts w:ascii="Times New Roman" w:hAnsi="Times New Roman"/>
        </w:rPr>
        <w:t>a covered financial company</w:t>
      </w:r>
      <w:r>
        <w:rPr>
          <w:rFonts w:ascii="Times New Roman" w:hAnsi="Times New Roman"/>
        </w:rPr>
        <w:t xml:space="preserve"> in specified ways.  </w:t>
      </w:r>
    </w:p>
    <w:p w:rsidR="00F65D89" w:rsidRDefault="00F65D89">
      <w:pPr>
        <w:tabs>
          <w:tab w:val="left" w:pos="240"/>
          <w:tab w:val="left" w:pos="840"/>
          <w:tab w:val="left" w:pos="1440"/>
          <w:tab w:val="left" w:pos="2040"/>
          <w:tab w:val="left" w:pos="2640"/>
          <w:tab w:val="left" w:pos="3240"/>
          <w:tab w:val="left" w:pos="3840"/>
          <w:tab w:val="left" w:pos="4440"/>
        </w:tabs>
        <w:rPr>
          <w:rFonts w:ascii="Times New Roman" w:hAnsi="Times New Roman"/>
        </w:rPr>
      </w:pPr>
    </w:p>
    <w:p w:rsidR="00F65D89" w:rsidRDefault="00F65D89">
      <w:pPr>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F65D89" w:rsidRDefault="00F65D89">
      <w:pPr>
        <w:rPr>
          <w:rFonts w:ascii="Times New Roman" w:hAnsi="Times New Roman"/>
        </w:rPr>
      </w:pPr>
    </w:p>
    <w:p w:rsidR="00F65D89" w:rsidRDefault="00F65D89">
      <w:pPr>
        <w:ind w:left="120" w:firstLine="60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Circumstances and Need</w:t>
      </w:r>
    </w:p>
    <w:p w:rsidR="00F65D89" w:rsidRDefault="00F65D89">
      <w:pPr>
        <w:rPr>
          <w:rFonts w:ascii="Times New Roman" w:hAnsi="Times New Roman"/>
        </w:rPr>
      </w:pPr>
    </w:p>
    <w:p w:rsidR="000807DA" w:rsidRDefault="00F65D89" w:rsidP="000807DA">
      <w:pPr>
        <w:pStyle w:val="Default"/>
        <w:rPr>
          <w:rFonts w:ascii="Times New Roman" w:hAnsi="Times New Roman"/>
          <w:color w:val="auto"/>
        </w:rPr>
      </w:pPr>
      <w:r>
        <w:rPr>
          <w:rFonts w:ascii="Times New Roman" w:hAnsi="Times New Roman"/>
        </w:rPr>
        <w:t>The FDIC is statutorily required to promulgate a regulation prohibiting the sale of assets</w:t>
      </w:r>
      <w:r w:rsidR="002E1E24" w:rsidRPr="002E1E24">
        <w:rPr>
          <w:rFonts w:ascii="Times New Roman" w:hAnsi="Times New Roman"/>
        </w:rPr>
        <w:t xml:space="preserve"> </w:t>
      </w:r>
      <w:r w:rsidR="002E1E24">
        <w:rPr>
          <w:rFonts w:ascii="Times New Roman" w:hAnsi="Times New Roman"/>
        </w:rPr>
        <w:t>of a covered financial company</w:t>
      </w:r>
      <w:r>
        <w:rPr>
          <w:rFonts w:ascii="Times New Roman" w:hAnsi="Times New Roman"/>
        </w:rPr>
        <w:t xml:space="preserve"> to certain individuals or entities that profited or engaged in wrongdoing at the expense of those failed institutions, or seriously mismanaged those failed institutions.  The statute specifies classes of persons prohibited from purchasing assets of </w:t>
      </w:r>
      <w:r w:rsidR="002E1E24">
        <w:rPr>
          <w:rFonts w:ascii="Times New Roman" w:hAnsi="Times New Roman"/>
        </w:rPr>
        <w:t>covered financial companies</w:t>
      </w:r>
      <w:r>
        <w:rPr>
          <w:rFonts w:ascii="Times New Roman" w:hAnsi="Times New Roman"/>
        </w:rPr>
        <w:t xml:space="preserve"> </w:t>
      </w:r>
      <w:r w:rsidR="002E1E24">
        <w:rPr>
          <w:rFonts w:ascii="Times New Roman" w:hAnsi="Times New Roman"/>
        </w:rPr>
        <w:t xml:space="preserve">from the FDIC. </w:t>
      </w:r>
      <w:proofErr w:type="gramStart"/>
      <w:r>
        <w:rPr>
          <w:rFonts w:ascii="Times New Roman" w:hAnsi="Times New Roman"/>
        </w:rPr>
        <w:t>(</w:t>
      </w:r>
      <w:r w:rsidR="002E1E24">
        <w:rPr>
          <w:rFonts w:ascii="Times New Roman" w:hAnsi="Times New Roman"/>
        </w:rPr>
        <w:t>Section 210</w:t>
      </w:r>
      <w:r>
        <w:rPr>
          <w:rFonts w:ascii="Times New Roman" w:hAnsi="Times New Roman"/>
        </w:rPr>
        <w:t>(</w:t>
      </w:r>
      <w:r w:rsidR="002E1E24">
        <w:rPr>
          <w:rFonts w:ascii="Times New Roman" w:hAnsi="Times New Roman"/>
        </w:rPr>
        <w:t>r</w:t>
      </w:r>
      <w:r>
        <w:rPr>
          <w:rFonts w:ascii="Times New Roman" w:hAnsi="Times New Roman"/>
        </w:rPr>
        <w:t>)</w:t>
      </w:r>
      <w:r w:rsidR="002E1E24">
        <w:rPr>
          <w:rFonts w:ascii="Times New Roman" w:hAnsi="Times New Roman"/>
        </w:rPr>
        <w:t xml:space="preserve"> of the Dodd-Frank Act</w:t>
      </w:r>
      <w:r>
        <w:rPr>
          <w:rFonts w:ascii="Times New Roman" w:hAnsi="Times New Roman"/>
        </w:rPr>
        <w:t xml:space="preserve">, 12 U.S.C. </w:t>
      </w:r>
      <w:r w:rsidR="002E1E24">
        <w:rPr>
          <w:rFonts w:ascii="Times New Roman" w:hAnsi="Times New Roman"/>
        </w:rPr>
        <w:t>5390(r</w:t>
      </w:r>
      <w:r>
        <w:rPr>
          <w:rFonts w:ascii="Times New Roman" w:hAnsi="Times New Roman"/>
        </w:rPr>
        <w:t>)).</w:t>
      </w:r>
      <w:proofErr w:type="gramEnd"/>
      <w:r>
        <w:rPr>
          <w:rFonts w:ascii="Times New Roman" w:hAnsi="Times New Roman"/>
        </w:rPr>
        <w:t xml:space="preserve">  The statutory requirement </w:t>
      </w:r>
      <w:r w:rsidR="002E1E24">
        <w:rPr>
          <w:rFonts w:ascii="Times New Roman" w:hAnsi="Times New Roman"/>
        </w:rPr>
        <w:t>will be</w:t>
      </w:r>
      <w:r>
        <w:rPr>
          <w:rFonts w:ascii="Times New Roman" w:hAnsi="Times New Roman"/>
        </w:rPr>
        <w:t xml:space="preserve"> implemented by a regulation, “</w:t>
      </w:r>
      <w:r w:rsidR="002E1E24" w:rsidRPr="002E1E24">
        <w:rPr>
          <w:rFonts w:ascii="Times New Roman" w:hAnsi="Times New Roman"/>
        </w:rPr>
        <w:t>Restrictions on sale of assets of a covered financial company by the Federa</w:t>
      </w:r>
      <w:r w:rsidR="002E1E24">
        <w:rPr>
          <w:rFonts w:ascii="Times New Roman" w:hAnsi="Times New Roman"/>
        </w:rPr>
        <w:t>l Deposit Insurance Corporation</w:t>
      </w:r>
      <w:r>
        <w:rPr>
          <w:rFonts w:ascii="Times New Roman" w:hAnsi="Times New Roman"/>
        </w:rPr>
        <w:t>,” (</w:t>
      </w:r>
      <w:r w:rsidR="002E1E24">
        <w:rPr>
          <w:rFonts w:ascii="Times New Roman" w:hAnsi="Times New Roman"/>
        </w:rPr>
        <w:t xml:space="preserve">notice of proposed rulemaking to be published). The proposed rule would require prospective purchasers to complete and submit </w:t>
      </w:r>
      <w:r>
        <w:rPr>
          <w:rFonts w:ascii="Times New Roman" w:hAnsi="Times New Roman"/>
        </w:rPr>
        <w:t xml:space="preserve">a Purchaser Eligibility Certification </w:t>
      </w:r>
      <w:r w:rsidR="00F7536C">
        <w:rPr>
          <w:rFonts w:ascii="Times New Roman" w:hAnsi="Times New Roman"/>
        </w:rPr>
        <w:t>(PEC)</w:t>
      </w:r>
      <w:r w:rsidR="002E1E24">
        <w:rPr>
          <w:rFonts w:ascii="Times New Roman" w:hAnsi="Times New Roman"/>
        </w:rPr>
        <w:t xml:space="preserve"> to the FDIC</w:t>
      </w:r>
      <w:r w:rsidR="000807DA">
        <w:rPr>
          <w:rFonts w:ascii="Times New Roman" w:hAnsi="Times New Roman"/>
        </w:rPr>
        <w:t xml:space="preserve">. </w:t>
      </w:r>
      <w:r w:rsidR="00F7536C">
        <w:rPr>
          <w:rFonts w:ascii="Times New Roman" w:hAnsi="Times New Roman"/>
        </w:rPr>
        <w:t xml:space="preserve">The PEC </w:t>
      </w:r>
      <w:r w:rsidR="000807DA" w:rsidRPr="000807DA">
        <w:rPr>
          <w:rFonts w:ascii="Times New Roman" w:hAnsi="Times New Roman"/>
          <w:color w:val="auto"/>
        </w:rPr>
        <w:t xml:space="preserve">is a self-certification by </w:t>
      </w:r>
      <w:r w:rsidR="000E2CAB">
        <w:rPr>
          <w:rFonts w:ascii="Times New Roman" w:hAnsi="Times New Roman"/>
          <w:color w:val="auto"/>
        </w:rPr>
        <w:t xml:space="preserve">a </w:t>
      </w:r>
      <w:r w:rsidR="000807DA" w:rsidRPr="000807DA">
        <w:rPr>
          <w:rFonts w:ascii="Times New Roman" w:hAnsi="Times New Roman"/>
          <w:color w:val="auto"/>
        </w:rPr>
        <w:t xml:space="preserve">prospective </w:t>
      </w:r>
      <w:r w:rsidR="000E2CAB">
        <w:rPr>
          <w:rFonts w:ascii="Times New Roman" w:hAnsi="Times New Roman"/>
          <w:color w:val="auto"/>
        </w:rPr>
        <w:t>purchaser</w:t>
      </w:r>
      <w:r w:rsidR="000807DA" w:rsidRPr="000807DA">
        <w:rPr>
          <w:rFonts w:ascii="Times New Roman" w:hAnsi="Times New Roman"/>
          <w:color w:val="auto"/>
        </w:rPr>
        <w:t xml:space="preserve"> that </w:t>
      </w:r>
      <w:r w:rsidR="000E2CAB">
        <w:rPr>
          <w:rFonts w:ascii="Times New Roman" w:hAnsi="Times New Roman"/>
          <w:color w:val="auto"/>
        </w:rPr>
        <w:t>it</w:t>
      </w:r>
      <w:r w:rsidR="000807DA" w:rsidRPr="000807DA">
        <w:rPr>
          <w:rFonts w:ascii="Times New Roman" w:hAnsi="Times New Roman"/>
          <w:color w:val="auto"/>
        </w:rPr>
        <w:t xml:space="preserve"> do</w:t>
      </w:r>
      <w:r w:rsidR="000E2CAB">
        <w:rPr>
          <w:rFonts w:ascii="Times New Roman" w:hAnsi="Times New Roman"/>
          <w:color w:val="auto"/>
        </w:rPr>
        <w:t>es</w:t>
      </w:r>
      <w:r w:rsidR="000807DA" w:rsidRPr="000807DA">
        <w:rPr>
          <w:rFonts w:ascii="Times New Roman" w:hAnsi="Times New Roman"/>
          <w:color w:val="auto"/>
        </w:rPr>
        <w:t xml:space="preserve"> not fall into any of the categories of</w:t>
      </w:r>
      <w:r w:rsidR="000E2CAB" w:rsidRPr="000E2CAB">
        <w:rPr>
          <w:rFonts w:ascii="Times New Roman" w:hAnsi="Times New Roman"/>
          <w:color w:val="auto"/>
        </w:rPr>
        <w:t xml:space="preserve"> </w:t>
      </w:r>
      <w:r w:rsidR="000E2CAB" w:rsidRPr="000807DA">
        <w:rPr>
          <w:rFonts w:ascii="Times New Roman" w:hAnsi="Times New Roman"/>
          <w:color w:val="auto"/>
        </w:rPr>
        <w:t>individuals</w:t>
      </w:r>
      <w:r w:rsidR="000E2CAB">
        <w:rPr>
          <w:rFonts w:ascii="Times New Roman" w:hAnsi="Times New Roman"/>
          <w:color w:val="auto"/>
        </w:rPr>
        <w:t xml:space="preserve"> or</w:t>
      </w:r>
      <w:r w:rsidR="000807DA" w:rsidRPr="000807DA">
        <w:rPr>
          <w:rFonts w:ascii="Times New Roman" w:hAnsi="Times New Roman"/>
          <w:color w:val="auto"/>
        </w:rPr>
        <w:t xml:space="preserve"> entities </w:t>
      </w:r>
      <w:r w:rsidR="000E2CAB">
        <w:rPr>
          <w:rFonts w:ascii="Times New Roman" w:hAnsi="Times New Roman"/>
          <w:color w:val="auto"/>
        </w:rPr>
        <w:t xml:space="preserve">that </w:t>
      </w:r>
      <w:r w:rsidR="000807DA" w:rsidRPr="000807DA">
        <w:rPr>
          <w:rFonts w:ascii="Times New Roman" w:hAnsi="Times New Roman"/>
          <w:color w:val="auto"/>
        </w:rPr>
        <w:t xml:space="preserve">are prohibited </w:t>
      </w:r>
      <w:r w:rsidR="000E2CAB">
        <w:rPr>
          <w:rFonts w:ascii="Times New Roman" w:hAnsi="Times New Roman"/>
          <w:color w:val="auto"/>
        </w:rPr>
        <w:t xml:space="preserve">by statute or regulation </w:t>
      </w:r>
      <w:r w:rsidR="000807DA" w:rsidRPr="000807DA">
        <w:rPr>
          <w:rFonts w:ascii="Times New Roman" w:hAnsi="Times New Roman"/>
          <w:color w:val="auto"/>
        </w:rPr>
        <w:t xml:space="preserve">from purchasing the assets of </w:t>
      </w:r>
      <w:r w:rsidR="002E1E24">
        <w:rPr>
          <w:rFonts w:ascii="Times New Roman" w:hAnsi="Times New Roman"/>
          <w:color w:val="auto"/>
        </w:rPr>
        <w:t>covered financial companies</w:t>
      </w:r>
      <w:r w:rsidR="000807DA" w:rsidRPr="000807DA">
        <w:rPr>
          <w:rFonts w:ascii="Times New Roman" w:hAnsi="Times New Roman"/>
          <w:color w:val="auto"/>
        </w:rPr>
        <w:t xml:space="preserve">.  The PEC </w:t>
      </w:r>
      <w:r w:rsidR="000E2CAB">
        <w:rPr>
          <w:rFonts w:ascii="Times New Roman" w:hAnsi="Times New Roman"/>
          <w:color w:val="auto"/>
        </w:rPr>
        <w:t>will be</w:t>
      </w:r>
      <w:r w:rsidR="000807DA" w:rsidRPr="000807DA">
        <w:rPr>
          <w:rFonts w:ascii="Times New Roman" w:hAnsi="Times New Roman"/>
          <w:color w:val="auto"/>
        </w:rPr>
        <w:t xml:space="preserve"> </w:t>
      </w:r>
      <w:r w:rsidR="008F67C4">
        <w:rPr>
          <w:rFonts w:ascii="Times New Roman" w:hAnsi="Times New Roman"/>
          <w:color w:val="auto"/>
        </w:rPr>
        <w:t>required in connection with the sale of assets by the FDIC as receiver for a covered financial company.</w:t>
      </w:r>
    </w:p>
    <w:p w:rsidR="000807DA" w:rsidRDefault="000807DA" w:rsidP="000807DA">
      <w:pPr>
        <w:pStyle w:val="Default"/>
        <w:rPr>
          <w:rFonts w:ascii="Times New Roman" w:hAnsi="Times New Roman"/>
          <w:color w:val="auto"/>
        </w:rPr>
      </w:pPr>
    </w:p>
    <w:p w:rsidR="00F65D89" w:rsidRDefault="00F65D89">
      <w:pPr>
        <w:ind w:firstLine="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Use of Information Collected</w:t>
      </w:r>
    </w:p>
    <w:p w:rsidR="00F65D89" w:rsidRDefault="00F65D89">
      <w:pPr>
        <w:rPr>
          <w:rFonts w:ascii="Times New Roman" w:hAnsi="Times New Roman"/>
        </w:rPr>
      </w:pPr>
    </w:p>
    <w:p w:rsidR="00F65D89" w:rsidRDefault="00F65D89" w:rsidP="0094063D">
      <w:pPr>
        <w:pStyle w:val="BodyTextIndent"/>
        <w:ind w:left="0"/>
      </w:pPr>
      <w:r>
        <w:t xml:space="preserve">The FDIC uses the </w:t>
      </w:r>
      <w:r w:rsidR="00C8341E">
        <w:t>information collected</w:t>
      </w:r>
      <w:r>
        <w:t xml:space="preserve"> to ensure compliance with the statutory requirements before each sale of assets.</w:t>
      </w:r>
    </w:p>
    <w:p w:rsidR="00F65D89" w:rsidRDefault="00F65D89">
      <w:pPr>
        <w:rPr>
          <w:rFonts w:ascii="Times New Roman" w:hAnsi="Times New Roman"/>
        </w:rPr>
      </w:pPr>
    </w:p>
    <w:p w:rsidR="00F65D89" w:rsidRDefault="00F65D89">
      <w:pPr>
        <w:ind w:left="240"/>
        <w:rPr>
          <w:rFonts w:ascii="Times New Roman" w:hAnsi="Times New Roman"/>
        </w:rPr>
      </w:pPr>
      <w:r>
        <w:rPr>
          <w:rFonts w:ascii="Times New Roman" w:hAnsi="Times New Roman"/>
        </w:rPr>
        <w:tab/>
        <w:t>3.</w:t>
      </w:r>
      <w:r>
        <w:rPr>
          <w:rFonts w:ascii="Times New Roman" w:hAnsi="Times New Roman"/>
        </w:rPr>
        <w:tab/>
      </w:r>
      <w:r>
        <w:rPr>
          <w:rFonts w:ascii="Times New Roman" w:hAnsi="Times New Roman"/>
          <w:u w:val="single"/>
        </w:rPr>
        <w:t>Use of Technology to Reduce Burden</w:t>
      </w:r>
    </w:p>
    <w:p w:rsidR="00F65D89" w:rsidRDefault="00F65D89">
      <w:pPr>
        <w:rPr>
          <w:rFonts w:ascii="Times New Roman" w:hAnsi="Times New Roman"/>
        </w:rPr>
      </w:pPr>
    </w:p>
    <w:p w:rsidR="00F65D89" w:rsidRDefault="008F67C4" w:rsidP="002746A7">
      <w:pPr>
        <w:rPr>
          <w:rFonts w:ascii="Times New Roman" w:hAnsi="Times New Roman"/>
        </w:rPr>
      </w:pPr>
      <w:r>
        <w:rPr>
          <w:rFonts w:ascii="Times New Roman" w:hAnsi="Times New Roman"/>
        </w:rPr>
        <w:t xml:space="preserve">It is anticipated that this form may be submitted </w:t>
      </w:r>
      <w:r w:rsidR="00495852">
        <w:rPr>
          <w:rFonts w:ascii="Times New Roman" w:hAnsi="Times New Roman"/>
        </w:rPr>
        <w:t>via hard copy</w:t>
      </w:r>
      <w:r>
        <w:rPr>
          <w:rFonts w:ascii="Times New Roman" w:hAnsi="Times New Roman"/>
        </w:rPr>
        <w:t xml:space="preserve"> or electronic media</w:t>
      </w:r>
      <w:r w:rsidR="00495852">
        <w:rPr>
          <w:rFonts w:ascii="Times New Roman" w:hAnsi="Times New Roman"/>
        </w:rPr>
        <w:t>.</w:t>
      </w:r>
      <w:r w:rsidR="00F65D89">
        <w:rPr>
          <w:rFonts w:ascii="Times New Roman" w:hAnsi="Times New Roman"/>
        </w:rPr>
        <w:t xml:space="preserve">  </w:t>
      </w:r>
    </w:p>
    <w:p w:rsidR="00F65D89" w:rsidRDefault="00F65D89">
      <w:pPr>
        <w:ind w:left="1440"/>
        <w:rPr>
          <w:rFonts w:ascii="Times New Roman" w:hAnsi="Times New Roman"/>
        </w:rPr>
      </w:pPr>
    </w:p>
    <w:p w:rsidR="00F65D89" w:rsidRDefault="00F65D89">
      <w:pPr>
        <w:ind w:left="240"/>
        <w:rPr>
          <w:rFonts w:ascii="Times New Roman" w:hAnsi="Times New Roman"/>
        </w:rPr>
      </w:pPr>
      <w:r>
        <w:rPr>
          <w:rFonts w:ascii="Times New Roman" w:hAnsi="Times New Roman"/>
        </w:rPr>
        <w:tab/>
        <w:t>4.</w:t>
      </w:r>
      <w:r>
        <w:rPr>
          <w:rFonts w:ascii="Times New Roman" w:hAnsi="Times New Roman"/>
        </w:rPr>
        <w:tab/>
      </w:r>
      <w:r>
        <w:rPr>
          <w:rFonts w:ascii="Times New Roman" w:hAnsi="Times New Roman"/>
          <w:u w:val="single"/>
        </w:rPr>
        <w:t>Efforts to Identify Duplication</w:t>
      </w:r>
    </w:p>
    <w:p w:rsidR="00F65D89" w:rsidRDefault="00F65D89">
      <w:pPr>
        <w:rPr>
          <w:rFonts w:ascii="Times New Roman" w:hAnsi="Times New Roman"/>
        </w:rPr>
      </w:pPr>
    </w:p>
    <w:p w:rsidR="00F65D89" w:rsidRDefault="00F65D89" w:rsidP="002746A7">
      <w:pPr>
        <w:pStyle w:val="BodyTextIndent"/>
        <w:ind w:left="0"/>
      </w:pPr>
      <w:r>
        <w:t xml:space="preserve">There is no duplication.  The information is not available elsewhere.  </w:t>
      </w:r>
    </w:p>
    <w:p w:rsidR="00F65D89" w:rsidRDefault="00F65D89">
      <w:pPr>
        <w:ind w:left="180" w:firstLine="540"/>
        <w:rPr>
          <w:rFonts w:ascii="Times New Roman" w:hAnsi="Times New Roman"/>
        </w:rPr>
      </w:pPr>
    </w:p>
    <w:p w:rsidR="00F65D89" w:rsidRDefault="00F65D89">
      <w:pPr>
        <w:ind w:left="810" w:hanging="90"/>
        <w:rPr>
          <w:rFonts w:ascii="Times New Roman" w:hAnsi="Times New Roman"/>
        </w:rPr>
      </w:pPr>
      <w:r>
        <w:rPr>
          <w:rFonts w:ascii="Times New Roman" w:hAnsi="Times New Roman"/>
        </w:rPr>
        <w:lastRenderedPageBreak/>
        <w:t>5.</w:t>
      </w:r>
      <w:r>
        <w:rPr>
          <w:rFonts w:ascii="Times New Roman" w:hAnsi="Times New Roman"/>
        </w:rPr>
        <w:tab/>
      </w:r>
      <w:r>
        <w:rPr>
          <w:rFonts w:ascii="Times New Roman" w:hAnsi="Times New Roman"/>
          <w:u w:val="single"/>
        </w:rPr>
        <w:t>Minimizing the Burden on Small Banks</w:t>
      </w:r>
    </w:p>
    <w:p w:rsidR="00F65D89" w:rsidRDefault="00F65D89">
      <w:pPr>
        <w:rPr>
          <w:rFonts w:ascii="Times New Roman" w:hAnsi="Times New Roman"/>
        </w:rPr>
      </w:pPr>
    </w:p>
    <w:p w:rsidR="00F65D89" w:rsidRDefault="0026619C" w:rsidP="002746A7">
      <w:pPr>
        <w:pStyle w:val="BodyTextIndent"/>
        <w:ind w:left="0"/>
      </w:pPr>
      <w:bookmarkStart w:id="0" w:name="_GoBack"/>
      <w:bookmarkEnd w:id="0"/>
      <w:r w:rsidRPr="0026619C">
        <w:t>The rule is unlikely to have a significant economic impact on a substantial number of small entities because a covered financial company is, in general, likely to be a large entity with m</w:t>
      </w:r>
      <w:r>
        <w:t>ore than $50 billion in assets.</w:t>
      </w:r>
      <w:r w:rsidRPr="0026619C">
        <w:t xml:space="preserve">  </w:t>
      </w:r>
      <w:r>
        <w:t>A</w:t>
      </w:r>
      <w:r w:rsidRPr="0026619C">
        <w:t xml:space="preserve"> covered financial company </w:t>
      </w:r>
      <w:r>
        <w:t>is</w:t>
      </w:r>
      <w:r w:rsidRPr="0026619C">
        <w:t xml:space="preserve"> likely to be </w:t>
      </w:r>
      <w:r>
        <w:t>sold in major components</w:t>
      </w:r>
      <w:r w:rsidRPr="0026619C">
        <w:t>, such as subsidiaries or business lines.  It is therefore unlikely that small entities will be prospective purchasers of covered financial company assets in an orderly liquidation under Title II of the Dodd-Frank Act.</w:t>
      </w:r>
      <w:r w:rsidR="00F65D89">
        <w:tab/>
      </w:r>
    </w:p>
    <w:p w:rsidR="00F65D89" w:rsidRDefault="00F65D89">
      <w:pPr>
        <w:ind w:left="840" w:hanging="600"/>
        <w:rPr>
          <w:rFonts w:ascii="Times New Roman" w:hAnsi="Times New Roman"/>
        </w:rPr>
      </w:pPr>
    </w:p>
    <w:p w:rsidR="00F65D89" w:rsidRDefault="00F65D89">
      <w:pPr>
        <w:ind w:left="840" w:hanging="1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Consequences of Less Frequent Collection</w:t>
      </w:r>
    </w:p>
    <w:p w:rsidR="00F65D89" w:rsidRDefault="00F65D89">
      <w:pPr>
        <w:rPr>
          <w:rFonts w:ascii="Times New Roman" w:hAnsi="Times New Roman"/>
        </w:rPr>
      </w:pPr>
    </w:p>
    <w:p w:rsidR="00F65D89" w:rsidRDefault="00F65D89" w:rsidP="002746A7">
      <w:pPr>
        <w:pStyle w:val="BodyTextIndent"/>
        <w:ind w:left="0"/>
      </w:pPr>
      <w:r>
        <w:t xml:space="preserve">As a result of the statute’s prohibition, each purchase of assets </w:t>
      </w:r>
      <w:r w:rsidR="000E2CAB">
        <w:t xml:space="preserve">of a covered financial company </w:t>
      </w:r>
      <w:r>
        <w:t>from the FDIC requires a</w:t>
      </w:r>
      <w:r w:rsidR="00627804">
        <w:t xml:space="preserve"> determination that the prospective </w:t>
      </w:r>
      <w:r w:rsidR="000E2CAB">
        <w:t>purchaser</w:t>
      </w:r>
      <w:r w:rsidR="00627804">
        <w:t xml:space="preserve"> is </w:t>
      </w:r>
      <w:r w:rsidR="00CF059D">
        <w:t>not prohibited from purchasing</w:t>
      </w:r>
      <w:r>
        <w:t xml:space="preserve">.  </w:t>
      </w:r>
    </w:p>
    <w:p w:rsidR="00F65D89" w:rsidRDefault="00F65D89">
      <w:pPr>
        <w:rPr>
          <w:rFonts w:ascii="Times New Roman" w:hAnsi="Times New Roman"/>
        </w:rPr>
      </w:pPr>
    </w:p>
    <w:p w:rsidR="00F65D89" w:rsidRDefault="00F65D89">
      <w:pPr>
        <w:ind w:left="840" w:hanging="120"/>
        <w:rPr>
          <w:rFonts w:ascii="Times New Roman" w:hAnsi="Times New Roman"/>
        </w:rPr>
      </w:pPr>
      <w:r>
        <w:rPr>
          <w:rFonts w:ascii="Times New Roman" w:hAnsi="Times New Roman"/>
        </w:rPr>
        <w:t>7.</w:t>
      </w:r>
      <w:r>
        <w:rPr>
          <w:rFonts w:ascii="Times New Roman" w:hAnsi="Times New Roman"/>
        </w:rPr>
        <w:tab/>
      </w:r>
      <w:r>
        <w:rPr>
          <w:rFonts w:ascii="Times New Roman" w:hAnsi="Times New Roman"/>
          <w:u w:val="single"/>
        </w:rPr>
        <w:t>Special Circumstances</w:t>
      </w:r>
    </w:p>
    <w:p w:rsidR="00F65D89" w:rsidRDefault="00F65D89">
      <w:pPr>
        <w:rPr>
          <w:rFonts w:ascii="Times New Roman" w:hAnsi="Times New Roman"/>
        </w:rPr>
      </w:pPr>
    </w:p>
    <w:p w:rsidR="00F65D89" w:rsidRDefault="0002185B">
      <w:pPr>
        <w:rPr>
          <w:rFonts w:ascii="Times New Roman" w:hAnsi="Times New Roman"/>
        </w:rPr>
      </w:pPr>
      <w:r>
        <w:rPr>
          <w:rFonts w:ascii="Times New Roman" w:hAnsi="Times New Roman"/>
        </w:rPr>
        <w:t>There are no special circumstances.</w:t>
      </w:r>
    </w:p>
    <w:p w:rsidR="00B2673F" w:rsidRDefault="00B2673F">
      <w:pPr>
        <w:rPr>
          <w:rFonts w:ascii="Times New Roman" w:hAnsi="Times New Roman"/>
        </w:rPr>
      </w:pPr>
    </w:p>
    <w:p w:rsidR="00F65D89" w:rsidRDefault="00F65D89">
      <w:pPr>
        <w:ind w:left="840" w:hanging="120"/>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Consultation with Persons Outside the FDIC</w:t>
      </w:r>
    </w:p>
    <w:p w:rsidR="00F65D89" w:rsidRDefault="00F65D89">
      <w:pPr>
        <w:rPr>
          <w:rFonts w:ascii="Times New Roman" w:hAnsi="Times New Roman"/>
        </w:rPr>
      </w:pPr>
    </w:p>
    <w:p w:rsidR="00F65D89" w:rsidRDefault="004103C1" w:rsidP="002746A7">
      <w:pPr>
        <w:pStyle w:val="BodyTextIndent"/>
        <w:ind w:left="0"/>
      </w:pPr>
      <w:r>
        <w:t>In its notice of proposed rulemaking, the FDIC has requested comment on all aspects of the Covered Financial Company Asset Purchaser Eligibility information collection. Any comments received will be considered in</w:t>
      </w:r>
      <w:r w:rsidR="00843D7B">
        <w:t xml:space="preserve"> development of the final form</w:t>
      </w:r>
      <w:r w:rsidR="00F65D89">
        <w:t>.</w:t>
      </w:r>
    </w:p>
    <w:p w:rsidR="00F65D89" w:rsidRDefault="00F65D89">
      <w:pPr>
        <w:ind w:left="1440"/>
        <w:rPr>
          <w:rFonts w:ascii="Times New Roman" w:hAnsi="Times New Roman"/>
        </w:rPr>
      </w:pPr>
    </w:p>
    <w:p w:rsidR="00F65D89" w:rsidRDefault="00F65D89">
      <w:pPr>
        <w:ind w:left="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Payment or Gift to Respondents</w:t>
      </w:r>
    </w:p>
    <w:p w:rsidR="00F65D89" w:rsidRDefault="00F65D89">
      <w:pPr>
        <w:rPr>
          <w:rFonts w:ascii="Times New Roman" w:hAnsi="Times New Roman"/>
        </w:rPr>
      </w:pPr>
    </w:p>
    <w:p w:rsidR="00F65D89" w:rsidRDefault="00F65D89" w:rsidP="002746A7">
      <w:pPr>
        <w:rPr>
          <w:rFonts w:ascii="Times New Roman" w:hAnsi="Times New Roman"/>
        </w:rPr>
      </w:pPr>
      <w:r>
        <w:rPr>
          <w:rFonts w:ascii="Times New Roman" w:hAnsi="Times New Roman"/>
        </w:rPr>
        <w:t>Not applicable.</w:t>
      </w:r>
    </w:p>
    <w:p w:rsidR="00F65D89" w:rsidRDefault="00F65D89">
      <w:pPr>
        <w:rPr>
          <w:rFonts w:ascii="Times New Roman" w:hAnsi="Times New Roman"/>
        </w:rPr>
      </w:pPr>
    </w:p>
    <w:p w:rsidR="00F65D89" w:rsidRDefault="00F65D89">
      <w:pPr>
        <w:ind w:left="840" w:hanging="1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Confidentiality</w:t>
      </w:r>
    </w:p>
    <w:p w:rsidR="00F65D89" w:rsidRDefault="00F65D89">
      <w:pPr>
        <w:rPr>
          <w:rFonts w:ascii="Times New Roman" w:hAnsi="Times New Roman"/>
        </w:rPr>
      </w:pPr>
    </w:p>
    <w:p w:rsidR="00F65D89" w:rsidRDefault="00F65D89" w:rsidP="002746A7">
      <w:pPr>
        <w:pStyle w:val="BodyTextIndent"/>
        <w:ind w:left="0"/>
      </w:pPr>
      <w:r>
        <w:t>No assurance of confidentiality is made.</w:t>
      </w:r>
    </w:p>
    <w:p w:rsidR="00F65D89" w:rsidRDefault="00F65D89">
      <w:pPr>
        <w:rPr>
          <w:rFonts w:ascii="Times New Roman" w:hAnsi="Times New Roman"/>
        </w:rPr>
      </w:pPr>
    </w:p>
    <w:p w:rsidR="00F65D89" w:rsidRDefault="00F65D89">
      <w:pPr>
        <w:ind w:left="840" w:hanging="1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Information of a Sensitive Nature</w:t>
      </w:r>
    </w:p>
    <w:p w:rsidR="00F65D89" w:rsidRDefault="00F65D89">
      <w:pPr>
        <w:rPr>
          <w:rFonts w:ascii="Times New Roman" w:hAnsi="Times New Roman"/>
        </w:rPr>
      </w:pPr>
    </w:p>
    <w:p w:rsidR="00F65D89" w:rsidRDefault="00F65D89" w:rsidP="002746A7">
      <w:pPr>
        <w:pStyle w:val="BodyTextIndent"/>
        <w:ind w:left="0"/>
      </w:pPr>
      <w:r>
        <w:t xml:space="preserve">The collection requires no information of a sensitive nature. </w:t>
      </w:r>
    </w:p>
    <w:p w:rsidR="00F65D89" w:rsidRDefault="00F65D89">
      <w:pPr>
        <w:rPr>
          <w:rFonts w:ascii="Times New Roman" w:hAnsi="Times New Roman"/>
        </w:rPr>
      </w:pPr>
    </w:p>
    <w:p w:rsidR="00F65D89" w:rsidRDefault="00F65D89">
      <w:pPr>
        <w:ind w:left="840" w:hanging="1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Estimate of Hour Burden and Annual Costs</w:t>
      </w:r>
      <w:r>
        <w:rPr>
          <w:rFonts w:ascii="Times New Roman" w:hAnsi="Times New Roman"/>
        </w:rPr>
        <w:tab/>
      </w:r>
    </w:p>
    <w:p w:rsidR="00F65D89" w:rsidRDefault="00F65D89">
      <w:pPr>
        <w:rPr>
          <w:rFonts w:ascii="Times New Roman" w:hAnsi="Times New Roman"/>
        </w:rPr>
      </w:pPr>
      <w:r>
        <w:rPr>
          <w:rFonts w:ascii="Times New Roman" w:hAnsi="Times New Roman"/>
        </w:rPr>
        <w:tab/>
      </w:r>
    </w:p>
    <w:p w:rsidR="00F65D89" w:rsidRDefault="00F65D89" w:rsidP="002746A7">
      <w:pPr>
        <w:rPr>
          <w:rFonts w:ascii="Times New Roman" w:hAnsi="Times New Roman"/>
        </w:rPr>
      </w:pPr>
      <w:r>
        <w:rPr>
          <w:rFonts w:ascii="Times New Roman" w:hAnsi="Times New Roman"/>
        </w:rPr>
        <w:tab/>
      </w:r>
      <w:r>
        <w:rPr>
          <w:rFonts w:ascii="Times New Roman" w:hAnsi="Times New Roman"/>
        </w:rPr>
        <w:tab/>
      </w:r>
    </w:p>
    <w:p w:rsidR="002746A7" w:rsidRDefault="002746A7" w:rsidP="002746A7">
      <w:pPr>
        <w:rPr>
          <w:rFonts w:ascii="Times New Roman" w:hAnsi="Times New Roman"/>
        </w:rPr>
      </w:pPr>
      <w:r>
        <w:rPr>
          <w:rFonts w:ascii="Times New Roman" w:hAnsi="Times New Roman"/>
        </w:rPr>
        <w:t xml:space="preserve">Number of respondents:  </w:t>
      </w:r>
      <w:r w:rsidR="000E2CAB">
        <w:rPr>
          <w:rFonts w:ascii="Times New Roman" w:hAnsi="Times New Roman"/>
        </w:rPr>
        <w:t>1</w:t>
      </w:r>
      <w:r w:rsidR="006204DC">
        <w:rPr>
          <w:rFonts w:ascii="Times New Roman" w:hAnsi="Times New Roman"/>
        </w:rPr>
        <w:t>0</w:t>
      </w:r>
    </w:p>
    <w:p w:rsidR="002746A7" w:rsidRDefault="002746A7" w:rsidP="002746A7">
      <w:pPr>
        <w:rPr>
          <w:rFonts w:ascii="Times New Roman" w:hAnsi="Times New Roman"/>
        </w:rPr>
      </w:pPr>
    </w:p>
    <w:p w:rsidR="002746A7" w:rsidRDefault="00F65D89" w:rsidP="002746A7">
      <w:pPr>
        <w:rPr>
          <w:rFonts w:ascii="Times New Roman" w:hAnsi="Times New Roman"/>
        </w:rPr>
      </w:pPr>
      <w:r>
        <w:rPr>
          <w:rFonts w:ascii="Times New Roman" w:hAnsi="Times New Roman"/>
        </w:rPr>
        <w:t xml:space="preserve">Time per response: </w:t>
      </w:r>
      <w:r w:rsidR="000E2CAB">
        <w:rPr>
          <w:rFonts w:ascii="Times New Roman" w:hAnsi="Times New Roman"/>
        </w:rPr>
        <w:t>3</w:t>
      </w:r>
      <w:r>
        <w:rPr>
          <w:rFonts w:ascii="Times New Roman" w:hAnsi="Times New Roman"/>
        </w:rPr>
        <w:t>0 minutes</w:t>
      </w:r>
      <w:r w:rsidR="00D56E75">
        <w:rPr>
          <w:rFonts w:ascii="Times New Roman" w:hAnsi="Times New Roman"/>
        </w:rPr>
        <w:t>.</w:t>
      </w:r>
    </w:p>
    <w:p w:rsidR="002746A7" w:rsidRDefault="002746A7" w:rsidP="002746A7">
      <w:pPr>
        <w:rPr>
          <w:rFonts w:ascii="Times New Roman" w:hAnsi="Times New Roman"/>
        </w:rPr>
      </w:pPr>
    </w:p>
    <w:p w:rsidR="002746A7" w:rsidRDefault="002746A7" w:rsidP="002746A7">
      <w:pPr>
        <w:rPr>
          <w:rFonts w:ascii="Times New Roman" w:hAnsi="Times New Roman"/>
        </w:rPr>
      </w:pPr>
      <w:r>
        <w:rPr>
          <w:rFonts w:ascii="Times New Roman" w:hAnsi="Times New Roman"/>
        </w:rPr>
        <w:t xml:space="preserve">Total annual burden:  </w:t>
      </w:r>
      <w:r w:rsidR="006204DC">
        <w:rPr>
          <w:rFonts w:ascii="Times New Roman" w:hAnsi="Times New Roman"/>
        </w:rPr>
        <w:t>5 hours</w:t>
      </w:r>
      <w:r>
        <w:rPr>
          <w:rFonts w:ascii="Times New Roman" w:hAnsi="Times New Roman"/>
        </w:rPr>
        <w:t>.</w:t>
      </w:r>
    </w:p>
    <w:p w:rsidR="002746A7" w:rsidRDefault="002746A7" w:rsidP="002746A7">
      <w:pPr>
        <w:rPr>
          <w:rFonts w:ascii="Times New Roman" w:hAnsi="Times New Roman"/>
        </w:rPr>
      </w:pPr>
    </w:p>
    <w:p w:rsidR="00F65D89" w:rsidRDefault="00F65D89" w:rsidP="002746A7">
      <w:pPr>
        <w:rPr>
          <w:rFonts w:ascii="Times New Roman" w:hAnsi="Times New Roman"/>
        </w:rPr>
      </w:pPr>
      <w:r>
        <w:rPr>
          <w:rFonts w:ascii="Times New Roman" w:hAnsi="Times New Roman"/>
        </w:rPr>
        <w:lastRenderedPageBreak/>
        <w:t xml:space="preserve">Estimate of annualized cost: </w:t>
      </w:r>
      <w:r w:rsidR="000E2CAB">
        <w:rPr>
          <w:rFonts w:ascii="Times New Roman" w:hAnsi="Times New Roman"/>
        </w:rPr>
        <w:t>1</w:t>
      </w:r>
      <w:r w:rsidR="00F36E69">
        <w:rPr>
          <w:rFonts w:ascii="Times New Roman" w:hAnsi="Times New Roman"/>
        </w:rPr>
        <w:t>0</w:t>
      </w:r>
      <w:r>
        <w:rPr>
          <w:rFonts w:ascii="Times New Roman" w:hAnsi="Times New Roman"/>
        </w:rPr>
        <w:t xml:space="preserve"> response</w:t>
      </w:r>
      <w:r w:rsidR="00F36E69">
        <w:rPr>
          <w:rFonts w:ascii="Times New Roman" w:hAnsi="Times New Roman"/>
        </w:rPr>
        <w:t>s</w:t>
      </w:r>
      <w:r>
        <w:rPr>
          <w:rFonts w:ascii="Times New Roman" w:hAnsi="Times New Roman"/>
        </w:rPr>
        <w:t xml:space="preserve"> x </w:t>
      </w:r>
      <w:r w:rsidR="000E2CAB">
        <w:rPr>
          <w:rFonts w:ascii="Times New Roman" w:hAnsi="Times New Roman"/>
        </w:rPr>
        <w:t>.5</w:t>
      </w:r>
      <w:r>
        <w:rPr>
          <w:rFonts w:ascii="Times New Roman" w:hAnsi="Times New Roman"/>
        </w:rPr>
        <w:t xml:space="preserve"> hour x $</w:t>
      </w:r>
      <w:r w:rsidR="00F36E69">
        <w:rPr>
          <w:rFonts w:ascii="Times New Roman" w:hAnsi="Times New Roman"/>
        </w:rPr>
        <w:t>8</w:t>
      </w:r>
      <w:r>
        <w:rPr>
          <w:rFonts w:ascii="Times New Roman" w:hAnsi="Times New Roman"/>
        </w:rPr>
        <w:t>0/hour = $</w:t>
      </w:r>
      <w:r w:rsidR="00F36E69">
        <w:rPr>
          <w:rFonts w:ascii="Times New Roman" w:hAnsi="Times New Roman"/>
        </w:rPr>
        <w:t>40</w:t>
      </w:r>
      <w:r w:rsidR="000E2CAB">
        <w:rPr>
          <w:rFonts w:ascii="Times New Roman" w:hAnsi="Times New Roman"/>
        </w:rPr>
        <w:t>0</w:t>
      </w:r>
      <w:r>
        <w:rPr>
          <w:rFonts w:ascii="Times New Roman" w:hAnsi="Times New Roman"/>
        </w:rPr>
        <w:t>.</w:t>
      </w:r>
      <w:r>
        <w:rPr>
          <w:rFonts w:ascii="Times New Roman" w:hAnsi="Times New Roman"/>
        </w:rPr>
        <w:tab/>
      </w:r>
    </w:p>
    <w:p w:rsidR="00F65D89" w:rsidRDefault="00F65D89" w:rsidP="002746A7">
      <w:pPr>
        <w:tabs>
          <w:tab w:val="left" w:pos="240"/>
          <w:tab w:val="left" w:pos="840"/>
          <w:tab w:val="left" w:pos="1440"/>
          <w:tab w:val="left" w:pos="2040"/>
          <w:tab w:val="left" w:pos="2640"/>
          <w:tab w:val="left" w:pos="3240"/>
          <w:tab w:val="left" w:pos="3840"/>
          <w:tab w:val="left" w:pos="4440"/>
        </w:tabs>
        <w:ind w:firstLine="240"/>
        <w:rPr>
          <w:rFonts w:ascii="Times New Roman" w:hAnsi="Times New Roman"/>
        </w:rPr>
      </w:pPr>
    </w:p>
    <w:p w:rsidR="00F65D89" w:rsidRDefault="00F65D89">
      <w:pPr>
        <w:ind w:left="720"/>
        <w:rPr>
          <w:rFonts w:ascii="Times New Roman" w:hAnsi="Times New Roman"/>
        </w:rPr>
      </w:pPr>
    </w:p>
    <w:p w:rsidR="00F65D89" w:rsidRDefault="00F65D89">
      <w:pPr>
        <w:ind w:firstLine="600"/>
        <w:outlineLvl w:val="0"/>
        <w:rPr>
          <w:rFonts w:ascii="Times New Roman" w:hAnsi="Times New Roman"/>
          <w:u w:val="single"/>
        </w:rPr>
      </w:pPr>
      <w:r>
        <w:rPr>
          <w:rFonts w:ascii="Times New Roman" w:hAnsi="Times New Roman"/>
        </w:rPr>
        <w:t>13.</w:t>
      </w:r>
      <w:r>
        <w:rPr>
          <w:rFonts w:ascii="Times New Roman" w:hAnsi="Times New Roman"/>
        </w:rPr>
        <w:tab/>
      </w:r>
      <w:r>
        <w:rPr>
          <w:rFonts w:ascii="Times New Roman" w:hAnsi="Times New Roman"/>
          <w:u w:val="single"/>
        </w:rPr>
        <w:t>Capital, Start-Up and Maintenance Costs</w:t>
      </w:r>
    </w:p>
    <w:p w:rsidR="00F65D89" w:rsidRDefault="00F65D89">
      <w:pPr>
        <w:rPr>
          <w:rFonts w:ascii="Times New Roman" w:hAnsi="Times New Roman"/>
          <w:u w:val="single"/>
        </w:rPr>
      </w:pPr>
    </w:p>
    <w:p w:rsidR="00F65D89" w:rsidRDefault="00F65D89" w:rsidP="002746A7">
      <w:pPr>
        <w:outlineLvl w:val="0"/>
        <w:rPr>
          <w:rFonts w:ascii="Times New Roman" w:hAnsi="Times New Roman"/>
        </w:rPr>
      </w:pPr>
      <w:r>
        <w:rPr>
          <w:rFonts w:ascii="Times New Roman" w:hAnsi="Times New Roman"/>
        </w:rPr>
        <w:t>Not applicable.</w:t>
      </w:r>
    </w:p>
    <w:p w:rsidR="00F65D89" w:rsidRDefault="00F65D89">
      <w:pPr>
        <w:rPr>
          <w:rFonts w:ascii="Times New Roman" w:hAnsi="Times New Roman"/>
        </w:rPr>
      </w:pPr>
    </w:p>
    <w:p w:rsidR="00F65D89" w:rsidRDefault="00F65D89">
      <w:pPr>
        <w:ind w:firstLine="600"/>
        <w:outlineLvl w:val="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Estimated Annual Cost to the Federal Government</w:t>
      </w:r>
    </w:p>
    <w:p w:rsidR="00F65D89" w:rsidRDefault="00F65D89">
      <w:pPr>
        <w:rPr>
          <w:rFonts w:ascii="Times New Roman" w:hAnsi="Times New Roman"/>
        </w:rPr>
      </w:pPr>
    </w:p>
    <w:p w:rsidR="001D6A7A" w:rsidRPr="001D6A7A" w:rsidRDefault="001D6A7A" w:rsidP="001D6A7A">
      <w:pPr>
        <w:snapToGrid w:val="0"/>
        <w:rPr>
          <w:rFonts w:ascii="Times New Roman" w:hAnsi="Times New Roman"/>
          <w:snapToGrid/>
        </w:rPr>
      </w:pPr>
      <w:r>
        <w:rPr>
          <w:rFonts w:ascii="Times New Roman" w:hAnsi="Times New Roman"/>
          <w:snapToGrid/>
        </w:rPr>
        <w:t>10</w:t>
      </w:r>
      <w:r w:rsidRPr="001D6A7A">
        <w:rPr>
          <w:rFonts w:ascii="Times New Roman" w:hAnsi="Times New Roman"/>
          <w:snapToGrid/>
        </w:rPr>
        <w:t xml:space="preserve"> responses x ½ </w:t>
      </w:r>
      <w:proofErr w:type="spellStart"/>
      <w:r w:rsidRPr="001D6A7A">
        <w:rPr>
          <w:rFonts w:ascii="Times New Roman" w:hAnsi="Times New Roman"/>
          <w:snapToGrid/>
        </w:rPr>
        <w:t>hr</w:t>
      </w:r>
      <w:proofErr w:type="spellEnd"/>
      <w:r w:rsidRPr="001D6A7A">
        <w:rPr>
          <w:rFonts w:ascii="Times New Roman" w:hAnsi="Times New Roman"/>
          <w:snapToGrid/>
        </w:rPr>
        <w:t xml:space="preserve"> re</w:t>
      </w:r>
      <w:r w:rsidR="00BC2754">
        <w:rPr>
          <w:rFonts w:ascii="Times New Roman" w:hAnsi="Times New Roman"/>
          <w:snapToGrid/>
        </w:rPr>
        <w:t>view time</w:t>
      </w:r>
      <w:r w:rsidRPr="001D6A7A">
        <w:rPr>
          <w:rFonts w:ascii="Times New Roman" w:hAnsi="Times New Roman"/>
          <w:snapToGrid/>
        </w:rPr>
        <w:t xml:space="preserve"> = </w:t>
      </w:r>
      <w:r>
        <w:rPr>
          <w:rFonts w:ascii="Times New Roman" w:hAnsi="Times New Roman"/>
          <w:snapToGrid/>
        </w:rPr>
        <w:t>5</w:t>
      </w:r>
      <w:r w:rsidRPr="001D6A7A">
        <w:rPr>
          <w:rFonts w:ascii="Times New Roman" w:hAnsi="Times New Roman"/>
          <w:snapToGrid/>
        </w:rPr>
        <w:t xml:space="preserve"> hours x $</w:t>
      </w:r>
      <w:r w:rsidR="00BC2754">
        <w:rPr>
          <w:rFonts w:ascii="Times New Roman" w:hAnsi="Times New Roman"/>
          <w:snapToGrid/>
        </w:rPr>
        <w:t>95</w:t>
      </w:r>
      <w:r w:rsidRPr="001D6A7A">
        <w:rPr>
          <w:rFonts w:ascii="Times New Roman" w:hAnsi="Times New Roman"/>
          <w:snapToGrid/>
        </w:rPr>
        <w:t>/</w:t>
      </w:r>
      <w:proofErr w:type="spellStart"/>
      <w:r w:rsidRPr="001D6A7A">
        <w:rPr>
          <w:rFonts w:ascii="Times New Roman" w:hAnsi="Times New Roman"/>
          <w:snapToGrid/>
        </w:rPr>
        <w:t>hr</w:t>
      </w:r>
      <w:proofErr w:type="spellEnd"/>
      <w:r w:rsidRPr="001D6A7A">
        <w:rPr>
          <w:rFonts w:ascii="Times New Roman" w:hAnsi="Times New Roman"/>
          <w:snapToGrid/>
        </w:rPr>
        <w:t xml:space="preserve"> = $</w:t>
      </w:r>
      <w:r w:rsidR="00BC2754">
        <w:rPr>
          <w:rFonts w:ascii="Times New Roman" w:hAnsi="Times New Roman"/>
          <w:snapToGrid/>
        </w:rPr>
        <w:t>475</w:t>
      </w:r>
    </w:p>
    <w:p w:rsidR="001D6A7A" w:rsidRPr="001D6A7A" w:rsidRDefault="001D6A7A" w:rsidP="001D6A7A">
      <w:pPr>
        <w:snapToGrid w:val="0"/>
        <w:rPr>
          <w:rFonts w:ascii="Times New Roman" w:hAnsi="Times New Roman"/>
          <w:snapToGrid/>
        </w:rPr>
      </w:pPr>
      <w:r w:rsidRPr="001D6A7A">
        <w:rPr>
          <w:rFonts w:ascii="Times New Roman" w:hAnsi="Times New Roman"/>
          <w:snapToGrid/>
        </w:rPr>
        <w:t>(Note: this is not an increased cost to the government; it is included in salary expenses for staff that are already on board.)</w:t>
      </w:r>
    </w:p>
    <w:p w:rsidR="001D6A7A" w:rsidRDefault="001D6A7A" w:rsidP="001D6A7A">
      <w:pPr>
        <w:outlineLvl w:val="0"/>
        <w:rPr>
          <w:rFonts w:ascii="Times New Roman" w:hAnsi="Times New Roman"/>
        </w:rPr>
      </w:pPr>
    </w:p>
    <w:p w:rsidR="00F65D89" w:rsidRDefault="00F65D89">
      <w:pPr>
        <w:rPr>
          <w:rFonts w:ascii="Times New Roman" w:hAnsi="Times New Roman"/>
        </w:rPr>
      </w:pPr>
    </w:p>
    <w:p w:rsidR="00F65D89" w:rsidRDefault="00F65D89">
      <w:pPr>
        <w:ind w:firstLine="600"/>
        <w:outlineLvl w:val="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Reason for Change in Burden</w:t>
      </w:r>
    </w:p>
    <w:p w:rsidR="00F65D89" w:rsidRDefault="00F65D89">
      <w:pPr>
        <w:rPr>
          <w:rFonts w:ascii="Times New Roman" w:hAnsi="Times New Roman"/>
        </w:rPr>
      </w:pPr>
      <w:r>
        <w:rPr>
          <w:rFonts w:ascii="Times New Roman" w:hAnsi="Times New Roman"/>
        </w:rPr>
        <w:tab/>
      </w:r>
      <w:r>
        <w:rPr>
          <w:rFonts w:ascii="Times New Roman" w:hAnsi="Times New Roman"/>
        </w:rPr>
        <w:tab/>
      </w:r>
    </w:p>
    <w:p w:rsidR="000E2CAB" w:rsidRDefault="00A11BF4" w:rsidP="000E2CAB">
      <w:pPr>
        <w:outlineLvl w:val="0"/>
        <w:rPr>
          <w:rFonts w:ascii="Times New Roman" w:hAnsi="Times New Roman"/>
        </w:rPr>
      </w:pPr>
      <w:r>
        <w:rPr>
          <w:rFonts w:ascii="Times New Roman" w:hAnsi="Times New Roman"/>
        </w:rPr>
        <w:t>This is a new information collection.</w:t>
      </w:r>
    </w:p>
    <w:p w:rsidR="00F65D89" w:rsidRDefault="00F65D89">
      <w:pPr>
        <w:rPr>
          <w:rFonts w:ascii="Times New Roman" w:hAnsi="Times New Roman"/>
        </w:rPr>
      </w:pPr>
    </w:p>
    <w:p w:rsidR="00F65D89" w:rsidRDefault="00F65D89">
      <w:pPr>
        <w:outlineLvl w:val="0"/>
        <w:rPr>
          <w:rFonts w:ascii="Times New Roman" w:hAnsi="Times New Roman"/>
        </w:rPr>
      </w:pPr>
      <w:r>
        <w:rPr>
          <w:rFonts w:ascii="Times New Roman" w:hAnsi="Times New Roman"/>
        </w:rPr>
        <w:t xml:space="preserve">          16.</w:t>
      </w:r>
      <w:r>
        <w:rPr>
          <w:rFonts w:ascii="Times New Roman" w:hAnsi="Times New Roman"/>
        </w:rPr>
        <w:tab/>
      </w:r>
      <w:r>
        <w:rPr>
          <w:rFonts w:ascii="Times New Roman" w:hAnsi="Times New Roman"/>
          <w:u w:val="single"/>
        </w:rPr>
        <w:t>Publication.</w:t>
      </w:r>
    </w:p>
    <w:p w:rsidR="00F65D89" w:rsidRDefault="00F65D89">
      <w:pPr>
        <w:ind w:left="240"/>
        <w:rPr>
          <w:rFonts w:ascii="Times New Roman" w:hAnsi="Times New Roman"/>
        </w:rPr>
      </w:pPr>
    </w:p>
    <w:p w:rsidR="00F65D89" w:rsidRDefault="00F65D89" w:rsidP="002746A7">
      <w:pPr>
        <w:outlineLvl w:val="0"/>
        <w:rPr>
          <w:rFonts w:ascii="Times New Roman" w:hAnsi="Times New Roman"/>
        </w:rPr>
      </w:pPr>
      <w:r>
        <w:rPr>
          <w:rFonts w:ascii="Times New Roman" w:hAnsi="Times New Roman"/>
        </w:rPr>
        <w:t>Not applicable.</w:t>
      </w:r>
    </w:p>
    <w:p w:rsidR="00F65D89" w:rsidRDefault="00F65D89">
      <w:pPr>
        <w:rPr>
          <w:rFonts w:ascii="Times New Roman" w:hAnsi="Times New Roman"/>
        </w:rPr>
      </w:pPr>
    </w:p>
    <w:p w:rsidR="00F65D89" w:rsidRDefault="00F65D89">
      <w:pPr>
        <w:outlineLvl w:val="0"/>
        <w:rPr>
          <w:rFonts w:ascii="Times New Roman" w:hAnsi="Times New Roman"/>
        </w:rPr>
      </w:pPr>
      <w:r>
        <w:rPr>
          <w:rFonts w:ascii="Times New Roman" w:hAnsi="Times New Roman"/>
        </w:rPr>
        <w:t xml:space="preserve">          17.</w:t>
      </w:r>
      <w:r>
        <w:rPr>
          <w:rFonts w:ascii="Times New Roman" w:hAnsi="Times New Roman"/>
        </w:rPr>
        <w:tab/>
      </w:r>
      <w:r>
        <w:rPr>
          <w:rFonts w:ascii="Times New Roman" w:hAnsi="Times New Roman"/>
          <w:u w:val="single"/>
        </w:rPr>
        <w:t>Display of Expiration Dates</w:t>
      </w:r>
    </w:p>
    <w:p w:rsidR="00F65D89" w:rsidRDefault="00F65D89">
      <w:pPr>
        <w:rPr>
          <w:rFonts w:ascii="Times New Roman" w:hAnsi="Times New Roman"/>
        </w:rPr>
      </w:pPr>
    </w:p>
    <w:p w:rsidR="00F65D89" w:rsidRDefault="00F65D89" w:rsidP="002746A7">
      <w:pPr>
        <w:rPr>
          <w:rFonts w:ascii="Times New Roman" w:hAnsi="Times New Roman"/>
        </w:rPr>
      </w:pPr>
      <w:r>
        <w:rPr>
          <w:rFonts w:ascii="Times New Roman" w:hAnsi="Times New Roman"/>
        </w:rPr>
        <w:t>The expiration date</w:t>
      </w:r>
      <w:r w:rsidR="00D56E75">
        <w:rPr>
          <w:rFonts w:ascii="Times New Roman" w:hAnsi="Times New Roman"/>
        </w:rPr>
        <w:t xml:space="preserve"> will be</w:t>
      </w:r>
      <w:r>
        <w:rPr>
          <w:rFonts w:ascii="Times New Roman" w:hAnsi="Times New Roman"/>
        </w:rPr>
        <w:t xml:space="preserve"> displayed on the form.</w:t>
      </w:r>
    </w:p>
    <w:p w:rsidR="00F65D89" w:rsidRDefault="00F65D89">
      <w:pPr>
        <w:rPr>
          <w:rFonts w:ascii="Times New Roman" w:hAnsi="Times New Roman"/>
        </w:rPr>
      </w:pPr>
    </w:p>
    <w:p w:rsidR="00F65D89" w:rsidRDefault="00F65D89">
      <w:pPr>
        <w:ind w:firstLine="600"/>
        <w:outlineLvl w:val="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Certification</w:t>
      </w:r>
    </w:p>
    <w:p w:rsidR="00F65D89" w:rsidRDefault="00F65D89">
      <w:pPr>
        <w:ind w:left="600" w:firstLine="120"/>
        <w:rPr>
          <w:rFonts w:ascii="Times New Roman" w:hAnsi="Times New Roman"/>
        </w:rPr>
      </w:pPr>
    </w:p>
    <w:p w:rsidR="00F65D89" w:rsidRDefault="00F65D89" w:rsidP="002746A7">
      <w:pPr>
        <w:rPr>
          <w:rFonts w:ascii="Times New Roman" w:hAnsi="Times New Roman"/>
        </w:rPr>
      </w:pPr>
      <w:proofErr w:type="gramStart"/>
      <w:r>
        <w:rPr>
          <w:rFonts w:ascii="Times New Roman" w:hAnsi="Times New Roman"/>
        </w:rPr>
        <w:t>None.</w:t>
      </w:r>
      <w:proofErr w:type="gramEnd"/>
    </w:p>
    <w:p w:rsidR="00F65D89" w:rsidRDefault="00F65D89">
      <w:pPr>
        <w:ind w:left="600" w:firstLine="840"/>
        <w:rPr>
          <w:rFonts w:ascii="Times New Roman" w:hAnsi="Times New Roman"/>
        </w:rPr>
      </w:pPr>
    </w:p>
    <w:p w:rsidR="00F65D89" w:rsidRDefault="00F65D89">
      <w:pPr>
        <w:ind w:left="600" w:firstLine="840"/>
        <w:rPr>
          <w:rFonts w:ascii="Times New Roman" w:hAnsi="Times New Roman"/>
        </w:rPr>
      </w:pPr>
    </w:p>
    <w:p w:rsidR="00F65D89" w:rsidRDefault="00F65D89">
      <w:pPr>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Statistical Methods</w:t>
      </w:r>
    </w:p>
    <w:p w:rsidR="00F65D89" w:rsidRDefault="00F65D89">
      <w:pPr>
        <w:rPr>
          <w:rFonts w:ascii="Times New Roman" w:hAnsi="Times New Roman"/>
        </w:rPr>
      </w:pPr>
    </w:p>
    <w:p w:rsidR="00F65D89" w:rsidRDefault="00F65D89" w:rsidP="002746A7">
      <w:r>
        <w:rPr>
          <w:rFonts w:ascii="Times New Roman" w:hAnsi="Times New Roman"/>
        </w:rPr>
        <w:t>Not applicable.</w:t>
      </w:r>
    </w:p>
    <w:sectPr w:rsidR="00F65D8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138" w:rsidRDefault="00F24138">
      <w:r>
        <w:separator/>
      </w:r>
    </w:p>
  </w:endnote>
  <w:endnote w:type="continuationSeparator" w:id="0">
    <w:p w:rsidR="00F24138" w:rsidRDefault="00F2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PS MT">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138" w:rsidRDefault="00F24138">
      <w:r>
        <w:separator/>
      </w:r>
    </w:p>
  </w:footnote>
  <w:footnote w:type="continuationSeparator" w:id="0">
    <w:p w:rsidR="00F24138" w:rsidRDefault="00F241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F2753"/>
    <w:multiLevelType w:val="singleLevel"/>
    <w:tmpl w:val="8A8CB01E"/>
    <w:lvl w:ilvl="0">
      <w:start w:val="2"/>
      <w:numFmt w:val="upperLetter"/>
      <w:lvlText w:val="%1."/>
      <w:lvlJc w:val="left"/>
      <w:pPr>
        <w:tabs>
          <w:tab w:val="num" w:pos="1440"/>
        </w:tabs>
        <w:ind w:left="1440" w:hanging="8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5420"/>
    <w:rsid w:val="0002185B"/>
    <w:rsid w:val="000807DA"/>
    <w:rsid w:val="000D69A4"/>
    <w:rsid w:val="000E2CAB"/>
    <w:rsid w:val="00173C46"/>
    <w:rsid w:val="0019755C"/>
    <w:rsid w:val="001B5899"/>
    <w:rsid w:val="001D6A7A"/>
    <w:rsid w:val="00245420"/>
    <w:rsid w:val="0026619C"/>
    <w:rsid w:val="002746A7"/>
    <w:rsid w:val="002E1E24"/>
    <w:rsid w:val="00386574"/>
    <w:rsid w:val="004103C1"/>
    <w:rsid w:val="004524D1"/>
    <w:rsid w:val="00495852"/>
    <w:rsid w:val="006204DC"/>
    <w:rsid w:val="00627804"/>
    <w:rsid w:val="00775C36"/>
    <w:rsid w:val="008215A8"/>
    <w:rsid w:val="00843D7B"/>
    <w:rsid w:val="008F67C4"/>
    <w:rsid w:val="0094063D"/>
    <w:rsid w:val="00A11BF4"/>
    <w:rsid w:val="00A13E1B"/>
    <w:rsid w:val="00A31A7F"/>
    <w:rsid w:val="00B2673F"/>
    <w:rsid w:val="00BC2754"/>
    <w:rsid w:val="00C57B7B"/>
    <w:rsid w:val="00C609C7"/>
    <w:rsid w:val="00C768D5"/>
    <w:rsid w:val="00C8341E"/>
    <w:rsid w:val="00CF059D"/>
    <w:rsid w:val="00D56E75"/>
    <w:rsid w:val="00D92169"/>
    <w:rsid w:val="00EB40D1"/>
    <w:rsid w:val="00EB71BF"/>
    <w:rsid w:val="00F050D3"/>
    <w:rsid w:val="00F07EEC"/>
    <w:rsid w:val="00F12213"/>
    <w:rsid w:val="00F24138"/>
    <w:rsid w:val="00F36E69"/>
    <w:rsid w:val="00F65D89"/>
    <w:rsid w:val="00F75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rPr>
  </w:style>
  <w:style w:type="paragraph" w:styleId="DocumentMap">
    <w:name w:val="Document Map"/>
    <w:basedOn w:val="Normal"/>
    <w:semiHidden/>
    <w:pPr>
      <w:shd w:val="clear" w:color="auto" w:fill="000080"/>
    </w:pPr>
    <w:rPr>
      <w:rFonts w:ascii="Tahoma" w:hAnsi="Tahoma" w:cs="Tahoma"/>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basedOn w:val="Normal"/>
    <w:rsid w:val="000807DA"/>
    <w:pPr>
      <w:widowControl/>
      <w:autoSpaceDE w:val="0"/>
      <w:autoSpaceDN w:val="0"/>
    </w:pPr>
    <w:rPr>
      <w:rFonts w:ascii="Times New Roman PS MT" w:eastAsia="Calibri" w:hAnsi="Times New Roman PS MT"/>
      <w:snapToGrid/>
      <w:color w:val="000000"/>
      <w:szCs w:val="24"/>
    </w:rPr>
  </w:style>
  <w:style w:type="character" w:styleId="CommentReference">
    <w:name w:val="annotation reference"/>
    <w:basedOn w:val="DefaultParagraphFont"/>
    <w:rsid w:val="00B2673F"/>
    <w:rPr>
      <w:sz w:val="16"/>
      <w:szCs w:val="16"/>
    </w:rPr>
  </w:style>
  <w:style w:type="paragraph" w:styleId="CommentText">
    <w:name w:val="annotation text"/>
    <w:basedOn w:val="Normal"/>
    <w:link w:val="CommentTextChar"/>
    <w:rsid w:val="00B2673F"/>
    <w:rPr>
      <w:sz w:val="20"/>
    </w:rPr>
  </w:style>
  <w:style w:type="character" w:customStyle="1" w:styleId="CommentTextChar">
    <w:name w:val="Comment Text Char"/>
    <w:basedOn w:val="DefaultParagraphFont"/>
    <w:link w:val="CommentText"/>
    <w:rsid w:val="00B2673F"/>
    <w:rPr>
      <w:rFonts w:ascii="Courier" w:hAnsi="Courier"/>
      <w:snapToGrid w:val="0"/>
    </w:rPr>
  </w:style>
  <w:style w:type="paragraph" w:styleId="CommentSubject">
    <w:name w:val="annotation subject"/>
    <w:basedOn w:val="CommentText"/>
    <w:next w:val="CommentText"/>
    <w:link w:val="CommentSubjectChar"/>
    <w:rsid w:val="00B2673F"/>
    <w:rPr>
      <w:b/>
      <w:bCs/>
    </w:rPr>
  </w:style>
  <w:style w:type="character" w:customStyle="1" w:styleId="CommentSubjectChar">
    <w:name w:val="Comment Subject Char"/>
    <w:basedOn w:val="CommentTextChar"/>
    <w:link w:val="CommentSubject"/>
    <w:rsid w:val="00B2673F"/>
    <w:rPr>
      <w:rFonts w:ascii="Courier" w:hAnsi="Courier"/>
      <w:b/>
      <w:bCs/>
      <w:snapToGrid w:val="0"/>
    </w:rPr>
  </w:style>
  <w:style w:type="paragraph" w:styleId="BalloonText">
    <w:name w:val="Balloon Text"/>
    <w:basedOn w:val="Normal"/>
    <w:link w:val="BalloonTextChar"/>
    <w:rsid w:val="00B2673F"/>
    <w:rPr>
      <w:rFonts w:ascii="Tahoma" w:hAnsi="Tahoma" w:cs="Tahoma"/>
      <w:sz w:val="16"/>
      <w:szCs w:val="16"/>
    </w:rPr>
  </w:style>
  <w:style w:type="character" w:customStyle="1" w:styleId="BalloonTextChar">
    <w:name w:val="Balloon Text Char"/>
    <w:basedOn w:val="DefaultParagraphFont"/>
    <w:link w:val="BalloonText"/>
    <w:rsid w:val="00B2673F"/>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935044">
      <w:bodyDiv w:val="1"/>
      <w:marLeft w:val="0"/>
      <w:marRight w:val="0"/>
      <w:marTop w:val="0"/>
      <w:marBottom w:val="0"/>
      <w:divBdr>
        <w:top w:val="none" w:sz="0" w:space="0" w:color="auto"/>
        <w:left w:val="none" w:sz="0" w:space="0" w:color="auto"/>
        <w:bottom w:val="none" w:sz="0" w:space="0" w:color="auto"/>
        <w:right w:val="none" w:sz="0" w:space="0" w:color="auto"/>
      </w:divBdr>
    </w:div>
    <w:div w:id="53335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3679</Characters>
  <Application>Microsoft Office Word</Application>
  <DocSecurity>2</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2012-05-02T15:17:00Z</cp:lastPrinted>
  <dcterms:created xsi:type="dcterms:W3CDTF">2013-11-06T14:52:00Z</dcterms:created>
  <dcterms:modified xsi:type="dcterms:W3CDTF">2013-11-06T14:54:00Z</dcterms:modified>
</cp:coreProperties>
</file>