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9F9" w:rsidRDefault="00FB1332" w:rsidP="00FB1332">
      <w:pPr>
        <w:jc w:val="center"/>
        <w:rPr>
          <w:b/>
        </w:rPr>
      </w:pPr>
      <w:bookmarkStart w:id="0" w:name="_GoBack"/>
      <w:bookmarkEnd w:id="0"/>
      <w:r w:rsidRPr="00FB1332">
        <w:rPr>
          <w:b/>
        </w:rPr>
        <w:t>SUPPORTING STATEMENT</w:t>
      </w:r>
    </w:p>
    <w:p w:rsidR="00FB1332" w:rsidRDefault="00FB1332" w:rsidP="00FB1332"/>
    <w:p w:rsidR="00FB1332" w:rsidRPr="00FC3BB8" w:rsidRDefault="00EE79A1" w:rsidP="00FB1332">
      <w:r>
        <w:rPr>
          <w:noProof/>
        </w:rPr>
        <mc:AlternateContent>
          <mc:Choice Requires="wps">
            <w:drawing>
              <wp:anchor distT="0" distB="0" distL="114300" distR="114300" simplePos="0" relativeHeight="251659264" behindDoc="0" locked="0" layoutInCell="1" allowOverlap="1">
                <wp:simplePos x="0" y="0"/>
                <wp:positionH relativeFrom="column">
                  <wp:posOffset>3881120</wp:posOffset>
                </wp:positionH>
                <wp:positionV relativeFrom="paragraph">
                  <wp:posOffset>30480</wp:posOffset>
                </wp:positionV>
                <wp:extent cx="81280" cy="822960"/>
                <wp:effectExtent l="0" t="0" r="13970"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822960"/>
                        </a:xfrm>
                        <a:prstGeom prst="rightBrace">
                          <a:avLst>
                            <a:gd name="adj1" fmla="val 99609"/>
                            <a:gd name="adj2" fmla="val 422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305.6pt;margin-top:2.4pt;width:6.4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" adj="2125,9134"/>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2547620</wp:posOffset>
                </wp:positionH>
                <wp:positionV relativeFrom="paragraph">
                  <wp:posOffset>30480</wp:posOffset>
                </wp:positionV>
                <wp:extent cx="90805" cy="485775"/>
                <wp:effectExtent l="0" t="0" r="2349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5775"/>
                        </a:xfrm>
                        <a:prstGeom prst="rightBrace">
                          <a:avLst>
                            <a:gd name="adj1" fmla="val 445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88" style="position:absolute;margin-left:200.6pt;margin-top:2.4pt;width:7.1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"/>
            </w:pict>
          </mc:Fallback>
        </mc:AlternateContent>
      </w:r>
      <w:r w:rsidR="00FB1332">
        <w:t>SBA Form 2181: Applicant Narrative</w:t>
      </w:r>
      <w:r w:rsidR="00FB1332">
        <w:tab/>
      </w:r>
      <w:r w:rsidR="00FB1332" w:rsidRPr="00FC3BB8">
        <w:t>Management</w:t>
      </w:r>
      <w:r w:rsidR="00FB1332" w:rsidRPr="00FC3BB8">
        <w:tab/>
      </w:r>
    </w:p>
    <w:p w:rsidR="00FB1332" w:rsidRPr="00FC3BB8" w:rsidRDefault="00FB1332" w:rsidP="00FB1332">
      <w:r w:rsidRPr="00FC3BB8">
        <w:t>SBA Form 2181: Excel Supplement</w:t>
      </w:r>
      <w:r w:rsidRPr="00FC3BB8">
        <w:tab/>
      </w:r>
      <w:r w:rsidRPr="00FC3BB8">
        <w:tab/>
        <w:t>Assessment</w:t>
      </w:r>
    </w:p>
    <w:p w:rsidR="00FB1332" w:rsidRDefault="00FB1332" w:rsidP="00FB1332">
      <w:pPr>
        <w:spacing w:after="240"/>
      </w:pPr>
      <w:r w:rsidRPr="00FC3BB8">
        <w:t>SBA Form 2182: Principal Exhibits</w:t>
      </w:r>
      <w:r w:rsidRPr="00FC3BB8">
        <w:tab/>
      </w:r>
      <w:r w:rsidRPr="00FC3BB8">
        <w:tab/>
        <w:t>Questionnaire</w:t>
      </w:r>
      <w:r>
        <w:tab/>
      </w:r>
      <w:r>
        <w:tab/>
        <w:t>License Application</w:t>
      </w:r>
    </w:p>
    <w:p w:rsidR="00FB1332" w:rsidRDefault="00FB1332" w:rsidP="00FB1332">
      <w:r>
        <w:t>SBA Form 2183: Fund Exhibits</w:t>
      </w:r>
      <w:r>
        <w:tab/>
      </w:r>
      <w:r>
        <w:tab/>
      </w:r>
      <w:r>
        <w:tab/>
      </w:r>
      <w:r>
        <w:tab/>
      </w:r>
      <w:r>
        <w:tab/>
      </w:r>
    </w:p>
    <w:p w:rsidR="00FB1CB5" w:rsidRDefault="00FB1CB5" w:rsidP="00FB1332">
      <w:pPr>
        <w:pBdr>
          <w:bottom w:val="single" w:sz="6" w:space="1" w:color="auto"/>
        </w:pBdr>
      </w:pPr>
    </w:p>
    <w:p w:rsidR="00FB1CB5" w:rsidRDefault="00FB1CB5" w:rsidP="00FB1332"/>
    <w:p w:rsidR="00FB1CB5" w:rsidRPr="00FB1CB5" w:rsidRDefault="00FB1CB5" w:rsidP="00FB1CB5">
      <w:pPr>
        <w:numPr>
          <w:ilvl w:val="0"/>
          <w:numId w:val="2"/>
        </w:numPr>
        <w:spacing w:after="120"/>
        <w:ind w:left="360"/>
        <w:rPr>
          <w:b/>
        </w:rPr>
      </w:pPr>
      <w:r w:rsidRPr="00FB1CB5">
        <w:rPr>
          <w:b/>
        </w:rPr>
        <w:t>Justification</w:t>
      </w:r>
    </w:p>
    <w:p w:rsidR="000003CB" w:rsidRDefault="00FB1CB5" w:rsidP="000003CB">
      <w:pPr>
        <w:numPr>
          <w:ilvl w:val="1"/>
          <w:numId w:val="2"/>
        </w:numPr>
        <w:spacing w:after="120"/>
        <w:ind w:left="360"/>
        <w:rPr>
          <w:u w:val="single"/>
        </w:rPr>
      </w:pPr>
      <w:r w:rsidRPr="00FB1CB5">
        <w:rPr>
          <w:u w:val="single"/>
        </w:rPr>
        <w:t>Circumstances necessitating the collection of information</w:t>
      </w:r>
      <w:r>
        <w:rPr>
          <w:u w:val="single"/>
        </w:rPr>
        <w:t>:</w:t>
      </w:r>
      <w:r>
        <w:t xml:space="preserve"> The Small Business Investment Act of 1958, as amended (the “Act”), authorizes the Small Business Administration (“SBA”) to license, regulate, and provide leverage to Small Business Investment Companies (“SBICs”) for the purpose of providing financial and management assistance to eligible small business concerns.  Section 301(c) of the Act requires that SBA consider certain factors in its evaluation of a license application, includ</w:t>
      </w:r>
      <w:r w:rsidR="00E325E0">
        <w:t>ing</w:t>
      </w:r>
      <w:r>
        <w:t xml:space="preserve"> adequate capital; diversification of ownership; whether management is qualified and has the knowledge, experience and capability necessary to com</w:t>
      </w:r>
      <w:r w:rsidR="000003CB">
        <w:t>ply with the Act; the need for and availability of financing in the applicant’s proposed service area; the general business reputation of the applicant’s owners and managers; and the probability of successful op</w:t>
      </w:r>
      <w:r w:rsidR="00295656">
        <w:t>erations.  SBA Forms 2181, 2182 and</w:t>
      </w:r>
      <w:r w:rsidR="000003CB">
        <w:t xml:space="preserve"> 2183 are the application documents used in the SBIC licensing process.</w:t>
      </w:r>
    </w:p>
    <w:p w:rsidR="000003CB" w:rsidRDefault="000003CB" w:rsidP="000003CB">
      <w:pPr>
        <w:spacing w:after="120"/>
        <w:ind w:left="360"/>
      </w:pPr>
      <w:r>
        <w:t>Form 2182, which include</w:t>
      </w:r>
      <w:r w:rsidR="004C0A6C">
        <w:t>s</w:t>
      </w:r>
      <w:r>
        <w:t xml:space="preserve"> exhibits applicable to individuals, </w:t>
      </w:r>
      <w:r w:rsidR="004C0A6C">
        <w:t>is</w:t>
      </w:r>
      <w:r>
        <w:t xml:space="preserve"> also used occasionally in connection with SBA’s evaluation of persons who wish to join the management team of an SBIC that is already licensed.  Under the Act and under 13 CFR 107.410 and 107.680, SBA has the same responsibility to review and approve the qualifications of these individuals as it does for proposed managers</w:t>
      </w:r>
      <w:r w:rsidR="006160C7">
        <w:t xml:space="preserve"> and owners</w:t>
      </w:r>
      <w:r>
        <w:t xml:space="preserve"> of new license applicants.</w:t>
      </w:r>
    </w:p>
    <w:p w:rsidR="00457E2B" w:rsidRDefault="00457E2B" w:rsidP="000003CB">
      <w:pPr>
        <w:spacing w:after="120"/>
        <w:ind w:left="360"/>
        <w:rPr>
          <w:u w:val="single"/>
        </w:rPr>
      </w:pPr>
      <w:r w:rsidRPr="00B04832">
        <w:rPr>
          <w:u w:val="single"/>
        </w:rPr>
        <w:t xml:space="preserve">SBA is proposing a number of </w:t>
      </w:r>
      <w:r w:rsidR="00A96904">
        <w:rPr>
          <w:u w:val="single"/>
        </w:rPr>
        <w:t xml:space="preserve">broad </w:t>
      </w:r>
      <w:r w:rsidRPr="00B04832">
        <w:rPr>
          <w:u w:val="single"/>
        </w:rPr>
        <w:t>changes to the forms for the following purposes:</w:t>
      </w:r>
    </w:p>
    <w:p w:rsidR="00DE4A28" w:rsidRDefault="00DE4A28" w:rsidP="001C3E42">
      <w:pPr>
        <w:numPr>
          <w:ilvl w:val="0"/>
          <w:numId w:val="3"/>
        </w:numPr>
        <w:spacing w:after="120"/>
        <w:ind w:left="720"/>
      </w:pPr>
      <w:r>
        <w:t>To facilitate the input and analysis of applicant information.  Form 2181 has been split into a narrative section (completed in Microsoft Word) and an excel supplement (completed in Microsoft Excel).  The excel supplement contains those questions in Form 2181 that request numeric or standardized entries.  The use of Excel for this type of data will facilitate applicant data entry as well as SBA analysis, ultimately yielding time savings for both parties.</w:t>
      </w:r>
    </w:p>
    <w:p w:rsidR="00015EBA" w:rsidRDefault="00015EBA" w:rsidP="001C3E42">
      <w:pPr>
        <w:numPr>
          <w:ilvl w:val="0"/>
          <w:numId w:val="3"/>
        </w:numPr>
        <w:spacing w:after="120"/>
        <w:ind w:left="720"/>
      </w:pPr>
      <w:r>
        <w:t>To rationalize the structure and formatting of the application.  The new collection of forms has been rewritten to take advantage of the formatting tools available in Microsoft Word and Excel.  The application now includes Table</w:t>
      </w:r>
      <w:r w:rsidR="00953627">
        <w:t>s</w:t>
      </w:r>
      <w:r>
        <w:t xml:space="preserve"> of Contents</w:t>
      </w:r>
      <w:r w:rsidR="00953627">
        <w:t xml:space="preserve"> that automatically-update</w:t>
      </w:r>
      <w:r>
        <w:t>,</w:t>
      </w:r>
      <w:r w:rsidR="00953627">
        <w:t xml:space="preserve"> enabling users to quickly navigate through the document.  The sequence of the forms has also been changed so that the initial phase of the application process, which uses the Management Assessment Questionnaire</w:t>
      </w:r>
      <w:r w:rsidR="00F007C0">
        <w:t xml:space="preserve"> (“MAQ”)</w:t>
      </w:r>
      <w:r w:rsidR="00953627">
        <w:t>, employs only the first two forms in the package.  The License application then</w:t>
      </w:r>
      <w:r w:rsidR="00F007C0">
        <w:t xml:space="preserve"> requires an updated MAQ</w:t>
      </w:r>
      <w:r w:rsidR="004C24F2">
        <w:t xml:space="preserve"> and </w:t>
      </w:r>
      <w:r w:rsidR="00EC0FC8">
        <w:t xml:space="preserve">one </w:t>
      </w:r>
      <w:r w:rsidR="004320B4">
        <w:t>form</w:t>
      </w:r>
      <w:r w:rsidR="004C24F2">
        <w:t>.</w:t>
      </w:r>
    </w:p>
    <w:p w:rsidR="004C24F2" w:rsidRDefault="004C24F2" w:rsidP="001C3E42">
      <w:pPr>
        <w:numPr>
          <w:ilvl w:val="0"/>
          <w:numId w:val="3"/>
        </w:numPr>
        <w:spacing w:after="120"/>
        <w:ind w:left="720"/>
      </w:pPr>
      <w:r>
        <w:t>To incorporate new elements of the SBIC Program into the application materials.  The application now recognizes two new types of applicants: Early Stage SBICs and Impact SBICs.</w:t>
      </w:r>
    </w:p>
    <w:p w:rsidR="00FE1894" w:rsidRDefault="00FE1894" w:rsidP="001C3E42">
      <w:pPr>
        <w:numPr>
          <w:ilvl w:val="0"/>
          <w:numId w:val="3"/>
        </w:numPr>
        <w:spacing w:after="120"/>
        <w:ind w:left="720"/>
      </w:pPr>
      <w:r>
        <w:lastRenderedPageBreak/>
        <w:t>To enhance the SBA underwriting process and align it with industry best practice.  The new collection of forms includes questions designed to solicit key information about the applicants and their track record.  These new elements are based on a literature review and interviews with SBA’s private sector counterparts regarding industry best practice.</w:t>
      </w:r>
    </w:p>
    <w:p w:rsidR="004C24F2" w:rsidRDefault="004C24F2" w:rsidP="001C3E42">
      <w:pPr>
        <w:numPr>
          <w:ilvl w:val="0"/>
          <w:numId w:val="3"/>
        </w:numPr>
        <w:spacing w:after="120"/>
        <w:ind w:left="720"/>
      </w:pPr>
      <w:r>
        <w:t xml:space="preserve">To make better use of time-saving technology.  </w:t>
      </w:r>
      <w:r w:rsidR="00A96904">
        <w:t>To-date, applicants have been required to submit hard copies of both their MAQ and License Application.  T</w:t>
      </w:r>
      <w:r>
        <w:t xml:space="preserve">his new collection </w:t>
      </w:r>
      <w:r w:rsidR="00A96904">
        <w:t>will require hard copy submissions for the License Application only</w:t>
      </w:r>
      <w:r>
        <w:t>.</w:t>
      </w:r>
    </w:p>
    <w:p w:rsidR="00C519CF" w:rsidRDefault="00C519CF" w:rsidP="00C519CF">
      <w:pPr>
        <w:spacing w:after="120"/>
        <w:ind w:left="360"/>
      </w:pPr>
      <w:r>
        <w:t xml:space="preserve">The </w:t>
      </w:r>
      <w:r w:rsidR="000D57E4">
        <w:t xml:space="preserve">table below lists </w:t>
      </w:r>
      <w:r>
        <w:t xml:space="preserve">the specific changes that have been made to </w:t>
      </w:r>
      <w:r w:rsidR="007452A3">
        <w:t>each form</w:t>
      </w:r>
      <w:r w:rsidR="006820BC">
        <w:t xml:space="preserve">.  </w:t>
      </w:r>
      <w:r w:rsidR="004C0A6C">
        <w:t>We have i</w:t>
      </w:r>
      <w:r w:rsidR="000D57E4">
        <w:t xml:space="preserve">dentified </w:t>
      </w:r>
      <w:r w:rsidR="006820BC">
        <w:t xml:space="preserve">(i) questions </w:t>
      </w:r>
      <w:r w:rsidR="000D57E4">
        <w:t xml:space="preserve">from the prior version </w:t>
      </w:r>
      <w:r w:rsidR="006820BC">
        <w:t>that have been consolidated</w:t>
      </w:r>
      <w:r w:rsidR="000D57E4">
        <w:t xml:space="preserve"> in the new version</w:t>
      </w:r>
      <w:r w:rsidR="006820BC">
        <w:t>, (ii) questions that have been removed</w:t>
      </w:r>
      <w:r w:rsidR="000D57E4">
        <w:t xml:space="preserve"> from the application</w:t>
      </w:r>
      <w:r w:rsidR="006820BC">
        <w:t xml:space="preserve"> and (iii) new questions/elements that have been added</w:t>
      </w:r>
      <w:r w:rsidR="000D57E4">
        <w:t xml:space="preserve"> to the application</w:t>
      </w:r>
      <w:r w:rsidR="006820BC">
        <w:t xml:space="preserve">.  </w:t>
      </w:r>
      <w:r w:rsidR="001163D2">
        <w:t>With some exceptions, t</w:t>
      </w:r>
      <w:r w:rsidR="000D57E4">
        <w:t>he table</w:t>
      </w:r>
      <w:r w:rsidR="001163D2">
        <w:t xml:space="preserve"> does not generally discuss </w:t>
      </w:r>
      <w:r w:rsidR="006820BC">
        <w:t xml:space="preserve">questions that </w:t>
      </w:r>
      <w:r w:rsidR="001163D2">
        <w:t>remain</w:t>
      </w:r>
      <w:r w:rsidR="006820BC">
        <w:t xml:space="preserve"> </w:t>
      </w:r>
      <w:r w:rsidR="001163D2">
        <w:t xml:space="preserve">unchanged but which </w:t>
      </w:r>
      <w:r w:rsidR="006820BC">
        <w:t xml:space="preserve">have been relabeled or moved to a different </w:t>
      </w:r>
      <w:r w:rsidR="001163D2">
        <w:t xml:space="preserve">section </w:t>
      </w:r>
      <w:r w:rsidR="006820BC">
        <w:t>of the application</w:t>
      </w:r>
      <w:r w:rsidR="001163D2">
        <w:t>.</w:t>
      </w:r>
      <w:r w:rsidR="00CA1D5E">
        <w:t xml:space="preserve"> (</w:t>
      </w:r>
      <w:r w:rsidR="001163D2">
        <w:t>See Attachment A for a comparison of the old application structure and the new structure</w:t>
      </w:r>
      <w:r w:rsidR="00CA1D5E">
        <w:t>)</w:t>
      </w:r>
      <w:r>
        <w: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16"/>
        <w:gridCol w:w="3383"/>
        <w:gridCol w:w="4305"/>
      </w:tblGrid>
      <w:tr w:rsidR="003D0E7C" w:rsidRPr="00D466BF" w:rsidTr="00CD529C">
        <w:trPr>
          <w:trHeight w:val="255"/>
          <w:tblHeader/>
        </w:trPr>
        <w:tc>
          <w:tcPr>
            <w:tcW w:w="955" w:type="pct"/>
            <w:shd w:val="clear" w:color="auto" w:fill="auto"/>
            <w:tcMar>
              <w:top w:w="29" w:type="dxa"/>
              <w:left w:w="72" w:type="dxa"/>
              <w:bottom w:w="29" w:type="dxa"/>
              <w:right w:w="72" w:type="dxa"/>
            </w:tcMar>
            <w:hideMark/>
          </w:tcPr>
          <w:p w:rsidR="003D0E7C" w:rsidRPr="00CD529C" w:rsidRDefault="003D0E7C" w:rsidP="00CD529C">
            <w:pPr>
              <w:rPr>
                <w:rFonts w:ascii="Arial" w:hAnsi="Arial" w:cs="Arial"/>
                <w:b/>
                <w:bCs/>
                <w:smallCaps/>
                <w:sz w:val="22"/>
                <w:szCs w:val="20"/>
              </w:rPr>
            </w:pPr>
            <w:r w:rsidRPr="00CD529C">
              <w:rPr>
                <w:rFonts w:ascii="Arial" w:hAnsi="Arial" w:cs="Arial"/>
                <w:b/>
                <w:bCs/>
                <w:smallCaps/>
                <w:sz w:val="22"/>
                <w:szCs w:val="20"/>
              </w:rPr>
              <w:t>Prior Version</w:t>
            </w:r>
          </w:p>
          <w:p w:rsidR="001163D2" w:rsidRPr="00CD529C" w:rsidRDefault="001163D2" w:rsidP="00CD529C">
            <w:pPr>
              <w:rPr>
                <w:rFonts w:ascii="Arial" w:hAnsi="Arial" w:cs="Arial"/>
                <w:b/>
                <w:bCs/>
                <w:smallCaps/>
                <w:sz w:val="22"/>
                <w:szCs w:val="20"/>
              </w:rPr>
            </w:pPr>
            <w:r w:rsidRPr="00CD529C">
              <w:rPr>
                <w:rFonts w:ascii="Arial" w:hAnsi="Arial" w:cs="Arial"/>
                <w:b/>
                <w:bCs/>
                <w:smallCaps/>
                <w:sz w:val="22"/>
                <w:szCs w:val="20"/>
              </w:rPr>
              <w:t>Section No.</w:t>
            </w:r>
          </w:p>
        </w:tc>
        <w:tc>
          <w:tcPr>
            <w:tcW w:w="1780" w:type="pct"/>
            <w:shd w:val="clear" w:color="auto" w:fill="auto"/>
            <w:tcMar>
              <w:top w:w="29" w:type="dxa"/>
              <w:left w:w="72" w:type="dxa"/>
              <w:bottom w:w="29" w:type="dxa"/>
              <w:right w:w="72" w:type="dxa"/>
            </w:tcMar>
            <w:hideMark/>
          </w:tcPr>
          <w:p w:rsidR="003D0E7C" w:rsidRPr="00CD529C" w:rsidRDefault="003D0E7C" w:rsidP="00CD529C">
            <w:pPr>
              <w:rPr>
                <w:rFonts w:ascii="Arial" w:hAnsi="Arial" w:cs="Arial"/>
                <w:b/>
                <w:bCs/>
                <w:smallCaps/>
                <w:sz w:val="22"/>
                <w:szCs w:val="20"/>
              </w:rPr>
            </w:pPr>
            <w:r w:rsidRPr="00CD529C">
              <w:rPr>
                <w:rFonts w:ascii="Arial" w:hAnsi="Arial" w:cs="Arial"/>
                <w:b/>
                <w:bCs/>
                <w:smallCaps/>
                <w:sz w:val="22"/>
                <w:szCs w:val="20"/>
              </w:rPr>
              <w:t>New Version</w:t>
            </w:r>
          </w:p>
          <w:p w:rsidR="001163D2" w:rsidRPr="00CD529C" w:rsidRDefault="001163D2" w:rsidP="00CD529C">
            <w:pPr>
              <w:rPr>
                <w:rFonts w:ascii="Arial" w:hAnsi="Arial" w:cs="Arial"/>
                <w:b/>
                <w:bCs/>
                <w:smallCaps/>
                <w:sz w:val="22"/>
                <w:szCs w:val="20"/>
              </w:rPr>
            </w:pPr>
            <w:r w:rsidRPr="00CD529C">
              <w:rPr>
                <w:rFonts w:ascii="Arial" w:hAnsi="Arial" w:cs="Arial"/>
                <w:b/>
                <w:bCs/>
                <w:smallCaps/>
                <w:sz w:val="22"/>
                <w:szCs w:val="20"/>
              </w:rPr>
              <w:t>Section Number &amp; Name</w:t>
            </w:r>
          </w:p>
        </w:tc>
        <w:tc>
          <w:tcPr>
            <w:tcW w:w="2265" w:type="pct"/>
            <w:shd w:val="clear" w:color="auto" w:fill="auto"/>
            <w:tcMar>
              <w:top w:w="29" w:type="dxa"/>
              <w:left w:w="72" w:type="dxa"/>
              <w:bottom w:w="29" w:type="dxa"/>
              <w:right w:w="72" w:type="dxa"/>
            </w:tcMar>
            <w:hideMark/>
          </w:tcPr>
          <w:p w:rsidR="003D0E7C" w:rsidRPr="00CD529C" w:rsidRDefault="003D0E7C" w:rsidP="00CD529C">
            <w:pPr>
              <w:rPr>
                <w:rFonts w:ascii="Arial" w:hAnsi="Arial" w:cs="Arial"/>
                <w:b/>
                <w:bCs/>
                <w:smallCaps/>
                <w:sz w:val="22"/>
                <w:szCs w:val="20"/>
              </w:rPr>
            </w:pPr>
            <w:r w:rsidRPr="00CD529C">
              <w:rPr>
                <w:rFonts w:ascii="Arial" w:hAnsi="Arial" w:cs="Arial"/>
                <w:b/>
                <w:bCs/>
                <w:smallCaps/>
                <w:sz w:val="22"/>
                <w:szCs w:val="20"/>
              </w:rPr>
              <w:t>Justification</w:t>
            </w:r>
          </w:p>
        </w:tc>
      </w:tr>
      <w:tr w:rsidR="003D0E7C" w:rsidTr="00CD529C">
        <w:trPr>
          <w:trHeight w:val="834"/>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Various Instruction Pages</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Application Instructions: Form 2181, 2182 and 2183</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While the forms and exhibits still contain specific instructions, a new consolidated instructions document has been created for easy reference.</w:t>
            </w:r>
          </w:p>
        </w:tc>
      </w:tr>
      <w:tr w:rsidR="001163D2" w:rsidTr="00CD529C">
        <w:trPr>
          <w:trHeight w:val="510"/>
        </w:trPr>
        <w:tc>
          <w:tcPr>
            <w:tcW w:w="955" w:type="pct"/>
            <w:tcBorders>
              <w:bottom w:val="single" w:sz="12" w:space="0" w:color="auto"/>
            </w:tcBorders>
            <w:shd w:val="clear" w:color="auto" w:fill="auto"/>
            <w:tcMar>
              <w:top w:w="29" w:type="dxa"/>
              <w:left w:w="72" w:type="dxa"/>
              <w:bottom w:w="29" w:type="dxa"/>
              <w:right w:w="72" w:type="dxa"/>
            </w:tcMar>
          </w:tcPr>
          <w:p w:rsidR="001163D2" w:rsidRDefault="001163D2" w:rsidP="00CD529C">
            <w:pPr>
              <w:rPr>
                <w:rFonts w:ascii="Arial" w:hAnsi="Arial" w:cs="Arial"/>
                <w:b/>
                <w:bCs/>
                <w:color w:val="000000"/>
                <w:sz w:val="20"/>
                <w:szCs w:val="20"/>
              </w:rPr>
            </w:pPr>
          </w:p>
        </w:tc>
        <w:tc>
          <w:tcPr>
            <w:tcW w:w="1780" w:type="pct"/>
            <w:tcBorders>
              <w:bottom w:val="single" w:sz="12" w:space="0" w:color="auto"/>
            </w:tcBorders>
            <w:shd w:val="clear" w:color="auto" w:fill="auto"/>
            <w:tcMar>
              <w:top w:w="29" w:type="dxa"/>
              <w:left w:w="72" w:type="dxa"/>
              <w:bottom w:w="29" w:type="dxa"/>
              <w:right w:w="72" w:type="dxa"/>
            </w:tcMar>
          </w:tcPr>
          <w:p w:rsidR="001163D2" w:rsidRDefault="001163D2" w:rsidP="00CD529C">
            <w:pPr>
              <w:rPr>
                <w:rFonts w:ascii="Arial" w:hAnsi="Arial" w:cs="Arial"/>
                <w:b/>
                <w:bCs/>
                <w:color w:val="000000"/>
                <w:sz w:val="20"/>
                <w:szCs w:val="20"/>
              </w:rPr>
            </w:pPr>
          </w:p>
        </w:tc>
        <w:tc>
          <w:tcPr>
            <w:tcW w:w="2265" w:type="pct"/>
            <w:tcBorders>
              <w:bottom w:val="single" w:sz="12" w:space="0" w:color="auto"/>
            </w:tcBorders>
            <w:shd w:val="clear" w:color="auto" w:fill="auto"/>
            <w:tcMar>
              <w:top w:w="29" w:type="dxa"/>
              <w:left w:w="72" w:type="dxa"/>
              <w:bottom w:w="29" w:type="dxa"/>
              <w:right w:w="72" w:type="dxa"/>
            </w:tcMar>
          </w:tcPr>
          <w:p w:rsidR="001163D2" w:rsidRDefault="001163D2" w:rsidP="00CD529C">
            <w:pPr>
              <w:rPr>
                <w:rFonts w:ascii="Arial" w:hAnsi="Arial" w:cs="Arial"/>
                <w:color w:val="000000"/>
                <w:sz w:val="20"/>
                <w:szCs w:val="20"/>
              </w:rPr>
            </w:pPr>
          </w:p>
        </w:tc>
      </w:tr>
      <w:tr w:rsidR="003D0E7C" w:rsidTr="00CD529C">
        <w:trPr>
          <w:trHeight w:val="510"/>
        </w:trPr>
        <w:tc>
          <w:tcPr>
            <w:tcW w:w="955" w:type="pct"/>
            <w:tcBorders>
              <w:top w:val="single" w:sz="12" w:space="0" w:color="auto"/>
              <w:bottom w:val="single" w:sz="12" w:space="0" w:color="auto"/>
            </w:tcBorders>
            <w:shd w:val="clear" w:color="auto" w:fill="auto"/>
            <w:tcMar>
              <w:top w:w="29" w:type="dxa"/>
              <w:left w:w="72" w:type="dxa"/>
              <w:bottom w:w="29" w:type="dxa"/>
              <w:right w:w="72" w:type="dxa"/>
            </w:tcMar>
            <w:hideMark/>
          </w:tcPr>
          <w:p w:rsidR="003D0E7C" w:rsidRDefault="003D0E7C" w:rsidP="00CD529C">
            <w:pPr>
              <w:rPr>
                <w:rFonts w:ascii="Arial" w:hAnsi="Arial" w:cs="Arial"/>
                <w:b/>
                <w:bCs/>
                <w:color w:val="000000"/>
                <w:sz w:val="20"/>
                <w:szCs w:val="20"/>
              </w:rPr>
            </w:pPr>
            <w:r>
              <w:rPr>
                <w:rFonts w:ascii="Arial" w:hAnsi="Arial" w:cs="Arial"/>
                <w:b/>
                <w:bCs/>
                <w:color w:val="000000"/>
                <w:sz w:val="20"/>
                <w:szCs w:val="20"/>
              </w:rPr>
              <w:t>Form 2181</w:t>
            </w:r>
          </w:p>
        </w:tc>
        <w:tc>
          <w:tcPr>
            <w:tcW w:w="1780" w:type="pct"/>
            <w:tcBorders>
              <w:top w:val="single" w:sz="12" w:space="0" w:color="auto"/>
              <w:bottom w:val="single" w:sz="12" w:space="0" w:color="auto"/>
            </w:tcBorders>
            <w:shd w:val="clear" w:color="auto" w:fill="auto"/>
            <w:tcMar>
              <w:top w:w="29" w:type="dxa"/>
              <w:left w:w="72" w:type="dxa"/>
              <w:bottom w:w="29" w:type="dxa"/>
              <w:right w:w="72" w:type="dxa"/>
            </w:tcMar>
            <w:hideMark/>
          </w:tcPr>
          <w:p w:rsidR="003D0E7C" w:rsidRDefault="003D0E7C" w:rsidP="00CD529C">
            <w:pPr>
              <w:rPr>
                <w:rFonts w:ascii="Arial" w:hAnsi="Arial" w:cs="Arial"/>
                <w:b/>
                <w:bCs/>
                <w:color w:val="000000"/>
                <w:sz w:val="20"/>
                <w:szCs w:val="20"/>
              </w:rPr>
            </w:pPr>
            <w:r>
              <w:rPr>
                <w:rFonts w:ascii="Arial" w:hAnsi="Arial" w:cs="Arial"/>
                <w:b/>
                <w:bCs/>
                <w:color w:val="000000"/>
                <w:sz w:val="20"/>
                <w:szCs w:val="20"/>
              </w:rPr>
              <w:t>Form 2181: Applicant Narrative &amp; Form 2181: Excel Supplement</w:t>
            </w:r>
          </w:p>
        </w:tc>
        <w:tc>
          <w:tcPr>
            <w:tcW w:w="2265" w:type="pct"/>
            <w:tcBorders>
              <w:top w:val="single" w:sz="12" w:space="0" w:color="auto"/>
              <w:bottom w:val="single" w:sz="12" w:space="0" w:color="auto"/>
            </w:tcBorders>
            <w:shd w:val="clear" w:color="auto" w:fill="auto"/>
            <w:tcMar>
              <w:top w:w="29" w:type="dxa"/>
              <w:left w:w="72" w:type="dxa"/>
              <w:bottom w:w="29" w:type="dxa"/>
              <w:right w:w="72" w:type="dxa"/>
            </w:tcMar>
            <w:hideMark/>
          </w:tcPr>
          <w:p w:rsidR="003D0E7C" w:rsidRDefault="001163D2" w:rsidP="00CD529C">
            <w:pPr>
              <w:rPr>
                <w:rFonts w:ascii="Arial" w:hAnsi="Arial" w:cs="Arial"/>
                <w:color w:val="000000"/>
                <w:sz w:val="20"/>
                <w:szCs w:val="20"/>
              </w:rPr>
            </w:pPr>
            <w:r>
              <w:rPr>
                <w:rFonts w:ascii="Arial" w:hAnsi="Arial" w:cs="Arial"/>
                <w:color w:val="000000"/>
                <w:sz w:val="20"/>
                <w:szCs w:val="20"/>
              </w:rPr>
              <w:t>To facilitate data entry and analysis, the tables used in the prior version of Form 2181 have been moved to Form 2181: Excel Supplement</w:t>
            </w:r>
          </w:p>
        </w:tc>
      </w:tr>
      <w:tr w:rsidR="003D0E7C" w:rsidTr="00CD529C">
        <w:trPr>
          <w:trHeight w:val="726"/>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Page 1: Cover</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Page 1: Cover (New Fields)</w:t>
            </w:r>
            <w:r>
              <w:rPr>
                <w:rFonts w:ascii="Arial" w:hAnsi="Arial" w:cs="Arial"/>
                <w:color w:val="000000"/>
                <w:sz w:val="20"/>
                <w:szCs w:val="20"/>
              </w:rPr>
              <w:br/>
              <w:t>- Application Type</w:t>
            </w:r>
            <w:r>
              <w:rPr>
                <w:rFonts w:ascii="Arial" w:hAnsi="Arial" w:cs="Arial"/>
                <w:color w:val="000000"/>
                <w:sz w:val="20"/>
                <w:szCs w:val="20"/>
              </w:rPr>
              <w:br/>
              <w:t>- Leverage Request</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These new fields will help ensure the applicant considers the specific program for which it is applying and will serve as a quick reference for SBA analysts</w:t>
            </w:r>
            <w:r w:rsidR="006F1682">
              <w:rPr>
                <w:rFonts w:ascii="Arial" w:hAnsi="Arial" w:cs="Arial"/>
                <w:color w:val="000000"/>
                <w:sz w:val="20"/>
                <w:szCs w:val="20"/>
              </w:rPr>
              <w:t>.</w:t>
            </w:r>
          </w:p>
        </w:tc>
      </w:tr>
      <w:tr w:rsidR="003D0E7C" w:rsidTr="00CD529C">
        <w:trPr>
          <w:trHeight w:val="51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103.1</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REMOVED</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Question remov</w:t>
            </w:r>
            <w:r w:rsidR="001163D2">
              <w:rPr>
                <w:rFonts w:ascii="Arial" w:hAnsi="Arial" w:cs="Arial"/>
                <w:color w:val="000000"/>
                <w:sz w:val="20"/>
                <w:szCs w:val="20"/>
              </w:rPr>
              <w:t>ed.  The information obtained has been</w:t>
            </w:r>
            <w:r>
              <w:rPr>
                <w:rFonts w:ascii="Arial" w:hAnsi="Arial" w:cs="Arial"/>
                <w:color w:val="000000"/>
                <w:sz w:val="20"/>
                <w:szCs w:val="20"/>
              </w:rPr>
              <w:t xml:space="preserve"> of limited value.</w:t>
            </w:r>
          </w:p>
        </w:tc>
      </w:tr>
      <w:tr w:rsidR="003D0E7C" w:rsidTr="00CD529C">
        <w:trPr>
          <w:trHeight w:val="51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103.2</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REMOVED</w:t>
            </w:r>
          </w:p>
        </w:tc>
        <w:tc>
          <w:tcPr>
            <w:tcW w:w="2265" w:type="pct"/>
            <w:shd w:val="clear" w:color="auto" w:fill="auto"/>
            <w:tcMar>
              <w:top w:w="29" w:type="dxa"/>
              <w:left w:w="72" w:type="dxa"/>
              <w:bottom w:w="29" w:type="dxa"/>
              <w:right w:w="72" w:type="dxa"/>
            </w:tcMar>
            <w:hideMark/>
          </w:tcPr>
          <w:p w:rsidR="003D0E7C" w:rsidRDefault="001163D2" w:rsidP="00CD529C">
            <w:pPr>
              <w:rPr>
                <w:rFonts w:ascii="Arial" w:hAnsi="Arial" w:cs="Arial"/>
                <w:color w:val="000000"/>
                <w:sz w:val="20"/>
                <w:szCs w:val="20"/>
              </w:rPr>
            </w:pPr>
            <w:r>
              <w:rPr>
                <w:rFonts w:ascii="Arial" w:hAnsi="Arial" w:cs="Arial"/>
                <w:color w:val="000000"/>
                <w:sz w:val="20"/>
                <w:szCs w:val="20"/>
              </w:rPr>
              <w:t>Question removed.  The information obtained has been of limited value.</w:t>
            </w:r>
          </w:p>
        </w:tc>
      </w:tr>
      <w:tr w:rsidR="003D0E7C" w:rsidTr="00CD529C">
        <w:trPr>
          <w:trHeight w:val="51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106</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REMOVED</w:t>
            </w:r>
          </w:p>
        </w:tc>
        <w:tc>
          <w:tcPr>
            <w:tcW w:w="2265" w:type="pct"/>
            <w:shd w:val="clear" w:color="auto" w:fill="auto"/>
            <w:tcMar>
              <w:top w:w="29" w:type="dxa"/>
              <w:left w:w="72" w:type="dxa"/>
              <w:bottom w:w="29" w:type="dxa"/>
              <w:right w:w="72" w:type="dxa"/>
            </w:tcMar>
            <w:hideMark/>
          </w:tcPr>
          <w:p w:rsidR="003D0E7C" w:rsidRDefault="001163D2" w:rsidP="00CD529C">
            <w:pPr>
              <w:rPr>
                <w:rFonts w:ascii="Arial" w:hAnsi="Arial" w:cs="Arial"/>
                <w:color w:val="000000"/>
                <w:sz w:val="20"/>
                <w:szCs w:val="20"/>
              </w:rPr>
            </w:pPr>
            <w:r>
              <w:rPr>
                <w:rFonts w:ascii="Arial" w:hAnsi="Arial" w:cs="Arial"/>
                <w:color w:val="000000"/>
                <w:sz w:val="20"/>
                <w:szCs w:val="20"/>
              </w:rPr>
              <w:t>Question removed.  The information obtained has been of limited value.</w:t>
            </w:r>
          </w:p>
        </w:tc>
      </w:tr>
      <w:tr w:rsidR="003D0E7C" w:rsidTr="00CD529C">
        <w:trPr>
          <w:trHeight w:val="798"/>
        </w:trPr>
        <w:tc>
          <w:tcPr>
            <w:tcW w:w="955" w:type="pct"/>
            <w:shd w:val="clear" w:color="auto" w:fill="auto"/>
            <w:tcMar>
              <w:top w:w="29" w:type="dxa"/>
              <w:left w:w="72" w:type="dxa"/>
              <w:bottom w:w="29" w:type="dxa"/>
              <w:right w:w="72" w:type="dxa"/>
            </w:tcMar>
            <w:hideMark/>
          </w:tcPr>
          <w:p w:rsidR="0036090A" w:rsidRDefault="0036090A" w:rsidP="00CD529C">
            <w:pPr>
              <w:rPr>
                <w:rFonts w:ascii="Arial" w:hAnsi="Arial" w:cs="Arial"/>
                <w:color w:val="000000"/>
                <w:sz w:val="20"/>
                <w:szCs w:val="20"/>
              </w:rPr>
            </w:pPr>
            <w:r>
              <w:rPr>
                <w:rFonts w:ascii="Arial" w:hAnsi="Arial" w:cs="Arial"/>
                <w:color w:val="000000"/>
                <w:sz w:val="20"/>
                <w:szCs w:val="20"/>
              </w:rPr>
              <w:t>201-203.4;</w:t>
            </w:r>
          </w:p>
          <w:p w:rsidR="003D0E7C" w:rsidRDefault="003D0E7C" w:rsidP="00CD529C">
            <w:pPr>
              <w:rPr>
                <w:rFonts w:ascii="Arial" w:hAnsi="Arial" w:cs="Arial"/>
                <w:color w:val="000000"/>
                <w:sz w:val="20"/>
                <w:szCs w:val="20"/>
              </w:rPr>
            </w:pPr>
            <w:r>
              <w:rPr>
                <w:rFonts w:ascii="Arial" w:hAnsi="Arial" w:cs="Arial"/>
                <w:color w:val="000000"/>
                <w:sz w:val="20"/>
                <w:szCs w:val="20"/>
              </w:rPr>
              <w:t>204-205</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1.1 Strategy Narrative</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These various questions have been consolidated into a single question that gives applicants the flexibility to highlight the key components of their strategy.</w:t>
            </w:r>
          </w:p>
        </w:tc>
      </w:tr>
      <w:tr w:rsidR="003D0E7C" w:rsidTr="00CD529C">
        <w:trPr>
          <w:trHeight w:val="41"/>
        </w:trPr>
        <w:tc>
          <w:tcPr>
            <w:tcW w:w="955" w:type="pct"/>
            <w:shd w:val="clear" w:color="auto" w:fill="auto"/>
            <w:tcMar>
              <w:top w:w="29" w:type="dxa"/>
              <w:left w:w="72" w:type="dxa"/>
              <w:bottom w:w="29" w:type="dxa"/>
              <w:right w:w="72" w:type="dxa"/>
            </w:tcMar>
            <w:hideMark/>
          </w:tcPr>
          <w:p w:rsidR="00C97A76" w:rsidRDefault="00C97A76" w:rsidP="00CD529C">
            <w:pPr>
              <w:rPr>
                <w:rFonts w:ascii="Arial" w:hAnsi="Arial" w:cs="Arial"/>
                <w:color w:val="000000"/>
                <w:sz w:val="20"/>
                <w:szCs w:val="20"/>
              </w:rPr>
            </w:pPr>
            <w:r>
              <w:rPr>
                <w:rFonts w:ascii="Arial" w:hAnsi="Arial" w:cs="Arial"/>
                <w:color w:val="000000"/>
                <w:sz w:val="20"/>
                <w:szCs w:val="20"/>
              </w:rPr>
              <w:t>203.5;</w:t>
            </w:r>
          </w:p>
          <w:p w:rsidR="003D0E7C" w:rsidRDefault="003D0E7C" w:rsidP="00CD529C">
            <w:pPr>
              <w:rPr>
                <w:rFonts w:ascii="Arial" w:hAnsi="Arial" w:cs="Arial"/>
                <w:color w:val="000000"/>
                <w:sz w:val="20"/>
                <w:szCs w:val="20"/>
              </w:rPr>
            </w:pPr>
            <w:r>
              <w:rPr>
                <w:rFonts w:ascii="Arial" w:hAnsi="Arial" w:cs="Arial"/>
                <w:color w:val="000000"/>
                <w:sz w:val="20"/>
                <w:szCs w:val="20"/>
              </w:rPr>
              <w:t>206</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1.6 Risk &amp; Mitigants</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These questions have been consolidated into a single question regarding risk.</w:t>
            </w:r>
          </w:p>
        </w:tc>
      </w:tr>
      <w:tr w:rsidR="003D0E7C" w:rsidTr="00CD529C">
        <w:trPr>
          <w:trHeight w:val="1785"/>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lastRenderedPageBreak/>
              <w:t>208</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REMOVED</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This question regarding value creation has been removed from the application.  While relevant for some equity investors, the majority of SBIC applicants invest using debt securities which do not give them control over the operations of a portfolio company and provide for only a small participation in the growth of a company.</w:t>
            </w:r>
          </w:p>
        </w:tc>
      </w:tr>
      <w:tr w:rsidR="003D0E7C" w:rsidTr="00CD529C">
        <w:trPr>
          <w:trHeight w:val="96"/>
        </w:trPr>
        <w:tc>
          <w:tcPr>
            <w:tcW w:w="955" w:type="pct"/>
            <w:shd w:val="clear" w:color="auto" w:fill="auto"/>
            <w:tcMar>
              <w:top w:w="29" w:type="dxa"/>
              <w:left w:w="72" w:type="dxa"/>
              <w:bottom w:w="29" w:type="dxa"/>
              <w:right w:w="72" w:type="dxa"/>
            </w:tcMar>
            <w:hideMark/>
          </w:tcPr>
          <w:p w:rsidR="00C97A76" w:rsidRDefault="00C97A76" w:rsidP="00CD529C">
            <w:pPr>
              <w:rPr>
                <w:rFonts w:ascii="Arial" w:hAnsi="Arial" w:cs="Arial"/>
                <w:color w:val="000000"/>
                <w:sz w:val="20"/>
                <w:szCs w:val="20"/>
              </w:rPr>
            </w:pPr>
            <w:r>
              <w:rPr>
                <w:rFonts w:ascii="Arial" w:hAnsi="Arial" w:cs="Arial"/>
                <w:color w:val="000000"/>
                <w:sz w:val="20"/>
                <w:szCs w:val="20"/>
              </w:rPr>
              <w:t>209-210.1;</w:t>
            </w:r>
          </w:p>
          <w:p w:rsidR="003D0E7C" w:rsidRDefault="003D0E7C" w:rsidP="00CD529C">
            <w:pPr>
              <w:rPr>
                <w:rFonts w:ascii="Arial" w:hAnsi="Arial" w:cs="Arial"/>
                <w:color w:val="000000"/>
                <w:sz w:val="20"/>
                <w:szCs w:val="20"/>
              </w:rPr>
            </w:pPr>
            <w:r>
              <w:rPr>
                <w:rFonts w:ascii="Arial" w:hAnsi="Arial" w:cs="Arial"/>
                <w:color w:val="000000"/>
                <w:sz w:val="20"/>
                <w:szCs w:val="20"/>
              </w:rPr>
              <w:t>211</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1.2 Structure &amp;Pricing</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These questions have been consolidated into a single question regarding the structure of the SBIC's transactions.</w:t>
            </w:r>
          </w:p>
        </w:tc>
      </w:tr>
      <w:tr w:rsidR="003D0E7C" w:rsidTr="00CD529C">
        <w:trPr>
          <w:trHeight w:val="41"/>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213-214.2</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REMOVED</w:t>
            </w:r>
          </w:p>
        </w:tc>
        <w:tc>
          <w:tcPr>
            <w:tcW w:w="2265" w:type="pct"/>
            <w:shd w:val="clear" w:color="auto" w:fill="auto"/>
            <w:tcMar>
              <w:top w:w="29" w:type="dxa"/>
              <w:left w:w="72" w:type="dxa"/>
              <w:bottom w:w="29" w:type="dxa"/>
              <w:right w:w="72" w:type="dxa"/>
            </w:tcMar>
            <w:hideMark/>
          </w:tcPr>
          <w:p w:rsidR="003D0E7C" w:rsidRDefault="003D0E7C" w:rsidP="001D5445">
            <w:pPr>
              <w:rPr>
                <w:rFonts w:ascii="Arial" w:hAnsi="Arial" w:cs="Arial"/>
                <w:color w:val="000000"/>
                <w:sz w:val="20"/>
                <w:szCs w:val="20"/>
              </w:rPr>
            </w:pPr>
            <w:r>
              <w:rPr>
                <w:rFonts w:ascii="Arial" w:hAnsi="Arial" w:cs="Arial"/>
                <w:color w:val="000000"/>
                <w:sz w:val="20"/>
                <w:szCs w:val="20"/>
              </w:rPr>
              <w:t>This question regarding debt loss estimates ha</w:t>
            </w:r>
            <w:r w:rsidR="001D5445">
              <w:rPr>
                <w:rFonts w:ascii="Arial" w:hAnsi="Arial" w:cs="Arial"/>
                <w:color w:val="000000"/>
                <w:sz w:val="20"/>
                <w:szCs w:val="20"/>
              </w:rPr>
              <w:t>s</w:t>
            </w:r>
            <w:r>
              <w:rPr>
                <w:rFonts w:ascii="Arial" w:hAnsi="Arial" w:cs="Arial"/>
                <w:color w:val="000000"/>
                <w:sz w:val="20"/>
                <w:szCs w:val="20"/>
              </w:rPr>
              <w:t xml:space="preserve"> been removed.  Applicants are now asked to incorporate these estimates in their financial projection model included in Section 8: Attachments.</w:t>
            </w:r>
          </w:p>
        </w:tc>
      </w:tr>
      <w:tr w:rsidR="003D0E7C" w:rsidTr="00CD529C">
        <w:trPr>
          <w:trHeight w:val="41"/>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216</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Appendix 1</w:t>
            </w:r>
          </w:p>
        </w:tc>
        <w:tc>
          <w:tcPr>
            <w:tcW w:w="2265" w:type="pct"/>
            <w:shd w:val="clear" w:color="auto" w:fill="auto"/>
            <w:tcMar>
              <w:top w:w="29" w:type="dxa"/>
              <w:left w:w="72" w:type="dxa"/>
              <w:bottom w:w="29" w:type="dxa"/>
              <w:right w:w="72" w:type="dxa"/>
            </w:tcMar>
            <w:hideMark/>
          </w:tcPr>
          <w:p w:rsidR="003D0E7C" w:rsidRDefault="001D5445" w:rsidP="00CD529C">
            <w:pPr>
              <w:rPr>
                <w:rFonts w:ascii="Arial" w:hAnsi="Arial" w:cs="Arial"/>
                <w:color w:val="000000"/>
                <w:sz w:val="20"/>
                <w:szCs w:val="20"/>
              </w:rPr>
            </w:pPr>
            <w:r>
              <w:rPr>
                <w:rFonts w:ascii="Arial" w:hAnsi="Arial" w:cs="Arial"/>
                <w:color w:val="000000"/>
                <w:sz w:val="20"/>
                <w:szCs w:val="20"/>
              </w:rPr>
              <w:t xml:space="preserve">These questions, which relate to equity investments, </w:t>
            </w:r>
            <w:r w:rsidR="003D0E7C">
              <w:rPr>
                <w:rFonts w:ascii="Arial" w:hAnsi="Arial" w:cs="Arial"/>
                <w:color w:val="000000"/>
                <w:sz w:val="20"/>
                <w:szCs w:val="20"/>
              </w:rPr>
              <w:t xml:space="preserve">have been consolidated and moved to Appendix 1, which </w:t>
            </w:r>
            <w:r w:rsidR="00D22026">
              <w:rPr>
                <w:rFonts w:ascii="Arial" w:hAnsi="Arial" w:cs="Arial"/>
                <w:color w:val="000000"/>
                <w:sz w:val="20"/>
                <w:szCs w:val="20"/>
              </w:rPr>
              <w:t xml:space="preserve">will be required of </w:t>
            </w:r>
            <w:r w:rsidR="003D0E7C">
              <w:rPr>
                <w:rFonts w:ascii="Arial" w:hAnsi="Arial" w:cs="Arial"/>
                <w:color w:val="000000"/>
                <w:sz w:val="20"/>
                <w:szCs w:val="20"/>
              </w:rPr>
              <w:t>Early Stage SBIC applicants</w:t>
            </w:r>
            <w:r w:rsidR="00D22026">
              <w:rPr>
                <w:rFonts w:ascii="Arial" w:hAnsi="Arial" w:cs="Arial"/>
                <w:color w:val="000000"/>
                <w:sz w:val="20"/>
                <w:szCs w:val="20"/>
              </w:rPr>
              <w:t xml:space="preserve"> only</w:t>
            </w:r>
            <w:r w:rsidR="003D0E7C">
              <w:rPr>
                <w:rFonts w:ascii="Arial" w:hAnsi="Arial" w:cs="Arial"/>
                <w:color w:val="000000"/>
                <w:sz w:val="20"/>
                <w:szCs w:val="20"/>
              </w:rPr>
              <w:t>.</w:t>
            </w:r>
          </w:p>
        </w:tc>
      </w:tr>
      <w:tr w:rsidR="003D0E7C" w:rsidTr="00CD529C">
        <w:trPr>
          <w:trHeight w:val="41"/>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218-219</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1.7 Economic Impact</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These questions have been consolidated into Section 1.7 Economic Impact</w:t>
            </w:r>
          </w:p>
        </w:tc>
      </w:tr>
      <w:tr w:rsidR="003D0E7C" w:rsidTr="00CD529C">
        <w:trPr>
          <w:trHeight w:val="41"/>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220-221</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REMOVED</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These questions have been removed as they serve little purpose other than force the applicant to acknowledge the existence of each of these regulations.</w:t>
            </w:r>
          </w:p>
        </w:tc>
      </w:tr>
      <w:tr w:rsidR="003D0E7C" w:rsidTr="00CD529C">
        <w:trPr>
          <w:trHeight w:val="51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304-305</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3.2 Business Development</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These questions have been consolidated into Section 3.2 Business Development</w:t>
            </w:r>
          </w:p>
        </w:tc>
      </w:tr>
      <w:tr w:rsidR="003D0E7C" w:rsidTr="00CD529C">
        <w:trPr>
          <w:trHeight w:val="51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306</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REMOVED</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Question removed.  The information obtained is of limited value.</w:t>
            </w:r>
          </w:p>
        </w:tc>
      </w:tr>
      <w:tr w:rsidR="003D0E7C" w:rsidTr="00CD529C">
        <w:trPr>
          <w:trHeight w:val="153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308-309</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3.1 Investment Process</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 xml:space="preserve">The scope of these two questions has been </w:t>
            </w:r>
            <w:r w:rsidR="000E21FF">
              <w:rPr>
                <w:rFonts w:ascii="Arial" w:hAnsi="Arial" w:cs="Arial"/>
                <w:color w:val="000000"/>
                <w:sz w:val="20"/>
                <w:szCs w:val="20"/>
              </w:rPr>
              <w:t xml:space="preserve">substantially </w:t>
            </w:r>
            <w:r>
              <w:rPr>
                <w:rFonts w:ascii="Arial" w:hAnsi="Arial" w:cs="Arial"/>
                <w:color w:val="000000"/>
                <w:sz w:val="20"/>
                <w:szCs w:val="20"/>
              </w:rPr>
              <w:t xml:space="preserve">narrowed and </w:t>
            </w:r>
            <w:r w:rsidR="000E21FF">
              <w:rPr>
                <w:rFonts w:ascii="Arial" w:hAnsi="Arial" w:cs="Arial"/>
                <w:color w:val="000000"/>
                <w:sz w:val="20"/>
                <w:szCs w:val="20"/>
              </w:rPr>
              <w:t xml:space="preserve">they </w:t>
            </w:r>
            <w:r>
              <w:rPr>
                <w:rFonts w:ascii="Arial" w:hAnsi="Arial" w:cs="Arial"/>
                <w:color w:val="000000"/>
                <w:sz w:val="20"/>
                <w:szCs w:val="20"/>
              </w:rPr>
              <w:t xml:space="preserve">are now included as part of 3.1 Investment Process.  The prior version of Form 2181 requested </w:t>
            </w:r>
            <w:r w:rsidR="000E21FF">
              <w:rPr>
                <w:rFonts w:ascii="Arial" w:hAnsi="Arial" w:cs="Arial"/>
                <w:color w:val="000000"/>
                <w:sz w:val="20"/>
                <w:szCs w:val="20"/>
              </w:rPr>
              <w:t xml:space="preserve">an unnecessary level of detail </w:t>
            </w:r>
            <w:r>
              <w:rPr>
                <w:rFonts w:ascii="Arial" w:hAnsi="Arial" w:cs="Arial"/>
                <w:color w:val="000000"/>
                <w:sz w:val="20"/>
                <w:szCs w:val="20"/>
              </w:rPr>
              <w:t xml:space="preserve">concerning a process that is </w:t>
            </w:r>
            <w:r w:rsidR="000E21FF">
              <w:rPr>
                <w:rFonts w:ascii="Arial" w:hAnsi="Arial" w:cs="Arial"/>
                <w:color w:val="000000"/>
                <w:sz w:val="20"/>
                <w:szCs w:val="20"/>
              </w:rPr>
              <w:t xml:space="preserve">generally </w:t>
            </w:r>
            <w:r>
              <w:rPr>
                <w:rFonts w:ascii="Arial" w:hAnsi="Arial" w:cs="Arial"/>
                <w:color w:val="000000"/>
                <w:sz w:val="20"/>
                <w:szCs w:val="20"/>
              </w:rPr>
              <w:t>uniform across investment funds.</w:t>
            </w:r>
          </w:p>
        </w:tc>
      </w:tr>
      <w:tr w:rsidR="003D0E7C" w:rsidTr="00CD529C">
        <w:trPr>
          <w:trHeight w:val="51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310-311</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4.1 Investment Monitoring</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These questions have been consolidated into Section 4.1 Investment Monitoring</w:t>
            </w:r>
          </w:p>
        </w:tc>
      </w:tr>
      <w:tr w:rsidR="003D0E7C" w:rsidTr="00CD529C">
        <w:trPr>
          <w:trHeight w:val="255"/>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314</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REMOVED</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Question removed.  This information is duplicative.</w:t>
            </w:r>
          </w:p>
        </w:tc>
      </w:tr>
      <w:tr w:rsidR="003D0E7C" w:rsidTr="00CD529C">
        <w:trPr>
          <w:trHeight w:val="51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315</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7.5 Advisory Committee</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This series of questions has been consolidated into 7.5 Advisory Committee</w:t>
            </w:r>
          </w:p>
        </w:tc>
      </w:tr>
      <w:tr w:rsidR="003D0E7C" w:rsidTr="00CD529C">
        <w:trPr>
          <w:trHeight w:val="153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lastRenderedPageBreak/>
              <w:t>316-321</w:t>
            </w:r>
          </w:p>
        </w:tc>
        <w:tc>
          <w:tcPr>
            <w:tcW w:w="1780" w:type="pct"/>
            <w:shd w:val="clear" w:color="auto" w:fill="auto"/>
            <w:tcMar>
              <w:top w:w="29" w:type="dxa"/>
              <w:left w:w="72" w:type="dxa"/>
              <w:bottom w:w="29" w:type="dxa"/>
              <w:right w:w="72" w:type="dxa"/>
            </w:tcMar>
            <w:hideMark/>
          </w:tcPr>
          <w:p w:rsidR="003B199D" w:rsidRDefault="003D0E7C" w:rsidP="00CD529C">
            <w:pPr>
              <w:rPr>
                <w:rFonts w:ascii="Arial" w:hAnsi="Arial" w:cs="Arial"/>
                <w:color w:val="000000"/>
                <w:sz w:val="20"/>
                <w:szCs w:val="20"/>
              </w:rPr>
            </w:pPr>
            <w:r>
              <w:rPr>
                <w:rFonts w:ascii="Arial" w:hAnsi="Arial" w:cs="Arial"/>
                <w:color w:val="000000"/>
                <w:sz w:val="20"/>
                <w:szCs w:val="20"/>
              </w:rPr>
              <w:t xml:space="preserve">3.1 Investment Process; </w:t>
            </w:r>
          </w:p>
          <w:p w:rsidR="003B199D" w:rsidRDefault="003D0E7C" w:rsidP="00CD529C">
            <w:pPr>
              <w:rPr>
                <w:rFonts w:ascii="Arial" w:hAnsi="Arial" w:cs="Arial"/>
                <w:color w:val="000000"/>
                <w:sz w:val="20"/>
                <w:szCs w:val="20"/>
              </w:rPr>
            </w:pPr>
            <w:r>
              <w:rPr>
                <w:rFonts w:ascii="Arial" w:hAnsi="Arial" w:cs="Arial"/>
                <w:color w:val="000000"/>
                <w:sz w:val="20"/>
                <w:szCs w:val="20"/>
              </w:rPr>
              <w:t xml:space="preserve">3.3 Due Diligence; </w:t>
            </w:r>
          </w:p>
          <w:p w:rsidR="003D0E7C" w:rsidRDefault="003D0E7C" w:rsidP="00CD529C">
            <w:pPr>
              <w:rPr>
                <w:rFonts w:ascii="Arial" w:hAnsi="Arial" w:cs="Arial"/>
                <w:color w:val="000000"/>
                <w:sz w:val="20"/>
                <w:szCs w:val="20"/>
              </w:rPr>
            </w:pPr>
            <w:r>
              <w:rPr>
                <w:rFonts w:ascii="Arial" w:hAnsi="Arial" w:cs="Arial"/>
                <w:color w:val="000000"/>
                <w:sz w:val="20"/>
                <w:szCs w:val="20"/>
              </w:rPr>
              <w:t>3.4 Decision-Making Process</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 xml:space="preserve">The scope of these questions has been </w:t>
            </w:r>
            <w:r w:rsidR="007678D2">
              <w:rPr>
                <w:rFonts w:ascii="Arial" w:hAnsi="Arial" w:cs="Arial"/>
                <w:color w:val="000000"/>
                <w:sz w:val="20"/>
                <w:szCs w:val="20"/>
              </w:rPr>
              <w:t xml:space="preserve">substantially </w:t>
            </w:r>
            <w:r>
              <w:rPr>
                <w:rFonts w:ascii="Arial" w:hAnsi="Arial" w:cs="Arial"/>
                <w:color w:val="000000"/>
                <w:sz w:val="20"/>
                <w:szCs w:val="20"/>
              </w:rPr>
              <w:t xml:space="preserve">narrowed.  </w:t>
            </w:r>
            <w:r w:rsidR="007678D2">
              <w:rPr>
                <w:rFonts w:ascii="Arial" w:hAnsi="Arial" w:cs="Arial"/>
                <w:color w:val="000000"/>
                <w:sz w:val="20"/>
                <w:szCs w:val="20"/>
              </w:rPr>
              <w:t xml:space="preserve">Applicant </w:t>
            </w:r>
            <w:r>
              <w:rPr>
                <w:rFonts w:ascii="Arial" w:hAnsi="Arial" w:cs="Arial"/>
                <w:color w:val="000000"/>
                <w:sz w:val="20"/>
                <w:szCs w:val="20"/>
              </w:rPr>
              <w:t>responses to 3</w:t>
            </w:r>
            <w:r w:rsidR="00E82C69">
              <w:rPr>
                <w:rFonts w:ascii="Arial" w:hAnsi="Arial" w:cs="Arial"/>
                <w:color w:val="000000"/>
                <w:sz w:val="20"/>
                <w:szCs w:val="20"/>
              </w:rPr>
              <w:t>16-321 are often very lengthy yet</w:t>
            </w:r>
            <w:r>
              <w:rPr>
                <w:rFonts w:ascii="Arial" w:hAnsi="Arial" w:cs="Arial"/>
                <w:color w:val="000000"/>
                <w:sz w:val="20"/>
                <w:szCs w:val="20"/>
              </w:rPr>
              <w:t xml:space="preserve"> yield information of limited value.  Private equity and venture capital funds generally use a standard investment process that requires little analysis.</w:t>
            </w:r>
          </w:p>
        </w:tc>
      </w:tr>
      <w:tr w:rsidR="003D0E7C" w:rsidTr="00CD529C">
        <w:trPr>
          <w:trHeight w:val="51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322-323</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4.1 Investment Monitoring</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These questions have been consolidated into 4.1 Investment Monitoring</w:t>
            </w:r>
          </w:p>
        </w:tc>
      </w:tr>
      <w:tr w:rsidR="003D0E7C" w:rsidTr="00CD529C">
        <w:trPr>
          <w:trHeight w:val="51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324</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REMOVED</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Question removed.  The information obtained is of limited value.</w:t>
            </w:r>
          </w:p>
        </w:tc>
      </w:tr>
      <w:tr w:rsidR="003D0E7C" w:rsidTr="00CD529C">
        <w:trPr>
          <w:trHeight w:val="51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325-327</w:t>
            </w:r>
          </w:p>
        </w:tc>
        <w:tc>
          <w:tcPr>
            <w:tcW w:w="1780" w:type="pct"/>
            <w:shd w:val="clear" w:color="auto" w:fill="auto"/>
            <w:tcMar>
              <w:top w:w="29" w:type="dxa"/>
              <w:left w:w="72" w:type="dxa"/>
              <w:bottom w:w="29" w:type="dxa"/>
              <w:right w:w="72" w:type="dxa"/>
            </w:tcMar>
            <w:hideMark/>
          </w:tcPr>
          <w:p w:rsidR="007678D2" w:rsidRDefault="003D0E7C" w:rsidP="00CD529C">
            <w:pPr>
              <w:rPr>
                <w:rFonts w:ascii="Arial" w:hAnsi="Arial" w:cs="Arial"/>
                <w:color w:val="000000"/>
                <w:sz w:val="20"/>
                <w:szCs w:val="20"/>
              </w:rPr>
            </w:pPr>
            <w:r>
              <w:rPr>
                <w:rFonts w:ascii="Arial" w:hAnsi="Arial" w:cs="Arial"/>
                <w:color w:val="000000"/>
                <w:sz w:val="20"/>
                <w:szCs w:val="20"/>
              </w:rPr>
              <w:t xml:space="preserve">4.1 Investment Monitoring; </w:t>
            </w:r>
          </w:p>
          <w:p w:rsidR="003D0E7C" w:rsidRDefault="003D0E7C" w:rsidP="00CD529C">
            <w:pPr>
              <w:rPr>
                <w:rFonts w:ascii="Arial" w:hAnsi="Arial" w:cs="Arial"/>
                <w:color w:val="000000"/>
                <w:sz w:val="20"/>
                <w:szCs w:val="20"/>
              </w:rPr>
            </w:pPr>
            <w:r>
              <w:rPr>
                <w:rFonts w:ascii="Arial" w:hAnsi="Arial" w:cs="Arial"/>
                <w:color w:val="000000"/>
                <w:sz w:val="20"/>
                <w:szCs w:val="20"/>
              </w:rPr>
              <w:t>4.4 Regulatory Compliance</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These questions have been consolidated into sections 4.1 and 4.4</w:t>
            </w:r>
          </w:p>
        </w:tc>
      </w:tr>
      <w:tr w:rsidR="003D0E7C" w:rsidTr="00CD529C">
        <w:trPr>
          <w:trHeight w:val="765"/>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329</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REMOVED</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Question removed.  Applicants frequently ignore the length limitation yet simply check this box "yes."</w:t>
            </w:r>
          </w:p>
        </w:tc>
      </w:tr>
      <w:tr w:rsidR="003D0E7C" w:rsidTr="00CD529C">
        <w:trPr>
          <w:trHeight w:val="153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408</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REMOVED</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Question removed.  The penalty provisions for LPs that fail to make capital contributions when called are contained in the legal documents applicants submit with their License Application. The information is of limited value during the MAQ stage.</w:t>
            </w:r>
          </w:p>
        </w:tc>
      </w:tr>
      <w:tr w:rsidR="003D0E7C" w:rsidTr="00CD529C">
        <w:trPr>
          <w:trHeight w:val="1275"/>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2.3 Team History</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ADDITION: Applicants are now asked to provide a brief narrative description of their team history, explaining how each principal met the other</w:t>
            </w:r>
            <w:r w:rsidR="00CE3FC6">
              <w:rPr>
                <w:rFonts w:ascii="Arial" w:hAnsi="Arial" w:cs="Arial"/>
                <w:color w:val="000000"/>
                <w:sz w:val="20"/>
                <w:szCs w:val="20"/>
              </w:rPr>
              <w:t>s</w:t>
            </w:r>
            <w:r>
              <w:rPr>
                <w:rFonts w:ascii="Arial" w:hAnsi="Arial" w:cs="Arial"/>
                <w:color w:val="000000"/>
                <w:sz w:val="20"/>
                <w:szCs w:val="20"/>
              </w:rPr>
              <w:t>.  This will provide context that has been missing from the prior version of Form 2181</w:t>
            </w:r>
          </w:p>
        </w:tc>
      </w:tr>
      <w:tr w:rsidR="003D0E7C" w:rsidTr="00CD529C">
        <w:trPr>
          <w:trHeight w:val="1275"/>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2.6 Other Activities</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 xml:space="preserve">ADDITION: Applicants are now asked to account for the time they will not be spending on the management of the SBIC.  Without this information, it is difficult to gauge the </w:t>
            </w:r>
            <w:r w:rsidR="007E5017">
              <w:rPr>
                <w:rFonts w:ascii="Arial" w:hAnsi="Arial" w:cs="Arial"/>
                <w:color w:val="000000"/>
                <w:sz w:val="20"/>
                <w:szCs w:val="20"/>
              </w:rPr>
              <w:t>validit</w:t>
            </w:r>
            <w:r>
              <w:rPr>
                <w:rFonts w:ascii="Arial" w:hAnsi="Arial" w:cs="Arial"/>
                <w:color w:val="000000"/>
                <w:sz w:val="20"/>
                <w:szCs w:val="20"/>
              </w:rPr>
              <w:t>y of their time dedication estimate.</w:t>
            </w:r>
          </w:p>
        </w:tc>
      </w:tr>
      <w:tr w:rsidR="003D0E7C" w:rsidTr="00CD529C">
        <w:trPr>
          <w:trHeight w:val="102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2.5(a) Team Cohesion</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 xml:space="preserve">ADDITION: This question requires applicants to acknowledge any issues, previously unstated, that may affect their ability to fulfill their responsibilities as member of the fund's management team. </w:t>
            </w:r>
          </w:p>
        </w:tc>
      </w:tr>
      <w:tr w:rsidR="003D0E7C" w:rsidTr="00CD529C">
        <w:trPr>
          <w:trHeight w:val="102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2.5(b) Team Cohesion</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 xml:space="preserve">ADDITION: Departures at the senior level may indicate a lack of team cohesion, a key component of SBA's analysis.  Having the names of these individuals will </w:t>
            </w:r>
            <w:r w:rsidR="0097071F">
              <w:rPr>
                <w:rFonts w:ascii="Arial" w:hAnsi="Arial" w:cs="Arial"/>
                <w:color w:val="000000"/>
                <w:sz w:val="20"/>
                <w:szCs w:val="20"/>
              </w:rPr>
              <w:t xml:space="preserve">also </w:t>
            </w:r>
            <w:r>
              <w:rPr>
                <w:rFonts w:ascii="Arial" w:hAnsi="Arial" w:cs="Arial"/>
                <w:color w:val="000000"/>
                <w:sz w:val="20"/>
                <w:szCs w:val="20"/>
              </w:rPr>
              <w:t>be useful for the diligence process.</w:t>
            </w:r>
          </w:p>
        </w:tc>
      </w:tr>
      <w:tr w:rsidR="003D0E7C" w:rsidTr="00CD529C">
        <w:trPr>
          <w:trHeight w:val="935"/>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5.3 Other Compensation</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 xml:space="preserve">ADDITION: This question will help SBA assess </w:t>
            </w:r>
            <w:r w:rsidR="00F42B90">
              <w:rPr>
                <w:rFonts w:ascii="Arial" w:hAnsi="Arial" w:cs="Arial"/>
                <w:color w:val="000000"/>
                <w:sz w:val="20"/>
                <w:szCs w:val="20"/>
              </w:rPr>
              <w:t xml:space="preserve">fund manager </w:t>
            </w:r>
            <w:r>
              <w:rPr>
                <w:rFonts w:ascii="Arial" w:hAnsi="Arial" w:cs="Arial"/>
                <w:color w:val="000000"/>
                <w:sz w:val="20"/>
                <w:szCs w:val="20"/>
              </w:rPr>
              <w:t>incentives.  To the extent a manager obtain</w:t>
            </w:r>
            <w:r w:rsidR="00F42B90">
              <w:rPr>
                <w:rFonts w:ascii="Arial" w:hAnsi="Arial" w:cs="Arial"/>
                <w:color w:val="000000"/>
                <w:sz w:val="20"/>
                <w:szCs w:val="20"/>
              </w:rPr>
              <w:t>s</w:t>
            </w:r>
            <w:r>
              <w:rPr>
                <w:rFonts w:ascii="Arial" w:hAnsi="Arial" w:cs="Arial"/>
                <w:color w:val="000000"/>
                <w:sz w:val="20"/>
                <w:szCs w:val="20"/>
              </w:rPr>
              <w:t xml:space="preserve"> a substantial portion of his/her compensation from non-SBIC related activities, he/she may not be sufficiently </w:t>
            </w:r>
            <w:r>
              <w:rPr>
                <w:rFonts w:ascii="Arial" w:hAnsi="Arial" w:cs="Arial"/>
                <w:color w:val="000000"/>
                <w:sz w:val="20"/>
                <w:szCs w:val="20"/>
              </w:rPr>
              <w:lastRenderedPageBreak/>
              <w:t>incentivized to fulfill his/her duties as a principal.</w:t>
            </w:r>
          </w:p>
        </w:tc>
      </w:tr>
      <w:tr w:rsidR="003D0E7C" w:rsidTr="00CD529C">
        <w:trPr>
          <w:trHeight w:val="102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6.1 Minimum Fundraising Justification</w:t>
            </w:r>
          </w:p>
        </w:tc>
        <w:tc>
          <w:tcPr>
            <w:tcW w:w="2265" w:type="pct"/>
            <w:shd w:val="clear" w:color="auto" w:fill="auto"/>
            <w:tcMar>
              <w:top w:w="29" w:type="dxa"/>
              <w:left w:w="72" w:type="dxa"/>
              <w:bottom w:w="29" w:type="dxa"/>
              <w:right w:w="72" w:type="dxa"/>
            </w:tcMar>
            <w:hideMark/>
          </w:tcPr>
          <w:p w:rsidR="00CE3FC6" w:rsidRDefault="003D0E7C" w:rsidP="00CE3FC6">
            <w:pPr>
              <w:rPr>
                <w:rFonts w:ascii="Arial" w:hAnsi="Arial" w:cs="Arial"/>
                <w:color w:val="000000"/>
                <w:sz w:val="20"/>
                <w:szCs w:val="20"/>
              </w:rPr>
            </w:pPr>
            <w:r>
              <w:rPr>
                <w:rFonts w:ascii="Arial" w:hAnsi="Arial" w:cs="Arial"/>
                <w:color w:val="000000"/>
                <w:sz w:val="20"/>
                <w:szCs w:val="20"/>
              </w:rPr>
              <w:t xml:space="preserve">ADDITION: SBIC applicants have always been asked to indicate the minimum amount of capital they need to operate their fund.  This question goes further in asking them to </w:t>
            </w:r>
            <w:r w:rsidR="00CE3FC6">
              <w:rPr>
                <w:rFonts w:ascii="Arial" w:hAnsi="Arial" w:cs="Arial"/>
                <w:color w:val="000000"/>
                <w:sz w:val="20"/>
                <w:szCs w:val="20"/>
              </w:rPr>
              <w:t xml:space="preserve">explain </w:t>
            </w:r>
            <w:r>
              <w:rPr>
                <w:rFonts w:ascii="Arial" w:hAnsi="Arial" w:cs="Arial"/>
                <w:color w:val="000000"/>
                <w:sz w:val="20"/>
                <w:szCs w:val="20"/>
              </w:rPr>
              <w:t>their selection.</w:t>
            </w:r>
            <w:r w:rsidR="00CE3FC6">
              <w:rPr>
                <w:rFonts w:ascii="Arial" w:hAnsi="Arial" w:cs="Arial"/>
                <w:color w:val="000000"/>
                <w:sz w:val="20"/>
                <w:szCs w:val="20"/>
              </w:rPr>
              <w:t xml:space="preserve">  SBA uses this information to help evaluate whether an applicant</w:t>
            </w:r>
            <w:r w:rsidR="00536C2D">
              <w:rPr>
                <w:rFonts w:ascii="Arial" w:hAnsi="Arial" w:cs="Arial"/>
                <w:color w:val="000000"/>
                <w:sz w:val="20"/>
                <w:szCs w:val="20"/>
              </w:rPr>
              <w:t xml:space="preserve"> is “economically viable” in accordance with 13 CFR 107.210</w:t>
            </w:r>
          </w:p>
        </w:tc>
      </w:tr>
      <w:tr w:rsidR="003D0E7C" w:rsidTr="00CD529C">
        <w:trPr>
          <w:trHeight w:val="765"/>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Attachments: Deal Pipeline</w:t>
            </w:r>
          </w:p>
        </w:tc>
        <w:tc>
          <w:tcPr>
            <w:tcW w:w="2265" w:type="pct"/>
            <w:shd w:val="clear" w:color="auto" w:fill="auto"/>
            <w:tcMar>
              <w:top w:w="29" w:type="dxa"/>
              <w:left w:w="72" w:type="dxa"/>
              <w:bottom w:w="29" w:type="dxa"/>
              <w:right w:w="72" w:type="dxa"/>
            </w:tcMar>
            <w:hideMark/>
          </w:tcPr>
          <w:p w:rsidR="003D0E7C" w:rsidRDefault="003D0E7C" w:rsidP="0013185B">
            <w:pPr>
              <w:rPr>
                <w:rFonts w:ascii="Arial" w:hAnsi="Arial" w:cs="Arial"/>
                <w:color w:val="000000"/>
                <w:sz w:val="20"/>
                <w:szCs w:val="20"/>
              </w:rPr>
            </w:pPr>
            <w:r>
              <w:rPr>
                <w:rFonts w:ascii="Arial" w:hAnsi="Arial" w:cs="Arial"/>
                <w:color w:val="000000"/>
                <w:sz w:val="20"/>
                <w:szCs w:val="20"/>
              </w:rPr>
              <w:t xml:space="preserve">ADDITION: This information will help SBA assess the fund's </w:t>
            </w:r>
            <w:r w:rsidR="0013185B">
              <w:rPr>
                <w:rFonts w:ascii="Arial" w:hAnsi="Arial" w:cs="Arial"/>
                <w:color w:val="000000"/>
                <w:sz w:val="20"/>
                <w:szCs w:val="20"/>
              </w:rPr>
              <w:t xml:space="preserve">prospective investment opportunities </w:t>
            </w:r>
            <w:r>
              <w:rPr>
                <w:rFonts w:ascii="Arial" w:hAnsi="Arial" w:cs="Arial"/>
                <w:color w:val="000000"/>
                <w:sz w:val="20"/>
                <w:szCs w:val="20"/>
              </w:rPr>
              <w:t>and ability to source deal flow.</w:t>
            </w:r>
          </w:p>
        </w:tc>
      </w:tr>
      <w:tr w:rsidR="003D0E7C" w:rsidTr="00CD529C">
        <w:trPr>
          <w:trHeight w:val="26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Appendix 2</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ADDITION: Impact SBIC applicants are subject to specific requirements and are asked here to explain how they will meet them.</w:t>
            </w:r>
          </w:p>
        </w:tc>
      </w:tr>
      <w:tr w:rsidR="003D0E7C" w:rsidTr="00CD529C">
        <w:trPr>
          <w:trHeight w:val="80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Form 2181: Excel Supplement - Authorization of Information Release</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ADDITION: SBIC applicants that receive SBA approval to submit a License Application are currently sent a letter asking them whether or not they would like SBA staff to share a basic fund description with prospective investors.  This language has now been placed directly into the application.</w:t>
            </w:r>
          </w:p>
        </w:tc>
      </w:tr>
      <w:tr w:rsidR="003D0E7C" w:rsidTr="00CD529C">
        <w:trPr>
          <w:trHeight w:val="306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Form 2181: Excel Supplement - 1. Portfolio Profile</w:t>
            </w:r>
            <w:r>
              <w:rPr>
                <w:rFonts w:ascii="Arial" w:hAnsi="Arial" w:cs="Arial"/>
                <w:color w:val="000000"/>
                <w:sz w:val="20"/>
                <w:szCs w:val="20"/>
              </w:rPr>
              <w:br/>
              <w:t>- Strategy Type</w:t>
            </w:r>
            <w:r>
              <w:rPr>
                <w:rFonts w:ascii="Arial" w:hAnsi="Arial" w:cs="Arial"/>
                <w:color w:val="000000"/>
                <w:sz w:val="20"/>
                <w:szCs w:val="20"/>
              </w:rPr>
              <w:br/>
              <w:t>- % Deals w/Sponsors</w:t>
            </w:r>
          </w:p>
        </w:tc>
        <w:tc>
          <w:tcPr>
            <w:tcW w:w="2265" w:type="pct"/>
            <w:shd w:val="clear" w:color="auto" w:fill="auto"/>
            <w:tcMar>
              <w:top w:w="29" w:type="dxa"/>
              <w:left w:w="72" w:type="dxa"/>
              <w:bottom w:w="29" w:type="dxa"/>
              <w:right w:w="72" w:type="dxa"/>
            </w:tcMar>
            <w:hideMark/>
          </w:tcPr>
          <w:p w:rsidR="003D0E7C" w:rsidRDefault="003D0E7C" w:rsidP="009B400C">
            <w:pPr>
              <w:rPr>
                <w:rFonts w:ascii="Arial" w:hAnsi="Arial" w:cs="Arial"/>
                <w:color w:val="000000"/>
                <w:sz w:val="20"/>
                <w:szCs w:val="20"/>
              </w:rPr>
            </w:pPr>
            <w:r>
              <w:rPr>
                <w:rFonts w:ascii="Arial" w:hAnsi="Arial" w:cs="Arial"/>
                <w:color w:val="000000"/>
                <w:sz w:val="20"/>
                <w:szCs w:val="20"/>
              </w:rPr>
              <w:t xml:space="preserve">ADDITION: The Portfolio Profile worksheet asks the applicant to describe their fund using standardized strategy labels common in the industry.  </w:t>
            </w:r>
            <w:r w:rsidR="00CB54C1">
              <w:rPr>
                <w:rFonts w:ascii="Arial" w:hAnsi="Arial" w:cs="Arial"/>
                <w:color w:val="000000"/>
                <w:sz w:val="20"/>
                <w:szCs w:val="20"/>
              </w:rPr>
              <w:t>This label will help frame the analysis of the application materials</w:t>
            </w:r>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The "% Deals w/Sponsors" will help SBA understand the team's expected business development strategy.</w:t>
            </w:r>
            <w:r w:rsidR="009B400C">
              <w:rPr>
                <w:rFonts w:ascii="Arial" w:hAnsi="Arial" w:cs="Arial"/>
                <w:color w:val="000000"/>
                <w:sz w:val="20"/>
                <w:szCs w:val="20"/>
              </w:rPr>
              <w:t xml:space="preserve">  In the private equity industry, a “sponsor” is typically a lead equity investor who acquires control of a business by assembling a syndicate of additional equity and debt investments.</w:t>
            </w:r>
            <w:r>
              <w:rPr>
                <w:rFonts w:ascii="Arial" w:hAnsi="Arial" w:cs="Arial"/>
                <w:color w:val="000000"/>
                <w:sz w:val="20"/>
                <w:szCs w:val="20"/>
              </w:rPr>
              <w:t xml:space="preserve">  </w:t>
            </w:r>
            <w:r w:rsidR="009B439A">
              <w:rPr>
                <w:rFonts w:ascii="Arial" w:hAnsi="Arial" w:cs="Arial"/>
                <w:color w:val="000000"/>
                <w:sz w:val="20"/>
                <w:szCs w:val="20"/>
              </w:rPr>
              <w:t>Team’s that source a high percentage of their deal flow from sponsors may not be able to obtain favorable pricing and terms on their transactions, but may have easier access to deal flow</w:t>
            </w:r>
            <w:r>
              <w:rPr>
                <w:rFonts w:ascii="Arial" w:hAnsi="Arial" w:cs="Arial"/>
                <w:color w:val="000000"/>
                <w:sz w:val="20"/>
                <w:szCs w:val="20"/>
              </w:rPr>
              <w:t>.</w:t>
            </w:r>
          </w:p>
        </w:tc>
      </w:tr>
      <w:tr w:rsidR="003D0E7C" w:rsidTr="00CD529C">
        <w:trPr>
          <w:trHeight w:val="62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Form 2181: Excel Supplement - 5.1 Distribution Waterfall</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ADDITION: Understanding a fund's distribution waterfall is critical to evaluating the alignment of incentives between the principals and investors.  Asking the fund to provide a mathematical example will help SBA ensure it is compliant with regulations.</w:t>
            </w:r>
          </w:p>
        </w:tc>
      </w:tr>
      <w:tr w:rsidR="00CD529C" w:rsidTr="00695246">
        <w:trPr>
          <w:trHeight w:val="255"/>
        </w:trPr>
        <w:tc>
          <w:tcPr>
            <w:tcW w:w="955" w:type="pct"/>
            <w:tcBorders>
              <w:bottom w:val="single" w:sz="12" w:space="0" w:color="auto"/>
            </w:tcBorders>
            <w:shd w:val="clear" w:color="auto" w:fill="auto"/>
            <w:tcMar>
              <w:top w:w="29" w:type="dxa"/>
              <w:left w:w="72" w:type="dxa"/>
              <w:bottom w:w="29" w:type="dxa"/>
              <w:right w:w="72" w:type="dxa"/>
            </w:tcMar>
          </w:tcPr>
          <w:p w:rsidR="00CD529C" w:rsidRDefault="00CD529C" w:rsidP="00CD529C">
            <w:pPr>
              <w:rPr>
                <w:rFonts w:ascii="Arial" w:hAnsi="Arial" w:cs="Arial"/>
                <w:b/>
                <w:bCs/>
                <w:color w:val="000000"/>
                <w:sz w:val="20"/>
                <w:szCs w:val="20"/>
              </w:rPr>
            </w:pPr>
          </w:p>
        </w:tc>
        <w:tc>
          <w:tcPr>
            <w:tcW w:w="1780" w:type="pct"/>
            <w:tcBorders>
              <w:bottom w:val="single" w:sz="12" w:space="0" w:color="auto"/>
            </w:tcBorders>
            <w:shd w:val="clear" w:color="auto" w:fill="auto"/>
            <w:tcMar>
              <w:top w:w="29" w:type="dxa"/>
              <w:left w:w="72" w:type="dxa"/>
              <w:bottom w:w="29" w:type="dxa"/>
              <w:right w:w="72" w:type="dxa"/>
            </w:tcMar>
          </w:tcPr>
          <w:p w:rsidR="00CD529C" w:rsidRDefault="00CD529C" w:rsidP="00CD529C">
            <w:pPr>
              <w:rPr>
                <w:rFonts w:ascii="Arial" w:hAnsi="Arial" w:cs="Arial"/>
                <w:b/>
                <w:bCs/>
                <w:color w:val="000000"/>
                <w:sz w:val="20"/>
                <w:szCs w:val="20"/>
              </w:rPr>
            </w:pPr>
          </w:p>
        </w:tc>
        <w:tc>
          <w:tcPr>
            <w:tcW w:w="2265" w:type="pct"/>
            <w:tcBorders>
              <w:bottom w:val="single" w:sz="12" w:space="0" w:color="auto"/>
            </w:tcBorders>
            <w:shd w:val="clear" w:color="auto" w:fill="auto"/>
            <w:tcMar>
              <w:top w:w="29" w:type="dxa"/>
              <w:left w:w="72" w:type="dxa"/>
              <w:bottom w:w="29" w:type="dxa"/>
              <w:right w:w="72" w:type="dxa"/>
            </w:tcMar>
          </w:tcPr>
          <w:p w:rsidR="00CD529C" w:rsidRDefault="00CD529C" w:rsidP="00CD529C">
            <w:pPr>
              <w:rPr>
                <w:rFonts w:ascii="Arial" w:hAnsi="Arial" w:cs="Arial"/>
                <w:color w:val="000000"/>
                <w:sz w:val="20"/>
                <w:szCs w:val="20"/>
              </w:rPr>
            </w:pPr>
          </w:p>
          <w:p w:rsidR="006B1505" w:rsidRDefault="006B1505" w:rsidP="00CD529C">
            <w:pPr>
              <w:rPr>
                <w:rFonts w:ascii="Arial" w:hAnsi="Arial" w:cs="Arial"/>
                <w:color w:val="000000"/>
                <w:sz w:val="20"/>
                <w:szCs w:val="20"/>
              </w:rPr>
            </w:pPr>
          </w:p>
        </w:tc>
      </w:tr>
      <w:tr w:rsidR="008802FA" w:rsidTr="00695246">
        <w:trPr>
          <w:trHeight w:val="255"/>
        </w:trPr>
        <w:tc>
          <w:tcPr>
            <w:tcW w:w="955" w:type="pct"/>
            <w:tcBorders>
              <w:top w:val="single" w:sz="12" w:space="0" w:color="auto"/>
              <w:bottom w:val="single" w:sz="12" w:space="0" w:color="auto"/>
            </w:tcBorders>
            <w:shd w:val="clear" w:color="auto" w:fill="auto"/>
            <w:tcMar>
              <w:top w:w="29" w:type="dxa"/>
              <w:left w:w="72" w:type="dxa"/>
              <w:bottom w:w="29" w:type="dxa"/>
              <w:right w:w="72" w:type="dxa"/>
            </w:tcMar>
          </w:tcPr>
          <w:p w:rsidR="008802FA" w:rsidRDefault="008802FA" w:rsidP="00CD529C">
            <w:pPr>
              <w:rPr>
                <w:rFonts w:ascii="Arial" w:hAnsi="Arial" w:cs="Arial"/>
                <w:b/>
                <w:bCs/>
                <w:color w:val="000000"/>
                <w:sz w:val="20"/>
                <w:szCs w:val="20"/>
              </w:rPr>
            </w:pPr>
            <w:r>
              <w:rPr>
                <w:rFonts w:ascii="Arial" w:hAnsi="Arial" w:cs="Arial"/>
                <w:b/>
                <w:bCs/>
                <w:color w:val="000000"/>
                <w:sz w:val="20"/>
                <w:szCs w:val="20"/>
              </w:rPr>
              <w:lastRenderedPageBreak/>
              <w:t>Form 2182</w:t>
            </w:r>
            <w:r w:rsidR="00CD529C">
              <w:rPr>
                <w:rFonts w:ascii="Arial" w:hAnsi="Arial" w:cs="Arial"/>
                <w:b/>
                <w:bCs/>
                <w:color w:val="000000"/>
                <w:sz w:val="20"/>
                <w:szCs w:val="20"/>
              </w:rPr>
              <w:t xml:space="preserve"> &amp; Form 2183</w:t>
            </w:r>
          </w:p>
        </w:tc>
        <w:tc>
          <w:tcPr>
            <w:tcW w:w="1780" w:type="pct"/>
            <w:tcBorders>
              <w:top w:val="single" w:sz="12" w:space="0" w:color="auto"/>
              <w:bottom w:val="single" w:sz="12" w:space="0" w:color="auto"/>
            </w:tcBorders>
            <w:shd w:val="clear" w:color="auto" w:fill="auto"/>
            <w:tcMar>
              <w:top w:w="29" w:type="dxa"/>
              <w:left w:w="72" w:type="dxa"/>
              <w:bottom w:w="29" w:type="dxa"/>
              <w:right w:w="72" w:type="dxa"/>
            </w:tcMar>
          </w:tcPr>
          <w:p w:rsidR="008802FA" w:rsidRDefault="008802FA" w:rsidP="00CD529C">
            <w:pPr>
              <w:rPr>
                <w:rFonts w:ascii="Arial" w:hAnsi="Arial" w:cs="Arial"/>
                <w:b/>
                <w:bCs/>
                <w:color w:val="000000"/>
                <w:sz w:val="20"/>
                <w:szCs w:val="20"/>
              </w:rPr>
            </w:pPr>
            <w:r>
              <w:rPr>
                <w:rFonts w:ascii="Arial" w:hAnsi="Arial" w:cs="Arial"/>
                <w:b/>
                <w:bCs/>
                <w:color w:val="000000"/>
                <w:sz w:val="20"/>
                <w:szCs w:val="20"/>
              </w:rPr>
              <w:t>Form 2182: Principal Exhibits</w:t>
            </w:r>
            <w:r w:rsidR="000F65DA">
              <w:rPr>
                <w:rFonts w:ascii="Arial" w:hAnsi="Arial" w:cs="Arial"/>
                <w:b/>
                <w:bCs/>
                <w:color w:val="000000"/>
                <w:sz w:val="20"/>
                <w:szCs w:val="20"/>
              </w:rPr>
              <w:t xml:space="preserve"> (Exhibits A-J)</w:t>
            </w:r>
          </w:p>
          <w:p w:rsidR="000F65DA" w:rsidRDefault="000F65DA" w:rsidP="00CD529C">
            <w:pPr>
              <w:rPr>
                <w:rFonts w:ascii="Arial" w:hAnsi="Arial" w:cs="Arial"/>
                <w:b/>
                <w:bCs/>
                <w:color w:val="000000"/>
                <w:sz w:val="20"/>
                <w:szCs w:val="20"/>
              </w:rPr>
            </w:pPr>
          </w:p>
          <w:p w:rsidR="008802FA" w:rsidRDefault="008802FA" w:rsidP="00CD529C">
            <w:pPr>
              <w:rPr>
                <w:rFonts w:ascii="Arial" w:hAnsi="Arial" w:cs="Arial"/>
                <w:b/>
                <w:bCs/>
                <w:color w:val="000000"/>
                <w:sz w:val="20"/>
                <w:szCs w:val="20"/>
              </w:rPr>
            </w:pPr>
            <w:r>
              <w:rPr>
                <w:rFonts w:ascii="Arial" w:hAnsi="Arial" w:cs="Arial"/>
                <w:b/>
                <w:bCs/>
                <w:color w:val="000000"/>
                <w:sz w:val="20"/>
                <w:szCs w:val="20"/>
              </w:rPr>
              <w:t>Form 2183: Fund Exhibits</w:t>
            </w:r>
            <w:r w:rsidR="000F65DA">
              <w:rPr>
                <w:rFonts w:ascii="Arial" w:hAnsi="Arial" w:cs="Arial"/>
                <w:b/>
                <w:bCs/>
                <w:color w:val="000000"/>
                <w:sz w:val="20"/>
                <w:szCs w:val="20"/>
              </w:rPr>
              <w:t xml:space="preserve"> (Exhibits K-S)</w:t>
            </w:r>
          </w:p>
        </w:tc>
        <w:tc>
          <w:tcPr>
            <w:tcW w:w="2265" w:type="pct"/>
            <w:tcBorders>
              <w:top w:val="single" w:sz="12" w:space="0" w:color="auto"/>
              <w:bottom w:val="single" w:sz="12" w:space="0" w:color="auto"/>
            </w:tcBorders>
            <w:shd w:val="clear" w:color="auto" w:fill="auto"/>
            <w:tcMar>
              <w:top w:w="29" w:type="dxa"/>
              <w:left w:w="72" w:type="dxa"/>
              <w:bottom w:w="29" w:type="dxa"/>
              <w:right w:w="72" w:type="dxa"/>
            </w:tcMar>
          </w:tcPr>
          <w:p w:rsidR="008802FA" w:rsidRDefault="00CD529C" w:rsidP="00CD529C">
            <w:pPr>
              <w:rPr>
                <w:rFonts w:ascii="Arial" w:hAnsi="Arial" w:cs="Arial"/>
                <w:color w:val="000000"/>
                <w:sz w:val="20"/>
                <w:szCs w:val="20"/>
              </w:rPr>
            </w:pPr>
            <w:r>
              <w:rPr>
                <w:rFonts w:ascii="Arial" w:hAnsi="Arial" w:cs="Arial"/>
                <w:color w:val="000000"/>
                <w:sz w:val="20"/>
                <w:szCs w:val="20"/>
              </w:rPr>
              <w:t>The prior version of Form 2182, of which the prior version of Form 2183 was a subset, has been reorganized:</w:t>
            </w:r>
          </w:p>
          <w:p w:rsidR="00CD529C" w:rsidRDefault="00CD529C" w:rsidP="00CD529C">
            <w:pPr>
              <w:rPr>
                <w:rFonts w:ascii="Arial" w:hAnsi="Arial" w:cs="Arial"/>
                <w:color w:val="000000"/>
                <w:sz w:val="20"/>
                <w:szCs w:val="20"/>
              </w:rPr>
            </w:pPr>
          </w:p>
          <w:p w:rsidR="00CD529C" w:rsidRDefault="00CD529C" w:rsidP="00CD529C">
            <w:pPr>
              <w:rPr>
                <w:rFonts w:ascii="Arial" w:hAnsi="Arial" w:cs="Arial"/>
                <w:color w:val="000000"/>
                <w:sz w:val="20"/>
                <w:szCs w:val="20"/>
              </w:rPr>
            </w:pPr>
            <w:r>
              <w:rPr>
                <w:rFonts w:ascii="Arial" w:hAnsi="Arial" w:cs="Arial"/>
                <w:color w:val="000000"/>
                <w:sz w:val="20"/>
                <w:szCs w:val="20"/>
              </w:rPr>
              <w:t>The new version of Form 2182 contains “Principal Exhibits,” which are exhibits that each principal must complete individually.</w:t>
            </w:r>
          </w:p>
          <w:p w:rsidR="00CD529C" w:rsidRDefault="00CD529C" w:rsidP="00CD529C">
            <w:pPr>
              <w:rPr>
                <w:rFonts w:ascii="Arial" w:hAnsi="Arial" w:cs="Arial"/>
                <w:color w:val="000000"/>
                <w:sz w:val="20"/>
                <w:szCs w:val="20"/>
              </w:rPr>
            </w:pPr>
          </w:p>
          <w:p w:rsidR="006B1505" w:rsidRDefault="00CD529C" w:rsidP="006B1505">
            <w:pPr>
              <w:rPr>
                <w:rFonts w:ascii="Arial" w:hAnsi="Arial" w:cs="Arial"/>
                <w:color w:val="000000"/>
                <w:sz w:val="20"/>
                <w:szCs w:val="20"/>
              </w:rPr>
            </w:pPr>
            <w:r>
              <w:rPr>
                <w:rFonts w:ascii="Arial" w:hAnsi="Arial" w:cs="Arial"/>
                <w:color w:val="000000"/>
                <w:sz w:val="20"/>
                <w:szCs w:val="20"/>
              </w:rPr>
              <w:t>The new version of Form 2183 contains “Fund Exhibits,” which are exhibits that relate to the applicant entity.</w:t>
            </w:r>
          </w:p>
          <w:p w:rsidR="00CD529C" w:rsidRDefault="000D7F48" w:rsidP="00057924">
            <w:pPr>
              <w:rPr>
                <w:rFonts w:ascii="Arial" w:hAnsi="Arial" w:cs="Arial"/>
                <w:color w:val="000000"/>
                <w:sz w:val="20"/>
                <w:szCs w:val="20"/>
              </w:rPr>
            </w:pPr>
            <w:r>
              <w:rPr>
                <w:rFonts w:ascii="Arial" w:hAnsi="Arial" w:cs="Arial"/>
                <w:color w:val="000000"/>
                <w:sz w:val="20"/>
                <w:szCs w:val="20"/>
              </w:rPr>
              <w:t xml:space="preserve"> </w:t>
            </w:r>
          </w:p>
        </w:tc>
      </w:tr>
      <w:tr w:rsidR="003D0E7C" w:rsidTr="00695246">
        <w:trPr>
          <w:trHeight w:val="255"/>
        </w:trPr>
        <w:tc>
          <w:tcPr>
            <w:tcW w:w="955" w:type="pct"/>
            <w:tcBorders>
              <w:top w:val="single" w:sz="12" w:space="0" w:color="auto"/>
            </w:tcBorders>
            <w:shd w:val="clear" w:color="auto" w:fill="auto"/>
            <w:tcMar>
              <w:top w:w="29" w:type="dxa"/>
              <w:left w:w="72" w:type="dxa"/>
              <w:bottom w:w="29" w:type="dxa"/>
              <w:right w:w="72" w:type="dxa"/>
            </w:tcMar>
            <w:hideMark/>
          </w:tcPr>
          <w:p w:rsidR="003D0E7C" w:rsidRDefault="003D0E7C" w:rsidP="00CD529C">
            <w:pPr>
              <w:rPr>
                <w:rFonts w:ascii="Arial" w:hAnsi="Arial" w:cs="Arial"/>
                <w:b/>
                <w:bCs/>
                <w:color w:val="000000"/>
                <w:sz w:val="20"/>
                <w:szCs w:val="20"/>
              </w:rPr>
            </w:pPr>
            <w:r>
              <w:rPr>
                <w:rFonts w:ascii="Arial" w:hAnsi="Arial" w:cs="Arial"/>
                <w:b/>
                <w:bCs/>
                <w:color w:val="000000"/>
                <w:sz w:val="20"/>
                <w:szCs w:val="20"/>
              </w:rPr>
              <w:t>Exhibit A</w:t>
            </w:r>
          </w:p>
        </w:tc>
        <w:tc>
          <w:tcPr>
            <w:tcW w:w="1780" w:type="pct"/>
            <w:tcBorders>
              <w:top w:val="single" w:sz="12" w:space="0" w:color="auto"/>
            </w:tcBorders>
            <w:shd w:val="clear" w:color="auto" w:fill="auto"/>
            <w:tcMar>
              <w:top w:w="29" w:type="dxa"/>
              <w:left w:w="72" w:type="dxa"/>
              <w:bottom w:w="29" w:type="dxa"/>
              <w:right w:w="72" w:type="dxa"/>
            </w:tcMar>
            <w:hideMark/>
          </w:tcPr>
          <w:p w:rsidR="003D0E7C" w:rsidRDefault="003D0E7C" w:rsidP="00CD529C">
            <w:pPr>
              <w:rPr>
                <w:rFonts w:ascii="Arial" w:hAnsi="Arial" w:cs="Arial"/>
                <w:b/>
                <w:bCs/>
                <w:color w:val="000000"/>
                <w:sz w:val="20"/>
                <w:szCs w:val="20"/>
              </w:rPr>
            </w:pPr>
            <w:r>
              <w:rPr>
                <w:rFonts w:ascii="Arial" w:hAnsi="Arial" w:cs="Arial"/>
                <w:b/>
                <w:bCs/>
                <w:color w:val="000000"/>
                <w:sz w:val="20"/>
                <w:szCs w:val="20"/>
              </w:rPr>
              <w:t>REMOVED</w:t>
            </w:r>
          </w:p>
        </w:tc>
        <w:tc>
          <w:tcPr>
            <w:tcW w:w="2265" w:type="pct"/>
            <w:tcBorders>
              <w:top w:val="single" w:sz="12" w:space="0" w:color="auto"/>
            </w:tcBorders>
            <w:shd w:val="clear" w:color="auto" w:fill="auto"/>
            <w:tcMar>
              <w:top w:w="29" w:type="dxa"/>
              <w:left w:w="72" w:type="dxa"/>
              <w:bottom w:w="29" w:type="dxa"/>
              <w:right w:w="72" w:type="dxa"/>
            </w:tcMar>
            <w:hideMark/>
          </w:tcPr>
          <w:p w:rsidR="003D0E7C" w:rsidRDefault="003D0E7C" w:rsidP="005E4F6B">
            <w:pPr>
              <w:rPr>
                <w:rFonts w:ascii="Arial" w:hAnsi="Arial" w:cs="Arial"/>
                <w:color w:val="000000"/>
                <w:sz w:val="20"/>
                <w:szCs w:val="20"/>
              </w:rPr>
            </w:pPr>
            <w:r>
              <w:rPr>
                <w:rFonts w:ascii="Arial" w:hAnsi="Arial" w:cs="Arial"/>
                <w:color w:val="000000"/>
                <w:sz w:val="20"/>
                <w:szCs w:val="20"/>
              </w:rPr>
              <w:t xml:space="preserve">This </w:t>
            </w:r>
            <w:r w:rsidR="005E4F6B">
              <w:rPr>
                <w:rFonts w:ascii="Arial" w:hAnsi="Arial" w:cs="Arial"/>
                <w:color w:val="000000"/>
                <w:sz w:val="20"/>
                <w:szCs w:val="20"/>
              </w:rPr>
              <w:t>exhibit</w:t>
            </w:r>
            <w:r>
              <w:rPr>
                <w:rFonts w:ascii="Arial" w:hAnsi="Arial" w:cs="Arial"/>
                <w:color w:val="000000"/>
                <w:sz w:val="20"/>
                <w:szCs w:val="20"/>
              </w:rPr>
              <w:t xml:space="preserve"> is no longer required</w:t>
            </w:r>
          </w:p>
        </w:tc>
      </w:tr>
      <w:tr w:rsidR="003D0E7C" w:rsidTr="00CD529C">
        <w:trPr>
          <w:trHeight w:val="255"/>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b/>
                <w:bCs/>
                <w:color w:val="000000"/>
                <w:sz w:val="20"/>
                <w:szCs w:val="20"/>
              </w:rPr>
            </w:pPr>
            <w:r>
              <w:rPr>
                <w:rFonts w:ascii="Arial" w:hAnsi="Arial" w:cs="Arial"/>
                <w:b/>
                <w:bCs/>
                <w:color w:val="000000"/>
                <w:sz w:val="20"/>
                <w:szCs w:val="20"/>
              </w:rPr>
              <w:t>Exhibit D</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b/>
                <w:bCs/>
                <w:color w:val="000000"/>
                <w:sz w:val="20"/>
                <w:szCs w:val="20"/>
              </w:rPr>
            </w:pPr>
            <w:r>
              <w:rPr>
                <w:rFonts w:ascii="Arial" w:hAnsi="Arial" w:cs="Arial"/>
                <w:b/>
                <w:bCs/>
                <w:color w:val="000000"/>
                <w:sz w:val="20"/>
                <w:szCs w:val="20"/>
              </w:rPr>
              <w:t>Exhibit B</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r>
      <w:tr w:rsidR="003D0E7C" w:rsidTr="00CD529C">
        <w:trPr>
          <w:trHeight w:val="422"/>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D7</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B13</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This question has been altered.  Whereas D7 asked principals to indicate whether or not they had been a defendant in any civil action involving claims greater than $500,000, B13 asks the same question for claims greater than $500,000 for corporate liabilities and greater than $100,000 for personal liabilities.</w:t>
            </w:r>
          </w:p>
        </w:tc>
      </w:tr>
      <w:tr w:rsidR="003D0E7C" w:rsidTr="00CD529C">
        <w:trPr>
          <w:trHeight w:val="255"/>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b/>
                <w:bCs/>
                <w:color w:val="000000"/>
                <w:sz w:val="20"/>
                <w:szCs w:val="20"/>
              </w:rPr>
            </w:pPr>
            <w:r>
              <w:rPr>
                <w:rFonts w:ascii="Arial" w:hAnsi="Arial" w:cs="Arial"/>
                <w:b/>
                <w:bCs/>
                <w:color w:val="000000"/>
                <w:sz w:val="20"/>
                <w:szCs w:val="20"/>
              </w:rPr>
              <w:t>Exhibit F</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b/>
                <w:bCs/>
                <w:color w:val="000000"/>
                <w:sz w:val="20"/>
                <w:szCs w:val="20"/>
              </w:rPr>
            </w:pPr>
            <w:r>
              <w:rPr>
                <w:rFonts w:ascii="Arial" w:hAnsi="Arial" w:cs="Arial"/>
                <w:b/>
                <w:bCs/>
                <w:color w:val="000000"/>
                <w:sz w:val="20"/>
                <w:szCs w:val="20"/>
              </w:rPr>
              <w:t>Exhibit E</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r>
      <w:tr w:rsidR="003D0E7C" w:rsidTr="00CD529C">
        <w:trPr>
          <w:trHeight w:val="7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F1</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REMOVED</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Sub-exhibit removed.  The information contained in this sub-exhibit was duplicative and provided information of limited use.</w:t>
            </w:r>
          </w:p>
        </w:tc>
      </w:tr>
      <w:tr w:rsidR="003D0E7C" w:rsidTr="00CD529C">
        <w:trPr>
          <w:trHeight w:val="2087"/>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F2-A.</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E1-A.</w:t>
            </w:r>
            <w:r>
              <w:rPr>
                <w:rFonts w:ascii="Arial" w:hAnsi="Arial" w:cs="Arial"/>
                <w:color w:val="000000"/>
                <w:sz w:val="20"/>
                <w:szCs w:val="20"/>
              </w:rPr>
              <w:br/>
            </w:r>
            <w:r>
              <w:rPr>
                <w:rFonts w:ascii="Arial" w:hAnsi="Arial" w:cs="Arial"/>
                <w:i/>
                <w:iCs/>
                <w:color w:val="000000"/>
                <w:sz w:val="20"/>
                <w:szCs w:val="20"/>
              </w:rPr>
              <w:t>Added:</w:t>
            </w:r>
            <w:r>
              <w:rPr>
                <w:rFonts w:ascii="Arial" w:hAnsi="Arial" w:cs="Arial"/>
                <w:i/>
                <w:iCs/>
                <w:color w:val="000000"/>
                <w:sz w:val="20"/>
                <w:szCs w:val="20"/>
              </w:rPr>
              <w:br/>
            </w:r>
            <w:r>
              <w:rPr>
                <w:rFonts w:ascii="Arial" w:hAnsi="Arial" w:cs="Arial"/>
                <w:color w:val="000000"/>
                <w:sz w:val="20"/>
                <w:szCs w:val="20"/>
              </w:rPr>
              <w:t>- Fund Type</w:t>
            </w:r>
            <w:r>
              <w:rPr>
                <w:rFonts w:ascii="Arial" w:hAnsi="Arial" w:cs="Arial"/>
                <w:color w:val="000000"/>
                <w:sz w:val="20"/>
                <w:szCs w:val="20"/>
              </w:rPr>
              <w:br/>
              <w:t>- Benchmark Type</w:t>
            </w:r>
            <w:r>
              <w:rPr>
                <w:rFonts w:ascii="Arial" w:hAnsi="Arial" w:cs="Arial"/>
                <w:color w:val="000000"/>
                <w:sz w:val="20"/>
                <w:szCs w:val="20"/>
              </w:rPr>
              <w:br/>
              <w:t>- All principal names/initials</w:t>
            </w:r>
            <w:r>
              <w:rPr>
                <w:rFonts w:ascii="Arial" w:hAnsi="Arial" w:cs="Arial"/>
                <w:color w:val="000000"/>
                <w:sz w:val="20"/>
                <w:szCs w:val="20"/>
              </w:rPr>
              <w:br/>
            </w:r>
            <w:r>
              <w:rPr>
                <w:rFonts w:ascii="Arial" w:hAnsi="Arial" w:cs="Arial"/>
                <w:color w:val="000000"/>
                <w:sz w:val="20"/>
                <w:szCs w:val="20"/>
              </w:rPr>
              <w:br/>
            </w:r>
            <w:r>
              <w:rPr>
                <w:rFonts w:ascii="Arial" w:hAnsi="Arial" w:cs="Arial"/>
                <w:i/>
                <w:iCs/>
                <w:color w:val="000000"/>
                <w:sz w:val="20"/>
                <w:szCs w:val="20"/>
              </w:rPr>
              <w:t>Removed:</w:t>
            </w:r>
            <w:r>
              <w:rPr>
                <w:rFonts w:ascii="Arial" w:hAnsi="Arial" w:cs="Arial"/>
                <w:i/>
                <w:iCs/>
                <w:color w:val="000000"/>
                <w:sz w:val="20"/>
                <w:szCs w:val="20"/>
              </w:rPr>
              <w:br/>
            </w:r>
            <w:r>
              <w:rPr>
                <w:rFonts w:ascii="Arial" w:hAnsi="Arial" w:cs="Arial"/>
                <w:color w:val="000000"/>
                <w:sz w:val="20"/>
                <w:szCs w:val="20"/>
              </w:rPr>
              <w:t>- Fund location</w:t>
            </w:r>
          </w:p>
        </w:tc>
        <w:tc>
          <w:tcPr>
            <w:tcW w:w="2265" w:type="pct"/>
            <w:shd w:val="clear" w:color="auto" w:fill="auto"/>
            <w:tcMar>
              <w:top w:w="29" w:type="dxa"/>
              <w:left w:w="72" w:type="dxa"/>
              <w:bottom w:w="29" w:type="dxa"/>
              <w:right w:w="72" w:type="dxa"/>
            </w:tcMar>
            <w:hideMark/>
          </w:tcPr>
          <w:p w:rsidR="003D0E7C" w:rsidRDefault="003D0E7C" w:rsidP="00FE7CA5">
            <w:pPr>
              <w:rPr>
                <w:rFonts w:ascii="Arial" w:hAnsi="Arial" w:cs="Arial"/>
                <w:color w:val="000000"/>
                <w:sz w:val="20"/>
                <w:szCs w:val="20"/>
              </w:rPr>
            </w:pPr>
            <w:r>
              <w:rPr>
                <w:rFonts w:ascii="Arial" w:hAnsi="Arial" w:cs="Arial"/>
                <w:color w:val="000000"/>
                <w:sz w:val="20"/>
                <w:szCs w:val="20"/>
              </w:rPr>
              <w:t>The applicants are asked to select a fund type from a drop-down menu or provide their own label.  This will help SBA analysis interpret the track record in the appropriate context.</w:t>
            </w:r>
            <w:r>
              <w:rPr>
                <w:rFonts w:ascii="Arial" w:hAnsi="Arial" w:cs="Arial"/>
                <w:color w:val="000000"/>
                <w:sz w:val="20"/>
                <w:szCs w:val="20"/>
              </w:rPr>
              <w:br/>
            </w:r>
            <w:r>
              <w:rPr>
                <w:rFonts w:ascii="Arial" w:hAnsi="Arial" w:cs="Arial"/>
                <w:color w:val="000000"/>
                <w:sz w:val="20"/>
                <w:szCs w:val="20"/>
              </w:rPr>
              <w:br/>
              <w:t>Similar</w:t>
            </w:r>
            <w:r w:rsidR="0078483B">
              <w:rPr>
                <w:rFonts w:ascii="Arial" w:hAnsi="Arial" w:cs="Arial"/>
                <w:color w:val="000000"/>
                <w:sz w:val="20"/>
                <w:szCs w:val="20"/>
              </w:rPr>
              <w:t>l</w:t>
            </w:r>
            <w:r>
              <w:rPr>
                <w:rFonts w:ascii="Arial" w:hAnsi="Arial" w:cs="Arial"/>
                <w:color w:val="000000"/>
                <w:sz w:val="20"/>
                <w:szCs w:val="20"/>
              </w:rPr>
              <w:t xml:space="preserve">y, asking the funds to indicate the benchmark type that is most appropriate will also provide additional </w:t>
            </w:r>
            <w:r w:rsidR="00FE7CA5">
              <w:rPr>
                <w:rFonts w:ascii="Arial" w:hAnsi="Arial" w:cs="Arial"/>
                <w:color w:val="000000"/>
                <w:sz w:val="20"/>
                <w:szCs w:val="20"/>
              </w:rPr>
              <w:t xml:space="preserve">context </w:t>
            </w:r>
            <w:r>
              <w:rPr>
                <w:rFonts w:ascii="Arial" w:hAnsi="Arial" w:cs="Arial"/>
                <w:color w:val="000000"/>
                <w:sz w:val="20"/>
                <w:szCs w:val="20"/>
              </w:rPr>
              <w:t>in which to analyze the track record.</w:t>
            </w:r>
            <w:r>
              <w:rPr>
                <w:rFonts w:ascii="Arial" w:hAnsi="Arial" w:cs="Arial"/>
                <w:color w:val="000000"/>
                <w:sz w:val="20"/>
                <w:szCs w:val="20"/>
              </w:rPr>
              <w:br/>
            </w:r>
            <w:r>
              <w:rPr>
                <w:rFonts w:ascii="Arial" w:hAnsi="Arial" w:cs="Arial"/>
                <w:color w:val="000000"/>
                <w:sz w:val="20"/>
                <w:szCs w:val="20"/>
              </w:rPr>
              <w:br/>
              <w:t>The current F2 only asks applicants to identify their own role in managing transactions.  To help with the diligence process and to ensure the applicants are making accurate attribution claims, E1 asks the principals to provide all the names/initials of those who served on the investment committee of the fund or led deals.</w:t>
            </w:r>
          </w:p>
          <w:p w:rsidR="003C6F2A" w:rsidRDefault="003C6F2A" w:rsidP="00FE7CA5">
            <w:pPr>
              <w:rPr>
                <w:rFonts w:ascii="Arial" w:hAnsi="Arial" w:cs="Arial"/>
                <w:color w:val="000000"/>
                <w:sz w:val="20"/>
                <w:szCs w:val="20"/>
              </w:rPr>
            </w:pPr>
          </w:p>
          <w:p w:rsidR="003C6F2A" w:rsidRDefault="003C6F2A" w:rsidP="003C6F2A">
            <w:pPr>
              <w:rPr>
                <w:rFonts w:ascii="Arial" w:hAnsi="Arial" w:cs="Arial"/>
                <w:color w:val="000000"/>
                <w:sz w:val="20"/>
                <w:szCs w:val="20"/>
              </w:rPr>
            </w:pPr>
            <w:r>
              <w:rPr>
                <w:rFonts w:ascii="Arial" w:hAnsi="Arial" w:cs="Arial"/>
                <w:color w:val="000000"/>
                <w:sz w:val="20"/>
                <w:szCs w:val="20"/>
              </w:rPr>
              <w:t>The Fund Location was removed.  This information is of limited use.</w:t>
            </w:r>
          </w:p>
        </w:tc>
      </w:tr>
      <w:tr w:rsidR="003D0E7C" w:rsidTr="00CD529C">
        <w:trPr>
          <w:trHeight w:val="1493"/>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lastRenderedPageBreak/>
              <w:t>F2-B.</w:t>
            </w: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E1-B.</w:t>
            </w:r>
            <w:r>
              <w:rPr>
                <w:rFonts w:ascii="Arial" w:hAnsi="Arial" w:cs="Arial"/>
                <w:color w:val="000000"/>
                <w:sz w:val="20"/>
                <w:szCs w:val="20"/>
              </w:rPr>
              <w:br/>
            </w:r>
            <w:r>
              <w:rPr>
                <w:rFonts w:ascii="Arial" w:hAnsi="Arial" w:cs="Arial"/>
                <w:i/>
                <w:iCs/>
                <w:color w:val="000000"/>
                <w:sz w:val="20"/>
                <w:szCs w:val="20"/>
              </w:rPr>
              <w:t>Added:</w:t>
            </w:r>
            <w:r>
              <w:rPr>
                <w:rFonts w:ascii="Arial" w:hAnsi="Arial" w:cs="Arial"/>
                <w:i/>
                <w:iCs/>
                <w:color w:val="000000"/>
                <w:sz w:val="20"/>
                <w:szCs w:val="20"/>
              </w:rPr>
              <w:br/>
            </w:r>
            <w:r>
              <w:rPr>
                <w:rFonts w:ascii="Arial" w:hAnsi="Arial" w:cs="Arial"/>
                <w:color w:val="000000"/>
                <w:sz w:val="20"/>
                <w:szCs w:val="20"/>
              </w:rPr>
              <w:t>- Deal Source</w:t>
            </w:r>
            <w:r>
              <w:rPr>
                <w:rFonts w:ascii="Arial" w:hAnsi="Arial" w:cs="Arial"/>
                <w:color w:val="000000"/>
                <w:sz w:val="20"/>
                <w:szCs w:val="20"/>
              </w:rPr>
              <w:br/>
              <w:t>- Co-Creditors</w:t>
            </w:r>
            <w:r>
              <w:rPr>
                <w:rFonts w:ascii="Arial" w:hAnsi="Arial" w:cs="Arial"/>
                <w:color w:val="000000"/>
                <w:sz w:val="20"/>
                <w:szCs w:val="20"/>
              </w:rPr>
              <w:br/>
              <w:t>- Equity Investors</w:t>
            </w:r>
          </w:p>
        </w:tc>
        <w:tc>
          <w:tcPr>
            <w:tcW w:w="2265" w:type="pct"/>
            <w:shd w:val="clear" w:color="auto" w:fill="auto"/>
            <w:tcMar>
              <w:top w:w="29" w:type="dxa"/>
              <w:left w:w="72" w:type="dxa"/>
              <w:bottom w:w="29" w:type="dxa"/>
              <w:right w:w="72" w:type="dxa"/>
            </w:tcMar>
            <w:hideMark/>
          </w:tcPr>
          <w:p w:rsidR="003D0E7C" w:rsidRDefault="003D0E7C" w:rsidP="005C17C7">
            <w:pPr>
              <w:rPr>
                <w:rFonts w:ascii="Arial" w:hAnsi="Arial" w:cs="Arial"/>
                <w:color w:val="000000"/>
                <w:sz w:val="20"/>
                <w:szCs w:val="20"/>
              </w:rPr>
            </w:pPr>
            <w:r>
              <w:rPr>
                <w:rFonts w:ascii="Arial" w:hAnsi="Arial" w:cs="Arial"/>
                <w:color w:val="000000"/>
                <w:sz w:val="20"/>
                <w:szCs w:val="20"/>
              </w:rPr>
              <w:t xml:space="preserve">The </w:t>
            </w:r>
            <w:r w:rsidR="005C17C7">
              <w:rPr>
                <w:rFonts w:ascii="Arial" w:hAnsi="Arial" w:cs="Arial"/>
                <w:color w:val="000000"/>
                <w:sz w:val="20"/>
                <w:szCs w:val="20"/>
              </w:rPr>
              <w:t>D</w:t>
            </w:r>
            <w:r>
              <w:rPr>
                <w:rFonts w:ascii="Arial" w:hAnsi="Arial" w:cs="Arial"/>
                <w:color w:val="000000"/>
                <w:sz w:val="20"/>
                <w:szCs w:val="20"/>
              </w:rPr>
              <w:t xml:space="preserve">eal </w:t>
            </w:r>
            <w:r w:rsidR="005C17C7">
              <w:rPr>
                <w:rFonts w:ascii="Arial" w:hAnsi="Arial" w:cs="Arial"/>
                <w:color w:val="000000"/>
                <w:sz w:val="20"/>
                <w:szCs w:val="20"/>
              </w:rPr>
              <w:t>S</w:t>
            </w:r>
            <w:r>
              <w:rPr>
                <w:rFonts w:ascii="Arial" w:hAnsi="Arial" w:cs="Arial"/>
                <w:color w:val="000000"/>
                <w:sz w:val="20"/>
                <w:szCs w:val="20"/>
              </w:rPr>
              <w:t xml:space="preserve">ource </w:t>
            </w:r>
            <w:r w:rsidR="005C17C7">
              <w:rPr>
                <w:rFonts w:ascii="Arial" w:hAnsi="Arial" w:cs="Arial"/>
                <w:color w:val="000000"/>
                <w:sz w:val="20"/>
                <w:szCs w:val="20"/>
              </w:rPr>
              <w:t xml:space="preserve">field </w:t>
            </w:r>
            <w:r>
              <w:rPr>
                <w:rFonts w:ascii="Arial" w:hAnsi="Arial" w:cs="Arial"/>
                <w:color w:val="000000"/>
                <w:sz w:val="20"/>
                <w:szCs w:val="20"/>
              </w:rPr>
              <w:t>asks applicants to indicate the origin of each transaction.  Understanding the principals' past origination strategies will be useful in assessing their strategy going forward.</w:t>
            </w:r>
            <w:r>
              <w:rPr>
                <w:rFonts w:ascii="Arial" w:hAnsi="Arial" w:cs="Arial"/>
                <w:color w:val="000000"/>
                <w:sz w:val="20"/>
                <w:szCs w:val="20"/>
              </w:rPr>
              <w:br/>
            </w:r>
            <w:r>
              <w:rPr>
                <w:rFonts w:ascii="Arial" w:hAnsi="Arial" w:cs="Arial"/>
                <w:color w:val="000000"/>
                <w:sz w:val="20"/>
                <w:szCs w:val="20"/>
              </w:rPr>
              <w:br/>
              <w:t xml:space="preserve">Applicants have always been asked to provide the names of "Co-Investors" in each transaction.  These two new fields simply ask them to now classify them as debt or equity providers. </w:t>
            </w:r>
          </w:p>
        </w:tc>
      </w:tr>
      <w:tr w:rsidR="000C45C7" w:rsidTr="00CD529C">
        <w:trPr>
          <w:trHeight w:val="2550"/>
        </w:trPr>
        <w:tc>
          <w:tcPr>
            <w:tcW w:w="955" w:type="pct"/>
            <w:shd w:val="clear" w:color="auto" w:fill="auto"/>
            <w:tcMar>
              <w:top w:w="29" w:type="dxa"/>
              <w:left w:w="72" w:type="dxa"/>
              <w:bottom w:w="29" w:type="dxa"/>
              <w:right w:w="72" w:type="dxa"/>
            </w:tcMar>
          </w:tcPr>
          <w:p w:rsidR="000C45C7" w:rsidRDefault="000C45C7" w:rsidP="00CD529C">
            <w:pPr>
              <w:rPr>
                <w:rFonts w:ascii="Arial" w:hAnsi="Arial" w:cs="Arial"/>
                <w:color w:val="000000"/>
                <w:sz w:val="20"/>
                <w:szCs w:val="20"/>
              </w:rPr>
            </w:pPr>
            <w:r>
              <w:rPr>
                <w:rFonts w:ascii="Arial" w:hAnsi="Arial" w:cs="Arial"/>
                <w:color w:val="000000"/>
                <w:sz w:val="20"/>
                <w:szCs w:val="20"/>
              </w:rPr>
              <w:t>F2-C.</w:t>
            </w:r>
          </w:p>
        </w:tc>
        <w:tc>
          <w:tcPr>
            <w:tcW w:w="1780" w:type="pct"/>
            <w:shd w:val="clear" w:color="auto" w:fill="auto"/>
            <w:tcMar>
              <w:top w:w="29" w:type="dxa"/>
              <w:left w:w="72" w:type="dxa"/>
              <w:bottom w:w="29" w:type="dxa"/>
              <w:right w:w="72" w:type="dxa"/>
            </w:tcMar>
          </w:tcPr>
          <w:p w:rsidR="000C45C7" w:rsidRDefault="000C45C7" w:rsidP="00CD529C">
            <w:pPr>
              <w:rPr>
                <w:rFonts w:ascii="Arial" w:hAnsi="Arial" w:cs="Arial"/>
                <w:color w:val="000000"/>
                <w:sz w:val="20"/>
                <w:szCs w:val="20"/>
              </w:rPr>
            </w:pPr>
            <w:r>
              <w:rPr>
                <w:rFonts w:ascii="Arial" w:hAnsi="Arial" w:cs="Arial"/>
                <w:color w:val="000000"/>
                <w:sz w:val="20"/>
                <w:szCs w:val="20"/>
              </w:rPr>
              <w:t>E1-G.</w:t>
            </w:r>
          </w:p>
          <w:p w:rsidR="000C45C7" w:rsidRDefault="000C45C7" w:rsidP="00CD529C">
            <w:pPr>
              <w:rPr>
                <w:rFonts w:ascii="Arial" w:hAnsi="Arial" w:cs="Arial"/>
                <w:i/>
                <w:color w:val="000000"/>
                <w:sz w:val="20"/>
                <w:szCs w:val="20"/>
              </w:rPr>
            </w:pPr>
            <w:r>
              <w:rPr>
                <w:rFonts w:ascii="Arial" w:hAnsi="Arial" w:cs="Arial"/>
                <w:i/>
                <w:color w:val="000000"/>
                <w:sz w:val="20"/>
                <w:szCs w:val="20"/>
              </w:rPr>
              <w:t>Added:</w:t>
            </w:r>
          </w:p>
          <w:p w:rsidR="000C45C7" w:rsidRDefault="000C45C7" w:rsidP="00CD529C">
            <w:pPr>
              <w:rPr>
                <w:rFonts w:ascii="Arial" w:hAnsi="Arial" w:cs="Arial"/>
                <w:color w:val="000000"/>
                <w:sz w:val="20"/>
                <w:szCs w:val="20"/>
              </w:rPr>
            </w:pPr>
            <w:r>
              <w:rPr>
                <w:rFonts w:ascii="Arial" w:hAnsi="Arial" w:cs="Arial"/>
                <w:color w:val="000000"/>
                <w:sz w:val="20"/>
                <w:szCs w:val="20"/>
              </w:rPr>
              <w:t>Top Ranking Officer Added/Replaced</w:t>
            </w:r>
          </w:p>
          <w:p w:rsidR="000C45C7" w:rsidRPr="000C45C7" w:rsidRDefault="000C45C7" w:rsidP="00CD529C">
            <w:pPr>
              <w:rPr>
                <w:rFonts w:ascii="Arial" w:hAnsi="Arial" w:cs="Arial"/>
                <w:color w:val="000000"/>
                <w:sz w:val="20"/>
                <w:szCs w:val="20"/>
              </w:rPr>
            </w:pPr>
          </w:p>
          <w:p w:rsidR="000C45C7" w:rsidRDefault="000C45C7" w:rsidP="00CD529C">
            <w:pPr>
              <w:rPr>
                <w:rFonts w:ascii="Arial" w:hAnsi="Arial" w:cs="Arial"/>
                <w:i/>
                <w:color w:val="000000"/>
                <w:sz w:val="20"/>
                <w:szCs w:val="20"/>
              </w:rPr>
            </w:pPr>
            <w:r>
              <w:rPr>
                <w:rFonts w:ascii="Arial" w:hAnsi="Arial" w:cs="Arial"/>
                <w:i/>
                <w:color w:val="000000"/>
                <w:sz w:val="20"/>
                <w:szCs w:val="20"/>
              </w:rPr>
              <w:t>Removed:</w:t>
            </w:r>
          </w:p>
          <w:p w:rsidR="000C45C7" w:rsidRDefault="000C45C7" w:rsidP="00CD529C">
            <w:pPr>
              <w:rPr>
                <w:rFonts w:ascii="Arial" w:hAnsi="Arial" w:cs="Arial"/>
                <w:color w:val="000000"/>
                <w:sz w:val="20"/>
                <w:szCs w:val="20"/>
              </w:rPr>
            </w:pPr>
            <w:r>
              <w:rPr>
                <w:rFonts w:ascii="Arial" w:hAnsi="Arial" w:cs="Arial"/>
                <w:color w:val="000000"/>
                <w:sz w:val="20"/>
                <w:szCs w:val="20"/>
              </w:rPr>
              <w:t>- Closing</w:t>
            </w:r>
          </w:p>
          <w:p w:rsidR="000C45C7" w:rsidRDefault="000C45C7" w:rsidP="00CD529C">
            <w:pPr>
              <w:rPr>
                <w:rFonts w:ascii="Arial" w:hAnsi="Arial" w:cs="Arial"/>
                <w:color w:val="000000"/>
                <w:sz w:val="20"/>
                <w:szCs w:val="20"/>
              </w:rPr>
            </w:pPr>
            <w:r>
              <w:rPr>
                <w:rFonts w:ascii="Arial" w:hAnsi="Arial" w:cs="Arial"/>
                <w:color w:val="000000"/>
                <w:sz w:val="20"/>
                <w:szCs w:val="20"/>
              </w:rPr>
              <w:t>- Workouts</w:t>
            </w:r>
          </w:p>
          <w:p w:rsidR="000C45C7" w:rsidRDefault="000C45C7" w:rsidP="00CD529C">
            <w:pPr>
              <w:rPr>
                <w:rFonts w:ascii="Arial" w:hAnsi="Arial" w:cs="Arial"/>
                <w:color w:val="000000"/>
                <w:sz w:val="20"/>
                <w:szCs w:val="20"/>
              </w:rPr>
            </w:pPr>
          </w:p>
          <w:p w:rsidR="000C45C7" w:rsidRPr="000C45C7" w:rsidRDefault="000C45C7" w:rsidP="00CD529C">
            <w:pPr>
              <w:rPr>
                <w:rFonts w:ascii="Arial" w:hAnsi="Arial" w:cs="Arial"/>
                <w:color w:val="000000"/>
                <w:sz w:val="20"/>
                <w:szCs w:val="20"/>
              </w:rPr>
            </w:pPr>
          </w:p>
        </w:tc>
        <w:tc>
          <w:tcPr>
            <w:tcW w:w="2265" w:type="pct"/>
            <w:shd w:val="clear" w:color="auto" w:fill="auto"/>
            <w:tcMar>
              <w:top w:w="29" w:type="dxa"/>
              <w:left w:w="72" w:type="dxa"/>
              <w:bottom w:w="29" w:type="dxa"/>
              <w:right w:w="72" w:type="dxa"/>
            </w:tcMar>
          </w:tcPr>
          <w:p w:rsidR="000C45C7" w:rsidRDefault="000C45C7" w:rsidP="00CD529C">
            <w:pPr>
              <w:rPr>
                <w:rFonts w:ascii="Arial" w:hAnsi="Arial" w:cs="Arial"/>
                <w:color w:val="000000"/>
                <w:sz w:val="20"/>
                <w:szCs w:val="20"/>
              </w:rPr>
            </w:pPr>
            <w:r>
              <w:rPr>
                <w:rFonts w:ascii="Arial" w:hAnsi="Arial" w:cs="Arial"/>
                <w:color w:val="000000"/>
                <w:sz w:val="20"/>
                <w:szCs w:val="20"/>
              </w:rPr>
              <w:t>Previously, the “Top Ranking Officer” field was meant to catch instances in which portfolio company managers were replaced. However, funds will often assist portfolio companies with sourcing management talent, so the field has been changed to include instances where the fund managers “added” top ranking officers.</w:t>
            </w:r>
          </w:p>
          <w:p w:rsidR="000C45C7" w:rsidRDefault="000C45C7" w:rsidP="00CD529C">
            <w:pPr>
              <w:rPr>
                <w:rFonts w:ascii="Arial" w:hAnsi="Arial" w:cs="Arial"/>
                <w:color w:val="000000"/>
                <w:sz w:val="20"/>
                <w:szCs w:val="20"/>
              </w:rPr>
            </w:pPr>
          </w:p>
          <w:p w:rsidR="000C45C7" w:rsidRDefault="000C45C7" w:rsidP="00CD529C">
            <w:pPr>
              <w:rPr>
                <w:rFonts w:ascii="Arial" w:hAnsi="Arial" w:cs="Arial"/>
                <w:color w:val="000000"/>
                <w:sz w:val="20"/>
                <w:szCs w:val="20"/>
              </w:rPr>
            </w:pPr>
            <w:r>
              <w:rPr>
                <w:rFonts w:ascii="Arial" w:hAnsi="Arial" w:cs="Arial"/>
                <w:color w:val="000000"/>
                <w:sz w:val="20"/>
                <w:szCs w:val="20"/>
              </w:rPr>
              <w:t>The closing field was removed from “pre-investment” activities.  It is not a meaningful category.</w:t>
            </w:r>
          </w:p>
          <w:p w:rsidR="000C45C7" w:rsidRDefault="000C45C7" w:rsidP="00CD529C">
            <w:pPr>
              <w:rPr>
                <w:rFonts w:ascii="Arial" w:hAnsi="Arial" w:cs="Arial"/>
                <w:color w:val="000000"/>
                <w:sz w:val="20"/>
                <w:szCs w:val="20"/>
              </w:rPr>
            </w:pPr>
          </w:p>
          <w:p w:rsidR="000C45C7" w:rsidRDefault="000C45C7" w:rsidP="00BA3F6C">
            <w:pPr>
              <w:rPr>
                <w:rFonts w:ascii="Arial" w:hAnsi="Arial" w:cs="Arial"/>
                <w:color w:val="000000"/>
                <w:sz w:val="20"/>
                <w:szCs w:val="20"/>
              </w:rPr>
            </w:pPr>
            <w:r>
              <w:rPr>
                <w:rFonts w:ascii="Arial" w:hAnsi="Arial" w:cs="Arial"/>
                <w:color w:val="000000"/>
                <w:sz w:val="20"/>
                <w:szCs w:val="20"/>
              </w:rPr>
              <w:t xml:space="preserve">The workouts field was removed from the “post-investment” activities since this is now captured in a new worksheet (see </w:t>
            </w:r>
            <w:r w:rsidR="00BA3F6C">
              <w:rPr>
                <w:rFonts w:ascii="Arial" w:hAnsi="Arial" w:cs="Arial"/>
                <w:color w:val="000000"/>
                <w:sz w:val="20"/>
                <w:szCs w:val="20"/>
              </w:rPr>
              <w:t>E1-C. below</w:t>
            </w:r>
            <w:r>
              <w:rPr>
                <w:rFonts w:ascii="Arial" w:hAnsi="Arial" w:cs="Arial"/>
                <w:color w:val="000000"/>
                <w:sz w:val="20"/>
                <w:szCs w:val="20"/>
              </w:rPr>
              <w:t>).</w:t>
            </w:r>
          </w:p>
        </w:tc>
      </w:tr>
      <w:tr w:rsidR="00A4018F" w:rsidTr="00CD529C">
        <w:trPr>
          <w:trHeight w:val="1430"/>
        </w:trPr>
        <w:tc>
          <w:tcPr>
            <w:tcW w:w="955" w:type="pct"/>
            <w:shd w:val="clear" w:color="auto" w:fill="auto"/>
            <w:tcMar>
              <w:top w:w="29" w:type="dxa"/>
              <w:left w:w="72" w:type="dxa"/>
              <w:bottom w:w="29" w:type="dxa"/>
              <w:right w:w="72" w:type="dxa"/>
            </w:tcMar>
          </w:tcPr>
          <w:p w:rsidR="00A4018F" w:rsidRDefault="00A4018F" w:rsidP="00CD529C">
            <w:pPr>
              <w:rPr>
                <w:rFonts w:ascii="Arial" w:hAnsi="Arial" w:cs="Arial"/>
                <w:color w:val="000000"/>
                <w:sz w:val="20"/>
                <w:szCs w:val="20"/>
              </w:rPr>
            </w:pPr>
            <w:r>
              <w:rPr>
                <w:rFonts w:ascii="Arial" w:hAnsi="Arial" w:cs="Arial"/>
                <w:color w:val="000000"/>
                <w:sz w:val="20"/>
                <w:szCs w:val="20"/>
              </w:rPr>
              <w:t>F2-D.</w:t>
            </w:r>
          </w:p>
        </w:tc>
        <w:tc>
          <w:tcPr>
            <w:tcW w:w="1780" w:type="pct"/>
            <w:shd w:val="clear" w:color="auto" w:fill="auto"/>
            <w:tcMar>
              <w:top w:w="29" w:type="dxa"/>
              <w:left w:w="72" w:type="dxa"/>
              <w:bottom w:w="29" w:type="dxa"/>
              <w:right w:w="72" w:type="dxa"/>
            </w:tcMar>
          </w:tcPr>
          <w:p w:rsidR="00A4018F" w:rsidRDefault="00A4018F" w:rsidP="00CD529C">
            <w:pPr>
              <w:rPr>
                <w:rFonts w:ascii="Arial" w:hAnsi="Arial" w:cs="Arial"/>
                <w:color w:val="000000"/>
                <w:sz w:val="20"/>
                <w:szCs w:val="20"/>
              </w:rPr>
            </w:pPr>
            <w:r>
              <w:rPr>
                <w:rFonts w:ascii="Arial" w:hAnsi="Arial" w:cs="Arial"/>
                <w:color w:val="000000"/>
                <w:sz w:val="20"/>
                <w:szCs w:val="20"/>
              </w:rPr>
              <w:t>E1-H.</w:t>
            </w:r>
            <w:r w:rsidR="00455332">
              <w:rPr>
                <w:rFonts w:ascii="Arial" w:hAnsi="Arial" w:cs="Arial"/>
                <w:color w:val="000000"/>
                <w:sz w:val="20"/>
                <w:szCs w:val="20"/>
              </w:rPr>
              <w:t xml:space="preserve"> Portfolio Cash Flows</w:t>
            </w:r>
          </w:p>
        </w:tc>
        <w:tc>
          <w:tcPr>
            <w:tcW w:w="2265" w:type="pct"/>
            <w:shd w:val="clear" w:color="auto" w:fill="auto"/>
            <w:tcMar>
              <w:top w:w="29" w:type="dxa"/>
              <w:left w:w="72" w:type="dxa"/>
              <w:bottom w:w="29" w:type="dxa"/>
              <w:right w:w="72" w:type="dxa"/>
            </w:tcMar>
          </w:tcPr>
          <w:p w:rsidR="00A4018F" w:rsidRDefault="00A4018F" w:rsidP="00DF3C83">
            <w:pPr>
              <w:rPr>
                <w:rFonts w:ascii="Arial" w:hAnsi="Arial" w:cs="Arial"/>
                <w:color w:val="000000"/>
                <w:sz w:val="20"/>
                <w:szCs w:val="20"/>
              </w:rPr>
            </w:pPr>
            <w:r>
              <w:rPr>
                <w:rFonts w:ascii="Arial" w:hAnsi="Arial" w:cs="Arial"/>
                <w:color w:val="000000"/>
                <w:sz w:val="20"/>
                <w:szCs w:val="20"/>
              </w:rPr>
              <w:t xml:space="preserve">The only change that has been made to this worksheet is the manner in which funds are asked to enter their quarterly cash flows.  The prior version required applicants to </w:t>
            </w:r>
            <w:r w:rsidR="00077C55">
              <w:rPr>
                <w:rFonts w:ascii="Arial" w:hAnsi="Arial" w:cs="Arial"/>
                <w:color w:val="000000"/>
                <w:sz w:val="20"/>
                <w:szCs w:val="20"/>
              </w:rPr>
              <w:t>move forward any positive cash flows received in the same quarter as a negative cash flow.  The new version</w:t>
            </w:r>
            <w:r w:rsidR="00DF3C83">
              <w:rPr>
                <w:rFonts w:ascii="Arial" w:hAnsi="Arial" w:cs="Arial"/>
                <w:color w:val="000000"/>
                <w:sz w:val="20"/>
                <w:szCs w:val="20"/>
              </w:rPr>
              <w:t xml:space="preserve"> improves accuracy by asking all net cash flow</w:t>
            </w:r>
            <w:r w:rsidR="00581AD4">
              <w:rPr>
                <w:rFonts w:ascii="Arial" w:hAnsi="Arial" w:cs="Arial"/>
                <w:color w:val="000000"/>
                <w:sz w:val="20"/>
                <w:szCs w:val="20"/>
              </w:rPr>
              <w:t>s</w:t>
            </w:r>
            <w:r w:rsidR="00DF3C83">
              <w:rPr>
                <w:rFonts w:ascii="Arial" w:hAnsi="Arial" w:cs="Arial"/>
                <w:color w:val="000000"/>
                <w:sz w:val="20"/>
                <w:szCs w:val="20"/>
              </w:rPr>
              <w:t xml:space="preserve"> to be shown in the quarter in which they actually occurred</w:t>
            </w:r>
            <w:r w:rsidR="00077C55">
              <w:rPr>
                <w:rFonts w:ascii="Arial" w:hAnsi="Arial" w:cs="Arial"/>
                <w:color w:val="000000"/>
                <w:sz w:val="20"/>
                <w:szCs w:val="20"/>
              </w:rPr>
              <w:t>.</w:t>
            </w:r>
          </w:p>
        </w:tc>
      </w:tr>
      <w:tr w:rsidR="00455332" w:rsidTr="00CD529C">
        <w:trPr>
          <w:trHeight w:val="2550"/>
        </w:trPr>
        <w:tc>
          <w:tcPr>
            <w:tcW w:w="955" w:type="pct"/>
            <w:shd w:val="clear" w:color="auto" w:fill="auto"/>
            <w:tcMar>
              <w:top w:w="29" w:type="dxa"/>
              <w:left w:w="72" w:type="dxa"/>
              <w:bottom w:w="29" w:type="dxa"/>
              <w:right w:w="72" w:type="dxa"/>
            </w:tcMar>
          </w:tcPr>
          <w:p w:rsidR="00455332" w:rsidRDefault="00455332" w:rsidP="00CD529C">
            <w:pPr>
              <w:rPr>
                <w:rFonts w:ascii="Arial" w:hAnsi="Arial" w:cs="Arial"/>
                <w:color w:val="000000"/>
                <w:sz w:val="20"/>
                <w:szCs w:val="20"/>
              </w:rPr>
            </w:pPr>
            <w:r>
              <w:rPr>
                <w:rFonts w:ascii="Arial" w:hAnsi="Arial" w:cs="Arial"/>
                <w:color w:val="000000"/>
                <w:sz w:val="20"/>
                <w:szCs w:val="20"/>
              </w:rPr>
              <w:t>F2-E.</w:t>
            </w:r>
          </w:p>
        </w:tc>
        <w:tc>
          <w:tcPr>
            <w:tcW w:w="1780" w:type="pct"/>
            <w:shd w:val="clear" w:color="auto" w:fill="auto"/>
            <w:tcMar>
              <w:top w:w="29" w:type="dxa"/>
              <w:left w:w="72" w:type="dxa"/>
              <w:bottom w:w="29" w:type="dxa"/>
              <w:right w:w="72" w:type="dxa"/>
            </w:tcMar>
          </w:tcPr>
          <w:p w:rsidR="00455332" w:rsidRDefault="00455332" w:rsidP="00CD529C">
            <w:pPr>
              <w:rPr>
                <w:rFonts w:ascii="Arial" w:hAnsi="Arial" w:cs="Arial"/>
                <w:color w:val="000000"/>
                <w:sz w:val="20"/>
                <w:szCs w:val="20"/>
              </w:rPr>
            </w:pPr>
            <w:r>
              <w:rPr>
                <w:rFonts w:ascii="Arial" w:hAnsi="Arial" w:cs="Arial"/>
                <w:color w:val="000000"/>
                <w:sz w:val="20"/>
                <w:szCs w:val="20"/>
              </w:rPr>
              <w:t>E1-I. Fund Cash Flows</w:t>
            </w:r>
          </w:p>
        </w:tc>
        <w:tc>
          <w:tcPr>
            <w:tcW w:w="2265" w:type="pct"/>
            <w:shd w:val="clear" w:color="auto" w:fill="auto"/>
            <w:tcMar>
              <w:top w:w="29" w:type="dxa"/>
              <w:left w:w="72" w:type="dxa"/>
              <w:bottom w:w="29" w:type="dxa"/>
              <w:right w:w="72" w:type="dxa"/>
            </w:tcMar>
          </w:tcPr>
          <w:p w:rsidR="00226AF9" w:rsidRDefault="00455332" w:rsidP="00CD529C">
            <w:pPr>
              <w:rPr>
                <w:rFonts w:ascii="Arial" w:hAnsi="Arial" w:cs="Arial"/>
                <w:color w:val="000000"/>
                <w:sz w:val="20"/>
                <w:szCs w:val="20"/>
              </w:rPr>
            </w:pPr>
            <w:r>
              <w:rPr>
                <w:rFonts w:ascii="Arial" w:hAnsi="Arial" w:cs="Arial"/>
                <w:color w:val="000000"/>
                <w:sz w:val="20"/>
                <w:szCs w:val="20"/>
              </w:rPr>
              <w:t xml:space="preserve">The prior version of this worksheet asked applicants to provide important fund-level cash flow data, but it ignored the relationship that exists among the flows.  </w:t>
            </w:r>
            <w:r w:rsidR="002A7A19">
              <w:rPr>
                <w:rFonts w:ascii="Arial" w:hAnsi="Arial" w:cs="Arial"/>
                <w:color w:val="000000"/>
                <w:sz w:val="20"/>
                <w:szCs w:val="20"/>
              </w:rPr>
              <w:t xml:space="preserve">Furthermore, there </w:t>
            </w:r>
            <w:r>
              <w:rPr>
                <w:rFonts w:ascii="Arial" w:hAnsi="Arial" w:cs="Arial"/>
                <w:color w:val="000000"/>
                <w:sz w:val="20"/>
                <w:szCs w:val="20"/>
              </w:rPr>
              <w:t xml:space="preserve">did not </w:t>
            </w:r>
            <w:proofErr w:type="gramStart"/>
            <w:r>
              <w:rPr>
                <w:rFonts w:ascii="Arial" w:hAnsi="Arial" w:cs="Arial"/>
                <w:color w:val="000000"/>
                <w:sz w:val="20"/>
                <w:szCs w:val="20"/>
              </w:rPr>
              <w:t>exist</w:t>
            </w:r>
            <w:proofErr w:type="gramEnd"/>
            <w:r>
              <w:rPr>
                <w:rFonts w:ascii="Arial" w:hAnsi="Arial" w:cs="Arial"/>
                <w:color w:val="000000"/>
                <w:sz w:val="20"/>
                <w:szCs w:val="20"/>
              </w:rPr>
              <w:t xml:space="preserve"> an explicit connection between the fund-level cash flow data and the portfolio cash flows.  As a result, this worksheet was prone</w:t>
            </w:r>
            <w:r w:rsidR="00226AF9">
              <w:rPr>
                <w:rFonts w:ascii="Arial" w:hAnsi="Arial" w:cs="Arial"/>
                <w:color w:val="000000"/>
                <w:sz w:val="20"/>
                <w:szCs w:val="20"/>
              </w:rPr>
              <w:t xml:space="preserve"> to error and SBA analysts lacked an ability to assess the validity of the data presented.</w:t>
            </w:r>
          </w:p>
          <w:p w:rsidR="00226AF9" w:rsidRDefault="00226AF9" w:rsidP="00CD529C">
            <w:pPr>
              <w:rPr>
                <w:rFonts w:ascii="Arial" w:hAnsi="Arial" w:cs="Arial"/>
                <w:color w:val="000000"/>
                <w:sz w:val="20"/>
                <w:szCs w:val="20"/>
              </w:rPr>
            </w:pPr>
          </w:p>
          <w:p w:rsidR="002A7A19" w:rsidRDefault="00226AF9" w:rsidP="00CD529C">
            <w:pPr>
              <w:rPr>
                <w:rFonts w:ascii="Arial" w:hAnsi="Arial" w:cs="Arial"/>
                <w:color w:val="000000"/>
                <w:sz w:val="20"/>
                <w:szCs w:val="20"/>
              </w:rPr>
            </w:pPr>
            <w:r>
              <w:rPr>
                <w:rFonts w:ascii="Arial" w:hAnsi="Arial" w:cs="Arial"/>
                <w:color w:val="000000"/>
                <w:sz w:val="20"/>
                <w:szCs w:val="20"/>
              </w:rPr>
              <w:t xml:space="preserve">The new version asks for essentially the same information as the prior version, but now requires applicants to recognize the zero-sum nature of the fund-level cash flows, ensuring that each dollar flowing through the fund has a </w:t>
            </w:r>
            <w:r>
              <w:rPr>
                <w:rFonts w:ascii="Arial" w:hAnsi="Arial" w:cs="Arial"/>
                <w:color w:val="000000"/>
                <w:sz w:val="20"/>
                <w:szCs w:val="20"/>
              </w:rPr>
              <w:lastRenderedPageBreak/>
              <w:t>source and a use.  The worksheet also connects the fund-level cash flows with those of the underlying portfolio by explicitly connecting the two and by asking for quarterly, rather than annual, data</w:t>
            </w:r>
            <w:r w:rsidR="00455332">
              <w:rPr>
                <w:rFonts w:ascii="Arial" w:hAnsi="Arial" w:cs="Arial"/>
                <w:color w:val="000000"/>
                <w:sz w:val="20"/>
                <w:szCs w:val="20"/>
              </w:rPr>
              <w:t>.</w:t>
            </w:r>
          </w:p>
          <w:p w:rsidR="002A7A19" w:rsidRDefault="002A7A19" w:rsidP="00CD529C">
            <w:pPr>
              <w:rPr>
                <w:rFonts w:ascii="Arial" w:hAnsi="Arial" w:cs="Arial"/>
                <w:color w:val="000000"/>
                <w:sz w:val="20"/>
                <w:szCs w:val="20"/>
              </w:rPr>
            </w:pPr>
          </w:p>
          <w:p w:rsidR="00455332" w:rsidRDefault="002A7A19" w:rsidP="00785CB5">
            <w:pPr>
              <w:rPr>
                <w:rFonts w:ascii="Arial" w:hAnsi="Arial" w:cs="Arial"/>
                <w:color w:val="000000"/>
                <w:sz w:val="20"/>
                <w:szCs w:val="20"/>
              </w:rPr>
            </w:pPr>
            <w:r>
              <w:rPr>
                <w:rFonts w:ascii="Arial" w:hAnsi="Arial" w:cs="Arial"/>
                <w:color w:val="000000"/>
                <w:sz w:val="20"/>
                <w:szCs w:val="20"/>
              </w:rPr>
              <w:t xml:space="preserve">Finally, the line at the bottom of the </w:t>
            </w:r>
            <w:r w:rsidR="00785CB5">
              <w:rPr>
                <w:rFonts w:ascii="Arial" w:hAnsi="Arial" w:cs="Arial"/>
                <w:color w:val="000000"/>
                <w:sz w:val="20"/>
                <w:szCs w:val="20"/>
              </w:rPr>
              <w:t xml:space="preserve">worksheet </w:t>
            </w:r>
            <w:r>
              <w:rPr>
                <w:rFonts w:ascii="Arial" w:hAnsi="Arial" w:cs="Arial"/>
                <w:color w:val="000000"/>
                <w:sz w:val="20"/>
                <w:szCs w:val="20"/>
              </w:rPr>
              <w:t xml:space="preserve">asks applicants to </w:t>
            </w:r>
            <w:r w:rsidR="00785CB5">
              <w:rPr>
                <w:rFonts w:ascii="Arial" w:hAnsi="Arial" w:cs="Arial"/>
                <w:color w:val="000000"/>
                <w:sz w:val="20"/>
                <w:szCs w:val="20"/>
              </w:rPr>
              <w:t xml:space="preserve">calculate </w:t>
            </w:r>
            <w:r>
              <w:rPr>
                <w:rFonts w:ascii="Arial" w:hAnsi="Arial" w:cs="Arial"/>
                <w:color w:val="000000"/>
                <w:sz w:val="20"/>
                <w:szCs w:val="20"/>
              </w:rPr>
              <w:t>the hypothetical liquidation of each active fund.  This exercise produces a far more accurate assessment of the residual value remaining in the portfolio.</w:t>
            </w:r>
            <w:r w:rsidR="00455332">
              <w:rPr>
                <w:rFonts w:ascii="Arial" w:hAnsi="Arial" w:cs="Arial"/>
                <w:color w:val="000000"/>
                <w:sz w:val="20"/>
                <w:szCs w:val="20"/>
              </w:rPr>
              <w:t xml:space="preserve">  </w:t>
            </w:r>
          </w:p>
        </w:tc>
      </w:tr>
      <w:tr w:rsidR="00DE49EF" w:rsidTr="00CD529C">
        <w:trPr>
          <w:trHeight w:val="2550"/>
        </w:trPr>
        <w:tc>
          <w:tcPr>
            <w:tcW w:w="955" w:type="pct"/>
            <w:shd w:val="clear" w:color="auto" w:fill="auto"/>
            <w:tcMar>
              <w:top w:w="29" w:type="dxa"/>
              <w:left w:w="72" w:type="dxa"/>
              <w:bottom w:w="29" w:type="dxa"/>
              <w:right w:w="72" w:type="dxa"/>
            </w:tcMar>
          </w:tcPr>
          <w:p w:rsidR="00DE49EF" w:rsidRDefault="00DE49EF" w:rsidP="00CD529C">
            <w:pPr>
              <w:rPr>
                <w:rFonts w:ascii="Arial" w:hAnsi="Arial" w:cs="Arial"/>
                <w:color w:val="000000"/>
                <w:sz w:val="20"/>
                <w:szCs w:val="20"/>
              </w:rPr>
            </w:pPr>
            <w:r>
              <w:rPr>
                <w:rFonts w:ascii="Arial" w:hAnsi="Arial" w:cs="Arial"/>
                <w:color w:val="000000"/>
                <w:sz w:val="20"/>
                <w:szCs w:val="20"/>
              </w:rPr>
              <w:lastRenderedPageBreak/>
              <w:t>F2-F.</w:t>
            </w:r>
          </w:p>
        </w:tc>
        <w:tc>
          <w:tcPr>
            <w:tcW w:w="1780" w:type="pct"/>
            <w:shd w:val="clear" w:color="auto" w:fill="auto"/>
            <w:tcMar>
              <w:top w:w="29" w:type="dxa"/>
              <w:left w:w="72" w:type="dxa"/>
              <w:bottom w:w="29" w:type="dxa"/>
              <w:right w:w="72" w:type="dxa"/>
            </w:tcMar>
          </w:tcPr>
          <w:p w:rsidR="00DE49EF" w:rsidRDefault="00DE49EF" w:rsidP="00CD529C">
            <w:pPr>
              <w:rPr>
                <w:rFonts w:ascii="Arial" w:hAnsi="Arial" w:cs="Arial"/>
                <w:color w:val="000000"/>
                <w:sz w:val="20"/>
                <w:szCs w:val="20"/>
              </w:rPr>
            </w:pPr>
            <w:r>
              <w:rPr>
                <w:rFonts w:ascii="Arial" w:hAnsi="Arial" w:cs="Arial"/>
                <w:color w:val="000000"/>
                <w:sz w:val="20"/>
                <w:szCs w:val="20"/>
              </w:rPr>
              <w:t>E1-F.</w:t>
            </w:r>
          </w:p>
          <w:p w:rsidR="00DE49EF" w:rsidRDefault="00DE49EF" w:rsidP="00CD529C">
            <w:pPr>
              <w:rPr>
                <w:rFonts w:ascii="Arial" w:hAnsi="Arial" w:cs="Arial"/>
                <w:i/>
                <w:color w:val="000000"/>
                <w:sz w:val="20"/>
                <w:szCs w:val="20"/>
              </w:rPr>
            </w:pPr>
            <w:r>
              <w:rPr>
                <w:rFonts w:ascii="Arial" w:hAnsi="Arial" w:cs="Arial"/>
                <w:i/>
                <w:color w:val="000000"/>
                <w:sz w:val="20"/>
                <w:szCs w:val="20"/>
              </w:rPr>
              <w:t>Added:</w:t>
            </w:r>
          </w:p>
          <w:p w:rsidR="00DE49EF" w:rsidRDefault="00DE49EF" w:rsidP="00CD529C">
            <w:pPr>
              <w:rPr>
                <w:rFonts w:ascii="Arial" w:hAnsi="Arial" w:cs="Arial"/>
                <w:color w:val="000000"/>
                <w:sz w:val="20"/>
                <w:szCs w:val="20"/>
              </w:rPr>
            </w:pPr>
            <w:r>
              <w:rPr>
                <w:rFonts w:ascii="Arial" w:hAnsi="Arial" w:cs="Arial"/>
                <w:color w:val="000000"/>
                <w:sz w:val="20"/>
                <w:szCs w:val="20"/>
              </w:rPr>
              <w:t>- Cash &amp; Equivalents</w:t>
            </w:r>
          </w:p>
          <w:p w:rsidR="00DE49EF" w:rsidRDefault="00DE49EF" w:rsidP="00CD529C">
            <w:pPr>
              <w:rPr>
                <w:rFonts w:ascii="Arial" w:hAnsi="Arial" w:cs="Arial"/>
                <w:color w:val="000000"/>
                <w:sz w:val="20"/>
                <w:szCs w:val="20"/>
              </w:rPr>
            </w:pPr>
            <w:r>
              <w:rPr>
                <w:rFonts w:ascii="Arial" w:hAnsi="Arial" w:cs="Arial"/>
                <w:color w:val="000000"/>
                <w:sz w:val="20"/>
                <w:szCs w:val="20"/>
              </w:rPr>
              <w:t>- Small Business</w:t>
            </w:r>
          </w:p>
          <w:p w:rsidR="00CB3D11" w:rsidRDefault="00CB3D11" w:rsidP="00CB3D11">
            <w:pPr>
              <w:rPr>
                <w:rFonts w:ascii="Arial" w:hAnsi="Arial" w:cs="Arial"/>
                <w:i/>
                <w:color w:val="000000"/>
                <w:sz w:val="20"/>
                <w:szCs w:val="20"/>
              </w:rPr>
            </w:pPr>
          </w:p>
          <w:p w:rsidR="00CB3D11" w:rsidRDefault="00CB3D11" w:rsidP="00CB3D11">
            <w:pPr>
              <w:rPr>
                <w:rFonts w:ascii="Arial" w:hAnsi="Arial" w:cs="Arial"/>
                <w:i/>
                <w:color w:val="000000"/>
                <w:sz w:val="20"/>
                <w:szCs w:val="20"/>
              </w:rPr>
            </w:pPr>
            <w:r>
              <w:rPr>
                <w:rFonts w:ascii="Arial" w:hAnsi="Arial" w:cs="Arial"/>
                <w:i/>
                <w:color w:val="000000"/>
                <w:sz w:val="20"/>
                <w:szCs w:val="20"/>
              </w:rPr>
              <w:t>Removed:</w:t>
            </w:r>
          </w:p>
          <w:p w:rsidR="00CB3D11" w:rsidRPr="00DE49EF" w:rsidRDefault="00CB3D11" w:rsidP="00CB3D11">
            <w:pPr>
              <w:rPr>
                <w:rFonts w:ascii="Arial" w:hAnsi="Arial" w:cs="Arial"/>
                <w:color w:val="000000"/>
                <w:sz w:val="20"/>
                <w:szCs w:val="20"/>
              </w:rPr>
            </w:pPr>
            <w:r>
              <w:rPr>
                <w:rFonts w:ascii="Arial" w:hAnsi="Arial" w:cs="Arial"/>
                <w:color w:val="000000"/>
                <w:sz w:val="20"/>
                <w:szCs w:val="20"/>
              </w:rPr>
              <w:t>- Investment Multiple</w:t>
            </w:r>
          </w:p>
        </w:tc>
        <w:tc>
          <w:tcPr>
            <w:tcW w:w="2265" w:type="pct"/>
            <w:shd w:val="clear" w:color="auto" w:fill="auto"/>
            <w:tcMar>
              <w:top w:w="29" w:type="dxa"/>
              <w:left w:w="72" w:type="dxa"/>
              <w:bottom w:w="29" w:type="dxa"/>
              <w:right w:w="72" w:type="dxa"/>
            </w:tcMar>
          </w:tcPr>
          <w:p w:rsidR="00DE49EF" w:rsidRDefault="00DE49EF" w:rsidP="00CD529C">
            <w:pPr>
              <w:rPr>
                <w:rFonts w:ascii="Arial" w:hAnsi="Arial" w:cs="Arial"/>
                <w:color w:val="000000"/>
                <w:sz w:val="20"/>
                <w:szCs w:val="20"/>
              </w:rPr>
            </w:pPr>
            <w:r>
              <w:rPr>
                <w:rFonts w:ascii="Arial" w:hAnsi="Arial" w:cs="Arial"/>
                <w:color w:val="000000"/>
                <w:sz w:val="20"/>
                <w:szCs w:val="20"/>
              </w:rPr>
              <w:t>“Cash &amp; Equivalents” was added to permit the calculation of the equity value of each company (EV</w:t>
            </w:r>
            <w:r w:rsidR="00F82FFE">
              <w:rPr>
                <w:rFonts w:ascii="Arial" w:hAnsi="Arial" w:cs="Arial"/>
                <w:color w:val="000000"/>
                <w:sz w:val="20"/>
                <w:szCs w:val="20"/>
              </w:rPr>
              <w:t xml:space="preserve"> </w:t>
            </w:r>
            <w:r>
              <w:rPr>
                <w:rFonts w:ascii="Arial" w:hAnsi="Arial" w:cs="Arial"/>
                <w:color w:val="000000"/>
                <w:sz w:val="20"/>
                <w:szCs w:val="20"/>
              </w:rPr>
              <w:t>=</w:t>
            </w:r>
            <w:r w:rsidR="00F82FFE">
              <w:rPr>
                <w:rFonts w:ascii="Arial" w:hAnsi="Arial" w:cs="Arial"/>
                <w:color w:val="000000"/>
                <w:sz w:val="20"/>
                <w:szCs w:val="20"/>
              </w:rPr>
              <w:t xml:space="preserve"> </w:t>
            </w:r>
            <w:r>
              <w:rPr>
                <w:rFonts w:ascii="Arial" w:hAnsi="Arial" w:cs="Arial"/>
                <w:color w:val="000000"/>
                <w:sz w:val="20"/>
                <w:szCs w:val="20"/>
              </w:rPr>
              <w:t>Total Debt</w:t>
            </w:r>
            <w:r w:rsidR="00F82FFE">
              <w:rPr>
                <w:rFonts w:ascii="Arial" w:hAnsi="Arial" w:cs="Arial"/>
                <w:color w:val="000000"/>
                <w:sz w:val="20"/>
                <w:szCs w:val="20"/>
              </w:rPr>
              <w:t xml:space="preserve"> – </w:t>
            </w:r>
            <w:r>
              <w:rPr>
                <w:rFonts w:ascii="Arial" w:hAnsi="Arial" w:cs="Arial"/>
                <w:color w:val="000000"/>
                <w:sz w:val="20"/>
                <w:szCs w:val="20"/>
              </w:rPr>
              <w:t>Cash</w:t>
            </w:r>
            <w:r w:rsidR="00F82FFE">
              <w:rPr>
                <w:rFonts w:ascii="Arial" w:hAnsi="Arial" w:cs="Arial"/>
                <w:color w:val="000000"/>
                <w:sz w:val="20"/>
                <w:szCs w:val="20"/>
              </w:rPr>
              <w:t xml:space="preserve"> </w:t>
            </w:r>
            <w:r>
              <w:rPr>
                <w:rFonts w:ascii="Arial" w:hAnsi="Arial" w:cs="Arial"/>
                <w:color w:val="000000"/>
                <w:sz w:val="20"/>
                <w:szCs w:val="20"/>
              </w:rPr>
              <w:t>+</w:t>
            </w:r>
            <w:r w:rsidR="00F82FFE">
              <w:rPr>
                <w:rFonts w:ascii="Arial" w:hAnsi="Arial" w:cs="Arial"/>
                <w:color w:val="000000"/>
                <w:sz w:val="20"/>
                <w:szCs w:val="20"/>
              </w:rPr>
              <w:t xml:space="preserve"> </w:t>
            </w:r>
            <w:r>
              <w:rPr>
                <w:rFonts w:ascii="Arial" w:hAnsi="Arial" w:cs="Arial"/>
                <w:color w:val="000000"/>
                <w:sz w:val="20"/>
                <w:szCs w:val="20"/>
              </w:rPr>
              <w:t>Equity)</w:t>
            </w:r>
          </w:p>
          <w:p w:rsidR="00DE49EF" w:rsidRDefault="00DE49EF" w:rsidP="00CD529C">
            <w:pPr>
              <w:rPr>
                <w:rFonts w:ascii="Arial" w:hAnsi="Arial" w:cs="Arial"/>
                <w:color w:val="000000"/>
                <w:sz w:val="20"/>
                <w:szCs w:val="20"/>
              </w:rPr>
            </w:pPr>
          </w:p>
          <w:p w:rsidR="00DE49EF" w:rsidRDefault="00DE49EF" w:rsidP="00CD529C">
            <w:pPr>
              <w:rPr>
                <w:rFonts w:ascii="Arial" w:hAnsi="Arial" w:cs="Arial"/>
                <w:color w:val="000000"/>
                <w:sz w:val="20"/>
                <w:szCs w:val="20"/>
              </w:rPr>
            </w:pPr>
            <w:r>
              <w:rPr>
                <w:rFonts w:ascii="Arial" w:hAnsi="Arial" w:cs="Arial"/>
                <w:color w:val="000000"/>
                <w:sz w:val="20"/>
                <w:szCs w:val="20"/>
              </w:rPr>
              <w:t>“Small Business” was added to give applicants the opportunity to identify the portfolio companies in their past track records that would have fit SBA’s definition of a “small business” at the time of the initial financing.  Applicants are not asked to provide a formal determination of size, but simply to give their “best estimate.”  This is an analysis applicants have often conducted on their own prior to submitting an application to the program.</w:t>
            </w:r>
          </w:p>
          <w:p w:rsidR="00CB3D11" w:rsidRDefault="00CB3D11" w:rsidP="00CD529C">
            <w:pPr>
              <w:rPr>
                <w:rFonts w:ascii="Arial" w:hAnsi="Arial" w:cs="Arial"/>
                <w:color w:val="000000"/>
                <w:sz w:val="20"/>
                <w:szCs w:val="20"/>
              </w:rPr>
            </w:pPr>
          </w:p>
          <w:p w:rsidR="00CB3D11" w:rsidRDefault="00CB3D11" w:rsidP="00CD529C">
            <w:pPr>
              <w:rPr>
                <w:rFonts w:ascii="Arial" w:hAnsi="Arial" w:cs="Arial"/>
                <w:color w:val="000000"/>
                <w:sz w:val="20"/>
                <w:szCs w:val="20"/>
              </w:rPr>
            </w:pPr>
            <w:r>
              <w:rPr>
                <w:rFonts w:ascii="Arial" w:hAnsi="Arial" w:cs="Arial"/>
                <w:color w:val="000000"/>
                <w:sz w:val="20"/>
                <w:szCs w:val="20"/>
              </w:rPr>
              <w:t>The “Investment Multiple” field was removed.  This field lacked definition, was not meaningful for the many debt investors that participate in the SBIC Program and was a source of confusion for many applicants.</w:t>
            </w:r>
          </w:p>
        </w:tc>
      </w:tr>
      <w:tr w:rsidR="003D0E7C" w:rsidTr="00CD529C">
        <w:trPr>
          <w:trHeight w:val="1986"/>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E1-C. Financing Descriptions</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ADDITION: This new worksheet asks applicants to identify the types of securities use</w:t>
            </w:r>
            <w:r w:rsidR="00BB60EF">
              <w:rPr>
                <w:rFonts w:ascii="Arial" w:hAnsi="Arial" w:cs="Arial"/>
                <w:color w:val="000000"/>
                <w:sz w:val="20"/>
                <w:szCs w:val="20"/>
              </w:rPr>
              <w:t xml:space="preserve">d in each of their transactions.  </w:t>
            </w:r>
            <w:r>
              <w:rPr>
                <w:rFonts w:ascii="Arial" w:hAnsi="Arial" w:cs="Arial"/>
                <w:color w:val="000000"/>
                <w:sz w:val="20"/>
                <w:szCs w:val="20"/>
              </w:rPr>
              <w:t>This is an approach applicants often use to highlight their experience structuring particular types of investments and is very useful from an analytical perspective.  This was a component of a previous iteration of the Exhibit F2 and is now being reincorporated into the application materials.</w:t>
            </w:r>
          </w:p>
        </w:tc>
      </w:tr>
      <w:tr w:rsidR="003D0E7C" w:rsidTr="00CD529C">
        <w:trPr>
          <w:trHeight w:val="8160"/>
        </w:trPr>
        <w:tc>
          <w:tcPr>
            <w:tcW w:w="95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hideMark/>
          </w:tcPr>
          <w:p w:rsidR="009F783F" w:rsidRDefault="006E2A55" w:rsidP="00CD529C">
            <w:pPr>
              <w:rPr>
                <w:rFonts w:ascii="Arial" w:hAnsi="Arial" w:cs="Arial"/>
                <w:color w:val="000000"/>
                <w:sz w:val="20"/>
                <w:szCs w:val="20"/>
              </w:rPr>
            </w:pPr>
            <w:r>
              <w:rPr>
                <w:rFonts w:ascii="Arial" w:hAnsi="Arial" w:cs="Arial"/>
                <w:color w:val="000000"/>
                <w:sz w:val="20"/>
                <w:szCs w:val="20"/>
              </w:rPr>
              <w:t xml:space="preserve">E1-C. Financing Descriptions </w:t>
            </w:r>
          </w:p>
          <w:p w:rsidR="003D0E7C" w:rsidRDefault="003D0E7C" w:rsidP="009F783F">
            <w:pPr>
              <w:rPr>
                <w:rFonts w:ascii="Arial" w:hAnsi="Arial" w:cs="Arial"/>
                <w:color w:val="000000"/>
                <w:sz w:val="20"/>
                <w:szCs w:val="20"/>
              </w:rPr>
            </w:pPr>
            <w:r w:rsidRPr="009F783F">
              <w:rPr>
                <w:rFonts w:ascii="Arial" w:hAnsi="Arial" w:cs="Arial"/>
                <w:i/>
                <w:color w:val="000000"/>
                <w:sz w:val="20"/>
                <w:szCs w:val="20"/>
              </w:rPr>
              <w:t>New Fields</w:t>
            </w:r>
            <w:r>
              <w:rPr>
                <w:rFonts w:ascii="Arial" w:hAnsi="Arial" w:cs="Arial"/>
                <w:color w:val="000000"/>
                <w:sz w:val="20"/>
                <w:szCs w:val="20"/>
              </w:rPr>
              <w:t>:</w:t>
            </w:r>
            <w:r>
              <w:rPr>
                <w:rFonts w:ascii="Arial" w:hAnsi="Arial" w:cs="Arial"/>
                <w:color w:val="000000"/>
                <w:sz w:val="20"/>
                <w:szCs w:val="20"/>
              </w:rPr>
              <w:br/>
              <w:t>- Debt or Equity</w:t>
            </w:r>
            <w:r>
              <w:rPr>
                <w:rFonts w:ascii="Arial" w:hAnsi="Arial" w:cs="Arial"/>
                <w:color w:val="000000"/>
                <w:sz w:val="20"/>
                <w:szCs w:val="20"/>
              </w:rPr>
              <w:br/>
              <w:t>- % Ownership</w:t>
            </w:r>
            <w:r>
              <w:rPr>
                <w:rFonts w:ascii="Arial" w:hAnsi="Arial" w:cs="Arial"/>
                <w:color w:val="000000"/>
                <w:sz w:val="20"/>
                <w:szCs w:val="20"/>
              </w:rPr>
              <w:br/>
              <w:t>- Current Pay</w:t>
            </w:r>
            <w:r>
              <w:rPr>
                <w:rFonts w:ascii="Arial" w:hAnsi="Arial" w:cs="Arial"/>
                <w:color w:val="000000"/>
                <w:sz w:val="20"/>
                <w:szCs w:val="20"/>
              </w:rPr>
              <w:br/>
              <w:t>- Leverage Multiple thru Security</w:t>
            </w:r>
            <w:r>
              <w:rPr>
                <w:rFonts w:ascii="Arial" w:hAnsi="Arial" w:cs="Arial"/>
                <w:color w:val="000000"/>
                <w:sz w:val="20"/>
                <w:szCs w:val="20"/>
              </w:rPr>
              <w:br/>
              <w:t>- Total Leverage Multiple</w:t>
            </w:r>
            <w:r>
              <w:rPr>
                <w:rFonts w:ascii="Arial" w:hAnsi="Arial" w:cs="Arial"/>
                <w:color w:val="000000"/>
                <w:sz w:val="20"/>
                <w:szCs w:val="20"/>
              </w:rPr>
              <w:br/>
              <w:t>- Covenant Violation/Restructuring</w:t>
            </w:r>
            <w:r>
              <w:rPr>
                <w:rFonts w:ascii="Arial" w:hAnsi="Arial" w:cs="Arial"/>
                <w:color w:val="000000"/>
                <w:sz w:val="20"/>
                <w:szCs w:val="20"/>
              </w:rPr>
              <w:br/>
              <w:t>- Exit Type</w:t>
            </w:r>
          </w:p>
        </w:tc>
        <w:tc>
          <w:tcPr>
            <w:tcW w:w="2265" w:type="pct"/>
            <w:shd w:val="clear" w:color="auto" w:fill="auto"/>
            <w:tcMar>
              <w:top w:w="29" w:type="dxa"/>
              <w:left w:w="72" w:type="dxa"/>
              <w:bottom w:w="29" w:type="dxa"/>
              <w:right w:w="72" w:type="dxa"/>
            </w:tcMar>
            <w:hideMark/>
          </w:tcPr>
          <w:p w:rsidR="003D0E7C" w:rsidRDefault="003D0E7C" w:rsidP="00CD529C">
            <w:pPr>
              <w:rPr>
                <w:rFonts w:ascii="Arial" w:hAnsi="Arial" w:cs="Arial"/>
                <w:color w:val="000000"/>
                <w:sz w:val="20"/>
                <w:szCs w:val="20"/>
              </w:rPr>
            </w:pPr>
            <w:r>
              <w:rPr>
                <w:rFonts w:ascii="Arial" w:hAnsi="Arial" w:cs="Arial"/>
                <w:color w:val="000000"/>
                <w:sz w:val="20"/>
                <w:szCs w:val="20"/>
              </w:rPr>
              <w:t>The debt or equity field is a simple classification that will be useful for analytical purposes.</w:t>
            </w:r>
            <w:r>
              <w:rPr>
                <w:rFonts w:ascii="Arial" w:hAnsi="Arial" w:cs="Arial"/>
                <w:color w:val="000000"/>
                <w:sz w:val="20"/>
                <w:szCs w:val="20"/>
              </w:rPr>
              <w:br/>
            </w:r>
            <w:r>
              <w:rPr>
                <w:rFonts w:ascii="Arial" w:hAnsi="Arial" w:cs="Arial"/>
                <w:color w:val="000000"/>
                <w:sz w:val="20"/>
                <w:szCs w:val="20"/>
              </w:rPr>
              <w:br/>
              <w:t>The % Ownership field will help SBA analysts assess the extent to which the principals had the ability to influence the management and growth of the portfolio company</w:t>
            </w:r>
            <w:r>
              <w:rPr>
                <w:rFonts w:ascii="Arial" w:hAnsi="Arial" w:cs="Arial"/>
                <w:color w:val="000000"/>
                <w:sz w:val="20"/>
                <w:szCs w:val="20"/>
              </w:rPr>
              <w:br/>
            </w:r>
            <w:r>
              <w:rPr>
                <w:rFonts w:ascii="Arial" w:hAnsi="Arial" w:cs="Arial"/>
                <w:color w:val="000000"/>
                <w:sz w:val="20"/>
                <w:szCs w:val="20"/>
              </w:rPr>
              <w:br/>
              <w:t xml:space="preserve">Current Pay is a field that will allow applicants to indicate whether the </w:t>
            </w:r>
            <w:r w:rsidR="0022561D">
              <w:rPr>
                <w:rFonts w:ascii="Arial" w:hAnsi="Arial" w:cs="Arial"/>
                <w:color w:val="000000"/>
                <w:sz w:val="20"/>
                <w:szCs w:val="20"/>
              </w:rPr>
              <w:t>investment</w:t>
            </w:r>
            <w:r>
              <w:rPr>
                <w:rFonts w:ascii="Arial" w:hAnsi="Arial" w:cs="Arial"/>
                <w:color w:val="000000"/>
                <w:sz w:val="20"/>
                <w:szCs w:val="20"/>
              </w:rPr>
              <w:t xml:space="preserve"> security was structured to yield cash.  The applicant will need to structure similar types of transactions in their SBIC in order to generate sufficient income to cover the interest on SBA-guaranteed debentures.</w:t>
            </w:r>
            <w:r>
              <w:rPr>
                <w:rFonts w:ascii="Arial" w:hAnsi="Arial" w:cs="Arial"/>
                <w:color w:val="000000"/>
                <w:sz w:val="20"/>
                <w:szCs w:val="20"/>
              </w:rPr>
              <w:br/>
            </w:r>
            <w:r>
              <w:rPr>
                <w:rFonts w:ascii="Arial" w:hAnsi="Arial" w:cs="Arial"/>
                <w:color w:val="000000"/>
                <w:sz w:val="20"/>
                <w:szCs w:val="20"/>
              </w:rPr>
              <w:br/>
              <w:t>Leverage Multiple thru Security will help SBA analysts assess the level of risk the principals have taken in past investments and assess their position in the capital structure of the portfolio company</w:t>
            </w:r>
            <w:r>
              <w:rPr>
                <w:rFonts w:ascii="Arial" w:hAnsi="Arial" w:cs="Arial"/>
                <w:color w:val="000000"/>
                <w:sz w:val="20"/>
                <w:szCs w:val="20"/>
              </w:rPr>
              <w:br/>
            </w:r>
            <w:r>
              <w:rPr>
                <w:rFonts w:ascii="Arial" w:hAnsi="Arial" w:cs="Arial"/>
                <w:color w:val="000000"/>
                <w:sz w:val="20"/>
                <w:szCs w:val="20"/>
              </w:rPr>
              <w:br/>
              <w:t>Total Leverage Multiple will be used in conjunction with the field above to assess the principals' willingness to take on risk</w:t>
            </w:r>
            <w:r>
              <w:rPr>
                <w:rFonts w:ascii="Arial" w:hAnsi="Arial" w:cs="Arial"/>
                <w:color w:val="000000"/>
                <w:sz w:val="20"/>
                <w:szCs w:val="20"/>
              </w:rPr>
              <w:br/>
            </w:r>
            <w:r>
              <w:rPr>
                <w:rFonts w:ascii="Arial" w:hAnsi="Arial" w:cs="Arial"/>
                <w:color w:val="000000"/>
                <w:sz w:val="20"/>
                <w:szCs w:val="20"/>
              </w:rPr>
              <w:br/>
              <w:t>Covenant Violation/Restructuring will help SBA analysts identify transactions that suffered difficulties</w:t>
            </w:r>
            <w:r>
              <w:rPr>
                <w:rFonts w:ascii="Arial" w:hAnsi="Arial" w:cs="Arial"/>
                <w:color w:val="000000"/>
                <w:sz w:val="20"/>
                <w:szCs w:val="20"/>
              </w:rPr>
              <w:br/>
            </w:r>
            <w:r>
              <w:rPr>
                <w:rFonts w:ascii="Arial" w:hAnsi="Arial" w:cs="Arial"/>
                <w:color w:val="000000"/>
                <w:sz w:val="20"/>
                <w:szCs w:val="20"/>
              </w:rPr>
              <w:br/>
              <w:t>Exit Type will help SBA analysts assess the manner in which principals have liquidated past investments and compare this history with the fund's strategy going forward.</w:t>
            </w:r>
          </w:p>
        </w:tc>
      </w:tr>
      <w:tr w:rsidR="0022561D" w:rsidTr="00CD529C">
        <w:trPr>
          <w:trHeight w:val="70"/>
        </w:trPr>
        <w:tc>
          <w:tcPr>
            <w:tcW w:w="955" w:type="pct"/>
            <w:shd w:val="clear" w:color="auto" w:fill="auto"/>
            <w:tcMar>
              <w:top w:w="29" w:type="dxa"/>
              <w:left w:w="72" w:type="dxa"/>
              <w:bottom w:w="29" w:type="dxa"/>
              <w:right w:w="72" w:type="dxa"/>
            </w:tcMar>
          </w:tcPr>
          <w:p w:rsidR="0022561D" w:rsidRDefault="0022561D"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tcPr>
          <w:p w:rsidR="0022561D" w:rsidRDefault="006E2A55" w:rsidP="00CD529C">
            <w:pPr>
              <w:rPr>
                <w:rFonts w:ascii="Arial" w:hAnsi="Arial" w:cs="Arial"/>
                <w:color w:val="000000"/>
                <w:sz w:val="20"/>
                <w:szCs w:val="20"/>
              </w:rPr>
            </w:pPr>
            <w:r>
              <w:rPr>
                <w:rFonts w:ascii="Arial" w:hAnsi="Arial" w:cs="Arial"/>
                <w:color w:val="000000"/>
                <w:sz w:val="20"/>
                <w:szCs w:val="20"/>
              </w:rPr>
              <w:t>E1-D. Covenant Defaults</w:t>
            </w:r>
          </w:p>
        </w:tc>
        <w:tc>
          <w:tcPr>
            <w:tcW w:w="2265" w:type="pct"/>
            <w:shd w:val="clear" w:color="auto" w:fill="auto"/>
            <w:tcMar>
              <w:top w:w="29" w:type="dxa"/>
              <w:left w:w="72" w:type="dxa"/>
              <w:bottom w:w="29" w:type="dxa"/>
              <w:right w:w="72" w:type="dxa"/>
            </w:tcMar>
          </w:tcPr>
          <w:p w:rsidR="0022561D" w:rsidRDefault="006E2A55" w:rsidP="004C0A6C">
            <w:pPr>
              <w:rPr>
                <w:rFonts w:ascii="Arial" w:hAnsi="Arial" w:cs="Arial"/>
                <w:color w:val="000000"/>
                <w:sz w:val="20"/>
                <w:szCs w:val="20"/>
              </w:rPr>
            </w:pPr>
            <w:r>
              <w:rPr>
                <w:rFonts w:ascii="Arial" w:hAnsi="Arial" w:cs="Arial"/>
                <w:color w:val="000000"/>
                <w:sz w:val="20"/>
                <w:szCs w:val="20"/>
              </w:rPr>
              <w:t>ADDITION: This new worksheet asks applicants to provide additional detail regarding those investments that have suffered covenant violations or have been restructured.  The information pro</w:t>
            </w:r>
            <w:r w:rsidR="004C0A6C">
              <w:rPr>
                <w:rFonts w:ascii="Arial" w:hAnsi="Arial" w:cs="Arial"/>
                <w:color w:val="000000"/>
                <w:sz w:val="20"/>
                <w:szCs w:val="20"/>
              </w:rPr>
              <w:t>vided here will help SBA analysts</w:t>
            </w:r>
            <w:r>
              <w:rPr>
                <w:rFonts w:ascii="Arial" w:hAnsi="Arial" w:cs="Arial"/>
                <w:color w:val="000000"/>
                <w:sz w:val="20"/>
                <w:szCs w:val="20"/>
              </w:rPr>
              <w:t xml:space="preserve"> identify key areas for diligence and gain an understanding of the management team’s ability to manage underperforming deals</w:t>
            </w:r>
          </w:p>
        </w:tc>
      </w:tr>
      <w:tr w:rsidR="006E2A55" w:rsidTr="00CD529C">
        <w:trPr>
          <w:trHeight w:val="438"/>
        </w:trPr>
        <w:tc>
          <w:tcPr>
            <w:tcW w:w="955" w:type="pct"/>
            <w:shd w:val="clear" w:color="auto" w:fill="auto"/>
            <w:tcMar>
              <w:top w:w="29" w:type="dxa"/>
              <w:left w:w="72" w:type="dxa"/>
              <w:bottom w:w="29" w:type="dxa"/>
              <w:right w:w="72" w:type="dxa"/>
            </w:tcMar>
          </w:tcPr>
          <w:p w:rsidR="006E2A55" w:rsidRDefault="006E2A55"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tcPr>
          <w:p w:rsidR="00264FBD" w:rsidRDefault="00264FBD" w:rsidP="00CD529C">
            <w:pPr>
              <w:rPr>
                <w:rFonts w:ascii="Arial" w:hAnsi="Arial" w:cs="Arial"/>
                <w:color w:val="000000"/>
                <w:sz w:val="20"/>
                <w:szCs w:val="20"/>
              </w:rPr>
            </w:pPr>
            <w:r>
              <w:rPr>
                <w:rFonts w:ascii="Arial" w:hAnsi="Arial" w:cs="Arial"/>
                <w:color w:val="000000"/>
                <w:sz w:val="20"/>
                <w:szCs w:val="20"/>
              </w:rPr>
              <w:t>E1-D. Covenant Defaults</w:t>
            </w:r>
          </w:p>
          <w:p w:rsidR="006E2A55" w:rsidRDefault="006E2A55" w:rsidP="00CD529C">
            <w:pPr>
              <w:rPr>
                <w:rFonts w:ascii="Arial" w:hAnsi="Arial" w:cs="Arial"/>
                <w:color w:val="000000"/>
                <w:sz w:val="20"/>
                <w:szCs w:val="20"/>
              </w:rPr>
            </w:pPr>
            <w:r w:rsidRPr="00264FBD">
              <w:rPr>
                <w:rFonts w:ascii="Arial" w:hAnsi="Arial" w:cs="Arial"/>
                <w:i/>
                <w:color w:val="000000"/>
                <w:sz w:val="20"/>
                <w:szCs w:val="20"/>
              </w:rPr>
              <w:t>New Fields</w:t>
            </w:r>
            <w:r>
              <w:rPr>
                <w:rFonts w:ascii="Arial" w:hAnsi="Arial" w:cs="Arial"/>
                <w:color w:val="000000"/>
                <w:sz w:val="20"/>
                <w:szCs w:val="20"/>
              </w:rPr>
              <w:t>:</w:t>
            </w:r>
          </w:p>
          <w:p w:rsidR="006E2A55" w:rsidRDefault="006E2A55" w:rsidP="00CD529C">
            <w:pPr>
              <w:rPr>
                <w:rFonts w:ascii="Arial" w:hAnsi="Arial" w:cs="Arial"/>
                <w:color w:val="000000"/>
                <w:sz w:val="20"/>
                <w:szCs w:val="20"/>
              </w:rPr>
            </w:pPr>
            <w:r>
              <w:rPr>
                <w:rFonts w:ascii="Arial" w:hAnsi="Arial" w:cs="Arial"/>
                <w:color w:val="000000"/>
                <w:sz w:val="20"/>
                <w:szCs w:val="20"/>
              </w:rPr>
              <w:t>- Covenant Violation Type</w:t>
            </w:r>
          </w:p>
          <w:p w:rsidR="006E2A55" w:rsidRDefault="006E2A55" w:rsidP="00CD529C">
            <w:pPr>
              <w:rPr>
                <w:rFonts w:ascii="Arial" w:hAnsi="Arial" w:cs="Arial"/>
                <w:color w:val="000000"/>
                <w:sz w:val="20"/>
                <w:szCs w:val="20"/>
              </w:rPr>
            </w:pPr>
            <w:r>
              <w:rPr>
                <w:rFonts w:ascii="Arial" w:hAnsi="Arial" w:cs="Arial"/>
                <w:color w:val="000000"/>
                <w:sz w:val="20"/>
                <w:szCs w:val="20"/>
              </w:rPr>
              <w:t>- Time in Default</w:t>
            </w:r>
          </w:p>
          <w:p w:rsidR="006E2A55" w:rsidRDefault="006E2A55" w:rsidP="00CD529C">
            <w:pPr>
              <w:rPr>
                <w:rFonts w:ascii="Arial" w:hAnsi="Arial" w:cs="Arial"/>
                <w:color w:val="000000"/>
                <w:sz w:val="20"/>
                <w:szCs w:val="20"/>
              </w:rPr>
            </w:pPr>
            <w:r>
              <w:rPr>
                <w:rFonts w:ascii="Arial" w:hAnsi="Arial" w:cs="Arial"/>
                <w:color w:val="000000"/>
                <w:sz w:val="20"/>
                <w:szCs w:val="20"/>
              </w:rPr>
              <w:t>- Default Interest Rate Changed</w:t>
            </w:r>
          </w:p>
          <w:p w:rsidR="006E2A55" w:rsidRDefault="006E2A55" w:rsidP="00CD529C">
            <w:pPr>
              <w:rPr>
                <w:rFonts w:ascii="Arial" w:hAnsi="Arial" w:cs="Arial"/>
                <w:color w:val="000000"/>
                <w:sz w:val="20"/>
                <w:szCs w:val="20"/>
              </w:rPr>
            </w:pPr>
            <w:r>
              <w:rPr>
                <w:rFonts w:ascii="Arial" w:hAnsi="Arial" w:cs="Arial"/>
                <w:color w:val="000000"/>
                <w:sz w:val="20"/>
                <w:szCs w:val="20"/>
              </w:rPr>
              <w:t>- Principal Lead</w:t>
            </w:r>
          </w:p>
          <w:p w:rsidR="006E2A55" w:rsidRDefault="006E2A55" w:rsidP="00CD529C">
            <w:pPr>
              <w:rPr>
                <w:rFonts w:ascii="Arial" w:hAnsi="Arial" w:cs="Arial"/>
                <w:color w:val="000000"/>
                <w:sz w:val="20"/>
                <w:szCs w:val="20"/>
              </w:rPr>
            </w:pPr>
            <w:r>
              <w:rPr>
                <w:rFonts w:ascii="Arial" w:hAnsi="Arial" w:cs="Arial"/>
                <w:color w:val="000000"/>
                <w:sz w:val="20"/>
                <w:szCs w:val="20"/>
              </w:rPr>
              <w:t>- Discuss the reasoning…</w:t>
            </w:r>
          </w:p>
        </w:tc>
        <w:tc>
          <w:tcPr>
            <w:tcW w:w="2265" w:type="pct"/>
            <w:shd w:val="clear" w:color="auto" w:fill="auto"/>
            <w:tcMar>
              <w:top w:w="29" w:type="dxa"/>
              <w:left w:w="72" w:type="dxa"/>
              <w:bottom w:w="29" w:type="dxa"/>
              <w:right w:w="72" w:type="dxa"/>
            </w:tcMar>
          </w:tcPr>
          <w:p w:rsidR="006E2A55" w:rsidRDefault="006E2A55" w:rsidP="00CD529C">
            <w:pPr>
              <w:rPr>
                <w:rFonts w:ascii="Arial" w:hAnsi="Arial" w:cs="Arial"/>
                <w:color w:val="000000"/>
                <w:sz w:val="20"/>
                <w:szCs w:val="20"/>
              </w:rPr>
            </w:pPr>
            <w:r>
              <w:rPr>
                <w:rFonts w:ascii="Arial" w:hAnsi="Arial" w:cs="Arial"/>
                <w:color w:val="000000"/>
                <w:sz w:val="20"/>
                <w:szCs w:val="20"/>
              </w:rPr>
              <w:t xml:space="preserve">Some covenant violations are more severe than others, so it is important to </w:t>
            </w:r>
            <w:r w:rsidR="00264FBD">
              <w:rPr>
                <w:rFonts w:ascii="Arial" w:hAnsi="Arial" w:cs="Arial"/>
                <w:color w:val="000000"/>
                <w:sz w:val="20"/>
                <w:szCs w:val="20"/>
              </w:rPr>
              <w:t>allow the applicant to distinguish among the various violations</w:t>
            </w:r>
            <w:r>
              <w:rPr>
                <w:rFonts w:ascii="Arial" w:hAnsi="Arial" w:cs="Arial"/>
                <w:color w:val="000000"/>
                <w:sz w:val="20"/>
                <w:szCs w:val="20"/>
              </w:rPr>
              <w:t>.</w:t>
            </w:r>
          </w:p>
          <w:p w:rsidR="006E2A55" w:rsidRDefault="006E2A55" w:rsidP="00CD529C">
            <w:pPr>
              <w:rPr>
                <w:rFonts w:ascii="Arial" w:hAnsi="Arial" w:cs="Arial"/>
                <w:color w:val="000000"/>
                <w:sz w:val="20"/>
                <w:szCs w:val="20"/>
              </w:rPr>
            </w:pPr>
          </w:p>
          <w:p w:rsidR="006E2A55" w:rsidRDefault="006E2A55" w:rsidP="00CD529C">
            <w:pPr>
              <w:rPr>
                <w:rFonts w:ascii="Arial" w:hAnsi="Arial" w:cs="Arial"/>
                <w:color w:val="000000"/>
                <w:sz w:val="20"/>
                <w:szCs w:val="20"/>
              </w:rPr>
            </w:pPr>
            <w:r>
              <w:rPr>
                <w:rFonts w:ascii="Arial" w:hAnsi="Arial" w:cs="Arial"/>
                <w:color w:val="000000"/>
                <w:sz w:val="20"/>
                <w:szCs w:val="20"/>
              </w:rPr>
              <w:t xml:space="preserve">The length of time a company is in default provides an indication of the severity of the </w:t>
            </w:r>
            <w:r w:rsidR="001657D2">
              <w:rPr>
                <w:rFonts w:ascii="Arial" w:hAnsi="Arial" w:cs="Arial"/>
                <w:color w:val="000000"/>
                <w:sz w:val="20"/>
                <w:szCs w:val="20"/>
              </w:rPr>
              <w:t>violation.</w:t>
            </w:r>
          </w:p>
          <w:p w:rsidR="006E2A55" w:rsidRDefault="006E2A55" w:rsidP="00CD529C">
            <w:pPr>
              <w:rPr>
                <w:rFonts w:ascii="Arial" w:hAnsi="Arial" w:cs="Arial"/>
                <w:color w:val="000000"/>
                <w:sz w:val="20"/>
                <w:szCs w:val="20"/>
              </w:rPr>
            </w:pPr>
          </w:p>
          <w:p w:rsidR="00DA6A69" w:rsidRDefault="00DA6A69" w:rsidP="00CD529C">
            <w:pPr>
              <w:rPr>
                <w:rFonts w:ascii="Arial" w:hAnsi="Arial" w:cs="Arial"/>
                <w:color w:val="000000"/>
                <w:sz w:val="20"/>
                <w:szCs w:val="20"/>
              </w:rPr>
            </w:pPr>
            <w:r>
              <w:rPr>
                <w:rFonts w:ascii="Arial" w:hAnsi="Arial" w:cs="Arial"/>
                <w:color w:val="000000"/>
                <w:sz w:val="20"/>
                <w:szCs w:val="20"/>
              </w:rPr>
              <w:t>The default rate will give SBA analysts an idea of the penalty rates the fund managers have used in the past.  SBA regulations set a cap on the penalty rates SBICs can charge.</w:t>
            </w:r>
          </w:p>
          <w:p w:rsidR="00DA6A69" w:rsidRDefault="00DA6A69" w:rsidP="00CD529C">
            <w:pPr>
              <w:rPr>
                <w:rFonts w:ascii="Arial" w:hAnsi="Arial" w:cs="Arial"/>
                <w:color w:val="000000"/>
                <w:sz w:val="20"/>
                <w:szCs w:val="20"/>
              </w:rPr>
            </w:pPr>
          </w:p>
          <w:p w:rsidR="00DA6A69" w:rsidRDefault="00DA6A69" w:rsidP="00CD529C">
            <w:pPr>
              <w:rPr>
                <w:rFonts w:ascii="Arial" w:hAnsi="Arial" w:cs="Arial"/>
                <w:color w:val="000000"/>
                <w:sz w:val="20"/>
                <w:szCs w:val="20"/>
              </w:rPr>
            </w:pPr>
            <w:r>
              <w:rPr>
                <w:rFonts w:ascii="Arial" w:hAnsi="Arial" w:cs="Arial"/>
                <w:color w:val="000000"/>
                <w:sz w:val="20"/>
                <w:szCs w:val="20"/>
              </w:rPr>
              <w:t>Principal Lead will help SBA analysts identify the manager to whom they should address any diligence questions related to the company.</w:t>
            </w:r>
          </w:p>
          <w:p w:rsidR="00DA6A69" w:rsidRDefault="00DA6A69" w:rsidP="00CD529C">
            <w:pPr>
              <w:rPr>
                <w:rFonts w:ascii="Arial" w:hAnsi="Arial" w:cs="Arial"/>
                <w:color w:val="000000"/>
                <w:sz w:val="20"/>
                <w:szCs w:val="20"/>
              </w:rPr>
            </w:pPr>
          </w:p>
          <w:p w:rsidR="006E2A55" w:rsidRDefault="00DA6A69" w:rsidP="00CD529C">
            <w:pPr>
              <w:rPr>
                <w:rFonts w:ascii="Arial" w:hAnsi="Arial" w:cs="Arial"/>
                <w:color w:val="000000"/>
                <w:sz w:val="20"/>
                <w:szCs w:val="20"/>
              </w:rPr>
            </w:pPr>
            <w:r>
              <w:rPr>
                <w:rFonts w:ascii="Arial" w:hAnsi="Arial" w:cs="Arial"/>
                <w:color w:val="000000"/>
                <w:sz w:val="20"/>
                <w:szCs w:val="20"/>
              </w:rPr>
              <w:t>The “Discuss the reasoning…” field gives the managers an opportunity to explain the circumstances surrounding the default.</w:t>
            </w:r>
            <w:r w:rsidR="006E2A55">
              <w:rPr>
                <w:rFonts w:ascii="Arial" w:hAnsi="Arial" w:cs="Arial"/>
                <w:color w:val="000000"/>
                <w:sz w:val="20"/>
                <w:szCs w:val="20"/>
              </w:rPr>
              <w:t xml:space="preserve"> </w:t>
            </w:r>
          </w:p>
        </w:tc>
      </w:tr>
      <w:tr w:rsidR="008D15AA" w:rsidTr="00CD529C">
        <w:trPr>
          <w:trHeight w:val="438"/>
        </w:trPr>
        <w:tc>
          <w:tcPr>
            <w:tcW w:w="955" w:type="pct"/>
            <w:shd w:val="clear" w:color="auto" w:fill="auto"/>
            <w:tcMar>
              <w:top w:w="29" w:type="dxa"/>
              <w:left w:w="72" w:type="dxa"/>
              <w:bottom w:w="29" w:type="dxa"/>
              <w:right w:w="72" w:type="dxa"/>
            </w:tcMar>
          </w:tcPr>
          <w:p w:rsidR="008D15AA" w:rsidRDefault="008D15AA" w:rsidP="00CD529C">
            <w:pPr>
              <w:rPr>
                <w:rFonts w:ascii="Arial" w:hAnsi="Arial" w:cs="Arial"/>
                <w:color w:val="000000"/>
                <w:sz w:val="20"/>
                <w:szCs w:val="20"/>
              </w:rPr>
            </w:pPr>
          </w:p>
        </w:tc>
        <w:tc>
          <w:tcPr>
            <w:tcW w:w="1780" w:type="pct"/>
            <w:shd w:val="clear" w:color="auto" w:fill="auto"/>
            <w:tcMar>
              <w:top w:w="29" w:type="dxa"/>
              <w:left w:w="72" w:type="dxa"/>
              <w:bottom w:w="29" w:type="dxa"/>
              <w:right w:w="72" w:type="dxa"/>
            </w:tcMar>
          </w:tcPr>
          <w:p w:rsidR="008D15AA" w:rsidRDefault="008D15AA" w:rsidP="00CD529C">
            <w:pPr>
              <w:rPr>
                <w:rFonts w:ascii="Arial" w:hAnsi="Arial" w:cs="Arial"/>
                <w:color w:val="000000"/>
                <w:sz w:val="20"/>
                <w:szCs w:val="20"/>
              </w:rPr>
            </w:pPr>
            <w:r>
              <w:rPr>
                <w:rFonts w:ascii="Arial" w:hAnsi="Arial" w:cs="Arial"/>
                <w:color w:val="000000"/>
                <w:sz w:val="20"/>
                <w:szCs w:val="20"/>
              </w:rPr>
              <w:t>E1-E. Valuations</w:t>
            </w:r>
          </w:p>
        </w:tc>
        <w:tc>
          <w:tcPr>
            <w:tcW w:w="2265" w:type="pct"/>
            <w:shd w:val="clear" w:color="auto" w:fill="auto"/>
            <w:tcMar>
              <w:top w:w="29" w:type="dxa"/>
              <w:left w:w="72" w:type="dxa"/>
              <w:bottom w:w="29" w:type="dxa"/>
              <w:right w:w="72" w:type="dxa"/>
            </w:tcMar>
          </w:tcPr>
          <w:p w:rsidR="008D15AA" w:rsidRDefault="008D15AA" w:rsidP="00CD529C">
            <w:pPr>
              <w:rPr>
                <w:rFonts w:ascii="Arial" w:hAnsi="Arial" w:cs="Arial"/>
                <w:color w:val="000000"/>
                <w:sz w:val="20"/>
                <w:szCs w:val="20"/>
              </w:rPr>
            </w:pPr>
            <w:r>
              <w:rPr>
                <w:rFonts w:ascii="Arial" w:hAnsi="Arial" w:cs="Arial"/>
                <w:color w:val="000000"/>
                <w:sz w:val="20"/>
                <w:szCs w:val="20"/>
              </w:rPr>
              <w:t>ADDITION: Applicants are now asked to use a drop-down menu to identify the valuation method used to calculate the residual value of each unrealized position in the portfolio.</w:t>
            </w:r>
            <w:r w:rsidR="008D6AA5">
              <w:rPr>
                <w:rFonts w:ascii="Arial" w:hAnsi="Arial" w:cs="Arial"/>
                <w:color w:val="000000"/>
                <w:sz w:val="20"/>
                <w:szCs w:val="20"/>
              </w:rPr>
              <w:t xml:space="preserve">  The overall performance of a fund can be extremely sensitive to unrealized value.  This information will give SBA analysts the ability to assess the quality/reliability of valuations.</w:t>
            </w:r>
          </w:p>
        </w:tc>
      </w:tr>
      <w:tr w:rsidR="007D4C9F" w:rsidTr="00CD529C">
        <w:trPr>
          <w:trHeight w:val="438"/>
        </w:trPr>
        <w:tc>
          <w:tcPr>
            <w:tcW w:w="955" w:type="pct"/>
            <w:shd w:val="clear" w:color="auto" w:fill="auto"/>
            <w:tcMar>
              <w:top w:w="29" w:type="dxa"/>
              <w:left w:w="72" w:type="dxa"/>
              <w:bottom w:w="29" w:type="dxa"/>
              <w:right w:w="72" w:type="dxa"/>
            </w:tcMar>
          </w:tcPr>
          <w:p w:rsidR="007D4C9F" w:rsidRDefault="008323A7" w:rsidP="00CD529C">
            <w:pPr>
              <w:rPr>
                <w:rFonts w:ascii="Arial" w:hAnsi="Arial" w:cs="Arial"/>
                <w:color w:val="000000"/>
                <w:sz w:val="20"/>
                <w:szCs w:val="20"/>
              </w:rPr>
            </w:pPr>
            <w:r>
              <w:rPr>
                <w:rFonts w:ascii="Arial" w:hAnsi="Arial" w:cs="Arial"/>
                <w:color w:val="000000"/>
                <w:sz w:val="20"/>
                <w:szCs w:val="20"/>
              </w:rPr>
              <w:t>F3</w:t>
            </w:r>
          </w:p>
        </w:tc>
        <w:tc>
          <w:tcPr>
            <w:tcW w:w="1780" w:type="pct"/>
            <w:shd w:val="clear" w:color="auto" w:fill="auto"/>
            <w:tcMar>
              <w:top w:w="29" w:type="dxa"/>
              <w:left w:w="72" w:type="dxa"/>
              <w:bottom w:w="29" w:type="dxa"/>
              <w:right w:w="72" w:type="dxa"/>
            </w:tcMar>
          </w:tcPr>
          <w:p w:rsidR="007D4C9F" w:rsidRDefault="008323A7" w:rsidP="00CD529C">
            <w:pPr>
              <w:rPr>
                <w:rFonts w:ascii="Arial" w:hAnsi="Arial" w:cs="Arial"/>
                <w:color w:val="000000"/>
                <w:sz w:val="20"/>
                <w:szCs w:val="20"/>
              </w:rPr>
            </w:pPr>
            <w:r>
              <w:rPr>
                <w:rFonts w:ascii="Arial" w:hAnsi="Arial" w:cs="Arial"/>
                <w:color w:val="000000"/>
                <w:sz w:val="20"/>
                <w:szCs w:val="20"/>
              </w:rPr>
              <w:t>E2</w:t>
            </w:r>
          </w:p>
          <w:p w:rsidR="008323A7" w:rsidRDefault="008323A7" w:rsidP="00CD529C">
            <w:pPr>
              <w:rPr>
                <w:rFonts w:ascii="Arial" w:hAnsi="Arial" w:cs="Arial"/>
                <w:i/>
                <w:color w:val="000000"/>
                <w:sz w:val="20"/>
                <w:szCs w:val="20"/>
              </w:rPr>
            </w:pPr>
            <w:r>
              <w:rPr>
                <w:rFonts w:ascii="Arial" w:hAnsi="Arial" w:cs="Arial"/>
                <w:i/>
                <w:color w:val="000000"/>
                <w:sz w:val="20"/>
                <w:szCs w:val="20"/>
              </w:rPr>
              <w:t>Added:</w:t>
            </w:r>
          </w:p>
          <w:p w:rsidR="008323A7" w:rsidRDefault="008323A7" w:rsidP="00CD529C">
            <w:pPr>
              <w:rPr>
                <w:rFonts w:ascii="Arial" w:hAnsi="Arial" w:cs="Arial"/>
                <w:color w:val="000000"/>
                <w:sz w:val="20"/>
                <w:szCs w:val="20"/>
              </w:rPr>
            </w:pPr>
            <w:r>
              <w:rPr>
                <w:rFonts w:ascii="Arial" w:hAnsi="Arial" w:cs="Arial"/>
                <w:color w:val="000000"/>
                <w:sz w:val="20"/>
                <w:szCs w:val="20"/>
              </w:rPr>
              <w:t>- Valuation Date</w:t>
            </w:r>
          </w:p>
          <w:p w:rsidR="008323A7" w:rsidRDefault="008323A7" w:rsidP="00CD529C">
            <w:pPr>
              <w:rPr>
                <w:rFonts w:ascii="Arial" w:hAnsi="Arial" w:cs="Arial"/>
                <w:color w:val="000000"/>
                <w:sz w:val="20"/>
                <w:szCs w:val="20"/>
              </w:rPr>
            </w:pPr>
            <w:r>
              <w:rPr>
                <w:rFonts w:ascii="Arial" w:hAnsi="Arial" w:cs="Arial"/>
                <w:color w:val="000000"/>
                <w:sz w:val="20"/>
                <w:szCs w:val="20"/>
              </w:rPr>
              <w:t>- Security Type</w:t>
            </w:r>
          </w:p>
          <w:p w:rsidR="008323A7" w:rsidRDefault="008323A7" w:rsidP="00CD529C">
            <w:pPr>
              <w:rPr>
                <w:rFonts w:ascii="Arial" w:hAnsi="Arial" w:cs="Arial"/>
                <w:color w:val="000000"/>
                <w:sz w:val="20"/>
                <w:szCs w:val="20"/>
              </w:rPr>
            </w:pPr>
            <w:r>
              <w:rPr>
                <w:rFonts w:ascii="Arial" w:hAnsi="Arial" w:cs="Arial"/>
                <w:color w:val="000000"/>
                <w:sz w:val="20"/>
                <w:szCs w:val="20"/>
              </w:rPr>
              <w:t>- Cash Multiple</w:t>
            </w:r>
          </w:p>
          <w:p w:rsidR="008323A7" w:rsidRDefault="008323A7" w:rsidP="00CD529C">
            <w:pPr>
              <w:rPr>
                <w:rFonts w:ascii="Arial" w:hAnsi="Arial" w:cs="Arial"/>
                <w:color w:val="000000"/>
                <w:sz w:val="20"/>
                <w:szCs w:val="20"/>
              </w:rPr>
            </w:pPr>
            <w:r>
              <w:rPr>
                <w:rFonts w:ascii="Arial" w:hAnsi="Arial" w:cs="Arial"/>
                <w:color w:val="000000"/>
                <w:sz w:val="20"/>
                <w:szCs w:val="20"/>
              </w:rPr>
              <w:t>- IRR</w:t>
            </w:r>
            <w:r>
              <w:rPr>
                <w:rFonts w:ascii="Arial" w:hAnsi="Arial" w:cs="Arial"/>
                <w:color w:val="000000"/>
                <w:sz w:val="20"/>
                <w:szCs w:val="20"/>
              </w:rPr>
              <w:br/>
              <w:t>- Investment Committee/Deal Lead</w:t>
            </w:r>
          </w:p>
          <w:p w:rsidR="00CF6106" w:rsidRDefault="00CF6106" w:rsidP="00CD529C">
            <w:pPr>
              <w:rPr>
                <w:rFonts w:ascii="Arial" w:hAnsi="Arial" w:cs="Arial"/>
                <w:color w:val="000000"/>
                <w:sz w:val="20"/>
                <w:szCs w:val="20"/>
              </w:rPr>
            </w:pPr>
          </w:p>
          <w:p w:rsidR="00CF6106" w:rsidRDefault="00CF6106" w:rsidP="00CF6106">
            <w:pPr>
              <w:rPr>
                <w:rFonts w:ascii="Arial" w:hAnsi="Arial" w:cs="Arial"/>
                <w:i/>
                <w:color w:val="000000"/>
                <w:sz w:val="20"/>
                <w:szCs w:val="20"/>
              </w:rPr>
            </w:pPr>
            <w:r>
              <w:rPr>
                <w:rFonts w:ascii="Arial" w:hAnsi="Arial" w:cs="Arial"/>
                <w:i/>
                <w:color w:val="000000"/>
                <w:sz w:val="20"/>
                <w:szCs w:val="20"/>
              </w:rPr>
              <w:t>Removed:</w:t>
            </w:r>
          </w:p>
          <w:p w:rsidR="00CF6106" w:rsidRPr="008323A7" w:rsidRDefault="00CF6106" w:rsidP="00CD529C">
            <w:pPr>
              <w:rPr>
                <w:rFonts w:ascii="Arial" w:hAnsi="Arial" w:cs="Arial"/>
                <w:color w:val="000000"/>
                <w:sz w:val="20"/>
                <w:szCs w:val="20"/>
              </w:rPr>
            </w:pPr>
            <w:r>
              <w:rPr>
                <w:rFonts w:ascii="Arial" w:hAnsi="Arial" w:cs="Arial"/>
                <w:color w:val="000000"/>
                <w:sz w:val="20"/>
                <w:szCs w:val="20"/>
              </w:rPr>
              <w:t>- Description of Product &amp; Service</w:t>
            </w:r>
          </w:p>
        </w:tc>
        <w:tc>
          <w:tcPr>
            <w:tcW w:w="2265" w:type="pct"/>
            <w:shd w:val="clear" w:color="auto" w:fill="auto"/>
            <w:tcMar>
              <w:top w:w="29" w:type="dxa"/>
              <w:left w:w="72" w:type="dxa"/>
              <w:bottom w:w="29" w:type="dxa"/>
              <w:right w:w="72" w:type="dxa"/>
            </w:tcMar>
          </w:tcPr>
          <w:p w:rsidR="007D4C9F" w:rsidRDefault="008323A7" w:rsidP="00CD529C">
            <w:pPr>
              <w:rPr>
                <w:rFonts w:ascii="Arial" w:hAnsi="Arial" w:cs="Arial"/>
                <w:color w:val="000000"/>
                <w:sz w:val="20"/>
                <w:szCs w:val="20"/>
              </w:rPr>
            </w:pPr>
            <w:r>
              <w:rPr>
                <w:rFonts w:ascii="Arial" w:hAnsi="Arial" w:cs="Arial"/>
                <w:color w:val="000000"/>
                <w:sz w:val="20"/>
                <w:szCs w:val="20"/>
              </w:rPr>
              <w:t>The use of this worksheet is unchanged from the prior version.  However, several enhancements have been made:</w:t>
            </w:r>
          </w:p>
          <w:p w:rsidR="00057065" w:rsidRDefault="00057065" w:rsidP="00CD529C">
            <w:pPr>
              <w:rPr>
                <w:rFonts w:ascii="Arial" w:hAnsi="Arial" w:cs="Arial"/>
                <w:color w:val="000000"/>
                <w:sz w:val="20"/>
                <w:szCs w:val="20"/>
              </w:rPr>
            </w:pPr>
          </w:p>
          <w:p w:rsidR="00057065" w:rsidRDefault="00057065" w:rsidP="00CD529C">
            <w:pPr>
              <w:rPr>
                <w:rFonts w:ascii="Arial" w:hAnsi="Arial" w:cs="Arial"/>
                <w:color w:val="000000"/>
                <w:sz w:val="20"/>
                <w:szCs w:val="20"/>
              </w:rPr>
            </w:pPr>
            <w:r>
              <w:rPr>
                <w:rFonts w:ascii="Arial" w:hAnsi="Arial" w:cs="Arial"/>
                <w:color w:val="000000"/>
                <w:sz w:val="20"/>
                <w:szCs w:val="20"/>
              </w:rPr>
              <w:t>“Valuation Date” is an important data point for investments that remain unrealized but was missing from the prior version.</w:t>
            </w:r>
          </w:p>
          <w:p w:rsidR="00057065" w:rsidRDefault="00057065" w:rsidP="00CD529C">
            <w:pPr>
              <w:rPr>
                <w:rFonts w:ascii="Arial" w:hAnsi="Arial" w:cs="Arial"/>
                <w:color w:val="000000"/>
                <w:sz w:val="20"/>
                <w:szCs w:val="20"/>
              </w:rPr>
            </w:pPr>
          </w:p>
          <w:p w:rsidR="00057065" w:rsidRDefault="00057065" w:rsidP="00CD529C">
            <w:pPr>
              <w:rPr>
                <w:rFonts w:ascii="Arial" w:hAnsi="Arial" w:cs="Arial"/>
                <w:color w:val="000000"/>
                <w:sz w:val="20"/>
                <w:szCs w:val="20"/>
              </w:rPr>
            </w:pPr>
            <w:r>
              <w:rPr>
                <w:rFonts w:ascii="Arial" w:hAnsi="Arial" w:cs="Arial"/>
                <w:color w:val="000000"/>
                <w:sz w:val="20"/>
                <w:szCs w:val="20"/>
              </w:rPr>
              <w:t>“Security Type” is critical to understanding the nature of each investment.</w:t>
            </w:r>
          </w:p>
          <w:p w:rsidR="00057065" w:rsidRDefault="00057065" w:rsidP="00CD529C">
            <w:pPr>
              <w:rPr>
                <w:rFonts w:ascii="Arial" w:hAnsi="Arial" w:cs="Arial"/>
                <w:color w:val="000000"/>
                <w:sz w:val="20"/>
                <w:szCs w:val="20"/>
              </w:rPr>
            </w:pPr>
          </w:p>
          <w:p w:rsidR="00057065" w:rsidRDefault="00057065" w:rsidP="00CD529C">
            <w:pPr>
              <w:rPr>
                <w:rFonts w:ascii="Arial" w:hAnsi="Arial" w:cs="Arial"/>
                <w:color w:val="000000"/>
                <w:sz w:val="20"/>
                <w:szCs w:val="20"/>
              </w:rPr>
            </w:pPr>
            <w:r>
              <w:rPr>
                <w:rFonts w:ascii="Arial" w:hAnsi="Arial" w:cs="Arial"/>
                <w:color w:val="000000"/>
                <w:sz w:val="20"/>
                <w:szCs w:val="20"/>
              </w:rPr>
              <w:t xml:space="preserve">“Cash Multiple” and “IRR” are </w:t>
            </w:r>
            <w:r w:rsidR="005D5B05">
              <w:rPr>
                <w:rFonts w:ascii="Arial" w:hAnsi="Arial" w:cs="Arial"/>
                <w:color w:val="000000"/>
                <w:sz w:val="20"/>
                <w:szCs w:val="20"/>
              </w:rPr>
              <w:t xml:space="preserve">the </w:t>
            </w:r>
            <w:r>
              <w:rPr>
                <w:rFonts w:ascii="Arial" w:hAnsi="Arial" w:cs="Arial"/>
                <w:color w:val="000000"/>
                <w:sz w:val="20"/>
                <w:szCs w:val="20"/>
              </w:rPr>
              <w:t>key performance metrics used to asse</w:t>
            </w:r>
            <w:r w:rsidR="00247B8D">
              <w:rPr>
                <w:rFonts w:ascii="Arial" w:hAnsi="Arial" w:cs="Arial"/>
                <w:color w:val="000000"/>
                <w:sz w:val="20"/>
                <w:szCs w:val="20"/>
              </w:rPr>
              <w:t>ss private equity track records, but were missing from the prior version.</w:t>
            </w:r>
          </w:p>
          <w:p w:rsidR="00057065" w:rsidRDefault="00057065" w:rsidP="00CD529C">
            <w:pPr>
              <w:rPr>
                <w:rFonts w:ascii="Arial" w:hAnsi="Arial" w:cs="Arial"/>
                <w:color w:val="000000"/>
                <w:sz w:val="20"/>
                <w:szCs w:val="20"/>
              </w:rPr>
            </w:pPr>
          </w:p>
          <w:p w:rsidR="00057065" w:rsidRDefault="00057065" w:rsidP="00CD529C">
            <w:pPr>
              <w:rPr>
                <w:rFonts w:ascii="Arial" w:hAnsi="Arial" w:cs="Arial"/>
                <w:color w:val="000000"/>
                <w:sz w:val="20"/>
                <w:szCs w:val="20"/>
              </w:rPr>
            </w:pPr>
            <w:r>
              <w:rPr>
                <w:rFonts w:ascii="Arial" w:hAnsi="Arial" w:cs="Arial"/>
                <w:color w:val="000000"/>
                <w:sz w:val="20"/>
                <w:szCs w:val="20"/>
              </w:rPr>
              <w:t xml:space="preserve">“Investment Committee/Deal Lead” is also important for analysis.  Deal attribution is a key factor in assessing the quality of an investment track record. </w:t>
            </w:r>
          </w:p>
          <w:p w:rsidR="00CF6106" w:rsidRDefault="00CF6106" w:rsidP="00CD529C">
            <w:pPr>
              <w:rPr>
                <w:rFonts w:ascii="Arial" w:hAnsi="Arial" w:cs="Arial"/>
                <w:color w:val="000000"/>
                <w:sz w:val="20"/>
                <w:szCs w:val="20"/>
              </w:rPr>
            </w:pPr>
          </w:p>
          <w:p w:rsidR="00CF6106" w:rsidRDefault="00CF6106" w:rsidP="00CD529C">
            <w:pPr>
              <w:rPr>
                <w:rFonts w:ascii="Arial" w:hAnsi="Arial" w:cs="Arial"/>
                <w:color w:val="000000"/>
                <w:sz w:val="20"/>
                <w:szCs w:val="20"/>
              </w:rPr>
            </w:pPr>
            <w:r>
              <w:rPr>
                <w:rFonts w:ascii="Arial" w:hAnsi="Arial" w:cs="Arial"/>
                <w:color w:val="000000"/>
                <w:sz w:val="20"/>
                <w:szCs w:val="20"/>
              </w:rPr>
              <w:t>“Descriptions of…” has been removed.  This field is cumbersome and adds little value.</w:t>
            </w:r>
          </w:p>
        </w:tc>
      </w:tr>
      <w:tr w:rsidR="008802FA" w:rsidTr="00CD529C">
        <w:trPr>
          <w:trHeight w:val="70"/>
        </w:trPr>
        <w:tc>
          <w:tcPr>
            <w:tcW w:w="955" w:type="pct"/>
            <w:shd w:val="clear" w:color="auto" w:fill="auto"/>
            <w:tcMar>
              <w:top w:w="29" w:type="dxa"/>
              <w:left w:w="72" w:type="dxa"/>
              <w:bottom w:w="29" w:type="dxa"/>
              <w:right w:w="72" w:type="dxa"/>
            </w:tcMar>
          </w:tcPr>
          <w:p w:rsidR="008802FA" w:rsidRPr="008802FA" w:rsidRDefault="008802FA" w:rsidP="00CD529C">
            <w:pPr>
              <w:rPr>
                <w:rFonts w:ascii="Arial" w:hAnsi="Arial" w:cs="Arial"/>
                <w:b/>
                <w:color w:val="000000"/>
                <w:sz w:val="20"/>
                <w:szCs w:val="20"/>
              </w:rPr>
            </w:pPr>
            <w:r>
              <w:rPr>
                <w:rFonts w:ascii="Arial" w:hAnsi="Arial" w:cs="Arial"/>
                <w:b/>
                <w:color w:val="000000"/>
                <w:sz w:val="20"/>
                <w:szCs w:val="20"/>
              </w:rPr>
              <w:t>Exhibit W</w:t>
            </w:r>
          </w:p>
        </w:tc>
        <w:tc>
          <w:tcPr>
            <w:tcW w:w="1780" w:type="pct"/>
            <w:shd w:val="clear" w:color="auto" w:fill="auto"/>
            <w:tcMar>
              <w:top w:w="29" w:type="dxa"/>
              <w:left w:w="72" w:type="dxa"/>
              <w:bottom w:w="29" w:type="dxa"/>
              <w:right w:w="72" w:type="dxa"/>
            </w:tcMar>
          </w:tcPr>
          <w:p w:rsidR="008802FA" w:rsidRPr="008802FA" w:rsidRDefault="008802FA" w:rsidP="00CD529C">
            <w:pPr>
              <w:rPr>
                <w:rFonts w:ascii="Arial" w:hAnsi="Arial" w:cs="Arial"/>
                <w:b/>
                <w:color w:val="000000"/>
                <w:sz w:val="20"/>
                <w:szCs w:val="20"/>
              </w:rPr>
            </w:pPr>
            <w:r w:rsidRPr="008802FA">
              <w:rPr>
                <w:rFonts w:ascii="Arial" w:hAnsi="Arial" w:cs="Arial"/>
                <w:b/>
                <w:color w:val="000000"/>
                <w:sz w:val="20"/>
                <w:szCs w:val="20"/>
              </w:rPr>
              <w:t>REMOVED</w:t>
            </w:r>
          </w:p>
        </w:tc>
        <w:tc>
          <w:tcPr>
            <w:tcW w:w="2265" w:type="pct"/>
            <w:shd w:val="clear" w:color="auto" w:fill="auto"/>
            <w:tcMar>
              <w:top w:w="29" w:type="dxa"/>
              <w:left w:w="72" w:type="dxa"/>
              <w:bottom w:w="29" w:type="dxa"/>
              <w:right w:w="72" w:type="dxa"/>
            </w:tcMar>
          </w:tcPr>
          <w:p w:rsidR="008802FA" w:rsidRDefault="008802FA" w:rsidP="0078410D">
            <w:pPr>
              <w:rPr>
                <w:rFonts w:ascii="Arial" w:hAnsi="Arial" w:cs="Arial"/>
                <w:color w:val="000000"/>
                <w:sz w:val="20"/>
                <w:szCs w:val="20"/>
              </w:rPr>
            </w:pPr>
            <w:r>
              <w:rPr>
                <w:rFonts w:ascii="Arial" w:hAnsi="Arial" w:cs="Arial"/>
                <w:color w:val="000000"/>
                <w:sz w:val="20"/>
                <w:szCs w:val="20"/>
              </w:rPr>
              <w:t xml:space="preserve">This </w:t>
            </w:r>
            <w:r w:rsidR="0078410D">
              <w:rPr>
                <w:rFonts w:ascii="Arial" w:hAnsi="Arial" w:cs="Arial"/>
                <w:color w:val="000000"/>
                <w:sz w:val="20"/>
                <w:szCs w:val="20"/>
              </w:rPr>
              <w:t>worksheet is no longer in use</w:t>
            </w:r>
            <w:r>
              <w:rPr>
                <w:rFonts w:ascii="Arial" w:hAnsi="Arial" w:cs="Arial"/>
                <w:color w:val="000000"/>
                <w:sz w:val="20"/>
                <w:szCs w:val="20"/>
              </w:rPr>
              <w:t>.</w:t>
            </w:r>
          </w:p>
        </w:tc>
      </w:tr>
      <w:tr w:rsidR="008802FA" w:rsidTr="00CD529C">
        <w:trPr>
          <w:trHeight w:val="438"/>
        </w:trPr>
        <w:tc>
          <w:tcPr>
            <w:tcW w:w="955" w:type="pct"/>
            <w:shd w:val="clear" w:color="auto" w:fill="auto"/>
            <w:tcMar>
              <w:top w:w="29" w:type="dxa"/>
              <w:left w:w="72" w:type="dxa"/>
              <w:bottom w:w="29" w:type="dxa"/>
              <w:right w:w="72" w:type="dxa"/>
            </w:tcMar>
          </w:tcPr>
          <w:p w:rsidR="008802FA" w:rsidRDefault="008802FA" w:rsidP="00CD529C">
            <w:pPr>
              <w:rPr>
                <w:rFonts w:ascii="Arial" w:hAnsi="Arial" w:cs="Arial"/>
                <w:b/>
                <w:color w:val="000000"/>
                <w:sz w:val="20"/>
                <w:szCs w:val="20"/>
              </w:rPr>
            </w:pPr>
          </w:p>
        </w:tc>
        <w:tc>
          <w:tcPr>
            <w:tcW w:w="1780" w:type="pct"/>
            <w:shd w:val="clear" w:color="auto" w:fill="auto"/>
            <w:tcMar>
              <w:top w:w="29" w:type="dxa"/>
              <w:left w:w="72" w:type="dxa"/>
              <w:bottom w:w="29" w:type="dxa"/>
              <w:right w:w="72" w:type="dxa"/>
            </w:tcMar>
          </w:tcPr>
          <w:p w:rsidR="008802FA" w:rsidRPr="008802FA" w:rsidRDefault="00AC0D71" w:rsidP="00CD529C">
            <w:pPr>
              <w:rPr>
                <w:rFonts w:ascii="Arial" w:hAnsi="Arial" w:cs="Arial"/>
                <w:b/>
                <w:color w:val="000000"/>
                <w:sz w:val="20"/>
                <w:szCs w:val="20"/>
              </w:rPr>
            </w:pPr>
            <w:r>
              <w:rPr>
                <w:rFonts w:ascii="Arial" w:hAnsi="Arial" w:cs="Arial"/>
                <w:b/>
                <w:color w:val="000000"/>
                <w:sz w:val="20"/>
                <w:szCs w:val="20"/>
              </w:rPr>
              <w:t>Exhibit F. Portfolio Detail</w:t>
            </w:r>
          </w:p>
        </w:tc>
        <w:tc>
          <w:tcPr>
            <w:tcW w:w="2265" w:type="pct"/>
            <w:shd w:val="clear" w:color="auto" w:fill="auto"/>
            <w:tcMar>
              <w:top w:w="29" w:type="dxa"/>
              <w:left w:w="72" w:type="dxa"/>
              <w:bottom w:w="29" w:type="dxa"/>
              <w:right w:w="72" w:type="dxa"/>
            </w:tcMar>
          </w:tcPr>
          <w:p w:rsidR="008802FA" w:rsidRDefault="00AC0D71" w:rsidP="00CD529C">
            <w:pPr>
              <w:rPr>
                <w:rFonts w:ascii="Arial" w:hAnsi="Arial" w:cs="Arial"/>
                <w:color w:val="000000"/>
                <w:sz w:val="20"/>
                <w:szCs w:val="20"/>
              </w:rPr>
            </w:pPr>
            <w:r>
              <w:rPr>
                <w:rFonts w:ascii="Arial" w:hAnsi="Arial" w:cs="Arial"/>
                <w:color w:val="000000"/>
                <w:sz w:val="20"/>
                <w:szCs w:val="20"/>
              </w:rPr>
              <w:t>ADDITION:</w:t>
            </w:r>
            <w:r w:rsidR="00811852">
              <w:rPr>
                <w:rFonts w:ascii="Arial" w:hAnsi="Arial" w:cs="Arial"/>
                <w:color w:val="000000"/>
                <w:sz w:val="20"/>
                <w:szCs w:val="20"/>
              </w:rPr>
              <w:t xml:space="preserve"> SBA analysts devote a significant portion of their time analyzing SBIC applicant track records.  While the prior version of the application materials provides </w:t>
            </w:r>
            <w:r w:rsidR="00F96D17">
              <w:rPr>
                <w:rFonts w:ascii="Arial" w:hAnsi="Arial" w:cs="Arial"/>
                <w:color w:val="000000"/>
                <w:sz w:val="20"/>
                <w:szCs w:val="20"/>
              </w:rPr>
              <w:t xml:space="preserve">a great deal of fund-level information, the details of each investment are missing.  As a result, the interviews SBA analysts conduct with </w:t>
            </w:r>
            <w:r w:rsidR="00F96D17">
              <w:rPr>
                <w:rFonts w:ascii="Arial" w:hAnsi="Arial" w:cs="Arial"/>
                <w:color w:val="000000"/>
                <w:sz w:val="20"/>
                <w:szCs w:val="20"/>
              </w:rPr>
              <w:lastRenderedPageBreak/>
              <w:t>principals</w:t>
            </w:r>
            <w:r>
              <w:rPr>
                <w:rFonts w:ascii="Arial" w:hAnsi="Arial" w:cs="Arial"/>
                <w:color w:val="000000"/>
                <w:sz w:val="20"/>
                <w:szCs w:val="20"/>
              </w:rPr>
              <w:t xml:space="preserve"> </w:t>
            </w:r>
            <w:r w:rsidR="00F96D17">
              <w:rPr>
                <w:rFonts w:ascii="Arial" w:hAnsi="Arial" w:cs="Arial"/>
                <w:color w:val="000000"/>
                <w:sz w:val="20"/>
                <w:szCs w:val="20"/>
              </w:rPr>
              <w:t>are often consumed with basic questions about individual investments rather than more pointed questions regarding fund strategy, troubled investments or other key concerns.</w:t>
            </w:r>
          </w:p>
          <w:p w:rsidR="00F96D17" w:rsidRDefault="00F96D17" w:rsidP="00CD529C">
            <w:pPr>
              <w:rPr>
                <w:rFonts w:ascii="Arial" w:hAnsi="Arial" w:cs="Arial"/>
                <w:color w:val="000000"/>
                <w:sz w:val="20"/>
                <w:szCs w:val="20"/>
              </w:rPr>
            </w:pPr>
          </w:p>
          <w:p w:rsidR="00F96D17" w:rsidRPr="00F96D17" w:rsidRDefault="00F96D17" w:rsidP="00764E23">
            <w:pPr>
              <w:rPr>
                <w:rFonts w:ascii="Arial" w:hAnsi="Arial" w:cs="Arial"/>
                <w:color w:val="000000"/>
                <w:sz w:val="20"/>
                <w:szCs w:val="20"/>
              </w:rPr>
            </w:pPr>
            <w:r>
              <w:rPr>
                <w:rFonts w:ascii="Arial" w:hAnsi="Arial" w:cs="Arial"/>
                <w:color w:val="000000"/>
                <w:sz w:val="20"/>
                <w:szCs w:val="20"/>
              </w:rPr>
              <w:t xml:space="preserve">This new exhibit asks applicants to provide </w:t>
            </w:r>
            <w:r>
              <w:rPr>
                <w:rFonts w:ascii="Arial" w:hAnsi="Arial" w:cs="Arial"/>
                <w:color w:val="000000"/>
                <w:sz w:val="20"/>
                <w:szCs w:val="20"/>
                <w:u w:val="single"/>
              </w:rPr>
              <w:t>electronic</w:t>
            </w:r>
            <w:r>
              <w:rPr>
                <w:rFonts w:ascii="Arial" w:hAnsi="Arial" w:cs="Arial"/>
                <w:color w:val="000000"/>
                <w:sz w:val="20"/>
                <w:szCs w:val="20"/>
              </w:rPr>
              <w:t xml:space="preserve"> versions of key fund documentation that will enable SBA analysts to more efficiently and thoroughly assess past investment performance.</w:t>
            </w:r>
            <w:r w:rsidR="00764E23">
              <w:rPr>
                <w:rFonts w:ascii="Arial" w:hAnsi="Arial" w:cs="Arial"/>
                <w:color w:val="000000"/>
                <w:sz w:val="20"/>
                <w:szCs w:val="20"/>
              </w:rPr>
              <w:t xml:space="preserve">  With the possible exception of the “Wind-up Plan,” these are documents any fund manager would be expected to have readily accessible.</w:t>
            </w:r>
          </w:p>
        </w:tc>
      </w:tr>
      <w:tr w:rsidR="00F96D17" w:rsidTr="00CD529C">
        <w:trPr>
          <w:trHeight w:val="438"/>
        </w:trPr>
        <w:tc>
          <w:tcPr>
            <w:tcW w:w="955" w:type="pct"/>
            <w:shd w:val="clear" w:color="auto" w:fill="auto"/>
            <w:tcMar>
              <w:top w:w="29" w:type="dxa"/>
              <w:left w:w="72" w:type="dxa"/>
              <w:bottom w:w="29" w:type="dxa"/>
              <w:right w:w="72" w:type="dxa"/>
            </w:tcMar>
          </w:tcPr>
          <w:p w:rsidR="00F96D17" w:rsidRDefault="00F96D17" w:rsidP="00CD529C">
            <w:pPr>
              <w:rPr>
                <w:rFonts w:ascii="Arial" w:hAnsi="Arial" w:cs="Arial"/>
                <w:b/>
                <w:color w:val="000000"/>
                <w:sz w:val="20"/>
                <w:szCs w:val="20"/>
              </w:rPr>
            </w:pPr>
          </w:p>
        </w:tc>
        <w:tc>
          <w:tcPr>
            <w:tcW w:w="1780" w:type="pct"/>
            <w:shd w:val="clear" w:color="auto" w:fill="auto"/>
            <w:tcMar>
              <w:top w:w="29" w:type="dxa"/>
              <w:left w:w="72" w:type="dxa"/>
              <w:bottom w:w="29" w:type="dxa"/>
              <w:right w:w="72" w:type="dxa"/>
            </w:tcMar>
          </w:tcPr>
          <w:p w:rsidR="00F96D17" w:rsidRPr="00F96D17" w:rsidRDefault="00F96D17" w:rsidP="00392F55">
            <w:pPr>
              <w:rPr>
                <w:rFonts w:ascii="Arial" w:hAnsi="Arial" w:cs="Arial"/>
                <w:color w:val="000000"/>
                <w:sz w:val="20"/>
                <w:szCs w:val="20"/>
              </w:rPr>
            </w:pPr>
            <w:r w:rsidRPr="00F96D17">
              <w:rPr>
                <w:rFonts w:ascii="Arial" w:hAnsi="Arial" w:cs="Arial"/>
                <w:color w:val="000000"/>
                <w:sz w:val="20"/>
                <w:szCs w:val="20"/>
              </w:rPr>
              <w:t>Exhibit F</w:t>
            </w:r>
            <w:r>
              <w:rPr>
                <w:rFonts w:ascii="Arial" w:hAnsi="Arial" w:cs="Arial"/>
                <w:color w:val="000000"/>
                <w:sz w:val="20"/>
                <w:szCs w:val="20"/>
              </w:rPr>
              <w:t>. –</w:t>
            </w:r>
            <w:r w:rsidR="00392F55">
              <w:rPr>
                <w:rFonts w:ascii="Arial" w:hAnsi="Arial" w:cs="Arial"/>
                <w:color w:val="000000"/>
                <w:sz w:val="20"/>
                <w:szCs w:val="20"/>
              </w:rPr>
              <w:t xml:space="preserve"> </w:t>
            </w:r>
            <w:r>
              <w:rPr>
                <w:rFonts w:ascii="Arial" w:hAnsi="Arial" w:cs="Arial"/>
                <w:color w:val="000000"/>
                <w:sz w:val="20"/>
                <w:szCs w:val="20"/>
              </w:rPr>
              <w:t xml:space="preserve">Annual &amp; Quarterly Reports </w:t>
            </w:r>
            <w:r w:rsidR="00392F55">
              <w:rPr>
                <w:rFonts w:ascii="Arial" w:hAnsi="Arial" w:cs="Arial"/>
                <w:color w:val="000000"/>
                <w:sz w:val="20"/>
                <w:szCs w:val="20"/>
              </w:rPr>
              <w:t>to Limited Partners</w:t>
            </w:r>
            <w:r w:rsidR="004C0A6C">
              <w:rPr>
                <w:rFonts w:ascii="Arial" w:hAnsi="Arial" w:cs="Arial"/>
                <w:color w:val="000000"/>
                <w:sz w:val="20"/>
                <w:szCs w:val="20"/>
              </w:rPr>
              <w:t xml:space="preserve"> (LPs)</w:t>
            </w:r>
          </w:p>
        </w:tc>
        <w:tc>
          <w:tcPr>
            <w:tcW w:w="2265" w:type="pct"/>
            <w:shd w:val="clear" w:color="auto" w:fill="auto"/>
            <w:tcMar>
              <w:top w:w="29" w:type="dxa"/>
              <w:left w:w="72" w:type="dxa"/>
              <w:bottom w:w="29" w:type="dxa"/>
              <w:right w:w="72" w:type="dxa"/>
            </w:tcMar>
          </w:tcPr>
          <w:p w:rsidR="00F96D17" w:rsidRDefault="00F96D17" w:rsidP="009D775D">
            <w:pPr>
              <w:rPr>
                <w:rFonts w:ascii="Arial" w:hAnsi="Arial" w:cs="Arial"/>
                <w:color w:val="000000"/>
                <w:sz w:val="20"/>
                <w:szCs w:val="20"/>
              </w:rPr>
            </w:pPr>
            <w:r>
              <w:rPr>
                <w:rFonts w:ascii="Arial" w:hAnsi="Arial" w:cs="Arial"/>
                <w:color w:val="000000"/>
                <w:sz w:val="20"/>
                <w:szCs w:val="20"/>
              </w:rPr>
              <w:t xml:space="preserve">These are documents any fund manager would be expected to have readily accessible.  The information contained in these documents will give SBA a window into the fund’s performance </w:t>
            </w:r>
            <w:r w:rsidR="009D775D">
              <w:rPr>
                <w:rFonts w:ascii="Arial" w:hAnsi="Arial" w:cs="Arial"/>
                <w:color w:val="000000"/>
                <w:sz w:val="20"/>
                <w:szCs w:val="20"/>
              </w:rPr>
              <w:t>as presented by fund managers to their LPs</w:t>
            </w:r>
            <w:r>
              <w:rPr>
                <w:rFonts w:ascii="Arial" w:hAnsi="Arial" w:cs="Arial"/>
                <w:color w:val="000000"/>
                <w:sz w:val="20"/>
                <w:szCs w:val="20"/>
              </w:rPr>
              <w:t>.  It will also allow SBA to do a quality check on the data presented in the track record worksheets.</w:t>
            </w:r>
          </w:p>
        </w:tc>
      </w:tr>
      <w:tr w:rsidR="00F96D17" w:rsidTr="00CD529C">
        <w:trPr>
          <w:trHeight w:val="438"/>
        </w:trPr>
        <w:tc>
          <w:tcPr>
            <w:tcW w:w="955" w:type="pct"/>
            <w:shd w:val="clear" w:color="auto" w:fill="auto"/>
            <w:tcMar>
              <w:top w:w="29" w:type="dxa"/>
              <w:left w:w="72" w:type="dxa"/>
              <w:bottom w:w="29" w:type="dxa"/>
              <w:right w:w="72" w:type="dxa"/>
            </w:tcMar>
          </w:tcPr>
          <w:p w:rsidR="00F96D17" w:rsidRDefault="00F96D17" w:rsidP="00CD529C">
            <w:pPr>
              <w:rPr>
                <w:rFonts w:ascii="Arial" w:hAnsi="Arial" w:cs="Arial"/>
                <w:b/>
                <w:color w:val="000000"/>
                <w:sz w:val="20"/>
                <w:szCs w:val="20"/>
              </w:rPr>
            </w:pPr>
          </w:p>
        </w:tc>
        <w:tc>
          <w:tcPr>
            <w:tcW w:w="1780" w:type="pct"/>
            <w:shd w:val="clear" w:color="auto" w:fill="auto"/>
            <w:tcMar>
              <w:top w:w="29" w:type="dxa"/>
              <w:left w:w="72" w:type="dxa"/>
              <w:bottom w:w="29" w:type="dxa"/>
              <w:right w:w="72" w:type="dxa"/>
            </w:tcMar>
          </w:tcPr>
          <w:p w:rsidR="00F96D17" w:rsidRPr="00F96D17" w:rsidRDefault="00F96D17" w:rsidP="00CD529C">
            <w:pPr>
              <w:rPr>
                <w:rFonts w:ascii="Arial" w:hAnsi="Arial" w:cs="Arial"/>
                <w:color w:val="000000"/>
                <w:sz w:val="20"/>
                <w:szCs w:val="20"/>
              </w:rPr>
            </w:pPr>
            <w:r>
              <w:rPr>
                <w:rFonts w:ascii="Arial" w:hAnsi="Arial" w:cs="Arial"/>
                <w:color w:val="000000"/>
                <w:sz w:val="20"/>
                <w:szCs w:val="20"/>
              </w:rPr>
              <w:t>Exhibit F. Investment Memos</w:t>
            </w:r>
          </w:p>
        </w:tc>
        <w:tc>
          <w:tcPr>
            <w:tcW w:w="2265" w:type="pct"/>
            <w:shd w:val="clear" w:color="auto" w:fill="auto"/>
            <w:tcMar>
              <w:top w:w="29" w:type="dxa"/>
              <w:left w:w="72" w:type="dxa"/>
              <w:bottom w:w="29" w:type="dxa"/>
              <w:right w:w="72" w:type="dxa"/>
            </w:tcMar>
          </w:tcPr>
          <w:p w:rsidR="00F96D17" w:rsidRDefault="00F96D17" w:rsidP="00CD529C">
            <w:pPr>
              <w:rPr>
                <w:rFonts w:ascii="Arial" w:hAnsi="Arial" w:cs="Arial"/>
                <w:color w:val="000000"/>
                <w:sz w:val="20"/>
                <w:szCs w:val="20"/>
              </w:rPr>
            </w:pPr>
            <w:r>
              <w:rPr>
                <w:rFonts w:ascii="Arial" w:hAnsi="Arial" w:cs="Arial"/>
                <w:color w:val="000000"/>
                <w:sz w:val="20"/>
                <w:szCs w:val="20"/>
              </w:rPr>
              <w:t>Applicants are currently asked to provide a sample of investment memoranda from prior funds.  However, these are often “cherry-picked” and are rarely the memos that SBA analysts find most relevant.</w:t>
            </w:r>
          </w:p>
          <w:p w:rsidR="00F96D17" w:rsidRDefault="00F96D17" w:rsidP="00CD529C">
            <w:pPr>
              <w:rPr>
                <w:rFonts w:ascii="Arial" w:hAnsi="Arial" w:cs="Arial"/>
                <w:color w:val="000000"/>
                <w:sz w:val="20"/>
                <w:szCs w:val="20"/>
              </w:rPr>
            </w:pPr>
          </w:p>
          <w:p w:rsidR="00F96D17" w:rsidRDefault="00F96D17" w:rsidP="00CD529C">
            <w:pPr>
              <w:rPr>
                <w:rFonts w:ascii="Arial" w:hAnsi="Arial" w:cs="Arial"/>
                <w:color w:val="000000"/>
                <w:sz w:val="20"/>
                <w:szCs w:val="20"/>
              </w:rPr>
            </w:pPr>
            <w:r>
              <w:rPr>
                <w:rFonts w:ascii="Arial" w:hAnsi="Arial" w:cs="Arial"/>
                <w:color w:val="000000"/>
                <w:sz w:val="20"/>
                <w:szCs w:val="20"/>
              </w:rPr>
              <w:t xml:space="preserve">The new requirement to provide all investment memoranda will give SBA analysts the opportunity to familiarize themselves with each investment </w:t>
            </w:r>
            <w:r w:rsidR="00435AF2">
              <w:rPr>
                <w:rFonts w:ascii="Arial" w:hAnsi="Arial" w:cs="Arial"/>
                <w:color w:val="000000"/>
                <w:sz w:val="20"/>
                <w:szCs w:val="20"/>
              </w:rPr>
              <w:t>opportunity as it was presented to the fund’s investment committee</w:t>
            </w:r>
            <w:r>
              <w:rPr>
                <w:rFonts w:ascii="Arial" w:hAnsi="Arial" w:cs="Arial"/>
                <w:color w:val="000000"/>
                <w:sz w:val="20"/>
                <w:szCs w:val="20"/>
              </w:rPr>
              <w:t>.</w:t>
            </w:r>
          </w:p>
        </w:tc>
      </w:tr>
      <w:tr w:rsidR="00F96D17" w:rsidTr="00CD529C">
        <w:trPr>
          <w:trHeight w:val="438"/>
        </w:trPr>
        <w:tc>
          <w:tcPr>
            <w:tcW w:w="955" w:type="pct"/>
            <w:shd w:val="clear" w:color="auto" w:fill="auto"/>
            <w:tcMar>
              <w:top w:w="29" w:type="dxa"/>
              <w:left w:w="72" w:type="dxa"/>
              <w:bottom w:w="29" w:type="dxa"/>
              <w:right w:w="72" w:type="dxa"/>
            </w:tcMar>
          </w:tcPr>
          <w:p w:rsidR="00F96D17" w:rsidRDefault="00F96D17" w:rsidP="00CD529C">
            <w:pPr>
              <w:rPr>
                <w:rFonts w:ascii="Arial" w:hAnsi="Arial" w:cs="Arial"/>
                <w:b/>
                <w:color w:val="000000"/>
                <w:sz w:val="20"/>
                <w:szCs w:val="20"/>
              </w:rPr>
            </w:pPr>
          </w:p>
        </w:tc>
        <w:tc>
          <w:tcPr>
            <w:tcW w:w="1780" w:type="pct"/>
            <w:shd w:val="clear" w:color="auto" w:fill="auto"/>
            <w:tcMar>
              <w:top w:w="29" w:type="dxa"/>
              <w:left w:w="72" w:type="dxa"/>
              <w:bottom w:w="29" w:type="dxa"/>
              <w:right w:w="72" w:type="dxa"/>
            </w:tcMar>
          </w:tcPr>
          <w:p w:rsidR="00F96D17" w:rsidRDefault="00F96D17" w:rsidP="00CD529C">
            <w:pPr>
              <w:rPr>
                <w:rFonts w:ascii="Arial" w:hAnsi="Arial" w:cs="Arial"/>
                <w:color w:val="000000"/>
                <w:sz w:val="20"/>
                <w:szCs w:val="20"/>
              </w:rPr>
            </w:pPr>
            <w:r>
              <w:rPr>
                <w:rFonts w:ascii="Arial" w:hAnsi="Arial" w:cs="Arial"/>
                <w:color w:val="000000"/>
                <w:sz w:val="20"/>
                <w:szCs w:val="20"/>
              </w:rPr>
              <w:t>Exhibit F. Deal Summaries</w:t>
            </w:r>
          </w:p>
        </w:tc>
        <w:tc>
          <w:tcPr>
            <w:tcW w:w="2265" w:type="pct"/>
            <w:shd w:val="clear" w:color="auto" w:fill="auto"/>
            <w:tcMar>
              <w:top w:w="29" w:type="dxa"/>
              <w:left w:w="72" w:type="dxa"/>
              <w:bottom w:w="29" w:type="dxa"/>
              <w:right w:w="72" w:type="dxa"/>
            </w:tcMar>
          </w:tcPr>
          <w:p w:rsidR="00F96D17" w:rsidRDefault="00435AF2" w:rsidP="00CD529C">
            <w:pPr>
              <w:rPr>
                <w:rFonts w:ascii="Arial" w:hAnsi="Arial" w:cs="Arial"/>
                <w:color w:val="000000"/>
                <w:sz w:val="20"/>
                <w:szCs w:val="20"/>
              </w:rPr>
            </w:pPr>
            <w:r>
              <w:rPr>
                <w:rFonts w:ascii="Arial" w:hAnsi="Arial" w:cs="Arial"/>
                <w:color w:val="000000"/>
                <w:sz w:val="20"/>
                <w:szCs w:val="20"/>
              </w:rPr>
              <w:t>Deal summaries are often included in reports to LP</w:t>
            </w:r>
            <w:r w:rsidR="004C0A6C">
              <w:rPr>
                <w:rFonts w:ascii="Arial" w:hAnsi="Arial" w:cs="Arial"/>
                <w:color w:val="000000"/>
                <w:sz w:val="20"/>
                <w:szCs w:val="20"/>
              </w:rPr>
              <w:t>s</w:t>
            </w:r>
            <w:r>
              <w:rPr>
                <w:rFonts w:ascii="Arial" w:hAnsi="Arial" w:cs="Arial"/>
                <w:color w:val="000000"/>
                <w:sz w:val="20"/>
                <w:szCs w:val="20"/>
              </w:rPr>
              <w:t>, so many fund managers may not need to produce additional material to comply with this request.  The data requested will give SBA analysts an understanding of how each investment had evolved over time.  Further, it asks the applicant to explain, in detail, the valuation methodology used to value the fund’s position in the company.</w:t>
            </w:r>
          </w:p>
        </w:tc>
      </w:tr>
      <w:tr w:rsidR="002D1DAA" w:rsidTr="00CD529C">
        <w:trPr>
          <w:trHeight w:val="438"/>
        </w:trPr>
        <w:tc>
          <w:tcPr>
            <w:tcW w:w="955" w:type="pct"/>
            <w:shd w:val="clear" w:color="auto" w:fill="auto"/>
            <w:tcMar>
              <w:top w:w="29" w:type="dxa"/>
              <w:left w:w="72" w:type="dxa"/>
              <w:bottom w:w="29" w:type="dxa"/>
              <w:right w:w="72" w:type="dxa"/>
            </w:tcMar>
          </w:tcPr>
          <w:p w:rsidR="002D1DAA" w:rsidRDefault="002D1DAA" w:rsidP="00CD529C">
            <w:pPr>
              <w:rPr>
                <w:rFonts w:ascii="Arial" w:hAnsi="Arial" w:cs="Arial"/>
                <w:b/>
                <w:color w:val="000000"/>
                <w:sz w:val="20"/>
                <w:szCs w:val="20"/>
              </w:rPr>
            </w:pPr>
          </w:p>
        </w:tc>
        <w:tc>
          <w:tcPr>
            <w:tcW w:w="1780" w:type="pct"/>
            <w:shd w:val="clear" w:color="auto" w:fill="auto"/>
            <w:tcMar>
              <w:top w:w="29" w:type="dxa"/>
              <w:left w:w="72" w:type="dxa"/>
              <w:bottom w:w="29" w:type="dxa"/>
              <w:right w:w="72" w:type="dxa"/>
            </w:tcMar>
          </w:tcPr>
          <w:p w:rsidR="002D1DAA" w:rsidRDefault="002D1DAA" w:rsidP="00CD529C">
            <w:pPr>
              <w:rPr>
                <w:rFonts w:ascii="Arial" w:hAnsi="Arial" w:cs="Arial"/>
                <w:color w:val="000000"/>
                <w:sz w:val="20"/>
                <w:szCs w:val="20"/>
              </w:rPr>
            </w:pPr>
            <w:r>
              <w:rPr>
                <w:rFonts w:ascii="Arial" w:hAnsi="Arial" w:cs="Arial"/>
                <w:color w:val="000000"/>
                <w:sz w:val="20"/>
                <w:szCs w:val="20"/>
              </w:rPr>
              <w:t xml:space="preserve">Exhibit F. </w:t>
            </w:r>
            <w:r w:rsidR="005A5A52">
              <w:rPr>
                <w:rFonts w:ascii="Arial" w:hAnsi="Arial" w:cs="Arial"/>
                <w:color w:val="000000"/>
                <w:sz w:val="20"/>
                <w:szCs w:val="20"/>
              </w:rPr>
              <w:t>Wind-Up Plan</w:t>
            </w:r>
          </w:p>
        </w:tc>
        <w:tc>
          <w:tcPr>
            <w:tcW w:w="2265" w:type="pct"/>
            <w:shd w:val="clear" w:color="auto" w:fill="auto"/>
            <w:tcMar>
              <w:top w:w="29" w:type="dxa"/>
              <w:left w:w="72" w:type="dxa"/>
              <w:bottom w:w="29" w:type="dxa"/>
              <w:right w:w="72" w:type="dxa"/>
            </w:tcMar>
          </w:tcPr>
          <w:p w:rsidR="002D1DAA" w:rsidRDefault="005A5A52" w:rsidP="00C40E5D">
            <w:pPr>
              <w:rPr>
                <w:rFonts w:ascii="Arial" w:hAnsi="Arial" w:cs="Arial"/>
                <w:color w:val="000000"/>
                <w:sz w:val="20"/>
                <w:szCs w:val="20"/>
              </w:rPr>
            </w:pPr>
            <w:r>
              <w:rPr>
                <w:rFonts w:ascii="Arial" w:hAnsi="Arial" w:cs="Arial"/>
                <w:color w:val="000000"/>
                <w:sz w:val="20"/>
                <w:szCs w:val="20"/>
              </w:rPr>
              <w:t>This request applies only to active funds.  The manager is required to provide a brief description of the plans to bring a fund to termination.  This information will help SBA analysts assess the outlook for the fund.</w:t>
            </w:r>
          </w:p>
        </w:tc>
      </w:tr>
      <w:tr w:rsidR="005A5A52" w:rsidTr="00CD529C">
        <w:trPr>
          <w:trHeight w:val="438"/>
        </w:trPr>
        <w:tc>
          <w:tcPr>
            <w:tcW w:w="955" w:type="pct"/>
            <w:shd w:val="clear" w:color="auto" w:fill="auto"/>
            <w:tcMar>
              <w:top w:w="29" w:type="dxa"/>
              <w:left w:w="72" w:type="dxa"/>
              <w:bottom w:w="29" w:type="dxa"/>
              <w:right w:w="72" w:type="dxa"/>
            </w:tcMar>
          </w:tcPr>
          <w:p w:rsidR="005A5A52" w:rsidRDefault="005A5A52" w:rsidP="00CD529C">
            <w:pPr>
              <w:rPr>
                <w:rFonts w:ascii="Arial" w:hAnsi="Arial" w:cs="Arial"/>
                <w:b/>
                <w:color w:val="000000"/>
                <w:sz w:val="20"/>
                <w:szCs w:val="20"/>
              </w:rPr>
            </w:pPr>
          </w:p>
        </w:tc>
        <w:tc>
          <w:tcPr>
            <w:tcW w:w="1780" w:type="pct"/>
            <w:shd w:val="clear" w:color="auto" w:fill="auto"/>
            <w:tcMar>
              <w:top w:w="29" w:type="dxa"/>
              <w:left w:w="72" w:type="dxa"/>
              <w:bottom w:w="29" w:type="dxa"/>
              <w:right w:w="72" w:type="dxa"/>
            </w:tcMar>
          </w:tcPr>
          <w:p w:rsidR="005A5A52" w:rsidRDefault="005A5A52" w:rsidP="00CD529C">
            <w:pPr>
              <w:rPr>
                <w:rFonts w:ascii="Arial" w:hAnsi="Arial" w:cs="Arial"/>
                <w:color w:val="000000"/>
                <w:sz w:val="20"/>
                <w:szCs w:val="20"/>
              </w:rPr>
            </w:pPr>
            <w:r>
              <w:rPr>
                <w:rFonts w:ascii="Arial" w:hAnsi="Arial" w:cs="Arial"/>
                <w:color w:val="000000"/>
                <w:sz w:val="20"/>
                <w:szCs w:val="20"/>
              </w:rPr>
              <w:t>Exhibit F. A/R Aging Report</w:t>
            </w:r>
          </w:p>
        </w:tc>
        <w:tc>
          <w:tcPr>
            <w:tcW w:w="2265" w:type="pct"/>
            <w:shd w:val="clear" w:color="auto" w:fill="auto"/>
            <w:tcMar>
              <w:top w:w="29" w:type="dxa"/>
              <w:left w:w="72" w:type="dxa"/>
              <w:bottom w:w="29" w:type="dxa"/>
              <w:right w:w="72" w:type="dxa"/>
            </w:tcMar>
          </w:tcPr>
          <w:p w:rsidR="005A5A52" w:rsidRDefault="005A5A52" w:rsidP="00CD529C">
            <w:pPr>
              <w:rPr>
                <w:rFonts w:ascii="Arial" w:hAnsi="Arial" w:cs="Arial"/>
                <w:color w:val="000000"/>
                <w:sz w:val="20"/>
                <w:szCs w:val="20"/>
              </w:rPr>
            </w:pPr>
            <w:r>
              <w:rPr>
                <w:rFonts w:ascii="Arial" w:hAnsi="Arial" w:cs="Arial"/>
                <w:color w:val="000000"/>
                <w:sz w:val="20"/>
                <w:szCs w:val="20"/>
              </w:rPr>
              <w:t xml:space="preserve">This information is needed to better analyze the unrealized value of an active fund’s portfolio.  If a fund is having difficulty collecting interest payments from portfolio companies, then that decreases </w:t>
            </w:r>
            <w:r w:rsidR="0068110A">
              <w:rPr>
                <w:rFonts w:ascii="Arial" w:hAnsi="Arial" w:cs="Arial"/>
                <w:color w:val="000000"/>
                <w:sz w:val="20"/>
                <w:szCs w:val="20"/>
              </w:rPr>
              <w:t xml:space="preserve">not only its current cash </w:t>
            </w:r>
            <w:r w:rsidR="0068110A">
              <w:rPr>
                <w:rFonts w:ascii="Arial" w:hAnsi="Arial" w:cs="Arial"/>
                <w:color w:val="000000"/>
                <w:sz w:val="20"/>
                <w:szCs w:val="20"/>
              </w:rPr>
              <w:lastRenderedPageBreak/>
              <w:t xml:space="preserve">receipts by also </w:t>
            </w:r>
            <w:r>
              <w:rPr>
                <w:rFonts w:ascii="Arial" w:hAnsi="Arial" w:cs="Arial"/>
                <w:color w:val="000000"/>
                <w:sz w:val="20"/>
                <w:szCs w:val="20"/>
              </w:rPr>
              <w:t>the likelihood that the fund will receive a full principal repayment.  Any threat to full principal repayment should be reflected in the valuation of the position.</w:t>
            </w:r>
          </w:p>
        </w:tc>
      </w:tr>
      <w:tr w:rsidR="00EE1FB8" w:rsidTr="00CD529C">
        <w:trPr>
          <w:trHeight w:val="438"/>
        </w:trPr>
        <w:tc>
          <w:tcPr>
            <w:tcW w:w="955" w:type="pct"/>
            <w:shd w:val="clear" w:color="auto" w:fill="auto"/>
            <w:tcMar>
              <w:top w:w="29" w:type="dxa"/>
              <w:left w:w="72" w:type="dxa"/>
              <w:bottom w:w="29" w:type="dxa"/>
              <w:right w:w="72" w:type="dxa"/>
            </w:tcMar>
          </w:tcPr>
          <w:p w:rsidR="00EE1FB8" w:rsidRDefault="00EE1FB8" w:rsidP="00CD529C">
            <w:pPr>
              <w:rPr>
                <w:rFonts w:ascii="Arial" w:hAnsi="Arial" w:cs="Arial"/>
                <w:b/>
                <w:color w:val="000000"/>
                <w:sz w:val="20"/>
                <w:szCs w:val="20"/>
              </w:rPr>
            </w:pPr>
          </w:p>
        </w:tc>
        <w:tc>
          <w:tcPr>
            <w:tcW w:w="1780" w:type="pct"/>
            <w:shd w:val="clear" w:color="auto" w:fill="auto"/>
            <w:tcMar>
              <w:top w:w="29" w:type="dxa"/>
              <w:left w:w="72" w:type="dxa"/>
              <w:bottom w:w="29" w:type="dxa"/>
              <w:right w:w="72" w:type="dxa"/>
            </w:tcMar>
          </w:tcPr>
          <w:p w:rsidR="00EE1FB8" w:rsidRPr="00EE1FB8" w:rsidRDefault="00EE1FB8" w:rsidP="00CD529C">
            <w:pPr>
              <w:rPr>
                <w:rFonts w:ascii="Arial" w:hAnsi="Arial" w:cs="Arial"/>
                <w:b/>
                <w:color w:val="000000"/>
                <w:sz w:val="20"/>
                <w:szCs w:val="20"/>
              </w:rPr>
            </w:pPr>
            <w:r w:rsidRPr="00EE1FB8">
              <w:rPr>
                <w:rFonts w:ascii="Arial" w:hAnsi="Arial" w:cs="Arial"/>
                <w:b/>
                <w:color w:val="000000"/>
                <w:sz w:val="20"/>
                <w:szCs w:val="20"/>
              </w:rPr>
              <w:t>Exhibit R. SBIC Directory Profile</w:t>
            </w:r>
          </w:p>
        </w:tc>
        <w:tc>
          <w:tcPr>
            <w:tcW w:w="2265" w:type="pct"/>
            <w:shd w:val="clear" w:color="auto" w:fill="auto"/>
            <w:tcMar>
              <w:top w:w="29" w:type="dxa"/>
              <w:left w:w="72" w:type="dxa"/>
              <w:bottom w:w="29" w:type="dxa"/>
              <w:right w:w="72" w:type="dxa"/>
            </w:tcMar>
          </w:tcPr>
          <w:p w:rsidR="00EE1FB8" w:rsidRDefault="00EE1FB8" w:rsidP="00CD529C">
            <w:pPr>
              <w:rPr>
                <w:rFonts w:ascii="Arial" w:hAnsi="Arial" w:cs="Arial"/>
                <w:color w:val="000000"/>
                <w:sz w:val="20"/>
                <w:szCs w:val="20"/>
              </w:rPr>
            </w:pPr>
            <w:r>
              <w:rPr>
                <w:rFonts w:ascii="Arial" w:hAnsi="Arial" w:cs="Arial"/>
                <w:color w:val="000000"/>
                <w:sz w:val="20"/>
                <w:szCs w:val="20"/>
              </w:rPr>
              <w:t>ADDITION: SBA maintains an online directory of active, licensed SBICs</w:t>
            </w:r>
            <w:r w:rsidR="00E41CF8">
              <w:rPr>
                <w:rFonts w:ascii="Arial" w:hAnsi="Arial" w:cs="Arial"/>
                <w:color w:val="000000"/>
                <w:sz w:val="20"/>
                <w:szCs w:val="20"/>
              </w:rPr>
              <w:t xml:space="preserve"> for use by members of congress, fund managers, limited partners, small business owners and the general public.</w:t>
            </w:r>
          </w:p>
          <w:p w:rsidR="00E41CF8" w:rsidRDefault="00E41CF8" w:rsidP="00CD529C">
            <w:pPr>
              <w:rPr>
                <w:rFonts w:ascii="Arial" w:hAnsi="Arial" w:cs="Arial"/>
                <w:color w:val="000000"/>
                <w:sz w:val="20"/>
                <w:szCs w:val="20"/>
              </w:rPr>
            </w:pPr>
          </w:p>
          <w:p w:rsidR="00E41CF8" w:rsidRDefault="00E41CF8" w:rsidP="00CD529C">
            <w:pPr>
              <w:rPr>
                <w:rFonts w:ascii="Arial" w:hAnsi="Arial" w:cs="Arial"/>
                <w:color w:val="000000"/>
                <w:sz w:val="20"/>
                <w:szCs w:val="20"/>
              </w:rPr>
            </w:pPr>
            <w:r>
              <w:rPr>
                <w:rFonts w:ascii="Arial" w:hAnsi="Arial" w:cs="Arial"/>
                <w:color w:val="000000"/>
                <w:sz w:val="20"/>
                <w:szCs w:val="20"/>
              </w:rPr>
              <w:t>The information requested here offers applicants an opportunity to shape the way they are presented to these stakeholders on the SBA website and will help ensure the online directory contains full profiles for each new fund that is licensed as an SBIC.</w:t>
            </w:r>
          </w:p>
        </w:tc>
      </w:tr>
    </w:tbl>
    <w:p w:rsidR="00387024" w:rsidRDefault="00387024" w:rsidP="00387024">
      <w:pPr>
        <w:spacing w:after="120"/>
      </w:pPr>
    </w:p>
    <w:p w:rsidR="00307E31" w:rsidRDefault="002B73C4" w:rsidP="00307E31">
      <w:pPr>
        <w:numPr>
          <w:ilvl w:val="1"/>
          <w:numId w:val="2"/>
        </w:numPr>
        <w:spacing w:after="120"/>
        <w:ind w:left="360"/>
      </w:pPr>
      <w:r w:rsidRPr="002B73C4">
        <w:rPr>
          <w:u w:val="single"/>
        </w:rPr>
        <w:t>How, by whom, and for what purpose the information will be used.</w:t>
      </w:r>
      <w:r>
        <w:t xml:space="preserve">  SBA Forms 2181, 2182</w:t>
      </w:r>
      <w:r w:rsidR="006B1505">
        <w:t xml:space="preserve"> and 2183</w:t>
      </w:r>
      <w:r>
        <w:t xml:space="preserve"> will provide SBA with the information </w:t>
      </w:r>
      <w:r w:rsidR="00856A06">
        <w:t xml:space="preserve">necessary </w:t>
      </w:r>
      <w:r>
        <w:t>to make informed and proper decisions regarding the approval or denial of an applicant for an SBIC license.  Forms 2181 and 2182 are designed to give a potential applicant the opportunity to file information (the Management Assessment Questionnaire) without paying a license application fee, and before preparing legal documents and raising the requ</w:t>
      </w:r>
      <w:r w:rsidR="00D060EE">
        <w:t>ired minimum capital.  SBA analyz</w:t>
      </w:r>
      <w:r>
        <w:t>es the information provided to determine whethe</w:t>
      </w:r>
      <w:r w:rsidRPr="002B73C4">
        <w:t>r the potential applicant i</w:t>
      </w:r>
      <w:r>
        <w:t>s qualified for an SBIC license.  If SBA does not believe the prospective management team is qualified, the potential applicant will have made a relatively modest investment of time and money.  If SBA determines that the management team is qualified, the group is invited to submit a formal license application using Form</w:t>
      </w:r>
      <w:r w:rsidR="009354C6">
        <w:t>s</w:t>
      </w:r>
      <w:r>
        <w:t xml:space="preserve"> 2181, 2182</w:t>
      </w:r>
      <w:r w:rsidR="006B1505">
        <w:t xml:space="preserve"> and 2183</w:t>
      </w:r>
      <w:r>
        <w:t>.  Form</w:t>
      </w:r>
      <w:r w:rsidR="00DE6F2C">
        <w:t>s 2181 and 2182 must be updated as needed,</w:t>
      </w:r>
      <w:r>
        <w:t xml:space="preserve"> but not rewritten or reformatted for the license application.</w:t>
      </w:r>
    </w:p>
    <w:p w:rsidR="00307E31" w:rsidRDefault="00307E31" w:rsidP="00307E31">
      <w:pPr>
        <w:spacing w:after="120"/>
        <w:ind w:left="360"/>
      </w:pPr>
      <w:r w:rsidRPr="009A65E4">
        <w:t>SBA’</w:t>
      </w:r>
      <w:r w:rsidR="00722501">
        <w:t>s licensing and legal staff</w:t>
      </w:r>
      <w:r w:rsidRPr="009A65E4">
        <w:t xml:space="preserve"> use the information collected about an applicant on Forms</w:t>
      </w:r>
      <w:r w:rsidR="00233948">
        <w:t xml:space="preserve"> 2181, 2182</w:t>
      </w:r>
      <w:r w:rsidR="006B1505">
        <w:t xml:space="preserve"> and 2183</w:t>
      </w:r>
      <w:r w:rsidR="00233948">
        <w:t xml:space="preserve"> </w:t>
      </w:r>
      <w:r w:rsidRPr="009A65E4">
        <w:t xml:space="preserve">to evaluate whether the applicant’s </w:t>
      </w:r>
      <w:r w:rsidR="004C0A6C">
        <w:t xml:space="preserve">management, </w:t>
      </w:r>
      <w:r w:rsidRPr="009A65E4">
        <w:t>structure, capitalization, ownership, and investment strategy are consistent with SBA’s regulatory requirements.  The staff also review</w:t>
      </w:r>
      <w:r>
        <w:t>s</w:t>
      </w:r>
      <w:r w:rsidRPr="009A65E4">
        <w:t xml:space="preserve"> the business plan for consistency with </w:t>
      </w:r>
      <w:r>
        <w:t>private equity</w:t>
      </w:r>
      <w:r w:rsidRPr="009A65E4">
        <w:t xml:space="preserve"> industry norms to evaluate the probability of successful operations.  Using the information collected about proposed SBIC fund managers on Forms 2182, the staff evaluate</w:t>
      </w:r>
      <w:r>
        <w:t>s</w:t>
      </w:r>
      <w:r w:rsidRPr="009A65E4">
        <w:t xml:space="preserve"> these individuals to determine whether they have the professional qualifications to operate an SBIC and are of</w:t>
      </w:r>
      <w:r w:rsidR="00233948">
        <w:t xml:space="preserve"> good character.  This process includes</w:t>
      </w:r>
      <w:r w:rsidRPr="009A65E4">
        <w:t xml:space="preserve"> reference checks, independent verification of résumé information, </w:t>
      </w:r>
      <w:proofErr w:type="gramStart"/>
      <w:r w:rsidR="004320B4">
        <w:t>a</w:t>
      </w:r>
      <w:proofErr w:type="gramEnd"/>
      <w:r w:rsidR="004320B4">
        <w:t xml:space="preserve"> </w:t>
      </w:r>
      <w:r w:rsidRPr="009A65E4">
        <w:t>review of any involvement in bankruptcy or litigation, and searches of public records for tax liens, judgments, etc.</w:t>
      </w:r>
      <w:r>
        <w:t xml:space="preserve">  SBA uses all of this information to determine whether to approve an applicant for an SBIC license.</w:t>
      </w:r>
    </w:p>
    <w:p w:rsidR="00233948" w:rsidRDefault="00233948" w:rsidP="00233948">
      <w:pPr>
        <w:numPr>
          <w:ilvl w:val="1"/>
          <w:numId w:val="2"/>
        </w:numPr>
        <w:spacing w:after="120"/>
        <w:ind w:left="360"/>
      </w:pPr>
      <w:r>
        <w:rPr>
          <w:u w:val="single"/>
        </w:rPr>
        <w:t>Technological collection techniques.</w:t>
      </w:r>
      <w:r>
        <w:t xml:space="preserve"> SBA application forms are made available for download at </w:t>
      </w:r>
      <w:hyperlink r:id="rId8" w:history="1">
        <w:r w:rsidRPr="00491E8A">
          <w:rPr>
            <w:rStyle w:val="Hyperlink"/>
          </w:rPr>
          <w:t>www.sba.gov/inv</w:t>
        </w:r>
      </w:hyperlink>
      <w:r>
        <w:t>, the SBIC Program webpage.  All application materials are prepared using Micro</w:t>
      </w:r>
      <w:r w:rsidR="0025563A">
        <w:t xml:space="preserve">soft Word and Microsoft Excel.  </w:t>
      </w:r>
      <w:r w:rsidR="004C0A6C">
        <w:t>Except for the certification pages, which must be submitted in hard copy, t</w:t>
      </w:r>
      <w:r>
        <w:t>he Management Assessment Questionnaire is now accepted in electronic format only</w:t>
      </w:r>
      <w:r w:rsidR="004C0A6C">
        <w:t>.  This</w:t>
      </w:r>
      <w:r>
        <w:t xml:space="preserve"> will speed the preparation and review process.</w:t>
      </w:r>
      <w:r w:rsidR="0025563A">
        <w:t xml:space="preserve">  </w:t>
      </w:r>
      <w:r w:rsidR="0025563A">
        <w:lastRenderedPageBreak/>
        <w:t xml:space="preserve">Applicants will still be required to submit their License Application in hard copy </w:t>
      </w:r>
      <w:r w:rsidR="005E46D2">
        <w:t xml:space="preserve">so SBA may maintain </w:t>
      </w:r>
      <w:r w:rsidR="0024602C">
        <w:t xml:space="preserve">a record of </w:t>
      </w:r>
      <w:r w:rsidR="005E46D2">
        <w:t>signed originals.</w:t>
      </w:r>
    </w:p>
    <w:p w:rsidR="00233948" w:rsidRDefault="00233948" w:rsidP="00233948">
      <w:pPr>
        <w:numPr>
          <w:ilvl w:val="1"/>
          <w:numId w:val="2"/>
        </w:numPr>
        <w:spacing w:after="120"/>
        <w:ind w:left="360"/>
      </w:pPr>
      <w:r>
        <w:rPr>
          <w:u w:val="single"/>
        </w:rPr>
        <w:t xml:space="preserve">Avoidance of Duplication. </w:t>
      </w:r>
      <w:r>
        <w:t>SBA Forms 2181, 2182</w:t>
      </w:r>
      <w:r w:rsidR="006B1505">
        <w:t xml:space="preserve"> and 2183</w:t>
      </w:r>
      <w:r>
        <w:t xml:space="preserve"> require information that is relevant to the formation and operation of an SBIC.  Companies are newly formed for the specific purpose of seeking an SBIC license and have not previously reported the required information to SBA or any other governmental entity.  Another SBA form (Form 912) entitled “Statement of Personal Hist</w:t>
      </w:r>
      <w:r w:rsidR="000442D7">
        <w:t xml:space="preserve">ory” </w:t>
      </w:r>
      <w:proofErr w:type="gramStart"/>
      <w:r w:rsidR="000442D7">
        <w:t>has</w:t>
      </w:r>
      <w:proofErr w:type="gramEnd"/>
      <w:r w:rsidR="000442D7">
        <w:t xml:space="preserve"> some questions similar </w:t>
      </w:r>
      <w:r>
        <w:t xml:space="preserve">to those in Exhibit </w:t>
      </w:r>
      <w:r w:rsidR="000442D7">
        <w:t>H</w:t>
      </w:r>
      <w:r>
        <w:t xml:space="preserve"> of Form 2182, also entitled “Statement of Personal History”; however, Form 912 was designed for use in SBA lending programs and does not collect the same information as Exhibit </w:t>
      </w:r>
      <w:r w:rsidR="000442D7">
        <w:t>H</w:t>
      </w:r>
      <w:r>
        <w:t xml:space="preserve"> of Form 2182.</w:t>
      </w:r>
    </w:p>
    <w:p w:rsidR="003B16BF" w:rsidRDefault="003B16BF" w:rsidP="003B16BF">
      <w:pPr>
        <w:spacing w:after="120"/>
        <w:ind w:left="360"/>
      </w:pPr>
      <w:r>
        <w:t xml:space="preserve">In some cases, </w:t>
      </w:r>
      <w:r w:rsidR="00233948">
        <w:t xml:space="preserve">SBIC applicants may have already prepared </w:t>
      </w:r>
      <w:r>
        <w:t xml:space="preserve">some of the information requested </w:t>
      </w:r>
      <w:r w:rsidR="00233948">
        <w:t>in Forms 2181, 2182</w:t>
      </w:r>
      <w:r w:rsidR="006B1505">
        <w:t xml:space="preserve"> and 2183</w:t>
      </w:r>
      <w:r w:rsidR="00233948">
        <w:t xml:space="preserve"> for private investors.  Where appropriate, these applicants are encouraged to use pre-existing materials to satisfy SBA’s information requests and thus limit the amount of new material that must be produced.</w:t>
      </w:r>
    </w:p>
    <w:p w:rsidR="003B16BF" w:rsidRDefault="003B16BF" w:rsidP="003B16BF">
      <w:pPr>
        <w:numPr>
          <w:ilvl w:val="1"/>
          <w:numId w:val="2"/>
        </w:numPr>
        <w:spacing w:after="120"/>
        <w:ind w:left="360"/>
      </w:pPr>
      <w:r w:rsidRPr="00657884">
        <w:rPr>
          <w:u w:val="single"/>
        </w:rPr>
        <w:t>Impact on small businesses or other small entities.</w:t>
      </w:r>
      <w:r w:rsidRPr="00657884">
        <w:t xml:space="preserve">  The majority of applicants for an SBIC license are small entities.  These entities typically are newly formed for the purpose of seeking an SBIC license.  This information collection will not have a significant impact on a substantial number of these entities.  The one-time burden of completing SBA Forms 2181</w:t>
      </w:r>
      <w:r>
        <w:t xml:space="preserve">, </w:t>
      </w:r>
      <w:r w:rsidRPr="00657884">
        <w:t>2182</w:t>
      </w:r>
      <w:r w:rsidR="006B1505">
        <w:t xml:space="preserve"> and 2183</w:t>
      </w:r>
      <w:r>
        <w:t xml:space="preserve"> </w:t>
      </w:r>
      <w:r w:rsidRPr="00657884">
        <w:t>is part of the overall process of organizing and capitalizing the fund.</w:t>
      </w:r>
    </w:p>
    <w:p w:rsidR="004671D0" w:rsidRDefault="003B16BF" w:rsidP="004671D0">
      <w:pPr>
        <w:numPr>
          <w:ilvl w:val="1"/>
          <w:numId w:val="2"/>
        </w:numPr>
        <w:spacing w:after="120"/>
        <w:ind w:left="360"/>
      </w:pPr>
      <w:r w:rsidRPr="00D33F33">
        <w:rPr>
          <w:u w:val="single"/>
        </w:rPr>
        <w:t>Consequences if collection of information is not conducted.</w:t>
      </w:r>
      <w:r w:rsidRPr="00D33F33">
        <w:t xml:space="preserve">  </w:t>
      </w:r>
      <w:r>
        <w:t>These forms are critical to the integrity of the SBIC licensing process.  There is no similar information available that can be used to accomplish the purposes of this collection.  If the information were not collected, SBA would be unable to meet its statutory responsibilities with respect to the licensing and oversight of SBICs.  Since we only collect this information once per respondent it cannot be conducted less frequently.</w:t>
      </w:r>
    </w:p>
    <w:p w:rsidR="004671D0" w:rsidRDefault="004671D0" w:rsidP="004671D0">
      <w:pPr>
        <w:numPr>
          <w:ilvl w:val="1"/>
          <w:numId w:val="2"/>
        </w:numPr>
        <w:spacing w:after="120"/>
        <w:ind w:left="360"/>
      </w:pPr>
      <w:r w:rsidRPr="004671D0">
        <w:rPr>
          <w:u w:val="single"/>
        </w:rPr>
        <w:t>Existence of special circumstances.</w:t>
      </w:r>
      <w:r w:rsidRPr="004671D0">
        <w:t xml:space="preserve">  Respondents are required to submit confidential business information.  Without this information, SBA could not satisfy its statutory obligation to evaluate an applicant’s probability of successful operations, as well as the qualifications, experience and business reputation of prospective SBIC managers.  </w:t>
      </w:r>
      <w:r>
        <w:t>The information collected will be protected to the extent permitted by law.</w:t>
      </w:r>
    </w:p>
    <w:p w:rsidR="0000625E" w:rsidRPr="00AE35E2" w:rsidRDefault="004671D0" w:rsidP="004671D0">
      <w:pPr>
        <w:numPr>
          <w:ilvl w:val="1"/>
          <w:numId w:val="2"/>
        </w:numPr>
        <w:spacing w:after="120"/>
        <w:ind w:left="360"/>
      </w:pPr>
      <w:r w:rsidRPr="004671D0">
        <w:rPr>
          <w:u w:val="single"/>
        </w:rPr>
        <w:t>Solicitation of Public Comment.</w:t>
      </w:r>
      <w:r w:rsidRPr="004671D0">
        <w:t xml:space="preserve">  </w:t>
      </w:r>
      <w:r w:rsidRPr="00AE35E2">
        <w:t xml:space="preserve">A notice was published in the </w:t>
      </w:r>
      <w:r w:rsidRPr="00AE35E2">
        <w:rPr>
          <w:u w:val="single"/>
        </w:rPr>
        <w:t>Federal Register</w:t>
      </w:r>
      <w:r w:rsidRPr="00AE35E2">
        <w:t xml:space="preserve"> on </w:t>
      </w:r>
      <w:r w:rsidR="00C365C6" w:rsidRPr="00AE35E2">
        <w:t>March 15</w:t>
      </w:r>
      <w:r w:rsidRPr="00AE35E2">
        <w:t>,</w:t>
      </w:r>
      <w:r w:rsidR="00C365C6" w:rsidRPr="00AE35E2">
        <w:t xml:space="preserve"> 2013,</w:t>
      </w:r>
      <w:r w:rsidRPr="00AE35E2">
        <w:t xml:space="preserve"> Volume 7</w:t>
      </w:r>
      <w:r w:rsidR="00C365C6" w:rsidRPr="00AE35E2">
        <w:t>8</w:t>
      </w:r>
      <w:r w:rsidRPr="00AE35E2">
        <w:t xml:space="preserve">, Number </w:t>
      </w:r>
      <w:r w:rsidR="00C365C6" w:rsidRPr="00AE35E2">
        <w:t>4</w:t>
      </w:r>
      <w:r w:rsidRPr="00AE35E2">
        <w:t xml:space="preserve">7, page </w:t>
      </w:r>
      <w:r w:rsidR="00C365C6" w:rsidRPr="00AE35E2">
        <w:t>15402</w:t>
      </w:r>
      <w:r w:rsidR="004C0A6C">
        <w:t>.  No comments were received in response to this notice.</w:t>
      </w:r>
      <w:r w:rsidRPr="00AE35E2">
        <w:t xml:space="preserve">  </w:t>
      </w:r>
    </w:p>
    <w:p w:rsidR="0000625E" w:rsidRDefault="0000625E" w:rsidP="0000625E">
      <w:pPr>
        <w:spacing w:after="120"/>
        <w:ind w:left="360"/>
      </w:pPr>
      <w:r w:rsidRPr="00AE35E2">
        <w:t>The revisions included in this new</w:t>
      </w:r>
      <w:r>
        <w:t xml:space="preserve"> collection of SBIC application materials were developed based on feedback solicited from key SBIC Program stakeholders, internally and externally, as well as research into industry best practices:</w:t>
      </w:r>
    </w:p>
    <w:p w:rsidR="0000625E" w:rsidRDefault="0000625E" w:rsidP="0000625E">
      <w:pPr>
        <w:numPr>
          <w:ilvl w:val="2"/>
          <w:numId w:val="2"/>
        </w:numPr>
        <w:spacing w:after="120"/>
        <w:ind w:left="720"/>
      </w:pPr>
      <w:r>
        <w:t xml:space="preserve">The process began with a review of trade and academic literature focused on the evaluation of fund manager performance.  </w:t>
      </w:r>
    </w:p>
    <w:p w:rsidR="0000625E" w:rsidRDefault="0000625E" w:rsidP="0000625E">
      <w:pPr>
        <w:numPr>
          <w:ilvl w:val="2"/>
          <w:numId w:val="2"/>
        </w:numPr>
        <w:spacing w:after="120"/>
        <w:ind w:left="720"/>
      </w:pPr>
      <w:r>
        <w:t>A general solicitation for feedback was then sent to the industry association</w:t>
      </w:r>
      <w:r w:rsidR="001E50EE">
        <w:t xml:space="preserve"> representing SBIC fund manager interests</w:t>
      </w:r>
      <w:r>
        <w:t xml:space="preserve">.  A second solicitation was sent to the community of attorneys that often assist applicants with the preparation of their application materials.  </w:t>
      </w:r>
      <w:r w:rsidR="004C0A6C">
        <w:t xml:space="preserve">Only a few comments were received and these generally consistent with changes already envisioned by SBA staff. </w:t>
      </w:r>
    </w:p>
    <w:p w:rsidR="0000625E" w:rsidRDefault="0000625E" w:rsidP="0000625E">
      <w:pPr>
        <w:numPr>
          <w:ilvl w:val="2"/>
          <w:numId w:val="2"/>
        </w:numPr>
        <w:spacing w:after="120"/>
        <w:ind w:left="720"/>
      </w:pPr>
      <w:r>
        <w:lastRenderedPageBreak/>
        <w:t>Individual interviews were held with representatives from 4 SBIC funds</w:t>
      </w:r>
      <w:r w:rsidR="00D6198F">
        <w:t xml:space="preserve"> and</w:t>
      </w:r>
      <w:r>
        <w:t xml:space="preserve"> 3 representatives of large institutional fund investors.</w:t>
      </w:r>
    </w:p>
    <w:p w:rsidR="004671D0" w:rsidRDefault="00AF4537" w:rsidP="00AF4537">
      <w:pPr>
        <w:spacing w:after="120"/>
        <w:ind w:left="360"/>
      </w:pPr>
      <w:r>
        <w:t xml:space="preserve">In addition to this targeted effort, SBA </w:t>
      </w:r>
      <w:r w:rsidR="004671D0">
        <w:t>maintains extensive direct contact with license applicants throughout the licensing process and thereafter with licensed SBICs, as well as with attorneys who regularly assist clients with the SBIC formation and application process.</w:t>
      </w:r>
      <w:r>
        <w:t xml:space="preserve">  The feedback from these groups, accumulated over the last several years, was also considered as part of this review process.</w:t>
      </w:r>
    </w:p>
    <w:p w:rsidR="00AF4537" w:rsidRDefault="00AF4537" w:rsidP="003319F9">
      <w:pPr>
        <w:pStyle w:val="BodyTextIndent"/>
        <w:numPr>
          <w:ilvl w:val="0"/>
          <w:numId w:val="5"/>
        </w:numPr>
        <w:tabs>
          <w:tab w:val="clear" w:pos="450"/>
          <w:tab w:val="left" w:pos="-2790"/>
        </w:tabs>
        <w:spacing w:after="120"/>
        <w:ind w:left="360" w:hanging="360"/>
      </w:pPr>
      <w:r w:rsidRPr="00D33F33">
        <w:rPr>
          <w:szCs w:val="24"/>
          <w:u w:val="single"/>
        </w:rPr>
        <w:t>Payment or gifts.</w:t>
      </w:r>
      <w:r w:rsidRPr="00D33F33">
        <w:rPr>
          <w:szCs w:val="24"/>
        </w:rPr>
        <w:t xml:space="preserve">  </w:t>
      </w:r>
      <w:r>
        <w:t>No payments or gifts are provided to respondents.</w:t>
      </w:r>
    </w:p>
    <w:p w:rsidR="00AF4537" w:rsidRDefault="00AF4537" w:rsidP="003319F9">
      <w:pPr>
        <w:pStyle w:val="BodyTextIndent"/>
        <w:numPr>
          <w:ilvl w:val="0"/>
          <w:numId w:val="5"/>
        </w:numPr>
        <w:tabs>
          <w:tab w:val="clear" w:pos="450"/>
          <w:tab w:val="left" w:pos="-2790"/>
        </w:tabs>
        <w:spacing w:after="120"/>
        <w:ind w:left="360" w:hanging="360"/>
      </w:pPr>
      <w:r w:rsidRPr="00D33F33">
        <w:rPr>
          <w:szCs w:val="24"/>
          <w:u w:val="single"/>
        </w:rPr>
        <w:t>Assurance of confidentiality.</w:t>
      </w:r>
      <w:r w:rsidRPr="00D33F33">
        <w:rPr>
          <w:szCs w:val="24"/>
        </w:rPr>
        <w:t xml:space="preserve">  </w:t>
      </w:r>
      <w:r>
        <w:t>The informat</w:t>
      </w:r>
      <w:r w:rsidR="00690740">
        <w:t xml:space="preserve">ion collected in SBA Forms 2181, </w:t>
      </w:r>
      <w:r>
        <w:t>2182</w:t>
      </w:r>
      <w:r w:rsidR="006B1505">
        <w:t xml:space="preserve"> and 2183</w:t>
      </w:r>
      <w:r w:rsidR="00690740">
        <w:t xml:space="preserve"> </w:t>
      </w:r>
      <w:r>
        <w:t xml:space="preserve">includes personal data concerning managers of the proposed SBIC, financial data for companies with which the managers are or have been associated, and projected financial data for the proposed SBIC.  Exemptions 4, 6 and 8 of the Freedom of Information Act allow SBA to withhold financial data on individual companies.  </w:t>
      </w:r>
      <w:r w:rsidR="00513BB2">
        <w:t>The information collection includes notices concerning these protections.</w:t>
      </w:r>
    </w:p>
    <w:p w:rsidR="007E14AB" w:rsidRDefault="00690740" w:rsidP="007E14AB">
      <w:pPr>
        <w:pStyle w:val="BodyTextIndent"/>
        <w:numPr>
          <w:ilvl w:val="0"/>
          <w:numId w:val="5"/>
        </w:numPr>
        <w:tabs>
          <w:tab w:val="clear" w:pos="450"/>
          <w:tab w:val="left" w:pos="-2790"/>
        </w:tabs>
        <w:spacing w:after="120"/>
        <w:ind w:left="360" w:hanging="360"/>
      </w:pPr>
      <w:r w:rsidRPr="0044580E">
        <w:rPr>
          <w:szCs w:val="24"/>
          <w:u w:val="single"/>
        </w:rPr>
        <w:t>Questions of a sensitive nature.</w:t>
      </w:r>
      <w:r w:rsidRPr="0044580E">
        <w:rPr>
          <w:szCs w:val="24"/>
        </w:rPr>
        <w:t xml:space="preserve">  </w:t>
      </w:r>
      <w:r>
        <w:t>Exhibits A through I of Form 2182 request information that may be considered sensitive (employment and professional history, professional affiliations, education, and criminal history).  SBA considers this information essential to the fulfillment of its obligations under the Small Business Investment Act.  The Act requires SBA, in its evaluation of a license application, to determine whether management has the professional qualifications needed to operate an SBIC and the knowledge, experience and capability necessary to comply with the Act; and to consider the general business reputation of the applicant’s owners and managers as well as the probability of an applicant’s successful operations.</w:t>
      </w:r>
    </w:p>
    <w:p w:rsidR="001F0D4A" w:rsidRPr="001F0D4A" w:rsidRDefault="001F0D4A" w:rsidP="001F0D4A">
      <w:pPr>
        <w:pStyle w:val="BodyTextIndent"/>
        <w:tabs>
          <w:tab w:val="clear" w:pos="450"/>
          <w:tab w:val="left" w:pos="-2790"/>
        </w:tabs>
        <w:spacing w:after="120"/>
        <w:ind w:left="360" w:firstLine="0"/>
      </w:pPr>
      <w:r w:rsidRPr="001F0D4A">
        <w:rPr>
          <w:szCs w:val="24"/>
        </w:rPr>
        <w:t>The personal information collected is not</w:t>
      </w:r>
      <w:r>
        <w:rPr>
          <w:szCs w:val="24"/>
        </w:rPr>
        <w:t xml:space="preserve"> retrieved by a personal identifier, such as a name or social security number.  Therefore, SBA is not required by law to maintain a Privacy Act system of record for this information.  Nonetheless, SBA will protect this information to the extent permitted by law, including the Privacy Act 5 U.S.C. 552a and the Freedom of Information Act (FOIA), 5 U.S.C. 552.</w:t>
      </w:r>
    </w:p>
    <w:p w:rsidR="00A412F6" w:rsidRDefault="003319F9" w:rsidP="007E14AB">
      <w:pPr>
        <w:pStyle w:val="BodyTextIndent"/>
        <w:numPr>
          <w:ilvl w:val="0"/>
          <w:numId w:val="5"/>
        </w:numPr>
        <w:tabs>
          <w:tab w:val="clear" w:pos="450"/>
          <w:tab w:val="left" w:pos="-2790"/>
        </w:tabs>
        <w:spacing w:after="120"/>
        <w:ind w:left="360" w:hanging="360"/>
      </w:pPr>
      <w:r w:rsidRPr="007E14AB">
        <w:rPr>
          <w:szCs w:val="24"/>
          <w:u w:val="single"/>
        </w:rPr>
        <w:t>Estimate of the hourly burden of the collection of information.</w:t>
      </w:r>
      <w:r w:rsidRPr="007E14AB">
        <w:rPr>
          <w:szCs w:val="24"/>
        </w:rPr>
        <w:t xml:space="preserve">  </w:t>
      </w:r>
      <w:r w:rsidR="001567A4" w:rsidRPr="007E14AB">
        <w:rPr>
          <w:szCs w:val="24"/>
        </w:rPr>
        <w:t>To obtain</w:t>
      </w:r>
      <w:r w:rsidR="00553C77" w:rsidRPr="007E14AB">
        <w:rPr>
          <w:szCs w:val="24"/>
        </w:rPr>
        <w:t xml:space="preserve"> </w:t>
      </w:r>
      <w:r w:rsidR="001567A4" w:rsidRPr="007E14AB">
        <w:rPr>
          <w:szCs w:val="24"/>
        </w:rPr>
        <w:t>an SBIC license, an applicant fund is required to</w:t>
      </w:r>
      <w:r w:rsidR="00553C77" w:rsidRPr="007E14AB">
        <w:rPr>
          <w:szCs w:val="24"/>
        </w:rPr>
        <w:t xml:space="preserve"> </w:t>
      </w:r>
      <w:r w:rsidR="001567A4" w:rsidRPr="007E14AB">
        <w:rPr>
          <w:szCs w:val="24"/>
        </w:rPr>
        <w:t>complete</w:t>
      </w:r>
      <w:r w:rsidR="00A13FDD">
        <w:rPr>
          <w:szCs w:val="24"/>
        </w:rPr>
        <w:t xml:space="preserve"> a two-phase</w:t>
      </w:r>
      <w:r w:rsidR="00553C77" w:rsidRPr="007E14AB">
        <w:rPr>
          <w:szCs w:val="24"/>
        </w:rPr>
        <w:t xml:space="preserve"> application process.  </w:t>
      </w:r>
      <w:r w:rsidR="003F6B66" w:rsidRPr="007E14AB">
        <w:rPr>
          <w:szCs w:val="24"/>
        </w:rPr>
        <w:t xml:space="preserve">New applicants to the SBIC Program begin with the submission of </w:t>
      </w:r>
      <w:r w:rsidR="0001109D" w:rsidRPr="007E14AB">
        <w:rPr>
          <w:szCs w:val="24"/>
        </w:rPr>
        <w:t>the Management Assessment Questionnaire (“MAQ”), which is</w:t>
      </w:r>
      <w:r w:rsidR="00553C77" w:rsidRPr="007E14AB">
        <w:rPr>
          <w:szCs w:val="24"/>
        </w:rPr>
        <w:t xml:space="preserve"> comprised of Form 2181 and Exhibits A-F of Form 2182.  </w:t>
      </w:r>
      <w:r w:rsidR="004A66DB">
        <w:rPr>
          <w:szCs w:val="24"/>
        </w:rPr>
        <w:t>E</w:t>
      </w:r>
      <w:r w:rsidR="00A412F6">
        <w:t xml:space="preserve">xisting SBIC licensees seeking a subsequent license </w:t>
      </w:r>
      <w:r w:rsidR="004A66DB">
        <w:t xml:space="preserve">(“subsequent applicants”) </w:t>
      </w:r>
      <w:r w:rsidR="00A412F6">
        <w:t>are not required to submit a MAQ</w:t>
      </w:r>
      <w:r w:rsidR="007E14AB">
        <w:t xml:space="preserve">.  Instead, these applicants work with their assigned SBA analyst to obtain initial approval from SBA’s investment committee </w:t>
      </w:r>
      <w:r w:rsidR="00A74E5D">
        <w:t xml:space="preserve">to apply for </w:t>
      </w:r>
      <w:r w:rsidR="008E0C0F">
        <w:t xml:space="preserve">an additional </w:t>
      </w:r>
      <w:r w:rsidR="007E14AB">
        <w:t>license</w:t>
      </w:r>
      <w:r w:rsidR="00A412F6">
        <w:t>.</w:t>
      </w:r>
    </w:p>
    <w:p w:rsidR="00C97413" w:rsidRDefault="00A13FDD" w:rsidP="003319F9">
      <w:pPr>
        <w:pStyle w:val="BodyTextIndent"/>
        <w:tabs>
          <w:tab w:val="clear" w:pos="450"/>
          <w:tab w:val="left" w:pos="-2790"/>
        </w:tabs>
        <w:ind w:left="360" w:firstLine="0"/>
      </w:pPr>
      <w:r>
        <w:t xml:space="preserve">If approved in the first phase of the application process, applicants may then move to the second phase </w:t>
      </w:r>
      <w:r w:rsidR="00E95A92">
        <w:t xml:space="preserve">with the submission of </w:t>
      </w:r>
      <w:r w:rsidR="00A412F6">
        <w:t xml:space="preserve">a License Application.  </w:t>
      </w:r>
      <w:r w:rsidR="005D4A52">
        <w:t xml:space="preserve">The </w:t>
      </w:r>
      <w:r w:rsidR="00A412F6">
        <w:t xml:space="preserve">License Application </w:t>
      </w:r>
      <w:r w:rsidR="00911D2C">
        <w:t xml:space="preserve">involves </w:t>
      </w:r>
      <w:r w:rsidR="005D4A52">
        <w:t xml:space="preserve">(i) </w:t>
      </w:r>
      <w:r w:rsidR="00911D2C">
        <w:t>updating</w:t>
      </w:r>
      <w:r w:rsidR="005D4A52">
        <w:t xml:space="preserve"> their MAQ submission, if </w:t>
      </w:r>
      <w:r w:rsidR="00911D2C">
        <w:t xml:space="preserve">applicable, </w:t>
      </w:r>
      <w:r w:rsidR="00082860">
        <w:t xml:space="preserve">with any new information </w:t>
      </w:r>
      <w:r w:rsidR="00911D2C">
        <w:t xml:space="preserve">and </w:t>
      </w:r>
      <w:r w:rsidR="005D4A52">
        <w:t>(ii) submit</w:t>
      </w:r>
      <w:r w:rsidR="00911D2C">
        <w:t>ting</w:t>
      </w:r>
      <w:r w:rsidR="005D4A52">
        <w:t xml:space="preserve"> Exhib</w:t>
      </w:r>
      <w:r w:rsidR="006B1505">
        <w:t>its G-J of Form 2182 and</w:t>
      </w:r>
      <w:r w:rsidR="005D4A52">
        <w:t xml:space="preserve"> Form 2183.</w:t>
      </w:r>
      <w:r w:rsidR="003319F9">
        <w:t xml:space="preserve"> </w:t>
      </w:r>
    </w:p>
    <w:p w:rsidR="00C97413" w:rsidRDefault="00C97413" w:rsidP="003319F9">
      <w:pPr>
        <w:pStyle w:val="BodyTextIndent"/>
        <w:tabs>
          <w:tab w:val="clear" w:pos="450"/>
          <w:tab w:val="left" w:pos="-2790"/>
        </w:tabs>
        <w:ind w:left="360" w:firstLine="0"/>
      </w:pPr>
    </w:p>
    <w:p w:rsidR="00C43756" w:rsidRDefault="00E145A1" w:rsidP="003319F9">
      <w:pPr>
        <w:pStyle w:val="BodyTextIndent"/>
        <w:tabs>
          <w:tab w:val="clear" w:pos="450"/>
          <w:tab w:val="left" w:pos="-2790"/>
        </w:tabs>
        <w:ind w:left="360" w:firstLine="0"/>
      </w:pPr>
      <w:r>
        <w:t xml:space="preserve">The burden estimates </w:t>
      </w:r>
      <w:r w:rsidR="00070AB0">
        <w:t xml:space="preserve">below </w:t>
      </w:r>
      <w:r>
        <w:t xml:space="preserve">are based on </w:t>
      </w:r>
      <w:r w:rsidR="002D473D">
        <w:t xml:space="preserve">the following </w:t>
      </w:r>
      <w:r>
        <w:t>assumptions</w:t>
      </w:r>
      <w:r w:rsidR="001F2EB6">
        <w:t>:</w:t>
      </w:r>
    </w:p>
    <w:p w:rsidR="007C4C9F" w:rsidRDefault="007C4C9F" w:rsidP="00C43756">
      <w:pPr>
        <w:pStyle w:val="BodyTextIndent"/>
        <w:numPr>
          <w:ilvl w:val="2"/>
          <w:numId w:val="2"/>
        </w:numPr>
        <w:tabs>
          <w:tab w:val="clear" w:pos="450"/>
          <w:tab w:val="left" w:pos="-2790"/>
        </w:tabs>
        <w:ind w:left="720"/>
      </w:pPr>
      <w:r>
        <w:lastRenderedPageBreak/>
        <w:t xml:space="preserve">Over the past three years, the SBIC Program has received an average of 70 initial fund </w:t>
      </w:r>
      <w:r w:rsidR="00DF6D63">
        <w:t>proposals</w:t>
      </w:r>
      <w:r>
        <w:t xml:space="preserve"> from </w:t>
      </w:r>
      <w:r w:rsidR="004360AD">
        <w:t>new and subsequent applicants</w:t>
      </w:r>
      <w:r>
        <w:t xml:space="preserve">.  SBA expects this application rate to </w:t>
      </w:r>
      <w:r w:rsidR="00651ED6">
        <w:t>remain stable.</w:t>
      </w:r>
    </w:p>
    <w:p w:rsidR="00651ED6" w:rsidRDefault="00A5087A" w:rsidP="00C43756">
      <w:pPr>
        <w:pStyle w:val="BodyTextIndent"/>
        <w:numPr>
          <w:ilvl w:val="2"/>
          <w:numId w:val="2"/>
        </w:numPr>
        <w:tabs>
          <w:tab w:val="clear" w:pos="450"/>
          <w:tab w:val="left" w:pos="-2790"/>
        </w:tabs>
        <w:ind w:left="720"/>
      </w:pPr>
      <w:r>
        <w:t xml:space="preserve">SBA expects 50 of the </w:t>
      </w:r>
      <w:r w:rsidR="00651ED6">
        <w:t xml:space="preserve">70 initial fund </w:t>
      </w:r>
      <w:r w:rsidR="00525BBC">
        <w:t xml:space="preserve">proposals </w:t>
      </w:r>
      <w:r>
        <w:t xml:space="preserve">to come from </w:t>
      </w:r>
      <w:r w:rsidR="00651ED6">
        <w:t>new applicants to the SBIC Program</w:t>
      </w:r>
      <w:r>
        <w:t>.</w:t>
      </w:r>
      <w:r w:rsidR="00651ED6">
        <w:t xml:space="preserve">  These new applicants are the only </w:t>
      </w:r>
      <w:r>
        <w:t xml:space="preserve">ones </w:t>
      </w:r>
      <w:r w:rsidR="00651ED6">
        <w:t>required to submit a MAQ.</w:t>
      </w:r>
    </w:p>
    <w:p w:rsidR="00651ED6" w:rsidRDefault="00651ED6" w:rsidP="00C43756">
      <w:pPr>
        <w:pStyle w:val="BodyTextIndent"/>
        <w:numPr>
          <w:ilvl w:val="2"/>
          <w:numId w:val="2"/>
        </w:numPr>
        <w:tabs>
          <w:tab w:val="clear" w:pos="450"/>
          <w:tab w:val="left" w:pos="-2790"/>
        </w:tabs>
        <w:ind w:left="720"/>
      </w:pPr>
      <w:r>
        <w:t xml:space="preserve">Consistent with historical experience, the number of license applications received is expected to be equal to roughly 40-43% of the total number of initial fund </w:t>
      </w:r>
      <w:r w:rsidR="00525BBC">
        <w:t>proposals</w:t>
      </w:r>
      <w:r>
        <w:t xml:space="preserve"> filed with SBA.  </w:t>
      </w:r>
      <w:r w:rsidR="00C1218E">
        <w:t xml:space="preserve">Assuming 70 </w:t>
      </w:r>
      <w:r w:rsidR="00333AB7">
        <w:t xml:space="preserve">initial fund proposals are received </w:t>
      </w:r>
      <w:r w:rsidR="00C1218E">
        <w:t>each year</w:t>
      </w:r>
      <w:r>
        <w:t xml:space="preserve">, </w:t>
      </w:r>
      <w:r w:rsidR="00333AB7">
        <w:t xml:space="preserve">SBA anticipates </w:t>
      </w:r>
      <w:r w:rsidR="002D473D">
        <w:t xml:space="preserve">receiving </w:t>
      </w:r>
      <w:r w:rsidR="00333AB7">
        <w:t xml:space="preserve">30 </w:t>
      </w:r>
      <w:r w:rsidR="00412381">
        <w:t>L</w:t>
      </w:r>
      <w:r>
        <w:t xml:space="preserve">icense </w:t>
      </w:r>
      <w:r w:rsidR="00412381">
        <w:t>A</w:t>
      </w:r>
      <w:r>
        <w:t>pplications per year</w:t>
      </w:r>
      <w:r w:rsidR="007B389C">
        <w:t xml:space="preserve">, of which </w:t>
      </w:r>
      <w:r w:rsidR="00623974">
        <w:t xml:space="preserve">20 </w:t>
      </w:r>
      <w:r w:rsidR="005B19B2">
        <w:t xml:space="preserve">will come </w:t>
      </w:r>
      <w:r w:rsidR="00623974">
        <w:t xml:space="preserve">from new applicants and 10 </w:t>
      </w:r>
      <w:r w:rsidR="005B19B2">
        <w:t xml:space="preserve">will come </w:t>
      </w:r>
      <w:r w:rsidR="00623974">
        <w:t>from subsequent applicants</w:t>
      </w:r>
      <w:r>
        <w:t>.</w:t>
      </w:r>
    </w:p>
    <w:p w:rsidR="00C43756" w:rsidRDefault="002C0957" w:rsidP="002C0957">
      <w:pPr>
        <w:pStyle w:val="BodyTextIndent"/>
        <w:numPr>
          <w:ilvl w:val="2"/>
          <w:numId w:val="2"/>
        </w:numPr>
        <w:tabs>
          <w:tab w:val="clear" w:pos="450"/>
          <w:tab w:val="left" w:pos="-2790"/>
        </w:tabs>
        <w:ind w:left="720"/>
      </w:pPr>
      <w:r>
        <w:t xml:space="preserve">On average, SBA anticipates each </w:t>
      </w:r>
      <w:r w:rsidR="00FE1813">
        <w:t xml:space="preserve">applicant </w:t>
      </w:r>
      <w:r>
        <w:t xml:space="preserve">will </w:t>
      </w:r>
      <w:r w:rsidR="00FE1813">
        <w:t>be managed by an average of 4 individuals</w:t>
      </w:r>
      <w:r>
        <w:t>, each of whom</w:t>
      </w:r>
      <w:r w:rsidR="00C43756">
        <w:t xml:space="preserve"> will be required to complete Form 2182.</w:t>
      </w:r>
    </w:p>
    <w:p w:rsidR="00C43756" w:rsidRDefault="00C43756" w:rsidP="003319F9">
      <w:pPr>
        <w:pStyle w:val="BodyTextIndent"/>
        <w:tabs>
          <w:tab w:val="clear" w:pos="450"/>
          <w:tab w:val="left" w:pos="-2790"/>
        </w:tabs>
        <w:ind w:left="360" w:firstLine="0"/>
      </w:pPr>
    </w:p>
    <w:tbl>
      <w:tblPr>
        <w:tblW w:w="0" w:type="auto"/>
        <w:jc w:val="center"/>
        <w:tblCellMar>
          <w:left w:w="115" w:type="dxa"/>
          <w:right w:w="115" w:type="dxa"/>
        </w:tblCellMar>
        <w:tblLook w:val="04A0" w:firstRow="1" w:lastRow="0" w:firstColumn="1" w:lastColumn="0" w:noHBand="0" w:noVBand="1"/>
      </w:tblPr>
      <w:tblGrid>
        <w:gridCol w:w="3632"/>
        <w:gridCol w:w="1986"/>
        <w:gridCol w:w="1986"/>
        <w:gridCol w:w="1986"/>
      </w:tblGrid>
      <w:tr w:rsidR="00C43756" w:rsidTr="00C43756">
        <w:trPr>
          <w:trHeight w:val="570"/>
          <w:jc w:val="center"/>
        </w:trPr>
        <w:tc>
          <w:tcPr>
            <w:tcW w:w="0" w:type="auto"/>
            <w:tcBorders>
              <w:top w:val="single" w:sz="4" w:space="0" w:color="auto"/>
              <w:left w:val="single" w:sz="4" w:space="0" w:color="auto"/>
              <w:bottom w:val="single" w:sz="8" w:space="0" w:color="auto"/>
              <w:right w:val="single" w:sz="4" w:space="0" w:color="auto"/>
            </w:tcBorders>
            <w:shd w:val="clear" w:color="000000" w:fill="FFFFFF"/>
            <w:vAlign w:val="bottom"/>
            <w:hideMark/>
          </w:tcPr>
          <w:p w:rsidR="001C3110" w:rsidRDefault="001C3110">
            <w:pPr>
              <w:rPr>
                <w:rFonts w:ascii="Arial" w:hAnsi="Arial" w:cs="Arial"/>
                <w:b/>
                <w:bCs/>
                <w:color w:val="000000"/>
                <w:sz w:val="20"/>
                <w:szCs w:val="20"/>
              </w:rPr>
            </w:pPr>
            <w:r>
              <w:rPr>
                <w:rFonts w:ascii="Arial" w:hAnsi="Arial" w:cs="Arial"/>
                <w:b/>
                <w:bCs/>
                <w:color w:val="000000"/>
                <w:sz w:val="20"/>
                <w:szCs w:val="20"/>
              </w:rPr>
              <w:t>Form Number</w:t>
            </w:r>
          </w:p>
        </w:tc>
        <w:tc>
          <w:tcPr>
            <w:tcW w:w="1986" w:type="dxa"/>
            <w:tcBorders>
              <w:top w:val="single" w:sz="4" w:space="0" w:color="auto"/>
              <w:left w:val="nil"/>
              <w:bottom w:val="single" w:sz="8" w:space="0" w:color="auto"/>
              <w:right w:val="single" w:sz="4" w:space="0" w:color="auto"/>
            </w:tcBorders>
            <w:shd w:val="clear" w:color="000000" w:fill="FFFFFF"/>
            <w:vAlign w:val="bottom"/>
            <w:hideMark/>
          </w:tcPr>
          <w:p w:rsidR="001C3110" w:rsidRDefault="001C3110">
            <w:pPr>
              <w:jc w:val="center"/>
              <w:rPr>
                <w:rFonts w:ascii="Arial" w:hAnsi="Arial" w:cs="Arial"/>
                <w:b/>
                <w:bCs/>
                <w:color w:val="000000"/>
                <w:sz w:val="20"/>
                <w:szCs w:val="20"/>
              </w:rPr>
            </w:pPr>
            <w:r>
              <w:rPr>
                <w:rFonts w:ascii="Arial" w:hAnsi="Arial" w:cs="Arial"/>
                <w:b/>
                <w:bCs/>
                <w:color w:val="000000"/>
                <w:sz w:val="20"/>
                <w:szCs w:val="20"/>
              </w:rPr>
              <w:t>(No. of Respondents)</w:t>
            </w:r>
          </w:p>
        </w:tc>
        <w:tc>
          <w:tcPr>
            <w:tcW w:w="1986" w:type="dxa"/>
            <w:tcBorders>
              <w:top w:val="single" w:sz="4" w:space="0" w:color="auto"/>
              <w:left w:val="nil"/>
              <w:bottom w:val="single" w:sz="8" w:space="0" w:color="auto"/>
              <w:right w:val="single" w:sz="4" w:space="0" w:color="auto"/>
            </w:tcBorders>
            <w:shd w:val="clear" w:color="000000" w:fill="FFFFFF"/>
            <w:vAlign w:val="bottom"/>
            <w:hideMark/>
          </w:tcPr>
          <w:p w:rsidR="001C3110" w:rsidRDefault="001C3110">
            <w:pPr>
              <w:jc w:val="center"/>
              <w:rPr>
                <w:rFonts w:ascii="Arial" w:hAnsi="Arial" w:cs="Arial"/>
                <w:b/>
                <w:bCs/>
                <w:color w:val="000000"/>
                <w:sz w:val="20"/>
                <w:szCs w:val="20"/>
              </w:rPr>
            </w:pPr>
            <w:r>
              <w:rPr>
                <w:rFonts w:ascii="Arial" w:hAnsi="Arial" w:cs="Arial"/>
                <w:b/>
                <w:bCs/>
                <w:color w:val="000000"/>
                <w:sz w:val="20"/>
                <w:szCs w:val="20"/>
              </w:rPr>
              <w:t>x (Hours per Response)</w:t>
            </w:r>
          </w:p>
        </w:tc>
        <w:tc>
          <w:tcPr>
            <w:tcW w:w="1986" w:type="dxa"/>
            <w:tcBorders>
              <w:top w:val="single" w:sz="4" w:space="0" w:color="auto"/>
              <w:left w:val="nil"/>
              <w:bottom w:val="single" w:sz="8" w:space="0" w:color="auto"/>
              <w:right w:val="single" w:sz="4" w:space="0" w:color="auto"/>
            </w:tcBorders>
            <w:shd w:val="clear" w:color="000000" w:fill="FFFFFF"/>
            <w:vAlign w:val="bottom"/>
            <w:hideMark/>
          </w:tcPr>
          <w:p w:rsidR="001C3110" w:rsidRDefault="001C3110">
            <w:pPr>
              <w:jc w:val="center"/>
              <w:rPr>
                <w:rFonts w:ascii="Arial" w:hAnsi="Arial" w:cs="Arial"/>
                <w:b/>
                <w:bCs/>
                <w:color w:val="000000"/>
                <w:sz w:val="20"/>
                <w:szCs w:val="20"/>
              </w:rPr>
            </w:pPr>
            <w:r>
              <w:rPr>
                <w:rFonts w:ascii="Arial" w:hAnsi="Arial" w:cs="Arial"/>
                <w:b/>
                <w:bCs/>
                <w:color w:val="000000"/>
                <w:sz w:val="20"/>
                <w:szCs w:val="20"/>
              </w:rPr>
              <w:t>= Total Hour Burden</w:t>
            </w:r>
          </w:p>
        </w:tc>
      </w:tr>
      <w:tr w:rsidR="00775BF9" w:rsidTr="004C05D7">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775BF9" w:rsidRPr="00775BF9" w:rsidRDefault="00775BF9" w:rsidP="00775BF9">
            <w:pPr>
              <w:rPr>
                <w:rFonts w:ascii="Arial" w:hAnsi="Arial" w:cs="Arial"/>
                <w:b/>
                <w:i/>
                <w:color w:val="000000"/>
                <w:sz w:val="20"/>
                <w:szCs w:val="20"/>
              </w:rPr>
            </w:pPr>
            <w:r w:rsidRPr="00775BF9">
              <w:rPr>
                <w:rFonts w:ascii="Arial" w:hAnsi="Arial" w:cs="Arial"/>
                <w:b/>
                <w:i/>
                <w:color w:val="000000"/>
                <w:sz w:val="20"/>
                <w:szCs w:val="20"/>
              </w:rPr>
              <w:t>MAQ</w:t>
            </w:r>
          </w:p>
        </w:tc>
        <w:tc>
          <w:tcPr>
            <w:tcW w:w="1986" w:type="dxa"/>
            <w:tcBorders>
              <w:top w:val="nil"/>
              <w:left w:val="nil"/>
              <w:bottom w:val="single" w:sz="4" w:space="0" w:color="auto"/>
              <w:right w:val="single" w:sz="4" w:space="0" w:color="auto"/>
            </w:tcBorders>
            <w:shd w:val="clear" w:color="000000" w:fill="FFFFFF"/>
            <w:noWrap/>
            <w:vAlign w:val="center"/>
          </w:tcPr>
          <w:p w:rsidR="00775BF9" w:rsidRDefault="00775BF9">
            <w:pPr>
              <w:ind w:firstLineChars="100" w:firstLine="200"/>
              <w:jc w:val="right"/>
              <w:rPr>
                <w:rFonts w:ascii="Arial" w:hAnsi="Arial" w:cs="Arial"/>
                <w:color w:val="000000"/>
                <w:sz w:val="20"/>
                <w:szCs w:val="20"/>
              </w:rPr>
            </w:pPr>
          </w:p>
        </w:tc>
        <w:tc>
          <w:tcPr>
            <w:tcW w:w="1986" w:type="dxa"/>
            <w:tcBorders>
              <w:top w:val="nil"/>
              <w:left w:val="nil"/>
              <w:bottom w:val="single" w:sz="4" w:space="0" w:color="auto"/>
              <w:right w:val="single" w:sz="4" w:space="0" w:color="auto"/>
            </w:tcBorders>
            <w:shd w:val="clear" w:color="000000" w:fill="FFFFFF"/>
            <w:noWrap/>
            <w:vAlign w:val="center"/>
          </w:tcPr>
          <w:p w:rsidR="00775BF9" w:rsidRDefault="00775BF9">
            <w:pPr>
              <w:ind w:firstLineChars="100" w:firstLine="200"/>
              <w:jc w:val="right"/>
              <w:rPr>
                <w:rFonts w:ascii="Arial" w:hAnsi="Arial" w:cs="Arial"/>
                <w:color w:val="000000"/>
                <w:sz w:val="20"/>
                <w:szCs w:val="20"/>
              </w:rPr>
            </w:pPr>
          </w:p>
        </w:tc>
        <w:tc>
          <w:tcPr>
            <w:tcW w:w="1986" w:type="dxa"/>
            <w:tcBorders>
              <w:top w:val="nil"/>
              <w:left w:val="nil"/>
              <w:bottom w:val="single" w:sz="4" w:space="0" w:color="auto"/>
              <w:right w:val="single" w:sz="4" w:space="0" w:color="auto"/>
            </w:tcBorders>
            <w:shd w:val="clear" w:color="000000" w:fill="FFFFFF"/>
            <w:noWrap/>
            <w:vAlign w:val="center"/>
          </w:tcPr>
          <w:p w:rsidR="00775BF9" w:rsidRDefault="00775BF9">
            <w:pPr>
              <w:ind w:firstLineChars="100" w:firstLine="200"/>
              <w:jc w:val="right"/>
              <w:rPr>
                <w:rFonts w:ascii="Arial" w:hAnsi="Arial" w:cs="Arial"/>
                <w:color w:val="000000"/>
                <w:sz w:val="20"/>
                <w:szCs w:val="20"/>
              </w:rPr>
            </w:pPr>
          </w:p>
        </w:tc>
      </w:tr>
      <w:tr w:rsidR="004C05D7" w:rsidTr="004C05D7">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C05D7" w:rsidRDefault="004C05D7" w:rsidP="00535074">
            <w:pPr>
              <w:rPr>
                <w:rFonts w:ascii="Arial" w:hAnsi="Arial" w:cs="Arial"/>
                <w:color w:val="000000"/>
                <w:sz w:val="20"/>
                <w:szCs w:val="20"/>
              </w:rPr>
            </w:pPr>
            <w:r>
              <w:rPr>
                <w:rFonts w:ascii="Arial" w:hAnsi="Arial" w:cs="Arial"/>
                <w:color w:val="000000"/>
                <w:sz w:val="20"/>
                <w:szCs w:val="20"/>
              </w:rPr>
              <w:t>Form 2181 – Entity</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50 </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33 </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1,650 </w:t>
            </w:r>
          </w:p>
        </w:tc>
      </w:tr>
      <w:tr w:rsidR="004C05D7" w:rsidTr="004C05D7">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C05D7" w:rsidRDefault="004C05D7" w:rsidP="00FE1813">
            <w:pPr>
              <w:rPr>
                <w:rFonts w:ascii="Arial" w:hAnsi="Arial" w:cs="Arial"/>
                <w:color w:val="000000"/>
                <w:sz w:val="20"/>
                <w:szCs w:val="20"/>
              </w:rPr>
            </w:pPr>
            <w:r>
              <w:rPr>
                <w:rFonts w:ascii="Arial" w:hAnsi="Arial" w:cs="Arial"/>
                <w:color w:val="000000"/>
                <w:sz w:val="20"/>
                <w:szCs w:val="20"/>
              </w:rPr>
              <w:t>Form 2182 (Exhibits A-F) – Individuals</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200 </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22 </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4,400 </w:t>
            </w:r>
          </w:p>
        </w:tc>
      </w:tr>
      <w:tr w:rsidR="00775BF9" w:rsidTr="004C05D7">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775BF9" w:rsidRPr="00775BF9" w:rsidRDefault="00775BF9">
            <w:pPr>
              <w:rPr>
                <w:rFonts w:ascii="Arial" w:hAnsi="Arial" w:cs="Arial"/>
                <w:b/>
                <w:i/>
                <w:color w:val="000000"/>
                <w:sz w:val="20"/>
                <w:szCs w:val="20"/>
              </w:rPr>
            </w:pPr>
            <w:r w:rsidRPr="00775BF9">
              <w:rPr>
                <w:rFonts w:ascii="Arial" w:hAnsi="Arial" w:cs="Arial"/>
                <w:b/>
                <w:i/>
                <w:color w:val="000000"/>
                <w:sz w:val="20"/>
                <w:szCs w:val="20"/>
              </w:rPr>
              <w:t>License Application</w:t>
            </w:r>
            <w:r>
              <w:rPr>
                <w:rFonts w:ascii="Arial" w:hAnsi="Arial" w:cs="Arial"/>
                <w:b/>
                <w:i/>
                <w:color w:val="000000"/>
                <w:sz w:val="20"/>
                <w:szCs w:val="20"/>
              </w:rPr>
              <w:t xml:space="preserve"> ONLY</w:t>
            </w:r>
          </w:p>
        </w:tc>
        <w:tc>
          <w:tcPr>
            <w:tcW w:w="1986" w:type="dxa"/>
            <w:tcBorders>
              <w:top w:val="nil"/>
              <w:left w:val="nil"/>
              <w:bottom w:val="single" w:sz="4" w:space="0" w:color="auto"/>
              <w:right w:val="single" w:sz="4" w:space="0" w:color="auto"/>
            </w:tcBorders>
            <w:shd w:val="clear" w:color="000000" w:fill="FFFFFF"/>
            <w:noWrap/>
            <w:vAlign w:val="center"/>
          </w:tcPr>
          <w:p w:rsidR="00775BF9" w:rsidRDefault="00775BF9">
            <w:pPr>
              <w:ind w:firstLineChars="100" w:firstLine="200"/>
              <w:jc w:val="right"/>
              <w:rPr>
                <w:rFonts w:ascii="Arial" w:hAnsi="Arial" w:cs="Arial"/>
                <w:color w:val="000000"/>
                <w:sz w:val="20"/>
                <w:szCs w:val="20"/>
              </w:rPr>
            </w:pPr>
          </w:p>
        </w:tc>
        <w:tc>
          <w:tcPr>
            <w:tcW w:w="1986" w:type="dxa"/>
            <w:tcBorders>
              <w:top w:val="nil"/>
              <w:left w:val="nil"/>
              <w:bottom w:val="single" w:sz="4" w:space="0" w:color="auto"/>
              <w:right w:val="single" w:sz="4" w:space="0" w:color="auto"/>
            </w:tcBorders>
            <w:shd w:val="clear" w:color="000000" w:fill="FFFFFF"/>
            <w:noWrap/>
            <w:vAlign w:val="center"/>
          </w:tcPr>
          <w:p w:rsidR="00775BF9" w:rsidRDefault="00775BF9">
            <w:pPr>
              <w:ind w:firstLineChars="100" w:firstLine="200"/>
              <w:jc w:val="right"/>
              <w:rPr>
                <w:rFonts w:ascii="Arial" w:hAnsi="Arial" w:cs="Arial"/>
                <w:color w:val="000000"/>
                <w:sz w:val="20"/>
                <w:szCs w:val="20"/>
              </w:rPr>
            </w:pPr>
          </w:p>
        </w:tc>
        <w:tc>
          <w:tcPr>
            <w:tcW w:w="1986" w:type="dxa"/>
            <w:tcBorders>
              <w:top w:val="nil"/>
              <w:left w:val="nil"/>
              <w:bottom w:val="single" w:sz="4" w:space="0" w:color="auto"/>
              <w:right w:val="single" w:sz="4" w:space="0" w:color="auto"/>
            </w:tcBorders>
            <w:shd w:val="clear" w:color="000000" w:fill="FFFFFF"/>
            <w:noWrap/>
            <w:vAlign w:val="center"/>
          </w:tcPr>
          <w:p w:rsidR="00775BF9" w:rsidRDefault="00775BF9">
            <w:pPr>
              <w:ind w:firstLineChars="100" w:firstLine="200"/>
              <w:jc w:val="right"/>
              <w:rPr>
                <w:rFonts w:ascii="Arial" w:hAnsi="Arial" w:cs="Arial"/>
                <w:color w:val="000000"/>
                <w:sz w:val="20"/>
                <w:szCs w:val="20"/>
              </w:rPr>
            </w:pPr>
          </w:p>
        </w:tc>
      </w:tr>
      <w:tr w:rsidR="004C05D7" w:rsidTr="004C05D7">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C05D7" w:rsidRDefault="004C05D7">
            <w:pPr>
              <w:rPr>
                <w:rFonts w:ascii="Arial" w:hAnsi="Arial" w:cs="Arial"/>
                <w:color w:val="000000"/>
                <w:sz w:val="20"/>
                <w:szCs w:val="20"/>
              </w:rPr>
            </w:pPr>
            <w:r>
              <w:rPr>
                <w:rFonts w:ascii="Arial" w:hAnsi="Arial" w:cs="Arial"/>
                <w:color w:val="000000"/>
                <w:sz w:val="20"/>
                <w:szCs w:val="20"/>
              </w:rPr>
              <w:t>Form 2182 (Exhibits G-J) – Individuals</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120 </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1 </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120 </w:t>
            </w:r>
          </w:p>
        </w:tc>
      </w:tr>
      <w:tr w:rsidR="004C05D7" w:rsidTr="004C05D7">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C05D7" w:rsidRDefault="004C05D7" w:rsidP="00535074">
            <w:pPr>
              <w:rPr>
                <w:rFonts w:ascii="Arial" w:hAnsi="Arial" w:cs="Arial"/>
                <w:color w:val="000000"/>
                <w:sz w:val="20"/>
                <w:szCs w:val="20"/>
              </w:rPr>
            </w:pPr>
            <w:r>
              <w:rPr>
                <w:rFonts w:ascii="Arial" w:hAnsi="Arial" w:cs="Arial"/>
                <w:color w:val="000000"/>
                <w:sz w:val="20"/>
                <w:szCs w:val="20"/>
              </w:rPr>
              <w:t>Form 2183 – Entity</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30 </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0373A6">
            <w:pPr>
              <w:jc w:val="right"/>
              <w:rPr>
                <w:rFonts w:ascii="Arial" w:hAnsi="Arial" w:cs="Arial"/>
                <w:sz w:val="20"/>
                <w:szCs w:val="20"/>
              </w:rPr>
            </w:pPr>
            <w:r>
              <w:rPr>
                <w:rFonts w:ascii="Arial" w:hAnsi="Arial" w:cs="Arial"/>
                <w:sz w:val="20"/>
                <w:szCs w:val="20"/>
              </w:rPr>
              <w:t>40</w:t>
            </w:r>
            <w:r w:rsidR="004C05D7">
              <w:rPr>
                <w:rFonts w:ascii="Arial" w:hAnsi="Arial" w:cs="Arial"/>
                <w:sz w:val="20"/>
                <w:szCs w:val="20"/>
              </w:rPr>
              <w:t xml:space="preserve"> </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rsidP="000373A6">
            <w:pPr>
              <w:jc w:val="right"/>
              <w:rPr>
                <w:rFonts w:ascii="Arial" w:hAnsi="Arial" w:cs="Arial"/>
                <w:sz w:val="20"/>
                <w:szCs w:val="20"/>
              </w:rPr>
            </w:pPr>
            <w:r>
              <w:rPr>
                <w:rFonts w:ascii="Arial" w:hAnsi="Arial" w:cs="Arial"/>
                <w:sz w:val="20"/>
                <w:szCs w:val="20"/>
              </w:rPr>
              <w:t>1,</w:t>
            </w:r>
            <w:r w:rsidR="000373A6">
              <w:rPr>
                <w:rFonts w:ascii="Arial" w:hAnsi="Arial" w:cs="Arial"/>
                <w:sz w:val="20"/>
                <w:szCs w:val="20"/>
              </w:rPr>
              <w:t>20</w:t>
            </w:r>
            <w:r>
              <w:rPr>
                <w:rFonts w:ascii="Arial" w:hAnsi="Arial" w:cs="Arial"/>
                <w:sz w:val="20"/>
                <w:szCs w:val="20"/>
              </w:rPr>
              <w:t xml:space="preserve">0 </w:t>
            </w:r>
          </w:p>
        </w:tc>
      </w:tr>
      <w:tr w:rsidR="00C43756" w:rsidTr="004C05D7">
        <w:trPr>
          <w:trHeight w:val="255"/>
          <w:jc w:val="center"/>
        </w:trPr>
        <w:tc>
          <w:tcPr>
            <w:tcW w:w="0" w:type="auto"/>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1C3110" w:rsidRDefault="009F7CE2" w:rsidP="009F7CE2">
            <w:pPr>
              <w:rPr>
                <w:rFonts w:ascii="Arial" w:hAnsi="Arial" w:cs="Arial"/>
                <w:color w:val="000000"/>
                <w:sz w:val="20"/>
                <w:szCs w:val="20"/>
              </w:rPr>
            </w:pPr>
            <w:r>
              <w:rPr>
                <w:rFonts w:ascii="Arial" w:hAnsi="Arial" w:cs="Arial"/>
                <w:color w:val="000000"/>
                <w:sz w:val="20"/>
                <w:szCs w:val="20"/>
              </w:rPr>
              <w:t>TOTAL:</w:t>
            </w:r>
          </w:p>
        </w:tc>
        <w:tc>
          <w:tcPr>
            <w:tcW w:w="1986" w:type="dxa"/>
            <w:tcBorders>
              <w:top w:val="single" w:sz="12" w:space="0" w:color="auto"/>
              <w:left w:val="single" w:sz="4" w:space="0" w:color="auto"/>
              <w:bottom w:val="single" w:sz="4" w:space="0" w:color="auto"/>
              <w:right w:val="nil"/>
            </w:tcBorders>
            <w:shd w:val="clear" w:color="000000" w:fill="FFFFFF"/>
            <w:noWrap/>
            <w:vAlign w:val="center"/>
            <w:hideMark/>
          </w:tcPr>
          <w:p w:rsidR="001C3110" w:rsidRDefault="001C3110" w:rsidP="009F7CE2">
            <w:pPr>
              <w:jc w:val="right"/>
              <w:rPr>
                <w:rFonts w:ascii="Arial" w:hAnsi="Arial" w:cs="Arial"/>
                <w:color w:val="000000"/>
                <w:sz w:val="20"/>
                <w:szCs w:val="20"/>
              </w:rPr>
            </w:pPr>
            <w:r>
              <w:rPr>
                <w:rFonts w:ascii="Arial" w:hAnsi="Arial" w:cs="Arial"/>
                <w:color w:val="000000"/>
                <w:sz w:val="20"/>
                <w:szCs w:val="20"/>
              </w:rPr>
              <w:t> </w:t>
            </w:r>
          </w:p>
        </w:tc>
        <w:tc>
          <w:tcPr>
            <w:tcW w:w="1986"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1C3110" w:rsidRDefault="001C3110" w:rsidP="009F7CE2">
            <w:pPr>
              <w:jc w:val="right"/>
              <w:rPr>
                <w:rFonts w:ascii="Arial" w:hAnsi="Arial" w:cs="Arial"/>
                <w:b/>
                <w:bCs/>
                <w:color w:val="000000"/>
                <w:sz w:val="20"/>
                <w:szCs w:val="20"/>
              </w:rPr>
            </w:pPr>
          </w:p>
        </w:tc>
        <w:tc>
          <w:tcPr>
            <w:tcW w:w="1986" w:type="dxa"/>
            <w:tcBorders>
              <w:top w:val="single" w:sz="12" w:space="0" w:color="auto"/>
              <w:left w:val="nil"/>
              <w:bottom w:val="single" w:sz="4" w:space="0" w:color="auto"/>
              <w:right w:val="single" w:sz="4" w:space="0" w:color="auto"/>
            </w:tcBorders>
            <w:shd w:val="clear" w:color="000000" w:fill="FFFFFF"/>
            <w:noWrap/>
            <w:vAlign w:val="center"/>
            <w:hideMark/>
          </w:tcPr>
          <w:p w:rsidR="001C3110" w:rsidRDefault="00E525E7" w:rsidP="009F7CE2">
            <w:pPr>
              <w:ind w:firstLineChars="100" w:firstLine="200"/>
              <w:jc w:val="right"/>
              <w:rPr>
                <w:rFonts w:ascii="Arial" w:hAnsi="Arial" w:cs="Arial"/>
                <w:color w:val="000000"/>
                <w:sz w:val="20"/>
                <w:szCs w:val="20"/>
              </w:rPr>
            </w:pPr>
            <w:r>
              <w:rPr>
                <w:rFonts w:ascii="Arial" w:hAnsi="Arial" w:cs="Arial"/>
                <w:color w:val="000000"/>
                <w:sz w:val="20"/>
                <w:szCs w:val="20"/>
              </w:rPr>
              <w:t>7,</w:t>
            </w:r>
            <w:r w:rsidR="00576541">
              <w:rPr>
                <w:rFonts w:ascii="Arial" w:hAnsi="Arial" w:cs="Arial"/>
                <w:color w:val="000000"/>
                <w:sz w:val="20"/>
                <w:szCs w:val="20"/>
              </w:rPr>
              <w:t>37</w:t>
            </w:r>
            <w:r w:rsidR="00F835D5">
              <w:rPr>
                <w:rFonts w:ascii="Arial" w:hAnsi="Arial" w:cs="Arial"/>
                <w:color w:val="000000"/>
                <w:sz w:val="20"/>
                <w:szCs w:val="20"/>
              </w:rPr>
              <w:t>0</w:t>
            </w:r>
            <w:r w:rsidR="001C3110">
              <w:rPr>
                <w:rFonts w:ascii="Arial" w:hAnsi="Arial" w:cs="Arial"/>
                <w:color w:val="000000"/>
                <w:sz w:val="20"/>
                <w:szCs w:val="20"/>
              </w:rPr>
              <w:t xml:space="preserve"> </w:t>
            </w:r>
          </w:p>
        </w:tc>
      </w:tr>
    </w:tbl>
    <w:p w:rsidR="003319F9" w:rsidRDefault="003319F9" w:rsidP="003319F9">
      <w:pPr>
        <w:pStyle w:val="BodyTextIndent"/>
        <w:tabs>
          <w:tab w:val="clear" w:pos="450"/>
          <w:tab w:val="left" w:pos="540"/>
        </w:tabs>
        <w:ind w:left="1080" w:firstLine="0"/>
        <w:rPr>
          <w:sz w:val="18"/>
          <w:szCs w:val="18"/>
        </w:rPr>
      </w:pPr>
    </w:p>
    <w:p w:rsidR="003319F9" w:rsidRDefault="003319F9" w:rsidP="003319F9">
      <w:pPr>
        <w:pStyle w:val="BodyTextIndent"/>
        <w:tabs>
          <w:tab w:val="clear" w:pos="450"/>
          <w:tab w:val="left" w:pos="540"/>
        </w:tabs>
        <w:ind w:left="0" w:firstLine="0"/>
        <w:rPr>
          <w:sz w:val="18"/>
          <w:szCs w:val="18"/>
        </w:rPr>
      </w:pPr>
      <w:r>
        <w:rPr>
          <w:sz w:val="18"/>
          <w:szCs w:val="18"/>
        </w:rPr>
        <w:t xml:space="preserve">Note 1:  </w:t>
      </w:r>
      <w:r w:rsidR="00700570">
        <w:rPr>
          <w:sz w:val="18"/>
          <w:szCs w:val="18"/>
        </w:rPr>
        <w:t>Form 2182 is split between those exhibits that must be filed as part of the Management Assessment Questionnaire and those required for the License Application only</w:t>
      </w:r>
      <w:r>
        <w:rPr>
          <w:sz w:val="18"/>
          <w:szCs w:val="18"/>
        </w:rPr>
        <w:t>.</w:t>
      </w:r>
      <w:r w:rsidR="00700570">
        <w:rPr>
          <w:sz w:val="18"/>
          <w:szCs w:val="18"/>
        </w:rPr>
        <w:t xml:space="preserve">  Exhibits G through J are far less intensive than Exhibits A through F and have been assigned a significantly lower burden estimate.</w:t>
      </w:r>
    </w:p>
    <w:p w:rsidR="003319F9" w:rsidRDefault="003319F9" w:rsidP="003319F9">
      <w:pPr>
        <w:pStyle w:val="BodyTextIndent"/>
        <w:tabs>
          <w:tab w:val="clear" w:pos="450"/>
          <w:tab w:val="left" w:pos="540"/>
        </w:tabs>
        <w:ind w:left="0" w:firstLine="0"/>
        <w:rPr>
          <w:sz w:val="18"/>
          <w:szCs w:val="18"/>
        </w:rPr>
      </w:pPr>
    </w:p>
    <w:p w:rsidR="002C0957" w:rsidRDefault="003319F9" w:rsidP="003319F9">
      <w:pPr>
        <w:pStyle w:val="BodyTextIndent"/>
        <w:tabs>
          <w:tab w:val="clear" w:pos="450"/>
          <w:tab w:val="left" w:pos="540"/>
        </w:tabs>
        <w:ind w:left="0" w:firstLine="0"/>
        <w:rPr>
          <w:sz w:val="18"/>
          <w:szCs w:val="18"/>
        </w:rPr>
      </w:pPr>
      <w:r>
        <w:rPr>
          <w:sz w:val="18"/>
          <w:szCs w:val="18"/>
        </w:rPr>
        <w:t>Note 2:</w:t>
      </w:r>
      <w:r w:rsidR="00775BF9">
        <w:rPr>
          <w:sz w:val="18"/>
          <w:szCs w:val="18"/>
        </w:rPr>
        <w:t xml:space="preserve">  Please note that the 300 respondents indicated in Item 13a of OMB Form 83-I</w:t>
      </w:r>
      <w:r w:rsidR="00AE7CEB">
        <w:rPr>
          <w:sz w:val="18"/>
          <w:szCs w:val="18"/>
        </w:rPr>
        <w:t xml:space="preserve"> (300) are</w:t>
      </w:r>
      <w:r w:rsidR="00775BF9">
        <w:rPr>
          <w:sz w:val="18"/>
          <w:szCs w:val="18"/>
        </w:rPr>
        <w:t xml:space="preserve"> less than the 4</w:t>
      </w:r>
      <w:r w:rsidR="00233B3D">
        <w:rPr>
          <w:sz w:val="18"/>
          <w:szCs w:val="18"/>
        </w:rPr>
        <w:t>0</w:t>
      </w:r>
      <w:r w:rsidR="00775BF9">
        <w:rPr>
          <w:sz w:val="18"/>
          <w:szCs w:val="18"/>
        </w:rPr>
        <w:t>0 respondents included in the table above.  The difference is due to the fact that</w:t>
      </w:r>
      <w:r w:rsidR="00391970">
        <w:rPr>
          <w:sz w:val="18"/>
          <w:szCs w:val="18"/>
        </w:rPr>
        <w:t xml:space="preserve"> 80 of the 120 individuals and 20 of the 30 entities shown as completing the License Application forms will already have completed the MAQ.  Therefore to avoid double-counting, the number of respondents </w:t>
      </w:r>
      <w:r w:rsidR="001367A2">
        <w:rPr>
          <w:sz w:val="18"/>
          <w:szCs w:val="18"/>
        </w:rPr>
        <w:t xml:space="preserve">listed in 13a </w:t>
      </w:r>
      <w:r w:rsidR="00391970">
        <w:rPr>
          <w:sz w:val="18"/>
          <w:szCs w:val="18"/>
        </w:rPr>
        <w:t>has been calculated as follows</w:t>
      </w:r>
      <w:r w:rsidR="002C0957">
        <w:rPr>
          <w:sz w:val="18"/>
          <w:szCs w:val="18"/>
        </w:rPr>
        <w:t>:</w:t>
      </w:r>
    </w:p>
    <w:p w:rsidR="00AE7CEB" w:rsidRDefault="002C0957" w:rsidP="00AE7CEB">
      <w:pPr>
        <w:pStyle w:val="BodyTextIndent"/>
        <w:numPr>
          <w:ilvl w:val="0"/>
          <w:numId w:val="11"/>
        </w:numPr>
        <w:tabs>
          <w:tab w:val="clear" w:pos="450"/>
        </w:tabs>
        <w:rPr>
          <w:sz w:val="18"/>
          <w:szCs w:val="18"/>
        </w:rPr>
      </w:pPr>
      <w:r w:rsidRPr="00AE7CEB">
        <w:rPr>
          <w:sz w:val="18"/>
          <w:szCs w:val="18"/>
        </w:rPr>
        <w:t>50 new applicants</w:t>
      </w:r>
      <w:r w:rsidR="009724C5" w:rsidRPr="00AE7CEB">
        <w:rPr>
          <w:sz w:val="18"/>
          <w:szCs w:val="18"/>
        </w:rPr>
        <w:t xml:space="preserve"> </w:t>
      </w:r>
      <w:r w:rsidRPr="00AE7CEB">
        <w:rPr>
          <w:sz w:val="18"/>
          <w:szCs w:val="18"/>
        </w:rPr>
        <w:t xml:space="preserve">to the SBIC Program, managed by an average of four individuals, </w:t>
      </w:r>
      <w:r w:rsidR="009724C5" w:rsidRPr="00AE7CEB">
        <w:rPr>
          <w:sz w:val="18"/>
          <w:szCs w:val="18"/>
        </w:rPr>
        <w:t>represent a sub-</w:t>
      </w:r>
      <w:r w:rsidRPr="00AE7CEB">
        <w:rPr>
          <w:sz w:val="18"/>
          <w:szCs w:val="18"/>
        </w:rPr>
        <w:t>total of 250 respondents</w:t>
      </w:r>
      <w:r w:rsidR="00711B45" w:rsidRPr="00AE7CEB">
        <w:rPr>
          <w:sz w:val="18"/>
          <w:szCs w:val="18"/>
        </w:rPr>
        <w:t>;</w:t>
      </w:r>
    </w:p>
    <w:p w:rsidR="00AE7CEB" w:rsidRDefault="002C0957" w:rsidP="00AE7CEB">
      <w:pPr>
        <w:pStyle w:val="BodyTextIndent"/>
        <w:numPr>
          <w:ilvl w:val="0"/>
          <w:numId w:val="11"/>
        </w:numPr>
        <w:tabs>
          <w:tab w:val="clear" w:pos="450"/>
        </w:tabs>
        <w:rPr>
          <w:sz w:val="18"/>
          <w:szCs w:val="18"/>
        </w:rPr>
      </w:pPr>
      <w:r w:rsidRPr="00AE7CEB">
        <w:rPr>
          <w:sz w:val="18"/>
          <w:szCs w:val="18"/>
        </w:rPr>
        <w:t xml:space="preserve">10 subsequent applicants to the SBIC Program, managed by an average of four individuals, </w:t>
      </w:r>
      <w:r w:rsidR="00711B45" w:rsidRPr="00AE7CEB">
        <w:rPr>
          <w:sz w:val="18"/>
          <w:szCs w:val="18"/>
        </w:rPr>
        <w:t>represent a sub-</w:t>
      </w:r>
      <w:r w:rsidRPr="00AE7CEB">
        <w:rPr>
          <w:sz w:val="18"/>
          <w:szCs w:val="18"/>
        </w:rPr>
        <w:t>total of 50</w:t>
      </w:r>
      <w:r w:rsidR="00331C0F" w:rsidRPr="00AE7CEB">
        <w:rPr>
          <w:sz w:val="18"/>
          <w:szCs w:val="18"/>
        </w:rPr>
        <w:t xml:space="preserve"> respondents</w:t>
      </w:r>
      <w:r w:rsidR="00711B45" w:rsidRPr="00AE7CEB">
        <w:rPr>
          <w:sz w:val="18"/>
          <w:szCs w:val="18"/>
        </w:rPr>
        <w:t>;</w:t>
      </w:r>
    </w:p>
    <w:p w:rsidR="00331C0F" w:rsidRPr="00AE7CEB" w:rsidRDefault="00711B45" w:rsidP="00AE7CEB">
      <w:pPr>
        <w:pStyle w:val="BodyTextIndent"/>
        <w:numPr>
          <w:ilvl w:val="0"/>
          <w:numId w:val="11"/>
        </w:numPr>
        <w:tabs>
          <w:tab w:val="clear" w:pos="450"/>
        </w:tabs>
        <w:rPr>
          <w:sz w:val="18"/>
          <w:szCs w:val="18"/>
        </w:rPr>
      </w:pPr>
      <w:r w:rsidRPr="00AE7CEB">
        <w:rPr>
          <w:sz w:val="18"/>
          <w:szCs w:val="18"/>
        </w:rPr>
        <w:t xml:space="preserve">Together, there are a </w:t>
      </w:r>
      <w:r w:rsidR="008931FC" w:rsidRPr="00AE7CEB">
        <w:rPr>
          <w:sz w:val="18"/>
          <w:szCs w:val="18"/>
        </w:rPr>
        <w:t xml:space="preserve">total of </w:t>
      </w:r>
      <w:r w:rsidR="00331C0F" w:rsidRPr="00AE7CEB">
        <w:rPr>
          <w:sz w:val="18"/>
          <w:szCs w:val="18"/>
        </w:rPr>
        <w:t>300 respondents (50 new applicants, plus 10 subsequent applicants, plus the associated 240 individuals)</w:t>
      </w:r>
    </w:p>
    <w:p w:rsidR="003319F9" w:rsidRDefault="003319F9" w:rsidP="003319F9">
      <w:pPr>
        <w:pStyle w:val="BodyTextIndent"/>
        <w:tabs>
          <w:tab w:val="clear" w:pos="450"/>
          <w:tab w:val="left" w:pos="540"/>
        </w:tabs>
        <w:ind w:left="1080" w:firstLine="0"/>
        <w:rPr>
          <w:sz w:val="18"/>
          <w:szCs w:val="18"/>
        </w:rPr>
      </w:pPr>
    </w:p>
    <w:p w:rsidR="00AE7CEB" w:rsidRDefault="003319F9" w:rsidP="00AE7CEB">
      <w:pPr>
        <w:pStyle w:val="BodyTextIndent"/>
        <w:tabs>
          <w:tab w:val="clear" w:pos="450"/>
          <w:tab w:val="left" w:pos="540"/>
        </w:tabs>
        <w:ind w:left="0" w:firstLine="0"/>
        <w:rPr>
          <w:sz w:val="18"/>
          <w:szCs w:val="18"/>
        </w:rPr>
      </w:pPr>
      <w:r>
        <w:rPr>
          <w:sz w:val="18"/>
          <w:szCs w:val="18"/>
        </w:rPr>
        <w:t xml:space="preserve">Note 3:  The total number of responses shown </w:t>
      </w:r>
      <w:r w:rsidR="00C41546">
        <w:rPr>
          <w:sz w:val="18"/>
          <w:szCs w:val="18"/>
        </w:rPr>
        <w:t>o</w:t>
      </w:r>
      <w:r w:rsidR="00790FF0">
        <w:rPr>
          <w:sz w:val="18"/>
          <w:szCs w:val="18"/>
        </w:rPr>
        <w:t xml:space="preserve">n OMB Form 83-I (item 13b) is </w:t>
      </w:r>
      <w:r w:rsidR="001367A2">
        <w:rPr>
          <w:sz w:val="18"/>
          <w:szCs w:val="18"/>
        </w:rPr>
        <w:t>4</w:t>
      </w:r>
      <w:r w:rsidR="000373A6">
        <w:rPr>
          <w:sz w:val="18"/>
          <w:szCs w:val="18"/>
        </w:rPr>
        <w:t>0</w:t>
      </w:r>
      <w:r w:rsidR="001367A2">
        <w:rPr>
          <w:sz w:val="18"/>
          <w:szCs w:val="18"/>
        </w:rPr>
        <w:t>0</w:t>
      </w:r>
      <w:r w:rsidR="00AE7CEB">
        <w:rPr>
          <w:sz w:val="18"/>
          <w:szCs w:val="18"/>
        </w:rPr>
        <w:t>, calculated as follows:</w:t>
      </w:r>
    </w:p>
    <w:p w:rsidR="00F02445" w:rsidRDefault="00F02445" w:rsidP="00AE7CEB">
      <w:pPr>
        <w:pStyle w:val="BodyTextIndent"/>
        <w:tabs>
          <w:tab w:val="clear" w:pos="450"/>
          <w:tab w:val="left" w:pos="540"/>
        </w:tabs>
        <w:ind w:left="0" w:firstLine="0"/>
        <w:rPr>
          <w:sz w:val="18"/>
          <w:szCs w:val="18"/>
        </w:rPr>
      </w:pPr>
    </w:p>
    <w:tbl>
      <w:tblPr>
        <w:tblStyle w:val="TableGrid"/>
        <w:tblW w:w="0" w:type="auto"/>
        <w:tblInd w:w="41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88"/>
        <w:gridCol w:w="547"/>
      </w:tblGrid>
      <w:tr w:rsidR="00F02445" w:rsidTr="001B0CAD">
        <w:trPr>
          <w:trHeight w:val="324"/>
        </w:trPr>
        <w:tc>
          <w:tcPr>
            <w:tcW w:w="4188" w:type="dxa"/>
            <w:tcBorders>
              <w:right w:val="nil"/>
            </w:tcBorders>
            <w:vAlign w:val="center"/>
          </w:tcPr>
          <w:p w:rsidR="00F02445" w:rsidRDefault="00F02445" w:rsidP="00F02445">
            <w:pPr>
              <w:pStyle w:val="BodyTextIndent"/>
              <w:tabs>
                <w:tab w:val="clear" w:pos="450"/>
              </w:tabs>
              <w:ind w:left="0" w:firstLine="0"/>
              <w:rPr>
                <w:sz w:val="18"/>
                <w:szCs w:val="18"/>
              </w:rPr>
            </w:pPr>
            <w:r>
              <w:rPr>
                <w:sz w:val="18"/>
                <w:szCs w:val="18"/>
              </w:rPr>
              <w:t>Form 2181 (Entity Responses)</w:t>
            </w:r>
          </w:p>
          <w:p w:rsidR="00F02445" w:rsidRDefault="00F02445" w:rsidP="00F02445">
            <w:pPr>
              <w:pStyle w:val="BodyTextIndent"/>
              <w:tabs>
                <w:tab w:val="clear" w:pos="450"/>
              </w:tabs>
              <w:ind w:left="0" w:firstLine="0"/>
              <w:rPr>
                <w:sz w:val="18"/>
                <w:szCs w:val="18"/>
              </w:rPr>
            </w:pPr>
            <w:r>
              <w:rPr>
                <w:sz w:val="18"/>
                <w:szCs w:val="18"/>
              </w:rPr>
              <w:t>Form 2182 (Exhibits A-F: Individual Responses)</w:t>
            </w:r>
          </w:p>
          <w:p w:rsidR="00F02445" w:rsidRDefault="00F02445" w:rsidP="00F02445">
            <w:pPr>
              <w:pStyle w:val="BodyTextIndent"/>
              <w:tabs>
                <w:tab w:val="clear" w:pos="450"/>
              </w:tabs>
              <w:ind w:left="0" w:firstLine="0"/>
              <w:rPr>
                <w:sz w:val="18"/>
                <w:szCs w:val="18"/>
              </w:rPr>
            </w:pPr>
            <w:r>
              <w:rPr>
                <w:sz w:val="18"/>
                <w:szCs w:val="18"/>
              </w:rPr>
              <w:t>Form 2182 (Exhibit G-J: Individual Response)</w:t>
            </w:r>
          </w:p>
          <w:p w:rsidR="00F02445" w:rsidRDefault="00F02445" w:rsidP="00F02445">
            <w:pPr>
              <w:pStyle w:val="BodyTextIndent"/>
              <w:tabs>
                <w:tab w:val="clear" w:pos="450"/>
              </w:tabs>
              <w:ind w:left="0" w:firstLine="0"/>
              <w:rPr>
                <w:sz w:val="18"/>
                <w:szCs w:val="18"/>
              </w:rPr>
            </w:pPr>
            <w:r>
              <w:rPr>
                <w:sz w:val="18"/>
                <w:szCs w:val="18"/>
              </w:rPr>
              <w:t>Form 2183 (Entity Responses)</w:t>
            </w:r>
          </w:p>
        </w:tc>
        <w:tc>
          <w:tcPr>
            <w:tcW w:w="547" w:type="dxa"/>
            <w:tcBorders>
              <w:top w:val="nil"/>
              <w:left w:val="nil"/>
              <w:bottom w:val="single" w:sz="4" w:space="0" w:color="auto"/>
            </w:tcBorders>
            <w:vAlign w:val="center"/>
          </w:tcPr>
          <w:p w:rsidR="00F02445" w:rsidRDefault="00F02445" w:rsidP="001B0CAD">
            <w:pPr>
              <w:pStyle w:val="BodyTextIndent"/>
              <w:tabs>
                <w:tab w:val="clear" w:pos="450"/>
              </w:tabs>
              <w:ind w:left="0" w:firstLine="0"/>
              <w:jc w:val="right"/>
              <w:rPr>
                <w:sz w:val="18"/>
                <w:szCs w:val="18"/>
              </w:rPr>
            </w:pPr>
            <w:r>
              <w:rPr>
                <w:sz w:val="18"/>
                <w:szCs w:val="18"/>
              </w:rPr>
              <w:t>50</w:t>
            </w:r>
          </w:p>
          <w:p w:rsidR="00F02445" w:rsidRDefault="00F02445" w:rsidP="001B0CAD">
            <w:pPr>
              <w:pStyle w:val="BodyTextIndent"/>
              <w:tabs>
                <w:tab w:val="clear" w:pos="450"/>
              </w:tabs>
              <w:ind w:left="0" w:firstLine="0"/>
              <w:jc w:val="right"/>
              <w:rPr>
                <w:sz w:val="18"/>
                <w:szCs w:val="18"/>
              </w:rPr>
            </w:pPr>
            <w:r>
              <w:rPr>
                <w:sz w:val="18"/>
                <w:szCs w:val="18"/>
              </w:rPr>
              <w:t>200</w:t>
            </w:r>
          </w:p>
          <w:p w:rsidR="00F02445" w:rsidRDefault="00F02445" w:rsidP="001B0CAD">
            <w:pPr>
              <w:pStyle w:val="BodyTextIndent"/>
              <w:tabs>
                <w:tab w:val="clear" w:pos="450"/>
              </w:tabs>
              <w:ind w:left="0" w:firstLine="0"/>
              <w:jc w:val="right"/>
              <w:rPr>
                <w:sz w:val="18"/>
                <w:szCs w:val="18"/>
              </w:rPr>
            </w:pPr>
            <w:r>
              <w:rPr>
                <w:sz w:val="18"/>
                <w:szCs w:val="18"/>
              </w:rPr>
              <w:t>120</w:t>
            </w:r>
          </w:p>
          <w:p w:rsidR="00F02445" w:rsidRDefault="00F02445" w:rsidP="000373A6">
            <w:pPr>
              <w:pStyle w:val="BodyTextIndent"/>
              <w:tabs>
                <w:tab w:val="clear" w:pos="450"/>
              </w:tabs>
              <w:ind w:left="0" w:firstLine="0"/>
              <w:jc w:val="right"/>
              <w:rPr>
                <w:sz w:val="18"/>
                <w:szCs w:val="18"/>
              </w:rPr>
            </w:pPr>
            <w:r>
              <w:rPr>
                <w:sz w:val="18"/>
                <w:szCs w:val="18"/>
              </w:rPr>
              <w:t>30</w:t>
            </w:r>
          </w:p>
        </w:tc>
      </w:tr>
      <w:tr w:rsidR="00F02445" w:rsidTr="001B0CAD">
        <w:trPr>
          <w:trHeight w:val="324"/>
        </w:trPr>
        <w:tc>
          <w:tcPr>
            <w:tcW w:w="4188" w:type="dxa"/>
            <w:tcBorders>
              <w:right w:val="nil"/>
            </w:tcBorders>
            <w:vAlign w:val="center"/>
          </w:tcPr>
          <w:p w:rsidR="00F02445" w:rsidRDefault="00F02445" w:rsidP="00F02445">
            <w:pPr>
              <w:pStyle w:val="BodyTextIndent"/>
              <w:tabs>
                <w:tab w:val="clear" w:pos="450"/>
              </w:tabs>
              <w:ind w:left="0" w:firstLine="0"/>
              <w:rPr>
                <w:sz w:val="18"/>
                <w:szCs w:val="18"/>
              </w:rPr>
            </w:pPr>
            <w:r>
              <w:rPr>
                <w:sz w:val="18"/>
                <w:szCs w:val="18"/>
              </w:rPr>
              <w:t>Total</w:t>
            </w:r>
          </w:p>
        </w:tc>
        <w:tc>
          <w:tcPr>
            <w:tcW w:w="547" w:type="dxa"/>
            <w:tcBorders>
              <w:top w:val="single" w:sz="4" w:space="0" w:color="auto"/>
              <w:left w:val="nil"/>
              <w:bottom w:val="nil"/>
            </w:tcBorders>
            <w:vAlign w:val="center"/>
          </w:tcPr>
          <w:p w:rsidR="00F02445" w:rsidRDefault="00F02445" w:rsidP="000373A6">
            <w:pPr>
              <w:pStyle w:val="BodyTextIndent"/>
              <w:tabs>
                <w:tab w:val="clear" w:pos="450"/>
              </w:tabs>
              <w:ind w:left="0" w:firstLine="0"/>
              <w:jc w:val="right"/>
              <w:rPr>
                <w:sz w:val="18"/>
                <w:szCs w:val="18"/>
              </w:rPr>
            </w:pPr>
            <w:r>
              <w:rPr>
                <w:sz w:val="18"/>
                <w:szCs w:val="18"/>
              </w:rPr>
              <w:t>4</w:t>
            </w:r>
            <w:r w:rsidR="000373A6">
              <w:rPr>
                <w:sz w:val="18"/>
                <w:szCs w:val="18"/>
              </w:rPr>
              <w:t>0</w:t>
            </w:r>
            <w:r>
              <w:rPr>
                <w:sz w:val="18"/>
                <w:szCs w:val="18"/>
              </w:rPr>
              <w:t>0</w:t>
            </w:r>
          </w:p>
        </w:tc>
      </w:tr>
    </w:tbl>
    <w:p w:rsidR="00AE7CEB" w:rsidRDefault="00AE7CEB" w:rsidP="00AE7CEB">
      <w:pPr>
        <w:pStyle w:val="BodyTextIndent"/>
        <w:tabs>
          <w:tab w:val="clear" w:pos="450"/>
        </w:tabs>
        <w:ind w:left="0" w:firstLine="0"/>
        <w:rPr>
          <w:sz w:val="18"/>
          <w:szCs w:val="18"/>
        </w:rPr>
      </w:pPr>
    </w:p>
    <w:p w:rsidR="003319F9" w:rsidRDefault="003319F9" w:rsidP="00F02445">
      <w:pPr>
        <w:pStyle w:val="BodyTextIndent"/>
        <w:tabs>
          <w:tab w:val="clear" w:pos="450"/>
        </w:tabs>
      </w:pPr>
      <w:r>
        <w:t>The cost to respondents of the estimated hour burden is shown in the following table:</w:t>
      </w:r>
    </w:p>
    <w:p w:rsidR="003319F9" w:rsidRDefault="003319F9" w:rsidP="003319F9">
      <w:pPr>
        <w:pStyle w:val="BodyTextIndent"/>
        <w:tabs>
          <w:tab w:val="clear" w:pos="450"/>
          <w:tab w:val="left" w:pos="540"/>
        </w:tabs>
        <w:ind w:left="1080" w:firstLine="0"/>
      </w:pPr>
    </w:p>
    <w:tbl>
      <w:tblPr>
        <w:tblW w:w="0" w:type="auto"/>
        <w:jc w:val="center"/>
        <w:tblCellMar>
          <w:left w:w="115" w:type="dxa"/>
          <w:right w:w="115" w:type="dxa"/>
        </w:tblCellMar>
        <w:tblLook w:val="04A0" w:firstRow="1" w:lastRow="0" w:firstColumn="1" w:lastColumn="0" w:noHBand="0" w:noVBand="1"/>
      </w:tblPr>
      <w:tblGrid>
        <w:gridCol w:w="2464"/>
        <w:gridCol w:w="1986"/>
        <w:gridCol w:w="1986"/>
        <w:gridCol w:w="1986"/>
      </w:tblGrid>
      <w:tr w:rsidR="009F7CE2" w:rsidTr="00CD529C">
        <w:trPr>
          <w:trHeight w:val="570"/>
          <w:jc w:val="center"/>
        </w:trPr>
        <w:tc>
          <w:tcPr>
            <w:tcW w:w="0" w:type="auto"/>
            <w:tcBorders>
              <w:top w:val="single" w:sz="4" w:space="0" w:color="auto"/>
              <w:left w:val="single" w:sz="4" w:space="0" w:color="auto"/>
              <w:bottom w:val="single" w:sz="8" w:space="0" w:color="auto"/>
              <w:right w:val="single" w:sz="4" w:space="0" w:color="auto"/>
            </w:tcBorders>
            <w:shd w:val="clear" w:color="000000" w:fill="FFFFFF"/>
            <w:vAlign w:val="bottom"/>
            <w:hideMark/>
          </w:tcPr>
          <w:p w:rsidR="009F7CE2" w:rsidRDefault="009F7CE2" w:rsidP="00CD529C">
            <w:pPr>
              <w:rPr>
                <w:rFonts w:ascii="Arial" w:hAnsi="Arial" w:cs="Arial"/>
                <w:b/>
                <w:bCs/>
                <w:color w:val="000000"/>
                <w:sz w:val="20"/>
                <w:szCs w:val="20"/>
              </w:rPr>
            </w:pPr>
            <w:r>
              <w:rPr>
                <w:rFonts w:ascii="Arial" w:hAnsi="Arial" w:cs="Arial"/>
                <w:b/>
                <w:bCs/>
                <w:color w:val="000000"/>
                <w:sz w:val="20"/>
                <w:szCs w:val="20"/>
              </w:rPr>
              <w:t>Form Number</w:t>
            </w:r>
          </w:p>
        </w:tc>
        <w:tc>
          <w:tcPr>
            <w:tcW w:w="1986" w:type="dxa"/>
            <w:tcBorders>
              <w:top w:val="single" w:sz="4" w:space="0" w:color="auto"/>
              <w:left w:val="nil"/>
              <w:bottom w:val="single" w:sz="8" w:space="0" w:color="auto"/>
              <w:right w:val="single" w:sz="4" w:space="0" w:color="auto"/>
            </w:tcBorders>
            <w:shd w:val="clear" w:color="000000" w:fill="FFFFFF"/>
            <w:vAlign w:val="bottom"/>
            <w:hideMark/>
          </w:tcPr>
          <w:p w:rsidR="009F7CE2" w:rsidRDefault="009F7CE2" w:rsidP="00CD529C">
            <w:pPr>
              <w:jc w:val="center"/>
              <w:rPr>
                <w:rFonts w:ascii="Arial" w:hAnsi="Arial" w:cs="Arial"/>
                <w:b/>
                <w:bCs/>
                <w:color w:val="000000"/>
                <w:sz w:val="20"/>
                <w:szCs w:val="20"/>
              </w:rPr>
            </w:pPr>
            <w:r>
              <w:rPr>
                <w:rFonts w:ascii="Arial" w:hAnsi="Arial" w:cs="Arial"/>
                <w:b/>
                <w:bCs/>
                <w:color w:val="000000"/>
                <w:sz w:val="20"/>
                <w:szCs w:val="20"/>
              </w:rPr>
              <w:t>(Total Hour Burden)</w:t>
            </w:r>
          </w:p>
        </w:tc>
        <w:tc>
          <w:tcPr>
            <w:tcW w:w="1986" w:type="dxa"/>
            <w:tcBorders>
              <w:top w:val="single" w:sz="4" w:space="0" w:color="auto"/>
              <w:left w:val="nil"/>
              <w:bottom w:val="single" w:sz="8" w:space="0" w:color="auto"/>
              <w:right w:val="single" w:sz="4" w:space="0" w:color="auto"/>
            </w:tcBorders>
            <w:shd w:val="clear" w:color="000000" w:fill="FFFFFF"/>
            <w:vAlign w:val="bottom"/>
            <w:hideMark/>
          </w:tcPr>
          <w:p w:rsidR="009F7CE2" w:rsidRDefault="009F7CE2" w:rsidP="009F7CE2">
            <w:pPr>
              <w:jc w:val="center"/>
              <w:rPr>
                <w:rFonts w:ascii="Arial" w:hAnsi="Arial" w:cs="Arial"/>
                <w:b/>
                <w:bCs/>
                <w:color w:val="000000"/>
                <w:sz w:val="20"/>
                <w:szCs w:val="20"/>
              </w:rPr>
            </w:pPr>
            <w:r>
              <w:rPr>
                <w:rFonts w:ascii="Arial" w:hAnsi="Arial" w:cs="Arial"/>
                <w:b/>
                <w:bCs/>
                <w:color w:val="000000"/>
                <w:sz w:val="20"/>
                <w:szCs w:val="20"/>
              </w:rPr>
              <w:t>x (Cost per Hour)</w:t>
            </w:r>
          </w:p>
        </w:tc>
        <w:tc>
          <w:tcPr>
            <w:tcW w:w="1986" w:type="dxa"/>
            <w:tcBorders>
              <w:top w:val="single" w:sz="4" w:space="0" w:color="auto"/>
              <w:left w:val="nil"/>
              <w:bottom w:val="single" w:sz="8" w:space="0" w:color="auto"/>
              <w:right w:val="single" w:sz="4" w:space="0" w:color="auto"/>
            </w:tcBorders>
            <w:shd w:val="clear" w:color="000000" w:fill="FFFFFF"/>
            <w:vAlign w:val="bottom"/>
            <w:hideMark/>
          </w:tcPr>
          <w:p w:rsidR="009F7CE2" w:rsidRDefault="009F7CE2" w:rsidP="009F7CE2">
            <w:pPr>
              <w:jc w:val="center"/>
              <w:rPr>
                <w:rFonts w:ascii="Arial" w:hAnsi="Arial" w:cs="Arial"/>
                <w:b/>
                <w:bCs/>
                <w:color w:val="000000"/>
                <w:sz w:val="20"/>
                <w:szCs w:val="20"/>
              </w:rPr>
            </w:pPr>
            <w:r>
              <w:rPr>
                <w:rFonts w:ascii="Arial" w:hAnsi="Arial" w:cs="Arial"/>
                <w:b/>
                <w:bCs/>
                <w:color w:val="000000"/>
                <w:sz w:val="20"/>
                <w:szCs w:val="20"/>
              </w:rPr>
              <w:t>= (Total Cost)</w:t>
            </w:r>
          </w:p>
        </w:tc>
      </w:tr>
      <w:tr w:rsidR="004C05D7" w:rsidTr="004C05D7">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C05D7" w:rsidRDefault="004C05D7" w:rsidP="009F7CE2">
            <w:pPr>
              <w:rPr>
                <w:rFonts w:ascii="Arial" w:hAnsi="Arial" w:cs="Arial"/>
                <w:color w:val="000000"/>
                <w:sz w:val="20"/>
                <w:szCs w:val="20"/>
              </w:rPr>
            </w:pPr>
            <w:r>
              <w:rPr>
                <w:rFonts w:ascii="Arial" w:hAnsi="Arial" w:cs="Arial"/>
                <w:color w:val="000000"/>
                <w:sz w:val="20"/>
                <w:szCs w:val="20"/>
              </w:rPr>
              <w:t>Form 2181</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1,650 </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$75 </w:t>
            </w:r>
          </w:p>
        </w:tc>
        <w:tc>
          <w:tcPr>
            <w:tcW w:w="1986" w:type="dxa"/>
            <w:tcBorders>
              <w:top w:val="nil"/>
              <w:left w:val="nil"/>
              <w:bottom w:val="single" w:sz="4" w:space="0" w:color="auto"/>
              <w:right w:val="single" w:sz="4" w:space="0" w:color="auto"/>
            </w:tcBorders>
            <w:shd w:val="clear" w:color="000000" w:fill="FFFFFF"/>
            <w:noWrap/>
            <w:vAlign w:val="center"/>
          </w:tcPr>
          <w:p w:rsidR="004C05D7" w:rsidRDefault="004C05D7">
            <w:pPr>
              <w:jc w:val="right"/>
              <w:rPr>
                <w:rFonts w:ascii="Arial" w:hAnsi="Arial" w:cs="Arial"/>
                <w:sz w:val="20"/>
                <w:szCs w:val="20"/>
              </w:rPr>
            </w:pPr>
            <w:r>
              <w:rPr>
                <w:rFonts w:ascii="Arial" w:hAnsi="Arial" w:cs="Arial"/>
                <w:sz w:val="20"/>
                <w:szCs w:val="20"/>
              </w:rPr>
              <w:t xml:space="preserve">$123,750 </w:t>
            </w:r>
          </w:p>
        </w:tc>
      </w:tr>
      <w:tr w:rsidR="004C05D7" w:rsidTr="004C05D7">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C05D7" w:rsidRDefault="004C05D7" w:rsidP="009F7CE2">
            <w:pPr>
              <w:rPr>
                <w:rFonts w:ascii="Arial" w:hAnsi="Arial" w:cs="Arial"/>
                <w:color w:val="000000"/>
                <w:sz w:val="20"/>
                <w:szCs w:val="20"/>
              </w:rPr>
            </w:pPr>
            <w:r>
              <w:rPr>
                <w:rFonts w:ascii="Arial" w:hAnsi="Arial" w:cs="Arial"/>
                <w:color w:val="000000"/>
                <w:sz w:val="20"/>
                <w:szCs w:val="20"/>
              </w:rPr>
              <w:t>Form 2182 (Exhibits A-F)</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4,400 </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$75 </w:t>
            </w:r>
          </w:p>
        </w:tc>
        <w:tc>
          <w:tcPr>
            <w:tcW w:w="1986" w:type="dxa"/>
            <w:tcBorders>
              <w:top w:val="nil"/>
              <w:left w:val="nil"/>
              <w:bottom w:val="single" w:sz="4" w:space="0" w:color="auto"/>
              <w:right w:val="single" w:sz="4" w:space="0" w:color="auto"/>
            </w:tcBorders>
            <w:shd w:val="clear" w:color="000000" w:fill="FFFFFF"/>
            <w:noWrap/>
            <w:vAlign w:val="center"/>
          </w:tcPr>
          <w:p w:rsidR="004C05D7" w:rsidRDefault="004C05D7">
            <w:pPr>
              <w:jc w:val="right"/>
              <w:rPr>
                <w:rFonts w:ascii="Arial" w:hAnsi="Arial" w:cs="Arial"/>
                <w:sz w:val="20"/>
                <w:szCs w:val="20"/>
              </w:rPr>
            </w:pPr>
            <w:r>
              <w:rPr>
                <w:rFonts w:ascii="Arial" w:hAnsi="Arial" w:cs="Arial"/>
                <w:sz w:val="20"/>
                <w:szCs w:val="20"/>
              </w:rPr>
              <w:t xml:space="preserve">$330,000 </w:t>
            </w:r>
          </w:p>
        </w:tc>
      </w:tr>
      <w:tr w:rsidR="004C05D7" w:rsidTr="004C05D7">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C05D7" w:rsidRDefault="004C05D7" w:rsidP="009F7CE2">
            <w:pPr>
              <w:rPr>
                <w:rFonts w:ascii="Arial" w:hAnsi="Arial" w:cs="Arial"/>
                <w:color w:val="000000"/>
                <w:sz w:val="20"/>
                <w:szCs w:val="20"/>
              </w:rPr>
            </w:pPr>
            <w:r>
              <w:rPr>
                <w:rFonts w:ascii="Arial" w:hAnsi="Arial" w:cs="Arial"/>
                <w:color w:val="000000"/>
                <w:sz w:val="20"/>
                <w:szCs w:val="20"/>
              </w:rPr>
              <w:lastRenderedPageBreak/>
              <w:t>Form 2182 (Exhibits G-J)</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120 </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$75 </w:t>
            </w:r>
          </w:p>
        </w:tc>
        <w:tc>
          <w:tcPr>
            <w:tcW w:w="1986" w:type="dxa"/>
            <w:tcBorders>
              <w:top w:val="nil"/>
              <w:left w:val="nil"/>
              <w:bottom w:val="single" w:sz="4" w:space="0" w:color="auto"/>
              <w:right w:val="single" w:sz="4" w:space="0" w:color="auto"/>
            </w:tcBorders>
            <w:shd w:val="clear" w:color="000000" w:fill="FFFFFF"/>
            <w:noWrap/>
            <w:vAlign w:val="center"/>
          </w:tcPr>
          <w:p w:rsidR="004C05D7" w:rsidRDefault="004C05D7">
            <w:pPr>
              <w:jc w:val="right"/>
              <w:rPr>
                <w:rFonts w:ascii="Arial" w:hAnsi="Arial" w:cs="Arial"/>
                <w:sz w:val="20"/>
                <w:szCs w:val="20"/>
              </w:rPr>
            </w:pPr>
            <w:r>
              <w:rPr>
                <w:rFonts w:ascii="Arial" w:hAnsi="Arial" w:cs="Arial"/>
                <w:sz w:val="20"/>
                <w:szCs w:val="20"/>
              </w:rPr>
              <w:t xml:space="preserve">$9,000 </w:t>
            </w:r>
          </w:p>
        </w:tc>
      </w:tr>
      <w:tr w:rsidR="004C05D7" w:rsidTr="004C05D7">
        <w:trPr>
          <w:trHeight w:val="255"/>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C05D7" w:rsidRDefault="004C05D7" w:rsidP="00CD529C">
            <w:pPr>
              <w:rPr>
                <w:rFonts w:ascii="Arial" w:hAnsi="Arial" w:cs="Arial"/>
                <w:color w:val="000000"/>
                <w:sz w:val="20"/>
                <w:szCs w:val="20"/>
              </w:rPr>
            </w:pPr>
            <w:r>
              <w:rPr>
                <w:rFonts w:ascii="Arial" w:hAnsi="Arial" w:cs="Arial"/>
                <w:color w:val="000000"/>
                <w:sz w:val="20"/>
                <w:szCs w:val="20"/>
              </w:rPr>
              <w:t>Form 2183 – Entity</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0373A6">
            <w:pPr>
              <w:jc w:val="right"/>
              <w:rPr>
                <w:rFonts w:ascii="Arial" w:hAnsi="Arial" w:cs="Arial"/>
                <w:sz w:val="20"/>
                <w:szCs w:val="20"/>
              </w:rPr>
            </w:pPr>
            <w:r>
              <w:rPr>
                <w:rFonts w:ascii="Arial" w:hAnsi="Arial" w:cs="Arial"/>
                <w:sz w:val="20"/>
                <w:szCs w:val="20"/>
              </w:rPr>
              <w:t>1,200</w:t>
            </w:r>
            <w:r w:rsidR="004C05D7">
              <w:rPr>
                <w:rFonts w:ascii="Arial" w:hAnsi="Arial" w:cs="Arial"/>
                <w:sz w:val="20"/>
                <w:szCs w:val="20"/>
              </w:rPr>
              <w:t xml:space="preserve"> </w:t>
            </w:r>
          </w:p>
        </w:tc>
        <w:tc>
          <w:tcPr>
            <w:tcW w:w="1986" w:type="dxa"/>
            <w:tcBorders>
              <w:top w:val="nil"/>
              <w:left w:val="nil"/>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$75 </w:t>
            </w:r>
          </w:p>
        </w:tc>
        <w:tc>
          <w:tcPr>
            <w:tcW w:w="1986" w:type="dxa"/>
            <w:tcBorders>
              <w:top w:val="nil"/>
              <w:left w:val="nil"/>
              <w:bottom w:val="single" w:sz="4" w:space="0" w:color="auto"/>
              <w:right w:val="single" w:sz="4" w:space="0" w:color="auto"/>
            </w:tcBorders>
            <w:shd w:val="clear" w:color="000000" w:fill="FFFFFF"/>
            <w:noWrap/>
            <w:vAlign w:val="center"/>
          </w:tcPr>
          <w:p w:rsidR="004C05D7" w:rsidRDefault="004C05D7" w:rsidP="000373A6">
            <w:pPr>
              <w:jc w:val="right"/>
              <w:rPr>
                <w:rFonts w:ascii="Arial" w:hAnsi="Arial" w:cs="Arial"/>
                <w:sz w:val="20"/>
                <w:szCs w:val="20"/>
              </w:rPr>
            </w:pPr>
            <w:r>
              <w:rPr>
                <w:rFonts w:ascii="Arial" w:hAnsi="Arial" w:cs="Arial"/>
                <w:sz w:val="20"/>
                <w:szCs w:val="20"/>
              </w:rPr>
              <w:t>$</w:t>
            </w:r>
            <w:r w:rsidR="000373A6">
              <w:rPr>
                <w:rFonts w:ascii="Arial" w:hAnsi="Arial" w:cs="Arial"/>
                <w:sz w:val="20"/>
                <w:szCs w:val="20"/>
              </w:rPr>
              <w:t>90</w:t>
            </w:r>
            <w:r>
              <w:rPr>
                <w:rFonts w:ascii="Arial" w:hAnsi="Arial" w:cs="Arial"/>
                <w:sz w:val="20"/>
                <w:szCs w:val="20"/>
              </w:rPr>
              <w:t xml:space="preserve">,000 </w:t>
            </w:r>
          </w:p>
        </w:tc>
      </w:tr>
      <w:tr w:rsidR="004C05D7" w:rsidTr="004C05D7">
        <w:trPr>
          <w:trHeight w:val="255"/>
          <w:jc w:val="center"/>
        </w:trPr>
        <w:tc>
          <w:tcPr>
            <w:tcW w:w="0" w:type="auto"/>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4C05D7" w:rsidRDefault="004C05D7" w:rsidP="009F7CE2">
            <w:pPr>
              <w:rPr>
                <w:rFonts w:ascii="Arial" w:hAnsi="Arial" w:cs="Arial"/>
                <w:color w:val="000000"/>
                <w:sz w:val="20"/>
                <w:szCs w:val="20"/>
              </w:rPr>
            </w:pPr>
            <w:r>
              <w:rPr>
                <w:rFonts w:ascii="Arial" w:hAnsi="Arial" w:cs="Arial"/>
                <w:color w:val="000000"/>
                <w:sz w:val="20"/>
                <w:szCs w:val="20"/>
              </w:rPr>
              <w:t>TOTAL:</w:t>
            </w:r>
          </w:p>
        </w:tc>
        <w:tc>
          <w:tcPr>
            <w:tcW w:w="1986" w:type="dxa"/>
            <w:tcBorders>
              <w:top w:val="single" w:sz="12" w:space="0" w:color="auto"/>
              <w:left w:val="single" w:sz="4" w:space="0" w:color="auto"/>
              <w:bottom w:val="single" w:sz="4" w:space="0" w:color="auto"/>
              <w:right w:val="nil"/>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7,370 </w:t>
            </w:r>
          </w:p>
        </w:tc>
        <w:tc>
          <w:tcPr>
            <w:tcW w:w="1986"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4C05D7" w:rsidRDefault="004C05D7">
            <w:pPr>
              <w:jc w:val="right"/>
              <w:rPr>
                <w:rFonts w:ascii="Arial" w:hAnsi="Arial" w:cs="Arial"/>
                <w:sz w:val="20"/>
                <w:szCs w:val="20"/>
              </w:rPr>
            </w:pPr>
            <w:r>
              <w:rPr>
                <w:rFonts w:ascii="Arial" w:hAnsi="Arial" w:cs="Arial"/>
                <w:sz w:val="20"/>
                <w:szCs w:val="20"/>
              </w:rPr>
              <w:t xml:space="preserve">$75 </w:t>
            </w:r>
          </w:p>
        </w:tc>
        <w:tc>
          <w:tcPr>
            <w:tcW w:w="1986" w:type="dxa"/>
            <w:tcBorders>
              <w:top w:val="single" w:sz="12" w:space="0" w:color="auto"/>
              <w:left w:val="nil"/>
              <w:bottom w:val="single" w:sz="4" w:space="0" w:color="auto"/>
              <w:right w:val="single" w:sz="4" w:space="0" w:color="auto"/>
            </w:tcBorders>
            <w:shd w:val="clear" w:color="000000" w:fill="FFFFFF"/>
            <w:noWrap/>
            <w:vAlign w:val="center"/>
          </w:tcPr>
          <w:p w:rsidR="004C05D7" w:rsidRDefault="004C05D7">
            <w:pPr>
              <w:jc w:val="right"/>
              <w:rPr>
                <w:rFonts w:ascii="Arial" w:hAnsi="Arial" w:cs="Arial"/>
                <w:sz w:val="20"/>
                <w:szCs w:val="20"/>
              </w:rPr>
            </w:pPr>
            <w:r>
              <w:rPr>
                <w:rFonts w:ascii="Arial" w:hAnsi="Arial" w:cs="Arial"/>
                <w:sz w:val="20"/>
                <w:szCs w:val="20"/>
              </w:rPr>
              <w:t xml:space="preserve">$552,750 </w:t>
            </w:r>
          </w:p>
        </w:tc>
      </w:tr>
    </w:tbl>
    <w:p w:rsidR="003319F9" w:rsidRDefault="003319F9" w:rsidP="003319F9">
      <w:pPr>
        <w:pStyle w:val="BodyTextIndent"/>
        <w:tabs>
          <w:tab w:val="clear" w:pos="450"/>
          <w:tab w:val="left" w:pos="540"/>
        </w:tabs>
        <w:ind w:left="1080" w:firstLine="0"/>
      </w:pPr>
    </w:p>
    <w:p w:rsidR="003319F9" w:rsidRDefault="003319F9" w:rsidP="00F14256">
      <w:pPr>
        <w:pStyle w:val="BodyTextIndent"/>
        <w:tabs>
          <w:tab w:val="clear" w:pos="450"/>
        </w:tabs>
        <w:ind w:left="360" w:firstLine="0"/>
      </w:pPr>
      <w:r>
        <w:t>The cost per hour is based on estimated annual compensation of $150,000 per year for venture fund professionals who would be preparing the forms.</w:t>
      </w:r>
    </w:p>
    <w:p w:rsidR="003319F9" w:rsidRDefault="003319F9" w:rsidP="009F7CE2">
      <w:pPr>
        <w:pStyle w:val="BodyTextIndent"/>
        <w:tabs>
          <w:tab w:val="clear" w:pos="450"/>
          <w:tab w:val="left" w:pos="-2790"/>
        </w:tabs>
      </w:pPr>
    </w:p>
    <w:p w:rsidR="009F7CE2" w:rsidRDefault="0018709D" w:rsidP="0018709D">
      <w:pPr>
        <w:pStyle w:val="BodyTextIndent"/>
        <w:numPr>
          <w:ilvl w:val="0"/>
          <w:numId w:val="5"/>
        </w:numPr>
        <w:tabs>
          <w:tab w:val="clear" w:pos="450"/>
          <w:tab w:val="left" w:pos="-2790"/>
        </w:tabs>
        <w:spacing w:after="120"/>
        <w:ind w:left="360" w:hanging="360"/>
        <w:rPr>
          <w:u w:val="single"/>
        </w:rPr>
      </w:pPr>
      <w:r w:rsidRPr="0018709D">
        <w:rPr>
          <w:u w:val="single"/>
        </w:rPr>
        <w:t>Estimate the total annual cost burden.</w:t>
      </w:r>
    </w:p>
    <w:p w:rsidR="0018709D" w:rsidRPr="0018709D" w:rsidRDefault="0018709D" w:rsidP="0018709D">
      <w:pPr>
        <w:pStyle w:val="BodyTextIndent"/>
        <w:numPr>
          <w:ilvl w:val="0"/>
          <w:numId w:val="7"/>
        </w:numPr>
        <w:tabs>
          <w:tab w:val="clear" w:pos="450"/>
          <w:tab w:val="left" w:pos="-2790"/>
        </w:tabs>
        <w:spacing w:after="120"/>
        <w:rPr>
          <w:u w:val="single"/>
        </w:rPr>
      </w:pPr>
      <w:r>
        <w:t>There are no capital or start-up costs to respondents.</w:t>
      </w:r>
    </w:p>
    <w:p w:rsidR="0018709D" w:rsidRPr="00F3315D" w:rsidRDefault="0018709D" w:rsidP="0018709D">
      <w:pPr>
        <w:pStyle w:val="BodyTextIndent"/>
        <w:numPr>
          <w:ilvl w:val="0"/>
          <w:numId w:val="7"/>
        </w:numPr>
        <w:tabs>
          <w:tab w:val="clear" w:pos="450"/>
          <w:tab w:val="left" w:pos="-2790"/>
        </w:tabs>
        <w:spacing w:after="120"/>
        <w:rPr>
          <w:u w:val="single"/>
        </w:rPr>
      </w:pPr>
      <w:r>
        <w:t>The annual cost burden for the purchase of services resulting from the collection of information is estimated as follows:</w:t>
      </w:r>
    </w:p>
    <w:tbl>
      <w:tblPr>
        <w:tblW w:w="5000" w:type="pct"/>
        <w:tblLook w:val="04A0" w:firstRow="1" w:lastRow="0" w:firstColumn="1" w:lastColumn="0" w:noHBand="0" w:noVBand="1"/>
      </w:tblPr>
      <w:tblGrid>
        <w:gridCol w:w="3877"/>
        <w:gridCol w:w="1406"/>
        <w:gridCol w:w="1407"/>
        <w:gridCol w:w="1407"/>
        <w:gridCol w:w="1407"/>
      </w:tblGrid>
      <w:tr w:rsidR="00EC0FC8" w:rsidTr="00EC0FC8">
        <w:trPr>
          <w:trHeight w:val="255"/>
        </w:trPr>
        <w:tc>
          <w:tcPr>
            <w:tcW w:w="2040" w:type="pct"/>
            <w:tcBorders>
              <w:top w:val="single" w:sz="4" w:space="0" w:color="auto"/>
              <w:left w:val="single" w:sz="4" w:space="0" w:color="auto"/>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rPr>
                <w:rFonts w:ascii="Arial" w:hAnsi="Arial" w:cs="Arial"/>
                <w:b/>
                <w:bCs/>
                <w:color w:val="000000"/>
                <w:sz w:val="20"/>
                <w:szCs w:val="20"/>
              </w:rPr>
            </w:pPr>
            <w:r>
              <w:rPr>
                <w:rFonts w:ascii="Arial" w:hAnsi="Arial" w:cs="Arial"/>
                <w:b/>
                <w:bCs/>
                <w:color w:val="000000"/>
                <w:sz w:val="20"/>
                <w:szCs w:val="20"/>
              </w:rPr>
              <w:t>Expense</w:t>
            </w:r>
          </w:p>
        </w:tc>
        <w:tc>
          <w:tcPr>
            <w:tcW w:w="740" w:type="pct"/>
            <w:tcBorders>
              <w:top w:val="single" w:sz="4" w:space="0" w:color="auto"/>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center"/>
              <w:rPr>
                <w:rFonts w:ascii="Arial" w:hAnsi="Arial" w:cs="Arial"/>
                <w:b/>
                <w:bCs/>
                <w:color w:val="000000"/>
                <w:sz w:val="20"/>
                <w:szCs w:val="20"/>
              </w:rPr>
            </w:pPr>
            <w:r>
              <w:rPr>
                <w:rFonts w:ascii="Arial" w:hAnsi="Arial" w:cs="Arial"/>
                <w:b/>
                <w:bCs/>
                <w:color w:val="000000"/>
                <w:sz w:val="20"/>
                <w:szCs w:val="20"/>
              </w:rPr>
              <w:t>Form 2181</w:t>
            </w:r>
          </w:p>
        </w:tc>
        <w:tc>
          <w:tcPr>
            <w:tcW w:w="740" w:type="pct"/>
            <w:tcBorders>
              <w:top w:val="single" w:sz="4" w:space="0" w:color="auto"/>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center"/>
              <w:rPr>
                <w:rFonts w:ascii="Arial" w:hAnsi="Arial" w:cs="Arial"/>
                <w:b/>
                <w:bCs/>
                <w:color w:val="000000"/>
                <w:sz w:val="20"/>
                <w:szCs w:val="20"/>
              </w:rPr>
            </w:pPr>
            <w:r>
              <w:rPr>
                <w:rFonts w:ascii="Arial" w:hAnsi="Arial" w:cs="Arial"/>
                <w:b/>
                <w:bCs/>
                <w:color w:val="000000"/>
                <w:sz w:val="20"/>
                <w:szCs w:val="20"/>
              </w:rPr>
              <w:t>Form 2182</w:t>
            </w:r>
          </w:p>
        </w:tc>
        <w:tc>
          <w:tcPr>
            <w:tcW w:w="740" w:type="pct"/>
            <w:tcBorders>
              <w:top w:val="single" w:sz="4" w:space="0" w:color="auto"/>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center"/>
              <w:rPr>
                <w:rFonts w:ascii="Arial" w:hAnsi="Arial" w:cs="Arial"/>
                <w:b/>
                <w:bCs/>
                <w:color w:val="000000"/>
                <w:sz w:val="20"/>
                <w:szCs w:val="20"/>
              </w:rPr>
            </w:pPr>
            <w:r>
              <w:rPr>
                <w:rFonts w:ascii="Arial" w:hAnsi="Arial" w:cs="Arial"/>
                <w:b/>
                <w:bCs/>
                <w:color w:val="000000"/>
                <w:sz w:val="20"/>
                <w:szCs w:val="20"/>
              </w:rPr>
              <w:t>Form 2183</w:t>
            </w:r>
          </w:p>
        </w:tc>
        <w:tc>
          <w:tcPr>
            <w:tcW w:w="740" w:type="pct"/>
            <w:tcBorders>
              <w:top w:val="single" w:sz="4" w:space="0" w:color="auto"/>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center"/>
              <w:rPr>
                <w:rFonts w:ascii="Arial" w:hAnsi="Arial" w:cs="Arial"/>
                <w:b/>
                <w:bCs/>
                <w:color w:val="000000"/>
                <w:sz w:val="20"/>
                <w:szCs w:val="20"/>
              </w:rPr>
            </w:pPr>
            <w:r>
              <w:rPr>
                <w:rFonts w:ascii="Arial" w:hAnsi="Arial" w:cs="Arial"/>
                <w:b/>
                <w:bCs/>
                <w:color w:val="000000"/>
                <w:sz w:val="20"/>
                <w:szCs w:val="20"/>
              </w:rPr>
              <w:t>Total</w:t>
            </w:r>
          </w:p>
        </w:tc>
      </w:tr>
      <w:tr w:rsidR="00EC0FC8" w:rsidTr="00EC0FC8">
        <w:trPr>
          <w:trHeight w:val="255"/>
        </w:trPr>
        <w:tc>
          <w:tcPr>
            <w:tcW w:w="2040" w:type="pct"/>
            <w:tcBorders>
              <w:top w:val="nil"/>
              <w:left w:val="single" w:sz="4" w:space="0" w:color="auto"/>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rPr>
                <w:rFonts w:ascii="Arial" w:hAnsi="Arial" w:cs="Arial"/>
                <w:color w:val="000000"/>
                <w:sz w:val="20"/>
                <w:szCs w:val="20"/>
              </w:rPr>
            </w:pPr>
            <w:r>
              <w:rPr>
                <w:rFonts w:ascii="Arial" w:hAnsi="Arial" w:cs="Arial"/>
                <w:color w:val="000000"/>
                <w:sz w:val="20"/>
                <w:szCs w:val="20"/>
              </w:rPr>
              <w:t>Attorney Fees</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$10,000 </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$0 </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rsidP="001B0CAD">
            <w:pPr>
              <w:jc w:val="right"/>
              <w:rPr>
                <w:rFonts w:ascii="Arial" w:hAnsi="Arial" w:cs="Arial"/>
                <w:color w:val="000000"/>
                <w:sz w:val="20"/>
                <w:szCs w:val="20"/>
              </w:rPr>
            </w:pPr>
            <w:r>
              <w:rPr>
                <w:rFonts w:ascii="Arial" w:hAnsi="Arial" w:cs="Arial"/>
                <w:color w:val="000000"/>
                <w:sz w:val="20"/>
                <w:szCs w:val="20"/>
              </w:rPr>
              <w:t xml:space="preserve">$165,000 </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rsidP="001B0CAD">
            <w:pPr>
              <w:jc w:val="right"/>
              <w:rPr>
                <w:rFonts w:ascii="Arial" w:hAnsi="Arial" w:cs="Arial"/>
                <w:color w:val="000000"/>
                <w:sz w:val="20"/>
                <w:szCs w:val="20"/>
              </w:rPr>
            </w:pPr>
            <w:r>
              <w:rPr>
                <w:rFonts w:ascii="Arial" w:hAnsi="Arial" w:cs="Arial"/>
                <w:color w:val="000000"/>
                <w:sz w:val="20"/>
                <w:szCs w:val="20"/>
              </w:rPr>
              <w:t xml:space="preserve">$175,000 </w:t>
            </w:r>
          </w:p>
        </w:tc>
      </w:tr>
      <w:tr w:rsidR="00EC0FC8" w:rsidTr="00EC0FC8">
        <w:trPr>
          <w:trHeight w:val="255"/>
        </w:trPr>
        <w:tc>
          <w:tcPr>
            <w:tcW w:w="2040" w:type="pct"/>
            <w:tcBorders>
              <w:top w:val="nil"/>
              <w:left w:val="single" w:sz="4" w:space="0" w:color="auto"/>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rPr>
                <w:rFonts w:ascii="Arial" w:hAnsi="Arial" w:cs="Arial"/>
                <w:color w:val="000000"/>
                <w:sz w:val="20"/>
                <w:szCs w:val="20"/>
              </w:rPr>
            </w:pPr>
            <w:r>
              <w:rPr>
                <w:rFonts w:ascii="Arial" w:hAnsi="Arial" w:cs="Arial"/>
                <w:color w:val="000000"/>
                <w:sz w:val="20"/>
                <w:szCs w:val="20"/>
              </w:rPr>
              <w:t>Accounting/financial advisory fees</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$5,000 </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$0 </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$5,000 </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$10,000 </w:t>
            </w:r>
          </w:p>
        </w:tc>
      </w:tr>
      <w:tr w:rsidR="00EC0FC8" w:rsidTr="00EC0FC8">
        <w:trPr>
          <w:trHeight w:val="255"/>
        </w:trPr>
        <w:tc>
          <w:tcPr>
            <w:tcW w:w="2040" w:type="pct"/>
            <w:tcBorders>
              <w:top w:val="nil"/>
              <w:left w:val="single" w:sz="4" w:space="0" w:color="auto"/>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rPr>
                <w:rFonts w:ascii="Arial" w:hAnsi="Arial" w:cs="Arial"/>
                <w:color w:val="000000"/>
                <w:sz w:val="20"/>
                <w:szCs w:val="20"/>
              </w:rPr>
            </w:pPr>
            <w:r>
              <w:rPr>
                <w:rFonts w:ascii="Arial" w:hAnsi="Arial" w:cs="Arial"/>
                <w:color w:val="000000"/>
                <w:sz w:val="20"/>
                <w:szCs w:val="20"/>
              </w:rPr>
              <w:t>State filing fees</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$0 </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$0 </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$2,000 </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$2,000 </w:t>
            </w:r>
          </w:p>
        </w:tc>
      </w:tr>
      <w:tr w:rsidR="00EC0FC8" w:rsidTr="00EC0FC8">
        <w:trPr>
          <w:trHeight w:val="270"/>
        </w:trPr>
        <w:tc>
          <w:tcPr>
            <w:tcW w:w="2040" w:type="pct"/>
            <w:tcBorders>
              <w:top w:val="single" w:sz="4" w:space="0" w:color="auto"/>
              <w:left w:val="single" w:sz="4" w:space="0" w:color="auto"/>
              <w:bottom w:val="single" w:sz="12"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rPr>
                <w:rFonts w:ascii="Arial" w:hAnsi="Arial" w:cs="Arial"/>
                <w:color w:val="000000"/>
                <w:sz w:val="20"/>
                <w:szCs w:val="20"/>
              </w:rPr>
            </w:pPr>
            <w:r>
              <w:rPr>
                <w:rFonts w:ascii="Arial" w:hAnsi="Arial" w:cs="Arial"/>
                <w:color w:val="000000"/>
                <w:sz w:val="20"/>
                <w:szCs w:val="20"/>
              </w:rPr>
              <w:t>*SBA application fee</w:t>
            </w:r>
          </w:p>
        </w:tc>
        <w:tc>
          <w:tcPr>
            <w:tcW w:w="740" w:type="pct"/>
            <w:tcBorders>
              <w:top w:val="single" w:sz="4" w:space="0" w:color="auto"/>
              <w:left w:val="nil"/>
              <w:bottom w:val="single" w:sz="12"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$0 </w:t>
            </w:r>
          </w:p>
        </w:tc>
        <w:tc>
          <w:tcPr>
            <w:tcW w:w="740" w:type="pct"/>
            <w:tcBorders>
              <w:top w:val="single" w:sz="4" w:space="0" w:color="auto"/>
              <w:left w:val="nil"/>
              <w:bottom w:val="single" w:sz="12"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$0 </w:t>
            </w:r>
          </w:p>
        </w:tc>
        <w:tc>
          <w:tcPr>
            <w:tcW w:w="740" w:type="pct"/>
            <w:tcBorders>
              <w:top w:val="single" w:sz="4" w:space="0" w:color="auto"/>
              <w:left w:val="nil"/>
              <w:bottom w:val="single" w:sz="12"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$15,000 </w:t>
            </w:r>
          </w:p>
        </w:tc>
        <w:tc>
          <w:tcPr>
            <w:tcW w:w="740" w:type="pct"/>
            <w:tcBorders>
              <w:top w:val="single" w:sz="4" w:space="0" w:color="auto"/>
              <w:left w:val="nil"/>
              <w:bottom w:val="single" w:sz="12"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$15,000 </w:t>
            </w:r>
          </w:p>
        </w:tc>
      </w:tr>
      <w:tr w:rsidR="00EC0FC8" w:rsidTr="00EC0FC8">
        <w:trPr>
          <w:trHeight w:val="255"/>
        </w:trPr>
        <w:tc>
          <w:tcPr>
            <w:tcW w:w="2040" w:type="pct"/>
            <w:tcBorders>
              <w:top w:val="single" w:sz="12" w:space="0" w:color="auto"/>
              <w:left w:val="single" w:sz="4" w:space="0" w:color="auto"/>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rPr>
                <w:rFonts w:ascii="Arial" w:hAnsi="Arial" w:cs="Arial"/>
                <w:color w:val="000000"/>
                <w:sz w:val="20"/>
                <w:szCs w:val="20"/>
              </w:rPr>
            </w:pPr>
            <w:r>
              <w:rPr>
                <w:rFonts w:ascii="Arial" w:hAnsi="Arial" w:cs="Arial"/>
                <w:color w:val="000000"/>
                <w:sz w:val="20"/>
                <w:szCs w:val="20"/>
              </w:rPr>
              <w:t>Total cost per response</w:t>
            </w:r>
          </w:p>
        </w:tc>
        <w:tc>
          <w:tcPr>
            <w:tcW w:w="740" w:type="pct"/>
            <w:tcBorders>
              <w:top w:val="single" w:sz="12" w:space="0" w:color="auto"/>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$15,000 </w:t>
            </w:r>
          </w:p>
        </w:tc>
        <w:tc>
          <w:tcPr>
            <w:tcW w:w="740" w:type="pct"/>
            <w:tcBorders>
              <w:top w:val="single" w:sz="12" w:space="0" w:color="auto"/>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$0 </w:t>
            </w:r>
          </w:p>
        </w:tc>
        <w:tc>
          <w:tcPr>
            <w:tcW w:w="740" w:type="pct"/>
            <w:tcBorders>
              <w:top w:val="single" w:sz="12" w:space="0" w:color="auto"/>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rsidP="009A4A24">
            <w:pPr>
              <w:jc w:val="right"/>
              <w:rPr>
                <w:rFonts w:ascii="Arial" w:hAnsi="Arial" w:cs="Arial"/>
                <w:color w:val="000000"/>
                <w:sz w:val="20"/>
                <w:szCs w:val="20"/>
              </w:rPr>
            </w:pPr>
            <w:r>
              <w:rPr>
                <w:rFonts w:ascii="Arial" w:hAnsi="Arial" w:cs="Arial"/>
                <w:color w:val="000000"/>
                <w:sz w:val="20"/>
                <w:szCs w:val="20"/>
              </w:rPr>
              <w:t xml:space="preserve">$187,000 </w:t>
            </w:r>
          </w:p>
        </w:tc>
        <w:tc>
          <w:tcPr>
            <w:tcW w:w="740" w:type="pct"/>
            <w:tcBorders>
              <w:top w:val="single" w:sz="12" w:space="0" w:color="auto"/>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rsidP="009A4A24">
            <w:pPr>
              <w:jc w:val="right"/>
              <w:rPr>
                <w:rFonts w:ascii="Arial" w:hAnsi="Arial" w:cs="Arial"/>
                <w:color w:val="000000"/>
                <w:sz w:val="20"/>
                <w:szCs w:val="20"/>
              </w:rPr>
            </w:pPr>
            <w:r>
              <w:rPr>
                <w:rFonts w:ascii="Arial" w:hAnsi="Arial" w:cs="Arial"/>
                <w:color w:val="000000"/>
                <w:sz w:val="20"/>
                <w:szCs w:val="20"/>
              </w:rPr>
              <w:t>- -</w:t>
            </w:r>
          </w:p>
        </w:tc>
      </w:tr>
      <w:tr w:rsidR="00EC0FC8" w:rsidTr="00EC0FC8">
        <w:trPr>
          <w:trHeight w:val="270"/>
        </w:trPr>
        <w:tc>
          <w:tcPr>
            <w:tcW w:w="2040" w:type="pct"/>
            <w:tcBorders>
              <w:top w:val="nil"/>
              <w:left w:val="single" w:sz="4" w:space="0" w:color="auto"/>
              <w:bottom w:val="double" w:sz="6"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rPr>
                <w:rFonts w:ascii="Arial" w:hAnsi="Arial" w:cs="Arial"/>
                <w:color w:val="000000"/>
                <w:sz w:val="20"/>
                <w:szCs w:val="20"/>
              </w:rPr>
            </w:pPr>
            <w:r>
              <w:rPr>
                <w:rFonts w:ascii="Arial" w:hAnsi="Arial" w:cs="Arial"/>
                <w:color w:val="000000"/>
                <w:sz w:val="20"/>
                <w:szCs w:val="20"/>
              </w:rPr>
              <w:t>Estimated No. of Responses</w:t>
            </w:r>
          </w:p>
        </w:tc>
        <w:tc>
          <w:tcPr>
            <w:tcW w:w="740" w:type="pct"/>
            <w:tcBorders>
              <w:top w:val="nil"/>
              <w:left w:val="nil"/>
              <w:bottom w:val="double" w:sz="6"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50 </w:t>
            </w:r>
          </w:p>
        </w:tc>
        <w:tc>
          <w:tcPr>
            <w:tcW w:w="740" w:type="pct"/>
            <w:tcBorders>
              <w:top w:val="nil"/>
              <w:left w:val="nil"/>
              <w:bottom w:val="double" w:sz="6"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200 </w:t>
            </w:r>
          </w:p>
        </w:tc>
        <w:tc>
          <w:tcPr>
            <w:tcW w:w="740" w:type="pct"/>
            <w:tcBorders>
              <w:top w:val="nil"/>
              <w:left w:val="nil"/>
              <w:bottom w:val="double" w:sz="6"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30 </w:t>
            </w:r>
          </w:p>
        </w:tc>
        <w:tc>
          <w:tcPr>
            <w:tcW w:w="740" w:type="pct"/>
            <w:tcBorders>
              <w:top w:val="nil"/>
              <w:left w:val="nil"/>
              <w:bottom w:val="double" w:sz="6"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 - </w:t>
            </w:r>
          </w:p>
        </w:tc>
      </w:tr>
      <w:tr w:rsidR="00EC0FC8" w:rsidTr="00EC0FC8">
        <w:trPr>
          <w:trHeight w:val="270"/>
        </w:trPr>
        <w:tc>
          <w:tcPr>
            <w:tcW w:w="2040" w:type="pct"/>
            <w:tcBorders>
              <w:top w:val="nil"/>
              <w:left w:val="single" w:sz="4" w:space="0" w:color="auto"/>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rPr>
                <w:rFonts w:ascii="Arial" w:hAnsi="Arial" w:cs="Arial"/>
                <w:color w:val="000000"/>
                <w:sz w:val="20"/>
                <w:szCs w:val="20"/>
              </w:rPr>
            </w:pPr>
            <w:r>
              <w:rPr>
                <w:rFonts w:ascii="Arial" w:hAnsi="Arial" w:cs="Arial"/>
                <w:color w:val="000000"/>
                <w:sz w:val="20"/>
                <w:szCs w:val="20"/>
              </w:rPr>
              <w:t>Total cost to respondents</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$750,000 </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pPr>
              <w:jc w:val="right"/>
              <w:rPr>
                <w:rFonts w:ascii="Arial" w:hAnsi="Arial" w:cs="Arial"/>
                <w:color w:val="000000"/>
                <w:sz w:val="20"/>
                <w:szCs w:val="20"/>
              </w:rPr>
            </w:pPr>
            <w:r>
              <w:rPr>
                <w:rFonts w:ascii="Arial" w:hAnsi="Arial" w:cs="Arial"/>
                <w:color w:val="000000"/>
                <w:sz w:val="20"/>
                <w:szCs w:val="20"/>
              </w:rPr>
              <w:t xml:space="preserve">$0 </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rsidP="009A4A24">
            <w:pPr>
              <w:jc w:val="right"/>
              <w:rPr>
                <w:rFonts w:ascii="Arial" w:hAnsi="Arial" w:cs="Arial"/>
                <w:color w:val="000000"/>
                <w:sz w:val="20"/>
                <w:szCs w:val="20"/>
              </w:rPr>
            </w:pPr>
            <w:r>
              <w:rPr>
                <w:rFonts w:ascii="Arial" w:hAnsi="Arial" w:cs="Arial"/>
                <w:color w:val="000000"/>
                <w:sz w:val="20"/>
                <w:szCs w:val="20"/>
              </w:rPr>
              <w:t xml:space="preserve">$5,610,000 </w:t>
            </w:r>
          </w:p>
        </w:tc>
        <w:tc>
          <w:tcPr>
            <w:tcW w:w="740" w:type="pct"/>
            <w:tcBorders>
              <w:top w:val="nil"/>
              <w:left w:val="nil"/>
              <w:bottom w:val="single" w:sz="4" w:space="0" w:color="auto"/>
              <w:right w:val="single" w:sz="4" w:space="0" w:color="auto"/>
            </w:tcBorders>
            <w:shd w:val="clear" w:color="auto" w:fill="auto"/>
            <w:noWrap/>
            <w:tcMar>
              <w:top w:w="29" w:type="dxa"/>
              <w:left w:w="72" w:type="dxa"/>
              <w:bottom w:w="29" w:type="dxa"/>
              <w:right w:w="72" w:type="dxa"/>
            </w:tcMar>
            <w:vAlign w:val="bottom"/>
            <w:hideMark/>
          </w:tcPr>
          <w:p w:rsidR="00EC0FC8" w:rsidRDefault="00EC0FC8" w:rsidP="001B0CAD">
            <w:pPr>
              <w:jc w:val="right"/>
              <w:rPr>
                <w:rFonts w:ascii="Arial" w:hAnsi="Arial" w:cs="Arial"/>
                <w:color w:val="000000"/>
                <w:sz w:val="20"/>
                <w:szCs w:val="20"/>
              </w:rPr>
            </w:pPr>
            <w:r>
              <w:rPr>
                <w:rFonts w:ascii="Arial" w:hAnsi="Arial" w:cs="Arial"/>
                <w:color w:val="000000"/>
                <w:sz w:val="20"/>
                <w:szCs w:val="20"/>
              </w:rPr>
              <w:t xml:space="preserve">$6,360,000 </w:t>
            </w:r>
          </w:p>
        </w:tc>
      </w:tr>
    </w:tbl>
    <w:p w:rsidR="00BB7081" w:rsidRDefault="00BB7081" w:rsidP="00E31AD3">
      <w:pPr>
        <w:pStyle w:val="BodyTextIndent"/>
        <w:tabs>
          <w:tab w:val="clear" w:pos="450"/>
          <w:tab w:val="left" w:pos="-2790"/>
        </w:tabs>
        <w:rPr>
          <w:sz w:val="18"/>
          <w:szCs w:val="18"/>
        </w:rPr>
      </w:pPr>
    </w:p>
    <w:p w:rsidR="00BB7081" w:rsidRDefault="00BB7081" w:rsidP="00E31AD3">
      <w:pPr>
        <w:pStyle w:val="BodyTextIndent"/>
        <w:tabs>
          <w:tab w:val="clear" w:pos="450"/>
          <w:tab w:val="left" w:pos="-2790"/>
        </w:tabs>
        <w:spacing w:after="120"/>
        <w:ind w:left="0" w:firstLine="0"/>
        <w:rPr>
          <w:sz w:val="18"/>
          <w:szCs w:val="18"/>
        </w:rPr>
      </w:pPr>
      <w:r>
        <w:rPr>
          <w:sz w:val="18"/>
          <w:szCs w:val="18"/>
        </w:rPr>
        <w:t>*Depending on an applicant’s form of organization and application type, the SBA application fee may be $10,000, $15,000 or $25,000.  For the purposes of the annualized cost estimate, a $15,000 fee was used because this is the fee paid by the vast majority of applicants.</w:t>
      </w:r>
    </w:p>
    <w:p w:rsidR="00362508" w:rsidRPr="00362508" w:rsidRDefault="00362508" w:rsidP="00362508">
      <w:pPr>
        <w:pStyle w:val="BodyTextIndent"/>
        <w:numPr>
          <w:ilvl w:val="0"/>
          <w:numId w:val="5"/>
        </w:numPr>
        <w:tabs>
          <w:tab w:val="clear" w:pos="450"/>
          <w:tab w:val="left" w:pos="-2790"/>
        </w:tabs>
        <w:spacing w:after="120"/>
        <w:ind w:left="360" w:hanging="360"/>
        <w:rPr>
          <w:u w:val="single"/>
        </w:rPr>
      </w:pPr>
      <w:r>
        <w:rPr>
          <w:u w:val="single"/>
        </w:rPr>
        <w:t>Estimated annualized cost to the Federal government.</w:t>
      </w:r>
    </w:p>
    <w:p w:rsidR="00362508" w:rsidRDefault="00362508" w:rsidP="00362508">
      <w:pPr>
        <w:pStyle w:val="BodyTextIndent"/>
        <w:tabs>
          <w:tab w:val="clear" w:pos="450"/>
          <w:tab w:val="left" w:pos="-2790"/>
        </w:tabs>
        <w:spacing w:after="120"/>
        <w:ind w:left="360" w:firstLine="0"/>
      </w:pPr>
      <w:r>
        <w:t>The annualized cost to the Federal government for this collection is estimated as follows:</w:t>
      </w:r>
    </w:p>
    <w:tbl>
      <w:tblPr>
        <w:tblW w:w="0" w:type="auto"/>
        <w:jc w:val="center"/>
        <w:tblLook w:val="04A0" w:firstRow="1" w:lastRow="0" w:firstColumn="1" w:lastColumn="0" w:noHBand="0" w:noVBand="1"/>
      </w:tblPr>
      <w:tblGrid>
        <w:gridCol w:w="5696"/>
        <w:gridCol w:w="794"/>
        <w:gridCol w:w="650"/>
        <w:gridCol w:w="1051"/>
      </w:tblGrid>
      <w:tr w:rsidR="00882056" w:rsidTr="00882056">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056" w:rsidRDefault="00882056">
            <w:pPr>
              <w:rPr>
                <w:rFonts w:ascii="Arial" w:hAnsi="Arial" w:cs="Arial"/>
                <w:b/>
                <w:bCs/>
                <w:color w:val="000000"/>
                <w:sz w:val="20"/>
                <w:szCs w:val="20"/>
              </w:rPr>
            </w:pPr>
            <w:r>
              <w:rPr>
                <w:rFonts w:ascii="Arial" w:hAnsi="Arial" w:cs="Arial"/>
                <w:b/>
                <w:bCs/>
                <w:color w:val="000000"/>
                <w:sz w:val="20"/>
                <w:szCs w:val="20"/>
              </w:rPr>
              <w:t>Management Assessment Phase: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82056" w:rsidRDefault="00882056">
            <w:pPr>
              <w:rPr>
                <w:rFonts w:ascii="Arial" w:hAnsi="Arial" w:cs="Arial"/>
                <w:b/>
                <w:bCs/>
                <w:color w:val="000000"/>
                <w:sz w:val="20"/>
                <w:szCs w:val="20"/>
              </w:rPr>
            </w:pPr>
            <w:r>
              <w:rPr>
                <w:rFonts w:ascii="Arial" w:hAnsi="Arial" w:cs="Arial"/>
                <w:b/>
                <w:bCs/>
                <w:color w:val="000000"/>
                <w:sz w:val="20"/>
                <w:szCs w:val="20"/>
              </w:rPr>
              <w:t>Hours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82056" w:rsidRDefault="00882056">
            <w:pPr>
              <w:rPr>
                <w:rFonts w:ascii="Arial" w:hAnsi="Arial" w:cs="Arial"/>
                <w:b/>
                <w:bCs/>
                <w:color w:val="000000"/>
                <w:sz w:val="20"/>
                <w:szCs w:val="20"/>
              </w:rPr>
            </w:pPr>
            <w:r>
              <w:rPr>
                <w:rFonts w:ascii="Arial" w:hAnsi="Arial" w:cs="Arial"/>
                <w:b/>
                <w:bCs/>
                <w:color w:val="000000"/>
                <w:sz w:val="20"/>
                <w:szCs w:val="20"/>
              </w:rPr>
              <w:t>Rate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82056" w:rsidRDefault="00882056">
            <w:pPr>
              <w:rPr>
                <w:rFonts w:ascii="Arial" w:hAnsi="Arial" w:cs="Arial"/>
                <w:b/>
                <w:bCs/>
                <w:color w:val="000000"/>
                <w:sz w:val="20"/>
                <w:szCs w:val="20"/>
              </w:rPr>
            </w:pPr>
            <w:r>
              <w:rPr>
                <w:rFonts w:ascii="Arial" w:hAnsi="Arial" w:cs="Arial"/>
                <w:b/>
                <w:bCs/>
                <w:color w:val="000000"/>
                <w:sz w:val="20"/>
                <w:szCs w:val="20"/>
              </w:rPr>
              <w:t>Total</w:t>
            </w:r>
          </w:p>
        </w:tc>
      </w:tr>
      <w:tr w:rsidR="00882056" w:rsidTr="00882056">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82056" w:rsidRDefault="00882056">
            <w:pPr>
              <w:rPr>
                <w:rFonts w:ascii="Arial" w:hAnsi="Arial" w:cs="Arial"/>
                <w:color w:val="000000"/>
                <w:sz w:val="20"/>
                <w:szCs w:val="20"/>
              </w:rPr>
            </w:pPr>
            <w:r>
              <w:rPr>
                <w:rFonts w:ascii="Arial" w:hAnsi="Arial" w:cs="Arial"/>
                <w:color w:val="000000"/>
                <w:sz w:val="20"/>
                <w:szCs w:val="20"/>
              </w:rPr>
              <w:t>Analysis by Program Development Analyst (GS-13)</w:t>
            </w:r>
          </w:p>
        </w:tc>
        <w:tc>
          <w:tcPr>
            <w:tcW w:w="0" w:type="auto"/>
            <w:tcBorders>
              <w:top w:val="nil"/>
              <w:left w:val="nil"/>
              <w:bottom w:val="single" w:sz="4" w:space="0" w:color="auto"/>
              <w:right w:val="single" w:sz="4" w:space="0" w:color="auto"/>
            </w:tcBorders>
            <w:shd w:val="clear" w:color="auto" w:fill="auto"/>
            <w:noWrap/>
            <w:vAlign w:val="bottom"/>
            <w:hideMark/>
          </w:tcPr>
          <w:p w:rsidR="00882056" w:rsidRDefault="00882056">
            <w:pPr>
              <w:jc w:val="right"/>
              <w:rPr>
                <w:rFonts w:ascii="Arial" w:hAnsi="Arial" w:cs="Arial"/>
                <w:color w:val="000000"/>
                <w:sz w:val="20"/>
                <w:szCs w:val="20"/>
              </w:rPr>
            </w:pPr>
            <w:r>
              <w:rPr>
                <w:rFonts w:ascii="Arial" w:hAnsi="Arial" w:cs="Arial"/>
                <w:color w:val="000000"/>
                <w:sz w:val="20"/>
                <w:szCs w:val="20"/>
              </w:rPr>
              <w:t xml:space="preserve">40 </w:t>
            </w:r>
          </w:p>
        </w:tc>
        <w:tc>
          <w:tcPr>
            <w:tcW w:w="0" w:type="auto"/>
            <w:tcBorders>
              <w:top w:val="nil"/>
              <w:left w:val="nil"/>
              <w:bottom w:val="single" w:sz="4" w:space="0" w:color="auto"/>
              <w:right w:val="single" w:sz="4" w:space="0" w:color="auto"/>
            </w:tcBorders>
            <w:shd w:val="clear" w:color="auto" w:fill="auto"/>
            <w:noWrap/>
            <w:vAlign w:val="bottom"/>
            <w:hideMark/>
          </w:tcPr>
          <w:p w:rsidR="00882056" w:rsidRDefault="00882056">
            <w:pPr>
              <w:jc w:val="right"/>
              <w:rPr>
                <w:rFonts w:ascii="Arial" w:hAnsi="Arial" w:cs="Arial"/>
                <w:color w:val="000000"/>
                <w:sz w:val="20"/>
                <w:szCs w:val="20"/>
              </w:rPr>
            </w:pPr>
            <w:r>
              <w:rPr>
                <w:rFonts w:ascii="Arial" w:hAnsi="Arial" w:cs="Arial"/>
                <w:color w:val="000000"/>
                <w:sz w:val="20"/>
                <w:szCs w:val="20"/>
              </w:rPr>
              <w:t xml:space="preserve">$50 </w:t>
            </w:r>
          </w:p>
        </w:tc>
        <w:tc>
          <w:tcPr>
            <w:tcW w:w="0" w:type="auto"/>
            <w:tcBorders>
              <w:top w:val="nil"/>
              <w:left w:val="nil"/>
              <w:bottom w:val="single" w:sz="4" w:space="0" w:color="auto"/>
              <w:right w:val="single" w:sz="4" w:space="0" w:color="auto"/>
            </w:tcBorders>
            <w:shd w:val="clear" w:color="auto" w:fill="auto"/>
            <w:noWrap/>
            <w:vAlign w:val="bottom"/>
            <w:hideMark/>
          </w:tcPr>
          <w:p w:rsidR="00882056" w:rsidRDefault="00882056">
            <w:pPr>
              <w:jc w:val="right"/>
              <w:rPr>
                <w:rFonts w:ascii="Arial" w:hAnsi="Arial" w:cs="Arial"/>
                <w:color w:val="000000"/>
                <w:sz w:val="20"/>
                <w:szCs w:val="20"/>
              </w:rPr>
            </w:pPr>
            <w:r>
              <w:rPr>
                <w:rFonts w:ascii="Arial" w:hAnsi="Arial" w:cs="Arial"/>
                <w:color w:val="000000"/>
                <w:sz w:val="20"/>
                <w:szCs w:val="20"/>
              </w:rPr>
              <w:t xml:space="preserve">$2,000 </w:t>
            </w:r>
          </w:p>
        </w:tc>
      </w:tr>
      <w:tr w:rsidR="00882056" w:rsidTr="00882056">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82056" w:rsidRDefault="00882056">
            <w:pPr>
              <w:rPr>
                <w:rFonts w:ascii="Arial" w:hAnsi="Arial" w:cs="Arial"/>
                <w:color w:val="000000"/>
                <w:sz w:val="20"/>
                <w:szCs w:val="20"/>
              </w:rPr>
            </w:pPr>
            <w:r>
              <w:rPr>
                <w:rFonts w:ascii="Arial" w:hAnsi="Arial" w:cs="Arial"/>
                <w:color w:val="000000"/>
                <w:sz w:val="20"/>
                <w:szCs w:val="20"/>
              </w:rPr>
              <w:t>Supervisory Review (GS-15)</w:t>
            </w:r>
          </w:p>
        </w:tc>
        <w:tc>
          <w:tcPr>
            <w:tcW w:w="0" w:type="auto"/>
            <w:tcBorders>
              <w:top w:val="nil"/>
              <w:left w:val="nil"/>
              <w:bottom w:val="single" w:sz="4" w:space="0" w:color="auto"/>
              <w:right w:val="single" w:sz="4" w:space="0" w:color="auto"/>
            </w:tcBorders>
            <w:shd w:val="clear" w:color="auto" w:fill="auto"/>
            <w:noWrap/>
            <w:vAlign w:val="bottom"/>
            <w:hideMark/>
          </w:tcPr>
          <w:p w:rsidR="00882056" w:rsidRDefault="00882056">
            <w:pPr>
              <w:jc w:val="right"/>
              <w:rPr>
                <w:rFonts w:ascii="Arial" w:hAnsi="Arial" w:cs="Arial"/>
                <w:color w:val="000000"/>
                <w:sz w:val="20"/>
                <w:szCs w:val="20"/>
              </w:rPr>
            </w:pPr>
            <w:r>
              <w:rPr>
                <w:rFonts w:ascii="Arial" w:hAnsi="Arial" w:cs="Arial"/>
                <w:color w:val="000000"/>
                <w:sz w:val="20"/>
                <w:szCs w:val="20"/>
              </w:rPr>
              <w:t xml:space="preserve">2 </w:t>
            </w:r>
          </w:p>
        </w:tc>
        <w:tc>
          <w:tcPr>
            <w:tcW w:w="0" w:type="auto"/>
            <w:tcBorders>
              <w:top w:val="nil"/>
              <w:left w:val="nil"/>
              <w:bottom w:val="single" w:sz="4" w:space="0" w:color="auto"/>
              <w:right w:val="single" w:sz="4" w:space="0" w:color="auto"/>
            </w:tcBorders>
            <w:shd w:val="clear" w:color="auto" w:fill="auto"/>
            <w:noWrap/>
            <w:vAlign w:val="bottom"/>
            <w:hideMark/>
          </w:tcPr>
          <w:p w:rsidR="00882056" w:rsidRDefault="00882056">
            <w:pPr>
              <w:jc w:val="right"/>
              <w:rPr>
                <w:rFonts w:ascii="Arial" w:hAnsi="Arial" w:cs="Arial"/>
                <w:color w:val="000000"/>
                <w:sz w:val="20"/>
                <w:szCs w:val="20"/>
              </w:rPr>
            </w:pPr>
            <w:r>
              <w:rPr>
                <w:rFonts w:ascii="Arial" w:hAnsi="Arial" w:cs="Arial"/>
                <w:color w:val="000000"/>
                <w:sz w:val="20"/>
                <w:szCs w:val="20"/>
              </w:rPr>
              <w:t xml:space="preserve">$70 </w:t>
            </w:r>
          </w:p>
        </w:tc>
        <w:tc>
          <w:tcPr>
            <w:tcW w:w="0" w:type="auto"/>
            <w:tcBorders>
              <w:top w:val="nil"/>
              <w:left w:val="nil"/>
              <w:bottom w:val="single" w:sz="4" w:space="0" w:color="auto"/>
              <w:right w:val="single" w:sz="4" w:space="0" w:color="auto"/>
            </w:tcBorders>
            <w:shd w:val="clear" w:color="auto" w:fill="auto"/>
            <w:noWrap/>
            <w:vAlign w:val="bottom"/>
            <w:hideMark/>
          </w:tcPr>
          <w:p w:rsidR="00882056" w:rsidRDefault="00882056">
            <w:pPr>
              <w:jc w:val="right"/>
              <w:rPr>
                <w:rFonts w:ascii="Arial" w:hAnsi="Arial" w:cs="Arial"/>
                <w:color w:val="000000"/>
                <w:sz w:val="20"/>
                <w:szCs w:val="20"/>
              </w:rPr>
            </w:pPr>
            <w:r>
              <w:rPr>
                <w:rFonts w:ascii="Arial" w:hAnsi="Arial" w:cs="Arial"/>
                <w:color w:val="000000"/>
                <w:sz w:val="20"/>
                <w:szCs w:val="20"/>
              </w:rPr>
              <w:t xml:space="preserve">$140 </w:t>
            </w:r>
          </w:p>
        </w:tc>
      </w:tr>
      <w:tr w:rsidR="00882056" w:rsidTr="00882056">
        <w:trPr>
          <w:trHeight w:val="255"/>
          <w:jc w:val="center"/>
        </w:trPr>
        <w:tc>
          <w:tcPr>
            <w:tcW w:w="0" w:type="auto"/>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882056" w:rsidRDefault="00882056">
            <w:pPr>
              <w:rPr>
                <w:rFonts w:ascii="Arial" w:hAnsi="Arial" w:cs="Arial"/>
                <w:color w:val="000000"/>
                <w:sz w:val="20"/>
                <w:szCs w:val="20"/>
              </w:rPr>
            </w:pPr>
            <w:r>
              <w:rPr>
                <w:rFonts w:ascii="Arial" w:hAnsi="Arial" w:cs="Arial"/>
                <w:color w:val="000000"/>
                <w:sz w:val="20"/>
                <w:szCs w:val="20"/>
              </w:rPr>
              <w:t>Review by Investment Committee (6 Members at GS-15/SES)</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882056" w:rsidRDefault="00882056">
            <w:pPr>
              <w:jc w:val="right"/>
              <w:rPr>
                <w:rFonts w:ascii="Arial" w:hAnsi="Arial" w:cs="Arial"/>
                <w:color w:val="000000"/>
                <w:sz w:val="20"/>
                <w:szCs w:val="20"/>
              </w:rPr>
            </w:pPr>
            <w:r>
              <w:rPr>
                <w:rFonts w:ascii="Arial" w:hAnsi="Arial" w:cs="Arial"/>
                <w:color w:val="000000"/>
                <w:sz w:val="20"/>
                <w:szCs w:val="20"/>
              </w:rPr>
              <w:t xml:space="preserve">1 </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882056" w:rsidRDefault="00882056">
            <w:pPr>
              <w:jc w:val="right"/>
              <w:rPr>
                <w:rFonts w:ascii="Arial" w:hAnsi="Arial" w:cs="Arial"/>
                <w:color w:val="000000"/>
                <w:sz w:val="20"/>
                <w:szCs w:val="20"/>
              </w:rPr>
            </w:pPr>
            <w:r>
              <w:rPr>
                <w:rFonts w:ascii="Arial" w:hAnsi="Arial" w:cs="Arial"/>
                <w:color w:val="000000"/>
                <w:sz w:val="20"/>
                <w:szCs w:val="20"/>
              </w:rPr>
              <w:t xml:space="preserve">$75 </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882056" w:rsidRDefault="00882056">
            <w:pPr>
              <w:jc w:val="right"/>
              <w:rPr>
                <w:rFonts w:ascii="Arial" w:hAnsi="Arial" w:cs="Arial"/>
                <w:color w:val="000000"/>
                <w:sz w:val="20"/>
                <w:szCs w:val="20"/>
              </w:rPr>
            </w:pPr>
            <w:r>
              <w:rPr>
                <w:rFonts w:ascii="Arial" w:hAnsi="Arial" w:cs="Arial"/>
                <w:color w:val="000000"/>
                <w:sz w:val="20"/>
                <w:szCs w:val="20"/>
              </w:rPr>
              <w:t xml:space="preserve">$450 </w:t>
            </w:r>
          </w:p>
        </w:tc>
      </w:tr>
      <w:tr w:rsidR="00882056" w:rsidTr="00882056">
        <w:trPr>
          <w:trHeight w:val="255"/>
          <w:jc w:val="center"/>
        </w:trPr>
        <w:tc>
          <w:tcPr>
            <w:tcW w:w="0" w:type="auto"/>
            <w:tcBorders>
              <w:top w:val="single" w:sz="12" w:space="0" w:color="auto"/>
              <w:left w:val="single" w:sz="4" w:space="0" w:color="auto"/>
              <w:bottom w:val="single" w:sz="4" w:space="0" w:color="auto"/>
            </w:tcBorders>
            <w:shd w:val="clear" w:color="auto" w:fill="auto"/>
            <w:noWrap/>
            <w:vAlign w:val="bottom"/>
            <w:hideMark/>
          </w:tcPr>
          <w:p w:rsidR="00882056" w:rsidRDefault="00882056">
            <w:pPr>
              <w:rPr>
                <w:rFonts w:ascii="Arial" w:hAnsi="Arial" w:cs="Arial"/>
                <w:color w:val="000000"/>
                <w:sz w:val="20"/>
                <w:szCs w:val="20"/>
              </w:rPr>
            </w:pPr>
            <w:r>
              <w:rPr>
                <w:rFonts w:ascii="Arial" w:hAnsi="Arial" w:cs="Arial"/>
                <w:color w:val="000000"/>
                <w:sz w:val="20"/>
                <w:szCs w:val="20"/>
              </w:rPr>
              <w:t>Total Cost per Applicant</w:t>
            </w:r>
          </w:p>
        </w:tc>
        <w:tc>
          <w:tcPr>
            <w:tcW w:w="0" w:type="auto"/>
            <w:tcBorders>
              <w:top w:val="single" w:sz="12" w:space="0" w:color="auto"/>
              <w:bottom w:val="single" w:sz="4" w:space="0" w:color="auto"/>
            </w:tcBorders>
            <w:shd w:val="clear" w:color="auto" w:fill="auto"/>
            <w:noWrap/>
            <w:vAlign w:val="bottom"/>
            <w:hideMark/>
          </w:tcPr>
          <w:p w:rsidR="00882056" w:rsidRDefault="00882056">
            <w:pPr>
              <w:rPr>
                <w:rFonts w:ascii="Arial" w:hAnsi="Arial" w:cs="Arial"/>
                <w:color w:val="000000"/>
                <w:sz w:val="20"/>
                <w:szCs w:val="20"/>
              </w:rPr>
            </w:pPr>
            <w:r>
              <w:rPr>
                <w:rFonts w:ascii="Arial" w:hAnsi="Arial" w:cs="Arial"/>
                <w:color w:val="000000"/>
                <w:sz w:val="20"/>
                <w:szCs w:val="20"/>
              </w:rPr>
              <w:t> </w:t>
            </w:r>
          </w:p>
        </w:tc>
        <w:tc>
          <w:tcPr>
            <w:tcW w:w="0" w:type="auto"/>
            <w:tcBorders>
              <w:top w:val="single" w:sz="12" w:space="0" w:color="auto"/>
              <w:bottom w:val="single" w:sz="4" w:space="0" w:color="auto"/>
              <w:right w:val="single" w:sz="4" w:space="0" w:color="auto"/>
            </w:tcBorders>
            <w:shd w:val="clear" w:color="auto" w:fill="auto"/>
            <w:noWrap/>
            <w:vAlign w:val="bottom"/>
            <w:hideMark/>
          </w:tcPr>
          <w:p w:rsidR="00882056" w:rsidRDefault="00882056">
            <w:pPr>
              <w:rPr>
                <w:rFonts w:ascii="Arial" w:hAnsi="Arial" w:cs="Arial"/>
                <w:color w:val="000000"/>
                <w:sz w:val="20"/>
                <w:szCs w:val="20"/>
              </w:rPr>
            </w:pPr>
            <w:r>
              <w:rPr>
                <w:rFonts w:ascii="Arial" w:hAnsi="Arial" w:cs="Arial"/>
                <w:color w:val="000000"/>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882056" w:rsidRDefault="00882056">
            <w:pPr>
              <w:jc w:val="right"/>
              <w:rPr>
                <w:rFonts w:ascii="Arial" w:hAnsi="Arial" w:cs="Arial"/>
                <w:color w:val="000000"/>
                <w:sz w:val="20"/>
                <w:szCs w:val="20"/>
              </w:rPr>
            </w:pPr>
            <w:r>
              <w:rPr>
                <w:rFonts w:ascii="Arial" w:hAnsi="Arial" w:cs="Arial"/>
                <w:color w:val="000000"/>
                <w:sz w:val="20"/>
                <w:szCs w:val="20"/>
              </w:rPr>
              <w:t xml:space="preserve">$2,590 </w:t>
            </w:r>
          </w:p>
        </w:tc>
      </w:tr>
      <w:tr w:rsidR="00882056" w:rsidTr="00882056">
        <w:trPr>
          <w:trHeight w:val="255"/>
          <w:jc w:val="center"/>
        </w:trPr>
        <w:tc>
          <w:tcPr>
            <w:tcW w:w="0" w:type="auto"/>
            <w:tcBorders>
              <w:top w:val="single" w:sz="4" w:space="0" w:color="auto"/>
              <w:left w:val="single" w:sz="4" w:space="0" w:color="auto"/>
              <w:bottom w:val="double" w:sz="4" w:space="0" w:color="auto"/>
            </w:tcBorders>
            <w:shd w:val="clear" w:color="auto" w:fill="auto"/>
            <w:noWrap/>
            <w:vAlign w:val="bottom"/>
            <w:hideMark/>
          </w:tcPr>
          <w:p w:rsidR="00882056" w:rsidRDefault="00882056">
            <w:pPr>
              <w:rPr>
                <w:rFonts w:ascii="Arial" w:hAnsi="Arial" w:cs="Arial"/>
                <w:color w:val="000000"/>
                <w:sz w:val="20"/>
                <w:szCs w:val="20"/>
              </w:rPr>
            </w:pPr>
            <w:r>
              <w:rPr>
                <w:rFonts w:ascii="Arial" w:hAnsi="Arial" w:cs="Arial"/>
                <w:color w:val="000000"/>
                <w:sz w:val="20"/>
                <w:szCs w:val="20"/>
              </w:rPr>
              <w:t>Estimated No. of Responses</w:t>
            </w:r>
          </w:p>
        </w:tc>
        <w:tc>
          <w:tcPr>
            <w:tcW w:w="0" w:type="auto"/>
            <w:tcBorders>
              <w:top w:val="single" w:sz="4" w:space="0" w:color="auto"/>
              <w:bottom w:val="double" w:sz="4" w:space="0" w:color="auto"/>
            </w:tcBorders>
            <w:shd w:val="clear" w:color="auto" w:fill="auto"/>
            <w:noWrap/>
            <w:vAlign w:val="bottom"/>
            <w:hideMark/>
          </w:tcPr>
          <w:p w:rsidR="00882056" w:rsidRDefault="00882056">
            <w:pPr>
              <w:rPr>
                <w:rFonts w:ascii="Arial" w:hAnsi="Arial" w:cs="Arial"/>
                <w:color w:val="000000"/>
                <w:sz w:val="20"/>
                <w:szCs w:val="20"/>
              </w:rPr>
            </w:pPr>
            <w:r>
              <w:rPr>
                <w:rFonts w:ascii="Arial" w:hAnsi="Arial" w:cs="Arial"/>
                <w:color w:val="000000"/>
                <w:sz w:val="20"/>
                <w:szCs w:val="20"/>
              </w:rPr>
              <w:t> </w:t>
            </w:r>
          </w:p>
        </w:tc>
        <w:tc>
          <w:tcPr>
            <w:tcW w:w="0" w:type="auto"/>
            <w:tcBorders>
              <w:top w:val="single" w:sz="4" w:space="0" w:color="auto"/>
              <w:bottom w:val="double" w:sz="4" w:space="0" w:color="auto"/>
              <w:right w:val="single" w:sz="4" w:space="0" w:color="auto"/>
            </w:tcBorders>
            <w:shd w:val="clear" w:color="auto" w:fill="auto"/>
            <w:noWrap/>
            <w:vAlign w:val="bottom"/>
            <w:hideMark/>
          </w:tcPr>
          <w:p w:rsidR="00882056" w:rsidRDefault="00882056">
            <w:pPr>
              <w:rPr>
                <w:rFonts w:ascii="Arial" w:hAnsi="Arial" w:cs="Arial"/>
                <w:color w:val="000000"/>
                <w:sz w:val="20"/>
                <w:szCs w:val="20"/>
              </w:rPr>
            </w:pPr>
            <w:r>
              <w:rPr>
                <w:rFonts w:ascii="Arial" w:hAnsi="Arial" w:cs="Arial"/>
                <w:color w:val="000000"/>
                <w:sz w:val="20"/>
                <w:szCs w:val="20"/>
              </w:rPr>
              <w:t> </w:t>
            </w:r>
          </w:p>
        </w:tc>
        <w:tc>
          <w:tcPr>
            <w:tcW w:w="0" w:type="auto"/>
            <w:tcBorders>
              <w:top w:val="single" w:sz="4" w:space="0" w:color="auto"/>
              <w:left w:val="nil"/>
              <w:bottom w:val="double" w:sz="4" w:space="0" w:color="auto"/>
              <w:right w:val="single" w:sz="4" w:space="0" w:color="auto"/>
            </w:tcBorders>
            <w:shd w:val="clear" w:color="auto" w:fill="auto"/>
            <w:noWrap/>
            <w:vAlign w:val="bottom"/>
            <w:hideMark/>
          </w:tcPr>
          <w:p w:rsidR="00882056" w:rsidRDefault="00882056">
            <w:pPr>
              <w:jc w:val="right"/>
              <w:rPr>
                <w:rFonts w:ascii="Arial" w:hAnsi="Arial" w:cs="Arial"/>
                <w:color w:val="000000"/>
                <w:sz w:val="20"/>
                <w:szCs w:val="20"/>
              </w:rPr>
            </w:pPr>
            <w:r>
              <w:rPr>
                <w:rFonts w:ascii="Arial" w:hAnsi="Arial" w:cs="Arial"/>
                <w:color w:val="000000"/>
                <w:sz w:val="20"/>
                <w:szCs w:val="20"/>
              </w:rPr>
              <w:t xml:space="preserve">$50 </w:t>
            </w:r>
          </w:p>
        </w:tc>
      </w:tr>
      <w:tr w:rsidR="00882056" w:rsidTr="00882056">
        <w:trPr>
          <w:trHeight w:val="255"/>
          <w:jc w:val="center"/>
        </w:trPr>
        <w:tc>
          <w:tcPr>
            <w:tcW w:w="0" w:type="auto"/>
            <w:tcBorders>
              <w:top w:val="double" w:sz="4" w:space="0" w:color="auto"/>
              <w:left w:val="single" w:sz="4" w:space="0" w:color="auto"/>
              <w:bottom w:val="single" w:sz="4" w:space="0" w:color="auto"/>
            </w:tcBorders>
            <w:shd w:val="clear" w:color="auto" w:fill="auto"/>
            <w:noWrap/>
            <w:vAlign w:val="bottom"/>
            <w:hideMark/>
          </w:tcPr>
          <w:p w:rsidR="00882056" w:rsidRDefault="00882056">
            <w:pPr>
              <w:rPr>
                <w:rFonts w:ascii="Arial" w:hAnsi="Arial" w:cs="Arial"/>
                <w:color w:val="000000"/>
                <w:sz w:val="20"/>
                <w:szCs w:val="20"/>
              </w:rPr>
            </w:pPr>
            <w:r>
              <w:rPr>
                <w:rFonts w:ascii="Arial" w:hAnsi="Arial" w:cs="Arial"/>
                <w:color w:val="000000"/>
                <w:sz w:val="20"/>
                <w:szCs w:val="20"/>
              </w:rPr>
              <w:t>Total Annual Cost - Management Assessment Phase</w:t>
            </w:r>
          </w:p>
        </w:tc>
        <w:tc>
          <w:tcPr>
            <w:tcW w:w="0" w:type="auto"/>
            <w:tcBorders>
              <w:top w:val="double" w:sz="4" w:space="0" w:color="auto"/>
              <w:bottom w:val="single" w:sz="4" w:space="0" w:color="auto"/>
            </w:tcBorders>
            <w:shd w:val="clear" w:color="auto" w:fill="auto"/>
            <w:noWrap/>
            <w:vAlign w:val="bottom"/>
            <w:hideMark/>
          </w:tcPr>
          <w:p w:rsidR="00882056" w:rsidRDefault="00882056">
            <w:pPr>
              <w:rPr>
                <w:rFonts w:ascii="Arial" w:hAnsi="Arial" w:cs="Arial"/>
                <w:color w:val="000000"/>
                <w:sz w:val="20"/>
                <w:szCs w:val="20"/>
              </w:rPr>
            </w:pPr>
            <w:r>
              <w:rPr>
                <w:rFonts w:ascii="Arial" w:hAnsi="Arial" w:cs="Arial"/>
                <w:color w:val="000000"/>
                <w:sz w:val="20"/>
                <w:szCs w:val="20"/>
              </w:rPr>
              <w:t> </w:t>
            </w:r>
          </w:p>
        </w:tc>
        <w:tc>
          <w:tcPr>
            <w:tcW w:w="0" w:type="auto"/>
            <w:tcBorders>
              <w:top w:val="double" w:sz="4" w:space="0" w:color="auto"/>
              <w:bottom w:val="single" w:sz="4" w:space="0" w:color="auto"/>
              <w:right w:val="single" w:sz="4" w:space="0" w:color="auto"/>
            </w:tcBorders>
            <w:shd w:val="clear" w:color="auto" w:fill="auto"/>
            <w:noWrap/>
            <w:vAlign w:val="bottom"/>
            <w:hideMark/>
          </w:tcPr>
          <w:p w:rsidR="00882056" w:rsidRDefault="00882056">
            <w:pPr>
              <w:rPr>
                <w:rFonts w:ascii="Arial" w:hAnsi="Arial" w:cs="Arial"/>
                <w:color w:val="000000"/>
                <w:sz w:val="20"/>
                <w:szCs w:val="20"/>
              </w:rPr>
            </w:pPr>
            <w:r>
              <w:rPr>
                <w:rFonts w:ascii="Arial" w:hAnsi="Arial" w:cs="Arial"/>
                <w:color w:val="000000"/>
                <w:sz w:val="20"/>
                <w:szCs w:val="20"/>
              </w:rPr>
              <w:t> </w:t>
            </w:r>
          </w:p>
        </w:tc>
        <w:tc>
          <w:tcPr>
            <w:tcW w:w="0" w:type="auto"/>
            <w:tcBorders>
              <w:top w:val="double" w:sz="4" w:space="0" w:color="auto"/>
              <w:left w:val="nil"/>
              <w:bottom w:val="single" w:sz="4" w:space="0" w:color="auto"/>
              <w:right w:val="single" w:sz="4" w:space="0" w:color="auto"/>
            </w:tcBorders>
            <w:shd w:val="clear" w:color="auto" w:fill="auto"/>
            <w:noWrap/>
            <w:vAlign w:val="bottom"/>
            <w:hideMark/>
          </w:tcPr>
          <w:p w:rsidR="00882056" w:rsidRDefault="00882056">
            <w:pPr>
              <w:jc w:val="right"/>
              <w:rPr>
                <w:rFonts w:ascii="Arial" w:hAnsi="Arial" w:cs="Arial"/>
                <w:color w:val="000000"/>
                <w:sz w:val="20"/>
                <w:szCs w:val="20"/>
              </w:rPr>
            </w:pPr>
            <w:r>
              <w:rPr>
                <w:rFonts w:ascii="Arial" w:hAnsi="Arial" w:cs="Arial"/>
                <w:color w:val="000000"/>
                <w:sz w:val="20"/>
                <w:szCs w:val="20"/>
              </w:rPr>
              <w:t xml:space="preserve">$129,500 </w:t>
            </w:r>
          </w:p>
        </w:tc>
      </w:tr>
      <w:tr w:rsidR="00882056" w:rsidTr="00DD2366">
        <w:trPr>
          <w:trHeight w:val="255"/>
          <w:jc w:val="center"/>
        </w:trPr>
        <w:tc>
          <w:tcPr>
            <w:tcW w:w="0" w:type="auto"/>
            <w:tcBorders>
              <w:top w:val="single" w:sz="4" w:space="0" w:color="auto"/>
              <w:bottom w:val="single" w:sz="4" w:space="0" w:color="auto"/>
            </w:tcBorders>
            <w:shd w:val="clear" w:color="auto" w:fill="auto"/>
            <w:noWrap/>
            <w:vAlign w:val="bottom"/>
          </w:tcPr>
          <w:p w:rsidR="00882056" w:rsidRDefault="00882056">
            <w:pPr>
              <w:rPr>
                <w:rFonts w:ascii="Arial" w:hAnsi="Arial" w:cs="Arial"/>
                <w:b/>
                <w:bCs/>
                <w:color w:val="000000"/>
                <w:sz w:val="20"/>
                <w:szCs w:val="20"/>
              </w:rPr>
            </w:pPr>
          </w:p>
        </w:tc>
        <w:tc>
          <w:tcPr>
            <w:tcW w:w="0" w:type="auto"/>
            <w:tcBorders>
              <w:top w:val="single" w:sz="4" w:space="0" w:color="auto"/>
              <w:bottom w:val="single" w:sz="4" w:space="0" w:color="auto"/>
            </w:tcBorders>
            <w:shd w:val="clear" w:color="auto" w:fill="auto"/>
            <w:noWrap/>
            <w:vAlign w:val="bottom"/>
          </w:tcPr>
          <w:p w:rsidR="00882056" w:rsidRDefault="00882056">
            <w:pPr>
              <w:rPr>
                <w:rFonts w:ascii="Arial" w:hAnsi="Arial" w:cs="Arial"/>
                <w:b/>
                <w:bCs/>
                <w:color w:val="000000"/>
                <w:sz w:val="20"/>
                <w:szCs w:val="20"/>
              </w:rPr>
            </w:pPr>
          </w:p>
        </w:tc>
        <w:tc>
          <w:tcPr>
            <w:tcW w:w="0" w:type="auto"/>
            <w:tcBorders>
              <w:top w:val="single" w:sz="4" w:space="0" w:color="auto"/>
              <w:bottom w:val="single" w:sz="4" w:space="0" w:color="auto"/>
            </w:tcBorders>
            <w:shd w:val="clear" w:color="auto" w:fill="auto"/>
            <w:noWrap/>
            <w:vAlign w:val="bottom"/>
          </w:tcPr>
          <w:p w:rsidR="00882056" w:rsidRDefault="00882056">
            <w:pPr>
              <w:rPr>
                <w:rFonts w:ascii="Arial" w:hAnsi="Arial" w:cs="Arial"/>
                <w:b/>
                <w:bCs/>
                <w:color w:val="000000"/>
                <w:sz w:val="20"/>
                <w:szCs w:val="20"/>
              </w:rPr>
            </w:pPr>
          </w:p>
        </w:tc>
        <w:tc>
          <w:tcPr>
            <w:tcW w:w="0" w:type="auto"/>
            <w:tcBorders>
              <w:top w:val="single" w:sz="4" w:space="0" w:color="auto"/>
              <w:bottom w:val="single" w:sz="4" w:space="0" w:color="auto"/>
            </w:tcBorders>
            <w:shd w:val="clear" w:color="auto" w:fill="auto"/>
            <w:noWrap/>
            <w:vAlign w:val="bottom"/>
          </w:tcPr>
          <w:p w:rsidR="00882056" w:rsidRDefault="00882056">
            <w:pPr>
              <w:rPr>
                <w:rFonts w:ascii="Arial" w:hAnsi="Arial" w:cs="Arial"/>
                <w:b/>
                <w:bCs/>
                <w:color w:val="000000"/>
                <w:sz w:val="20"/>
                <w:szCs w:val="20"/>
              </w:rPr>
            </w:pPr>
          </w:p>
        </w:tc>
      </w:tr>
      <w:tr w:rsidR="00DD2366" w:rsidTr="00DD2366">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2366" w:rsidRDefault="00DD2366">
            <w:pPr>
              <w:rPr>
                <w:rFonts w:ascii="Arial" w:hAnsi="Arial" w:cs="Arial"/>
                <w:b/>
                <w:bCs/>
                <w:color w:val="000000"/>
                <w:sz w:val="20"/>
                <w:szCs w:val="20"/>
              </w:rPr>
            </w:pPr>
            <w:r>
              <w:rPr>
                <w:rFonts w:ascii="Arial" w:hAnsi="Arial" w:cs="Arial"/>
                <w:b/>
                <w:bCs/>
                <w:color w:val="000000"/>
                <w:sz w:val="20"/>
                <w:szCs w:val="20"/>
              </w:rPr>
              <w:t>License Application Phase: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366" w:rsidRDefault="00DD2366" w:rsidP="00CD529C">
            <w:pPr>
              <w:rPr>
                <w:rFonts w:ascii="Arial" w:hAnsi="Arial" w:cs="Arial"/>
                <w:b/>
                <w:bCs/>
                <w:color w:val="000000"/>
                <w:sz w:val="20"/>
                <w:szCs w:val="20"/>
              </w:rPr>
            </w:pPr>
            <w:r>
              <w:rPr>
                <w:rFonts w:ascii="Arial" w:hAnsi="Arial" w:cs="Arial"/>
                <w:b/>
                <w:bCs/>
                <w:color w:val="000000"/>
                <w:sz w:val="20"/>
                <w:szCs w:val="20"/>
              </w:rPr>
              <w:t>Hours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366" w:rsidRDefault="00DD2366" w:rsidP="00CD529C">
            <w:pPr>
              <w:rPr>
                <w:rFonts w:ascii="Arial" w:hAnsi="Arial" w:cs="Arial"/>
                <w:b/>
                <w:bCs/>
                <w:color w:val="000000"/>
                <w:sz w:val="20"/>
                <w:szCs w:val="20"/>
              </w:rPr>
            </w:pPr>
            <w:r>
              <w:rPr>
                <w:rFonts w:ascii="Arial" w:hAnsi="Arial" w:cs="Arial"/>
                <w:b/>
                <w:bCs/>
                <w:color w:val="000000"/>
                <w:sz w:val="20"/>
                <w:szCs w:val="20"/>
              </w:rPr>
              <w:t>Rate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366" w:rsidRDefault="00DD2366" w:rsidP="00CD529C">
            <w:pPr>
              <w:rPr>
                <w:rFonts w:ascii="Arial" w:hAnsi="Arial" w:cs="Arial"/>
                <w:b/>
                <w:bCs/>
                <w:color w:val="000000"/>
                <w:sz w:val="20"/>
                <w:szCs w:val="20"/>
              </w:rPr>
            </w:pPr>
            <w:r>
              <w:rPr>
                <w:rFonts w:ascii="Arial" w:hAnsi="Arial" w:cs="Arial"/>
                <w:b/>
                <w:bCs/>
                <w:color w:val="000000"/>
                <w:sz w:val="20"/>
                <w:szCs w:val="20"/>
              </w:rPr>
              <w:t>Total</w:t>
            </w:r>
          </w:p>
        </w:tc>
      </w:tr>
      <w:tr w:rsidR="00DD2366" w:rsidTr="00882056">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Analysis by Licensing Analyst (GS-13)</w:t>
            </w:r>
          </w:p>
        </w:tc>
        <w:tc>
          <w:tcPr>
            <w:tcW w:w="0" w:type="auto"/>
            <w:tcBorders>
              <w:top w:val="nil"/>
              <w:left w:val="nil"/>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110 </w:t>
            </w:r>
          </w:p>
        </w:tc>
        <w:tc>
          <w:tcPr>
            <w:tcW w:w="0" w:type="auto"/>
            <w:tcBorders>
              <w:top w:val="nil"/>
              <w:left w:val="nil"/>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$50 </w:t>
            </w:r>
          </w:p>
        </w:tc>
        <w:tc>
          <w:tcPr>
            <w:tcW w:w="0" w:type="auto"/>
            <w:tcBorders>
              <w:top w:val="nil"/>
              <w:left w:val="nil"/>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$5,500 </w:t>
            </w:r>
          </w:p>
        </w:tc>
      </w:tr>
      <w:tr w:rsidR="00DD2366" w:rsidTr="00882056">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Supervisory Review (GS-14)</w:t>
            </w:r>
          </w:p>
        </w:tc>
        <w:tc>
          <w:tcPr>
            <w:tcW w:w="0" w:type="auto"/>
            <w:tcBorders>
              <w:top w:val="nil"/>
              <w:left w:val="nil"/>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30 </w:t>
            </w:r>
          </w:p>
        </w:tc>
        <w:tc>
          <w:tcPr>
            <w:tcW w:w="0" w:type="auto"/>
            <w:tcBorders>
              <w:top w:val="nil"/>
              <w:left w:val="nil"/>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$60 </w:t>
            </w:r>
          </w:p>
        </w:tc>
        <w:tc>
          <w:tcPr>
            <w:tcW w:w="0" w:type="auto"/>
            <w:tcBorders>
              <w:top w:val="nil"/>
              <w:left w:val="nil"/>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$1,800 </w:t>
            </w:r>
          </w:p>
        </w:tc>
      </w:tr>
      <w:tr w:rsidR="00DD2366" w:rsidTr="00882056">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Supervisory Review (GS-15)</w:t>
            </w:r>
          </w:p>
        </w:tc>
        <w:tc>
          <w:tcPr>
            <w:tcW w:w="0" w:type="auto"/>
            <w:tcBorders>
              <w:top w:val="nil"/>
              <w:left w:val="nil"/>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4 </w:t>
            </w:r>
          </w:p>
        </w:tc>
        <w:tc>
          <w:tcPr>
            <w:tcW w:w="0" w:type="auto"/>
            <w:tcBorders>
              <w:top w:val="nil"/>
              <w:left w:val="nil"/>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$70 </w:t>
            </w:r>
          </w:p>
        </w:tc>
        <w:tc>
          <w:tcPr>
            <w:tcW w:w="0" w:type="auto"/>
            <w:tcBorders>
              <w:top w:val="nil"/>
              <w:left w:val="nil"/>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$280 </w:t>
            </w:r>
          </w:p>
        </w:tc>
      </w:tr>
      <w:tr w:rsidR="00DD2366" w:rsidTr="00882056">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Review by SBA Attorney</w:t>
            </w:r>
          </w:p>
        </w:tc>
        <w:tc>
          <w:tcPr>
            <w:tcW w:w="0" w:type="auto"/>
            <w:tcBorders>
              <w:top w:val="nil"/>
              <w:left w:val="nil"/>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100 </w:t>
            </w:r>
          </w:p>
        </w:tc>
        <w:tc>
          <w:tcPr>
            <w:tcW w:w="0" w:type="auto"/>
            <w:tcBorders>
              <w:top w:val="nil"/>
              <w:left w:val="nil"/>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$60 </w:t>
            </w:r>
          </w:p>
        </w:tc>
        <w:tc>
          <w:tcPr>
            <w:tcW w:w="0" w:type="auto"/>
            <w:tcBorders>
              <w:top w:val="nil"/>
              <w:left w:val="nil"/>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$6,000 </w:t>
            </w:r>
          </w:p>
        </w:tc>
      </w:tr>
      <w:tr w:rsidR="00DD2366" w:rsidTr="00882056">
        <w:trPr>
          <w:trHeight w:val="255"/>
          <w:jc w:val="center"/>
        </w:trPr>
        <w:tc>
          <w:tcPr>
            <w:tcW w:w="0" w:type="auto"/>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Review by Licensing Committees (8 Members at GS-15/SES)</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1 </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$75 </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$600 </w:t>
            </w:r>
          </w:p>
        </w:tc>
      </w:tr>
      <w:tr w:rsidR="00DD2366" w:rsidTr="00882056">
        <w:trPr>
          <w:trHeight w:val="255"/>
          <w:jc w:val="center"/>
        </w:trPr>
        <w:tc>
          <w:tcPr>
            <w:tcW w:w="0" w:type="auto"/>
            <w:tcBorders>
              <w:top w:val="single" w:sz="12" w:space="0" w:color="auto"/>
              <w:left w:val="single" w:sz="4" w:space="0" w:color="auto"/>
              <w:bottom w:val="sing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Total Cost per Applicant</w:t>
            </w:r>
          </w:p>
        </w:tc>
        <w:tc>
          <w:tcPr>
            <w:tcW w:w="0" w:type="auto"/>
            <w:tcBorders>
              <w:top w:val="single" w:sz="12" w:space="0" w:color="auto"/>
              <w:bottom w:val="sing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 </w:t>
            </w:r>
          </w:p>
        </w:tc>
        <w:tc>
          <w:tcPr>
            <w:tcW w:w="0" w:type="auto"/>
            <w:tcBorders>
              <w:top w:val="single" w:sz="12" w:space="0" w:color="auto"/>
              <w:bottom w:val="single" w:sz="4" w:space="0" w:color="auto"/>
              <w:right w:val="sing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 </w:t>
            </w:r>
          </w:p>
        </w:tc>
        <w:tc>
          <w:tcPr>
            <w:tcW w:w="0" w:type="auto"/>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$14,180 </w:t>
            </w:r>
          </w:p>
        </w:tc>
      </w:tr>
      <w:tr w:rsidR="00DD2366" w:rsidTr="00882056">
        <w:trPr>
          <w:trHeight w:val="255"/>
          <w:jc w:val="center"/>
        </w:trPr>
        <w:tc>
          <w:tcPr>
            <w:tcW w:w="0" w:type="auto"/>
            <w:tcBorders>
              <w:top w:val="single" w:sz="4" w:space="0" w:color="auto"/>
              <w:left w:val="single" w:sz="4" w:space="0" w:color="auto"/>
              <w:bottom w:val="doub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Estimated No. of Responses</w:t>
            </w:r>
          </w:p>
        </w:tc>
        <w:tc>
          <w:tcPr>
            <w:tcW w:w="0" w:type="auto"/>
            <w:tcBorders>
              <w:top w:val="single" w:sz="4" w:space="0" w:color="auto"/>
              <w:bottom w:val="doub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 </w:t>
            </w:r>
          </w:p>
        </w:tc>
        <w:tc>
          <w:tcPr>
            <w:tcW w:w="0" w:type="auto"/>
            <w:tcBorders>
              <w:top w:val="single" w:sz="4" w:space="0" w:color="auto"/>
              <w:bottom w:val="double" w:sz="4" w:space="0" w:color="auto"/>
              <w:right w:val="sing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 </w:t>
            </w:r>
          </w:p>
        </w:tc>
        <w:tc>
          <w:tcPr>
            <w:tcW w:w="0" w:type="auto"/>
            <w:tcBorders>
              <w:top w:val="single" w:sz="4" w:space="0" w:color="auto"/>
              <w:left w:val="single" w:sz="4" w:space="0" w:color="auto"/>
              <w:bottom w:val="doub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20 </w:t>
            </w:r>
          </w:p>
        </w:tc>
      </w:tr>
      <w:tr w:rsidR="00DD2366" w:rsidTr="00882056">
        <w:trPr>
          <w:trHeight w:val="255"/>
          <w:jc w:val="center"/>
        </w:trPr>
        <w:tc>
          <w:tcPr>
            <w:tcW w:w="0" w:type="auto"/>
            <w:tcBorders>
              <w:top w:val="double" w:sz="4" w:space="0" w:color="auto"/>
              <w:left w:val="single" w:sz="4" w:space="0" w:color="auto"/>
              <w:bottom w:val="thinThickSmallGap" w:sz="2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Total Annual Cost - License Application Phase</w:t>
            </w:r>
          </w:p>
        </w:tc>
        <w:tc>
          <w:tcPr>
            <w:tcW w:w="0" w:type="auto"/>
            <w:tcBorders>
              <w:top w:val="double" w:sz="4" w:space="0" w:color="auto"/>
              <w:bottom w:val="thinThickSmallGap" w:sz="2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 </w:t>
            </w:r>
          </w:p>
        </w:tc>
        <w:tc>
          <w:tcPr>
            <w:tcW w:w="0" w:type="auto"/>
            <w:tcBorders>
              <w:top w:val="double" w:sz="4" w:space="0" w:color="auto"/>
              <w:bottom w:val="thinThickSmallGap" w:sz="24" w:space="0" w:color="auto"/>
              <w:right w:val="sing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 </w:t>
            </w:r>
          </w:p>
        </w:tc>
        <w:tc>
          <w:tcPr>
            <w:tcW w:w="0" w:type="auto"/>
            <w:tcBorders>
              <w:top w:val="double" w:sz="4" w:space="0" w:color="auto"/>
              <w:left w:val="single" w:sz="4" w:space="0" w:color="auto"/>
              <w:bottom w:val="thinThickSmallGap" w:sz="2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$283,600 </w:t>
            </w:r>
          </w:p>
        </w:tc>
      </w:tr>
      <w:tr w:rsidR="00DD2366" w:rsidTr="00882056">
        <w:trPr>
          <w:trHeight w:val="255"/>
          <w:jc w:val="center"/>
        </w:trPr>
        <w:tc>
          <w:tcPr>
            <w:tcW w:w="0" w:type="auto"/>
            <w:tcBorders>
              <w:top w:val="thinThickSmallGap" w:sz="24" w:space="0" w:color="auto"/>
              <w:left w:val="single" w:sz="4" w:space="0" w:color="auto"/>
              <w:bottom w:val="single" w:sz="4" w:space="0" w:color="auto"/>
              <w:right w:val="sing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TOTAL ANNUAL COST:</w:t>
            </w:r>
          </w:p>
        </w:tc>
        <w:tc>
          <w:tcPr>
            <w:tcW w:w="0" w:type="auto"/>
            <w:tcBorders>
              <w:top w:val="thinThickSmallGap" w:sz="24" w:space="0" w:color="auto"/>
              <w:left w:val="nil"/>
              <w:bottom w:val="single" w:sz="4" w:space="0" w:color="auto"/>
              <w:right w:val="sing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 </w:t>
            </w:r>
          </w:p>
        </w:tc>
        <w:tc>
          <w:tcPr>
            <w:tcW w:w="0" w:type="auto"/>
            <w:tcBorders>
              <w:top w:val="thinThickSmallGap" w:sz="24" w:space="0" w:color="auto"/>
              <w:left w:val="nil"/>
              <w:bottom w:val="single" w:sz="4" w:space="0" w:color="auto"/>
              <w:right w:val="single" w:sz="4" w:space="0" w:color="auto"/>
            </w:tcBorders>
            <w:shd w:val="clear" w:color="auto" w:fill="auto"/>
            <w:noWrap/>
            <w:vAlign w:val="bottom"/>
            <w:hideMark/>
          </w:tcPr>
          <w:p w:rsidR="00DD2366" w:rsidRDefault="00DD2366">
            <w:pPr>
              <w:rPr>
                <w:rFonts w:ascii="Arial" w:hAnsi="Arial" w:cs="Arial"/>
                <w:color w:val="000000"/>
                <w:sz w:val="20"/>
                <w:szCs w:val="20"/>
              </w:rPr>
            </w:pPr>
            <w:r>
              <w:rPr>
                <w:rFonts w:ascii="Arial" w:hAnsi="Arial" w:cs="Arial"/>
                <w:color w:val="000000"/>
                <w:sz w:val="20"/>
                <w:szCs w:val="20"/>
              </w:rPr>
              <w:t> </w:t>
            </w:r>
          </w:p>
        </w:tc>
        <w:tc>
          <w:tcPr>
            <w:tcW w:w="0" w:type="auto"/>
            <w:tcBorders>
              <w:top w:val="thinThickSmallGap" w:sz="24" w:space="0" w:color="auto"/>
              <w:left w:val="nil"/>
              <w:bottom w:val="single" w:sz="4" w:space="0" w:color="auto"/>
              <w:right w:val="single" w:sz="4" w:space="0" w:color="auto"/>
            </w:tcBorders>
            <w:shd w:val="clear" w:color="auto" w:fill="auto"/>
            <w:noWrap/>
            <w:vAlign w:val="bottom"/>
            <w:hideMark/>
          </w:tcPr>
          <w:p w:rsidR="00DD2366" w:rsidRDefault="00DD2366">
            <w:pPr>
              <w:jc w:val="right"/>
              <w:rPr>
                <w:rFonts w:ascii="Arial" w:hAnsi="Arial" w:cs="Arial"/>
                <w:color w:val="000000"/>
                <w:sz w:val="20"/>
                <w:szCs w:val="20"/>
              </w:rPr>
            </w:pPr>
            <w:r>
              <w:rPr>
                <w:rFonts w:ascii="Arial" w:hAnsi="Arial" w:cs="Arial"/>
                <w:color w:val="000000"/>
                <w:sz w:val="20"/>
                <w:szCs w:val="20"/>
              </w:rPr>
              <w:t xml:space="preserve">$413,100 </w:t>
            </w:r>
          </w:p>
        </w:tc>
      </w:tr>
    </w:tbl>
    <w:p w:rsidR="00362508" w:rsidRDefault="00362508" w:rsidP="002A0879">
      <w:pPr>
        <w:pStyle w:val="BodyTextIndent"/>
        <w:tabs>
          <w:tab w:val="clear" w:pos="450"/>
          <w:tab w:val="left" w:pos="-2790"/>
        </w:tabs>
        <w:spacing w:after="120"/>
        <w:rPr>
          <w:u w:val="single"/>
        </w:rPr>
      </w:pPr>
    </w:p>
    <w:p w:rsidR="002A0879" w:rsidRPr="0053754A" w:rsidRDefault="002A0879" w:rsidP="002A0879">
      <w:pPr>
        <w:pStyle w:val="BodyTextIndent"/>
        <w:numPr>
          <w:ilvl w:val="0"/>
          <w:numId w:val="5"/>
        </w:numPr>
        <w:tabs>
          <w:tab w:val="left" w:pos="-2790"/>
        </w:tabs>
        <w:spacing w:after="120"/>
        <w:rPr>
          <w:u w:val="single"/>
        </w:rPr>
      </w:pPr>
      <w:r w:rsidRPr="00AF0D5E">
        <w:rPr>
          <w:szCs w:val="24"/>
          <w:u w:val="single"/>
        </w:rPr>
        <w:t>Explanation of program changes or adjustments in Items 13 or 14 on OMB Form 83-I.</w:t>
      </w:r>
      <w:r w:rsidR="005038D6">
        <w:rPr>
          <w:szCs w:val="24"/>
        </w:rPr>
        <w:t xml:space="preserve"> </w:t>
      </w:r>
      <w:r w:rsidR="00E73D59">
        <w:rPr>
          <w:szCs w:val="24"/>
        </w:rPr>
        <w:t>The a</w:t>
      </w:r>
      <w:r w:rsidRPr="00AF0D5E">
        <w:t xml:space="preserve">nnual hour burden (item 13 of OMB 83-I) </w:t>
      </w:r>
      <w:r w:rsidR="00E73D59">
        <w:t xml:space="preserve">has </w:t>
      </w:r>
      <w:r w:rsidRPr="00AF0D5E">
        <w:t xml:space="preserve">increased </w:t>
      </w:r>
      <w:r w:rsidR="005453A1">
        <w:t xml:space="preserve">by a total of </w:t>
      </w:r>
      <w:r w:rsidR="00BD4A52">
        <w:t>203</w:t>
      </w:r>
      <w:r w:rsidR="005453A1">
        <w:t xml:space="preserve"> hours.  This is due to (i) an Adjustment of </w:t>
      </w:r>
      <w:r w:rsidR="00BD4A52">
        <w:t>113</w:t>
      </w:r>
      <w:r w:rsidR="005453A1">
        <w:t xml:space="preserve"> hours of burden resulting from an increase in the number of License Applications SBA expects to receive, and (ii) a Program Change of </w:t>
      </w:r>
      <w:r w:rsidR="00BD4A52">
        <w:t>90</w:t>
      </w:r>
      <w:r w:rsidR="005453A1">
        <w:t xml:space="preserve"> hours of burden resulting from </w:t>
      </w:r>
      <w:r>
        <w:t>the net effect of revisions to Forms 2181, 2182</w:t>
      </w:r>
      <w:r w:rsidR="006B1505">
        <w:t xml:space="preserve"> and 2183</w:t>
      </w:r>
      <w:r>
        <w:t xml:space="preserve">.  </w:t>
      </w:r>
      <w:r w:rsidR="00E73D59">
        <w:t>The annual cost burden (item 14 of OMB 83-I) has increased because of an increase in the rates typically charged by outside attorneys for application-related legal services (e.g. preparation of partnership documents and opinions of counsel)</w:t>
      </w:r>
      <w:r>
        <w:t>.</w:t>
      </w:r>
      <w:r w:rsidR="00422187">
        <w:t xml:space="preserve">  The increase in the cost burden is recorded as an Adjustment.</w:t>
      </w:r>
    </w:p>
    <w:p w:rsidR="0053754A" w:rsidRPr="005038D6" w:rsidRDefault="0053754A" w:rsidP="005038D6">
      <w:pPr>
        <w:pStyle w:val="BodyTextIndent"/>
        <w:numPr>
          <w:ilvl w:val="0"/>
          <w:numId w:val="5"/>
        </w:numPr>
        <w:tabs>
          <w:tab w:val="left" w:pos="-2790"/>
        </w:tabs>
        <w:spacing w:after="120"/>
        <w:rPr>
          <w:u w:val="single"/>
        </w:rPr>
      </w:pPr>
      <w:r>
        <w:rPr>
          <w:szCs w:val="24"/>
          <w:u w:val="single"/>
        </w:rPr>
        <w:t>Collection of information whose results will be published.</w:t>
      </w:r>
      <w:r w:rsidR="005038D6">
        <w:rPr>
          <w:u w:val="single"/>
        </w:rPr>
        <w:t xml:space="preserve"> </w:t>
      </w:r>
      <w:r w:rsidRPr="005038D6">
        <w:rPr>
          <w:szCs w:val="24"/>
        </w:rPr>
        <w:t>Results of this collection information will not be published.</w:t>
      </w:r>
    </w:p>
    <w:p w:rsidR="005038D6" w:rsidRDefault="0053754A" w:rsidP="005038D6">
      <w:pPr>
        <w:pStyle w:val="BodyTextIndent"/>
        <w:numPr>
          <w:ilvl w:val="0"/>
          <w:numId w:val="5"/>
        </w:numPr>
        <w:tabs>
          <w:tab w:val="left" w:pos="-2790"/>
        </w:tabs>
        <w:spacing w:after="120"/>
        <w:rPr>
          <w:u w:val="single"/>
        </w:rPr>
      </w:pPr>
      <w:r w:rsidRPr="0053754A">
        <w:rPr>
          <w:szCs w:val="24"/>
          <w:u w:val="single"/>
        </w:rPr>
        <w:t>Expiration date for collection of information.</w:t>
      </w:r>
      <w:r w:rsidR="005038D6">
        <w:rPr>
          <w:u w:val="single"/>
        </w:rPr>
        <w:t xml:space="preserve"> </w:t>
      </w:r>
      <w:r w:rsidRPr="005038D6">
        <w:rPr>
          <w:szCs w:val="24"/>
        </w:rPr>
        <w:t>Not applicable.</w:t>
      </w:r>
    </w:p>
    <w:p w:rsidR="005038D6" w:rsidRDefault="0053754A" w:rsidP="005038D6">
      <w:pPr>
        <w:pStyle w:val="BodyTextIndent"/>
        <w:numPr>
          <w:ilvl w:val="0"/>
          <w:numId w:val="5"/>
        </w:numPr>
        <w:tabs>
          <w:tab w:val="left" w:pos="-2790"/>
        </w:tabs>
        <w:spacing w:after="120"/>
        <w:rPr>
          <w:u w:val="single"/>
        </w:rPr>
      </w:pPr>
      <w:r w:rsidRPr="005038D6">
        <w:rPr>
          <w:szCs w:val="24"/>
          <w:u w:val="single"/>
        </w:rPr>
        <w:t>Exceptions to certifications in Block 19 on OMB Form 83-I</w:t>
      </w:r>
      <w:r w:rsidR="005038D6" w:rsidRPr="005038D6">
        <w:rPr>
          <w:szCs w:val="24"/>
          <w:u w:val="single"/>
        </w:rPr>
        <w:t xml:space="preserve"> </w:t>
      </w:r>
      <w:r w:rsidRPr="005038D6">
        <w:rPr>
          <w:szCs w:val="24"/>
        </w:rPr>
        <w:t>Not applicable.</w:t>
      </w:r>
    </w:p>
    <w:p w:rsidR="0053754A" w:rsidRPr="005038D6" w:rsidRDefault="0053754A" w:rsidP="005038D6">
      <w:pPr>
        <w:pStyle w:val="BodyTextIndent"/>
        <w:numPr>
          <w:ilvl w:val="0"/>
          <w:numId w:val="2"/>
        </w:numPr>
        <w:tabs>
          <w:tab w:val="clear" w:pos="450"/>
          <w:tab w:val="left" w:pos="-2790"/>
        </w:tabs>
        <w:spacing w:after="120"/>
        <w:ind w:left="360"/>
        <w:rPr>
          <w:u w:val="single"/>
        </w:rPr>
      </w:pPr>
      <w:r w:rsidRPr="005038D6">
        <w:rPr>
          <w:u w:val="single"/>
        </w:rPr>
        <w:t>Collection of Information Employing Statistical Methods</w:t>
      </w:r>
      <w:r w:rsidR="005038D6" w:rsidRPr="005038D6">
        <w:rPr>
          <w:u w:val="single"/>
        </w:rPr>
        <w:t>.</w:t>
      </w:r>
      <w:r w:rsidR="005038D6" w:rsidRPr="005038D6">
        <w:t xml:space="preserve">  </w:t>
      </w:r>
      <w:r>
        <w:t>This collection of information does not employ statistical methods.</w:t>
      </w:r>
    </w:p>
    <w:p w:rsidR="00775339" w:rsidRDefault="00775339" w:rsidP="00775339">
      <w:pPr>
        <w:pStyle w:val="BodyTextIndent"/>
        <w:tabs>
          <w:tab w:val="clear" w:pos="450"/>
          <w:tab w:val="left" w:pos="-2790"/>
        </w:tabs>
        <w:spacing w:after="120"/>
        <w:sectPr w:rsidR="00775339">
          <w:footerReference w:type="default" r:id="rId9"/>
          <w:pgSz w:w="12240" w:h="15840"/>
          <w:pgMar w:top="1440" w:right="1440" w:bottom="1440" w:left="1440" w:header="720" w:footer="720" w:gutter="0"/>
          <w:cols w:space="720"/>
          <w:docGrid w:linePitch="360"/>
        </w:sectPr>
      </w:pPr>
    </w:p>
    <w:p w:rsidR="00775339" w:rsidRPr="00775339" w:rsidRDefault="00775339" w:rsidP="00775339">
      <w:pPr>
        <w:pStyle w:val="BodyTextIndent"/>
        <w:tabs>
          <w:tab w:val="clear" w:pos="450"/>
          <w:tab w:val="left" w:pos="-2790"/>
        </w:tabs>
        <w:spacing w:after="120"/>
        <w:rPr>
          <w:b/>
          <w:sz w:val="22"/>
          <w:szCs w:val="22"/>
        </w:rPr>
      </w:pPr>
      <w:r w:rsidRPr="00775339">
        <w:rPr>
          <w:b/>
          <w:sz w:val="22"/>
          <w:szCs w:val="22"/>
        </w:rPr>
        <w:lastRenderedPageBreak/>
        <w:t>Attachment A: Prior Version vs. New Collection</w:t>
      </w:r>
    </w:p>
    <w:p w:rsidR="00775339" w:rsidRPr="00775339" w:rsidRDefault="00775339" w:rsidP="00775339">
      <w:pPr>
        <w:keepNext/>
        <w:keepLines/>
        <w:spacing w:before="480" w:after="240" w:line="276" w:lineRule="auto"/>
        <w:outlineLvl w:val="0"/>
        <w:rPr>
          <w:rFonts w:asciiTheme="majorHAnsi" w:eastAsiaTheme="majorEastAsia" w:hAnsiTheme="majorHAnsi" w:cstheme="majorBidi"/>
          <w:b/>
          <w:bCs/>
          <w:color w:val="365F91" w:themeColor="accent1" w:themeShade="BF"/>
          <w:sz w:val="22"/>
          <w:szCs w:val="22"/>
        </w:rPr>
      </w:pPr>
      <w:r w:rsidRPr="00775339">
        <w:rPr>
          <w:rFonts w:asciiTheme="majorHAnsi" w:eastAsiaTheme="majorEastAsia" w:hAnsiTheme="majorHAnsi" w:cstheme="majorBidi"/>
          <w:b/>
          <w:bCs/>
          <w:color w:val="365F91" w:themeColor="accent1" w:themeShade="BF"/>
          <w:sz w:val="22"/>
          <w:szCs w:val="22"/>
        </w:rPr>
        <w:t>Form 2181</w:t>
      </w:r>
    </w:p>
    <w:p w:rsidR="00775339" w:rsidRPr="00775339" w:rsidRDefault="00775339" w:rsidP="00775339">
      <w:pPr>
        <w:tabs>
          <w:tab w:val="left" w:pos="6570"/>
        </w:tabs>
        <w:spacing w:after="200" w:line="276" w:lineRule="auto"/>
        <w:rPr>
          <w:rFonts w:asciiTheme="minorHAnsi" w:eastAsiaTheme="minorEastAsia" w:hAnsiTheme="minorHAnsi" w:cstheme="minorBidi"/>
          <w:b/>
          <w:sz w:val="22"/>
          <w:szCs w:val="22"/>
        </w:rPr>
      </w:pPr>
      <w:r w:rsidRPr="00775339">
        <w:rPr>
          <w:rFonts w:asciiTheme="minorHAnsi" w:eastAsiaTheme="minorEastAsia" w:hAnsiTheme="minorHAnsi" w:cstheme="minorBidi"/>
          <w:b/>
          <w:sz w:val="22"/>
          <w:szCs w:val="22"/>
        </w:rPr>
        <w:t>Old Application</w:t>
      </w:r>
      <w:r w:rsidRPr="00775339">
        <w:rPr>
          <w:rFonts w:asciiTheme="minorHAnsi" w:eastAsiaTheme="minorEastAsia" w:hAnsiTheme="minorHAnsi" w:cstheme="minorBidi"/>
          <w:b/>
          <w:sz w:val="22"/>
          <w:szCs w:val="22"/>
        </w:rPr>
        <w:tab/>
        <w:t>New Application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4810"/>
        <w:gridCol w:w="4780"/>
      </w:tblGrid>
      <w:tr w:rsidR="00775339" w:rsidRPr="00210408" w:rsidTr="00210408">
        <w:tc>
          <w:tcPr>
            <w:tcW w:w="2508" w:type="pct"/>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General Instructions</w:t>
            </w:r>
          </w:p>
        </w:tc>
        <w:tc>
          <w:tcPr>
            <w:tcW w:w="2492" w:type="pct"/>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Instructions: Form</w:t>
            </w:r>
            <w:r w:rsidR="002446AC">
              <w:rPr>
                <w:rFonts w:ascii="Times New Roman" w:hAnsi="Times New Roman" w:cs="Times New Roman"/>
              </w:rPr>
              <w:t>s</w:t>
            </w:r>
            <w:r w:rsidRPr="00210408">
              <w:rPr>
                <w:rFonts w:ascii="Times New Roman" w:hAnsi="Times New Roman" w:cs="Times New Roman"/>
              </w:rPr>
              <w:t xml:space="preserve"> 2181, 2182 and 2183</w:t>
            </w:r>
          </w:p>
        </w:tc>
      </w:tr>
      <w:tr w:rsidR="00775339" w:rsidRPr="00210408" w:rsidTr="00210408">
        <w:tc>
          <w:tcPr>
            <w:tcW w:w="2508" w:type="pct"/>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Form 2181</w:t>
            </w:r>
          </w:p>
        </w:tc>
        <w:tc>
          <w:tcPr>
            <w:tcW w:w="2492" w:type="pct"/>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Form 2181: Applicant Narrative</w:t>
            </w:r>
          </w:p>
          <w:p w:rsidR="00775339" w:rsidRPr="00210408" w:rsidRDefault="00775339" w:rsidP="00210408">
            <w:pPr>
              <w:rPr>
                <w:rFonts w:ascii="Times New Roman" w:hAnsi="Times New Roman" w:cs="Times New Roman"/>
                <w:i/>
              </w:rPr>
            </w:pPr>
            <w:r w:rsidRPr="00210408">
              <w:rPr>
                <w:rFonts w:ascii="Times New Roman" w:hAnsi="Times New Roman" w:cs="Times New Roman"/>
                <w:i/>
              </w:rPr>
              <w:t>Contains questions that require a written response.  This new version of Form 2181 has eliminated several questions from the old version, consolidated prior questions and added some new questions.</w:t>
            </w:r>
          </w:p>
          <w:p w:rsidR="00775339" w:rsidRPr="00210408" w:rsidRDefault="00775339" w:rsidP="00210408">
            <w:pPr>
              <w:rPr>
                <w:rFonts w:ascii="Times New Roman" w:hAnsi="Times New Roman" w:cs="Times New Roman"/>
                <w:i/>
              </w:rPr>
            </w:pPr>
          </w:p>
          <w:p w:rsidR="00775339" w:rsidRPr="00210408" w:rsidRDefault="00775339" w:rsidP="00210408">
            <w:pPr>
              <w:rPr>
                <w:rFonts w:ascii="Times New Roman" w:hAnsi="Times New Roman" w:cs="Times New Roman"/>
              </w:rPr>
            </w:pPr>
            <w:r w:rsidRPr="00210408">
              <w:rPr>
                <w:rFonts w:ascii="Times New Roman" w:hAnsi="Times New Roman" w:cs="Times New Roman"/>
              </w:rPr>
              <w:t>Form 2181: Excel Supplement</w:t>
            </w:r>
          </w:p>
          <w:p w:rsidR="00775339" w:rsidRPr="00210408" w:rsidRDefault="00775339" w:rsidP="00210408">
            <w:pPr>
              <w:rPr>
                <w:rFonts w:ascii="Times New Roman" w:hAnsi="Times New Roman" w:cs="Times New Roman"/>
                <w:i/>
              </w:rPr>
            </w:pPr>
            <w:r w:rsidRPr="00210408">
              <w:rPr>
                <w:rFonts w:ascii="Times New Roman" w:hAnsi="Times New Roman" w:cs="Times New Roman"/>
                <w:i/>
              </w:rPr>
              <w:t>Nearly all of the tables that had been included in the prior version of Form 2181 have been moved into an Excel supplement to facilitate applicant data entry and SBA analysis.</w:t>
            </w:r>
          </w:p>
        </w:tc>
      </w:tr>
    </w:tbl>
    <w:p w:rsidR="00775339" w:rsidRPr="00775339" w:rsidRDefault="00775339" w:rsidP="00775339">
      <w:pPr>
        <w:keepNext/>
        <w:keepLines/>
        <w:spacing w:before="480" w:after="240" w:line="276" w:lineRule="auto"/>
        <w:outlineLvl w:val="0"/>
        <w:rPr>
          <w:rFonts w:asciiTheme="majorHAnsi" w:eastAsiaTheme="majorEastAsia" w:hAnsiTheme="majorHAnsi" w:cstheme="majorBidi"/>
          <w:b/>
          <w:bCs/>
          <w:color w:val="365F91" w:themeColor="accent1" w:themeShade="BF"/>
          <w:sz w:val="22"/>
          <w:szCs w:val="22"/>
        </w:rPr>
      </w:pPr>
      <w:r w:rsidRPr="00775339">
        <w:rPr>
          <w:rFonts w:asciiTheme="majorHAnsi" w:eastAsiaTheme="majorEastAsia" w:hAnsiTheme="majorHAnsi" w:cstheme="majorBidi"/>
          <w:b/>
          <w:bCs/>
          <w:color w:val="365F91" w:themeColor="accent1" w:themeShade="BF"/>
          <w:sz w:val="22"/>
          <w:szCs w:val="22"/>
        </w:rPr>
        <w:t>Form 2182 and Form 2183</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4795"/>
        <w:gridCol w:w="4795"/>
      </w:tblGrid>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A: Checklist</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Application Instructions: Form 2181, 2182 &amp; 2183</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B: Parties Required to Submit Information</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Exhibit G. Identified Parties &amp; Fingerprint Cards</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C-1: Statement of Personal History (Individuals)</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Exhibit H. Statement of Personal History (Individuals)</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C-2: Statement of Personal History (Entities)</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Exhibit I. Statement of Personal History (Entities)</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D: Legal Proceedings Questionnaire</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Exhibit B. Legal Questionnaire</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E: Business Experience &amp; Education of Principals</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Exhibit A. Experience</w:t>
            </w:r>
          </w:p>
          <w:p w:rsidR="00775339" w:rsidRPr="00210408" w:rsidRDefault="00775339" w:rsidP="00210408">
            <w:pPr>
              <w:rPr>
                <w:rFonts w:ascii="Times New Roman" w:hAnsi="Times New Roman" w:cs="Times New Roman"/>
              </w:rPr>
            </w:pPr>
            <w:r w:rsidRPr="00210408">
              <w:rPr>
                <w:rFonts w:ascii="Times New Roman" w:hAnsi="Times New Roman" w:cs="Times New Roman"/>
              </w:rPr>
              <w:lastRenderedPageBreak/>
              <w:t>Exhibit D. References</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lastRenderedPageBreak/>
              <w:t>Exhibit F1: Investment Experience of Principals</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i/>
              </w:rPr>
            </w:pPr>
            <w:r w:rsidRPr="00210408">
              <w:rPr>
                <w:rFonts w:ascii="Times New Roman" w:hAnsi="Times New Roman" w:cs="Times New Roman"/>
                <w:i/>
              </w:rPr>
              <w:t>Eliminated</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F2: Investment Experience of Principals</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 xml:space="preserve">Exhibit E1. Track Record </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F3: Investment Experience of Principals</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Exhibit E2. Track Record</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G: Information Regarding Other Activities and…</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i/>
              </w:rPr>
            </w:pPr>
            <w:r w:rsidRPr="00210408">
              <w:rPr>
                <w:rFonts w:ascii="Times New Roman" w:hAnsi="Times New Roman" w:cs="Times New Roman"/>
              </w:rPr>
              <w:t xml:space="preserve">Form 2181: Applicant Narrative – Section 2: </w:t>
            </w:r>
            <w:r w:rsidRPr="00210408">
              <w:rPr>
                <w:rFonts w:ascii="Times New Roman" w:hAnsi="Times New Roman" w:cs="Times New Roman"/>
                <w:i/>
              </w:rPr>
              <w:t>Questions G1 and G2</w:t>
            </w:r>
          </w:p>
          <w:p w:rsidR="00775339" w:rsidRPr="00210408" w:rsidRDefault="00775339" w:rsidP="00210408">
            <w:pPr>
              <w:rPr>
                <w:rFonts w:ascii="Times New Roman" w:hAnsi="Times New Roman" w:cs="Times New Roman"/>
              </w:rPr>
            </w:pPr>
            <w:r w:rsidRPr="00210408">
              <w:rPr>
                <w:rFonts w:ascii="Times New Roman" w:hAnsi="Times New Roman" w:cs="Times New Roman"/>
              </w:rPr>
              <w:t>Exhibit C. Other SBIC Activities and Relationships</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H: Authorization to Release Information</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Exhibit J. Authorization to Release Information</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I: Declaration of Significant Investors</w:t>
            </w:r>
          </w:p>
        </w:tc>
        <w:tc>
          <w:tcPr>
            <w:tcW w:w="4795" w:type="dxa"/>
            <w:tcBorders>
              <w:top w:val="single" w:sz="4" w:space="0" w:color="auto"/>
              <w:bottom w:val="single" w:sz="4" w:space="0" w:color="auto"/>
            </w:tcBorders>
          </w:tcPr>
          <w:p w:rsidR="00775339" w:rsidRPr="00210408" w:rsidRDefault="00775339" w:rsidP="00EF3BF0">
            <w:pPr>
              <w:rPr>
                <w:rFonts w:ascii="Times New Roman" w:hAnsi="Times New Roman" w:cs="Times New Roman"/>
              </w:rPr>
            </w:pPr>
            <w:r w:rsidRPr="00210408">
              <w:rPr>
                <w:rFonts w:ascii="Times New Roman" w:hAnsi="Times New Roman" w:cs="Times New Roman"/>
              </w:rPr>
              <w:t xml:space="preserve">Exhibit </w:t>
            </w:r>
            <w:r w:rsidR="00EF3BF0">
              <w:rPr>
                <w:rFonts w:ascii="Times New Roman" w:hAnsi="Times New Roman" w:cs="Times New Roman"/>
              </w:rPr>
              <w:t>M</w:t>
            </w:r>
            <w:r w:rsidRPr="00210408">
              <w:rPr>
                <w:rFonts w:ascii="Times New Roman" w:hAnsi="Times New Roman" w:cs="Times New Roman"/>
              </w:rPr>
              <w:t>. Declaration of Significant Investors</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J: Transferor’s Liability Contract</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Exhibit L. Transferor’s Liability Contract</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K: Organizational Chart</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Form 2181: Applicant Narrative – Section 7.1</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L: Supplemental Information</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Form 2181: Applicant Narrative – Section 9</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M: Capital Certificate</w:t>
            </w:r>
          </w:p>
        </w:tc>
        <w:tc>
          <w:tcPr>
            <w:tcW w:w="4795" w:type="dxa"/>
            <w:tcBorders>
              <w:top w:val="single" w:sz="4" w:space="0" w:color="auto"/>
              <w:bottom w:val="single" w:sz="4" w:space="0" w:color="auto"/>
            </w:tcBorders>
          </w:tcPr>
          <w:p w:rsidR="00775339" w:rsidRPr="00210408" w:rsidRDefault="00EF3BF0" w:rsidP="00210408">
            <w:pPr>
              <w:rPr>
                <w:rFonts w:ascii="Times New Roman" w:hAnsi="Times New Roman" w:cs="Times New Roman"/>
              </w:rPr>
            </w:pPr>
            <w:r>
              <w:rPr>
                <w:rFonts w:ascii="Times New Roman" w:hAnsi="Times New Roman" w:cs="Times New Roman"/>
              </w:rPr>
              <w:t>Exhibit K. Capital Certificate</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N: Forecast</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Form 2181: Applicant Narrative – Section 8. Attachments</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O: Offering Memoranda &amp; Other Documents</w:t>
            </w:r>
          </w:p>
        </w:tc>
        <w:tc>
          <w:tcPr>
            <w:tcW w:w="4795" w:type="dxa"/>
            <w:tcBorders>
              <w:top w:val="single" w:sz="4" w:space="0" w:color="auto"/>
              <w:bottom w:val="single" w:sz="4" w:space="0" w:color="auto"/>
            </w:tcBorders>
          </w:tcPr>
          <w:p w:rsidR="00775339" w:rsidRPr="00210408" w:rsidRDefault="00EF3BF0" w:rsidP="00210408">
            <w:pPr>
              <w:rPr>
                <w:rFonts w:ascii="Times New Roman" w:hAnsi="Times New Roman" w:cs="Times New Roman"/>
              </w:rPr>
            </w:pPr>
            <w:r>
              <w:rPr>
                <w:rFonts w:ascii="Times New Roman" w:hAnsi="Times New Roman" w:cs="Times New Roman"/>
              </w:rPr>
              <w:t>Exhibit N</w:t>
            </w:r>
            <w:r w:rsidR="00775339" w:rsidRPr="00210408">
              <w:rPr>
                <w:rFonts w:ascii="Times New Roman" w:hAnsi="Times New Roman" w:cs="Times New Roman"/>
              </w:rPr>
              <w:t>. Offering Memoranda &amp; Other Documents</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P: Due diligence checklists, reports, term sheets, etc.</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Form 2181: Applicant Narrative – Section 8. Attachments</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Q: Organizational Documents of Applicant</w:t>
            </w:r>
          </w:p>
        </w:tc>
        <w:tc>
          <w:tcPr>
            <w:tcW w:w="4795" w:type="dxa"/>
            <w:tcBorders>
              <w:top w:val="single" w:sz="4" w:space="0" w:color="auto"/>
              <w:bottom w:val="single" w:sz="4" w:space="0" w:color="auto"/>
            </w:tcBorders>
          </w:tcPr>
          <w:p w:rsidR="00775339" w:rsidRPr="00210408" w:rsidRDefault="00EF3BF0" w:rsidP="00210408">
            <w:pPr>
              <w:rPr>
                <w:rFonts w:ascii="Times New Roman" w:hAnsi="Times New Roman" w:cs="Times New Roman"/>
              </w:rPr>
            </w:pPr>
            <w:r>
              <w:rPr>
                <w:rFonts w:ascii="Times New Roman" w:hAnsi="Times New Roman" w:cs="Times New Roman"/>
              </w:rPr>
              <w:t>Exhibit O</w:t>
            </w:r>
            <w:r w:rsidR="00775339" w:rsidRPr="00210408">
              <w:rPr>
                <w:rFonts w:ascii="Times New Roman" w:hAnsi="Times New Roman" w:cs="Times New Roman"/>
              </w:rPr>
              <w:t>. Organizational Documents of Applicant</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R: Opinions of Counsel</w:t>
            </w:r>
          </w:p>
        </w:tc>
        <w:tc>
          <w:tcPr>
            <w:tcW w:w="4795" w:type="dxa"/>
            <w:tcBorders>
              <w:top w:val="single" w:sz="4" w:space="0" w:color="auto"/>
              <w:bottom w:val="single" w:sz="4" w:space="0" w:color="auto"/>
            </w:tcBorders>
          </w:tcPr>
          <w:p w:rsidR="00775339" w:rsidRPr="00210408" w:rsidRDefault="00EF3BF0" w:rsidP="00210408">
            <w:pPr>
              <w:rPr>
                <w:rFonts w:ascii="Times New Roman" w:hAnsi="Times New Roman" w:cs="Times New Roman"/>
              </w:rPr>
            </w:pPr>
            <w:r>
              <w:rPr>
                <w:rFonts w:ascii="Times New Roman" w:hAnsi="Times New Roman" w:cs="Times New Roman"/>
              </w:rPr>
              <w:t>Exhibit P</w:t>
            </w:r>
            <w:r w:rsidR="00775339" w:rsidRPr="00210408">
              <w:rPr>
                <w:rFonts w:ascii="Times New Roman" w:hAnsi="Times New Roman" w:cs="Times New Roman"/>
              </w:rPr>
              <w:t>. Opinions of Counsel</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S: Management Services &amp; Other Agreements</w:t>
            </w:r>
          </w:p>
        </w:tc>
        <w:tc>
          <w:tcPr>
            <w:tcW w:w="4795" w:type="dxa"/>
            <w:tcBorders>
              <w:top w:val="single" w:sz="4" w:space="0" w:color="auto"/>
              <w:bottom w:val="single" w:sz="4" w:space="0" w:color="auto"/>
            </w:tcBorders>
          </w:tcPr>
          <w:p w:rsidR="00775339" w:rsidRPr="00210408" w:rsidRDefault="00EF3BF0" w:rsidP="00210408">
            <w:pPr>
              <w:rPr>
                <w:rFonts w:ascii="Times New Roman" w:hAnsi="Times New Roman" w:cs="Times New Roman"/>
              </w:rPr>
            </w:pPr>
            <w:r>
              <w:rPr>
                <w:rFonts w:ascii="Times New Roman" w:hAnsi="Times New Roman" w:cs="Times New Roman"/>
              </w:rPr>
              <w:t>Exhibit Q</w:t>
            </w:r>
            <w:r w:rsidR="00775339" w:rsidRPr="00210408">
              <w:rPr>
                <w:rFonts w:ascii="Times New Roman" w:hAnsi="Times New Roman" w:cs="Times New Roman"/>
              </w:rPr>
              <w:t>. Management Services &amp; Other Agreements</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lastRenderedPageBreak/>
              <w:t>Exhibit T: Bank Letter</w:t>
            </w:r>
          </w:p>
        </w:tc>
        <w:tc>
          <w:tcPr>
            <w:tcW w:w="4795" w:type="dxa"/>
            <w:tcBorders>
              <w:top w:val="single" w:sz="4" w:space="0" w:color="auto"/>
              <w:bottom w:val="single" w:sz="4" w:space="0" w:color="auto"/>
            </w:tcBorders>
          </w:tcPr>
          <w:p w:rsidR="00775339" w:rsidRPr="00210408" w:rsidRDefault="00EF3BF0" w:rsidP="00210408">
            <w:pPr>
              <w:rPr>
                <w:rFonts w:ascii="Times New Roman" w:hAnsi="Times New Roman" w:cs="Times New Roman"/>
              </w:rPr>
            </w:pPr>
            <w:r>
              <w:rPr>
                <w:rFonts w:ascii="Times New Roman" w:hAnsi="Times New Roman" w:cs="Times New Roman"/>
              </w:rPr>
              <w:t>Exhibit R</w:t>
            </w:r>
            <w:r w:rsidR="00775339" w:rsidRPr="00210408">
              <w:rPr>
                <w:rFonts w:ascii="Times New Roman" w:hAnsi="Times New Roman" w:cs="Times New Roman"/>
              </w:rPr>
              <w:t>. Bank Letter &amp; Third Party Debt</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U: Legal Documentation Certification</w:t>
            </w:r>
          </w:p>
        </w:tc>
        <w:tc>
          <w:tcPr>
            <w:tcW w:w="4795" w:type="dxa"/>
            <w:tcBorders>
              <w:top w:val="single" w:sz="4" w:space="0" w:color="auto"/>
              <w:bottom w:val="single" w:sz="4" w:space="0" w:color="auto"/>
            </w:tcBorders>
          </w:tcPr>
          <w:p w:rsidR="00775339" w:rsidRPr="00210408" w:rsidRDefault="00775339" w:rsidP="00EF3BF0">
            <w:pPr>
              <w:rPr>
                <w:rFonts w:ascii="Times New Roman" w:hAnsi="Times New Roman" w:cs="Times New Roman"/>
              </w:rPr>
            </w:pPr>
            <w:r w:rsidRPr="00210408">
              <w:rPr>
                <w:rFonts w:ascii="Times New Roman" w:hAnsi="Times New Roman" w:cs="Times New Roman"/>
              </w:rPr>
              <w:t xml:space="preserve">Exhibit </w:t>
            </w:r>
            <w:r w:rsidR="00EF3BF0">
              <w:rPr>
                <w:rFonts w:ascii="Times New Roman" w:hAnsi="Times New Roman" w:cs="Times New Roman"/>
              </w:rPr>
              <w:t>S</w:t>
            </w:r>
            <w:r w:rsidRPr="00210408">
              <w:rPr>
                <w:rFonts w:ascii="Times New Roman" w:hAnsi="Times New Roman" w:cs="Times New Roman"/>
              </w:rPr>
              <w:t>. Legal Documentation Certification</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V: Discussion of Issues for Public SBICs</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Form 2181: Applicant Narrative – Appendix 4</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W: Approval of Organizational &amp; Management…</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i/>
              </w:rPr>
            </w:pPr>
            <w:r w:rsidRPr="00210408">
              <w:rPr>
                <w:rFonts w:ascii="Times New Roman" w:hAnsi="Times New Roman" w:cs="Times New Roman"/>
                <w:i/>
              </w:rPr>
              <w:t>Eliminated</w:t>
            </w:r>
          </w:p>
        </w:tc>
      </w:tr>
      <w:tr w:rsidR="00775339" w:rsidRPr="00210408" w:rsidTr="00210408">
        <w:tc>
          <w:tcPr>
            <w:tcW w:w="4795" w:type="dxa"/>
            <w:tcBorders>
              <w:top w:val="single" w:sz="4" w:space="0" w:color="auto"/>
              <w:bottom w:val="single" w:sz="4" w:space="0" w:color="auto"/>
            </w:tcBorders>
          </w:tcPr>
          <w:p w:rsidR="00775339" w:rsidRPr="00210408" w:rsidRDefault="00775339" w:rsidP="00210408">
            <w:pPr>
              <w:rPr>
                <w:rFonts w:ascii="Times New Roman" w:eastAsiaTheme="majorEastAsia" w:hAnsi="Times New Roman" w:cs="Times New Roman"/>
              </w:rPr>
            </w:pPr>
            <w:r w:rsidRPr="00210408">
              <w:rPr>
                <w:rFonts w:ascii="Times New Roman" w:eastAsiaTheme="majorEastAsia" w:hAnsi="Times New Roman" w:cs="Times New Roman"/>
              </w:rPr>
              <w:t>Exhibit X: Pre-Licensing Investments</w:t>
            </w:r>
          </w:p>
        </w:tc>
        <w:tc>
          <w:tcPr>
            <w:tcW w:w="4795" w:type="dxa"/>
            <w:tcBorders>
              <w:top w:val="single" w:sz="4" w:space="0" w:color="auto"/>
              <w:bottom w:val="single" w:sz="4" w:space="0" w:color="auto"/>
            </w:tcBorders>
          </w:tcPr>
          <w:p w:rsidR="00775339" w:rsidRPr="00210408" w:rsidRDefault="00775339" w:rsidP="00210408">
            <w:pPr>
              <w:rPr>
                <w:rFonts w:ascii="Times New Roman" w:hAnsi="Times New Roman" w:cs="Times New Roman"/>
              </w:rPr>
            </w:pPr>
            <w:r w:rsidRPr="00210408">
              <w:rPr>
                <w:rFonts w:ascii="Times New Roman" w:hAnsi="Times New Roman" w:cs="Times New Roman"/>
              </w:rPr>
              <w:t>Pre-Licensing Worksheet</w:t>
            </w:r>
          </w:p>
        </w:tc>
      </w:tr>
    </w:tbl>
    <w:p w:rsidR="00775339" w:rsidRPr="00775339" w:rsidRDefault="00775339" w:rsidP="00775339">
      <w:pPr>
        <w:keepNext/>
        <w:keepLines/>
        <w:spacing w:before="480" w:line="276" w:lineRule="auto"/>
        <w:outlineLvl w:val="0"/>
        <w:rPr>
          <w:rFonts w:asciiTheme="majorHAnsi" w:eastAsiaTheme="majorEastAsia" w:hAnsiTheme="majorHAnsi" w:cstheme="majorBidi"/>
          <w:b/>
          <w:bCs/>
          <w:color w:val="365F91" w:themeColor="accent1" w:themeShade="BF"/>
          <w:sz w:val="22"/>
          <w:szCs w:val="22"/>
        </w:rPr>
      </w:pPr>
      <w:r w:rsidRPr="00775339">
        <w:rPr>
          <w:rFonts w:asciiTheme="majorHAnsi" w:eastAsiaTheme="majorEastAsia" w:hAnsiTheme="majorHAnsi" w:cstheme="majorBidi"/>
          <w:b/>
          <w:bCs/>
          <w:color w:val="365F91" w:themeColor="accent1" w:themeShade="BF"/>
          <w:sz w:val="22"/>
          <w:szCs w:val="22"/>
        </w:rPr>
        <w:t>New Application Components:</w:t>
      </w:r>
    </w:p>
    <w:p w:rsidR="00775339" w:rsidRPr="00775339" w:rsidRDefault="00775339" w:rsidP="00775339">
      <w:pPr>
        <w:spacing w:after="200" w:line="276" w:lineRule="auto"/>
        <w:rPr>
          <w:rFonts w:asciiTheme="minorHAnsi" w:eastAsiaTheme="minorEastAsia" w:hAnsiTheme="minorHAnsi" w:cstheme="minorBidi"/>
          <w:sz w:val="22"/>
          <w:szCs w:val="22"/>
        </w:rPr>
      </w:pPr>
      <w:r w:rsidRPr="00775339">
        <w:rPr>
          <w:rFonts w:asciiTheme="minorHAnsi" w:eastAsiaTheme="minorEastAsia" w:hAnsiTheme="minorHAnsi" w:cstheme="minorBidi"/>
          <w:sz w:val="22"/>
          <w:szCs w:val="22"/>
        </w:rPr>
        <w:t>In addition what has been discussed above, there are some new additions to the SBIC Program application materials:</w:t>
      </w:r>
    </w:p>
    <w:p w:rsidR="00775339" w:rsidRPr="00775339" w:rsidRDefault="00775339" w:rsidP="00775339">
      <w:pPr>
        <w:numPr>
          <w:ilvl w:val="0"/>
          <w:numId w:val="8"/>
        </w:numPr>
        <w:spacing w:after="200" w:line="276" w:lineRule="auto"/>
        <w:rPr>
          <w:rFonts w:asciiTheme="minorHAnsi" w:eastAsiaTheme="minorEastAsia" w:hAnsiTheme="minorHAnsi" w:cstheme="minorBidi"/>
          <w:b/>
          <w:sz w:val="22"/>
          <w:szCs w:val="22"/>
        </w:rPr>
      </w:pPr>
      <w:r w:rsidRPr="00775339">
        <w:rPr>
          <w:rFonts w:asciiTheme="minorHAnsi" w:eastAsiaTheme="minorEastAsia" w:hAnsiTheme="minorHAnsi" w:cstheme="minorBidi"/>
          <w:b/>
          <w:sz w:val="22"/>
          <w:szCs w:val="22"/>
        </w:rPr>
        <w:t>Exhibit F. Portfolio Detail:</w:t>
      </w:r>
      <w:r w:rsidRPr="00775339">
        <w:rPr>
          <w:rFonts w:asciiTheme="minorHAnsi" w:eastAsiaTheme="minorEastAsia" w:hAnsiTheme="minorHAnsi" w:cstheme="minorBidi"/>
          <w:sz w:val="22"/>
          <w:szCs w:val="22"/>
        </w:rPr>
        <w:t xml:space="preserve"> This new exhibit asks for additional information about the portfolio companies included in the applicant’s track record</w:t>
      </w:r>
    </w:p>
    <w:p w:rsidR="00775339" w:rsidRPr="00775339" w:rsidRDefault="00775339" w:rsidP="00775339">
      <w:pPr>
        <w:numPr>
          <w:ilvl w:val="0"/>
          <w:numId w:val="8"/>
        </w:numPr>
        <w:spacing w:after="200" w:line="276" w:lineRule="auto"/>
        <w:rPr>
          <w:rFonts w:asciiTheme="minorHAnsi" w:eastAsiaTheme="minorEastAsia" w:hAnsiTheme="minorHAnsi" w:cstheme="minorBidi"/>
          <w:sz w:val="22"/>
          <w:szCs w:val="22"/>
        </w:rPr>
      </w:pPr>
      <w:r w:rsidRPr="00775339">
        <w:rPr>
          <w:rFonts w:asciiTheme="minorHAnsi" w:eastAsiaTheme="minorEastAsia" w:hAnsiTheme="minorHAnsi" w:cstheme="minorBidi"/>
          <w:b/>
          <w:sz w:val="22"/>
          <w:szCs w:val="22"/>
        </w:rPr>
        <w:t>Exhibit R. SBIC Directory Profile:</w:t>
      </w:r>
      <w:r w:rsidRPr="00775339">
        <w:rPr>
          <w:rFonts w:asciiTheme="minorHAnsi" w:eastAsiaTheme="minorEastAsia" w:hAnsiTheme="minorHAnsi" w:cstheme="minorBidi"/>
          <w:sz w:val="22"/>
          <w:szCs w:val="22"/>
        </w:rPr>
        <w:t xml:space="preserve"> Those applicants filing a license application will be asked to provide an SBIC Directory profile for use in the SBA’s online directory of actively licensed SBICs.</w:t>
      </w:r>
    </w:p>
    <w:p w:rsidR="00775339" w:rsidRPr="00775339" w:rsidRDefault="00775339" w:rsidP="00775339">
      <w:pPr>
        <w:pStyle w:val="BodyTextIndent"/>
        <w:tabs>
          <w:tab w:val="clear" w:pos="450"/>
          <w:tab w:val="left" w:pos="-2790"/>
        </w:tabs>
        <w:spacing w:after="120"/>
        <w:rPr>
          <w:b/>
          <w:sz w:val="22"/>
          <w:szCs w:val="22"/>
        </w:rPr>
      </w:pPr>
      <w:r w:rsidRPr="00775339">
        <w:rPr>
          <w:b/>
          <w:sz w:val="22"/>
          <w:szCs w:val="22"/>
        </w:rPr>
        <w:t xml:space="preserve"> </w:t>
      </w:r>
    </w:p>
    <w:sectPr w:rsidR="00775339" w:rsidRPr="00775339" w:rsidSect="002104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0B4" w:rsidRDefault="004320B4" w:rsidP="00387002">
      <w:r>
        <w:separator/>
      </w:r>
    </w:p>
  </w:endnote>
  <w:endnote w:type="continuationSeparator" w:id="0">
    <w:p w:rsidR="004320B4" w:rsidRDefault="004320B4" w:rsidP="0038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0B4" w:rsidRDefault="004320B4" w:rsidP="00387002">
    <w:pPr>
      <w:pStyle w:val="Footer"/>
      <w:jc w:val="right"/>
    </w:pPr>
    <w:r>
      <w:fldChar w:fldCharType="begin"/>
    </w:r>
    <w:r>
      <w:instrText xml:space="preserve"> PAGE  \* Arabic  \* MERGEFORMAT </w:instrText>
    </w:r>
    <w:r>
      <w:fldChar w:fldCharType="separate"/>
    </w:r>
    <w:r w:rsidR="00D74FDF">
      <w:rPr>
        <w:noProof/>
      </w:rPr>
      <w:t>1</w:t>
    </w:r>
    <w:r>
      <w:fldChar w:fldCharType="end"/>
    </w:r>
    <w:r>
      <w:t xml:space="preserve"> of </w:t>
    </w:r>
    <w:fldSimple w:instr=" NUMPAGES  \* Arabic  \* MERGEFORMAT ">
      <w:r w:rsidR="00D74FDF">
        <w:rPr>
          <w:noProof/>
        </w:rPr>
        <w:t>20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0B4" w:rsidRDefault="004320B4" w:rsidP="00387002">
      <w:r>
        <w:separator/>
      </w:r>
    </w:p>
  </w:footnote>
  <w:footnote w:type="continuationSeparator" w:id="0">
    <w:p w:rsidR="004320B4" w:rsidRDefault="004320B4" w:rsidP="00387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DBC"/>
    <w:multiLevelType w:val="hybridMultilevel"/>
    <w:tmpl w:val="4CC24504"/>
    <w:lvl w:ilvl="0" w:tplc="C3042C54">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B96315"/>
    <w:multiLevelType w:val="hybridMultilevel"/>
    <w:tmpl w:val="B4BE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70248"/>
    <w:multiLevelType w:val="hybridMultilevel"/>
    <w:tmpl w:val="5BA0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F47D2"/>
    <w:multiLevelType w:val="hybridMultilevel"/>
    <w:tmpl w:val="CE8EC40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C4FCA2B4">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FF1ABA"/>
    <w:multiLevelType w:val="hybridMultilevel"/>
    <w:tmpl w:val="FD122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3E1B73"/>
    <w:multiLevelType w:val="hybridMultilevel"/>
    <w:tmpl w:val="8E002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9415B4"/>
    <w:multiLevelType w:val="hybridMultilevel"/>
    <w:tmpl w:val="3FC25E02"/>
    <w:lvl w:ilvl="0" w:tplc="985C878A">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FE62D1"/>
    <w:multiLevelType w:val="hybridMultilevel"/>
    <w:tmpl w:val="20CEE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A17DD"/>
    <w:multiLevelType w:val="hybridMultilevel"/>
    <w:tmpl w:val="6E8A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DB4E22"/>
    <w:multiLevelType w:val="singleLevel"/>
    <w:tmpl w:val="CF50AA36"/>
    <w:lvl w:ilvl="0">
      <w:start w:val="9"/>
      <w:numFmt w:val="decimal"/>
      <w:lvlText w:val="%1."/>
      <w:lvlJc w:val="left"/>
      <w:pPr>
        <w:tabs>
          <w:tab w:val="num" w:pos="450"/>
        </w:tabs>
        <w:ind w:left="450" w:hanging="450"/>
      </w:pPr>
      <w:rPr>
        <w:rFonts w:hint="default"/>
      </w:rPr>
    </w:lvl>
  </w:abstractNum>
  <w:abstractNum w:abstractNumId="10">
    <w:nsid w:val="7FB52273"/>
    <w:multiLevelType w:val="hybridMultilevel"/>
    <w:tmpl w:val="D39A6184"/>
    <w:lvl w:ilvl="0" w:tplc="BF5249A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4"/>
  </w:num>
  <w:num w:numId="4">
    <w:abstractNumId w:val="5"/>
  </w:num>
  <w:num w:numId="5">
    <w:abstractNumId w:val="9"/>
  </w:num>
  <w:num w:numId="6">
    <w:abstractNumId w:val="0"/>
  </w:num>
  <w:num w:numId="7">
    <w:abstractNumId w:val="7"/>
  </w:num>
  <w:num w:numId="8">
    <w:abstractNumId w:val="6"/>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332"/>
    <w:rsid w:val="000003CB"/>
    <w:rsid w:val="0000625E"/>
    <w:rsid w:val="0001109D"/>
    <w:rsid w:val="00015EBA"/>
    <w:rsid w:val="000319C8"/>
    <w:rsid w:val="000373A6"/>
    <w:rsid w:val="000442D7"/>
    <w:rsid w:val="00057065"/>
    <w:rsid w:val="000578EA"/>
    <w:rsid w:val="00057924"/>
    <w:rsid w:val="00063B2D"/>
    <w:rsid w:val="00070AB0"/>
    <w:rsid w:val="00077C55"/>
    <w:rsid w:val="00082860"/>
    <w:rsid w:val="000C45C7"/>
    <w:rsid w:val="000D57E4"/>
    <w:rsid w:val="000D63FA"/>
    <w:rsid w:val="000D7F48"/>
    <w:rsid w:val="000E21FF"/>
    <w:rsid w:val="000F65DA"/>
    <w:rsid w:val="001163D2"/>
    <w:rsid w:val="0013185B"/>
    <w:rsid w:val="001367A2"/>
    <w:rsid w:val="001442B1"/>
    <w:rsid w:val="001567A4"/>
    <w:rsid w:val="001657D2"/>
    <w:rsid w:val="001771EE"/>
    <w:rsid w:val="0018709D"/>
    <w:rsid w:val="001B0CAD"/>
    <w:rsid w:val="001B111C"/>
    <w:rsid w:val="001C3110"/>
    <w:rsid w:val="001C3E42"/>
    <w:rsid w:val="001C5403"/>
    <w:rsid w:val="001D5445"/>
    <w:rsid w:val="001E3680"/>
    <w:rsid w:val="001E50EE"/>
    <w:rsid w:val="001E5483"/>
    <w:rsid w:val="001F0D4A"/>
    <w:rsid w:val="001F2EB6"/>
    <w:rsid w:val="00205AAA"/>
    <w:rsid w:val="00210408"/>
    <w:rsid w:val="0022561D"/>
    <w:rsid w:val="00226AF9"/>
    <w:rsid w:val="00233948"/>
    <w:rsid w:val="00233B3D"/>
    <w:rsid w:val="002446AC"/>
    <w:rsid w:val="0024602C"/>
    <w:rsid w:val="00247B8D"/>
    <w:rsid w:val="0025563A"/>
    <w:rsid w:val="00264FBD"/>
    <w:rsid w:val="0027039B"/>
    <w:rsid w:val="00271040"/>
    <w:rsid w:val="00275A3A"/>
    <w:rsid w:val="00295656"/>
    <w:rsid w:val="002A0879"/>
    <w:rsid w:val="002A7A19"/>
    <w:rsid w:val="002B0463"/>
    <w:rsid w:val="002B73C4"/>
    <w:rsid w:val="002C0957"/>
    <w:rsid w:val="002D0D30"/>
    <w:rsid w:val="002D1DAA"/>
    <w:rsid w:val="002D473D"/>
    <w:rsid w:val="003004E6"/>
    <w:rsid w:val="00307E31"/>
    <w:rsid w:val="00316157"/>
    <w:rsid w:val="00317F43"/>
    <w:rsid w:val="003319F9"/>
    <w:rsid w:val="00331C0F"/>
    <w:rsid w:val="00333AB7"/>
    <w:rsid w:val="00353B8E"/>
    <w:rsid w:val="0035559F"/>
    <w:rsid w:val="0035760D"/>
    <w:rsid w:val="0036090A"/>
    <w:rsid w:val="00362508"/>
    <w:rsid w:val="0037674B"/>
    <w:rsid w:val="0038226B"/>
    <w:rsid w:val="003856DF"/>
    <w:rsid w:val="00387002"/>
    <w:rsid w:val="00387024"/>
    <w:rsid w:val="00391970"/>
    <w:rsid w:val="00392F55"/>
    <w:rsid w:val="003B16BF"/>
    <w:rsid w:val="003B199D"/>
    <w:rsid w:val="003C6F2A"/>
    <w:rsid w:val="003D0E7C"/>
    <w:rsid w:val="003E2FEC"/>
    <w:rsid w:val="003F6B66"/>
    <w:rsid w:val="00412381"/>
    <w:rsid w:val="00422187"/>
    <w:rsid w:val="00425E19"/>
    <w:rsid w:val="004320B4"/>
    <w:rsid w:val="00435AF2"/>
    <w:rsid w:val="004360AD"/>
    <w:rsid w:val="004362ED"/>
    <w:rsid w:val="00455332"/>
    <w:rsid w:val="00457E2B"/>
    <w:rsid w:val="004633FD"/>
    <w:rsid w:val="004671D0"/>
    <w:rsid w:val="00470B76"/>
    <w:rsid w:val="00470D01"/>
    <w:rsid w:val="004732DD"/>
    <w:rsid w:val="0047434A"/>
    <w:rsid w:val="004A3B69"/>
    <w:rsid w:val="004A66DB"/>
    <w:rsid w:val="004C05D7"/>
    <w:rsid w:val="004C0A6C"/>
    <w:rsid w:val="004C24F2"/>
    <w:rsid w:val="004C70D6"/>
    <w:rsid w:val="004E7D2F"/>
    <w:rsid w:val="005038D6"/>
    <w:rsid w:val="00506DD0"/>
    <w:rsid w:val="00513BB2"/>
    <w:rsid w:val="00525BBC"/>
    <w:rsid w:val="00535074"/>
    <w:rsid w:val="00536C2D"/>
    <w:rsid w:val="0053754A"/>
    <w:rsid w:val="005453A1"/>
    <w:rsid w:val="00553C77"/>
    <w:rsid w:val="00576541"/>
    <w:rsid w:val="00581AD4"/>
    <w:rsid w:val="005A5A52"/>
    <w:rsid w:val="005B19B2"/>
    <w:rsid w:val="005C17C7"/>
    <w:rsid w:val="005D15D7"/>
    <w:rsid w:val="005D4A52"/>
    <w:rsid w:val="005D5B05"/>
    <w:rsid w:val="005E46D2"/>
    <w:rsid w:val="005E4F6B"/>
    <w:rsid w:val="006160C7"/>
    <w:rsid w:val="00623974"/>
    <w:rsid w:val="00651ED6"/>
    <w:rsid w:val="0068110A"/>
    <w:rsid w:val="006820BC"/>
    <w:rsid w:val="00690740"/>
    <w:rsid w:val="00695246"/>
    <w:rsid w:val="006B1505"/>
    <w:rsid w:val="006E2A55"/>
    <w:rsid w:val="006F1028"/>
    <w:rsid w:val="006F1682"/>
    <w:rsid w:val="006F4E1B"/>
    <w:rsid w:val="00700570"/>
    <w:rsid w:val="00707FE5"/>
    <w:rsid w:val="00711B45"/>
    <w:rsid w:val="00722501"/>
    <w:rsid w:val="0072415F"/>
    <w:rsid w:val="00724776"/>
    <w:rsid w:val="007452A3"/>
    <w:rsid w:val="00760985"/>
    <w:rsid w:val="00764E23"/>
    <w:rsid w:val="007678D2"/>
    <w:rsid w:val="00772FB0"/>
    <w:rsid w:val="00775339"/>
    <w:rsid w:val="00775BF9"/>
    <w:rsid w:val="0078410D"/>
    <w:rsid w:val="0078483B"/>
    <w:rsid w:val="00785CB5"/>
    <w:rsid w:val="00790FF0"/>
    <w:rsid w:val="00795DF3"/>
    <w:rsid w:val="007B03FC"/>
    <w:rsid w:val="007B389C"/>
    <w:rsid w:val="007B7F4F"/>
    <w:rsid w:val="007C1984"/>
    <w:rsid w:val="007C43DC"/>
    <w:rsid w:val="007C4C9F"/>
    <w:rsid w:val="007D4C9F"/>
    <w:rsid w:val="007E14AB"/>
    <w:rsid w:val="007E5017"/>
    <w:rsid w:val="00811852"/>
    <w:rsid w:val="008323A7"/>
    <w:rsid w:val="00856A06"/>
    <w:rsid w:val="00861C2E"/>
    <w:rsid w:val="00874F17"/>
    <w:rsid w:val="008802FA"/>
    <w:rsid w:val="00882056"/>
    <w:rsid w:val="008931FC"/>
    <w:rsid w:val="008A343C"/>
    <w:rsid w:val="008D15AA"/>
    <w:rsid w:val="008D1E10"/>
    <w:rsid w:val="008D6AA5"/>
    <w:rsid w:val="008E0C0F"/>
    <w:rsid w:val="00911D2C"/>
    <w:rsid w:val="009354C6"/>
    <w:rsid w:val="00951831"/>
    <w:rsid w:val="009519B5"/>
    <w:rsid w:val="00953627"/>
    <w:rsid w:val="0097071F"/>
    <w:rsid w:val="009724C5"/>
    <w:rsid w:val="009A342B"/>
    <w:rsid w:val="009A4A24"/>
    <w:rsid w:val="009B400C"/>
    <w:rsid w:val="009B439A"/>
    <w:rsid w:val="009D775D"/>
    <w:rsid w:val="009F783F"/>
    <w:rsid w:val="009F7CE2"/>
    <w:rsid w:val="00A038FD"/>
    <w:rsid w:val="00A13FDD"/>
    <w:rsid w:val="00A4018F"/>
    <w:rsid w:val="00A412F6"/>
    <w:rsid w:val="00A5087A"/>
    <w:rsid w:val="00A74E5D"/>
    <w:rsid w:val="00A96904"/>
    <w:rsid w:val="00AA1DED"/>
    <w:rsid w:val="00AC0C74"/>
    <w:rsid w:val="00AC0D71"/>
    <w:rsid w:val="00AE35E2"/>
    <w:rsid w:val="00AE7CEB"/>
    <w:rsid w:val="00AF4537"/>
    <w:rsid w:val="00B04832"/>
    <w:rsid w:val="00B31B92"/>
    <w:rsid w:val="00B65B02"/>
    <w:rsid w:val="00B84510"/>
    <w:rsid w:val="00BA3F6C"/>
    <w:rsid w:val="00BB001E"/>
    <w:rsid w:val="00BB60EF"/>
    <w:rsid w:val="00BB6DC2"/>
    <w:rsid w:val="00BB7081"/>
    <w:rsid w:val="00BD3E4C"/>
    <w:rsid w:val="00BD4A52"/>
    <w:rsid w:val="00BD71AA"/>
    <w:rsid w:val="00BE05FC"/>
    <w:rsid w:val="00BF43B9"/>
    <w:rsid w:val="00C1218E"/>
    <w:rsid w:val="00C3218C"/>
    <w:rsid w:val="00C365C6"/>
    <w:rsid w:val="00C40E5D"/>
    <w:rsid w:val="00C41546"/>
    <w:rsid w:val="00C43756"/>
    <w:rsid w:val="00C519CF"/>
    <w:rsid w:val="00C54F8B"/>
    <w:rsid w:val="00C704FB"/>
    <w:rsid w:val="00C97413"/>
    <w:rsid w:val="00C97A76"/>
    <w:rsid w:val="00CA1D5E"/>
    <w:rsid w:val="00CB3D11"/>
    <w:rsid w:val="00CB54C1"/>
    <w:rsid w:val="00CD529C"/>
    <w:rsid w:val="00CE3FC6"/>
    <w:rsid w:val="00CF6106"/>
    <w:rsid w:val="00D060EE"/>
    <w:rsid w:val="00D069F9"/>
    <w:rsid w:val="00D22026"/>
    <w:rsid w:val="00D466BF"/>
    <w:rsid w:val="00D6198F"/>
    <w:rsid w:val="00D64744"/>
    <w:rsid w:val="00D74FDF"/>
    <w:rsid w:val="00D83ACD"/>
    <w:rsid w:val="00DA6A69"/>
    <w:rsid w:val="00DD2366"/>
    <w:rsid w:val="00DE49EF"/>
    <w:rsid w:val="00DE4A28"/>
    <w:rsid w:val="00DE6F2C"/>
    <w:rsid w:val="00DF3C83"/>
    <w:rsid w:val="00DF6D63"/>
    <w:rsid w:val="00E145A1"/>
    <w:rsid w:val="00E31AD3"/>
    <w:rsid w:val="00E325E0"/>
    <w:rsid w:val="00E33194"/>
    <w:rsid w:val="00E403D5"/>
    <w:rsid w:val="00E41CF8"/>
    <w:rsid w:val="00E525E7"/>
    <w:rsid w:val="00E5500D"/>
    <w:rsid w:val="00E73D59"/>
    <w:rsid w:val="00E82C69"/>
    <w:rsid w:val="00E95A92"/>
    <w:rsid w:val="00EA2451"/>
    <w:rsid w:val="00EC0FC8"/>
    <w:rsid w:val="00EE1FB8"/>
    <w:rsid w:val="00EE79A1"/>
    <w:rsid w:val="00EF3BF0"/>
    <w:rsid w:val="00F007C0"/>
    <w:rsid w:val="00F02445"/>
    <w:rsid w:val="00F14256"/>
    <w:rsid w:val="00F16E7E"/>
    <w:rsid w:val="00F3315D"/>
    <w:rsid w:val="00F42B90"/>
    <w:rsid w:val="00F46F80"/>
    <w:rsid w:val="00F50A68"/>
    <w:rsid w:val="00F82FFE"/>
    <w:rsid w:val="00F835D5"/>
    <w:rsid w:val="00F96D17"/>
    <w:rsid w:val="00F97189"/>
    <w:rsid w:val="00FB1332"/>
    <w:rsid w:val="00FB1CB5"/>
    <w:rsid w:val="00FC3BB8"/>
    <w:rsid w:val="00FD63FC"/>
    <w:rsid w:val="00FE1813"/>
    <w:rsid w:val="00FE1894"/>
    <w:rsid w:val="00FE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DD"/>
  </w:style>
  <w:style w:type="paragraph" w:styleId="Heading1">
    <w:name w:val="heading 1"/>
    <w:basedOn w:val="Normal"/>
    <w:next w:val="Normal"/>
    <w:link w:val="Heading1Char"/>
    <w:uiPriority w:val="99"/>
    <w:qFormat/>
    <w:rsid w:val="004732D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732DD"/>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32DD"/>
    <w:rPr>
      <w:rFonts w:ascii="Cambria" w:hAnsi="Cambria" w:cs="Cambria"/>
      <w:b/>
      <w:bCs/>
      <w:kern w:val="32"/>
      <w:sz w:val="32"/>
      <w:szCs w:val="32"/>
    </w:rPr>
  </w:style>
  <w:style w:type="character" w:customStyle="1" w:styleId="Heading2Char">
    <w:name w:val="Heading 2 Char"/>
    <w:basedOn w:val="DefaultParagraphFont"/>
    <w:link w:val="Heading2"/>
    <w:uiPriority w:val="99"/>
    <w:rsid w:val="004732DD"/>
    <w:rPr>
      <w:rFonts w:ascii="Cambria" w:hAnsi="Cambria" w:cs="Cambria"/>
      <w:b/>
      <w:bCs/>
      <w:i/>
      <w:iCs/>
      <w:sz w:val="28"/>
      <w:szCs w:val="28"/>
    </w:rPr>
  </w:style>
  <w:style w:type="paragraph" w:styleId="Caption">
    <w:name w:val="caption"/>
    <w:basedOn w:val="Normal"/>
    <w:next w:val="Normal"/>
    <w:uiPriority w:val="99"/>
    <w:qFormat/>
    <w:rsid w:val="004732DD"/>
    <w:rPr>
      <w:b/>
      <w:bCs/>
      <w:sz w:val="20"/>
      <w:szCs w:val="20"/>
    </w:rPr>
  </w:style>
  <w:style w:type="character" w:styleId="Strong">
    <w:name w:val="Strong"/>
    <w:basedOn w:val="DefaultParagraphFont"/>
    <w:uiPriority w:val="99"/>
    <w:qFormat/>
    <w:rsid w:val="004732DD"/>
    <w:rPr>
      <w:b/>
      <w:bCs/>
    </w:rPr>
  </w:style>
  <w:style w:type="paragraph" w:styleId="ListParagraph">
    <w:name w:val="List Paragraph"/>
    <w:basedOn w:val="Normal"/>
    <w:uiPriority w:val="34"/>
    <w:qFormat/>
    <w:rsid w:val="004732DD"/>
    <w:pPr>
      <w:ind w:left="720"/>
    </w:pPr>
    <w:rPr>
      <w:rFonts w:ascii="Calibri" w:hAnsi="Calibri" w:cs="Calibri"/>
      <w:sz w:val="22"/>
      <w:szCs w:val="22"/>
    </w:rPr>
  </w:style>
  <w:style w:type="character" w:styleId="SubtleEmphasis">
    <w:name w:val="Subtle Emphasis"/>
    <w:basedOn w:val="DefaultParagraphFont"/>
    <w:uiPriority w:val="19"/>
    <w:qFormat/>
    <w:rsid w:val="004732DD"/>
    <w:rPr>
      <w:i/>
      <w:iCs/>
      <w:color w:val="808080" w:themeColor="text1" w:themeTint="7F"/>
    </w:rPr>
  </w:style>
  <w:style w:type="character" w:styleId="IntenseEmphasis">
    <w:name w:val="Intense Emphasis"/>
    <w:basedOn w:val="DefaultParagraphFont"/>
    <w:uiPriority w:val="21"/>
    <w:qFormat/>
    <w:rsid w:val="004732DD"/>
    <w:rPr>
      <w:b/>
      <w:bCs/>
      <w:i/>
      <w:iCs/>
      <w:color w:val="4F81BD" w:themeColor="accent1"/>
    </w:rPr>
  </w:style>
  <w:style w:type="character" w:styleId="SubtleReference">
    <w:name w:val="Subtle Reference"/>
    <w:basedOn w:val="DefaultParagraphFont"/>
    <w:uiPriority w:val="31"/>
    <w:qFormat/>
    <w:rsid w:val="004732DD"/>
    <w:rPr>
      <w:smallCaps/>
      <w:color w:val="C0504D" w:themeColor="accent2"/>
      <w:u w:val="single"/>
    </w:rPr>
  </w:style>
  <w:style w:type="paragraph" w:styleId="BodyTextIndent">
    <w:name w:val="Body Text Indent"/>
    <w:basedOn w:val="Normal"/>
    <w:link w:val="BodyTextIndentChar"/>
    <w:rsid w:val="00307E31"/>
    <w:pPr>
      <w:tabs>
        <w:tab w:val="left" w:pos="450"/>
      </w:tabs>
      <w:ind w:left="810" w:hanging="810"/>
    </w:pPr>
    <w:rPr>
      <w:szCs w:val="20"/>
    </w:rPr>
  </w:style>
  <w:style w:type="character" w:customStyle="1" w:styleId="BodyTextIndentChar">
    <w:name w:val="Body Text Indent Char"/>
    <w:basedOn w:val="DefaultParagraphFont"/>
    <w:link w:val="BodyTextIndent"/>
    <w:rsid w:val="00307E31"/>
    <w:rPr>
      <w:szCs w:val="20"/>
    </w:rPr>
  </w:style>
  <w:style w:type="character" w:styleId="Hyperlink">
    <w:name w:val="Hyperlink"/>
    <w:basedOn w:val="DefaultParagraphFont"/>
    <w:uiPriority w:val="99"/>
    <w:unhideWhenUsed/>
    <w:rsid w:val="00233948"/>
    <w:rPr>
      <w:color w:val="0000FF" w:themeColor="hyperlink"/>
      <w:u w:val="single"/>
    </w:rPr>
  </w:style>
  <w:style w:type="table" w:styleId="TableGrid">
    <w:name w:val="Table Grid"/>
    <w:basedOn w:val="TableNormal"/>
    <w:uiPriority w:val="59"/>
    <w:rsid w:val="009A3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75339"/>
    <w:pPr>
      <w:spacing w:after="200" w:line="276" w:lineRule="auto"/>
    </w:pPr>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7002"/>
    <w:pPr>
      <w:tabs>
        <w:tab w:val="center" w:pos="4680"/>
        <w:tab w:val="right" w:pos="9360"/>
      </w:tabs>
    </w:pPr>
  </w:style>
  <w:style w:type="character" w:customStyle="1" w:styleId="HeaderChar">
    <w:name w:val="Header Char"/>
    <w:basedOn w:val="DefaultParagraphFont"/>
    <w:link w:val="Header"/>
    <w:uiPriority w:val="99"/>
    <w:rsid w:val="00387002"/>
  </w:style>
  <w:style w:type="paragraph" w:styleId="Footer">
    <w:name w:val="footer"/>
    <w:basedOn w:val="Normal"/>
    <w:link w:val="FooterChar"/>
    <w:uiPriority w:val="99"/>
    <w:unhideWhenUsed/>
    <w:rsid w:val="00387002"/>
    <w:pPr>
      <w:tabs>
        <w:tab w:val="center" w:pos="4680"/>
        <w:tab w:val="right" w:pos="9360"/>
      </w:tabs>
    </w:pPr>
  </w:style>
  <w:style w:type="character" w:customStyle="1" w:styleId="FooterChar">
    <w:name w:val="Footer Char"/>
    <w:basedOn w:val="DefaultParagraphFont"/>
    <w:link w:val="Footer"/>
    <w:uiPriority w:val="99"/>
    <w:rsid w:val="00387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DD"/>
  </w:style>
  <w:style w:type="paragraph" w:styleId="Heading1">
    <w:name w:val="heading 1"/>
    <w:basedOn w:val="Normal"/>
    <w:next w:val="Normal"/>
    <w:link w:val="Heading1Char"/>
    <w:uiPriority w:val="99"/>
    <w:qFormat/>
    <w:rsid w:val="004732D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732DD"/>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32DD"/>
    <w:rPr>
      <w:rFonts w:ascii="Cambria" w:hAnsi="Cambria" w:cs="Cambria"/>
      <w:b/>
      <w:bCs/>
      <w:kern w:val="32"/>
      <w:sz w:val="32"/>
      <w:szCs w:val="32"/>
    </w:rPr>
  </w:style>
  <w:style w:type="character" w:customStyle="1" w:styleId="Heading2Char">
    <w:name w:val="Heading 2 Char"/>
    <w:basedOn w:val="DefaultParagraphFont"/>
    <w:link w:val="Heading2"/>
    <w:uiPriority w:val="99"/>
    <w:rsid w:val="004732DD"/>
    <w:rPr>
      <w:rFonts w:ascii="Cambria" w:hAnsi="Cambria" w:cs="Cambria"/>
      <w:b/>
      <w:bCs/>
      <w:i/>
      <w:iCs/>
      <w:sz w:val="28"/>
      <w:szCs w:val="28"/>
    </w:rPr>
  </w:style>
  <w:style w:type="paragraph" w:styleId="Caption">
    <w:name w:val="caption"/>
    <w:basedOn w:val="Normal"/>
    <w:next w:val="Normal"/>
    <w:uiPriority w:val="99"/>
    <w:qFormat/>
    <w:rsid w:val="004732DD"/>
    <w:rPr>
      <w:b/>
      <w:bCs/>
      <w:sz w:val="20"/>
      <w:szCs w:val="20"/>
    </w:rPr>
  </w:style>
  <w:style w:type="character" w:styleId="Strong">
    <w:name w:val="Strong"/>
    <w:basedOn w:val="DefaultParagraphFont"/>
    <w:uiPriority w:val="99"/>
    <w:qFormat/>
    <w:rsid w:val="004732DD"/>
    <w:rPr>
      <w:b/>
      <w:bCs/>
    </w:rPr>
  </w:style>
  <w:style w:type="paragraph" w:styleId="ListParagraph">
    <w:name w:val="List Paragraph"/>
    <w:basedOn w:val="Normal"/>
    <w:uiPriority w:val="34"/>
    <w:qFormat/>
    <w:rsid w:val="004732DD"/>
    <w:pPr>
      <w:ind w:left="720"/>
    </w:pPr>
    <w:rPr>
      <w:rFonts w:ascii="Calibri" w:hAnsi="Calibri" w:cs="Calibri"/>
      <w:sz w:val="22"/>
      <w:szCs w:val="22"/>
    </w:rPr>
  </w:style>
  <w:style w:type="character" w:styleId="SubtleEmphasis">
    <w:name w:val="Subtle Emphasis"/>
    <w:basedOn w:val="DefaultParagraphFont"/>
    <w:uiPriority w:val="19"/>
    <w:qFormat/>
    <w:rsid w:val="004732DD"/>
    <w:rPr>
      <w:i/>
      <w:iCs/>
      <w:color w:val="808080" w:themeColor="text1" w:themeTint="7F"/>
    </w:rPr>
  </w:style>
  <w:style w:type="character" w:styleId="IntenseEmphasis">
    <w:name w:val="Intense Emphasis"/>
    <w:basedOn w:val="DefaultParagraphFont"/>
    <w:uiPriority w:val="21"/>
    <w:qFormat/>
    <w:rsid w:val="004732DD"/>
    <w:rPr>
      <w:b/>
      <w:bCs/>
      <w:i/>
      <w:iCs/>
      <w:color w:val="4F81BD" w:themeColor="accent1"/>
    </w:rPr>
  </w:style>
  <w:style w:type="character" w:styleId="SubtleReference">
    <w:name w:val="Subtle Reference"/>
    <w:basedOn w:val="DefaultParagraphFont"/>
    <w:uiPriority w:val="31"/>
    <w:qFormat/>
    <w:rsid w:val="004732DD"/>
    <w:rPr>
      <w:smallCaps/>
      <w:color w:val="C0504D" w:themeColor="accent2"/>
      <w:u w:val="single"/>
    </w:rPr>
  </w:style>
  <w:style w:type="paragraph" w:styleId="BodyTextIndent">
    <w:name w:val="Body Text Indent"/>
    <w:basedOn w:val="Normal"/>
    <w:link w:val="BodyTextIndentChar"/>
    <w:rsid w:val="00307E31"/>
    <w:pPr>
      <w:tabs>
        <w:tab w:val="left" w:pos="450"/>
      </w:tabs>
      <w:ind w:left="810" w:hanging="810"/>
    </w:pPr>
    <w:rPr>
      <w:szCs w:val="20"/>
    </w:rPr>
  </w:style>
  <w:style w:type="character" w:customStyle="1" w:styleId="BodyTextIndentChar">
    <w:name w:val="Body Text Indent Char"/>
    <w:basedOn w:val="DefaultParagraphFont"/>
    <w:link w:val="BodyTextIndent"/>
    <w:rsid w:val="00307E31"/>
    <w:rPr>
      <w:szCs w:val="20"/>
    </w:rPr>
  </w:style>
  <w:style w:type="character" w:styleId="Hyperlink">
    <w:name w:val="Hyperlink"/>
    <w:basedOn w:val="DefaultParagraphFont"/>
    <w:uiPriority w:val="99"/>
    <w:unhideWhenUsed/>
    <w:rsid w:val="00233948"/>
    <w:rPr>
      <w:color w:val="0000FF" w:themeColor="hyperlink"/>
      <w:u w:val="single"/>
    </w:rPr>
  </w:style>
  <w:style w:type="table" w:styleId="TableGrid">
    <w:name w:val="Table Grid"/>
    <w:basedOn w:val="TableNormal"/>
    <w:uiPriority w:val="59"/>
    <w:rsid w:val="009A3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75339"/>
    <w:pPr>
      <w:spacing w:after="200" w:line="276" w:lineRule="auto"/>
    </w:pPr>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7002"/>
    <w:pPr>
      <w:tabs>
        <w:tab w:val="center" w:pos="4680"/>
        <w:tab w:val="right" w:pos="9360"/>
      </w:tabs>
    </w:pPr>
  </w:style>
  <w:style w:type="character" w:customStyle="1" w:styleId="HeaderChar">
    <w:name w:val="Header Char"/>
    <w:basedOn w:val="DefaultParagraphFont"/>
    <w:link w:val="Header"/>
    <w:uiPriority w:val="99"/>
    <w:rsid w:val="00387002"/>
  </w:style>
  <w:style w:type="paragraph" w:styleId="Footer">
    <w:name w:val="footer"/>
    <w:basedOn w:val="Normal"/>
    <w:link w:val="FooterChar"/>
    <w:uiPriority w:val="99"/>
    <w:unhideWhenUsed/>
    <w:rsid w:val="00387002"/>
    <w:pPr>
      <w:tabs>
        <w:tab w:val="center" w:pos="4680"/>
        <w:tab w:val="right" w:pos="9360"/>
      </w:tabs>
    </w:pPr>
  </w:style>
  <w:style w:type="character" w:customStyle="1" w:styleId="FooterChar">
    <w:name w:val="Footer Char"/>
    <w:basedOn w:val="DefaultParagraphFont"/>
    <w:link w:val="Footer"/>
    <w:uiPriority w:val="99"/>
    <w:rsid w:val="00387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4096">
      <w:bodyDiv w:val="1"/>
      <w:marLeft w:val="0"/>
      <w:marRight w:val="0"/>
      <w:marTop w:val="0"/>
      <w:marBottom w:val="0"/>
      <w:divBdr>
        <w:top w:val="none" w:sz="0" w:space="0" w:color="auto"/>
        <w:left w:val="none" w:sz="0" w:space="0" w:color="auto"/>
        <w:bottom w:val="none" w:sz="0" w:space="0" w:color="auto"/>
        <w:right w:val="none" w:sz="0" w:space="0" w:color="auto"/>
      </w:divBdr>
    </w:div>
    <w:div w:id="356127004">
      <w:bodyDiv w:val="1"/>
      <w:marLeft w:val="0"/>
      <w:marRight w:val="0"/>
      <w:marTop w:val="0"/>
      <w:marBottom w:val="0"/>
      <w:divBdr>
        <w:top w:val="none" w:sz="0" w:space="0" w:color="auto"/>
        <w:left w:val="none" w:sz="0" w:space="0" w:color="auto"/>
        <w:bottom w:val="none" w:sz="0" w:space="0" w:color="auto"/>
        <w:right w:val="none" w:sz="0" w:space="0" w:color="auto"/>
      </w:divBdr>
    </w:div>
    <w:div w:id="774373545">
      <w:bodyDiv w:val="1"/>
      <w:marLeft w:val="0"/>
      <w:marRight w:val="0"/>
      <w:marTop w:val="0"/>
      <w:marBottom w:val="0"/>
      <w:divBdr>
        <w:top w:val="none" w:sz="0" w:space="0" w:color="auto"/>
        <w:left w:val="none" w:sz="0" w:space="0" w:color="auto"/>
        <w:bottom w:val="none" w:sz="0" w:space="0" w:color="auto"/>
        <w:right w:val="none" w:sz="0" w:space="0" w:color="auto"/>
      </w:divBdr>
    </w:div>
    <w:div w:id="1223639493">
      <w:bodyDiv w:val="1"/>
      <w:marLeft w:val="0"/>
      <w:marRight w:val="0"/>
      <w:marTop w:val="0"/>
      <w:marBottom w:val="0"/>
      <w:divBdr>
        <w:top w:val="none" w:sz="0" w:space="0" w:color="auto"/>
        <w:left w:val="none" w:sz="0" w:space="0" w:color="auto"/>
        <w:bottom w:val="none" w:sz="0" w:space="0" w:color="auto"/>
        <w:right w:val="none" w:sz="0" w:space="0" w:color="auto"/>
      </w:divBdr>
    </w:div>
    <w:div w:id="21290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in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52E4AB2F.dotm</Template>
  <TotalTime>2</TotalTime>
  <Pages>20</Pages>
  <Words>6470</Words>
  <Characters>36883</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JFinkel</dc:creator>
  <cp:lastModifiedBy>Rich, Curtis B.</cp:lastModifiedBy>
  <cp:revision>2</cp:revision>
  <cp:lastPrinted>2013-07-23T14:54:00Z</cp:lastPrinted>
  <dcterms:created xsi:type="dcterms:W3CDTF">2013-09-24T19:04:00Z</dcterms:created>
  <dcterms:modified xsi:type="dcterms:W3CDTF">2013-09-24T19:04:00Z</dcterms:modified>
</cp:coreProperties>
</file>