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3D" w:rsidRPr="00F81D77" w:rsidRDefault="0073473D" w:rsidP="00F81D77">
      <w:pPr>
        <w:jc w:val="center"/>
        <w:rPr>
          <w:b/>
        </w:rPr>
      </w:pPr>
      <w:r w:rsidRPr="00F81D77">
        <w:rPr>
          <w:b/>
        </w:rPr>
        <w:t>Supporting Statement</w:t>
      </w:r>
    </w:p>
    <w:p w:rsidR="00212DF1" w:rsidRPr="00F81D77" w:rsidRDefault="00212DF1" w:rsidP="0073473D">
      <w:pPr>
        <w:jc w:val="center"/>
        <w:rPr>
          <w:b/>
        </w:rPr>
      </w:pPr>
      <w:r w:rsidRPr="00F81D77">
        <w:rPr>
          <w:b/>
        </w:rPr>
        <w:t>Plum Pox Compensation</w:t>
      </w:r>
    </w:p>
    <w:p w:rsidR="0073473D" w:rsidRPr="00F81D77" w:rsidRDefault="00E2291C" w:rsidP="0073473D">
      <w:pPr>
        <w:jc w:val="center"/>
        <w:rPr>
          <w:b/>
        </w:rPr>
      </w:pPr>
      <w:r w:rsidRPr="00F81D77">
        <w:rPr>
          <w:b/>
        </w:rPr>
        <w:t>OMB-0579-0159</w:t>
      </w:r>
    </w:p>
    <w:p w:rsidR="00380B61" w:rsidRDefault="00380B61" w:rsidP="00F81D77">
      <w:pPr>
        <w:jc w:val="right"/>
        <w:rPr>
          <w:b/>
        </w:rPr>
      </w:pPr>
    </w:p>
    <w:p w:rsidR="0051361B" w:rsidRDefault="00F81D77" w:rsidP="00F81D77">
      <w:pPr>
        <w:jc w:val="right"/>
        <w:rPr>
          <w:b/>
        </w:rPr>
      </w:pPr>
      <w:r>
        <w:rPr>
          <w:b/>
        </w:rPr>
        <w:t>June 18, 2013</w:t>
      </w:r>
    </w:p>
    <w:p w:rsidR="008A3075" w:rsidRDefault="00646559">
      <w:pPr>
        <w:rPr>
          <w:b/>
        </w:rPr>
      </w:pPr>
      <w:r w:rsidRPr="00646559">
        <w:rPr>
          <w:b/>
        </w:rPr>
        <w:t xml:space="preserve">A.  </w:t>
      </w:r>
      <w:r w:rsidRPr="00B370C2">
        <w:rPr>
          <w:b/>
          <w:u w:val="single"/>
        </w:rPr>
        <w:t>J</w:t>
      </w:r>
      <w:r w:rsidR="00B370C2" w:rsidRPr="00B370C2">
        <w:rPr>
          <w:b/>
          <w:u w:val="single"/>
        </w:rPr>
        <w:t>USTIFICATION</w:t>
      </w:r>
      <w:r w:rsidR="00EA5B78">
        <w:rPr>
          <w:b/>
        </w:rPr>
        <w:tab/>
      </w:r>
      <w:r w:rsidR="00EA5B78">
        <w:rPr>
          <w:b/>
        </w:rPr>
        <w:tab/>
      </w:r>
      <w:r w:rsidR="00EA5B78">
        <w:rPr>
          <w:b/>
        </w:rPr>
        <w:tab/>
      </w:r>
      <w:r w:rsidR="00EA5B78">
        <w:rPr>
          <w:b/>
        </w:rPr>
        <w:tab/>
      </w:r>
      <w:r w:rsidR="00EA5B78">
        <w:rPr>
          <w:b/>
        </w:rPr>
        <w:tab/>
      </w:r>
      <w:r w:rsidR="00EA5B78">
        <w:rPr>
          <w:b/>
        </w:rPr>
        <w:tab/>
      </w:r>
      <w:r w:rsidR="00EA5B78">
        <w:rPr>
          <w:b/>
        </w:rPr>
        <w:tab/>
        <w:t xml:space="preserve"> </w:t>
      </w:r>
      <w:r w:rsidR="00A61E72">
        <w:rPr>
          <w:b/>
        </w:rPr>
        <w:t xml:space="preserve">   </w:t>
      </w:r>
    </w:p>
    <w:p w:rsidR="00413923" w:rsidRDefault="00413923">
      <w:pPr>
        <w:rPr>
          <w:b/>
        </w:rPr>
      </w:pPr>
    </w:p>
    <w:p w:rsidR="00646559" w:rsidRDefault="00646559">
      <w:pPr>
        <w:rPr>
          <w:b/>
        </w:rPr>
      </w:pPr>
      <w:r w:rsidRPr="00646559">
        <w:rPr>
          <w:b/>
        </w:rPr>
        <w:t>1.  Explain the circumstances that make the collection of information necessary.  Identify any legal or administrative requirements that necessitate the collection.</w:t>
      </w:r>
    </w:p>
    <w:p w:rsidR="00D85596" w:rsidRDefault="00D85596">
      <w:pPr>
        <w:rPr>
          <w:b/>
        </w:rPr>
      </w:pPr>
    </w:p>
    <w:p w:rsidR="00D85596" w:rsidRDefault="00D85596">
      <w:r>
        <w:t>The United States Department of Agriculture is responsible for preventing plant pests and noxious weeds from entering the United States</w:t>
      </w:r>
      <w:r w:rsidR="003D124A">
        <w:t>;</w:t>
      </w:r>
      <w:r>
        <w:t xml:space="preserve"> preventing the spread of </w:t>
      </w:r>
      <w:r w:rsidR="00E233A7">
        <w:t>pests new to</w:t>
      </w:r>
      <w:r w:rsidR="00741C45">
        <w:t xml:space="preserve"> the United States or not</w:t>
      </w:r>
      <w:r>
        <w:t xml:space="preserve"> widely distributed within the United States</w:t>
      </w:r>
      <w:r w:rsidR="003D124A">
        <w:t>;</w:t>
      </w:r>
      <w:r>
        <w:t xml:space="preserve"> and eradicating plant pests when eradication is feasible.  </w:t>
      </w:r>
    </w:p>
    <w:p w:rsidR="003E0E0A" w:rsidRDefault="003E0E0A"/>
    <w:p w:rsidR="003E0E0A" w:rsidRDefault="003E0E0A">
      <w:r>
        <w:t>Under the Plant Pr</w:t>
      </w:r>
      <w:r w:rsidR="00663853">
        <w:t xml:space="preserve">otection Act (7 U.S.C. 7701- </w:t>
      </w:r>
      <w:r w:rsidR="00663853" w:rsidRPr="00663853">
        <w:rPr>
          <w:u w:val="single"/>
        </w:rPr>
        <w:t>et</w:t>
      </w:r>
      <w:r w:rsidR="00663853">
        <w:t xml:space="preserve"> </w:t>
      </w:r>
      <w:r w:rsidR="00663853" w:rsidRPr="00663853">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rsidR="008F72BF" w:rsidRDefault="008F72BF"/>
    <w:p w:rsidR="00AC5C89" w:rsidRDefault="00D53F28">
      <w:proofErr w:type="gramStart"/>
      <w:r>
        <w:t>The regulations in 7</w:t>
      </w:r>
      <w:r w:rsidR="00C47A52">
        <w:t xml:space="preserve"> CFR 301.74-5 (referred to</w:t>
      </w:r>
      <w:r>
        <w:t xml:space="preserve"> as the regulations),</w:t>
      </w:r>
      <w:r w:rsidR="003D124A">
        <w:t xml:space="preserve"> </w:t>
      </w:r>
      <w:r>
        <w:t>permit owners of commercial stone fruit orchards</w:t>
      </w:r>
      <w:r w:rsidR="003D124A">
        <w:t>,</w:t>
      </w:r>
      <w:r>
        <w:t xml:space="preserve"> and owners of fruit tree nurseries to receive compensation under certain circumstances.</w:t>
      </w:r>
      <w:proofErr w:type="gramEnd"/>
      <w:r>
        <w:t xml:space="preserve">  O</w:t>
      </w:r>
      <w:r w:rsidR="00C04C40">
        <w:t xml:space="preserve">wners of commercial </w:t>
      </w:r>
      <w:r w:rsidR="00B42D6A">
        <w:t xml:space="preserve">stone fruit orchards may receive compensation for losses associated with trees destroyed to control plum pox pursuant to an emergency action notification (EAN) issued by the Animal and Plant Health Inspection Service (APHIS).  Owners of fruit tree nurseries may receive compensation for net revenue losses associated </w:t>
      </w:r>
      <w:r w:rsidR="006D553B">
        <w:t>with movement</w:t>
      </w:r>
      <w:r w:rsidR="00B42D6A">
        <w:t xml:space="preserve"> or sale of nursery stock prohibited under an EAN issued by APHIS with respect to regulated articles</w:t>
      </w:r>
      <w:r w:rsidR="007F66A9">
        <w:t xml:space="preserve"> </w:t>
      </w:r>
      <w:r w:rsidR="00B42D6A">
        <w:t>within the nursery in order to control plum pox.</w:t>
      </w:r>
      <w:r w:rsidR="00663853">
        <w:t xml:space="preserve">  This action was taken to reduce the economic impact of APHIS’ plum pox quarantine which was placed on </w:t>
      </w:r>
      <w:r w:rsidR="00304E93">
        <w:t>owners of fruit tree nurseries.</w:t>
      </w:r>
    </w:p>
    <w:p w:rsidR="00B42D6A" w:rsidRDefault="00B42D6A"/>
    <w:p w:rsidR="00BB3AA7" w:rsidRDefault="00197176">
      <w:r>
        <w:t xml:space="preserve">Plum </w:t>
      </w:r>
      <w:r w:rsidR="00752BFD">
        <w:t>p</w:t>
      </w:r>
      <w:r>
        <w:t xml:space="preserve">ox is an extremely serious viral disease of plants that can affect many stone fruit species, including plum, peach, apricot, almond, and nectarine.  In </w:t>
      </w:r>
      <w:smartTag w:uri="urn:schemas-microsoft-com:office:smarttags" w:element="place">
        <w:r>
          <w:t>Europe</w:t>
        </w:r>
      </w:smartTag>
      <w:r>
        <w:t>, plum pox has been present for a number of years and is considered to be the most serious disease affecting susceptible stone fruit varieties.</w:t>
      </w:r>
    </w:p>
    <w:p w:rsidR="00FF4371" w:rsidRDefault="00FF4371"/>
    <w:p w:rsidR="003D7345" w:rsidRDefault="003D7345"/>
    <w:p w:rsidR="00646559" w:rsidRDefault="00646559">
      <w:pPr>
        <w:rPr>
          <w:b/>
        </w:rPr>
      </w:pPr>
      <w:r w:rsidRPr="00646559">
        <w:rPr>
          <w:b/>
        </w:rPr>
        <w:t>2.  Indicate how, by whom, and for what purpose the information is to be used.  Except for a new collection, indicate the actual use the agency has made of the information received from the current collection.</w:t>
      </w:r>
    </w:p>
    <w:p w:rsidR="008A6D5D" w:rsidRDefault="008A6D5D"/>
    <w:p w:rsidR="00F81D77" w:rsidRDefault="00F81D77" w:rsidP="00F81D77">
      <w:r w:rsidRPr="001770C1">
        <w:t>APHIS uses the following information activities</w:t>
      </w:r>
      <w:r>
        <w:t xml:space="preserve"> to reduce the economic impact of APHIS’ plum pox quarantine which was placed on owners of fruit tree nurseries.</w:t>
      </w:r>
    </w:p>
    <w:p w:rsidR="00F81D77" w:rsidRPr="00F81D77" w:rsidRDefault="00F81D77"/>
    <w:p w:rsidR="008A6D5D" w:rsidRDefault="008A6D5D">
      <w:pPr>
        <w:rPr>
          <w:b/>
        </w:rPr>
      </w:pPr>
      <w:r>
        <w:rPr>
          <w:b/>
        </w:rPr>
        <w:t>PPQ 651</w:t>
      </w:r>
      <w:r w:rsidR="00FD6CAF">
        <w:rPr>
          <w:b/>
        </w:rPr>
        <w:t xml:space="preserve">R - </w:t>
      </w:r>
      <w:r w:rsidRPr="00FD6CAF">
        <w:rPr>
          <w:b/>
          <w:u w:val="single"/>
        </w:rPr>
        <w:t xml:space="preserve">Application </w:t>
      </w:r>
      <w:r w:rsidR="0035314B" w:rsidRPr="00FD6CAF">
        <w:rPr>
          <w:b/>
          <w:u w:val="single"/>
        </w:rPr>
        <w:t>for</w:t>
      </w:r>
      <w:r w:rsidRPr="00FD6CAF">
        <w:rPr>
          <w:b/>
          <w:u w:val="single"/>
        </w:rPr>
        <w:t xml:space="preserve"> Plum Pox Compensation</w:t>
      </w:r>
      <w:r w:rsidR="00380B61">
        <w:rPr>
          <w:b/>
          <w:u w:val="single"/>
        </w:rPr>
        <w:t xml:space="preserve"> (Business)</w:t>
      </w:r>
    </w:p>
    <w:p w:rsidR="008A6D5D" w:rsidRDefault="008A6D5D">
      <w:r>
        <w:t xml:space="preserve">To apply for </w:t>
      </w:r>
      <w:r w:rsidR="007F66A9">
        <w:t>P</w:t>
      </w:r>
      <w:r>
        <w:t xml:space="preserve">lum </w:t>
      </w:r>
      <w:r w:rsidR="007F66A9">
        <w:t>P</w:t>
      </w:r>
      <w:r>
        <w:t xml:space="preserve">ox </w:t>
      </w:r>
      <w:r w:rsidR="007F66A9">
        <w:t>C</w:t>
      </w:r>
      <w:r>
        <w:t xml:space="preserve">ompensation, applicants must complete an application form containing the owner’s name and address, a description of the owner’s property, and a certification </w:t>
      </w:r>
      <w:r w:rsidR="00380B61">
        <w:t>s</w:t>
      </w:r>
      <w:r>
        <w:t xml:space="preserve">tatement that the trees removed from the owner’s property were stone fruit trees from </w:t>
      </w:r>
      <w:r w:rsidR="00CE14BE">
        <w:t xml:space="preserve">a </w:t>
      </w:r>
      <w:r>
        <w:t>commercial fruit orchard or a fruit tree nursery.</w:t>
      </w:r>
    </w:p>
    <w:p w:rsidR="008A6D5D" w:rsidRDefault="008A6D5D"/>
    <w:p w:rsidR="008A6D5D" w:rsidRDefault="008A6D5D">
      <w:r>
        <w:lastRenderedPageBreak/>
        <w:t>For claims made by owners of stone fruit orchards, the  completed application must be accompanied by a copy of t</w:t>
      </w:r>
      <w:r w:rsidR="00865253">
        <w:t>he EAN</w:t>
      </w:r>
      <w:r>
        <w:t xml:space="preserve"> ordering the destruction</w:t>
      </w:r>
      <w:r w:rsidR="00846D31">
        <w:t xml:space="preserve"> of their trees, the notification’s accompanying </w:t>
      </w:r>
      <w:r w:rsidR="0035314B">
        <w:t>inventory describing the acreage and ages of trees removed, and documentation verifying that the destruction of the trees ha</w:t>
      </w:r>
      <w:r w:rsidR="00CE14BE">
        <w:t>s</w:t>
      </w:r>
      <w:r w:rsidR="0035314B">
        <w:t xml:space="preserve"> been completed and the date of that completion.</w:t>
      </w:r>
    </w:p>
    <w:p w:rsidR="0035314B" w:rsidRDefault="0035314B"/>
    <w:p w:rsidR="0035314B" w:rsidRDefault="00865253">
      <w:r>
        <w:t>For claims made by owners of fruit tree nurseries, the completed application must be accompanied by a copy of the EAN</w:t>
      </w:r>
      <w:r w:rsidR="001E39B3">
        <w:t xml:space="preserve"> prohibiting the same or movement of the nursery stock, the notification’s accompanying inventory describing the total number</w:t>
      </w:r>
      <w:r w:rsidR="003C29A4">
        <w:t xml:space="preserve"> of trees</w:t>
      </w:r>
      <w:r w:rsidR="001E39B3">
        <w:t xml:space="preserve">  covered by the EAN</w:t>
      </w:r>
      <w:r w:rsidR="003C29A4">
        <w:t xml:space="preserve">, </w:t>
      </w:r>
      <w:r w:rsidR="001E39B3">
        <w:t>their age and variety, and documentation indicating the final di</w:t>
      </w:r>
      <w:r w:rsidR="00FF70D3">
        <w:t>sposition of the nursery stock.</w:t>
      </w:r>
    </w:p>
    <w:p w:rsidR="009073CA" w:rsidRDefault="009073CA"/>
    <w:p w:rsidR="00792927" w:rsidRDefault="00792927">
      <w:pPr>
        <w:rPr>
          <w:b/>
        </w:rPr>
      </w:pPr>
      <w:r w:rsidRPr="0066017A">
        <w:rPr>
          <w:b/>
          <w:u w:val="single"/>
        </w:rPr>
        <w:t>PPQ Form 523</w:t>
      </w:r>
      <w:r>
        <w:rPr>
          <w:b/>
          <w:u w:val="single"/>
        </w:rPr>
        <w:t xml:space="preserve"> Emergency Action Notification (Business)</w:t>
      </w:r>
      <w:r>
        <w:rPr>
          <w:b/>
        </w:rPr>
        <w:t xml:space="preserve"> </w:t>
      </w:r>
    </w:p>
    <w:p w:rsidR="00792927" w:rsidRPr="00E91A54" w:rsidRDefault="00792927">
      <w:r>
        <w:t>Used when an emergency action must be taken on a shipment</w:t>
      </w:r>
      <w:r w:rsidR="00380B61">
        <w:t>,</w:t>
      </w:r>
      <w:r>
        <w:t xml:space="preserve"> </w:t>
      </w:r>
      <w:r w:rsidR="00380B61">
        <w:t xml:space="preserve">this allows </w:t>
      </w:r>
      <w:r w:rsidR="00E91A54" w:rsidRPr="00E91A54">
        <w:rPr>
          <w:color w:val="404040"/>
          <w:lang w:val="en"/>
        </w:rPr>
        <w:t xml:space="preserve">Customs </w:t>
      </w:r>
      <w:r w:rsidR="00E91A54">
        <w:rPr>
          <w:color w:val="404040"/>
          <w:lang w:val="en"/>
        </w:rPr>
        <w:t xml:space="preserve">and </w:t>
      </w:r>
      <w:r w:rsidR="00E91A54" w:rsidRPr="00E91A54">
        <w:rPr>
          <w:color w:val="404040"/>
          <w:lang w:val="en"/>
        </w:rPr>
        <w:t>Border Patrol</w:t>
      </w:r>
      <w:r w:rsidR="00E91A54" w:rsidRPr="00E91A54">
        <w:t xml:space="preserve"> </w:t>
      </w:r>
      <w:r w:rsidR="00E91A54">
        <w:t>(</w:t>
      </w:r>
      <w:r w:rsidR="00380B61" w:rsidRPr="00E91A54">
        <w:t>CBP</w:t>
      </w:r>
      <w:r w:rsidR="00E91A54">
        <w:t>)</w:t>
      </w:r>
      <w:r w:rsidR="00380B61" w:rsidRPr="00E91A54">
        <w:t xml:space="preserve"> and/or PPQ to communicate the need for specific action on a shipment to interested parties.</w:t>
      </w:r>
      <w:r w:rsidR="00E91A54">
        <w:t xml:space="preserve"> All information is entered int</w:t>
      </w:r>
      <w:r w:rsidR="00F64A25">
        <w:t xml:space="preserve">o the </w:t>
      </w:r>
      <w:r w:rsidR="00181A32" w:rsidRPr="00181A32">
        <w:rPr>
          <w:bCs/>
        </w:rPr>
        <w:t>Agricultural Quarantine Activity Systems</w:t>
      </w:r>
      <w:r w:rsidR="00181A32" w:rsidRPr="00181A32">
        <w:t xml:space="preserve"> database</w:t>
      </w:r>
      <w:r w:rsidR="00F64A25">
        <w:t xml:space="preserve"> by either CBP and/or PPQ Government officials to produce the PPQ Form 523.  The form is then provided to the property own</w:t>
      </w:r>
      <w:r w:rsidR="00334599">
        <w:t>ers for signature of acknowledg</w:t>
      </w:r>
      <w:r w:rsidR="00F64A25">
        <w:t>ment of an action against them.</w:t>
      </w:r>
    </w:p>
    <w:p w:rsidR="006454E2" w:rsidRPr="00E91A54" w:rsidRDefault="006454E2">
      <w:pPr>
        <w:rPr>
          <w:b/>
        </w:rPr>
      </w:pPr>
    </w:p>
    <w:p w:rsidR="00380B61" w:rsidRDefault="00380B61">
      <w:pPr>
        <w:rPr>
          <w:b/>
        </w:rPr>
      </w:pPr>
    </w:p>
    <w:p w:rsidR="00646559" w:rsidRDefault="00646559">
      <w:pPr>
        <w:rPr>
          <w:b/>
        </w:rPr>
      </w:pPr>
      <w:r>
        <w:rPr>
          <w:b/>
        </w:rPr>
        <w:t xml:space="preserve">3.  Describe whether, and to what extent, the collection of information involves the use of automated, electronic, mechanical, or other forms of information technology, e.g., </w:t>
      </w:r>
      <w:r w:rsidR="00380B61">
        <w:rPr>
          <w:b/>
        </w:rPr>
        <w:t>permitting electronic</w:t>
      </w:r>
      <w:r>
        <w:rPr>
          <w:b/>
        </w:rPr>
        <w:t xml:space="preserve"> submission of responses, and the basis for the decision for adopting this means of collection.  Also describe any consideration of using information technology to reduce burden.</w:t>
      </w:r>
    </w:p>
    <w:p w:rsidR="00C7797A" w:rsidRDefault="00C7797A">
      <w:pPr>
        <w:rPr>
          <w:b/>
        </w:rPr>
      </w:pPr>
    </w:p>
    <w:p w:rsidR="00C7797A" w:rsidRDefault="00671007">
      <w:r>
        <w:t>APHIS is</w:t>
      </w:r>
      <w:r w:rsidR="00B766FB">
        <w:t xml:space="preserve"> using a hard copy of the application form </w:t>
      </w:r>
      <w:r w:rsidR="00CE14BE">
        <w:t xml:space="preserve">(PPQ 651R) </w:t>
      </w:r>
      <w:r w:rsidR="00B766FB">
        <w:t>since a number of grove and nursery owners do not have access to the technology needed to electronically transmit this information.</w:t>
      </w:r>
      <w:r w:rsidR="00AA0DC7">
        <w:t xml:space="preserve">  </w:t>
      </w:r>
      <w:r w:rsidR="00E65EA7">
        <w:t>A</w:t>
      </w:r>
      <w:r w:rsidR="00A15CDA">
        <w:t>n original signature is required on this form</w:t>
      </w:r>
      <w:r w:rsidR="00AA0DC7">
        <w:t xml:space="preserve">. </w:t>
      </w:r>
      <w:r w:rsidR="00ED4836">
        <w:t xml:space="preserve"> Also, there is low usage of this form so this form will not be automated at this time.</w:t>
      </w:r>
    </w:p>
    <w:p w:rsidR="009073CA" w:rsidRPr="00B766FB" w:rsidRDefault="009073CA"/>
    <w:p w:rsidR="006F136E" w:rsidRPr="006F136E" w:rsidRDefault="006F136E" w:rsidP="006F136E">
      <w:pPr>
        <w:rPr>
          <w:color w:val="1F497D"/>
        </w:rPr>
      </w:pPr>
      <w:r>
        <w:t>All information is entered into the</w:t>
      </w:r>
      <w:r w:rsidRPr="00181A32">
        <w:t xml:space="preserve"> </w:t>
      </w:r>
      <w:r w:rsidR="00181A32" w:rsidRPr="00181A32">
        <w:rPr>
          <w:bCs/>
        </w:rPr>
        <w:t>Agricultural Quarantine Activity Systems</w:t>
      </w:r>
      <w:r w:rsidR="00181A32" w:rsidRPr="00181A32">
        <w:t xml:space="preserve"> </w:t>
      </w:r>
      <w:r w:rsidRPr="00181A32">
        <w:t>database by eit</w:t>
      </w:r>
      <w:r>
        <w:t>her CBP and/or PPQ Government officials</w:t>
      </w:r>
      <w:r w:rsidR="00181A32">
        <w:t>,</w:t>
      </w:r>
      <w:r>
        <w:t xml:space="preserve"> </w:t>
      </w:r>
      <w:r w:rsidR="00181A32">
        <w:t xml:space="preserve">to produce a hard copy of the PPQ Form 523, </w:t>
      </w:r>
      <w:r>
        <w:t xml:space="preserve">via </w:t>
      </w:r>
      <w:hyperlink r:id="rId13" w:anchor="defaultAnchor" w:history="1">
        <w:r>
          <w:rPr>
            <w:rStyle w:val="Hyperlink"/>
          </w:rPr>
          <w:t>https://aqas.aphis.usda.gov/aqas/HomePageInit.do#defaultAnchor</w:t>
        </w:r>
      </w:hyperlink>
      <w:r w:rsidR="000F25CA">
        <w:t>. Only CBP and PPQ Government officials with proper authoriza</w:t>
      </w:r>
      <w:r w:rsidR="00334599">
        <w:t xml:space="preserve">tions can access this database. </w:t>
      </w:r>
      <w:r>
        <w:t>The form is then provided to the property own</w:t>
      </w:r>
      <w:r w:rsidR="00334599">
        <w:t>ers for signature of acknowledg</w:t>
      </w:r>
      <w:r>
        <w:t>ment of an action against them.</w:t>
      </w:r>
    </w:p>
    <w:p w:rsidR="00646559" w:rsidRDefault="00646559">
      <w:pPr>
        <w:rPr>
          <w:b/>
        </w:rPr>
      </w:pPr>
    </w:p>
    <w:p w:rsidR="000F25CA" w:rsidRDefault="000F25CA">
      <w:pPr>
        <w:rPr>
          <w:b/>
        </w:rPr>
      </w:pPr>
    </w:p>
    <w:p w:rsidR="00646559" w:rsidRDefault="00646559">
      <w:pPr>
        <w:rPr>
          <w:b/>
        </w:rPr>
      </w:pPr>
      <w:r w:rsidRPr="00646559">
        <w:rPr>
          <w:b/>
        </w:rPr>
        <w:t>4.  Describe efforts to identify duplication.  Show specifically why any similar information already available cannot be used or modified for use for the purpose described in item 2 above.</w:t>
      </w:r>
    </w:p>
    <w:p w:rsidR="003635A9" w:rsidRDefault="003635A9">
      <w:pPr>
        <w:rPr>
          <w:b/>
        </w:rPr>
      </w:pPr>
    </w:p>
    <w:p w:rsidR="008664D8" w:rsidRDefault="007F24BD">
      <w:r>
        <w:t>The information APHIS</w:t>
      </w:r>
      <w:r w:rsidR="003635A9">
        <w:t xml:space="preserve"> collect</w:t>
      </w:r>
      <w:r>
        <w:t xml:space="preserve">s is exclusive to </w:t>
      </w:r>
      <w:r w:rsidR="00E65EA7">
        <w:t>its</w:t>
      </w:r>
      <w:r w:rsidR="003635A9">
        <w:t xml:space="preserve"> mission to prevent the introduction</w:t>
      </w:r>
      <w:r w:rsidR="000D18B4">
        <w:t xml:space="preserve"> of plant pests, plant diseases, and noxious weeds</w:t>
      </w:r>
      <w:r w:rsidR="003635A9">
        <w:t xml:space="preserve"> into the United States</w:t>
      </w:r>
      <w:r w:rsidR="00B74966">
        <w:t xml:space="preserve">.  </w:t>
      </w:r>
      <w:r w:rsidR="003635A9">
        <w:t xml:space="preserve">The </w:t>
      </w:r>
      <w:r w:rsidR="00945302">
        <w:t>information is not available from any other source</w:t>
      </w:r>
      <w:r w:rsidR="009073CA">
        <w:t>.</w:t>
      </w:r>
    </w:p>
    <w:p w:rsidR="00181A32" w:rsidRDefault="00181A32">
      <w:pPr>
        <w:rPr>
          <w:b/>
        </w:rPr>
      </w:pPr>
    </w:p>
    <w:p w:rsidR="00181A32" w:rsidRDefault="00181A32">
      <w:pPr>
        <w:rPr>
          <w:b/>
        </w:rPr>
      </w:pPr>
    </w:p>
    <w:p w:rsidR="00181A32" w:rsidRDefault="00181A32">
      <w:pPr>
        <w:rPr>
          <w:b/>
        </w:rPr>
      </w:pPr>
    </w:p>
    <w:p w:rsidR="00181A32" w:rsidRDefault="00181A32">
      <w:pPr>
        <w:rPr>
          <w:b/>
        </w:rPr>
      </w:pPr>
    </w:p>
    <w:p w:rsidR="00646559" w:rsidRDefault="00646559">
      <w:pPr>
        <w:rPr>
          <w:b/>
        </w:rPr>
      </w:pPr>
      <w:r w:rsidRPr="00CB674F">
        <w:rPr>
          <w:b/>
        </w:rPr>
        <w:lastRenderedPageBreak/>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945302" w:rsidRDefault="00945302">
      <w:pPr>
        <w:rPr>
          <w:b/>
        </w:rPr>
      </w:pPr>
    </w:p>
    <w:p w:rsidR="00CB674F" w:rsidRDefault="0099604E">
      <w:r>
        <w:t>The i</w:t>
      </w:r>
      <w:r w:rsidR="007F24BD">
        <w:t>nformation APHIS</w:t>
      </w:r>
      <w:r>
        <w:t xml:space="preserve"> collect</w:t>
      </w:r>
      <w:r w:rsidR="007F24BD">
        <w:t>s</w:t>
      </w:r>
      <w:r w:rsidR="00DF4802">
        <w:t xml:space="preserve"> </w:t>
      </w:r>
      <w:r w:rsidR="000D18B4">
        <w:t xml:space="preserve">in connection with this program is the minimum needed to provide eligible grove and nursery owners with </w:t>
      </w:r>
      <w:r w:rsidR="00721540">
        <w:t xml:space="preserve">compensation for trees or revenue lost </w:t>
      </w:r>
      <w:r w:rsidR="000D18B4">
        <w:t>because of plum pox.</w:t>
      </w:r>
      <w:r w:rsidR="00304E93">
        <w:t xml:space="preserve">  APHIS has determined 100 percent of the respondents are small entities.</w:t>
      </w:r>
    </w:p>
    <w:p w:rsidR="00380B61" w:rsidRDefault="00380B61">
      <w:pPr>
        <w:rPr>
          <w:b/>
        </w:rPr>
      </w:pPr>
    </w:p>
    <w:p w:rsidR="000F25CA" w:rsidRDefault="000F25CA">
      <w:pPr>
        <w:rPr>
          <w:b/>
        </w:rPr>
      </w:pPr>
    </w:p>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DF4802" w:rsidRDefault="00DF4802">
      <w:pPr>
        <w:rPr>
          <w:b/>
        </w:rPr>
      </w:pPr>
    </w:p>
    <w:p w:rsidR="008664D8" w:rsidRDefault="000D18B4">
      <w:r>
        <w:t xml:space="preserve">The </w:t>
      </w:r>
      <w:r w:rsidR="008D56A3">
        <w:t>application for plum</w:t>
      </w:r>
      <w:r w:rsidR="003C13F0">
        <w:t xml:space="preserve"> pox compensation</w:t>
      </w:r>
      <w:r w:rsidR="00861E1B">
        <w:t xml:space="preserve"> is a one-time procedure.  If APHIS</w:t>
      </w:r>
      <w:r w:rsidR="003C13F0">
        <w:t xml:space="preserve"> did </w:t>
      </w:r>
      <w:r w:rsidR="00861E1B">
        <w:t>not collect this information, APHIS</w:t>
      </w:r>
      <w:r w:rsidR="003C13F0">
        <w:t xml:space="preserve"> </w:t>
      </w:r>
      <w:r w:rsidR="00987922">
        <w:t xml:space="preserve">would </w:t>
      </w:r>
      <w:r w:rsidR="00721540">
        <w:t>be unable to compensate</w:t>
      </w:r>
      <w:r w:rsidR="008D56A3">
        <w:t xml:space="preserve"> eligible </w:t>
      </w:r>
      <w:r w:rsidR="00721540">
        <w:t>grove and nursery owners for their</w:t>
      </w:r>
      <w:r w:rsidR="008D56A3">
        <w:t xml:space="preserve"> loss</w:t>
      </w:r>
      <w:r w:rsidR="00721540">
        <w:t>es.</w:t>
      </w:r>
    </w:p>
    <w:p w:rsidR="009073CA" w:rsidRDefault="009073CA"/>
    <w:p w:rsidR="003C13F0" w:rsidRPr="00F81D77" w:rsidRDefault="003C13F0"/>
    <w:p w:rsidR="00F81D77" w:rsidRPr="00F81D77" w:rsidRDefault="00F81D77" w:rsidP="00F81D77">
      <w:pPr>
        <w:pStyle w:val="DefaultText"/>
        <w:rPr>
          <w:rStyle w:val="InitialStyle"/>
          <w:rFonts w:ascii="Times New Roman" w:hAnsi="Times New Roman"/>
          <w:b/>
          <w:szCs w:val="24"/>
        </w:rPr>
      </w:pPr>
      <w:r w:rsidRPr="00F81D77">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F81D77" w:rsidRPr="00F81D77" w:rsidRDefault="00F81D77" w:rsidP="00F81D77">
      <w:pPr>
        <w:pStyle w:val="DefaultText"/>
        <w:rPr>
          <w:rStyle w:val="InitialStyle"/>
          <w:rFonts w:ascii="Times New Roman" w:hAnsi="Times New Roman"/>
          <w:szCs w:val="24"/>
        </w:rPr>
      </w:pPr>
    </w:p>
    <w:p w:rsidR="00F81D77" w:rsidRPr="00F81D77" w:rsidRDefault="00F81D77" w:rsidP="00F81D77">
      <w:pPr>
        <w:numPr>
          <w:ilvl w:val="0"/>
          <w:numId w:val="3"/>
        </w:numPr>
        <w:ind w:hanging="450"/>
        <w:rPr>
          <w:b/>
        </w:rPr>
      </w:pPr>
      <w:r w:rsidRPr="00F81D77">
        <w:rPr>
          <w:b/>
        </w:rPr>
        <w:t>requiring respondents to report informa</w:t>
      </w:r>
      <w:r w:rsidRPr="00F81D77">
        <w:rPr>
          <w:b/>
        </w:rPr>
        <w:softHyphen/>
        <w:t>tio</w:t>
      </w:r>
      <w:r>
        <w:rPr>
          <w:b/>
        </w:rPr>
        <w:t xml:space="preserve">n to the agency more often than </w:t>
      </w:r>
      <w:r w:rsidRPr="00F81D77">
        <w:rPr>
          <w:b/>
        </w:rPr>
        <w:t>quarterly;</w:t>
      </w:r>
    </w:p>
    <w:p w:rsidR="00F81D77" w:rsidRPr="00F81D77" w:rsidRDefault="00F81D77" w:rsidP="00F81D77">
      <w:pPr>
        <w:ind w:left="806"/>
      </w:pPr>
    </w:p>
    <w:p w:rsidR="00F81D77" w:rsidRPr="00F81D77" w:rsidRDefault="00F81D77" w:rsidP="00F81D77">
      <w:pPr>
        <w:pStyle w:val="ListParagraph"/>
        <w:numPr>
          <w:ilvl w:val="0"/>
          <w:numId w:val="3"/>
        </w:numPr>
        <w:overflowPunct/>
        <w:autoSpaceDE/>
        <w:autoSpaceDN/>
        <w:adjustRightInd/>
        <w:textAlignment w:val="auto"/>
        <w:rPr>
          <w:b/>
          <w:sz w:val="24"/>
          <w:szCs w:val="24"/>
        </w:rPr>
      </w:pPr>
      <w:r w:rsidRPr="00F81D77">
        <w:rPr>
          <w:b/>
          <w:sz w:val="24"/>
          <w:szCs w:val="24"/>
        </w:rPr>
        <w:t>requiring respondents to prepare a writ</w:t>
      </w:r>
      <w:r w:rsidRPr="00F81D77">
        <w:rPr>
          <w:b/>
          <w:sz w:val="24"/>
          <w:szCs w:val="24"/>
        </w:rPr>
        <w:softHyphen/>
        <w:t>ten response to a collection of infor</w:t>
      </w:r>
      <w:r w:rsidRPr="00F81D77">
        <w:rPr>
          <w:b/>
          <w:sz w:val="24"/>
          <w:szCs w:val="24"/>
        </w:rPr>
        <w:softHyphen/>
        <w:t>ma</w:t>
      </w:r>
      <w:r w:rsidRPr="00F81D77">
        <w:rPr>
          <w:b/>
          <w:sz w:val="24"/>
          <w:szCs w:val="24"/>
        </w:rPr>
        <w:softHyphen/>
        <w:t>tion in fewer than 30 days after receipt of it;</w:t>
      </w:r>
    </w:p>
    <w:p w:rsidR="00F81D77" w:rsidRPr="00F81D77" w:rsidRDefault="00F81D77" w:rsidP="00F81D77">
      <w:pPr>
        <w:pStyle w:val="ListParagraph"/>
        <w:rPr>
          <w:b/>
          <w:sz w:val="24"/>
          <w:szCs w:val="24"/>
        </w:rPr>
      </w:pPr>
    </w:p>
    <w:p w:rsidR="00F81D77" w:rsidRPr="00F81D77" w:rsidRDefault="00F81D77" w:rsidP="00F81D77">
      <w:pPr>
        <w:pStyle w:val="ListParagraph"/>
        <w:numPr>
          <w:ilvl w:val="0"/>
          <w:numId w:val="3"/>
        </w:numPr>
        <w:overflowPunct/>
        <w:autoSpaceDE/>
        <w:autoSpaceDN/>
        <w:adjustRightInd/>
        <w:textAlignment w:val="auto"/>
        <w:rPr>
          <w:b/>
          <w:sz w:val="24"/>
          <w:szCs w:val="24"/>
        </w:rPr>
      </w:pPr>
      <w:r w:rsidRPr="00F81D77">
        <w:rPr>
          <w:b/>
          <w:sz w:val="24"/>
          <w:szCs w:val="24"/>
        </w:rPr>
        <w:t>requiring respondents to submit more than an original and two copies of any document;</w:t>
      </w:r>
    </w:p>
    <w:p w:rsidR="00F81D77" w:rsidRPr="00F81D77" w:rsidRDefault="00F81D77" w:rsidP="00F81D77">
      <w:pPr>
        <w:ind w:left="810"/>
        <w:rPr>
          <w:b/>
        </w:rPr>
      </w:pPr>
    </w:p>
    <w:p w:rsidR="00F81D77" w:rsidRPr="00F81D77" w:rsidRDefault="00F81D77" w:rsidP="00F81D77">
      <w:pPr>
        <w:pStyle w:val="ListParagraph"/>
        <w:numPr>
          <w:ilvl w:val="0"/>
          <w:numId w:val="3"/>
        </w:numPr>
        <w:overflowPunct/>
        <w:autoSpaceDE/>
        <w:autoSpaceDN/>
        <w:adjustRightInd/>
        <w:textAlignment w:val="auto"/>
        <w:rPr>
          <w:b/>
          <w:sz w:val="24"/>
          <w:szCs w:val="24"/>
        </w:rPr>
      </w:pPr>
      <w:r w:rsidRPr="00F81D77">
        <w:rPr>
          <w:b/>
          <w:sz w:val="24"/>
          <w:szCs w:val="24"/>
        </w:rPr>
        <w:t>requiring respondents to retain re</w:t>
      </w:r>
      <w:r w:rsidRPr="00F81D77">
        <w:rPr>
          <w:b/>
          <w:sz w:val="24"/>
          <w:szCs w:val="24"/>
        </w:rPr>
        <w:softHyphen/>
        <w:t>cords, other than health, medical, governm</w:t>
      </w:r>
      <w:r w:rsidRPr="00F81D77">
        <w:rPr>
          <w:b/>
          <w:sz w:val="24"/>
          <w:szCs w:val="24"/>
        </w:rPr>
        <w:softHyphen/>
        <w:t>ent contract, grant-in-aid, or tax records for more than three years;</w:t>
      </w:r>
    </w:p>
    <w:p w:rsidR="00F81D77" w:rsidRPr="00F81D77" w:rsidRDefault="00F81D77" w:rsidP="00F81D77">
      <w:pPr>
        <w:ind w:left="810"/>
        <w:rPr>
          <w:b/>
        </w:rPr>
      </w:pPr>
    </w:p>
    <w:p w:rsidR="00F81D77" w:rsidRPr="00F81D77" w:rsidRDefault="00F81D77" w:rsidP="00F81D77">
      <w:pPr>
        <w:pStyle w:val="ListParagraph"/>
        <w:numPr>
          <w:ilvl w:val="0"/>
          <w:numId w:val="3"/>
        </w:numPr>
        <w:overflowPunct/>
        <w:autoSpaceDE/>
        <w:autoSpaceDN/>
        <w:adjustRightInd/>
        <w:textAlignment w:val="auto"/>
        <w:rPr>
          <w:b/>
          <w:sz w:val="24"/>
          <w:szCs w:val="24"/>
        </w:rPr>
      </w:pPr>
      <w:r w:rsidRPr="00F81D77">
        <w:rPr>
          <w:b/>
          <w:sz w:val="24"/>
          <w:szCs w:val="24"/>
        </w:rPr>
        <w:t>in connection with a statisti</w:t>
      </w:r>
      <w:r w:rsidRPr="00F81D77">
        <w:rPr>
          <w:b/>
          <w:sz w:val="24"/>
          <w:szCs w:val="24"/>
        </w:rPr>
        <w:softHyphen/>
        <w:t>cal sur</w:t>
      </w:r>
      <w:r w:rsidRPr="00F81D77">
        <w:rPr>
          <w:b/>
          <w:sz w:val="24"/>
          <w:szCs w:val="24"/>
        </w:rPr>
        <w:softHyphen/>
        <w:t>vey, that is not de</w:t>
      </w:r>
      <w:r w:rsidRPr="00F81D77">
        <w:rPr>
          <w:b/>
          <w:sz w:val="24"/>
          <w:szCs w:val="24"/>
        </w:rPr>
        <w:softHyphen/>
        <w:t>signed to produce valid and reliable results that can be general</w:t>
      </w:r>
      <w:r w:rsidRPr="00F81D77">
        <w:rPr>
          <w:b/>
          <w:sz w:val="24"/>
          <w:szCs w:val="24"/>
        </w:rPr>
        <w:softHyphen/>
        <w:t>ized to the uni</w:t>
      </w:r>
      <w:r w:rsidRPr="00F81D77">
        <w:rPr>
          <w:b/>
          <w:sz w:val="24"/>
          <w:szCs w:val="24"/>
        </w:rPr>
        <w:softHyphen/>
        <w:t>verse of study;</w:t>
      </w:r>
    </w:p>
    <w:p w:rsidR="00F81D77" w:rsidRPr="00F81D77" w:rsidRDefault="00F81D77" w:rsidP="00F81D77">
      <w:pPr>
        <w:ind w:left="810"/>
        <w:rPr>
          <w:b/>
        </w:rPr>
      </w:pPr>
    </w:p>
    <w:p w:rsidR="00F81D77" w:rsidRPr="00F81D77" w:rsidRDefault="00F81D77" w:rsidP="00F81D77">
      <w:pPr>
        <w:pStyle w:val="ListParagraph"/>
        <w:numPr>
          <w:ilvl w:val="0"/>
          <w:numId w:val="3"/>
        </w:numPr>
        <w:overflowPunct/>
        <w:autoSpaceDE/>
        <w:autoSpaceDN/>
        <w:adjustRightInd/>
        <w:textAlignment w:val="auto"/>
        <w:rPr>
          <w:b/>
          <w:sz w:val="24"/>
          <w:szCs w:val="24"/>
        </w:rPr>
      </w:pPr>
      <w:r w:rsidRPr="00F81D77">
        <w:rPr>
          <w:b/>
          <w:sz w:val="24"/>
          <w:szCs w:val="24"/>
        </w:rPr>
        <w:t>requiring the use of a statis</w:t>
      </w:r>
      <w:r w:rsidRPr="00F81D77">
        <w:rPr>
          <w:b/>
          <w:sz w:val="24"/>
          <w:szCs w:val="24"/>
        </w:rPr>
        <w:softHyphen/>
        <w:t>tical data classi</w:t>
      </w:r>
      <w:r w:rsidRPr="00F81D77">
        <w:rPr>
          <w:b/>
          <w:sz w:val="24"/>
          <w:szCs w:val="24"/>
        </w:rPr>
        <w:softHyphen/>
        <w:t>fication that has not been re</w:t>
      </w:r>
      <w:r w:rsidRPr="00F81D77">
        <w:rPr>
          <w:b/>
          <w:sz w:val="24"/>
          <w:szCs w:val="24"/>
        </w:rPr>
        <w:softHyphen/>
        <w:t>vie</w:t>
      </w:r>
      <w:r w:rsidRPr="00F81D77">
        <w:rPr>
          <w:b/>
          <w:sz w:val="24"/>
          <w:szCs w:val="24"/>
        </w:rPr>
        <w:softHyphen/>
        <w:t>wed and approved by OMB;</w:t>
      </w:r>
    </w:p>
    <w:p w:rsidR="00F81D77" w:rsidRPr="00F81D77" w:rsidRDefault="00F81D77" w:rsidP="00F81D77">
      <w:pPr>
        <w:ind w:left="810"/>
        <w:rPr>
          <w:b/>
        </w:rPr>
      </w:pPr>
    </w:p>
    <w:p w:rsidR="00F81D77" w:rsidRPr="00F81D77" w:rsidRDefault="00F81D77" w:rsidP="00F81D77">
      <w:pPr>
        <w:pStyle w:val="ListParagraph"/>
        <w:numPr>
          <w:ilvl w:val="0"/>
          <w:numId w:val="3"/>
        </w:numPr>
        <w:overflowPunct/>
        <w:autoSpaceDE/>
        <w:autoSpaceDN/>
        <w:adjustRightInd/>
        <w:textAlignment w:val="auto"/>
        <w:rPr>
          <w:b/>
          <w:sz w:val="24"/>
          <w:szCs w:val="24"/>
        </w:rPr>
      </w:pPr>
      <w:r w:rsidRPr="00F81D77">
        <w:rPr>
          <w:b/>
          <w:sz w:val="24"/>
          <w:szCs w:val="24"/>
        </w:rPr>
        <w:t>that includes a pledge of confiden</w:t>
      </w:r>
      <w:r w:rsidRPr="00F81D77">
        <w:rPr>
          <w:b/>
          <w:sz w:val="24"/>
          <w:szCs w:val="24"/>
        </w:rPr>
        <w:softHyphen/>
        <w:t>tiali</w:t>
      </w:r>
      <w:r w:rsidRPr="00F81D77">
        <w:rPr>
          <w:b/>
          <w:sz w:val="24"/>
          <w:szCs w:val="24"/>
        </w:rPr>
        <w:softHyphen/>
        <w:t>ty that is not supported by au</w:t>
      </w:r>
      <w:r w:rsidRPr="00F81D77">
        <w:rPr>
          <w:b/>
          <w:sz w:val="24"/>
          <w:szCs w:val="24"/>
        </w:rPr>
        <w:softHyphen/>
        <w:t>thority estab</w:t>
      </w:r>
      <w:r w:rsidRPr="00F81D77">
        <w:rPr>
          <w:b/>
          <w:sz w:val="24"/>
          <w:szCs w:val="24"/>
        </w:rPr>
        <w:softHyphen/>
        <w:t>lished in statute or regu</w:t>
      </w:r>
      <w:r w:rsidRPr="00F81D77">
        <w:rPr>
          <w:b/>
          <w:sz w:val="24"/>
          <w:szCs w:val="24"/>
        </w:rPr>
        <w:softHyphen/>
        <w:t>la</w:t>
      </w:r>
      <w:r w:rsidRPr="00F81D77">
        <w:rPr>
          <w:b/>
          <w:sz w:val="24"/>
          <w:szCs w:val="24"/>
        </w:rPr>
        <w:softHyphen/>
        <w:t>tion, that is not sup</w:t>
      </w:r>
      <w:r w:rsidRPr="00F81D77">
        <w:rPr>
          <w:b/>
          <w:sz w:val="24"/>
          <w:szCs w:val="24"/>
        </w:rPr>
        <w:softHyphen/>
        <w:t>ported by dis</w:t>
      </w:r>
      <w:r w:rsidRPr="00F81D77">
        <w:rPr>
          <w:b/>
          <w:sz w:val="24"/>
          <w:szCs w:val="24"/>
        </w:rPr>
        <w:softHyphen/>
        <w:t>closure and data security policies that are consistent with the pledge, or which unneces</w:t>
      </w:r>
      <w:r w:rsidRPr="00F81D77">
        <w:rPr>
          <w:b/>
          <w:sz w:val="24"/>
          <w:szCs w:val="24"/>
        </w:rPr>
        <w:softHyphen/>
        <w:t>sarily impedes shar</w:t>
      </w:r>
      <w:r w:rsidRPr="00F81D77">
        <w:rPr>
          <w:b/>
          <w:sz w:val="24"/>
          <w:szCs w:val="24"/>
        </w:rPr>
        <w:softHyphen/>
        <w:t>ing of data with other agencies for com</w:t>
      </w:r>
      <w:r w:rsidRPr="00F81D77">
        <w:rPr>
          <w:b/>
          <w:sz w:val="24"/>
          <w:szCs w:val="24"/>
        </w:rPr>
        <w:softHyphen/>
        <w:t>patible confiden</w:t>
      </w:r>
      <w:r w:rsidRPr="00F81D77">
        <w:rPr>
          <w:b/>
          <w:sz w:val="24"/>
          <w:szCs w:val="24"/>
        </w:rPr>
        <w:softHyphen/>
        <w:t>tial use; or</w:t>
      </w:r>
    </w:p>
    <w:p w:rsidR="00F81D77" w:rsidRPr="00F81D77" w:rsidRDefault="00F81D77" w:rsidP="00F81D77">
      <w:pPr>
        <w:ind w:left="810"/>
      </w:pPr>
    </w:p>
    <w:p w:rsidR="00F81D77" w:rsidRPr="00F81D77" w:rsidRDefault="00F81D77" w:rsidP="00F81D77">
      <w:pPr>
        <w:pStyle w:val="ListParagraph"/>
        <w:numPr>
          <w:ilvl w:val="0"/>
          <w:numId w:val="3"/>
        </w:numPr>
        <w:overflowPunct/>
        <w:autoSpaceDE/>
        <w:autoSpaceDN/>
        <w:adjustRightInd/>
        <w:textAlignment w:val="auto"/>
        <w:rPr>
          <w:sz w:val="24"/>
          <w:szCs w:val="24"/>
        </w:rPr>
      </w:pPr>
      <w:r w:rsidRPr="00F81D77">
        <w:rPr>
          <w:b/>
          <w:sz w:val="24"/>
          <w:szCs w:val="24"/>
        </w:rPr>
        <w:t>requiring respondents to submit propri</w:t>
      </w:r>
      <w:r w:rsidRPr="00F81D77">
        <w:rPr>
          <w:b/>
          <w:sz w:val="24"/>
          <w:szCs w:val="24"/>
        </w:rPr>
        <w:softHyphen/>
        <w:t>etary trade secret, or other confidential information unless the agency can demon</w:t>
      </w:r>
      <w:r w:rsidRPr="00F81D77">
        <w:rPr>
          <w:b/>
          <w:sz w:val="24"/>
          <w:szCs w:val="24"/>
        </w:rPr>
        <w:softHyphen/>
        <w:t>strate that it has instituted procedures to protect the information's confidentiality to the extent permit</w:t>
      </w:r>
      <w:r w:rsidRPr="00F81D77">
        <w:rPr>
          <w:b/>
          <w:sz w:val="24"/>
          <w:szCs w:val="24"/>
        </w:rPr>
        <w:softHyphen/>
        <w:t>ted by law.</w:t>
      </w:r>
    </w:p>
    <w:p w:rsidR="00F81D77" w:rsidRPr="00F81D77" w:rsidRDefault="00F81D77" w:rsidP="00F81D77">
      <w:pPr>
        <w:pStyle w:val="DefaultText"/>
        <w:rPr>
          <w:rStyle w:val="InitialStyle"/>
          <w:rFonts w:ascii="Times New Roman" w:hAnsi="Times New Roman"/>
          <w:szCs w:val="24"/>
        </w:rPr>
      </w:pPr>
      <w:r w:rsidRPr="00F81D77">
        <w:rPr>
          <w:rStyle w:val="InitialStyle"/>
          <w:rFonts w:ascii="Times New Roman" w:hAnsi="Times New Roman"/>
          <w:szCs w:val="24"/>
        </w:rPr>
        <w:lastRenderedPageBreak/>
        <w:t>No special circumstances exist that would require this collection to be conducted in a manner inconsistent with the general information collection guidelines in 5 CFR 1320.5.</w:t>
      </w:r>
    </w:p>
    <w:p w:rsidR="00F81D77" w:rsidRDefault="00F81D77">
      <w:pPr>
        <w:rPr>
          <w:b/>
        </w:rPr>
      </w:pPr>
    </w:p>
    <w:p w:rsidR="00F81D77" w:rsidRDefault="00F81D77">
      <w:pPr>
        <w:rPr>
          <w:b/>
        </w:rPr>
      </w:pPr>
    </w:p>
    <w:p w:rsidR="00CB674F" w:rsidRDefault="00CB674F">
      <w:pPr>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00974E84">
        <w:rPr>
          <w:b/>
        </w:rPr>
        <w:t xml:space="preserve">  </w:t>
      </w:r>
    </w:p>
    <w:p w:rsidR="00974E84" w:rsidRDefault="00974E84">
      <w:pPr>
        <w:rPr>
          <w:b/>
        </w:rPr>
      </w:pPr>
    </w:p>
    <w:p w:rsidR="00974E84" w:rsidRDefault="00974E84">
      <w:r>
        <w:t>The following indivi</w:t>
      </w:r>
      <w:r w:rsidR="00304E93">
        <w:t>duals were consulted during 20</w:t>
      </w:r>
      <w:r w:rsidR="00694D26">
        <w:t>1</w:t>
      </w:r>
      <w:r w:rsidR="00413923">
        <w:t>3</w:t>
      </w:r>
      <w:r w:rsidR="00694D26">
        <w:t>.</w:t>
      </w:r>
    </w:p>
    <w:p w:rsidR="00D53385" w:rsidRDefault="00D53385"/>
    <w:p w:rsidR="00413923" w:rsidRPr="00413923" w:rsidRDefault="00413923">
      <w:r w:rsidRPr="00413923">
        <w:rPr>
          <w:bCs/>
        </w:rPr>
        <w:t xml:space="preserve">Carrie L. </w:t>
      </w:r>
      <w:proofErr w:type="spellStart"/>
      <w:r w:rsidRPr="00413923">
        <w:rPr>
          <w:bCs/>
        </w:rPr>
        <w:t>Castille</w:t>
      </w:r>
      <w:proofErr w:type="spellEnd"/>
      <w:r w:rsidRPr="00413923">
        <w:rPr>
          <w:bCs/>
        </w:rPr>
        <w:t>, PhD</w:t>
      </w:r>
      <w:r w:rsidR="00751D42">
        <w:rPr>
          <w:bCs/>
        </w:rPr>
        <w:t xml:space="preserve">, </w:t>
      </w:r>
      <w:r w:rsidRPr="00413923">
        <w:t>Associate Commissioner</w:t>
      </w:r>
      <w:r w:rsidRPr="00413923">
        <w:br/>
        <w:t>Public Policy and Governmental Affairs</w:t>
      </w:r>
      <w:r w:rsidRPr="00413923">
        <w:br/>
        <w:t xml:space="preserve">Louisiana Department of Agriculture and Forestry </w:t>
      </w:r>
      <w:r w:rsidRPr="00413923">
        <w:br/>
        <w:t>P.O. Box 631</w:t>
      </w:r>
      <w:r w:rsidRPr="00413923">
        <w:br/>
        <w:t xml:space="preserve">5825 Florida Blvd. </w:t>
      </w:r>
      <w:r w:rsidRPr="00413923">
        <w:br/>
        <w:t xml:space="preserve">Baton Rouge, LA 70821-0631 </w:t>
      </w:r>
      <w:r w:rsidRPr="00413923">
        <w:br/>
        <w:t>Office: 225-922-1251</w:t>
      </w:r>
    </w:p>
    <w:p w:rsidR="00413923" w:rsidRDefault="00413923"/>
    <w:p w:rsidR="00863EAD" w:rsidRDefault="00413923">
      <w:r>
        <w:t xml:space="preserve">Katy </w:t>
      </w:r>
      <w:proofErr w:type="spellStart"/>
      <w:r>
        <w:t>Coba</w:t>
      </w:r>
      <w:proofErr w:type="spellEnd"/>
      <w:r w:rsidR="009A2FB0">
        <w:t>, Director</w:t>
      </w:r>
      <w:r w:rsidR="00751D42">
        <w:t xml:space="preserve">, </w:t>
      </w:r>
      <w:r>
        <w:t>Chair</w:t>
      </w:r>
    </w:p>
    <w:p w:rsidR="00863EAD" w:rsidRDefault="00863EAD">
      <w:r>
        <w:t>Interstate Pest Control Compact</w:t>
      </w:r>
    </w:p>
    <w:p w:rsidR="00863EAD" w:rsidRPr="00967D8D" w:rsidRDefault="00967D8D">
      <w:pPr>
        <w:rPr>
          <w:color w:val="000000"/>
        </w:rPr>
      </w:pPr>
      <w:r w:rsidRPr="00967D8D">
        <w:rPr>
          <w:color w:val="000000"/>
        </w:rPr>
        <w:t xml:space="preserve">635 Capitol St. NE </w:t>
      </w:r>
      <w:r w:rsidRPr="00967D8D">
        <w:rPr>
          <w:color w:val="000000"/>
        </w:rPr>
        <w:br/>
        <w:t>Salem, O</w:t>
      </w:r>
      <w:r>
        <w:rPr>
          <w:color w:val="000000"/>
        </w:rPr>
        <w:t>R</w:t>
      </w:r>
      <w:r w:rsidRPr="00967D8D">
        <w:rPr>
          <w:color w:val="000000"/>
        </w:rPr>
        <w:t xml:space="preserve"> 97301</w:t>
      </w:r>
    </w:p>
    <w:p w:rsidR="00967D8D" w:rsidRDefault="00967D8D"/>
    <w:p w:rsidR="00D53385" w:rsidRPr="00967D8D" w:rsidRDefault="00967D8D">
      <w:pPr>
        <w:rPr>
          <w:b/>
        </w:rPr>
      </w:pPr>
      <w:r w:rsidRPr="00967D8D">
        <w:rPr>
          <w:rStyle w:val="Strong"/>
          <w:b w:val="0"/>
        </w:rPr>
        <w:t>Kurt Reichert, Compliance Officer</w:t>
      </w:r>
    </w:p>
    <w:p w:rsidR="00863EAD" w:rsidRDefault="00863EAD">
      <w:r>
        <w:t>Western Fumigation</w:t>
      </w:r>
    </w:p>
    <w:p w:rsidR="00863EAD" w:rsidRDefault="00863EAD">
      <w:r>
        <w:t>Airport Business Complex</w:t>
      </w:r>
    </w:p>
    <w:p w:rsidR="00863EAD" w:rsidRDefault="00863EAD">
      <w:r>
        <w:t>10 Industrial Highway, Mail Stop #52</w:t>
      </w:r>
    </w:p>
    <w:p w:rsidR="00863EAD" w:rsidRDefault="00863EAD">
      <w:r>
        <w:t>Lester, PA  19029</w:t>
      </w:r>
    </w:p>
    <w:p w:rsidR="00863EAD" w:rsidRDefault="00863EAD">
      <w:r>
        <w:t>(610) 595-21</w:t>
      </w:r>
      <w:r w:rsidR="00967D8D">
        <w:t>06</w:t>
      </w:r>
      <w:r>
        <w:t xml:space="preserve">  </w:t>
      </w:r>
    </w:p>
    <w:p w:rsidR="00F81D77" w:rsidRDefault="00F81D77">
      <w:pPr>
        <w:rPr>
          <w:b/>
        </w:rPr>
      </w:pPr>
    </w:p>
    <w:p w:rsidR="00751D42" w:rsidRDefault="00751D42" w:rsidP="00751D42">
      <w:r w:rsidRPr="00751D42">
        <w:t xml:space="preserve">On Friday, August 9, 2013, pages </w:t>
      </w:r>
      <w:r w:rsidRPr="00751D42">
        <w:rPr>
          <w:bCs/>
        </w:rPr>
        <w:t>48644</w:t>
      </w:r>
      <w:r w:rsidRPr="00751D42">
        <w:rPr>
          <w:rFonts w:eastAsiaTheme="minorHAnsi"/>
          <w:bCs/>
        </w:rPr>
        <w:t>-</w:t>
      </w:r>
      <w:r w:rsidRPr="00751D42">
        <w:rPr>
          <w:bCs/>
        </w:rPr>
        <w:t xml:space="preserve"> 48645</w:t>
      </w:r>
      <w:r w:rsidRPr="00751D42">
        <w:t xml:space="preserve">, APHIS published in the Federal Register, a </w:t>
      </w:r>
      <w:r>
        <w:t xml:space="preserve">  </w:t>
      </w:r>
      <w:r w:rsidRPr="006F5BE0">
        <w:t>60-day notice seeking public comments on its plans to request a 3-year approval of this collection of information.  During that time</w:t>
      </w:r>
      <w:r>
        <w:t xml:space="preserve"> no comments were received.    </w:t>
      </w:r>
    </w:p>
    <w:p w:rsidR="00751D42" w:rsidRDefault="00751D42">
      <w:pPr>
        <w:rPr>
          <w:b/>
        </w:rPr>
      </w:pPr>
    </w:p>
    <w:p w:rsidR="00F81D77" w:rsidRDefault="00F81D77">
      <w:pPr>
        <w:rPr>
          <w:b/>
        </w:rPr>
      </w:pPr>
    </w:p>
    <w:p w:rsidR="00CB674F" w:rsidRDefault="00CB674F">
      <w:pPr>
        <w:rPr>
          <w:b/>
        </w:rPr>
      </w:pPr>
      <w:r>
        <w:rPr>
          <w:b/>
        </w:rPr>
        <w:t>9.  Explain any decision to provide any payment or gift to respondents, other than reenumeration of contractors or grantees.</w:t>
      </w:r>
    </w:p>
    <w:p w:rsidR="008664D8" w:rsidRDefault="008664D8">
      <w:pPr>
        <w:rPr>
          <w:b/>
        </w:rPr>
      </w:pPr>
    </w:p>
    <w:p w:rsidR="00C84F14" w:rsidRDefault="00C84F14">
      <w:r>
        <w:t>This information collection activity involves no payments or gifts to respondents.</w:t>
      </w:r>
    </w:p>
    <w:p w:rsidR="000F25CA" w:rsidRDefault="000F25CA">
      <w:pPr>
        <w:rPr>
          <w:b/>
        </w:rPr>
      </w:pPr>
    </w:p>
    <w:p w:rsidR="00181A32" w:rsidRDefault="00181A32">
      <w:pPr>
        <w:rPr>
          <w:b/>
        </w:rPr>
      </w:pPr>
    </w:p>
    <w:p w:rsidR="00181A32" w:rsidRDefault="00181A32">
      <w:pPr>
        <w:rPr>
          <w:b/>
        </w:rPr>
      </w:pPr>
    </w:p>
    <w:p w:rsidR="00181A32" w:rsidRDefault="00181A32">
      <w:pPr>
        <w:rPr>
          <w:b/>
        </w:rPr>
      </w:pPr>
    </w:p>
    <w:p w:rsidR="00181A32" w:rsidRDefault="00181A32">
      <w:pPr>
        <w:rPr>
          <w:b/>
        </w:rPr>
      </w:pPr>
    </w:p>
    <w:p w:rsidR="00CB674F" w:rsidRDefault="00CB674F">
      <w:pPr>
        <w:rPr>
          <w:b/>
        </w:rPr>
      </w:pPr>
      <w:r>
        <w:rPr>
          <w:b/>
        </w:rPr>
        <w:lastRenderedPageBreak/>
        <w:t>10.  Describe any assurance of confidentiality provided to respondents and the basis for the assurance in stature, regulation, or agency policy.</w:t>
      </w:r>
    </w:p>
    <w:p w:rsidR="00C84F14" w:rsidRDefault="00C84F14">
      <w:pPr>
        <w:rPr>
          <w:b/>
        </w:rPr>
      </w:pPr>
    </w:p>
    <w:p w:rsidR="00F81D77" w:rsidRPr="00675743" w:rsidRDefault="00F81D77" w:rsidP="00F81D77">
      <w:pPr>
        <w:rPr>
          <w:color w:val="000000"/>
        </w:rPr>
      </w:pPr>
      <w:r w:rsidRPr="00675743">
        <w:rPr>
          <w:color w:val="000000"/>
        </w:rPr>
        <w:t xml:space="preserve">No additional assurance of confidentiality is provided with this information collection. Any and all information obtained in this collection shall not be disclosed except in accordance with </w:t>
      </w:r>
    </w:p>
    <w:p w:rsidR="00F81D77" w:rsidRPr="00675743" w:rsidRDefault="00F81D77" w:rsidP="00F81D77">
      <w:pPr>
        <w:rPr>
          <w:rStyle w:val="InitialStyle"/>
          <w:color w:val="000000"/>
        </w:rPr>
      </w:pPr>
      <w:proofErr w:type="gramStart"/>
      <w:r w:rsidRPr="00675743">
        <w:rPr>
          <w:color w:val="000000"/>
        </w:rPr>
        <w:t>5 U.S.C. 552a.</w:t>
      </w:r>
      <w:proofErr w:type="gramEnd"/>
    </w:p>
    <w:p w:rsidR="008E165C" w:rsidRDefault="008E165C"/>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2DCE" w:rsidRDefault="00372DCE">
      <w:pPr>
        <w:rPr>
          <w:b/>
        </w:rPr>
      </w:pPr>
    </w:p>
    <w:p w:rsidR="00372DCE" w:rsidRDefault="00372DCE">
      <w:r>
        <w:t>This information collection activity asks no questions of a personal or sensitive nature.</w:t>
      </w:r>
    </w:p>
    <w:p w:rsidR="008E165C" w:rsidRDefault="008E165C"/>
    <w:p w:rsidR="00F81D77" w:rsidRPr="00372DCE" w:rsidRDefault="00F81D77"/>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9809FE" w:rsidRDefault="001F3C42" w:rsidP="009809FE">
      <w:pPr>
        <w:rPr>
          <w:b/>
        </w:rPr>
      </w:pPr>
      <w:proofErr w:type="gramStart"/>
      <w:r w:rsidRPr="00F119AC">
        <w:rPr>
          <w:b/>
        </w:rPr>
        <w:t xml:space="preserve">•  </w:t>
      </w:r>
      <w:r w:rsidR="009809FE">
        <w:rPr>
          <w:b/>
        </w:rPr>
        <w:t>Indicate</w:t>
      </w:r>
      <w:proofErr w:type="gramEnd"/>
      <w:r w:rsidR="009809FE">
        <w:rPr>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809FE" w:rsidRDefault="009809FE" w:rsidP="009809FE">
      <w:pPr>
        <w:rPr>
          <w:b/>
        </w:rPr>
      </w:pPr>
    </w:p>
    <w:p w:rsidR="00564270" w:rsidRDefault="009809FE" w:rsidP="00564270">
      <w:r>
        <w:t xml:space="preserve">See APHIS Form 71 for hour burden estimates.  </w:t>
      </w:r>
      <w:r w:rsidR="00564270" w:rsidRPr="00564270">
        <w:t>These estimates were developed from discussions with eligible stone fruit growers and fruit tree nursery owners</w:t>
      </w:r>
      <w:r w:rsidR="00A12221">
        <w:t>.</w:t>
      </w:r>
    </w:p>
    <w:p w:rsidR="003450F4" w:rsidRPr="00564270" w:rsidRDefault="003450F4" w:rsidP="00564270"/>
    <w:p w:rsidR="009809FE" w:rsidRDefault="001F3C42" w:rsidP="009809FE">
      <w:pPr>
        <w:rPr>
          <w:b/>
        </w:rPr>
      </w:pPr>
      <w:proofErr w:type="gramStart"/>
      <w:r w:rsidRPr="00F119AC">
        <w:rPr>
          <w:b/>
        </w:rPr>
        <w:t xml:space="preserve">•  </w:t>
      </w:r>
      <w:r w:rsidR="009809FE">
        <w:rPr>
          <w:b/>
        </w:rPr>
        <w:t>Provide</w:t>
      </w:r>
      <w:proofErr w:type="gramEnd"/>
      <w:r w:rsidR="009809FE">
        <w:rPr>
          <w:b/>
        </w:rPr>
        <w:t xml:space="preserve"> estimates of annualized cost to respondents for the hour burdens for collections of information, identifying and using appropriate wage rate categories. </w:t>
      </w:r>
    </w:p>
    <w:p w:rsidR="009809FE" w:rsidRDefault="009809FE" w:rsidP="009809FE">
      <w:pPr>
        <w:rPr>
          <w:b/>
        </w:rPr>
      </w:pPr>
    </w:p>
    <w:p w:rsidR="009809FE" w:rsidRPr="009809FE" w:rsidRDefault="00BD2ACA" w:rsidP="00A953B0">
      <w:pPr>
        <w:rPr>
          <w:b/>
        </w:rPr>
      </w:pPr>
      <w:r w:rsidRPr="00ED547D">
        <w:t>APHIS estimates the total annualized cost to these respondents to be $</w:t>
      </w:r>
      <w:r w:rsidR="0051710B" w:rsidRPr="0051710B">
        <w:t>4</w:t>
      </w:r>
      <w:r w:rsidR="0051710B">
        <w:t>,</w:t>
      </w:r>
      <w:r w:rsidR="0051710B" w:rsidRPr="0051710B">
        <w:t>551.46</w:t>
      </w:r>
      <w:r>
        <w:t>.</w:t>
      </w:r>
      <w:r w:rsidRPr="00ED547D">
        <w:t xml:space="preserve">  APHIS arrived at this figure by multiplying</w:t>
      </w:r>
      <w:r w:rsidRPr="00BD2ACA">
        <w:t xml:space="preserve"> </w:t>
      </w:r>
      <w:r w:rsidRPr="00BD2ACA">
        <w:rPr>
          <w:rStyle w:val="InitialStyle"/>
          <w:rFonts w:ascii="Times New Roman" w:hAnsi="Times New Roman"/>
        </w:rPr>
        <w:t xml:space="preserve">the total burden hours </w:t>
      </w:r>
      <w:r w:rsidRPr="00BD2ACA">
        <w:t>(</w:t>
      </w:r>
      <w:r w:rsidR="0051710B">
        <w:t>89</w:t>
      </w:r>
      <w:r w:rsidRPr="00ED547D">
        <w:t xml:space="preserve"> hours) by the estimated average hourly wage of the above respondents ($</w:t>
      </w:r>
      <w:r>
        <w:t>51.14</w:t>
      </w:r>
      <w:r w:rsidRPr="00ED547D">
        <w:t xml:space="preserve">).  </w:t>
      </w:r>
      <w:r>
        <w:t>The</w:t>
      </w:r>
      <w:r w:rsidRPr="00ED547D">
        <w:t xml:space="preserve"> hourly rate was derived from the U.S. Department of </w:t>
      </w:r>
      <w:proofErr w:type="gramStart"/>
      <w:r w:rsidRPr="00ED547D">
        <w:t>Labor,</w:t>
      </w:r>
      <w:proofErr w:type="gramEnd"/>
      <w:r w:rsidRPr="00ED547D">
        <w:t xml:space="preserve"> Bureau of Labor Statistics May 20</w:t>
      </w:r>
      <w:r>
        <w:t>12</w:t>
      </w:r>
      <w:r w:rsidRPr="00ED547D">
        <w:t xml:space="preserve"> Report –</w:t>
      </w:r>
      <w:r>
        <w:t xml:space="preserve"> O</w:t>
      </w:r>
      <w:r w:rsidRPr="00300DF6">
        <w:rPr>
          <w:color w:val="000000"/>
        </w:rPr>
        <w:t xml:space="preserve">ccupational Employment and Wages in the United States. See </w:t>
      </w:r>
      <w:hyperlink r:id="rId14" w:history="1">
        <w:r w:rsidRPr="00D10D52">
          <w:rPr>
            <w:rStyle w:val="Hyperlink"/>
          </w:rPr>
          <w:t>http://www.bls.gov/news.release/pdf/ocwage.pdf</w:t>
        </w:r>
      </w:hyperlink>
    </w:p>
    <w:p w:rsidR="002E623C" w:rsidRDefault="002E623C">
      <w:pPr>
        <w:rPr>
          <w:b/>
        </w:rPr>
      </w:pPr>
    </w:p>
    <w:p w:rsidR="00BD2ACA" w:rsidRDefault="00BD2ACA">
      <w:r>
        <w:t xml:space="preserve">$51.14 x </w:t>
      </w:r>
      <w:r w:rsidR="0051710B">
        <w:t>89</w:t>
      </w:r>
      <w:r>
        <w:t xml:space="preserve"> = $</w:t>
      </w:r>
      <w:r w:rsidR="0051710B" w:rsidRPr="0051710B">
        <w:t>4</w:t>
      </w:r>
      <w:r w:rsidR="0051710B">
        <w:t>,</w:t>
      </w:r>
      <w:bookmarkStart w:id="0" w:name="_GoBack"/>
      <w:bookmarkEnd w:id="0"/>
      <w:r w:rsidR="0051710B" w:rsidRPr="0051710B">
        <w:t>551.46</w:t>
      </w:r>
    </w:p>
    <w:p w:rsidR="00BD2ACA" w:rsidRDefault="00BD2ACA"/>
    <w:p w:rsidR="00BD2ACA" w:rsidRDefault="00BD2ACA">
      <w:pPr>
        <w:rPr>
          <w:b/>
        </w:rPr>
      </w:pPr>
    </w:p>
    <w:p w:rsidR="00057ECC" w:rsidRDefault="00D67FB1">
      <w:pPr>
        <w:rPr>
          <w:b/>
        </w:rPr>
      </w:pPr>
      <w:r>
        <w:rPr>
          <w:b/>
        </w:rPr>
        <w:t xml:space="preserve">13. </w:t>
      </w:r>
      <w:r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953B0" w:rsidRDefault="00A953B0">
      <w:pPr>
        <w:rPr>
          <w:b/>
        </w:rPr>
      </w:pPr>
    </w:p>
    <w:p w:rsidR="00A953B0" w:rsidRDefault="00A953B0">
      <w:r>
        <w:t>There is zero annual cost burden associated with capital</w:t>
      </w:r>
      <w:r w:rsidR="00615870">
        <w:t xml:space="preserve"> and </w:t>
      </w:r>
      <w:r>
        <w:t>start-up</w:t>
      </w:r>
      <w:r w:rsidR="00615870">
        <w:t xml:space="preserve"> costs,</w:t>
      </w:r>
      <w:r>
        <w:t xml:space="preserve"> maintenance costs, and purchase of services in connection with this program.</w:t>
      </w:r>
    </w:p>
    <w:p w:rsidR="00057ECC" w:rsidRDefault="00057ECC">
      <w:pPr>
        <w:rPr>
          <w:b/>
        </w:rPr>
      </w:pPr>
      <w:r>
        <w:rPr>
          <w:b/>
        </w:rPr>
        <w:lastRenderedPageBreak/>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67FB1" w:rsidRDefault="00D67FB1">
      <w:r>
        <w:t>See APHIS Form 79 for annualized cost to the Federal Government.  Annual cost to the Government is $</w:t>
      </w:r>
      <w:r w:rsidR="00B943D0">
        <w:t>93,812</w:t>
      </w:r>
      <w:r w:rsidR="009A2FB0">
        <w:t>.00</w:t>
      </w:r>
      <w:r w:rsidR="008E165C">
        <w:t>.</w:t>
      </w:r>
    </w:p>
    <w:p w:rsidR="008E165C" w:rsidRDefault="008E165C"/>
    <w:p w:rsidR="00F81D77" w:rsidRDefault="00F81D77"/>
    <w:p w:rsidR="00057ECC" w:rsidRDefault="00057ECC">
      <w:pPr>
        <w:rPr>
          <w:b/>
        </w:rPr>
      </w:pPr>
      <w:r>
        <w:rPr>
          <w:b/>
        </w:rPr>
        <w:t xml:space="preserve">15.  Explain the reasons for any program changes or adjustments reported in </w:t>
      </w:r>
      <w:r w:rsidR="00F1705B">
        <w:rPr>
          <w:b/>
        </w:rPr>
        <w:t>Items</w:t>
      </w:r>
      <w:r>
        <w:rPr>
          <w:b/>
        </w:rPr>
        <w:t xml:space="preserve"> 13 or 14 of the OMB Form 83-I.</w:t>
      </w:r>
    </w:p>
    <w:p w:rsidR="00755CF5" w:rsidRPr="007014CA" w:rsidRDefault="00755CF5"/>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755CF5" w:rsidTr="006F136E">
        <w:tc>
          <w:tcPr>
            <w:tcW w:w="9576" w:type="dxa"/>
            <w:gridSpan w:val="7"/>
            <w:tcBorders>
              <w:bottom w:val="single" w:sz="4" w:space="0" w:color="FFFFFF" w:themeColor="background1"/>
            </w:tcBorders>
          </w:tcPr>
          <w:p w:rsidR="00755CF5" w:rsidRDefault="00755CF5" w:rsidP="006F136E">
            <w:pPr>
              <w:pStyle w:val="DefaultText"/>
            </w:pPr>
            <w:r>
              <w:rPr>
                <w:rFonts w:ascii="Arial" w:hAnsi="Arial" w:cs="Arial"/>
              </w:rPr>
              <w:t>ICR Summary of Burden:</w:t>
            </w:r>
          </w:p>
        </w:tc>
      </w:tr>
      <w:tr w:rsidR="00755CF5" w:rsidTr="006F136E">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55CF5" w:rsidRDefault="00755CF5" w:rsidP="006F136E">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5" o:title=""/>
                </v:shape>
                <w:control r:id="rId16"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55CF5" w:rsidRDefault="00755CF5" w:rsidP="006F136E">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55CF5" w:rsidRDefault="00755CF5" w:rsidP="006F136E">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55CF5" w:rsidRDefault="00755CF5" w:rsidP="006F136E">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55CF5" w:rsidRDefault="00755CF5" w:rsidP="006F136E">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55CF5" w:rsidRDefault="00755CF5" w:rsidP="006F136E">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55CF5" w:rsidRDefault="00755CF5" w:rsidP="006F136E">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755CF5" w:rsidTr="006F136E">
        <w:tc>
          <w:tcPr>
            <w:tcW w:w="1728" w:type="dxa"/>
            <w:tcBorders>
              <w:top w:val="single" w:sz="4" w:space="0" w:color="FFFFFF" w:themeColor="background1"/>
            </w:tcBorders>
            <w:vAlign w:val="center"/>
          </w:tcPr>
          <w:p w:rsidR="00755CF5" w:rsidRDefault="00755CF5" w:rsidP="006F136E">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rsidR="00755CF5" w:rsidRDefault="006F136E" w:rsidP="006F136E">
            <w:pPr>
              <w:jc w:val="right"/>
              <w:rPr>
                <w:rFonts w:ascii="Arial" w:hAnsi="Arial" w:cs="Arial"/>
                <w:color w:val="000000"/>
                <w:sz w:val="18"/>
                <w:szCs w:val="18"/>
              </w:rPr>
            </w:pPr>
            <w:r>
              <w:rPr>
                <w:rFonts w:ascii="Arial" w:hAnsi="Arial" w:cs="Arial"/>
                <w:color w:val="000000"/>
                <w:sz w:val="18"/>
                <w:szCs w:val="18"/>
              </w:rPr>
              <w:t>2512</w:t>
            </w:r>
          </w:p>
        </w:tc>
        <w:tc>
          <w:tcPr>
            <w:tcW w:w="1350" w:type="dxa"/>
            <w:tcBorders>
              <w:top w:val="single" w:sz="4" w:space="0" w:color="FFFFFF" w:themeColor="background1"/>
            </w:tcBorders>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755CF5" w:rsidRDefault="006F136E" w:rsidP="006F136E">
            <w:pPr>
              <w:jc w:val="right"/>
              <w:rPr>
                <w:rFonts w:ascii="Arial" w:hAnsi="Arial" w:cs="Arial"/>
                <w:color w:val="000000"/>
                <w:sz w:val="18"/>
                <w:szCs w:val="18"/>
              </w:rPr>
            </w:pPr>
            <w:r>
              <w:rPr>
                <w:rFonts w:ascii="Arial" w:hAnsi="Arial" w:cs="Arial"/>
                <w:color w:val="000000"/>
                <w:sz w:val="18"/>
                <w:szCs w:val="18"/>
              </w:rPr>
              <w:t>2500</w:t>
            </w:r>
          </w:p>
        </w:tc>
        <w:tc>
          <w:tcPr>
            <w:tcW w:w="1440" w:type="dxa"/>
            <w:tcBorders>
              <w:top w:val="single" w:sz="4" w:space="0" w:color="FFFFFF" w:themeColor="background1"/>
            </w:tcBorders>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2</w:t>
            </w:r>
          </w:p>
        </w:tc>
        <w:tc>
          <w:tcPr>
            <w:tcW w:w="1350" w:type="dxa"/>
            <w:tcBorders>
              <w:top w:val="single" w:sz="4" w:space="0" w:color="FFFFFF" w:themeColor="background1"/>
            </w:tcBorders>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10</w:t>
            </w:r>
          </w:p>
        </w:tc>
      </w:tr>
      <w:tr w:rsidR="00755CF5" w:rsidTr="006F136E">
        <w:tc>
          <w:tcPr>
            <w:tcW w:w="1728" w:type="dxa"/>
            <w:vAlign w:val="center"/>
          </w:tcPr>
          <w:p w:rsidR="00755CF5" w:rsidRDefault="00755CF5" w:rsidP="006F136E">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1170" w:type="dxa"/>
            <w:vAlign w:val="center"/>
          </w:tcPr>
          <w:p w:rsidR="00755CF5" w:rsidRDefault="006F136E" w:rsidP="006F136E">
            <w:pPr>
              <w:jc w:val="right"/>
              <w:rPr>
                <w:rFonts w:ascii="Arial" w:hAnsi="Arial" w:cs="Arial"/>
                <w:color w:val="000000"/>
                <w:sz w:val="18"/>
                <w:szCs w:val="18"/>
              </w:rPr>
            </w:pPr>
            <w:r>
              <w:rPr>
                <w:rFonts w:ascii="Arial" w:hAnsi="Arial" w:cs="Arial"/>
                <w:color w:val="000000"/>
                <w:sz w:val="18"/>
                <w:szCs w:val="18"/>
              </w:rPr>
              <w:t>89</w:t>
            </w:r>
          </w:p>
        </w:tc>
        <w:tc>
          <w:tcPr>
            <w:tcW w:w="1350"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755CF5" w:rsidRDefault="006F136E" w:rsidP="006F136E">
            <w:pPr>
              <w:jc w:val="right"/>
              <w:rPr>
                <w:rFonts w:ascii="Arial" w:hAnsi="Arial" w:cs="Arial"/>
                <w:color w:val="000000"/>
                <w:sz w:val="18"/>
                <w:szCs w:val="18"/>
              </w:rPr>
            </w:pPr>
            <w:r>
              <w:rPr>
                <w:rFonts w:ascii="Arial" w:hAnsi="Arial" w:cs="Arial"/>
                <w:color w:val="000000"/>
                <w:sz w:val="18"/>
                <w:szCs w:val="18"/>
              </w:rPr>
              <w:t>83</w:t>
            </w:r>
          </w:p>
        </w:tc>
        <w:tc>
          <w:tcPr>
            <w:tcW w:w="1440"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1</w:t>
            </w:r>
          </w:p>
        </w:tc>
        <w:tc>
          <w:tcPr>
            <w:tcW w:w="1350"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5</w:t>
            </w:r>
          </w:p>
        </w:tc>
      </w:tr>
      <w:tr w:rsidR="00755CF5" w:rsidTr="006F136E">
        <w:tc>
          <w:tcPr>
            <w:tcW w:w="1728" w:type="dxa"/>
            <w:vAlign w:val="center"/>
          </w:tcPr>
          <w:p w:rsidR="00755CF5" w:rsidRDefault="00755CF5" w:rsidP="006F136E">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755CF5" w:rsidRDefault="00755CF5" w:rsidP="006F136E">
            <w:pPr>
              <w:jc w:val="right"/>
              <w:rPr>
                <w:rFonts w:ascii="Arial" w:hAnsi="Arial" w:cs="Arial"/>
                <w:color w:val="000000"/>
                <w:sz w:val="18"/>
                <w:szCs w:val="18"/>
              </w:rPr>
            </w:pPr>
            <w:r>
              <w:rPr>
                <w:rFonts w:ascii="Arial" w:hAnsi="Arial" w:cs="Arial"/>
                <w:color w:val="000000"/>
                <w:sz w:val="18"/>
                <w:szCs w:val="18"/>
              </w:rPr>
              <w:t>0</w:t>
            </w:r>
          </w:p>
        </w:tc>
      </w:tr>
    </w:tbl>
    <w:p w:rsidR="00755CF5" w:rsidRDefault="00755CF5"/>
    <w:p w:rsidR="006F136E" w:rsidRDefault="006F136E">
      <w:r>
        <w:t>There is a program change increase of +2500 respondents and an increase of +2500 responses resulting in an increase of +83 total burden hours. The PPQ Form 523 is currently covered under information collection 0579-0088, but Plum Pox is not one of the diseases listed under that collection; therefore, the form is being moved to 0579-0159.</w:t>
      </w:r>
      <w:r w:rsidR="00145B63">
        <w:t xml:space="preserve"> </w:t>
      </w:r>
    </w:p>
    <w:p w:rsidR="006F136E" w:rsidRDefault="006F136E"/>
    <w:p w:rsidR="006A4575" w:rsidRPr="007014CA" w:rsidRDefault="00CD4A5E">
      <w:r>
        <w:t xml:space="preserve">There is an </w:t>
      </w:r>
      <w:r w:rsidR="00BD2ACA">
        <w:t xml:space="preserve">adjustment </w:t>
      </w:r>
      <w:r w:rsidR="00B201DB">
        <w:t xml:space="preserve">increase </w:t>
      </w:r>
      <w:r w:rsidR="00BD2ACA">
        <w:t>of +2</w:t>
      </w:r>
      <w:r w:rsidR="00642D22">
        <w:t xml:space="preserve"> r</w:t>
      </w:r>
      <w:r w:rsidR="00B201DB">
        <w:t xml:space="preserve">espondents </w:t>
      </w:r>
      <w:r w:rsidR="00BD2ACA">
        <w:t>and increase of</w:t>
      </w:r>
      <w:r w:rsidR="007D7FAE">
        <w:t xml:space="preserve"> +2 respon</w:t>
      </w:r>
      <w:r w:rsidR="00CE14BE">
        <w:t>ses</w:t>
      </w:r>
      <w:r w:rsidR="007D7FAE">
        <w:t xml:space="preserve"> resulting in an incr</w:t>
      </w:r>
      <w:r w:rsidR="00145B63">
        <w:t>ease of +1 total burden hours due to an increase in Plum Pox Compensation applications.</w:t>
      </w:r>
    </w:p>
    <w:p w:rsidR="006A4575" w:rsidRDefault="006A4575">
      <w:pPr>
        <w:rPr>
          <w:b/>
        </w:rPr>
      </w:pPr>
    </w:p>
    <w:p w:rsidR="008E165C" w:rsidRDefault="008E165C">
      <w:pPr>
        <w:rPr>
          <w:b/>
        </w:rPr>
      </w:pPr>
    </w:p>
    <w:p w:rsidR="00057ECC" w:rsidRDefault="00057ECC">
      <w:pPr>
        <w:rPr>
          <w:b/>
        </w:rPr>
      </w:pPr>
      <w:r>
        <w:rPr>
          <w:b/>
        </w:rPr>
        <w:t>16.  For collections of information whose results are planned to be published, outline plans for tabulation and publication.</w:t>
      </w:r>
    </w:p>
    <w:p w:rsidR="00057ECC" w:rsidRDefault="00057ECC">
      <w:pPr>
        <w:rPr>
          <w:b/>
        </w:rPr>
      </w:pPr>
    </w:p>
    <w:p w:rsidR="00DD4906" w:rsidRPr="00DD4906" w:rsidRDefault="00334D4E">
      <w:r>
        <w:t>APHIS has</w:t>
      </w:r>
      <w:r w:rsidR="00DD4906">
        <w:t xml:space="preserve"> no plans to tabulate or publish the information</w:t>
      </w:r>
      <w:r w:rsidR="00461908">
        <w:t xml:space="preserve"> </w:t>
      </w:r>
      <w:r w:rsidR="00CE14BE">
        <w:t>it</w:t>
      </w:r>
      <w:r w:rsidR="00461908">
        <w:t xml:space="preserve"> collects</w:t>
      </w:r>
      <w:r w:rsidR="00DD4906">
        <w:t>.</w:t>
      </w:r>
    </w:p>
    <w:p w:rsidR="0051361B" w:rsidRDefault="0051361B">
      <w:pPr>
        <w:rPr>
          <w:b/>
        </w:rPr>
      </w:pPr>
    </w:p>
    <w:p w:rsidR="0051361B" w:rsidRDefault="0051361B">
      <w:pPr>
        <w:rPr>
          <w:b/>
        </w:rPr>
      </w:pPr>
    </w:p>
    <w:p w:rsidR="00057ECC" w:rsidRDefault="00057ECC">
      <w:pPr>
        <w:rPr>
          <w:b/>
        </w:rPr>
      </w:pPr>
      <w:r>
        <w:rPr>
          <w:b/>
        </w:rPr>
        <w:t>17.  If seeking approval to not display the expiration date for OMB approval of the information collection, explain the reasons that display would be inappropriate.</w:t>
      </w:r>
    </w:p>
    <w:p w:rsidR="00057ECC" w:rsidRDefault="00057ECC">
      <w:pPr>
        <w:rPr>
          <w:b/>
        </w:rPr>
      </w:pPr>
    </w:p>
    <w:p w:rsidR="008664D8" w:rsidRDefault="00F50675">
      <w:r>
        <w:t>APHIS has no plans to seek approval for not displaying the OMB expiration date on its forms</w:t>
      </w:r>
      <w:r w:rsidR="00AD7350">
        <w:t>.</w:t>
      </w:r>
    </w:p>
    <w:p w:rsidR="00592E40" w:rsidRDefault="00592E40"/>
    <w:p w:rsidR="008E165C" w:rsidRPr="00DD4906" w:rsidRDefault="008E165C"/>
    <w:p w:rsidR="00057ECC" w:rsidRDefault="00057ECC">
      <w:pPr>
        <w:rPr>
          <w:b/>
        </w:rPr>
      </w:pPr>
      <w:r>
        <w:rPr>
          <w:b/>
        </w:rPr>
        <w:t>18.  Explain each exception to the certification statement identified i</w:t>
      </w:r>
      <w:r w:rsidR="00DD4906">
        <w:rPr>
          <w:b/>
        </w:rPr>
        <w:t xml:space="preserve">n the </w:t>
      </w:r>
      <w:r>
        <w:rPr>
          <w:b/>
        </w:rPr>
        <w:t>“Certification for Paperwork Reduction Act.”</w:t>
      </w:r>
    </w:p>
    <w:p w:rsidR="00A36C22" w:rsidRDefault="00A36C22">
      <w:pPr>
        <w:rPr>
          <w:b/>
        </w:rPr>
      </w:pPr>
    </w:p>
    <w:p w:rsidR="00A36C22" w:rsidRPr="00DD4906" w:rsidRDefault="00334D4E">
      <w:r>
        <w:t>APHIS is</w:t>
      </w:r>
      <w:r w:rsidR="00DD4906">
        <w:t xml:space="preserve"> able to certify compliance with all the provisions in the Act.</w:t>
      </w:r>
    </w:p>
    <w:p w:rsidR="00A36C22" w:rsidRDefault="00A36C22">
      <w:pPr>
        <w:rPr>
          <w:b/>
        </w:rPr>
      </w:pPr>
    </w:p>
    <w:p w:rsidR="008E165C" w:rsidRDefault="008E165C">
      <w:pPr>
        <w:rPr>
          <w:b/>
        </w:rPr>
      </w:pPr>
    </w:p>
    <w:p w:rsidR="00A36C22" w:rsidRDefault="00A36C22">
      <w:pPr>
        <w:rPr>
          <w:b/>
        </w:rPr>
      </w:pPr>
      <w:r>
        <w:rPr>
          <w:b/>
        </w:rPr>
        <w:lastRenderedPageBreak/>
        <w:t>B.  Collections of Information Employing Statistical Methods</w:t>
      </w:r>
    </w:p>
    <w:p w:rsidR="007C4827" w:rsidRDefault="007C4827"/>
    <w:p w:rsidR="00A36C22" w:rsidRPr="00DD4906" w:rsidRDefault="00DD4906">
      <w:r>
        <w:t>Statistical methods are not used in this information collection.</w:t>
      </w:r>
    </w:p>
    <w:p w:rsidR="00CB674F" w:rsidRDefault="00CB674F"/>
    <w:p w:rsidR="00CB674F" w:rsidRPr="00646559" w:rsidRDefault="00CB674F"/>
    <w:p w:rsidR="00646559" w:rsidRDefault="00646559"/>
    <w:p w:rsidR="00646559" w:rsidRDefault="00646559"/>
    <w:p w:rsidR="00646559" w:rsidRDefault="00646559"/>
    <w:sectPr w:rsidR="00646559" w:rsidSect="00181A3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6E" w:rsidRDefault="006F136E" w:rsidP="00F81D77">
      <w:r>
        <w:separator/>
      </w:r>
    </w:p>
  </w:endnote>
  <w:endnote w:type="continuationSeparator" w:id="0">
    <w:p w:rsidR="006F136E" w:rsidRDefault="006F136E" w:rsidP="00F8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6E" w:rsidRDefault="006F136E" w:rsidP="00F81D77">
      <w:r>
        <w:separator/>
      </w:r>
    </w:p>
  </w:footnote>
  <w:footnote w:type="continuationSeparator" w:id="0">
    <w:p w:rsidR="006F136E" w:rsidRDefault="006F136E" w:rsidP="00F81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6929"/>
    <w:multiLevelType w:val="hybridMultilevel"/>
    <w:tmpl w:val="4D1A609A"/>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
    <w:nsid w:val="47C46692"/>
    <w:multiLevelType w:val="singleLevel"/>
    <w:tmpl w:val="04090001"/>
    <w:lvl w:ilvl="0">
      <w:start w:val="1"/>
      <w:numFmt w:val="bullet"/>
      <w:lvlText w:val=""/>
      <w:lvlJc w:val="left"/>
      <w:pPr>
        <w:ind w:left="720" w:hanging="360"/>
      </w:pPr>
      <w:rPr>
        <w:rFonts w:ascii="Symbol" w:hAnsi="Symbol" w:hint="default"/>
      </w:rPr>
    </w:lvl>
  </w:abstractNum>
  <w:abstractNum w:abstractNumId="2">
    <w:nsid w:val="78B91C5F"/>
    <w:multiLevelType w:val="hybridMultilevel"/>
    <w:tmpl w:val="5BA09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17A42"/>
    <w:rsid w:val="00027F8A"/>
    <w:rsid w:val="00057ECC"/>
    <w:rsid w:val="00072B4B"/>
    <w:rsid w:val="000A0870"/>
    <w:rsid w:val="000A2E27"/>
    <w:rsid w:val="000B4D19"/>
    <w:rsid w:val="000D18B4"/>
    <w:rsid w:val="000E1CFF"/>
    <w:rsid w:val="000E4587"/>
    <w:rsid w:val="000F25CA"/>
    <w:rsid w:val="00143CC6"/>
    <w:rsid w:val="00145B63"/>
    <w:rsid w:val="00176E8A"/>
    <w:rsid w:val="00181A32"/>
    <w:rsid w:val="00197176"/>
    <w:rsid w:val="001A6832"/>
    <w:rsid w:val="001B04D2"/>
    <w:rsid w:val="001D3A95"/>
    <w:rsid w:val="001E39B3"/>
    <w:rsid w:val="001F3C42"/>
    <w:rsid w:val="00204BE7"/>
    <w:rsid w:val="00212DF1"/>
    <w:rsid w:val="00223CFD"/>
    <w:rsid w:val="00244707"/>
    <w:rsid w:val="002A5B4D"/>
    <w:rsid w:val="002C40E3"/>
    <w:rsid w:val="002C5A69"/>
    <w:rsid w:val="002D7C82"/>
    <w:rsid w:val="002E27A7"/>
    <w:rsid w:val="002E623C"/>
    <w:rsid w:val="002F48CC"/>
    <w:rsid w:val="00304E93"/>
    <w:rsid w:val="00334599"/>
    <w:rsid w:val="00334D4E"/>
    <w:rsid w:val="003450F4"/>
    <w:rsid w:val="0035314B"/>
    <w:rsid w:val="003635A9"/>
    <w:rsid w:val="00363A82"/>
    <w:rsid w:val="00372DCE"/>
    <w:rsid w:val="00380B61"/>
    <w:rsid w:val="00393797"/>
    <w:rsid w:val="00393B9E"/>
    <w:rsid w:val="003B264F"/>
    <w:rsid w:val="003C13F0"/>
    <w:rsid w:val="003C29A4"/>
    <w:rsid w:val="003D1163"/>
    <w:rsid w:val="003D124A"/>
    <w:rsid w:val="003D7345"/>
    <w:rsid w:val="003D7ED9"/>
    <w:rsid w:val="003E0E0A"/>
    <w:rsid w:val="003E4770"/>
    <w:rsid w:val="003F06C0"/>
    <w:rsid w:val="00413923"/>
    <w:rsid w:val="00424641"/>
    <w:rsid w:val="00424749"/>
    <w:rsid w:val="00457636"/>
    <w:rsid w:val="00461908"/>
    <w:rsid w:val="00486C44"/>
    <w:rsid w:val="004C3CD9"/>
    <w:rsid w:val="004F33DF"/>
    <w:rsid w:val="005014D0"/>
    <w:rsid w:val="00511190"/>
    <w:rsid w:val="0051361B"/>
    <w:rsid w:val="0051710B"/>
    <w:rsid w:val="00523C6B"/>
    <w:rsid w:val="00533276"/>
    <w:rsid w:val="00564270"/>
    <w:rsid w:val="005723B4"/>
    <w:rsid w:val="00575BE1"/>
    <w:rsid w:val="00592E40"/>
    <w:rsid w:val="00615870"/>
    <w:rsid w:val="00620646"/>
    <w:rsid w:val="006259BD"/>
    <w:rsid w:val="00642D22"/>
    <w:rsid w:val="006454E2"/>
    <w:rsid w:val="00646559"/>
    <w:rsid w:val="00663853"/>
    <w:rsid w:val="00671007"/>
    <w:rsid w:val="00694D26"/>
    <w:rsid w:val="006A4575"/>
    <w:rsid w:val="006D553B"/>
    <w:rsid w:val="006E328F"/>
    <w:rsid w:val="006E4451"/>
    <w:rsid w:val="006F136E"/>
    <w:rsid w:val="007014CA"/>
    <w:rsid w:val="00721540"/>
    <w:rsid w:val="0073473D"/>
    <w:rsid w:val="00741C45"/>
    <w:rsid w:val="00745F34"/>
    <w:rsid w:val="00751D42"/>
    <w:rsid w:val="00752BFD"/>
    <w:rsid w:val="00755B87"/>
    <w:rsid w:val="00755CF5"/>
    <w:rsid w:val="0077724A"/>
    <w:rsid w:val="00792927"/>
    <w:rsid w:val="007A22EA"/>
    <w:rsid w:val="007C4827"/>
    <w:rsid w:val="007D3822"/>
    <w:rsid w:val="007D7FAE"/>
    <w:rsid w:val="007F24BD"/>
    <w:rsid w:val="007F66A9"/>
    <w:rsid w:val="00846D31"/>
    <w:rsid w:val="00861E1B"/>
    <w:rsid w:val="00863EAD"/>
    <w:rsid w:val="00865253"/>
    <w:rsid w:val="008664D8"/>
    <w:rsid w:val="00874316"/>
    <w:rsid w:val="0088563B"/>
    <w:rsid w:val="008A3075"/>
    <w:rsid w:val="008A6D5D"/>
    <w:rsid w:val="008D36FC"/>
    <w:rsid w:val="008D56A3"/>
    <w:rsid w:val="008E165C"/>
    <w:rsid w:val="008E21CB"/>
    <w:rsid w:val="008E5AA7"/>
    <w:rsid w:val="008F72BF"/>
    <w:rsid w:val="009073CA"/>
    <w:rsid w:val="00932C85"/>
    <w:rsid w:val="00945302"/>
    <w:rsid w:val="00950819"/>
    <w:rsid w:val="0095373A"/>
    <w:rsid w:val="00967D8D"/>
    <w:rsid w:val="00970EBA"/>
    <w:rsid w:val="00974E84"/>
    <w:rsid w:val="009775FC"/>
    <w:rsid w:val="009809FE"/>
    <w:rsid w:val="00987922"/>
    <w:rsid w:val="0099604E"/>
    <w:rsid w:val="009A2FB0"/>
    <w:rsid w:val="009B5F3A"/>
    <w:rsid w:val="00A12221"/>
    <w:rsid w:val="00A15CDA"/>
    <w:rsid w:val="00A24A2A"/>
    <w:rsid w:val="00A24BE4"/>
    <w:rsid w:val="00A36C22"/>
    <w:rsid w:val="00A45A87"/>
    <w:rsid w:val="00A51F00"/>
    <w:rsid w:val="00A61E72"/>
    <w:rsid w:val="00A62130"/>
    <w:rsid w:val="00A636A3"/>
    <w:rsid w:val="00A63DC6"/>
    <w:rsid w:val="00A65F7F"/>
    <w:rsid w:val="00A953B0"/>
    <w:rsid w:val="00AA0DC7"/>
    <w:rsid w:val="00AB0ECC"/>
    <w:rsid w:val="00AB3011"/>
    <w:rsid w:val="00AC5C89"/>
    <w:rsid w:val="00AD7350"/>
    <w:rsid w:val="00AF4709"/>
    <w:rsid w:val="00B13814"/>
    <w:rsid w:val="00B201DB"/>
    <w:rsid w:val="00B25959"/>
    <w:rsid w:val="00B370C2"/>
    <w:rsid w:val="00B42D6A"/>
    <w:rsid w:val="00B450E4"/>
    <w:rsid w:val="00B74966"/>
    <w:rsid w:val="00B766FB"/>
    <w:rsid w:val="00B943D0"/>
    <w:rsid w:val="00BA6081"/>
    <w:rsid w:val="00BB3A22"/>
    <w:rsid w:val="00BB3AA7"/>
    <w:rsid w:val="00BD2ACA"/>
    <w:rsid w:val="00BE32E3"/>
    <w:rsid w:val="00C04C40"/>
    <w:rsid w:val="00C13EDE"/>
    <w:rsid w:val="00C47A52"/>
    <w:rsid w:val="00C60FC1"/>
    <w:rsid w:val="00C77899"/>
    <w:rsid w:val="00C7797A"/>
    <w:rsid w:val="00C84F14"/>
    <w:rsid w:val="00CB674F"/>
    <w:rsid w:val="00CD4A5E"/>
    <w:rsid w:val="00CE14BE"/>
    <w:rsid w:val="00D167DA"/>
    <w:rsid w:val="00D52E49"/>
    <w:rsid w:val="00D53385"/>
    <w:rsid w:val="00D53F28"/>
    <w:rsid w:val="00D67FB1"/>
    <w:rsid w:val="00D85596"/>
    <w:rsid w:val="00D923C8"/>
    <w:rsid w:val="00DD4906"/>
    <w:rsid w:val="00DE630C"/>
    <w:rsid w:val="00DF4802"/>
    <w:rsid w:val="00E025C8"/>
    <w:rsid w:val="00E2291C"/>
    <w:rsid w:val="00E233A7"/>
    <w:rsid w:val="00E37993"/>
    <w:rsid w:val="00E62387"/>
    <w:rsid w:val="00E65EA7"/>
    <w:rsid w:val="00E91A54"/>
    <w:rsid w:val="00EA5B78"/>
    <w:rsid w:val="00ED1ACC"/>
    <w:rsid w:val="00ED4836"/>
    <w:rsid w:val="00F1705B"/>
    <w:rsid w:val="00F44A24"/>
    <w:rsid w:val="00F46A27"/>
    <w:rsid w:val="00F50675"/>
    <w:rsid w:val="00F53C0A"/>
    <w:rsid w:val="00F64A25"/>
    <w:rsid w:val="00F81D77"/>
    <w:rsid w:val="00FC6DE6"/>
    <w:rsid w:val="00FD6CAF"/>
    <w:rsid w:val="00FE419E"/>
    <w:rsid w:val="00FF4371"/>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5F7F"/>
    <w:rPr>
      <w:color w:val="0000FF"/>
      <w:u w:val="single"/>
    </w:rPr>
  </w:style>
  <w:style w:type="paragraph" w:customStyle="1" w:styleId="300">
    <w:name w:val="300"/>
    <w:basedOn w:val="Normal"/>
    <w:rsid w:val="000A0870"/>
    <w:pPr>
      <w:overflowPunct w:val="0"/>
      <w:autoSpaceDE w:val="0"/>
      <w:autoSpaceDN w:val="0"/>
      <w:adjustRightInd w:val="0"/>
    </w:pPr>
    <w:rPr>
      <w:sz w:val="20"/>
      <w:szCs w:val="20"/>
    </w:rPr>
  </w:style>
  <w:style w:type="character" w:styleId="Strong">
    <w:name w:val="Strong"/>
    <w:uiPriority w:val="22"/>
    <w:qFormat/>
    <w:rsid w:val="00967D8D"/>
    <w:rPr>
      <w:b/>
      <w:bCs/>
    </w:rPr>
  </w:style>
  <w:style w:type="paragraph" w:styleId="BalloonText">
    <w:name w:val="Balloon Text"/>
    <w:basedOn w:val="Normal"/>
    <w:link w:val="BalloonTextChar"/>
    <w:rsid w:val="009A2FB0"/>
    <w:rPr>
      <w:rFonts w:ascii="Tahoma" w:hAnsi="Tahoma" w:cs="Tahoma"/>
      <w:sz w:val="16"/>
      <w:szCs w:val="16"/>
    </w:rPr>
  </w:style>
  <w:style w:type="character" w:customStyle="1" w:styleId="BalloonTextChar">
    <w:name w:val="Balloon Text Char"/>
    <w:link w:val="BalloonText"/>
    <w:rsid w:val="009A2FB0"/>
    <w:rPr>
      <w:rFonts w:ascii="Tahoma" w:hAnsi="Tahoma" w:cs="Tahoma"/>
      <w:sz w:val="16"/>
      <w:szCs w:val="16"/>
    </w:rPr>
  </w:style>
  <w:style w:type="character" w:styleId="Emphasis">
    <w:name w:val="Emphasis"/>
    <w:basedOn w:val="DefaultParagraphFont"/>
    <w:qFormat/>
    <w:rsid w:val="00F81D77"/>
    <w:rPr>
      <w:i/>
      <w:iCs/>
    </w:rPr>
  </w:style>
  <w:style w:type="character" w:customStyle="1" w:styleId="InitialStyle">
    <w:name w:val="InitialStyle"/>
    <w:rsid w:val="00F81D77"/>
    <w:rPr>
      <w:rFonts w:ascii="Courier New" w:hAnsi="Courier New"/>
      <w:color w:val="auto"/>
      <w:spacing w:val="0"/>
      <w:sz w:val="24"/>
    </w:rPr>
  </w:style>
  <w:style w:type="paragraph" w:styleId="Header">
    <w:name w:val="header"/>
    <w:basedOn w:val="Normal"/>
    <w:link w:val="HeaderChar"/>
    <w:rsid w:val="00F81D77"/>
    <w:pPr>
      <w:tabs>
        <w:tab w:val="center" w:pos="4680"/>
        <w:tab w:val="right" w:pos="9360"/>
      </w:tabs>
    </w:pPr>
  </w:style>
  <w:style w:type="character" w:customStyle="1" w:styleId="HeaderChar">
    <w:name w:val="Header Char"/>
    <w:basedOn w:val="DefaultParagraphFont"/>
    <w:link w:val="Header"/>
    <w:rsid w:val="00F81D77"/>
    <w:rPr>
      <w:sz w:val="24"/>
      <w:szCs w:val="24"/>
    </w:rPr>
  </w:style>
  <w:style w:type="paragraph" w:styleId="Footer">
    <w:name w:val="footer"/>
    <w:basedOn w:val="Normal"/>
    <w:link w:val="FooterChar"/>
    <w:rsid w:val="00F81D77"/>
    <w:pPr>
      <w:tabs>
        <w:tab w:val="center" w:pos="4680"/>
        <w:tab w:val="right" w:pos="9360"/>
      </w:tabs>
    </w:pPr>
  </w:style>
  <w:style w:type="character" w:customStyle="1" w:styleId="FooterChar">
    <w:name w:val="Footer Char"/>
    <w:basedOn w:val="DefaultParagraphFont"/>
    <w:link w:val="Footer"/>
    <w:rsid w:val="00F81D77"/>
    <w:rPr>
      <w:sz w:val="24"/>
      <w:szCs w:val="24"/>
    </w:rPr>
  </w:style>
  <w:style w:type="paragraph" w:customStyle="1" w:styleId="DefaultText">
    <w:name w:val="Default Text"/>
    <w:basedOn w:val="Normal"/>
    <w:rsid w:val="00F81D77"/>
    <w:pPr>
      <w:overflowPunct w:val="0"/>
      <w:autoSpaceDE w:val="0"/>
      <w:autoSpaceDN w:val="0"/>
      <w:adjustRightInd w:val="0"/>
      <w:textAlignment w:val="baseline"/>
    </w:pPr>
    <w:rPr>
      <w:szCs w:val="20"/>
    </w:rPr>
  </w:style>
  <w:style w:type="paragraph" w:styleId="ListParagraph">
    <w:name w:val="List Paragraph"/>
    <w:basedOn w:val="Normal"/>
    <w:uiPriority w:val="34"/>
    <w:qFormat/>
    <w:rsid w:val="00F81D77"/>
    <w:pPr>
      <w:overflowPunct w:val="0"/>
      <w:autoSpaceDE w:val="0"/>
      <w:autoSpaceDN w:val="0"/>
      <w:adjustRightInd w:val="0"/>
      <w:ind w:left="720"/>
      <w:contextualSpacing/>
      <w:textAlignment w:val="baseline"/>
    </w:pPr>
    <w:rPr>
      <w:sz w:val="20"/>
      <w:szCs w:val="20"/>
    </w:rPr>
  </w:style>
  <w:style w:type="character" w:styleId="FollowedHyperlink">
    <w:name w:val="FollowedHyperlink"/>
    <w:basedOn w:val="DefaultParagraphFont"/>
    <w:rsid w:val="00BD2ACA"/>
    <w:rPr>
      <w:color w:val="800080" w:themeColor="followedHyperlink"/>
      <w:u w:val="single"/>
    </w:rPr>
  </w:style>
  <w:style w:type="table" w:styleId="TableGrid">
    <w:name w:val="Table Grid"/>
    <w:basedOn w:val="TableNormal"/>
    <w:rsid w:val="00755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5F7F"/>
    <w:rPr>
      <w:color w:val="0000FF"/>
      <w:u w:val="single"/>
    </w:rPr>
  </w:style>
  <w:style w:type="paragraph" w:customStyle="1" w:styleId="300">
    <w:name w:val="300"/>
    <w:basedOn w:val="Normal"/>
    <w:rsid w:val="000A0870"/>
    <w:pPr>
      <w:overflowPunct w:val="0"/>
      <w:autoSpaceDE w:val="0"/>
      <w:autoSpaceDN w:val="0"/>
      <w:adjustRightInd w:val="0"/>
    </w:pPr>
    <w:rPr>
      <w:sz w:val="20"/>
      <w:szCs w:val="20"/>
    </w:rPr>
  </w:style>
  <w:style w:type="character" w:styleId="Strong">
    <w:name w:val="Strong"/>
    <w:uiPriority w:val="22"/>
    <w:qFormat/>
    <w:rsid w:val="00967D8D"/>
    <w:rPr>
      <w:b/>
      <w:bCs/>
    </w:rPr>
  </w:style>
  <w:style w:type="paragraph" w:styleId="BalloonText">
    <w:name w:val="Balloon Text"/>
    <w:basedOn w:val="Normal"/>
    <w:link w:val="BalloonTextChar"/>
    <w:rsid w:val="009A2FB0"/>
    <w:rPr>
      <w:rFonts w:ascii="Tahoma" w:hAnsi="Tahoma" w:cs="Tahoma"/>
      <w:sz w:val="16"/>
      <w:szCs w:val="16"/>
    </w:rPr>
  </w:style>
  <w:style w:type="character" w:customStyle="1" w:styleId="BalloonTextChar">
    <w:name w:val="Balloon Text Char"/>
    <w:link w:val="BalloonText"/>
    <w:rsid w:val="009A2FB0"/>
    <w:rPr>
      <w:rFonts w:ascii="Tahoma" w:hAnsi="Tahoma" w:cs="Tahoma"/>
      <w:sz w:val="16"/>
      <w:szCs w:val="16"/>
    </w:rPr>
  </w:style>
  <w:style w:type="character" w:styleId="Emphasis">
    <w:name w:val="Emphasis"/>
    <w:basedOn w:val="DefaultParagraphFont"/>
    <w:qFormat/>
    <w:rsid w:val="00F81D77"/>
    <w:rPr>
      <w:i/>
      <w:iCs/>
    </w:rPr>
  </w:style>
  <w:style w:type="character" w:customStyle="1" w:styleId="InitialStyle">
    <w:name w:val="InitialStyle"/>
    <w:rsid w:val="00F81D77"/>
    <w:rPr>
      <w:rFonts w:ascii="Courier New" w:hAnsi="Courier New"/>
      <w:color w:val="auto"/>
      <w:spacing w:val="0"/>
      <w:sz w:val="24"/>
    </w:rPr>
  </w:style>
  <w:style w:type="paragraph" w:styleId="Header">
    <w:name w:val="header"/>
    <w:basedOn w:val="Normal"/>
    <w:link w:val="HeaderChar"/>
    <w:rsid w:val="00F81D77"/>
    <w:pPr>
      <w:tabs>
        <w:tab w:val="center" w:pos="4680"/>
        <w:tab w:val="right" w:pos="9360"/>
      </w:tabs>
    </w:pPr>
  </w:style>
  <w:style w:type="character" w:customStyle="1" w:styleId="HeaderChar">
    <w:name w:val="Header Char"/>
    <w:basedOn w:val="DefaultParagraphFont"/>
    <w:link w:val="Header"/>
    <w:rsid w:val="00F81D77"/>
    <w:rPr>
      <w:sz w:val="24"/>
      <w:szCs w:val="24"/>
    </w:rPr>
  </w:style>
  <w:style w:type="paragraph" w:styleId="Footer">
    <w:name w:val="footer"/>
    <w:basedOn w:val="Normal"/>
    <w:link w:val="FooterChar"/>
    <w:rsid w:val="00F81D77"/>
    <w:pPr>
      <w:tabs>
        <w:tab w:val="center" w:pos="4680"/>
        <w:tab w:val="right" w:pos="9360"/>
      </w:tabs>
    </w:pPr>
  </w:style>
  <w:style w:type="character" w:customStyle="1" w:styleId="FooterChar">
    <w:name w:val="Footer Char"/>
    <w:basedOn w:val="DefaultParagraphFont"/>
    <w:link w:val="Footer"/>
    <w:rsid w:val="00F81D77"/>
    <w:rPr>
      <w:sz w:val="24"/>
      <w:szCs w:val="24"/>
    </w:rPr>
  </w:style>
  <w:style w:type="paragraph" w:customStyle="1" w:styleId="DefaultText">
    <w:name w:val="Default Text"/>
    <w:basedOn w:val="Normal"/>
    <w:rsid w:val="00F81D77"/>
    <w:pPr>
      <w:overflowPunct w:val="0"/>
      <w:autoSpaceDE w:val="0"/>
      <w:autoSpaceDN w:val="0"/>
      <w:adjustRightInd w:val="0"/>
      <w:textAlignment w:val="baseline"/>
    </w:pPr>
    <w:rPr>
      <w:szCs w:val="20"/>
    </w:rPr>
  </w:style>
  <w:style w:type="paragraph" w:styleId="ListParagraph">
    <w:name w:val="List Paragraph"/>
    <w:basedOn w:val="Normal"/>
    <w:uiPriority w:val="34"/>
    <w:qFormat/>
    <w:rsid w:val="00F81D77"/>
    <w:pPr>
      <w:overflowPunct w:val="0"/>
      <w:autoSpaceDE w:val="0"/>
      <w:autoSpaceDN w:val="0"/>
      <w:adjustRightInd w:val="0"/>
      <w:ind w:left="720"/>
      <w:contextualSpacing/>
      <w:textAlignment w:val="baseline"/>
    </w:pPr>
    <w:rPr>
      <w:sz w:val="20"/>
      <w:szCs w:val="20"/>
    </w:rPr>
  </w:style>
  <w:style w:type="character" w:styleId="FollowedHyperlink">
    <w:name w:val="FollowedHyperlink"/>
    <w:basedOn w:val="DefaultParagraphFont"/>
    <w:rsid w:val="00BD2ACA"/>
    <w:rPr>
      <w:color w:val="800080" w:themeColor="followedHyperlink"/>
      <w:u w:val="single"/>
    </w:rPr>
  </w:style>
  <w:style w:type="table" w:styleId="TableGrid">
    <w:name w:val="Table Grid"/>
    <w:basedOn w:val="TableNormal"/>
    <w:rsid w:val="00755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549025">
      <w:bodyDiv w:val="1"/>
      <w:marLeft w:val="0"/>
      <w:marRight w:val="0"/>
      <w:marTop w:val="0"/>
      <w:marBottom w:val="0"/>
      <w:divBdr>
        <w:top w:val="none" w:sz="0" w:space="0" w:color="auto"/>
        <w:left w:val="none" w:sz="0" w:space="0" w:color="auto"/>
        <w:bottom w:val="none" w:sz="0" w:space="0" w:color="auto"/>
        <w:right w:val="none" w:sz="0" w:space="0" w:color="auto"/>
      </w:divBdr>
    </w:div>
    <w:div w:id="474951895">
      <w:bodyDiv w:val="1"/>
      <w:marLeft w:val="0"/>
      <w:marRight w:val="0"/>
      <w:marTop w:val="0"/>
      <w:marBottom w:val="450"/>
      <w:divBdr>
        <w:top w:val="none" w:sz="0" w:space="0" w:color="auto"/>
        <w:left w:val="none" w:sz="0" w:space="0" w:color="auto"/>
        <w:bottom w:val="none" w:sz="0" w:space="0" w:color="auto"/>
        <w:right w:val="none" w:sz="0" w:space="0" w:color="auto"/>
      </w:divBdr>
      <w:divsChild>
        <w:div w:id="1850557092">
          <w:marLeft w:val="0"/>
          <w:marRight w:val="0"/>
          <w:marTop w:val="0"/>
          <w:marBottom w:val="0"/>
          <w:divBdr>
            <w:top w:val="none" w:sz="0" w:space="0" w:color="auto"/>
            <w:left w:val="none" w:sz="0" w:space="0" w:color="auto"/>
            <w:bottom w:val="none" w:sz="0" w:space="0" w:color="auto"/>
            <w:right w:val="none" w:sz="0" w:space="0" w:color="auto"/>
          </w:divBdr>
          <w:divsChild>
            <w:div w:id="13992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3077">
      <w:bodyDiv w:val="1"/>
      <w:marLeft w:val="0"/>
      <w:marRight w:val="0"/>
      <w:marTop w:val="0"/>
      <w:marBottom w:val="0"/>
      <w:divBdr>
        <w:top w:val="none" w:sz="0" w:space="0" w:color="auto"/>
        <w:left w:val="none" w:sz="0" w:space="0" w:color="auto"/>
        <w:bottom w:val="none" w:sz="0" w:space="0" w:color="auto"/>
        <w:right w:val="none" w:sz="0" w:space="0" w:color="auto"/>
      </w:divBdr>
    </w:div>
    <w:div w:id="146408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aqas.aphis.usda.gov/aqas/HomePageInit.d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ews.release/pdf/ocwage.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Plum Pox Compensation </Project_x0020_Name>
    <OMB_x0020_control_x0020__x0023_ xmlns="64E31D74-685E-46CD-AE51-A264634057B8">0579-0159</OMB_x0020_control_x0020__x0023_>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Domestic</Prject_x0020_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E7DCBC-2CCF-4F54-A983-0476A08E2B53}">
  <ds:schemaRefs>
    <ds:schemaRef ds:uri="http://schemas.microsoft.com/sharepoint/v3/contenttype/forms"/>
  </ds:schemaRefs>
</ds:datastoreItem>
</file>

<file path=customXml/itemProps2.xml><?xml version="1.0" encoding="utf-8"?>
<ds:datastoreItem xmlns:ds="http://schemas.openxmlformats.org/officeDocument/2006/customXml" ds:itemID="{836D6897-FFB5-4653-B48F-3B7752912385}">
  <ds:schemaRefs>
    <ds:schemaRef ds:uri="http://schemas.microsoft.com/office/2006/metadata/longProperties"/>
  </ds:schemaRefs>
</ds:datastoreItem>
</file>

<file path=customXml/itemProps3.xml><?xml version="1.0" encoding="utf-8"?>
<ds:datastoreItem xmlns:ds="http://schemas.openxmlformats.org/officeDocument/2006/customXml" ds:itemID="{CE20ED53-B4CC-4823-82CA-B0C18DE1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505F1-5F6D-451A-BAAB-B01220979A6E}">
  <ds:schemaRefs>
    <ds:schemaRef ds:uri="http://purl.org/dc/dcmitype/"/>
    <ds:schemaRef ds:uri="ed6d8045-9bce-45b8-96e9-ffa15b628daa"/>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64E31D74-685E-46CD-AE51-A264634057B8"/>
    <ds:schemaRef ds:uri="http://www.w3.org/XML/1998/namespace"/>
  </ds:schemaRefs>
</ds:datastoreItem>
</file>

<file path=customXml/itemProps5.xml><?xml version="1.0" encoding="utf-8"?>
<ds:datastoreItem xmlns:ds="http://schemas.openxmlformats.org/officeDocument/2006/customXml" ds:itemID="{A34C73CF-F4F6-4918-84C3-BC6ADB197E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2207</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smharris</cp:lastModifiedBy>
  <cp:revision>10</cp:revision>
  <cp:lastPrinted>2013-11-18T11:43:00Z</cp:lastPrinted>
  <dcterms:created xsi:type="dcterms:W3CDTF">2013-10-25T14:51:00Z</dcterms:created>
  <dcterms:modified xsi:type="dcterms:W3CDTF">2013-12-04T18:04:00Z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A7UXA6N55WET-2455-346</vt:lpwstr>
  </property>
  <property fmtid="{D5CDD505-2E9C-101B-9397-08002B2CF9AE}" pid="3" name="_dlc_DocIdItemGuid">
    <vt:lpwstr>306424ec-488d-4f72-9412-eeae3a1da7b6</vt:lpwstr>
  </property>
  <property fmtid="{D5CDD505-2E9C-101B-9397-08002B2CF9AE}" pid="4" name="_dlc_DocIdUrl">
    <vt:lpwstr>http://sp.we.aphis.gov/PPQ/policy/php/rpm/Paperwork Burden/_layouts/DocIdRedir.aspx?ID=A7UXA6N55WET-2455-346, A7UXA6N55WET-2455-346</vt:lpwstr>
  </property>
</Properties>
</file>