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35" w:rsidRDefault="00CD1435" w:rsidP="00FB28E1">
      <w:pPr>
        <w:autoSpaceDE w:val="0"/>
        <w:autoSpaceDN w:val="0"/>
        <w:adjustRightInd w:val="0"/>
        <w:spacing w:after="0"/>
        <w:jc w:val="center"/>
        <w:rPr>
          <w:b/>
          <w:color w:val="660000"/>
          <w:sz w:val="28"/>
          <w:szCs w:val="28"/>
        </w:rPr>
      </w:pPr>
      <w:bookmarkStart w:id="0" w:name="_Toc345611598"/>
      <w:r w:rsidRPr="00EA53BD">
        <w:rPr>
          <w:b/>
          <w:color w:val="660000"/>
          <w:sz w:val="28"/>
          <w:szCs w:val="28"/>
        </w:rPr>
        <w:t>Employers Survey of Short-Time Compensation Program</w:t>
      </w:r>
    </w:p>
    <w:p w:rsidR="004E0173" w:rsidRPr="00EA53BD" w:rsidRDefault="004E0173" w:rsidP="00FB28E1">
      <w:pPr>
        <w:autoSpaceDE w:val="0"/>
        <w:autoSpaceDN w:val="0"/>
        <w:adjustRightInd w:val="0"/>
        <w:spacing w:after="0"/>
        <w:jc w:val="center"/>
        <w:rPr>
          <w:b/>
          <w:color w:val="660000"/>
          <w:sz w:val="28"/>
          <w:szCs w:val="28"/>
        </w:rPr>
      </w:pPr>
    </w:p>
    <w:p w:rsidR="00CD1435" w:rsidRPr="00EA53BD" w:rsidRDefault="004E0173" w:rsidP="004E0173">
      <w:pPr>
        <w:autoSpaceDE w:val="0"/>
        <w:autoSpaceDN w:val="0"/>
        <w:adjustRightInd w:val="0"/>
        <w:spacing w:after="0"/>
        <w:jc w:val="center"/>
        <w:rPr>
          <w:rFonts w:eastAsiaTheme="majorEastAsia" w:cstheme="majorBidi"/>
          <w:b/>
          <w:bCs/>
          <w:color w:val="660000"/>
          <w:sz w:val="28"/>
          <w:szCs w:val="28"/>
        </w:rPr>
      </w:pPr>
      <w:r w:rsidRPr="00EA53BD">
        <w:rPr>
          <w:b/>
          <w:color w:val="660000"/>
          <w:sz w:val="28"/>
          <w:szCs w:val="28"/>
        </w:rPr>
        <w:t>OMB</w:t>
      </w:r>
      <w:r>
        <w:rPr>
          <w:b/>
          <w:color w:val="660000"/>
          <w:sz w:val="28"/>
          <w:szCs w:val="28"/>
        </w:rPr>
        <w:t xml:space="preserve"> SUPPORTING STATEMENT </w:t>
      </w:r>
      <w:r w:rsidR="00975380">
        <w:rPr>
          <w:b/>
          <w:color w:val="660000"/>
          <w:sz w:val="28"/>
          <w:szCs w:val="28"/>
        </w:rPr>
        <w:t xml:space="preserve">PRA </w:t>
      </w:r>
      <w:r>
        <w:rPr>
          <w:b/>
          <w:color w:val="660000"/>
          <w:sz w:val="28"/>
          <w:szCs w:val="28"/>
        </w:rPr>
        <w:t>PART B</w:t>
      </w:r>
    </w:p>
    <w:p w:rsidR="00134C1A" w:rsidRDefault="007506FD" w:rsidP="004E0173">
      <w:pPr>
        <w:pStyle w:val="Heading1"/>
      </w:pPr>
      <w:bookmarkStart w:id="1" w:name="_Toc295118812"/>
      <w:bookmarkStart w:id="2" w:name="_Toc347401701"/>
      <w:bookmarkStart w:id="3" w:name="_Toc347403352"/>
      <w:bookmarkStart w:id="4" w:name="_Toc348455490"/>
      <w:bookmarkStart w:id="5" w:name="_Toc348504211"/>
      <w:bookmarkStart w:id="6" w:name="_Toc348965100"/>
      <w:bookmarkEnd w:id="0"/>
      <w:r>
        <w:t>Collection of information involving statistical methods</w:t>
      </w:r>
      <w:bookmarkStart w:id="7" w:name="_Toc295118813"/>
      <w:bookmarkStart w:id="8" w:name="_Toc21406406"/>
      <w:bookmarkEnd w:id="1"/>
      <w:bookmarkEnd w:id="2"/>
      <w:bookmarkEnd w:id="3"/>
      <w:bookmarkEnd w:id="4"/>
      <w:bookmarkEnd w:id="5"/>
      <w:bookmarkEnd w:id="6"/>
    </w:p>
    <w:p w:rsidR="006E62B2" w:rsidRPr="00713DB1" w:rsidRDefault="00720792" w:rsidP="006E62B2">
      <w:r w:rsidRPr="00713DB1">
        <w:t xml:space="preserve">This </w:t>
      </w:r>
      <w:r>
        <w:t>information collection request is for an employer s</w:t>
      </w:r>
      <w:r w:rsidRPr="00713DB1">
        <w:t>urvey conducted as part of the</w:t>
      </w:r>
      <w:r>
        <w:t xml:space="preserve"> Employer Survey of Short-Time Compensation (STC) Program study conducted for the U.S. Department of Labor (DOL). </w:t>
      </w:r>
      <w:r w:rsidR="006E62B2" w:rsidRPr="00713DB1">
        <w:t>This project will</w:t>
      </w:r>
      <w:r w:rsidR="006E62B2">
        <w:t xml:space="preserve"> study employers</w:t>
      </w:r>
      <w:r w:rsidR="00AE5DF6">
        <w:t>’</w:t>
      </w:r>
      <w:r w:rsidR="006E62B2">
        <w:t xml:space="preserve"> experience</w:t>
      </w:r>
      <w:r w:rsidR="00AE5DF6">
        <w:t>s</w:t>
      </w:r>
      <w:r w:rsidR="006E62B2">
        <w:t>, awareness</w:t>
      </w:r>
      <w:r w:rsidR="00CE0F07">
        <w:t>,</w:t>
      </w:r>
      <w:r w:rsidR="006E62B2">
        <w:t xml:space="preserve"> and perspectives of the STC program</w:t>
      </w:r>
      <w:r w:rsidR="00C73A74">
        <w:t xml:space="preserve"> in four purpos</w:t>
      </w:r>
      <w:r w:rsidR="00CE0F07">
        <w:t>e</w:t>
      </w:r>
      <w:r w:rsidR="00C73A74">
        <w:t>ly selected states</w:t>
      </w:r>
      <w:r w:rsidR="006E62B2">
        <w:t>.</w:t>
      </w:r>
    </w:p>
    <w:p w:rsidR="007506FD" w:rsidRDefault="007506FD" w:rsidP="000A64DE">
      <w:pPr>
        <w:pStyle w:val="Heading2"/>
      </w:pPr>
      <w:bookmarkStart w:id="9" w:name="_Toc348455491"/>
      <w:bookmarkStart w:id="10" w:name="_Toc348965101"/>
      <w:r>
        <w:t>1.</w:t>
      </w:r>
      <w:r>
        <w:tab/>
        <w:t xml:space="preserve">Respondent </w:t>
      </w:r>
      <w:r w:rsidRPr="006A63E7">
        <w:t>Universe</w:t>
      </w:r>
      <w:r>
        <w:t xml:space="preserve"> </w:t>
      </w:r>
      <w:r w:rsidRPr="000A64DE">
        <w:t>and</w:t>
      </w:r>
      <w:r>
        <w:t xml:space="preserve"> Sampling</w:t>
      </w:r>
      <w:bookmarkEnd w:id="7"/>
      <w:bookmarkEnd w:id="9"/>
      <w:bookmarkEnd w:id="10"/>
    </w:p>
    <w:p w:rsidR="00C73A74" w:rsidRDefault="00C73A74" w:rsidP="00C73A74">
      <w:bookmarkStart w:id="11" w:name="_Toc295118814"/>
      <w:r w:rsidRPr="000A64DE">
        <w:t xml:space="preserve">The sampling universe is all employers </w:t>
      </w:r>
      <w:r>
        <w:t xml:space="preserve">who are subject to unemployment insurance </w:t>
      </w:r>
      <w:r w:rsidR="00FD24ED">
        <w:t xml:space="preserve">(UI) </w:t>
      </w:r>
      <w:r>
        <w:t>laws in</w:t>
      </w:r>
      <w:r w:rsidR="00BE42AB">
        <w:t xml:space="preserve"> the</w:t>
      </w:r>
      <w:r>
        <w:t xml:space="preserve"> </w:t>
      </w:r>
      <w:r w:rsidR="0015059C">
        <w:t>four selected states</w:t>
      </w:r>
      <w:r w:rsidR="0064445C">
        <w:t xml:space="preserve">. </w:t>
      </w:r>
      <w:r w:rsidR="0015059C">
        <w:t xml:space="preserve">The time frame for </w:t>
      </w:r>
      <w:r w:rsidR="009641E6">
        <w:t xml:space="preserve">an </w:t>
      </w:r>
      <w:r w:rsidR="0015059C">
        <w:t>employer’s inclusion in the sampling frame will be from</w:t>
      </w:r>
      <w:r w:rsidRPr="000A64DE">
        <w:t xml:space="preserve"> </w:t>
      </w:r>
      <w:r w:rsidR="00057742" w:rsidRPr="000A64DE">
        <w:t>2009 through</w:t>
      </w:r>
      <w:r w:rsidRPr="000A64DE">
        <w:t xml:space="preserve"> 2011</w:t>
      </w:r>
      <w:r w:rsidR="0064445C">
        <w:t xml:space="preserve">. </w:t>
      </w:r>
      <w:r>
        <w:t>The</w:t>
      </w:r>
      <w:r w:rsidRPr="000A64DE">
        <w:t xml:space="preserve"> total sample size for this study across </w:t>
      </w:r>
      <w:r>
        <w:t xml:space="preserve">all </w:t>
      </w:r>
      <w:r w:rsidR="009641E6">
        <w:t>4</w:t>
      </w:r>
      <w:r w:rsidR="009641E6" w:rsidRPr="000A64DE">
        <w:t xml:space="preserve"> </w:t>
      </w:r>
      <w:r>
        <w:t>s</w:t>
      </w:r>
      <w:r w:rsidRPr="000A64DE">
        <w:t xml:space="preserve">tates over </w:t>
      </w:r>
      <w:r w:rsidR="0015059C">
        <w:t xml:space="preserve">the </w:t>
      </w:r>
      <w:r w:rsidRPr="000A64DE">
        <w:t xml:space="preserve">3 years </w:t>
      </w:r>
      <w:r w:rsidR="009641E6">
        <w:t>comprises</w:t>
      </w:r>
      <w:r w:rsidR="009641E6" w:rsidRPr="000A64DE">
        <w:t xml:space="preserve"> </w:t>
      </w:r>
      <w:r w:rsidR="00E5252C">
        <w:t xml:space="preserve">nearly </w:t>
      </w:r>
      <w:r w:rsidR="00486BFD">
        <w:t>4,0</w:t>
      </w:r>
      <w:r>
        <w:t>00</w:t>
      </w:r>
      <w:r w:rsidRPr="000A64DE">
        <w:t xml:space="preserve"> </w:t>
      </w:r>
      <w:r>
        <w:t>employers</w:t>
      </w:r>
      <w:r w:rsidR="0064445C">
        <w:t xml:space="preserve">. </w:t>
      </w:r>
      <w:r>
        <w:t xml:space="preserve">The sampling unit is </w:t>
      </w:r>
      <w:r w:rsidRPr="000A64DE">
        <w:t>unique employer</w:t>
      </w:r>
      <w:r>
        <w:t>s</w:t>
      </w:r>
      <w:r w:rsidRPr="000A64DE">
        <w:t xml:space="preserve"> in each </w:t>
      </w:r>
      <w:r>
        <w:t>s</w:t>
      </w:r>
      <w:r w:rsidRPr="000A64DE">
        <w:t>tate.</w:t>
      </w:r>
      <w:r w:rsidRPr="000A64DE">
        <w:rPr>
          <w:vertAlign w:val="superscript"/>
        </w:rPr>
        <w:footnoteReference w:id="2"/>
      </w:r>
    </w:p>
    <w:p w:rsidR="00134C1A" w:rsidRDefault="00C73A74" w:rsidP="00C73E43">
      <w:pPr>
        <w:pStyle w:val="Heading3"/>
        <w:numPr>
          <w:ilvl w:val="0"/>
          <w:numId w:val="50"/>
        </w:numPr>
        <w:ind w:left="0" w:firstLine="0"/>
      </w:pPr>
      <w:bookmarkStart w:id="12" w:name="_Toc348504213"/>
      <w:bookmarkStart w:id="13" w:name="_Toc348965102"/>
      <w:bookmarkStart w:id="14" w:name="_Toc348455492"/>
      <w:r w:rsidRPr="00C73A74">
        <w:t>State Selection</w:t>
      </w:r>
      <w:bookmarkEnd w:id="12"/>
      <w:bookmarkEnd w:id="13"/>
      <w:bookmarkEnd w:id="14"/>
    </w:p>
    <w:p w:rsidR="006C06FA" w:rsidRDefault="00C73A74" w:rsidP="006C06FA">
      <w:r>
        <w:t>Currently</w:t>
      </w:r>
      <w:r w:rsidR="00375B5C">
        <w:t>,</w:t>
      </w:r>
      <w:r>
        <w:t xml:space="preserve"> 25 states and the District of Columbia have STC provisions in their UI laws.</w:t>
      </w:r>
      <w:r w:rsidRPr="00573834">
        <w:rPr>
          <w:rStyle w:val="FootnoteReference"/>
        </w:rPr>
        <w:footnoteReference w:id="3"/>
      </w:r>
      <w:r>
        <w:t xml:space="preserve"> The 17 states </w:t>
      </w:r>
      <w:r w:rsidR="00FD24ED">
        <w:t xml:space="preserve">that </w:t>
      </w:r>
      <w:r>
        <w:t>enacted STC laws prior to 20</w:t>
      </w:r>
      <w:r w:rsidR="00142954">
        <w:t>10</w:t>
      </w:r>
      <w:r>
        <w:t xml:space="preserve"> have a long history with administering the STC </w:t>
      </w:r>
      <w:r w:rsidR="00FD24ED">
        <w:t>Program</w:t>
      </w:r>
      <w:r w:rsidR="0064445C">
        <w:t xml:space="preserve">. </w:t>
      </w:r>
      <w:r w:rsidR="0045629B">
        <w:t>IMPAQ</w:t>
      </w:r>
      <w:r w:rsidR="0067623D">
        <w:t>,</w:t>
      </w:r>
      <w:r w:rsidR="0045629B">
        <w:t xml:space="preserve"> in collaboration with DOL</w:t>
      </w:r>
      <w:r w:rsidR="00057742">
        <w:t>, selected</w:t>
      </w:r>
      <w:r w:rsidR="0045629B">
        <w:t xml:space="preserve"> </w:t>
      </w:r>
      <w:r w:rsidR="00FD24ED">
        <w:t>4</w:t>
      </w:r>
      <w:r w:rsidR="0045629B">
        <w:t xml:space="preserve"> </w:t>
      </w:r>
      <w:r w:rsidR="0067623D">
        <w:t xml:space="preserve">of the 17 states with enacted STC laws </w:t>
      </w:r>
      <w:r w:rsidR="0045629B">
        <w:t>to participate in this study</w:t>
      </w:r>
      <w:r w:rsidR="00057742">
        <w:t>.</w:t>
      </w:r>
      <w:r w:rsidR="00142954">
        <w:t xml:space="preserve"> </w:t>
      </w:r>
      <w:r w:rsidR="00057742">
        <w:t>These four states-</w:t>
      </w:r>
      <w:r w:rsidR="00FD24ED">
        <w:t>-</w:t>
      </w:r>
      <w:r w:rsidR="00057742">
        <w:t>Kansas, Minnesota, Rhode Island and Washington</w:t>
      </w:r>
      <w:r w:rsidR="00A5638C">
        <w:t xml:space="preserve"> </w:t>
      </w:r>
      <w:r w:rsidR="00057742">
        <w:t>-</w:t>
      </w:r>
      <w:r w:rsidR="00FD24ED">
        <w:t>-</w:t>
      </w:r>
      <w:r w:rsidR="00142954">
        <w:t>provide a rich cross</w:t>
      </w:r>
      <w:r w:rsidR="00FD24ED">
        <w:t xml:space="preserve"> </w:t>
      </w:r>
      <w:r w:rsidR="00142954">
        <w:t>section of recent STC experiences</w:t>
      </w:r>
      <w:r w:rsidR="00057742">
        <w:t xml:space="preserve"> and</w:t>
      </w:r>
      <w:r w:rsidR="00057742" w:rsidRPr="00057742">
        <w:t xml:space="preserve"> </w:t>
      </w:r>
      <w:r w:rsidR="00057742" w:rsidRPr="00BF587E">
        <w:t>offer a wide variation of STC use by employers</w:t>
      </w:r>
      <w:r w:rsidR="0045629B">
        <w:t>.</w:t>
      </w:r>
      <w:r w:rsidR="0098740F">
        <w:rPr>
          <w:rStyle w:val="FootnoteReference"/>
        </w:rPr>
        <w:footnoteReference w:id="4"/>
      </w:r>
      <w:r w:rsidR="00FE0BB9">
        <w:t xml:space="preserve"> </w:t>
      </w:r>
      <w:r w:rsidR="006C06FA">
        <w:t>F</w:t>
      </w:r>
      <w:r w:rsidR="006C06FA" w:rsidRPr="00BF587E">
        <w:t xml:space="preserve">or example, Washington </w:t>
      </w:r>
      <w:r w:rsidR="00D31F08">
        <w:t xml:space="preserve">currently </w:t>
      </w:r>
      <w:r w:rsidR="006C06FA" w:rsidRPr="00BF587E">
        <w:t xml:space="preserve">has roughly 1,400 active STC </w:t>
      </w:r>
      <w:r w:rsidR="0042176E" w:rsidRPr="00BF587E">
        <w:t>plans</w:t>
      </w:r>
      <w:r w:rsidR="00FD24ED">
        <w:t xml:space="preserve">, while </w:t>
      </w:r>
      <w:r w:rsidR="006C06FA" w:rsidRPr="00BF587E">
        <w:t>Minnesota</w:t>
      </w:r>
      <w:r w:rsidR="006C06FA">
        <w:t xml:space="preserve"> has roughly 65</w:t>
      </w:r>
      <w:r w:rsidR="006C06FA" w:rsidRPr="00BF587E">
        <w:t xml:space="preserve"> active STC plans.</w:t>
      </w:r>
      <w:r w:rsidR="006C06FA">
        <w:rPr>
          <w:rStyle w:val="FootnoteReference"/>
          <w:rFonts w:eastAsia="Calibri" w:cs="Times New Roman"/>
          <w:szCs w:val="24"/>
        </w:rPr>
        <w:footnoteReference w:id="5"/>
      </w:r>
    </w:p>
    <w:p w:rsidR="0067623D" w:rsidRDefault="0045629B" w:rsidP="009B767F">
      <w:r>
        <w:t>State s</w:t>
      </w:r>
      <w:r w:rsidR="00A04BFC">
        <w:t xml:space="preserve">election was </w:t>
      </w:r>
      <w:r w:rsidR="000A64DE" w:rsidRPr="000A64DE">
        <w:t xml:space="preserve">based </w:t>
      </w:r>
      <w:r>
        <w:t>on</w:t>
      </w:r>
      <w:r w:rsidR="007B3933">
        <w:t xml:space="preserve"> </w:t>
      </w:r>
      <w:r w:rsidR="0098740F">
        <w:t>e</w:t>
      </w:r>
      <w:r w:rsidR="007B3933">
        <w:t>ach state’s</w:t>
      </w:r>
      <w:r w:rsidR="00ED1073">
        <w:t>:</w:t>
      </w:r>
    </w:p>
    <w:p w:rsidR="0067623D" w:rsidRDefault="000A64DE" w:rsidP="0091457B">
      <w:pPr>
        <w:pStyle w:val="Bullet"/>
        <w:numPr>
          <w:ilvl w:val="0"/>
          <w:numId w:val="49"/>
        </w:numPr>
        <w:spacing w:before="120" w:after="0"/>
      </w:pPr>
      <w:r w:rsidRPr="000A64DE">
        <w:t xml:space="preserve">STC </w:t>
      </w:r>
      <w:r w:rsidR="0067623D">
        <w:t xml:space="preserve">program </w:t>
      </w:r>
      <w:r w:rsidR="0067623D" w:rsidRPr="000A64DE">
        <w:t>characteristic</w:t>
      </w:r>
      <w:r w:rsidR="0067623D">
        <w:t>s</w:t>
      </w:r>
      <w:r w:rsidR="00FD24ED">
        <w:t>.</w:t>
      </w:r>
    </w:p>
    <w:p w:rsidR="0067623D" w:rsidRDefault="0067623D" w:rsidP="0091457B">
      <w:pPr>
        <w:pStyle w:val="Bullet"/>
        <w:numPr>
          <w:ilvl w:val="0"/>
          <w:numId w:val="49"/>
        </w:numPr>
        <w:spacing w:before="120" w:after="0"/>
      </w:pPr>
      <w:r>
        <w:lastRenderedPageBreak/>
        <w:t>G</w:t>
      </w:r>
      <w:r w:rsidR="000F3A19">
        <w:t>eographic diversity</w:t>
      </w:r>
      <w:r w:rsidR="00FD24ED">
        <w:t>.</w:t>
      </w:r>
    </w:p>
    <w:p w:rsidR="00057742" w:rsidRDefault="0067623D" w:rsidP="0091457B">
      <w:pPr>
        <w:pStyle w:val="Bullet"/>
        <w:numPr>
          <w:ilvl w:val="0"/>
          <w:numId w:val="49"/>
        </w:numPr>
        <w:spacing w:before="120" w:after="0"/>
      </w:pPr>
      <w:r>
        <w:t>E</w:t>
      </w:r>
      <w:r w:rsidR="0098740F" w:rsidRPr="000A64DE">
        <w:t>xperience</w:t>
      </w:r>
      <w:r w:rsidR="000A64DE" w:rsidRPr="000A64DE">
        <w:t xml:space="preserve"> working with employers to develop STC plans</w:t>
      </w:r>
      <w:r w:rsidR="00FD24ED">
        <w:t>.</w:t>
      </w:r>
    </w:p>
    <w:p w:rsidR="000A64DE" w:rsidRDefault="0067623D" w:rsidP="0091457B">
      <w:pPr>
        <w:pStyle w:val="Bullet"/>
        <w:numPr>
          <w:ilvl w:val="0"/>
          <w:numId w:val="49"/>
        </w:numPr>
        <w:spacing w:before="120" w:after="0"/>
      </w:pPr>
      <w:r>
        <w:t>D</w:t>
      </w:r>
      <w:r w:rsidR="000F3A19">
        <w:t>a</w:t>
      </w:r>
      <w:r w:rsidR="007B3933" w:rsidRPr="000A64DE">
        <w:t xml:space="preserve">ta system </w:t>
      </w:r>
      <w:r w:rsidR="000A64DE" w:rsidRPr="000A64DE">
        <w:t>capacity to help IMPA</w:t>
      </w:r>
      <w:r w:rsidR="0098740F">
        <w:t>Q identify employers using STC.</w:t>
      </w:r>
    </w:p>
    <w:p w:rsidR="00C37AA2" w:rsidRDefault="00C37AA2" w:rsidP="001965A1"/>
    <w:p w:rsidR="001965A1" w:rsidRPr="00146963" w:rsidRDefault="006A5A4E" w:rsidP="001965A1">
      <w:r>
        <w:fldChar w:fldCharType="begin"/>
      </w:r>
      <w:r>
        <w:instrText xml:space="preserve"> REF _Ref339532874 \h  \* MERGEFORMAT </w:instrText>
      </w:r>
      <w:r>
        <w:fldChar w:fldCharType="separate"/>
      </w:r>
      <w:r w:rsidR="00DF170B" w:rsidRPr="007E2E9A">
        <w:t>Exhibit</w:t>
      </w:r>
      <w:r w:rsidR="00DF170B" w:rsidRPr="00146963">
        <w:t xml:space="preserve"> </w:t>
      </w:r>
      <w:r w:rsidR="00DF170B">
        <w:t>1</w:t>
      </w:r>
      <w:r>
        <w:fldChar w:fldCharType="end"/>
      </w:r>
      <w:r w:rsidR="001965A1" w:rsidRPr="00146963">
        <w:t xml:space="preserve"> presents </w:t>
      </w:r>
      <w:r w:rsidR="006C06FA">
        <w:t xml:space="preserve">the </w:t>
      </w:r>
      <w:r w:rsidR="001965A1" w:rsidRPr="00146963">
        <w:t>information</w:t>
      </w:r>
      <w:r w:rsidR="001965A1">
        <w:t xml:space="preserve"> </w:t>
      </w:r>
      <w:r w:rsidR="0017556F">
        <w:t>that is available in each of the four states</w:t>
      </w:r>
      <w:r w:rsidR="00E66D53">
        <w:t xml:space="preserve">. We </w:t>
      </w:r>
      <w:r w:rsidR="00C94A1D">
        <w:t>will</w:t>
      </w:r>
      <w:r w:rsidR="006C06FA">
        <w:t xml:space="preserve"> use </w:t>
      </w:r>
      <w:r w:rsidR="00E66D53">
        <w:t xml:space="preserve">these data to </w:t>
      </w:r>
      <w:r w:rsidR="00E21A72">
        <w:t>identify</w:t>
      </w:r>
      <w:r w:rsidR="001965A1" w:rsidRPr="00146963">
        <w:t xml:space="preserve"> </w:t>
      </w:r>
      <w:r w:rsidR="006C06FA">
        <w:t>employers who applied to participate in STC.</w:t>
      </w:r>
    </w:p>
    <w:p w:rsidR="001965A1" w:rsidRDefault="001965A1" w:rsidP="007E2E9A">
      <w:pPr>
        <w:pStyle w:val="CaptionTitle"/>
      </w:pPr>
      <w:bookmarkStart w:id="15" w:name="_Ref339532874"/>
      <w:r w:rsidRPr="007E2E9A">
        <w:t>Exhibit</w:t>
      </w:r>
      <w:r w:rsidRPr="00146963">
        <w:t xml:space="preserve"> </w:t>
      </w:r>
      <w:r w:rsidR="005F59DA">
        <w:fldChar w:fldCharType="begin"/>
      </w:r>
      <w:r w:rsidR="00437EBD">
        <w:instrText xml:space="preserve"> SEQ Exhibit \* ARABIC </w:instrText>
      </w:r>
      <w:r w:rsidR="005F59DA">
        <w:fldChar w:fldCharType="separate"/>
      </w:r>
      <w:r w:rsidR="00DF170B">
        <w:rPr>
          <w:noProof/>
        </w:rPr>
        <w:t>1</w:t>
      </w:r>
      <w:r w:rsidR="005F59DA">
        <w:rPr>
          <w:noProof/>
        </w:rPr>
        <w:fldChar w:fldCharType="end"/>
      </w:r>
      <w:bookmarkEnd w:id="15"/>
      <w:r w:rsidRPr="00146963">
        <w:t>: State Agency Data Systems and Employer Characteristics</w:t>
      </w:r>
    </w:p>
    <w:tbl>
      <w:tblPr>
        <w:tblStyle w:val="TableGrid"/>
        <w:tblW w:w="5000" w:type="pct"/>
        <w:tblLook w:val="04A0" w:firstRow="1" w:lastRow="0" w:firstColumn="1" w:lastColumn="0" w:noHBand="0" w:noVBand="1"/>
      </w:tblPr>
      <w:tblGrid>
        <w:gridCol w:w="2945"/>
        <w:gridCol w:w="1657"/>
        <w:gridCol w:w="1657"/>
        <w:gridCol w:w="1657"/>
        <w:gridCol w:w="1660"/>
      </w:tblGrid>
      <w:tr w:rsidR="00B353CF" w:rsidTr="0067623D">
        <w:trPr>
          <w:trHeight w:val="215"/>
        </w:trPr>
        <w:tc>
          <w:tcPr>
            <w:tcW w:w="1538" w:type="pct"/>
            <w:vMerge w:val="restart"/>
            <w:shd w:val="clear" w:color="auto" w:fill="660000"/>
            <w:vAlign w:val="center"/>
          </w:tcPr>
          <w:p w:rsidR="001965A1" w:rsidRDefault="001965A1" w:rsidP="005613BF">
            <w:pPr>
              <w:keepNext/>
              <w:spacing w:before="120" w:after="120"/>
              <w:jc w:val="center"/>
              <w:rPr>
                <w:rFonts w:eastAsia="Times New Roman"/>
                <w:b/>
                <w:bCs/>
                <w:color w:val="FFFFFF" w:themeColor="background1"/>
                <w:sz w:val="20"/>
                <w:szCs w:val="20"/>
              </w:rPr>
            </w:pPr>
            <w:r>
              <w:rPr>
                <w:rFonts w:eastAsia="Times New Roman"/>
                <w:b/>
                <w:bCs/>
                <w:color w:val="FFFFFF" w:themeColor="background1"/>
                <w:sz w:val="20"/>
                <w:szCs w:val="20"/>
              </w:rPr>
              <w:t>Employer Information</w:t>
            </w:r>
          </w:p>
        </w:tc>
        <w:tc>
          <w:tcPr>
            <w:tcW w:w="3462" w:type="pct"/>
            <w:gridSpan w:val="4"/>
            <w:shd w:val="clear" w:color="auto" w:fill="660000"/>
            <w:vAlign w:val="center"/>
          </w:tcPr>
          <w:p w:rsidR="001965A1" w:rsidRPr="00D96786" w:rsidRDefault="0031222C" w:rsidP="005613BF">
            <w:pPr>
              <w:keepNext/>
              <w:spacing w:before="120" w:after="120"/>
              <w:jc w:val="center"/>
              <w:rPr>
                <w:rFonts w:eastAsia="Times New Roman"/>
                <w:b/>
                <w:bCs/>
                <w:color w:val="FFFFFF" w:themeColor="background1"/>
                <w:sz w:val="20"/>
                <w:szCs w:val="20"/>
              </w:rPr>
            </w:pPr>
            <w:r>
              <w:rPr>
                <w:rFonts w:eastAsia="Times New Roman"/>
                <w:b/>
                <w:bCs/>
                <w:color w:val="FFFFFF" w:themeColor="background1"/>
                <w:sz w:val="20"/>
                <w:szCs w:val="20"/>
              </w:rPr>
              <w:t>Study</w:t>
            </w:r>
            <w:r w:rsidR="001965A1">
              <w:rPr>
                <w:rFonts w:eastAsia="Times New Roman"/>
                <w:b/>
                <w:bCs/>
                <w:color w:val="FFFFFF" w:themeColor="background1"/>
                <w:sz w:val="20"/>
                <w:szCs w:val="20"/>
              </w:rPr>
              <w:t xml:space="preserve"> State</w:t>
            </w:r>
          </w:p>
        </w:tc>
      </w:tr>
      <w:tr w:rsidR="00B353CF" w:rsidTr="00BD58C2">
        <w:trPr>
          <w:trHeight w:val="246"/>
        </w:trPr>
        <w:tc>
          <w:tcPr>
            <w:tcW w:w="1538" w:type="pct"/>
            <w:vMerge/>
            <w:shd w:val="clear" w:color="auto" w:fill="660000"/>
            <w:vAlign w:val="center"/>
          </w:tcPr>
          <w:p w:rsidR="001965A1" w:rsidRPr="00D96786" w:rsidRDefault="001965A1" w:rsidP="005613BF">
            <w:pPr>
              <w:keepNext/>
              <w:spacing w:before="120" w:after="120"/>
              <w:jc w:val="center"/>
              <w:rPr>
                <w:rFonts w:eastAsia="Times New Roman"/>
                <w:b/>
                <w:bCs/>
                <w:color w:val="FFFFFF" w:themeColor="background1"/>
                <w:sz w:val="20"/>
                <w:szCs w:val="20"/>
              </w:rPr>
            </w:pPr>
          </w:p>
        </w:tc>
        <w:tc>
          <w:tcPr>
            <w:tcW w:w="865" w:type="pct"/>
            <w:shd w:val="clear" w:color="auto" w:fill="auto"/>
            <w:vAlign w:val="center"/>
          </w:tcPr>
          <w:p w:rsidR="001965A1" w:rsidRPr="00C73E43" w:rsidRDefault="001965A1" w:rsidP="005613BF">
            <w:pPr>
              <w:keepNext/>
              <w:spacing w:before="120" w:after="120"/>
              <w:jc w:val="center"/>
              <w:rPr>
                <w:b/>
                <w:sz w:val="20"/>
              </w:rPr>
            </w:pPr>
            <w:r w:rsidRPr="00C73E43">
              <w:rPr>
                <w:b/>
                <w:sz w:val="20"/>
              </w:rPr>
              <w:t>Kansas</w:t>
            </w:r>
          </w:p>
        </w:tc>
        <w:tc>
          <w:tcPr>
            <w:tcW w:w="865" w:type="pct"/>
            <w:shd w:val="clear" w:color="auto" w:fill="auto"/>
            <w:vAlign w:val="center"/>
          </w:tcPr>
          <w:p w:rsidR="001965A1" w:rsidRPr="00C73E43" w:rsidRDefault="001965A1" w:rsidP="005613BF">
            <w:pPr>
              <w:keepNext/>
              <w:spacing w:before="120" w:after="120"/>
              <w:jc w:val="center"/>
              <w:rPr>
                <w:b/>
                <w:sz w:val="20"/>
              </w:rPr>
            </w:pPr>
            <w:r w:rsidRPr="00C73E43">
              <w:rPr>
                <w:b/>
                <w:sz w:val="20"/>
              </w:rPr>
              <w:t>Washington</w:t>
            </w:r>
          </w:p>
        </w:tc>
        <w:tc>
          <w:tcPr>
            <w:tcW w:w="865" w:type="pct"/>
            <w:shd w:val="clear" w:color="auto" w:fill="auto"/>
            <w:vAlign w:val="center"/>
          </w:tcPr>
          <w:p w:rsidR="001965A1" w:rsidRPr="00C73E43" w:rsidRDefault="001965A1" w:rsidP="005613BF">
            <w:pPr>
              <w:keepNext/>
              <w:spacing w:before="120" w:after="120"/>
              <w:jc w:val="center"/>
              <w:rPr>
                <w:b/>
                <w:sz w:val="20"/>
              </w:rPr>
            </w:pPr>
            <w:r w:rsidRPr="00C73E43">
              <w:rPr>
                <w:b/>
                <w:sz w:val="20"/>
              </w:rPr>
              <w:t>Minnesota</w:t>
            </w:r>
          </w:p>
        </w:tc>
        <w:tc>
          <w:tcPr>
            <w:tcW w:w="867" w:type="pct"/>
            <w:shd w:val="clear" w:color="auto" w:fill="auto"/>
            <w:vAlign w:val="center"/>
          </w:tcPr>
          <w:p w:rsidR="001965A1" w:rsidRPr="00C73E43" w:rsidRDefault="001965A1" w:rsidP="005613BF">
            <w:pPr>
              <w:keepNext/>
              <w:spacing w:before="120" w:after="120"/>
              <w:jc w:val="center"/>
              <w:rPr>
                <w:b/>
                <w:sz w:val="20"/>
              </w:rPr>
            </w:pPr>
            <w:r w:rsidRPr="00C73E43">
              <w:rPr>
                <w:b/>
                <w:sz w:val="20"/>
              </w:rPr>
              <w:t>Rhode Island</w:t>
            </w:r>
          </w:p>
        </w:tc>
      </w:tr>
      <w:tr w:rsidR="001965A1" w:rsidTr="00BD58C2">
        <w:trPr>
          <w:trHeight w:val="371"/>
        </w:trPr>
        <w:tc>
          <w:tcPr>
            <w:tcW w:w="1538" w:type="pct"/>
            <w:shd w:val="clear" w:color="auto" w:fill="auto"/>
            <w:vAlign w:val="center"/>
          </w:tcPr>
          <w:p w:rsidR="001965A1" w:rsidRPr="00C73E43" w:rsidRDefault="001965A1" w:rsidP="005613BF">
            <w:pPr>
              <w:keepNext/>
              <w:spacing w:before="120" w:after="120"/>
              <w:jc w:val="left"/>
              <w:rPr>
                <w:sz w:val="20"/>
              </w:rPr>
            </w:pPr>
            <w:r w:rsidRPr="00C73E43">
              <w:rPr>
                <w:sz w:val="20"/>
              </w:rPr>
              <w:t xml:space="preserve">Employer </w:t>
            </w:r>
            <w:r w:rsidR="00FD24ED" w:rsidRPr="00C73E43">
              <w:rPr>
                <w:sz w:val="20"/>
              </w:rPr>
              <w:t>identification num</w:t>
            </w:r>
            <w:r w:rsidRPr="00C73E43">
              <w:rPr>
                <w:sz w:val="20"/>
              </w:rPr>
              <w:t>ber</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7"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r>
      <w:tr w:rsidR="001965A1" w:rsidTr="00BD58C2">
        <w:trPr>
          <w:trHeight w:val="395"/>
        </w:trPr>
        <w:tc>
          <w:tcPr>
            <w:tcW w:w="1538" w:type="pct"/>
            <w:shd w:val="clear" w:color="auto" w:fill="auto"/>
            <w:vAlign w:val="center"/>
          </w:tcPr>
          <w:p w:rsidR="001965A1" w:rsidRPr="00C73E43" w:rsidRDefault="001965A1" w:rsidP="005613BF">
            <w:pPr>
              <w:keepNext/>
              <w:spacing w:before="120" w:after="120"/>
              <w:jc w:val="left"/>
              <w:rPr>
                <w:sz w:val="20"/>
              </w:rPr>
            </w:pPr>
            <w:r w:rsidRPr="00C73E43">
              <w:rPr>
                <w:sz w:val="20"/>
              </w:rPr>
              <w:t xml:space="preserve">Business </w:t>
            </w:r>
            <w:r w:rsidR="00FD24ED">
              <w:rPr>
                <w:sz w:val="20"/>
              </w:rPr>
              <w:t>n</w:t>
            </w:r>
            <w:r w:rsidR="00FD24ED" w:rsidRPr="00C73E43">
              <w:rPr>
                <w:sz w:val="20"/>
              </w:rPr>
              <w:t>ame</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7"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r>
      <w:tr w:rsidR="001965A1" w:rsidTr="00BD58C2">
        <w:trPr>
          <w:trHeight w:val="395"/>
        </w:trPr>
        <w:tc>
          <w:tcPr>
            <w:tcW w:w="1538" w:type="pct"/>
            <w:shd w:val="clear" w:color="auto" w:fill="auto"/>
            <w:vAlign w:val="center"/>
          </w:tcPr>
          <w:p w:rsidR="001965A1" w:rsidRPr="00C73E43" w:rsidRDefault="001965A1" w:rsidP="005613BF">
            <w:pPr>
              <w:keepNext/>
              <w:spacing w:before="120" w:after="120"/>
              <w:jc w:val="left"/>
              <w:rPr>
                <w:sz w:val="20"/>
              </w:rPr>
            </w:pPr>
            <w:r w:rsidRPr="00C73E43">
              <w:rPr>
                <w:sz w:val="20"/>
              </w:rPr>
              <w:t xml:space="preserve">Mailing </w:t>
            </w:r>
            <w:r w:rsidR="00FD24ED">
              <w:rPr>
                <w:sz w:val="20"/>
              </w:rPr>
              <w:t>a</w:t>
            </w:r>
            <w:r w:rsidR="00FD24ED" w:rsidRPr="00C73E43">
              <w:rPr>
                <w:sz w:val="20"/>
              </w:rPr>
              <w:t>ddress</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7"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r>
      <w:tr w:rsidR="001965A1" w:rsidTr="00BD58C2">
        <w:trPr>
          <w:trHeight w:val="767"/>
        </w:trPr>
        <w:tc>
          <w:tcPr>
            <w:tcW w:w="1538" w:type="pct"/>
            <w:shd w:val="clear" w:color="auto" w:fill="auto"/>
            <w:vAlign w:val="center"/>
          </w:tcPr>
          <w:p w:rsidR="001965A1" w:rsidRPr="00C73E43" w:rsidRDefault="001965A1" w:rsidP="005613BF">
            <w:pPr>
              <w:keepNext/>
              <w:spacing w:before="120" w:after="120"/>
              <w:jc w:val="left"/>
              <w:rPr>
                <w:sz w:val="20"/>
              </w:rPr>
            </w:pPr>
            <w:r w:rsidRPr="00C73E43">
              <w:rPr>
                <w:sz w:val="20"/>
              </w:rPr>
              <w:t>Physical location address if different than mailing address</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r w:rsidRPr="00AA24C9">
              <w:rPr>
                <w:rFonts w:eastAsia="Times New Roman"/>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r w:rsidRPr="00AA24C9">
              <w:rPr>
                <w:rFonts w:eastAsia="Times New Roman"/>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7" w:type="pct"/>
            <w:vAlign w:val="center"/>
          </w:tcPr>
          <w:p w:rsidR="001965A1" w:rsidRPr="00AA24C9" w:rsidRDefault="001965A1" w:rsidP="005613BF">
            <w:pPr>
              <w:keepNext/>
              <w:spacing w:before="120" w:after="120"/>
              <w:ind w:left="584"/>
              <w:rPr>
                <w:rFonts w:eastAsia="Times New Roman"/>
                <w:color w:val="000000"/>
                <w:sz w:val="20"/>
                <w:szCs w:val="20"/>
              </w:rPr>
            </w:pPr>
            <w:r w:rsidRPr="00AA24C9">
              <w:rPr>
                <w:rFonts w:eastAsia="Times New Roman"/>
                <w:color w:val="000000"/>
                <w:sz w:val="20"/>
                <w:szCs w:val="20"/>
              </w:rPr>
              <w:t>N/A</w:t>
            </w:r>
          </w:p>
        </w:tc>
      </w:tr>
      <w:tr w:rsidR="001965A1" w:rsidTr="00BD58C2">
        <w:trPr>
          <w:trHeight w:val="395"/>
        </w:trPr>
        <w:tc>
          <w:tcPr>
            <w:tcW w:w="1538" w:type="pct"/>
            <w:shd w:val="clear" w:color="auto" w:fill="auto"/>
            <w:vAlign w:val="center"/>
          </w:tcPr>
          <w:p w:rsidR="001965A1" w:rsidRPr="00C73E43" w:rsidRDefault="001965A1" w:rsidP="005613BF">
            <w:pPr>
              <w:keepNext/>
              <w:spacing w:before="120" w:after="120"/>
              <w:jc w:val="left"/>
              <w:rPr>
                <w:sz w:val="20"/>
              </w:rPr>
            </w:pPr>
            <w:r w:rsidRPr="00C73E43">
              <w:rPr>
                <w:sz w:val="20"/>
              </w:rPr>
              <w:t>Employer representation/contact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r w:rsidRPr="00AA24C9">
              <w:rPr>
                <w:rFonts w:eastAsia="Times New Roman"/>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r w:rsidRPr="00AA24C9">
              <w:rPr>
                <w:rFonts w:eastAsia="Times New Roman"/>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7"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r>
      <w:tr w:rsidR="001965A1" w:rsidTr="00BD58C2">
        <w:trPr>
          <w:trHeight w:val="395"/>
        </w:trPr>
        <w:tc>
          <w:tcPr>
            <w:tcW w:w="1538" w:type="pct"/>
            <w:shd w:val="clear" w:color="auto" w:fill="auto"/>
            <w:vAlign w:val="center"/>
          </w:tcPr>
          <w:p w:rsidR="001965A1" w:rsidRPr="00C73E43" w:rsidRDefault="001965A1" w:rsidP="005613BF">
            <w:pPr>
              <w:keepNext/>
              <w:spacing w:before="120" w:after="120"/>
              <w:jc w:val="left"/>
              <w:rPr>
                <w:sz w:val="20"/>
              </w:rPr>
            </w:pPr>
            <w:r w:rsidRPr="00C73E43">
              <w:rPr>
                <w:sz w:val="20"/>
              </w:rPr>
              <w:t xml:space="preserve">Telephone </w:t>
            </w:r>
            <w:r w:rsidR="00FD24ED">
              <w:rPr>
                <w:sz w:val="20"/>
              </w:rPr>
              <w:t>n</w:t>
            </w:r>
            <w:r w:rsidRPr="00C73E43">
              <w:rPr>
                <w:sz w:val="20"/>
              </w:rPr>
              <w:t>umber</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7"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r>
      <w:tr w:rsidR="001965A1" w:rsidTr="00BD58C2">
        <w:trPr>
          <w:trHeight w:val="395"/>
        </w:trPr>
        <w:tc>
          <w:tcPr>
            <w:tcW w:w="1538" w:type="pct"/>
            <w:shd w:val="clear" w:color="auto" w:fill="auto"/>
            <w:vAlign w:val="center"/>
          </w:tcPr>
          <w:p w:rsidR="001965A1" w:rsidRPr="00C73E43" w:rsidRDefault="001965A1" w:rsidP="005613BF">
            <w:pPr>
              <w:keepNext/>
              <w:spacing w:before="120" w:after="120"/>
              <w:jc w:val="left"/>
              <w:rPr>
                <w:sz w:val="20"/>
              </w:rPr>
            </w:pPr>
            <w:r w:rsidRPr="00C73E43">
              <w:rPr>
                <w:sz w:val="20"/>
              </w:rPr>
              <w:t>Email address</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5"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p>
        </w:tc>
        <w:tc>
          <w:tcPr>
            <w:tcW w:w="867" w:type="pct"/>
            <w:vAlign w:val="center"/>
          </w:tcPr>
          <w:p w:rsidR="001965A1" w:rsidRPr="00AA24C9" w:rsidRDefault="001965A1" w:rsidP="005613BF">
            <w:pPr>
              <w:keepNext/>
              <w:spacing w:before="120" w:after="120"/>
              <w:ind w:left="584"/>
              <w:rPr>
                <w:rFonts w:ascii="Wingdings 2" w:eastAsia="Times New Roman" w:hAnsi="Wingdings 2" w:cs="Calibri"/>
                <w:color w:val="000000"/>
                <w:sz w:val="20"/>
                <w:szCs w:val="20"/>
              </w:rPr>
            </w:pPr>
            <w:r w:rsidRPr="00AA24C9">
              <w:rPr>
                <w:rFonts w:ascii="Wingdings 2" w:eastAsia="Times New Roman" w:hAnsi="Wingdings 2" w:cs="Calibri"/>
                <w:color w:val="000000"/>
                <w:sz w:val="20"/>
                <w:szCs w:val="20"/>
              </w:rPr>
              <w:t></w:t>
            </w:r>
            <w:r w:rsidRPr="00AA24C9">
              <w:rPr>
                <w:rFonts w:eastAsia="Times New Roman"/>
                <w:color w:val="000000"/>
                <w:sz w:val="20"/>
                <w:szCs w:val="20"/>
              </w:rPr>
              <w:t>**</w:t>
            </w:r>
          </w:p>
        </w:tc>
      </w:tr>
    </w:tbl>
    <w:p w:rsidR="00FD24ED" w:rsidRDefault="00720792" w:rsidP="001965A1">
      <w:pPr>
        <w:pStyle w:val="ExhibitNote"/>
        <w:contextualSpacing/>
        <w:rPr>
          <w:rFonts w:eastAsia="Calibri"/>
          <w:color w:val="auto"/>
          <w:sz w:val="18"/>
          <w:szCs w:val="18"/>
        </w:rPr>
      </w:pPr>
      <w:r w:rsidRPr="00146963">
        <w:rPr>
          <w:rFonts w:eastAsia="Calibri"/>
          <w:color w:val="auto"/>
          <w:sz w:val="18"/>
          <w:szCs w:val="18"/>
        </w:rPr>
        <w:t>Notes: Information captured during telephone interviews with state workforce agency personnel in October 2012</w:t>
      </w:r>
      <w:r>
        <w:rPr>
          <w:rFonts w:eastAsia="Calibri"/>
          <w:color w:val="auto"/>
          <w:sz w:val="18"/>
          <w:szCs w:val="18"/>
        </w:rPr>
        <w:t xml:space="preserve">. </w:t>
      </w:r>
      <w:r w:rsidR="001965A1" w:rsidRPr="00146963">
        <w:rPr>
          <w:rFonts w:eastAsia="Calibri"/>
          <w:color w:val="auto"/>
          <w:sz w:val="18"/>
          <w:szCs w:val="18"/>
        </w:rPr>
        <w:t xml:space="preserve">All elements reflect data from each </w:t>
      </w:r>
      <w:r w:rsidR="00CB5000">
        <w:rPr>
          <w:sz w:val="18"/>
          <w:szCs w:val="18"/>
        </w:rPr>
        <w:t>state workforce agency’s (SWA)</w:t>
      </w:r>
      <w:r w:rsidR="001965A1" w:rsidRPr="00146963">
        <w:rPr>
          <w:rFonts w:eastAsia="Calibri"/>
          <w:color w:val="auto"/>
          <w:sz w:val="18"/>
          <w:szCs w:val="18"/>
        </w:rPr>
        <w:t xml:space="preserve"> integrated data systems unless otherwise indicated</w:t>
      </w:r>
      <w:r w:rsidR="0064445C">
        <w:rPr>
          <w:rFonts w:eastAsia="Calibri"/>
          <w:color w:val="auto"/>
          <w:sz w:val="18"/>
          <w:szCs w:val="18"/>
        </w:rPr>
        <w:t>.</w:t>
      </w:r>
    </w:p>
    <w:p w:rsidR="00FD24ED" w:rsidRDefault="001965A1" w:rsidP="001965A1">
      <w:pPr>
        <w:pStyle w:val="ExhibitNote"/>
        <w:contextualSpacing/>
        <w:rPr>
          <w:rFonts w:eastAsia="Calibri"/>
          <w:color w:val="auto"/>
          <w:sz w:val="18"/>
          <w:szCs w:val="18"/>
        </w:rPr>
      </w:pPr>
      <w:r w:rsidRPr="00146963">
        <w:rPr>
          <w:rFonts w:eastAsia="Calibri"/>
          <w:color w:val="auto"/>
          <w:sz w:val="18"/>
          <w:szCs w:val="18"/>
        </w:rPr>
        <w:t>*Spreadsheet</w:t>
      </w:r>
      <w:r w:rsidR="0064445C">
        <w:rPr>
          <w:rFonts w:eastAsia="Calibri"/>
          <w:color w:val="auto"/>
          <w:sz w:val="18"/>
          <w:szCs w:val="18"/>
        </w:rPr>
        <w:t>.</w:t>
      </w:r>
    </w:p>
    <w:p w:rsidR="001965A1" w:rsidRPr="00146963" w:rsidRDefault="001965A1" w:rsidP="001965A1">
      <w:pPr>
        <w:pStyle w:val="ExhibitNote"/>
        <w:contextualSpacing/>
        <w:rPr>
          <w:rFonts w:eastAsia="Calibri"/>
          <w:color w:val="auto"/>
          <w:sz w:val="18"/>
          <w:szCs w:val="18"/>
        </w:rPr>
      </w:pPr>
      <w:r w:rsidRPr="00146963">
        <w:rPr>
          <w:rFonts w:eastAsia="Calibri"/>
          <w:color w:val="auto"/>
          <w:sz w:val="18"/>
          <w:szCs w:val="18"/>
        </w:rPr>
        <w:t>**Tax Files</w:t>
      </w:r>
    </w:p>
    <w:p w:rsidR="001965A1" w:rsidRPr="00BF587E" w:rsidRDefault="006C06FA" w:rsidP="001965A1">
      <w:r>
        <w:t>In addition to having the necessary data systems to identify appropriate employers, t</w:t>
      </w:r>
      <w:r w:rsidR="001965A1" w:rsidRPr="00CA6694">
        <w:t xml:space="preserve">hese </w:t>
      </w:r>
      <w:r w:rsidR="001965A1">
        <w:t xml:space="preserve">states </w:t>
      </w:r>
      <w:r>
        <w:t xml:space="preserve">also </w:t>
      </w:r>
      <w:r w:rsidR="001965A1" w:rsidRPr="00CA6694">
        <w:t xml:space="preserve">vary in </w:t>
      </w:r>
      <w:r>
        <w:t xml:space="preserve">their </w:t>
      </w:r>
      <w:r w:rsidR="001965A1">
        <w:t>experience with STC</w:t>
      </w:r>
      <w:r w:rsidR="001965A1" w:rsidRPr="00CA6694">
        <w:t>, statutory language, rules, state agency practices and use</w:t>
      </w:r>
      <w:r w:rsidR="0064445C">
        <w:t xml:space="preserve">. </w:t>
      </w:r>
      <w:r w:rsidR="006A5A4E">
        <w:fldChar w:fldCharType="begin"/>
      </w:r>
      <w:r w:rsidR="006A5A4E">
        <w:instrText xml:space="preserve"> REF _Ref340493446 \h  \* MERGEFORMAT </w:instrText>
      </w:r>
      <w:r w:rsidR="006A5A4E">
        <w:fldChar w:fldCharType="separate"/>
      </w:r>
      <w:r w:rsidR="00DF170B">
        <w:t>Exhibit 2</w:t>
      </w:r>
      <w:r w:rsidR="006A5A4E">
        <w:fldChar w:fldCharType="end"/>
      </w:r>
      <w:r w:rsidR="001965A1">
        <w:t xml:space="preserve"> </w:t>
      </w:r>
      <w:r w:rsidR="001965A1" w:rsidRPr="00BF587E">
        <w:t>presents the variation in statutory requirements</w:t>
      </w:r>
      <w:r w:rsidR="0064445C">
        <w:t xml:space="preserve">. </w:t>
      </w:r>
      <w:r w:rsidR="001965A1" w:rsidRPr="00BF587E">
        <w:t>Kansas and Rhode Island</w:t>
      </w:r>
      <w:r w:rsidR="00E66D53">
        <w:t>, for example,</w:t>
      </w:r>
      <w:r w:rsidR="001965A1" w:rsidRPr="00BF587E">
        <w:t xml:space="preserve"> do not</w:t>
      </w:r>
      <w:r w:rsidR="001965A1">
        <w:t xml:space="preserve"> require employers to </w:t>
      </w:r>
      <w:r w:rsidR="001965A1" w:rsidRPr="00BF587E">
        <w:t>maintain health insurance</w:t>
      </w:r>
      <w:r w:rsidR="0067623D">
        <w:t xml:space="preserve"> for workers</w:t>
      </w:r>
      <w:r w:rsidR="001965A1" w:rsidRPr="00BF587E">
        <w:t xml:space="preserve"> while a</w:t>
      </w:r>
      <w:r w:rsidR="00142954">
        <w:t>n employee</w:t>
      </w:r>
      <w:r w:rsidR="001965A1" w:rsidRPr="00BF587E">
        <w:t xml:space="preserve"> is receiving STC; Washington and Minnesota do</w:t>
      </w:r>
      <w:r w:rsidR="0064445C">
        <w:t xml:space="preserve">. </w:t>
      </w:r>
      <w:r w:rsidR="001965A1" w:rsidRPr="00BF587E">
        <w:t>In addition, Minnesota does not require</w:t>
      </w:r>
      <w:r w:rsidR="001965A1">
        <w:t>,</w:t>
      </w:r>
      <w:r w:rsidR="001965A1" w:rsidRPr="00BF587E">
        <w:t xml:space="preserve"> </w:t>
      </w:r>
      <w:r w:rsidR="001965A1">
        <w:t xml:space="preserve">by law or practice, </w:t>
      </w:r>
      <w:r w:rsidR="001965A1" w:rsidRPr="00BF587E">
        <w:t>employee concurrence in lieu of union agreement to the STC plan</w:t>
      </w:r>
      <w:r w:rsidR="00E66D53">
        <w:t>;</w:t>
      </w:r>
      <w:r w:rsidR="00C73E43">
        <w:t xml:space="preserve"> </w:t>
      </w:r>
      <w:r w:rsidR="00E66D53">
        <w:t>t</w:t>
      </w:r>
      <w:r w:rsidR="001965A1" w:rsidRPr="00BF587E">
        <w:t xml:space="preserve">he other </w:t>
      </w:r>
      <w:r w:rsidR="00C94A1D">
        <w:t>three</w:t>
      </w:r>
      <w:r w:rsidR="00C94A1D" w:rsidRPr="00BF587E">
        <w:t xml:space="preserve"> </w:t>
      </w:r>
      <w:r w:rsidR="001965A1" w:rsidRPr="00BF587E">
        <w:t>states do.</w:t>
      </w:r>
    </w:p>
    <w:p w:rsidR="001965A1" w:rsidRDefault="001965A1" w:rsidP="001965A1">
      <w:pPr>
        <w:pStyle w:val="CaptionTitle"/>
      </w:pPr>
      <w:bookmarkStart w:id="16" w:name="_Ref340493446"/>
      <w:r>
        <w:lastRenderedPageBreak/>
        <w:t xml:space="preserve">Exhibit </w:t>
      </w:r>
      <w:r w:rsidR="005F59DA">
        <w:fldChar w:fldCharType="begin"/>
      </w:r>
      <w:r w:rsidR="00437EBD">
        <w:instrText xml:space="preserve"> SEQ Exhibit \* ARABIC </w:instrText>
      </w:r>
      <w:r w:rsidR="005F59DA">
        <w:fldChar w:fldCharType="separate"/>
      </w:r>
      <w:r w:rsidR="00DF170B">
        <w:rPr>
          <w:noProof/>
        </w:rPr>
        <w:t>2</w:t>
      </w:r>
      <w:r w:rsidR="005F59DA">
        <w:rPr>
          <w:noProof/>
        </w:rPr>
        <w:fldChar w:fldCharType="end"/>
      </w:r>
      <w:bookmarkEnd w:id="16"/>
      <w:r>
        <w:t>: Selected Current STC Plan Approval Requirements</w:t>
      </w:r>
    </w:p>
    <w:tbl>
      <w:tblPr>
        <w:tblStyle w:val="TableGrid"/>
        <w:tblW w:w="5000" w:type="pct"/>
        <w:tblLook w:val="04A0" w:firstRow="1" w:lastRow="0" w:firstColumn="1" w:lastColumn="0" w:noHBand="0" w:noVBand="1"/>
      </w:tblPr>
      <w:tblGrid>
        <w:gridCol w:w="3588"/>
        <w:gridCol w:w="1496"/>
        <w:gridCol w:w="1496"/>
        <w:gridCol w:w="1496"/>
        <w:gridCol w:w="1500"/>
      </w:tblGrid>
      <w:tr w:rsidR="00B353CF" w:rsidTr="00BD58C2">
        <w:trPr>
          <w:trHeight w:val="215"/>
        </w:trPr>
        <w:tc>
          <w:tcPr>
            <w:tcW w:w="1874" w:type="pct"/>
            <w:vMerge w:val="restart"/>
            <w:shd w:val="clear" w:color="auto" w:fill="660000"/>
            <w:vAlign w:val="center"/>
          </w:tcPr>
          <w:p w:rsidR="001965A1" w:rsidRPr="009D2470" w:rsidRDefault="001965A1" w:rsidP="005613BF">
            <w:pPr>
              <w:keepNext/>
              <w:keepLines/>
              <w:spacing w:before="120" w:after="120"/>
              <w:jc w:val="center"/>
              <w:rPr>
                <w:rFonts w:eastAsia="Times New Roman" w:cs="Times New Roman"/>
                <w:b/>
                <w:bCs/>
                <w:color w:val="FFFFFF" w:themeColor="background1"/>
                <w:sz w:val="20"/>
                <w:szCs w:val="20"/>
              </w:rPr>
            </w:pPr>
            <w:r w:rsidRPr="009D2470">
              <w:rPr>
                <w:rFonts w:eastAsia="Times New Roman" w:cs="Times New Roman"/>
                <w:b/>
                <w:bCs/>
                <w:color w:val="FFFFFF" w:themeColor="background1"/>
                <w:sz w:val="20"/>
                <w:szCs w:val="20"/>
              </w:rPr>
              <w:t>Selected Plan Requirements</w:t>
            </w:r>
          </w:p>
        </w:tc>
        <w:tc>
          <w:tcPr>
            <w:tcW w:w="3126" w:type="pct"/>
            <w:gridSpan w:val="4"/>
            <w:shd w:val="clear" w:color="auto" w:fill="660000"/>
            <w:vAlign w:val="center"/>
          </w:tcPr>
          <w:p w:rsidR="001965A1" w:rsidRPr="009D2470" w:rsidRDefault="0031222C" w:rsidP="005613BF">
            <w:pPr>
              <w:keepNext/>
              <w:keepLines/>
              <w:spacing w:before="120" w:after="120"/>
              <w:jc w:val="center"/>
              <w:rPr>
                <w:rFonts w:eastAsia="Times New Roman" w:cs="Times New Roman"/>
                <w:b/>
                <w:bCs/>
                <w:color w:val="FFFFFF" w:themeColor="background1"/>
                <w:sz w:val="20"/>
                <w:szCs w:val="20"/>
              </w:rPr>
            </w:pPr>
            <w:r>
              <w:rPr>
                <w:rFonts w:eastAsia="Times New Roman" w:cs="Times New Roman"/>
                <w:b/>
                <w:bCs/>
                <w:color w:val="FFFFFF" w:themeColor="background1"/>
                <w:sz w:val="20"/>
                <w:szCs w:val="20"/>
              </w:rPr>
              <w:t>Study</w:t>
            </w:r>
            <w:r w:rsidR="001965A1" w:rsidRPr="009D2470">
              <w:rPr>
                <w:rFonts w:eastAsia="Times New Roman" w:cs="Times New Roman"/>
                <w:b/>
                <w:bCs/>
                <w:color w:val="FFFFFF" w:themeColor="background1"/>
                <w:sz w:val="20"/>
                <w:szCs w:val="20"/>
              </w:rPr>
              <w:t xml:space="preserve"> State</w:t>
            </w:r>
          </w:p>
        </w:tc>
      </w:tr>
      <w:tr w:rsidR="00B353CF" w:rsidTr="00BD58C2">
        <w:trPr>
          <w:trHeight w:val="273"/>
        </w:trPr>
        <w:tc>
          <w:tcPr>
            <w:tcW w:w="1874" w:type="pct"/>
            <w:vMerge/>
            <w:shd w:val="clear" w:color="auto" w:fill="660000"/>
            <w:vAlign w:val="center"/>
          </w:tcPr>
          <w:p w:rsidR="001965A1" w:rsidRPr="009D2470" w:rsidRDefault="001965A1" w:rsidP="005613BF">
            <w:pPr>
              <w:keepNext/>
              <w:keepLines/>
              <w:spacing w:before="120" w:after="120"/>
              <w:jc w:val="center"/>
              <w:rPr>
                <w:rFonts w:eastAsia="Times New Roman" w:cs="Times New Roman"/>
                <w:b/>
                <w:bCs/>
                <w:color w:val="FFFFFF" w:themeColor="background1"/>
                <w:sz w:val="20"/>
                <w:szCs w:val="20"/>
              </w:rPr>
            </w:pPr>
          </w:p>
        </w:tc>
        <w:tc>
          <w:tcPr>
            <w:tcW w:w="781" w:type="pct"/>
            <w:shd w:val="clear" w:color="auto" w:fill="auto"/>
            <w:vAlign w:val="center"/>
          </w:tcPr>
          <w:p w:rsidR="001965A1" w:rsidRPr="00C73E43" w:rsidRDefault="001965A1" w:rsidP="005613BF">
            <w:pPr>
              <w:keepNext/>
              <w:keepLines/>
              <w:spacing w:before="120" w:after="120"/>
              <w:jc w:val="center"/>
              <w:rPr>
                <w:b/>
                <w:sz w:val="20"/>
              </w:rPr>
            </w:pPr>
            <w:r w:rsidRPr="00C73E43">
              <w:rPr>
                <w:b/>
                <w:sz w:val="20"/>
              </w:rPr>
              <w:t>Kansas</w:t>
            </w:r>
          </w:p>
        </w:tc>
        <w:tc>
          <w:tcPr>
            <w:tcW w:w="781" w:type="pct"/>
            <w:shd w:val="clear" w:color="auto" w:fill="auto"/>
            <w:vAlign w:val="center"/>
          </w:tcPr>
          <w:p w:rsidR="001965A1" w:rsidRPr="00C73E43" w:rsidRDefault="001965A1" w:rsidP="005613BF">
            <w:pPr>
              <w:keepNext/>
              <w:keepLines/>
              <w:spacing w:before="120" w:after="120"/>
              <w:jc w:val="center"/>
              <w:rPr>
                <w:b/>
                <w:sz w:val="20"/>
              </w:rPr>
            </w:pPr>
            <w:r w:rsidRPr="00C73E43">
              <w:rPr>
                <w:b/>
                <w:sz w:val="20"/>
              </w:rPr>
              <w:t>Washington</w:t>
            </w:r>
          </w:p>
        </w:tc>
        <w:tc>
          <w:tcPr>
            <w:tcW w:w="781" w:type="pct"/>
            <w:shd w:val="clear" w:color="auto" w:fill="auto"/>
            <w:vAlign w:val="center"/>
          </w:tcPr>
          <w:p w:rsidR="001965A1" w:rsidRPr="00C73E43" w:rsidRDefault="001965A1" w:rsidP="005613BF">
            <w:pPr>
              <w:keepNext/>
              <w:keepLines/>
              <w:spacing w:before="120" w:after="120"/>
              <w:jc w:val="center"/>
              <w:rPr>
                <w:b/>
                <w:sz w:val="20"/>
              </w:rPr>
            </w:pPr>
            <w:r w:rsidRPr="00C73E43">
              <w:rPr>
                <w:b/>
                <w:sz w:val="20"/>
              </w:rPr>
              <w:t>Minnesota</w:t>
            </w:r>
          </w:p>
        </w:tc>
        <w:tc>
          <w:tcPr>
            <w:tcW w:w="782" w:type="pct"/>
            <w:shd w:val="clear" w:color="auto" w:fill="auto"/>
            <w:vAlign w:val="center"/>
          </w:tcPr>
          <w:p w:rsidR="001965A1" w:rsidRPr="00C73E43" w:rsidRDefault="001965A1" w:rsidP="005613BF">
            <w:pPr>
              <w:keepNext/>
              <w:keepLines/>
              <w:spacing w:before="120" w:after="120"/>
              <w:jc w:val="center"/>
              <w:rPr>
                <w:b/>
                <w:sz w:val="20"/>
              </w:rPr>
            </w:pPr>
            <w:r w:rsidRPr="00C73E43">
              <w:rPr>
                <w:b/>
                <w:sz w:val="20"/>
              </w:rPr>
              <w:t>Rhode Island</w:t>
            </w:r>
          </w:p>
        </w:tc>
      </w:tr>
      <w:tr w:rsidR="001965A1" w:rsidTr="00BD58C2">
        <w:trPr>
          <w:trHeight w:val="438"/>
        </w:trPr>
        <w:tc>
          <w:tcPr>
            <w:tcW w:w="1874" w:type="pct"/>
            <w:shd w:val="clear" w:color="auto" w:fill="auto"/>
            <w:vAlign w:val="center"/>
          </w:tcPr>
          <w:p w:rsidR="001965A1" w:rsidRPr="00C73E43" w:rsidRDefault="001965A1" w:rsidP="005613BF">
            <w:pPr>
              <w:keepNext/>
              <w:keepLines/>
              <w:spacing w:before="120" w:after="120"/>
              <w:jc w:val="left"/>
              <w:rPr>
                <w:sz w:val="20"/>
              </w:rPr>
            </w:pPr>
            <w:r w:rsidRPr="00C73E43">
              <w:rPr>
                <w:sz w:val="20"/>
              </w:rPr>
              <w:t>Maintena</w:t>
            </w:r>
            <w:r w:rsidR="00CB5000" w:rsidRPr="00C73E43">
              <w:rPr>
                <w:sz w:val="20"/>
              </w:rPr>
              <w:t>nce of health ins</w:t>
            </w:r>
            <w:r w:rsidRPr="00C73E43">
              <w:rPr>
                <w:sz w:val="20"/>
              </w:rPr>
              <w:t>urance</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No</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Yes*</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Yes**</w:t>
            </w:r>
          </w:p>
        </w:tc>
        <w:tc>
          <w:tcPr>
            <w:tcW w:w="782"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No***</w:t>
            </w:r>
          </w:p>
        </w:tc>
      </w:tr>
      <w:tr w:rsidR="001965A1" w:rsidTr="00BD58C2">
        <w:trPr>
          <w:trHeight w:val="411"/>
        </w:trPr>
        <w:tc>
          <w:tcPr>
            <w:tcW w:w="1874" w:type="pct"/>
            <w:shd w:val="clear" w:color="auto" w:fill="auto"/>
            <w:vAlign w:val="center"/>
          </w:tcPr>
          <w:p w:rsidR="001965A1" w:rsidRPr="00C73E43" w:rsidRDefault="001965A1" w:rsidP="005613BF">
            <w:pPr>
              <w:keepNext/>
              <w:keepLines/>
              <w:spacing w:before="120" w:after="120"/>
              <w:jc w:val="left"/>
              <w:rPr>
                <w:sz w:val="20"/>
              </w:rPr>
            </w:pPr>
            <w:r w:rsidRPr="00C73E43">
              <w:rPr>
                <w:sz w:val="20"/>
              </w:rPr>
              <w:t>Maintenan</w:t>
            </w:r>
            <w:r w:rsidR="00CB5000" w:rsidRPr="00C73E43">
              <w:rPr>
                <w:sz w:val="20"/>
              </w:rPr>
              <w:t>ce of pension contributio</w:t>
            </w:r>
            <w:r w:rsidRPr="00C73E43">
              <w:rPr>
                <w:sz w:val="20"/>
              </w:rPr>
              <w:t>ns</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No</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Yes*</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Yes**</w:t>
            </w:r>
          </w:p>
        </w:tc>
        <w:tc>
          <w:tcPr>
            <w:tcW w:w="782"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No***</w:t>
            </w:r>
          </w:p>
        </w:tc>
      </w:tr>
      <w:tr w:rsidR="001965A1" w:rsidTr="00BD58C2">
        <w:trPr>
          <w:trHeight w:val="438"/>
        </w:trPr>
        <w:tc>
          <w:tcPr>
            <w:tcW w:w="1874" w:type="pct"/>
            <w:shd w:val="clear" w:color="auto" w:fill="auto"/>
            <w:vAlign w:val="center"/>
          </w:tcPr>
          <w:p w:rsidR="001965A1" w:rsidRPr="00C73E43" w:rsidRDefault="001965A1" w:rsidP="005613BF">
            <w:pPr>
              <w:keepNext/>
              <w:keepLines/>
              <w:spacing w:before="120" w:after="120"/>
              <w:jc w:val="left"/>
              <w:rPr>
                <w:sz w:val="20"/>
              </w:rPr>
            </w:pPr>
            <w:r w:rsidRPr="00C73E43">
              <w:rPr>
                <w:sz w:val="20"/>
              </w:rPr>
              <w:t>Unio</w:t>
            </w:r>
            <w:r w:rsidR="00CB5000" w:rsidRPr="00C73E43">
              <w:rPr>
                <w:sz w:val="20"/>
              </w:rPr>
              <w:t>n concurrence/sign-of</w:t>
            </w:r>
            <w:r w:rsidRPr="00C73E43">
              <w:rPr>
                <w:sz w:val="20"/>
              </w:rPr>
              <w:t>f</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Yes*</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Yes*</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Yes**</w:t>
            </w:r>
          </w:p>
        </w:tc>
        <w:tc>
          <w:tcPr>
            <w:tcW w:w="782"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Yes*</w:t>
            </w:r>
          </w:p>
        </w:tc>
      </w:tr>
      <w:tr w:rsidR="001965A1" w:rsidTr="00BD58C2">
        <w:trPr>
          <w:trHeight w:val="438"/>
        </w:trPr>
        <w:tc>
          <w:tcPr>
            <w:tcW w:w="1874" w:type="pct"/>
            <w:shd w:val="clear" w:color="auto" w:fill="auto"/>
            <w:vAlign w:val="center"/>
          </w:tcPr>
          <w:p w:rsidR="001965A1" w:rsidRPr="00C73E43" w:rsidRDefault="001965A1" w:rsidP="005613BF">
            <w:pPr>
              <w:keepNext/>
              <w:keepLines/>
              <w:spacing w:before="120" w:after="120"/>
              <w:jc w:val="left"/>
              <w:rPr>
                <w:sz w:val="20"/>
              </w:rPr>
            </w:pPr>
            <w:r w:rsidRPr="00C73E43">
              <w:rPr>
                <w:sz w:val="20"/>
              </w:rPr>
              <w:t>Emplo</w:t>
            </w:r>
            <w:r w:rsidR="00CB5000" w:rsidRPr="00C73E43">
              <w:rPr>
                <w:sz w:val="20"/>
              </w:rPr>
              <w:t>yee concurrence in lieu of un</w:t>
            </w:r>
            <w:r w:rsidRPr="00C73E43">
              <w:rPr>
                <w:sz w:val="20"/>
              </w:rPr>
              <w:t>ion</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Yes*</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Yes*</w:t>
            </w:r>
          </w:p>
        </w:tc>
        <w:tc>
          <w:tcPr>
            <w:tcW w:w="781"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No</w:t>
            </w:r>
          </w:p>
        </w:tc>
        <w:tc>
          <w:tcPr>
            <w:tcW w:w="782" w:type="pct"/>
            <w:vAlign w:val="center"/>
          </w:tcPr>
          <w:p w:rsidR="001965A1" w:rsidRPr="009D2470" w:rsidRDefault="001965A1" w:rsidP="005613BF">
            <w:pPr>
              <w:keepNext/>
              <w:keepLines/>
              <w:spacing w:before="120" w:after="120"/>
              <w:jc w:val="center"/>
              <w:rPr>
                <w:rFonts w:eastAsia="Times New Roman" w:cs="Times New Roman"/>
                <w:color w:val="000000"/>
                <w:sz w:val="20"/>
              </w:rPr>
            </w:pPr>
            <w:r w:rsidRPr="009D2470">
              <w:rPr>
                <w:rFonts w:eastAsia="Times New Roman" w:cs="Times New Roman"/>
                <w:color w:val="000000"/>
                <w:sz w:val="20"/>
              </w:rPr>
              <w:t>Yes****</w:t>
            </w:r>
          </w:p>
        </w:tc>
      </w:tr>
    </w:tbl>
    <w:p w:rsidR="00CB5000" w:rsidRDefault="00720792" w:rsidP="001965A1">
      <w:pPr>
        <w:pStyle w:val="ExhibitNote"/>
        <w:contextualSpacing/>
        <w:rPr>
          <w:sz w:val="18"/>
          <w:szCs w:val="18"/>
        </w:rPr>
      </w:pPr>
      <w:r w:rsidRPr="00704403">
        <w:rPr>
          <w:sz w:val="18"/>
          <w:szCs w:val="18"/>
        </w:rPr>
        <w:t>Note: Information captured during telephone interviews with SWA personnel during October 2012</w:t>
      </w:r>
      <w:r>
        <w:rPr>
          <w:sz w:val="18"/>
          <w:szCs w:val="18"/>
        </w:rPr>
        <w:t xml:space="preserve">. </w:t>
      </w:r>
      <w:r w:rsidR="001965A1" w:rsidRPr="00704403">
        <w:rPr>
          <w:sz w:val="18"/>
          <w:szCs w:val="18"/>
        </w:rPr>
        <w:t>Information reflect</w:t>
      </w:r>
      <w:r w:rsidR="00CB5000">
        <w:rPr>
          <w:sz w:val="18"/>
          <w:szCs w:val="18"/>
        </w:rPr>
        <w:t>s</w:t>
      </w:r>
      <w:r w:rsidR="001965A1" w:rsidRPr="00704403">
        <w:rPr>
          <w:sz w:val="18"/>
          <w:szCs w:val="18"/>
        </w:rPr>
        <w:t xml:space="preserve"> state practices at the time of the interview</w:t>
      </w:r>
      <w:r w:rsidR="0064445C">
        <w:rPr>
          <w:sz w:val="18"/>
          <w:szCs w:val="18"/>
        </w:rPr>
        <w:t>.</w:t>
      </w:r>
    </w:p>
    <w:p w:rsidR="00CB5000" w:rsidRDefault="001965A1" w:rsidP="001965A1">
      <w:pPr>
        <w:pStyle w:val="ExhibitNote"/>
        <w:contextualSpacing/>
        <w:rPr>
          <w:sz w:val="18"/>
          <w:szCs w:val="18"/>
        </w:rPr>
      </w:pPr>
      <w:r w:rsidRPr="00704403">
        <w:rPr>
          <w:sz w:val="18"/>
          <w:szCs w:val="18"/>
        </w:rPr>
        <w:t xml:space="preserve">*State </w:t>
      </w:r>
      <w:r w:rsidR="00CB5000">
        <w:rPr>
          <w:sz w:val="18"/>
          <w:szCs w:val="18"/>
        </w:rPr>
        <w:t>s</w:t>
      </w:r>
      <w:r w:rsidRPr="00704403">
        <w:rPr>
          <w:sz w:val="18"/>
          <w:szCs w:val="18"/>
        </w:rPr>
        <w:t>tatute</w:t>
      </w:r>
    </w:p>
    <w:p w:rsidR="00CB5000" w:rsidRDefault="001965A1" w:rsidP="001965A1">
      <w:pPr>
        <w:pStyle w:val="ExhibitNote"/>
        <w:contextualSpacing/>
        <w:rPr>
          <w:sz w:val="18"/>
          <w:szCs w:val="18"/>
        </w:rPr>
      </w:pPr>
      <w:r w:rsidRPr="00704403">
        <w:rPr>
          <w:sz w:val="18"/>
          <w:szCs w:val="18"/>
        </w:rPr>
        <w:t xml:space="preserve">**State </w:t>
      </w:r>
      <w:r w:rsidR="00CB5000">
        <w:rPr>
          <w:sz w:val="18"/>
          <w:szCs w:val="18"/>
        </w:rPr>
        <w:t>a</w:t>
      </w:r>
      <w:r w:rsidRPr="00704403">
        <w:rPr>
          <w:sz w:val="18"/>
          <w:szCs w:val="18"/>
        </w:rPr>
        <w:t>gency practice only</w:t>
      </w:r>
    </w:p>
    <w:p w:rsidR="00CB5000" w:rsidRDefault="001965A1" w:rsidP="001965A1">
      <w:pPr>
        <w:pStyle w:val="ExhibitNote"/>
        <w:contextualSpacing/>
        <w:rPr>
          <w:sz w:val="18"/>
          <w:szCs w:val="18"/>
        </w:rPr>
      </w:pPr>
      <w:r w:rsidRPr="00704403">
        <w:rPr>
          <w:sz w:val="18"/>
          <w:szCs w:val="18"/>
        </w:rPr>
        <w:t>***Plan must indicate by state statute how this is treated</w:t>
      </w:r>
    </w:p>
    <w:p w:rsidR="001965A1" w:rsidRDefault="001965A1" w:rsidP="001965A1">
      <w:pPr>
        <w:pStyle w:val="ExhibitNote"/>
      </w:pPr>
      <w:r w:rsidRPr="00704403">
        <w:rPr>
          <w:sz w:val="18"/>
          <w:szCs w:val="18"/>
        </w:rPr>
        <w:t>****Statutory notification only</w:t>
      </w:r>
    </w:p>
    <w:p w:rsidR="001965A1" w:rsidRDefault="001965A1" w:rsidP="00B353CF">
      <w:pPr>
        <w:autoSpaceDE w:val="0"/>
        <w:autoSpaceDN w:val="0"/>
        <w:adjustRightInd w:val="0"/>
      </w:pPr>
      <w:r>
        <w:rPr>
          <w:rFonts w:cs="Times New Roman"/>
        </w:rPr>
        <w:t xml:space="preserve">Employers’ tax rates increase or decrease depending on </w:t>
      </w:r>
      <w:r w:rsidR="007040C0">
        <w:rPr>
          <w:rFonts w:cs="Times New Roman"/>
        </w:rPr>
        <w:t>employers’</w:t>
      </w:r>
      <w:r>
        <w:rPr>
          <w:rFonts w:cs="Times New Roman"/>
        </w:rPr>
        <w:t xml:space="preserve"> individual </w:t>
      </w:r>
      <w:r w:rsidRPr="00686C08">
        <w:rPr>
          <w:rFonts w:cs="Times New Roman"/>
          <w:bCs/>
          <w:iCs/>
        </w:rPr>
        <w:t>experience rating</w:t>
      </w:r>
      <w:r>
        <w:rPr>
          <w:rFonts w:cs="Times New Roman"/>
          <w:b/>
          <w:bCs/>
          <w:i/>
          <w:iCs/>
        </w:rPr>
        <w:t xml:space="preserve"> </w:t>
      </w:r>
      <w:r>
        <w:rPr>
          <w:rFonts w:cs="Times New Roman"/>
        </w:rPr>
        <w:t>with the UI program</w:t>
      </w:r>
      <w:r w:rsidR="0064445C">
        <w:rPr>
          <w:rFonts w:cs="Times New Roman"/>
        </w:rPr>
        <w:t xml:space="preserve">. </w:t>
      </w:r>
      <w:r w:rsidRPr="005600F6">
        <w:t xml:space="preserve">As indicated in </w:t>
      </w:r>
      <w:r w:rsidR="006A5A4E">
        <w:fldChar w:fldCharType="begin"/>
      </w:r>
      <w:r w:rsidR="006A5A4E">
        <w:instrText xml:space="preserve"> REF  _Ref343785407 \* Lower \h  \* MERGEFORMAT </w:instrText>
      </w:r>
      <w:r w:rsidR="006A5A4E">
        <w:fldChar w:fldCharType="separate"/>
      </w:r>
      <w:r w:rsidR="00DF170B">
        <w:t>exhibit 3</w:t>
      </w:r>
      <w:r w:rsidR="006A5A4E">
        <w:fldChar w:fldCharType="end"/>
      </w:r>
      <w:r w:rsidRPr="005600F6">
        <w:t>, the four states vary in their unemployment rates and in their</w:t>
      </w:r>
      <w:r w:rsidR="00731648">
        <w:t xml:space="preserve"> type </w:t>
      </w:r>
      <w:r w:rsidR="00731648" w:rsidRPr="00731648">
        <w:t xml:space="preserve">of </w:t>
      </w:r>
      <w:r w:rsidRPr="00731648">
        <w:t>UI tax system</w:t>
      </w:r>
      <w:r w:rsidR="0064445C" w:rsidRPr="00731648">
        <w:t xml:space="preserve">. </w:t>
      </w:r>
      <w:r w:rsidRPr="00731648">
        <w:t>Minnesota</w:t>
      </w:r>
      <w:r w:rsidRPr="005600F6">
        <w:t xml:space="preserve"> experienced the lowest annual average unemployment rate of the four states in 2011 (6.4 percent) while Rhode Island experienced the highest unemployment rate (11.3 percent).</w:t>
      </w:r>
      <w:r w:rsidR="00C94A1D">
        <w:rPr>
          <w:rStyle w:val="FootnoteReference"/>
        </w:rPr>
        <w:footnoteReference w:id="6"/>
      </w:r>
      <w:r w:rsidR="00C94A1D">
        <w:t xml:space="preserve"> </w:t>
      </w:r>
      <w:r w:rsidR="007040C0" w:rsidRPr="005600F6">
        <w:t>Minnesota and Washington are Benefit Ratio states while Kansas and Rhode Island are Reserve Ratio states</w:t>
      </w:r>
      <w:r w:rsidR="007040C0">
        <w:t xml:space="preserve">. </w:t>
      </w:r>
      <w:r w:rsidRPr="005600F6">
        <w:t>The four states are geographically dispersed</w:t>
      </w:r>
      <w:r w:rsidR="00EC1660">
        <w:t>:  one</w:t>
      </w:r>
      <w:r w:rsidRPr="005600F6">
        <w:t xml:space="preserve"> in the Northeast region, two in the West North Central region, and one in the Pacific region.</w:t>
      </w:r>
    </w:p>
    <w:p w:rsidR="001965A1" w:rsidRDefault="001965A1" w:rsidP="001965A1">
      <w:pPr>
        <w:pStyle w:val="CaptionTitle"/>
      </w:pPr>
      <w:bookmarkStart w:id="17" w:name="_Ref343785407"/>
      <w:r>
        <w:t xml:space="preserve">Exhibit </w:t>
      </w:r>
      <w:r w:rsidR="005F59DA">
        <w:fldChar w:fldCharType="begin"/>
      </w:r>
      <w:r w:rsidR="00437EBD">
        <w:instrText xml:space="preserve"> SEQ Exhibit \* ARABIC </w:instrText>
      </w:r>
      <w:r w:rsidR="005F59DA">
        <w:fldChar w:fldCharType="separate"/>
      </w:r>
      <w:r w:rsidR="00DF170B">
        <w:rPr>
          <w:noProof/>
        </w:rPr>
        <w:t>3</w:t>
      </w:r>
      <w:r w:rsidR="005F59DA">
        <w:rPr>
          <w:noProof/>
        </w:rPr>
        <w:fldChar w:fldCharType="end"/>
      </w:r>
      <w:bookmarkEnd w:id="17"/>
      <w:r>
        <w:t>: Characteristics of Selected STC States</w:t>
      </w:r>
      <w:r w:rsidR="00EC1660">
        <w:t>’</w:t>
      </w:r>
      <w:r>
        <w:t xml:space="preserve"> UI Tax Systems</w:t>
      </w:r>
    </w:p>
    <w:tbl>
      <w:tblPr>
        <w:tblW w:w="5007" w:type="pct"/>
        <w:jc w:val="center"/>
        <w:tblLook w:val="04A0" w:firstRow="1" w:lastRow="0" w:firstColumn="1" w:lastColumn="0" w:noHBand="0" w:noVBand="1"/>
      </w:tblPr>
      <w:tblGrid>
        <w:gridCol w:w="3126"/>
        <w:gridCol w:w="1762"/>
        <w:gridCol w:w="1644"/>
        <w:gridCol w:w="1448"/>
        <w:gridCol w:w="1609"/>
      </w:tblGrid>
      <w:tr w:rsidR="001965A1" w:rsidRPr="000D4BAC" w:rsidTr="003B6F6E">
        <w:trPr>
          <w:trHeight w:val="174"/>
          <w:jc w:val="center"/>
        </w:trPr>
        <w:tc>
          <w:tcPr>
            <w:tcW w:w="1630" w:type="pct"/>
            <w:vMerge w:val="restart"/>
            <w:tcBorders>
              <w:top w:val="single" w:sz="4" w:space="0" w:color="auto"/>
              <w:left w:val="single" w:sz="4" w:space="0" w:color="auto"/>
              <w:bottom w:val="single" w:sz="4" w:space="0" w:color="auto"/>
              <w:right w:val="single" w:sz="4" w:space="0" w:color="auto"/>
            </w:tcBorders>
            <w:shd w:val="clear" w:color="000000" w:fill="660000"/>
            <w:vAlign w:val="center"/>
            <w:hideMark/>
          </w:tcPr>
          <w:p w:rsidR="001965A1" w:rsidRPr="000D4BAC" w:rsidRDefault="001965A1" w:rsidP="005613BF">
            <w:pPr>
              <w:keepNext/>
              <w:spacing w:before="120" w:after="120"/>
              <w:jc w:val="center"/>
              <w:rPr>
                <w:rFonts w:eastAsia="Times New Roman"/>
                <w:b/>
                <w:bCs/>
                <w:color w:val="FFFFFF"/>
                <w:sz w:val="20"/>
                <w:szCs w:val="20"/>
              </w:rPr>
            </w:pPr>
            <w:r w:rsidRPr="000D4BAC">
              <w:rPr>
                <w:rFonts w:eastAsia="Times New Roman"/>
                <w:b/>
                <w:bCs/>
                <w:color w:val="FFFFFF"/>
                <w:sz w:val="20"/>
                <w:szCs w:val="20"/>
              </w:rPr>
              <w:t>Selected Plan Requirements</w:t>
            </w:r>
          </w:p>
        </w:tc>
        <w:tc>
          <w:tcPr>
            <w:tcW w:w="3370" w:type="pct"/>
            <w:gridSpan w:val="4"/>
            <w:tcBorders>
              <w:top w:val="single" w:sz="4" w:space="0" w:color="auto"/>
              <w:left w:val="nil"/>
              <w:bottom w:val="single" w:sz="4" w:space="0" w:color="auto"/>
              <w:right w:val="single" w:sz="4" w:space="0" w:color="auto"/>
            </w:tcBorders>
            <w:shd w:val="clear" w:color="000000" w:fill="660000"/>
            <w:vAlign w:val="center"/>
            <w:hideMark/>
          </w:tcPr>
          <w:p w:rsidR="001965A1" w:rsidRPr="000D4BAC" w:rsidRDefault="0031222C" w:rsidP="005613BF">
            <w:pPr>
              <w:keepNext/>
              <w:spacing w:before="120" w:after="120"/>
              <w:jc w:val="center"/>
              <w:rPr>
                <w:rFonts w:eastAsia="Times New Roman"/>
                <w:b/>
                <w:bCs/>
                <w:color w:val="FFFFFF"/>
                <w:sz w:val="20"/>
                <w:szCs w:val="20"/>
              </w:rPr>
            </w:pPr>
            <w:r>
              <w:rPr>
                <w:rFonts w:eastAsia="Times New Roman"/>
                <w:b/>
                <w:bCs/>
                <w:color w:val="FFFFFF"/>
                <w:sz w:val="20"/>
                <w:szCs w:val="20"/>
              </w:rPr>
              <w:t>Study</w:t>
            </w:r>
            <w:r w:rsidR="001965A1" w:rsidRPr="000D4BAC">
              <w:rPr>
                <w:rFonts w:eastAsia="Times New Roman"/>
                <w:b/>
                <w:bCs/>
                <w:color w:val="FFFFFF"/>
                <w:sz w:val="20"/>
                <w:szCs w:val="20"/>
              </w:rPr>
              <w:t xml:space="preserve"> State</w:t>
            </w:r>
          </w:p>
        </w:tc>
      </w:tr>
      <w:tr w:rsidR="00B353CF" w:rsidRPr="000D4BAC" w:rsidTr="00C73E43">
        <w:trPr>
          <w:trHeight w:val="174"/>
          <w:jc w:val="center"/>
        </w:trPr>
        <w:tc>
          <w:tcPr>
            <w:tcW w:w="1630" w:type="pct"/>
            <w:vMerge/>
            <w:tcBorders>
              <w:top w:val="single" w:sz="4" w:space="0" w:color="auto"/>
              <w:left w:val="single" w:sz="4" w:space="0" w:color="auto"/>
              <w:bottom w:val="single" w:sz="4" w:space="0" w:color="auto"/>
              <w:right w:val="single" w:sz="4" w:space="0" w:color="auto"/>
            </w:tcBorders>
            <w:vAlign w:val="center"/>
            <w:hideMark/>
          </w:tcPr>
          <w:p w:rsidR="001965A1" w:rsidRPr="000D4BAC" w:rsidRDefault="001965A1" w:rsidP="005613BF">
            <w:pPr>
              <w:keepNext/>
              <w:spacing w:before="120" w:after="120"/>
              <w:rPr>
                <w:rFonts w:eastAsia="Times New Roman"/>
                <w:b/>
                <w:bCs/>
                <w:color w:val="FFFFFF"/>
                <w:sz w:val="20"/>
                <w:szCs w:val="20"/>
              </w:rPr>
            </w:pPr>
          </w:p>
        </w:tc>
        <w:tc>
          <w:tcPr>
            <w:tcW w:w="919" w:type="pct"/>
            <w:tcBorders>
              <w:top w:val="nil"/>
              <w:left w:val="nil"/>
              <w:bottom w:val="single" w:sz="4" w:space="0" w:color="auto"/>
              <w:right w:val="single" w:sz="4" w:space="0" w:color="auto"/>
            </w:tcBorders>
            <w:shd w:val="clear" w:color="auto" w:fill="auto"/>
            <w:vAlign w:val="center"/>
            <w:hideMark/>
          </w:tcPr>
          <w:p w:rsidR="001965A1" w:rsidRPr="00C73E43" w:rsidRDefault="001965A1" w:rsidP="005613BF">
            <w:pPr>
              <w:keepNext/>
              <w:spacing w:before="120" w:after="120"/>
              <w:jc w:val="center"/>
              <w:rPr>
                <w:b/>
                <w:sz w:val="20"/>
              </w:rPr>
            </w:pPr>
            <w:r w:rsidRPr="00C73E43">
              <w:rPr>
                <w:b/>
                <w:sz w:val="20"/>
              </w:rPr>
              <w:t>Kansas</w:t>
            </w:r>
          </w:p>
        </w:tc>
        <w:tc>
          <w:tcPr>
            <w:tcW w:w="857" w:type="pct"/>
            <w:tcBorders>
              <w:top w:val="nil"/>
              <w:left w:val="nil"/>
              <w:bottom w:val="single" w:sz="4" w:space="0" w:color="auto"/>
              <w:right w:val="single" w:sz="4" w:space="0" w:color="auto"/>
            </w:tcBorders>
            <w:shd w:val="clear" w:color="auto" w:fill="auto"/>
            <w:vAlign w:val="center"/>
            <w:hideMark/>
          </w:tcPr>
          <w:p w:rsidR="001965A1" w:rsidRPr="00C73E43" w:rsidRDefault="001965A1" w:rsidP="005613BF">
            <w:pPr>
              <w:keepNext/>
              <w:spacing w:before="120" w:after="120"/>
              <w:jc w:val="center"/>
              <w:rPr>
                <w:b/>
                <w:sz w:val="20"/>
              </w:rPr>
            </w:pPr>
            <w:r w:rsidRPr="00C73E43">
              <w:rPr>
                <w:b/>
                <w:sz w:val="20"/>
              </w:rPr>
              <w:t>Minnesota</w:t>
            </w:r>
          </w:p>
        </w:tc>
        <w:tc>
          <w:tcPr>
            <w:tcW w:w="755" w:type="pct"/>
            <w:tcBorders>
              <w:top w:val="nil"/>
              <w:left w:val="nil"/>
              <w:bottom w:val="single" w:sz="4" w:space="0" w:color="auto"/>
              <w:right w:val="single" w:sz="4" w:space="0" w:color="auto"/>
            </w:tcBorders>
            <w:shd w:val="clear" w:color="auto" w:fill="auto"/>
            <w:vAlign w:val="center"/>
            <w:hideMark/>
          </w:tcPr>
          <w:p w:rsidR="001965A1" w:rsidRPr="00C73E43" w:rsidRDefault="001965A1" w:rsidP="005613BF">
            <w:pPr>
              <w:keepNext/>
              <w:spacing w:before="120" w:after="120"/>
              <w:jc w:val="center"/>
              <w:rPr>
                <w:b/>
                <w:sz w:val="20"/>
              </w:rPr>
            </w:pPr>
            <w:r w:rsidRPr="00C73E43">
              <w:rPr>
                <w:b/>
                <w:sz w:val="20"/>
              </w:rPr>
              <w:t>Rhode Island</w:t>
            </w:r>
          </w:p>
        </w:tc>
        <w:tc>
          <w:tcPr>
            <w:tcW w:w="839" w:type="pct"/>
            <w:tcBorders>
              <w:top w:val="nil"/>
              <w:left w:val="nil"/>
              <w:bottom w:val="single" w:sz="4" w:space="0" w:color="auto"/>
              <w:right w:val="single" w:sz="4" w:space="0" w:color="auto"/>
            </w:tcBorders>
            <w:shd w:val="clear" w:color="auto" w:fill="auto"/>
            <w:vAlign w:val="center"/>
            <w:hideMark/>
          </w:tcPr>
          <w:p w:rsidR="001965A1" w:rsidRPr="00C73E43" w:rsidRDefault="001965A1" w:rsidP="005613BF">
            <w:pPr>
              <w:keepNext/>
              <w:spacing w:before="120" w:after="120"/>
              <w:jc w:val="center"/>
              <w:rPr>
                <w:b/>
                <w:sz w:val="20"/>
              </w:rPr>
            </w:pPr>
            <w:r w:rsidRPr="00C73E43">
              <w:rPr>
                <w:b/>
                <w:sz w:val="20"/>
              </w:rPr>
              <w:t>Washington</w:t>
            </w:r>
          </w:p>
        </w:tc>
      </w:tr>
      <w:tr w:rsidR="00B353CF" w:rsidRPr="000D4BAC" w:rsidTr="00C73E43">
        <w:trPr>
          <w:trHeight w:val="371"/>
          <w:jc w:val="center"/>
        </w:trPr>
        <w:tc>
          <w:tcPr>
            <w:tcW w:w="1630" w:type="pct"/>
            <w:tcBorders>
              <w:top w:val="nil"/>
              <w:left w:val="single" w:sz="4" w:space="0" w:color="auto"/>
              <w:bottom w:val="single" w:sz="4" w:space="0" w:color="auto"/>
              <w:right w:val="single" w:sz="4" w:space="0" w:color="auto"/>
            </w:tcBorders>
            <w:shd w:val="clear" w:color="auto" w:fill="auto"/>
            <w:vAlign w:val="center"/>
            <w:hideMark/>
          </w:tcPr>
          <w:p w:rsidR="001965A1" w:rsidRPr="00C73E43" w:rsidRDefault="001965A1" w:rsidP="005613BF">
            <w:pPr>
              <w:keepNext/>
              <w:spacing w:before="120" w:after="120"/>
              <w:rPr>
                <w:sz w:val="20"/>
              </w:rPr>
            </w:pPr>
            <w:r w:rsidRPr="00C73E43">
              <w:rPr>
                <w:sz w:val="20"/>
              </w:rPr>
              <w:t xml:space="preserve">2011 </w:t>
            </w:r>
            <w:r w:rsidR="00EC1660" w:rsidRPr="00C73E43">
              <w:rPr>
                <w:sz w:val="20"/>
              </w:rPr>
              <w:t>unemployment r</w:t>
            </w:r>
            <w:r w:rsidRPr="00C73E43">
              <w:rPr>
                <w:sz w:val="20"/>
              </w:rPr>
              <w:t>ate</w:t>
            </w:r>
          </w:p>
        </w:tc>
        <w:tc>
          <w:tcPr>
            <w:tcW w:w="919"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6.70%</w:t>
            </w:r>
          </w:p>
        </w:tc>
        <w:tc>
          <w:tcPr>
            <w:tcW w:w="857"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6.40%</w:t>
            </w:r>
          </w:p>
        </w:tc>
        <w:tc>
          <w:tcPr>
            <w:tcW w:w="755"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11.30%</w:t>
            </w:r>
          </w:p>
        </w:tc>
        <w:tc>
          <w:tcPr>
            <w:tcW w:w="839"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9.20%</w:t>
            </w:r>
          </w:p>
        </w:tc>
      </w:tr>
      <w:tr w:rsidR="00B353CF" w:rsidRPr="000D4BAC" w:rsidTr="00C73E43">
        <w:trPr>
          <w:trHeight w:val="488"/>
          <w:jc w:val="center"/>
        </w:trPr>
        <w:tc>
          <w:tcPr>
            <w:tcW w:w="1630" w:type="pct"/>
            <w:tcBorders>
              <w:top w:val="nil"/>
              <w:left w:val="single" w:sz="4" w:space="0" w:color="auto"/>
              <w:bottom w:val="single" w:sz="4" w:space="0" w:color="auto"/>
              <w:right w:val="single" w:sz="4" w:space="0" w:color="auto"/>
            </w:tcBorders>
            <w:shd w:val="clear" w:color="auto" w:fill="auto"/>
            <w:vAlign w:val="center"/>
            <w:hideMark/>
          </w:tcPr>
          <w:p w:rsidR="001965A1" w:rsidRPr="00C73E43" w:rsidRDefault="001965A1" w:rsidP="005613BF">
            <w:pPr>
              <w:keepNext/>
              <w:spacing w:before="120" w:after="120"/>
              <w:rPr>
                <w:sz w:val="20"/>
              </w:rPr>
            </w:pPr>
            <w:r w:rsidRPr="00C73E43">
              <w:rPr>
                <w:sz w:val="20"/>
              </w:rPr>
              <w:t>Type of  UI</w:t>
            </w:r>
            <w:r w:rsidR="00C73E43">
              <w:rPr>
                <w:sz w:val="20"/>
              </w:rPr>
              <w:t xml:space="preserve"> </w:t>
            </w:r>
            <w:r w:rsidR="00EC1660">
              <w:rPr>
                <w:sz w:val="20"/>
              </w:rPr>
              <w:t>s</w:t>
            </w:r>
            <w:r w:rsidRPr="00C73E43">
              <w:rPr>
                <w:sz w:val="20"/>
              </w:rPr>
              <w:t>ystem</w:t>
            </w:r>
          </w:p>
        </w:tc>
        <w:tc>
          <w:tcPr>
            <w:tcW w:w="919"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Reserve Ratio</w:t>
            </w:r>
          </w:p>
        </w:tc>
        <w:tc>
          <w:tcPr>
            <w:tcW w:w="857"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Benefit Ratio</w:t>
            </w:r>
          </w:p>
        </w:tc>
        <w:tc>
          <w:tcPr>
            <w:tcW w:w="755"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Reserve Ratio</w:t>
            </w:r>
          </w:p>
        </w:tc>
        <w:tc>
          <w:tcPr>
            <w:tcW w:w="839"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Benefit Ratio</w:t>
            </w:r>
          </w:p>
        </w:tc>
      </w:tr>
      <w:tr w:rsidR="00B353CF" w:rsidRPr="000D4BAC" w:rsidTr="00C73E43">
        <w:trPr>
          <w:trHeight w:val="659"/>
          <w:jc w:val="center"/>
        </w:trPr>
        <w:tc>
          <w:tcPr>
            <w:tcW w:w="1630" w:type="pct"/>
            <w:tcBorders>
              <w:top w:val="nil"/>
              <w:left w:val="single" w:sz="4" w:space="0" w:color="auto"/>
              <w:bottom w:val="single" w:sz="4" w:space="0" w:color="auto"/>
              <w:right w:val="single" w:sz="4" w:space="0" w:color="auto"/>
            </w:tcBorders>
            <w:shd w:val="clear" w:color="auto" w:fill="auto"/>
            <w:vAlign w:val="center"/>
            <w:hideMark/>
          </w:tcPr>
          <w:p w:rsidR="001965A1" w:rsidRPr="00C73E43" w:rsidRDefault="001965A1" w:rsidP="005613BF">
            <w:pPr>
              <w:keepNext/>
              <w:spacing w:before="120" w:after="120"/>
              <w:rPr>
                <w:sz w:val="20"/>
              </w:rPr>
            </w:pPr>
            <w:r w:rsidRPr="00C73E43">
              <w:rPr>
                <w:sz w:val="20"/>
              </w:rPr>
              <w:t>Region</w:t>
            </w:r>
          </w:p>
        </w:tc>
        <w:tc>
          <w:tcPr>
            <w:tcW w:w="919"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West North Central</w:t>
            </w:r>
          </w:p>
        </w:tc>
        <w:tc>
          <w:tcPr>
            <w:tcW w:w="857"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West North Central</w:t>
            </w:r>
          </w:p>
        </w:tc>
        <w:tc>
          <w:tcPr>
            <w:tcW w:w="755"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Northeast</w:t>
            </w:r>
          </w:p>
        </w:tc>
        <w:tc>
          <w:tcPr>
            <w:tcW w:w="839"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Pacific</w:t>
            </w:r>
          </w:p>
        </w:tc>
      </w:tr>
      <w:tr w:rsidR="00B353CF" w:rsidRPr="000D4BAC" w:rsidTr="00C73E43">
        <w:trPr>
          <w:trHeight w:val="353"/>
          <w:jc w:val="center"/>
        </w:trPr>
        <w:tc>
          <w:tcPr>
            <w:tcW w:w="1630" w:type="pct"/>
            <w:tcBorders>
              <w:top w:val="nil"/>
              <w:left w:val="single" w:sz="4" w:space="0" w:color="auto"/>
              <w:bottom w:val="single" w:sz="4" w:space="0" w:color="auto"/>
              <w:right w:val="single" w:sz="4" w:space="0" w:color="auto"/>
            </w:tcBorders>
            <w:shd w:val="clear" w:color="auto" w:fill="auto"/>
            <w:vAlign w:val="center"/>
            <w:hideMark/>
          </w:tcPr>
          <w:p w:rsidR="001965A1" w:rsidRPr="00C73E43" w:rsidRDefault="001965A1" w:rsidP="005613BF">
            <w:pPr>
              <w:keepNext/>
              <w:spacing w:before="120" w:after="120"/>
              <w:rPr>
                <w:rFonts w:eastAsia="Times New Roman" w:cs="Times New Roman"/>
                <w:sz w:val="20"/>
                <w:szCs w:val="20"/>
              </w:rPr>
            </w:pPr>
            <w:r w:rsidRPr="00C73E43">
              <w:rPr>
                <w:sz w:val="20"/>
              </w:rPr>
              <w:t xml:space="preserve">Year STC </w:t>
            </w:r>
            <w:r w:rsidR="00EC1660">
              <w:rPr>
                <w:sz w:val="20"/>
              </w:rPr>
              <w:t>p</w:t>
            </w:r>
            <w:r w:rsidR="00EC1660" w:rsidRPr="00C73E43">
              <w:rPr>
                <w:sz w:val="20"/>
              </w:rPr>
              <w:t>rogram ena</w:t>
            </w:r>
            <w:r w:rsidRPr="00C73E43">
              <w:rPr>
                <w:sz w:val="20"/>
              </w:rPr>
              <w:t>cted</w:t>
            </w:r>
          </w:p>
        </w:tc>
        <w:tc>
          <w:tcPr>
            <w:tcW w:w="919"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1988</w:t>
            </w:r>
          </w:p>
        </w:tc>
        <w:tc>
          <w:tcPr>
            <w:tcW w:w="857"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1994</w:t>
            </w:r>
          </w:p>
        </w:tc>
        <w:tc>
          <w:tcPr>
            <w:tcW w:w="755"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1991</w:t>
            </w:r>
          </w:p>
        </w:tc>
        <w:tc>
          <w:tcPr>
            <w:tcW w:w="839" w:type="pct"/>
            <w:tcBorders>
              <w:top w:val="nil"/>
              <w:left w:val="nil"/>
              <w:bottom w:val="single" w:sz="4" w:space="0" w:color="auto"/>
              <w:right w:val="single" w:sz="4" w:space="0" w:color="auto"/>
            </w:tcBorders>
            <w:shd w:val="clear" w:color="auto" w:fill="auto"/>
            <w:vAlign w:val="center"/>
            <w:hideMark/>
          </w:tcPr>
          <w:p w:rsidR="001965A1" w:rsidRPr="000D4BAC" w:rsidRDefault="001965A1" w:rsidP="005613BF">
            <w:pPr>
              <w:keepNext/>
              <w:spacing w:before="120" w:after="120"/>
              <w:jc w:val="center"/>
              <w:rPr>
                <w:rFonts w:eastAsia="Times New Roman"/>
                <w:color w:val="000000"/>
                <w:sz w:val="20"/>
                <w:szCs w:val="20"/>
              </w:rPr>
            </w:pPr>
            <w:r w:rsidRPr="000D4BAC">
              <w:rPr>
                <w:rFonts w:eastAsia="Times New Roman"/>
                <w:color w:val="000000"/>
                <w:sz w:val="20"/>
                <w:szCs w:val="20"/>
              </w:rPr>
              <w:t>1983</w:t>
            </w:r>
          </w:p>
        </w:tc>
      </w:tr>
    </w:tbl>
    <w:p w:rsidR="001965A1" w:rsidRDefault="001965A1" w:rsidP="001965A1">
      <w:pPr>
        <w:pStyle w:val="ExhibitNote"/>
        <w:spacing w:line="240" w:lineRule="auto"/>
      </w:pPr>
      <w:r>
        <w:t>Source: BLS Regional and State Unemployment 2011 Annual Averages report</w:t>
      </w:r>
      <w:r w:rsidR="00693B97">
        <w:t xml:space="preserve">, </w:t>
      </w:r>
      <w:r>
        <w:t>CRS Report Compensated Work Sharing Arrangements as an Alternative to Layoffs, September 2011</w:t>
      </w:r>
      <w:r w:rsidR="00693B97">
        <w:t xml:space="preserve">, </w:t>
      </w:r>
      <w:r w:rsidR="00731648">
        <w:t xml:space="preserve">and </w:t>
      </w:r>
      <w:r>
        <w:t xml:space="preserve">Comparison of State UI Laws report </w:t>
      </w:r>
      <w:r w:rsidRPr="00A04A78">
        <w:t>2011</w:t>
      </w:r>
      <w:r>
        <w:t>.</w:t>
      </w:r>
    </w:p>
    <w:p w:rsidR="007E2E9A" w:rsidRPr="00494755" w:rsidRDefault="007E2E9A" w:rsidP="007E2E9A">
      <w:r>
        <w:t xml:space="preserve">In sum, the four states </w:t>
      </w:r>
      <w:r w:rsidR="0067623D">
        <w:t xml:space="preserve">vary in </w:t>
      </w:r>
      <w:r>
        <w:t xml:space="preserve">geographic region, characteristics of their UI tax systems, STC </w:t>
      </w:r>
      <w:r w:rsidR="00693B97">
        <w:t>P</w:t>
      </w:r>
      <w:r>
        <w:t>rogram application rates</w:t>
      </w:r>
      <w:r w:rsidR="00693B97">
        <w:t>,</w:t>
      </w:r>
      <w:r>
        <w:t xml:space="preserve"> and STC plan approval requirements</w:t>
      </w:r>
      <w:r w:rsidR="0064445C">
        <w:t xml:space="preserve">. </w:t>
      </w:r>
      <w:r>
        <w:t xml:space="preserve">In addition, the </w:t>
      </w:r>
      <w:r w:rsidR="00693B97">
        <w:t xml:space="preserve">states’ </w:t>
      </w:r>
      <w:r>
        <w:t xml:space="preserve">data systems capture </w:t>
      </w:r>
      <w:r w:rsidR="007040C0">
        <w:t xml:space="preserve">the </w:t>
      </w:r>
      <w:r>
        <w:t>relevant information needed to draw the employer sample</w:t>
      </w:r>
      <w:r w:rsidR="0064445C">
        <w:t>.</w:t>
      </w:r>
    </w:p>
    <w:p w:rsidR="001965A1" w:rsidRDefault="0067623D" w:rsidP="00C73E43">
      <w:pPr>
        <w:pStyle w:val="Heading3"/>
      </w:pPr>
      <w:bookmarkStart w:id="18" w:name="_Toc348504214"/>
      <w:bookmarkStart w:id="19" w:name="_Toc348965103"/>
      <w:r>
        <w:lastRenderedPageBreak/>
        <w:t>b.</w:t>
      </w:r>
      <w:r>
        <w:tab/>
      </w:r>
      <w:bookmarkStart w:id="20" w:name="_Toc348455493"/>
      <w:r w:rsidR="009F6139" w:rsidRPr="00DD5CFC">
        <w:t>Employer Selection</w:t>
      </w:r>
      <w:bookmarkEnd w:id="18"/>
      <w:bookmarkEnd w:id="19"/>
      <w:bookmarkEnd w:id="20"/>
    </w:p>
    <w:p w:rsidR="009F6139" w:rsidRDefault="0067623D" w:rsidP="009F6139">
      <w:r>
        <w:t>To</w:t>
      </w:r>
      <w:r w:rsidR="009F6139" w:rsidRPr="00E13614">
        <w:t xml:space="preserve"> obtain meaningful answers t</w:t>
      </w:r>
      <w:r w:rsidR="00816920">
        <w:t>o the primary research questions</w:t>
      </w:r>
      <w:r w:rsidR="009F6139" w:rsidRPr="00E13614">
        <w:t xml:space="preserve">, we need to </w:t>
      </w:r>
      <w:r w:rsidR="009F6139">
        <w:t xml:space="preserve">identify and survey </w:t>
      </w:r>
      <w:r w:rsidR="00EA10EA">
        <w:t xml:space="preserve">both </w:t>
      </w:r>
      <w:r w:rsidR="009F6139" w:rsidRPr="00E13614">
        <w:t>STC and non-STC employers</w:t>
      </w:r>
      <w:r w:rsidR="00693B97">
        <w:t xml:space="preserve">. </w:t>
      </w:r>
      <w:r w:rsidR="005F59DA">
        <w:fldChar w:fldCharType="begin"/>
      </w:r>
      <w:r w:rsidR="00B83E03">
        <w:instrText xml:space="preserve"> REF _Ref340315022 \h </w:instrText>
      </w:r>
      <w:r w:rsidR="005F59DA">
        <w:fldChar w:fldCharType="separate"/>
      </w:r>
      <w:r w:rsidR="00DF170B">
        <w:t xml:space="preserve">Exhibit </w:t>
      </w:r>
      <w:r w:rsidR="00DF170B">
        <w:rPr>
          <w:noProof/>
        </w:rPr>
        <w:t>4</w:t>
      </w:r>
      <w:r w:rsidR="005F59DA">
        <w:fldChar w:fldCharType="end"/>
      </w:r>
      <w:r w:rsidR="00EA10EA">
        <w:t xml:space="preserve"> illustrates the different employers groups that will </w:t>
      </w:r>
      <w:r w:rsidR="00693B97">
        <w:t>receive</w:t>
      </w:r>
      <w:r w:rsidR="00EA10EA">
        <w:t xml:space="preserve"> the survey</w:t>
      </w:r>
      <w:r w:rsidR="00693B97">
        <w:t xml:space="preserve">. </w:t>
      </w:r>
      <w:r w:rsidR="009F6139" w:rsidRPr="003F4FA8">
        <w:t>As indicated in the exhibit, some employers apply to participate in STC while others do not</w:t>
      </w:r>
      <w:r w:rsidR="00693B97">
        <w:t xml:space="preserve">. </w:t>
      </w:r>
      <w:r w:rsidR="00720792" w:rsidRPr="003F4FA8">
        <w:t xml:space="preserve">Among employers who apply for the program, some </w:t>
      </w:r>
      <w:r w:rsidR="00720792">
        <w:t xml:space="preserve">receive </w:t>
      </w:r>
      <w:r w:rsidR="00720792" w:rsidRPr="003F4FA8">
        <w:t>approv</w:t>
      </w:r>
      <w:r w:rsidR="00720792">
        <w:t>al</w:t>
      </w:r>
      <w:r w:rsidR="00720792" w:rsidRPr="003F4FA8">
        <w:t xml:space="preserve"> while </w:t>
      </w:r>
      <w:r w:rsidR="00720792">
        <w:t xml:space="preserve">a small number of </w:t>
      </w:r>
      <w:r w:rsidR="00720792" w:rsidRPr="003F4FA8">
        <w:t>others may not</w:t>
      </w:r>
      <w:r w:rsidR="00720792" w:rsidRPr="00601522">
        <w:t>.</w:t>
      </w:r>
      <w:r w:rsidR="00720792" w:rsidRPr="00601522">
        <w:rPr>
          <w:rStyle w:val="FootnoteReference"/>
          <w:rFonts w:cs="Times New Roman"/>
          <w:color w:val="000000"/>
          <w:szCs w:val="24"/>
        </w:rPr>
        <w:footnoteReference w:id="7"/>
      </w:r>
      <w:r w:rsidR="00720792" w:rsidRPr="00601522">
        <w:t xml:space="preserve"> </w:t>
      </w:r>
      <w:r w:rsidR="00720792">
        <w:t xml:space="preserve">Among those who do not apply, some employers inquire about the state’s STC program while others do not. </w:t>
      </w:r>
      <w:r w:rsidR="009F6139">
        <w:t xml:space="preserve">The </w:t>
      </w:r>
      <w:r w:rsidR="009F6139" w:rsidRPr="00E13614">
        <w:t xml:space="preserve">four states </w:t>
      </w:r>
      <w:r w:rsidR="009F6139">
        <w:t xml:space="preserve">that we have selected have </w:t>
      </w:r>
      <w:r w:rsidR="009F6139" w:rsidRPr="00E13614">
        <w:t xml:space="preserve">adequate UI administrative data to identify employers </w:t>
      </w:r>
      <w:r w:rsidR="00693B97">
        <w:t xml:space="preserve">who </w:t>
      </w:r>
      <w:r w:rsidR="00997614">
        <w:t xml:space="preserve">apply and do not apply for STC and those employers that have approved and </w:t>
      </w:r>
      <w:r w:rsidR="00693B97">
        <w:t>dis</w:t>
      </w:r>
      <w:r w:rsidR="00997614">
        <w:t>approved plans</w:t>
      </w:r>
      <w:r w:rsidR="00693B97">
        <w:t xml:space="preserve">. </w:t>
      </w:r>
      <w:r w:rsidR="009F6139" w:rsidRPr="00DD1017">
        <w:t>We will survey employers in each of the four groups presented in</w:t>
      </w:r>
      <w:r w:rsidR="00C73E43">
        <w:t xml:space="preserve"> </w:t>
      </w:r>
      <w:r w:rsidR="006A5A4E">
        <w:fldChar w:fldCharType="begin"/>
      </w:r>
      <w:r w:rsidR="006A5A4E">
        <w:instrText xml:space="preserve"> REF  _Ref340315022 \* Lower \h  \* MERGEFORMAT </w:instrText>
      </w:r>
      <w:r w:rsidR="006A5A4E">
        <w:fldChar w:fldCharType="separate"/>
      </w:r>
      <w:r w:rsidR="00DF170B">
        <w:t>exhibit 4</w:t>
      </w:r>
      <w:r w:rsidR="006A5A4E">
        <w:fldChar w:fldCharType="end"/>
      </w:r>
      <w:r w:rsidR="009F6139" w:rsidRPr="00DD1017">
        <w:t>.</w:t>
      </w:r>
    </w:p>
    <w:p w:rsidR="009F6139" w:rsidRDefault="00B83E03" w:rsidP="003B6F6E">
      <w:pPr>
        <w:pStyle w:val="CaptionTitle"/>
        <w:spacing w:after="240"/>
      </w:pPr>
      <w:bookmarkStart w:id="21" w:name="_Ref340315022"/>
      <w:r>
        <w:t xml:space="preserve">Exhibit </w:t>
      </w:r>
      <w:r w:rsidR="005F59DA">
        <w:fldChar w:fldCharType="begin"/>
      </w:r>
      <w:r w:rsidR="00437EBD">
        <w:instrText xml:space="preserve"> SEQ Exhibit \* ARABIC </w:instrText>
      </w:r>
      <w:r w:rsidR="005F59DA">
        <w:fldChar w:fldCharType="separate"/>
      </w:r>
      <w:r w:rsidR="00DF170B">
        <w:rPr>
          <w:noProof/>
        </w:rPr>
        <w:t>4</w:t>
      </w:r>
      <w:r w:rsidR="005F59DA">
        <w:rPr>
          <w:noProof/>
        </w:rPr>
        <w:fldChar w:fldCharType="end"/>
      </w:r>
      <w:bookmarkEnd w:id="21"/>
      <w:r w:rsidR="009F6139">
        <w:t>: Employer Selection Process</w:t>
      </w:r>
    </w:p>
    <w:p w:rsidR="00134C1A" w:rsidRPr="00C73E43" w:rsidRDefault="00786C35" w:rsidP="0042176E">
      <w:pPr>
        <w:jc w:val="center"/>
      </w:pPr>
      <w:r>
        <w:object w:dxaOrig="5044" w:dyaOrig="2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6pt;height:184.15pt" o:ole="">
            <v:imagedata r:id="rId11" o:title=""/>
          </v:shape>
          <o:OLEObject Type="Embed" ProgID="Visio.Drawing.11" ShapeID="_x0000_i1025" DrawAspect="Content" ObjectID="_1458026154" r:id="rId12"/>
        </w:object>
      </w:r>
    </w:p>
    <w:p w:rsidR="009F6139" w:rsidRPr="0077205D" w:rsidRDefault="009F6139" w:rsidP="009F6139">
      <w:r w:rsidRPr="0077205D">
        <w:t>A relatively small number of employers have approved STC plans (</w:t>
      </w:r>
      <w:r w:rsidR="00DC038B">
        <w:t>G</w:t>
      </w:r>
      <w:r w:rsidRPr="0077205D">
        <w:t>roup 1)</w:t>
      </w:r>
      <w:r w:rsidR="00693B97">
        <w:t xml:space="preserve">. </w:t>
      </w:r>
      <w:r w:rsidRPr="0077205D">
        <w:t>Minnesota has roughly 65 currently active plans; Kansas has roughly 130 active plans</w:t>
      </w:r>
      <w:r w:rsidR="0005119B">
        <w:t>,</w:t>
      </w:r>
      <w:r w:rsidRPr="0077205D">
        <w:t xml:space="preserve"> of which around 50 percent of the employers are multi-plan employers; Rhode Island has roughly 200 active plans with roughly 80 percent of these being multi-plan employers; and Washington has roughly 1,400 currently active plans.</w:t>
      </w:r>
      <w:r w:rsidRPr="0077205D">
        <w:rPr>
          <w:rStyle w:val="FootnoteReference"/>
          <w:rFonts w:cs="Times New Roman"/>
          <w:color w:val="000000"/>
          <w:szCs w:val="24"/>
        </w:rPr>
        <w:footnoteReference w:id="8"/>
      </w:r>
      <w:r w:rsidRPr="0077205D">
        <w:t xml:space="preserve"> Given the relatively small number of employers in Groups 1, 2, and 3, we plan to survey all available employers in these groups.</w:t>
      </w:r>
    </w:p>
    <w:p w:rsidR="009F6139" w:rsidRDefault="009F6139" w:rsidP="009F6139">
      <w:r w:rsidRPr="0077205D">
        <w:t>Employers that do not inquire about the STC program (Group 4) will be randomly selected to reflect the distribution of industries of employers in the state with STC approved plans</w:t>
      </w:r>
      <w:r w:rsidR="00693B97">
        <w:t xml:space="preserve">. </w:t>
      </w:r>
      <w:r w:rsidRPr="00520286">
        <w:t>Stratifying by industry will help balance the sample and prevent over</w:t>
      </w:r>
      <w:r w:rsidR="00693B97" w:rsidRPr="00520286">
        <w:t xml:space="preserve"> </w:t>
      </w:r>
      <w:r w:rsidRPr="00520286">
        <w:t xml:space="preserve">representation by employers </w:t>
      </w:r>
      <w:r w:rsidR="00693B97" w:rsidRPr="00520286">
        <w:t xml:space="preserve">who </w:t>
      </w:r>
      <w:r w:rsidRPr="00520286">
        <w:t>may</w:t>
      </w:r>
      <w:r w:rsidR="00C73A74" w:rsidRPr="00520286">
        <w:t xml:space="preserve"> not be suitable for using STC.</w:t>
      </w:r>
      <w:r w:rsidR="00CC1957">
        <w:t xml:space="preserve">  Suitable strata will be determined once we have obtained the STC administrative data and can identify the prevalent industries and </w:t>
      </w:r>
      <w:r w:rsidR="00CC1957">
        <w:lastRenderedPageBreak/>
        <w:t>characteristics of employers with an approved STC plan (Group 1).</w:t>
      </w:r>
      <w:r w:rsidR="007B09D8">
        <w:t xml:space="preserve">  </w:t>
      </w:r>
      <w:r w:rsidR="00316A1C">
        <w:t xml:space="preserve">No more </w:t>
      </w:r>
      <w:r w:rsidR="00092D71">
        <w:t>than</w:t>
      </w:r>
      <w:r w:rsidR="00316A1C">
        <w:t xml:space="preserve"> </w:t>
      </w:r>
      <w:r w:rsidR="00FB126A">
        <w:t>10</w:t>
      </w:r>
      <w:r w:rsidR="00316A1C">
        <w:t xml:space="preserve"> strata will be used.  The states will be providing employer NAICS codes at the 5 digit level. We will use the </w:t>
      </w:r>
      <w:r w:rsidR="00C86806">
        <w:t xml:space="preserve">two digit </w:t>
      </w:r>
      <w:r w:rsidR="00316A1C">
        <w:t xml:space="preserve">NAICS when performing the stratification.  We expect manufacturing, real estate and retail to be the most prevalent industries using the STC program. IMPAQ expects to have received all of the </w:t>
      </w:r>
      <w:proofErr w:type="spellStart"/>
      <w:r w:rsidR="00316A1C">
        <w:t>states</w:t>
      </w:r>
      <w:proofErr w:type="spellEnd"/>
      <w:r w:rsidR="00316A1C">
        <w:t xml:space="preserve"> administrative data by the end of second quarter 2014.</w:t>
      </w:r>
    </w:p>
    <w:p w:rsidR="00693B97" w:rsidRDefault="006A5A4E" w:rsidP="007B41BC">
      <w:r>
        <w:fldChar w:fldCharType="begin"/>
      </w:r>
      <w:r>
        <w:instrText xml:space="preserve"> REF _Ref344120321 \h  \* MERGEFORMAT </w:instrText>
      </w:r>
      <w:r>
        <w:fldChar w:fldCharType="separate"/>
      </w:r>
      <w:r w:rsidR="00DF170B">
        <w:t>Exhibit 5</w:t>
      </w:r>
      <w:r>
        <w:fldChar w:fldCharType="end"/>
      </w:r>
      <w:r w:rsidR="007B41BC" w:rsidRPr="0077205D">
        <w:t xml:space="preserve"> summarizes the sampling strategy in each state for the four employer groups identified above</w:t>
      </w:r>
      <w:r w:rsidR="00693B97">
        <w:t xml:space="preserve">. </w:t>
      </w:r>
      <w:r w:rsidR="007B41BC" w:rsidRPr="0077205D">
        <w:t xml:space="preserve">We will attempt to survey </w:t>
      </w:r>
      <w:r w:rsidR="00D31F08">
        <w:t xml:space="preserve">nearly </w:t>
      </w:r>
      <w:r w:rsidR="00486BFD">
        <w:t>4,000</w:t>
      </w:r>
      <w:r w:rsidR="007B41BC" w:rsidRPr="0077205D">
        <w:t xml:space="preserve"> employers</w:t>
      </w:r>
      <w:r w:rsidR="00693B97">
        <w:t xml:space="preserve">. </w:t>
      </w:r>
      <w:r w:rsidR="00FE0584">
        <w:t>A</w:t>
      </w:r>
      <w:r w:rsidR="007B41BC" w:rsidRPr="0077205D">
        <w:t>n expected response rate of 80 percen</w:t>
      </w:r>
      <w:r w:rsidR="007B41BC">
        <w:t xml:space="preserve">t will mean </w:t>
      </w:r>
      <w:r w:rsidR="00750752">
        <w:t>3,2</w:t>
      </w:r>
      <w:r w:rsidR="007B41BC">
        <w:t>00 unique employers completed the survey.</w:t>
      </w:r>
      <w:r w:rsidR="007B41BC">
        <w:rPr>
          <w:rStyle w:val="FootnoteReference"/>
        </w:rPr>
        <w:footnoteReference w:id="9"/>
      </w:r>
      <w:r w:rsidR="00042532">
        <w:t xml:space="preserve">  While the survey is in the field IMPAQ will monitor the response rate daily. In the event the response rate appears to be drastically lower </w:t>
      </w:r>
      <w:r w:rsidR="00275A09">
        <w:t>than</w:t>
      </w:r>
      <w:r w:rsidR="00042532">
        <w:t xml:space="preserve"> 80 percent, IMPAQ will explore options for achieving a higher response rate.  Th</w:t>
      </w:r>
      <w:r w:rsidR="00275A09">
        <w:t>e</w:t>
      </w:r>
      <w:r w:rsidR="00042532">
        <w:t>s</w:t>
      </w:r>
      <w:r w:rsidR="00275A09">
        <w:t>e</w:t>
      </w:r>
      <w:r w:rsidR="00042532">
        <w:t xml:space="preserve"> options may include either extending the period that the survey is in the field, performing additional outreach to employers that have not responded or expanding the sampling frame.  Any such decision will be made in consultation with USDOL and the federal project </w:t>
      </w:r>
      <w:proofErr w:type="gramStart"/>
      <w:r w:rsidR="00042532">
        <w:t>officer</w:t>
      </w:r>
      <w:proofErr w:type="gramEnd"/>
      <w:r w:rsidR="00042532">
        <w:t>.</w:t>
      </w:r>
    </w:p>
    <w:p w:rsidR="007B41BC" w:rsidRDefault="007B41BC" w:rsidP="00084C87">
      <w:pPr>
        <w:pStyle w:val="CaptionTitle"/>
        <w:keepLines/>
      </w:pPr>
      <w:bookmarkStart w:id="22" w:name="_Ref344120321"/>
      <w:r>
        <w:t xml:space="preserve">Exhibit </w:t>
      </w:r>
      <w:r w:rsidR="005F59DA">
        <w:fldChar w:fldCharType="begin"/>
      </w:r>
      <w:r w:rsidR="00437EBD">
        <w:instrText xml:space="preserve"> SEQ Exhibit \* ARABIC </w:instrText>
      </w:r>
      <w:r w:rsidR="005F59DA">
        <w:fldChar w:fldCharType="separate"/>
      </w:r>
      <w:r w:rsidR="00DF170B">
        <w:rPr>
          <w:noProof/>
        </w:rPr>
        <w:t>5</w:t>
      </w:r>
      <w:r w:rsidR="005F59DA">
        <w:rPr>
          <w:noProof/>
        </w:rPr>
        <w:fldChar w:fldCharType="end"/>
      </w:r>
      <w:bookmarkEnd w:id="22"/>
      <w:r>
        <w:t>: Sampling Strategy by State</w:t>
      </w:r>
    </w:p>
    <w:tbl>
      <w:tblPr>
        <w:tblW w:w="4944" w:type="pct"/>
        <w:tblInd w:w="108" w:type="dxa"/>
        <w:tblLook w:val="04A0" w:firstRow="1" w:lastRow="0" w:firstColumn="1" w:lastColumn="0" w:noHBand="0" w:noVBand="1"/>
      </w:tblPr>
      <w:tblGrid>
        <w:gridCol w:w="1080"/>
        <w:gridCol w:w="1769"/>
        <w:gridCol w:w="1655"/>
        <w:gridCol w:w="1655"/>
        <w:gridCol w:w="1655"/>
        <w:gridCol w:w="1655"/>
      </w:tblGrid>
      <w:tr w:rsidR="00B353CF" w:rsidRPr="00AA2161" w:rsidTr="00612F70">
        <w:trPr>
          <w:cantSplit/>
          <w:trHeight w:val="251"/>
        </w:trPr>
        <w:tc>
          <w:tcPr>
            <w:tcW w:w="1504" w:type="pct"/>
            <w:gridSpan w:val="2"/>
            <w:vMerge w:val="restart"/>
            <w:tcBorders>
              <w:top w:val="single" w:sz="4" w:space="0" w:color="auto"/>
              <w:left w:val="single" w:sz="4" w:space="0" w:color="auto"/>
              <w:bottom w:val="single" w:sz="4" w:space="0" w:color="000000"/>
              <w:right w:val="single" w:sz="4" w:space="0" w:color="000000"/>
            </w:tcBorders>
            <w:shd w:val="clear" w:color="000000" w:fill="660000"/>
            <w:vAlign w:val="center"/>
            <w:hideMark/>
          </w:tcPr>
          <w:p w:rsidR="007B41BC" w:rsidRPr="00AA2161" w:rsidRDefault="007B41BC" w:rsidP="000546AD">
            <w:pPr>
              <w:keepNext/>
              <w:keepLines/>
              <w:spacing w:before="120" w:after="120"/>
              <w:jc w:val="center"/>
              <w:rPr>
                <w:rFonts w:eastAsia="Times New Roman"/>
                <w:b/>
                <w:bCs/>
                <w:color w:val="FFFFFF"/>
                <w:sz w:val="20"/>
                <w:szCs w:val="20"/>
              </w:rPr>
            </w:pPr>
            <w:r w:rsidRPr="00AA2161">
              <w:rPr>
                <w:rFonts w:eastAsia="Times New Roman"/>
                <w:b/>
                <w:bCs/>
                <w:color w:val="FFFFFF"/>
                <w:sz w:val="20"/>
                <w:szCs w:val="20"/>
              </w:rPr>
              <w:t>Employer Group</w:t>
            </w:r>
          </w:p>
        </w:tc>
        <w:tc>
          <w:tcPr>
            <w:tcW w:w="3496" w:type="pct"/>
            <w:gridSpan w:val="4"/>
            <w:tcBorders>
              <w:top w:val="single" w:sz="4" w:space="0" w:color="auto"/>
              <w:left w:val="nil"/>
              <w:bottom w:val="single" w:sz="4" w:space="0" w:color="auto"/>
              <w:right w:val="single" w:sz="4" w:space="0" w:color="auto"/>
            </w:tcBorders>
            <w:shd w:val="clear" w:color="000000" w:fill="660000"/>
            <w:vAlign w:val="center"/>
            <w:hideMark/>
          </w:tcPr>
          <w:p w:rsidR="007B41BC" w:rsidRPr="00AA2161" w:rsidRDefault="0031222C" w:rsidP="0031222C">
            <w:pPr>
              <w:keepNext/>
              <w:keepLines/>
              <w:spacing w:before="120" w:after="120"/>
              <w:jc w:val="center"/>
              <w:rPr>
                <w:rFonts w:eastAsia="Times New Roman"/>
                <w:b/>
                <w:bCs/>
                <w:color w:val="FFFFFF"/>
                <w:sz w:val="20"/>
                <w:szCs w:val="20"/>
              </w:rPr>
            </w:pPr>
            <w:r>
              <w:rPr>
                <w:rFonts w:eastAsia="Times New Roman"/>
                <w:b/>
                <w:bCs/>
                <w:color w:val="FFFFFF"/>
                <w:sz w:val="20"/>
                <w:szCs w:val="20"/>
              </w:rPr>
              <w:t xml:space="preserve">Study </w:t>
            </w:r>
            <w:r w:rsidR="007B41BC" w:rsidRPr="00AA2161">
              <w:rPr>
                <w:rFonts w:eastAsia="Times New Roman"/>
                <w:b/>
                <w:bCs/>
                <w:color w:val="FFFFFF"/>
                <w:sz w:val="20"/>
                <w:szCs w:val="20"/>
              </w:rPr>
              <w:t>State</w:t>
            </w:r>
          </w:p>
        </w:tc>
      </w:tr>
      <w:tr w:rsidR="00B353CF" w:rsidRPr="00AA2161" w:rsidTr="00612F70">
        <w:trPr>
          <w:cantSplit/>
          <w:trHeight w:val="170"/>
        </w:trPr>
        <w:tc>
          <w:tcPr>
            <w:tcW w:w="1504" w:type="pct"/>
            <w:gridSpan w:val="2"/>
            <w:vMerge/>
            <w:tcBorders>
              <w:top w:val="single" w:sz="4" w:space="0" w:color="auto"/>
              <w:left w:val="single" w:sz="4" w:space="0" w:color="auto"/>
              <w:bottom w:val="single" w:sz="4" w:space="0" w:color="000000"/>
              <w:right w:val="single" w:sz="4" w:space="0" w:color="000000"/>
            </w:tcBorders>
            <w:vAlign w:val="center"/>
            <w:hideMark/>
          </w:tcPr>
          <w:p w:rsidR="007B41BC" w:rsidRPr="00AA2161" w:rsidRDefault="007B41BC" w:rsidP="000546AD">
            <w:pPr>
              <w:keepNext/>
              <w:keepLines/>
              <w:spacing w:before="120" w:after="120"/>
              <w:rPr>
                <w:rFonts w:eastAsia="Times New Roman"/>
                <w:b/>
                <w:bCs/>
                <w:color w:val="FFFFFF"/>
                <w:sz w:val="20"/>
                <w:szCs w:val="20"/>
              </w:rPr>
            </w:pPr>
          </w:p>
        </w:tc>
        <w:tc>
          <w:tcPr>
            <w:tcW w:w="874" w:type="pct"/>
            <w:tcBorders>
              <w:top w:val="nil"/>
              <w:left w:val="nil"/>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center"/>
              <w:rPr>
                <w:b/>
                <w:sz w:val="20"/>
              </w:rPr>
            </w:pPr>
            <w:r w:rsidRPr="00C73E43">
              <w:rPr>
                <w:b/>
                <w:sz w:val="20"/>
              </w:rPr>
              <w:t>Kansas</w:t>
            </w:r>
          </w:p>
        </w:tc>
        <w:tc>
          <w:tcPr>
            <w:tcW w:w="874" w:type="pct"/>
            <w:tcBorders>
              <w:top w:val="nil"/>
              <w:left w:val="nil"/>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center"/>
              <w:rPr>
                <w:b/>
                <w:sz w:val="20"/>
              </w:rPr>
            </w:pPr>
            <w:r w:rsidRPr="00C73E43">
              <w:rPr>
                <w:b/>
                <w:sz w:val="20"/>
              </w:rPr>
              <w:t>Minnesota</w:t>
            </w:r>
          </w:p>
        </w:tc>
        <w:tc>
          <w:tcPr>
            <w:tcW w:w="874" w:type="pct"/>
            <w:tcBorders>
              <w:top w:val="nil"/>
              <w:left w:val="nil"/>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center"/>
              <w:rPr>
                <w:b/>
                <w:sz w:val="20"/>
              </w:rPr>
            </w:pPr>
            <w:r w:rsidRPr="00C73E43">
              <w:rPr>
                <w:b/>
                <w:sz w:val="20"/>
              </w:rPr>
              <w:t>Rhode Island</w:t>
            </w:r>
          </w:p>
        </w:tc>
        <w:tc>
          <w:tcPr>
            <w:tcW w:w="874" w:type="pct"/>
            <w:tcBorders>
              <w:top w:val="nil"/>
              <w:left w:val="nil"/>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center"/>
              <w:rPr>
                <w:b/>
                <w:sz w:val="20"/>
              </w:rPr>
            </w:pPr>
            <w:r w:rsidRPr="00C73E43">
              <w:rPr>
                <w:b/>
                <w:sz w:val="20"/>
              </w:rPr>
              <w:t>Washington</w:t>
            </w:r>
          </w:p>
        </w:tc>
      </w:tr>
      <w:tr w:rsidR="00B353CF" w:rsidRPr="00AA2161" w:rsidTr="00C71E7F">
        <w:trPr>
          <w:cantSplit/>
          <w:trHeight w:val="448"/>
        </w:trPr>
        <w:tc>
          <w:tcPr>
            <w:tcW w:w="570" w:type="pct"/>
            <w:tcBorders>
              <w:top w:val="nil"/>
              <w:left w:val="single" w:sz="4" w:space="0" w:color="auto"/>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center"/>
              <w:rPr>
                <w:b/>
                <w:sz w:val="20"/>
              </w:rPr>
            </w:pPr>
            <w:r w:rsidRPr="00C73E43">
              <w:rPr>
                <w:b/>
                <w:sz w:val="20"/>
              </w:rPr>
              <w:t>Group 1</w:t>
            </w:r>
          </w:p>
        </w:tc>
        <w:tc>
          <w:tcPr>
            <w:tcW w:w="934" w:type="pct"/>
            <w:tcBorders>
              <w:top w:val="nil"/>
              <w:left w:val="nil"/>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left"/>
              <w:rPr>
                <w:sz w:val="20"/>
              </w:rPr>
            </w:pPr>
            <w:r w:rsidRPr="00C73E43">
              <w:rPr>
                <w:sz w:val="20"/>
              </w:rPr>
              <w:t>STC</w:t>
            </w:r>
            <w:r w:rsidR="00FE0584" w:rsidRPr="00C73E43">
              <w:rPr>
                <w:sz w:val="20"/>
              </w:rPr>
              <w:t xml:space="preserve"> plan app</w:t>
            </w:r>
            <w:r w:rsidRPr="00C73E43">
              <w:rPr>
                <w:sz w:val="20"/>
              </w:rPr>
              <w:t>roved</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r>
      <w:tr w:rsidR="00B353CF" w:rsidRPr="00AA2161" w:rsidTr="00C71E7F">
        <w:trPr>
          <w:cantSplit/>
          <w:trHeight w:val="448"/>
        </w:trPr>
        <w:tc>
          <w:tcPr>
            <w:tcW w:w="570" w:type="pct"/>
            <w:tcBorders>
              <w:top w:val="nil"/>
              <w:left w:val="single" w:sz="4" w:space="0" w:color="auto"/>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center"/>
              <w:rPr>
                <w:b/>
                <w:sz w:val="20"/>
              </w:rPr>
            </w:pPr>
            <w:r w:rsidRPr="00C73E43">
              <w:rPr>
                <w:b/>
                <w:sz w:val="20"/>
              </w:rPr>
              <w:t>Group 2</w:t>
            </w:r>
          </w:p>
        </w:tc>
        <w:tc>
          <w:tcPr>
            <w:tcW w:w="934" w:type="pct"/>
            <w:tcBorders>
              <w:top w:val="nil"/>
              <w:left w:val="nil"/>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left"/>
              <w:rPr>
                <w:sz w:val="20"/>
              </w:rPr>
            </w:pPr>
            <w:r w:rsidRPr="00C73E43">
              <w:rPr>
                <w:sz w:val="20"/>
              </w:rPr>
              <w:t>STC</w:t>
            </w:r>
            <w:r w:rsidR="00FE0584" w:rsidRPr="00C73E43">
              <w:rPr>
                <w:sz w:val="20"/>
              </w:rPr>
              <w:t xml:space="preserve"> plan not approve</w:t>
            </w:r>
            <w:r w:rsidRPr="00C73E43">
              <w:rPr>
                <w:sz w:val="20"/>
              </w:rPr>
              <w:t>d</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r>
      <w:tr w:rsidR="00B353CF" w:rsidRPr="00AA2161" w:rsidTr="00C71E7F">
        <w:trPr>
          <w:cantSplit/>
          <w:trHeight w:val="448"/>
        </w:trPr>
        <w:tc>
          <w:tcPr>
            <w:tcW w:w="570" w:type="pct"/>
            <w:tcBorders>
              <w:top w:val="nil"/>
              <w:left w:val="single" w:sz="4" w:space="0" w:color="auto"/>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center"/>
              <w:rPr>
                <w:b/>
                <w:sz w:val="20"/>
              </w:rPr>
            </w:pPr>
            <w:r w:rsidRPr="00C73E43">
              <w:rPr>
                <w:b/>
                <w:sz w:val="20"/>
              </w:rPr>
              <w:t>Group 3</w:t>
            </w:r>
          </w:p>
        </w:tc>
        <w:tc>
          <w:tcPr>
            <w:tcW w:w="934" w:type="pct"/>
            <w:tcBorders>
              <w:top w:val="nil"/>
              <w:left w:val="nil"/>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left"/>
              <w:rPr>
                <w:sz w:val="20"/>
              </w:rPr>
            </w:pPr>
            <w:r w:rsidRPr="00C73E43">
              <w:rPr>
                <w:sz w:val="20"/>
              </w:rPr>
              <w:t xml:space="preserve">Inquired </w:t>
            </w:r>
            <w:r w:rsidR="00FE0584">
              <w:rPr>
                <w:sz w:val="20"/>
              </w:rPr>
              <w:t>a</w:t>
            </w:r>
            <w:r w:rsidRPr="00C73E43">
              <w:rPr>
                <w:sz w:val="20"/>
              </w:rPr>
              <w:t>bout STC</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Census</w:t>
            </w:r>
          </w:p>
        </w:tc>
      </w:tr>
      <w:tr w:rsidR="00B353CF" w:rsidRPr="00AA2161" w:rsidTr="00C71E7F">
        <w:trPr>
          <w:cantSplit/>
          <w:trHeight w:val="611"/>
        </w:trPr>
        <w:tc>
          <w:tcPr>
            <w:tcW w:w="570" w:type="pct"/>
            <w:tcBorders>
              <w:top w:val="nil"/>
              <w:left w:val="single" w:sz="4" w:space="0" w:color="auto"/>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center"/>
              <w:rPr>
                <w:b/>
                <w:sz w:val="20"/>
              </w:rPr>
            </w:pPr>
            <w:r w:rsidRPr="00C73E43">
              <w:rPr>
                <w:b/>
                <w:sz w:val="20"/>
              </w:rPr>
              <w:t>Group 4</w:t>
            </w:r>
          </w:p>
        </w:tc>
        <w:tc>
          <w:tcPr>
            <w:tcW w:w="934" w:type="pct"/>
            <w:tcBorders>
              <w:top w:val="nil"/>
              <w:left w:val="nil"/>
              <w:bottom w:val="single" w:sz="4" w:space="0" w:color="auto"/>
              <w:right w:val="single" w:sz="4" w:space="0" w:color="auto"/>
            </w:tcBorders>
            <w:shd w:val="clear" w:color="auto" w:fill="auto"/>
            <w:vAlign w:val="center"/>
            <w:hideMark/>
          </w:tcPr>
          <w:p w:rsidR="007B41BC" w:rsidRPr="00C73E43" w:rsidRDefault="007B41BC" w:rsidP="000546AD">
            <w:pPr>
              <w:keepNext/>
              <w:keepLines/>
              <w:spacing w:before="120" w:after="120"/>
              <w:jc w:val="left"/>
              <w:rPr>
                <w:sz w:val="20"/>
              </w:rPr>
            </w:pPr>
            <w:r w:rsidRPr="00C73E43">
              <w:rPr>
                <w:sz w:val="20"/>
              </w:rPr>
              <w:t>Did</w:t>
            </w:r>
            <w:r w:rsidR="00FE0584" w:rsidRPr="00C73E43">
              <w:rPr>
                <w:sz w:val="20"/>
              </w:rPr>
              <w:t xml:space="preserve"> not inquire abo</w:t>
            </w:r>
            <w:r w:rsidRPr="00C73E43">
              <w:rPr>
                <w:sz w:val="20"/>
              </w:rPr>
              <w:t>ut STC</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Stratified Random Sample</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Stratified Random Sample</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Stratified Random Sample</w:t>
            </w:r>
          </w:p>
        </w:tc>
        <w:tc>
          <w:tcPr>
            <w:tcW w:w="874" w:type="pct"/>
            <w:tcBorders>
              <w:top w:val="nil"/>
              <w:left w:val="nil"/>
              <w:bottom w:val="single" w:sz="4" w:space="0" w:color="auto"/>
              <w:right w:val="single" w:sz="4" w:space="0" w:color="auto"/>
            </w:tcBorders>
            <w:shd w:val="clear" w:color="auto" w:fill="auto"/>
            <w:vAlign w:val="center"/>
            <w:hideMark/>
          </w:tcPr>
          <w:p w:rsidR="007B41BC" w:rsidRPr="00AA2161" w:rsidRDefault="007B41BC" w:rsidP="000546AD">
            <w:pPr>
              <w:keepNext/>
              <w:keepLines/>
              <w:spacing w:before="120" w:after="120"/>
              <w:jc w:val="center"/>
              <w:rPr>
                <w:rFonts w:eastAsia="Times New Roman"/>
                <w:color w:val="000000"/>
                <w:sz w:val="20"/>
                <w:szCs w:val="20"/>
              </w:rPr>
            </w:pPr>
            <w:r w:rsidRPr="00AA2161">
              <w:rPr>
                <w:rFonts w:eastAsia="Times New Roman"/>
                <w:color w:val="000000"/>
                <w:sz w:val="20"/>
                <w:szCs w:val="20"/>
              </w:rPr>
              <w:t>Stratified Random Sample</w:t>
            </w:r>
          </w:p>
        </w:tc>
      </w:tr>
    </w:tbl>
    <w:p w:rsidR="007B41BC" w:rsidRDefault="007B41BC" w:rsidP="00EB1C29">
      <w:pPr>
        <w:keepNext/>
        <w:keepLines/>
        <w:spacing w:after="0"/>
      </w:pPr>
    </w:p>
    <w:p w:rsidR="00EA4B0E" w:rsidRPr="004C4E1C" w:rsidRDefault="00EA4B0E" w:rsidP="00612F70">
      <w:pPr>
        <w:rPr>
          <w:rFonts w:eastAsia="Calibri"/>
        </w:rPr>
      </w:pPr>
      <w:bookmarkStart w:id="23" w:name="_Ref350862637"/>
      <w:r w:rsidRPr="004C4E1C">
        <w:rPr>
          <w:rFonts w:eastAsia="Calibri"/>
        </w:rPr>
        <w:t xml:space="preserve">IMPAQ will </w:t>
      </w:r>
      <w:r>
        <w:rPr>
          <w:rFonts w:eastAsia="Calibri"/>
        </w:rPr>
        <w:t xml:space="preserve">select the interview </w:t>
      </w:r>
      <w:r w:rsidRPr="004C4E1C">
        <w:rPr>
          <w:rFonts w:eastAsia="Calibri"/>
        </w:rPr>
        <w:t xml:space="preserve">sample from </w:t>
      </w:r>
      <w:r>
        <w:rPr>
          <w:rFonts w:eastAsia="Calibri"/>
        </w:rPr>
        <w:t xml:space="preserve">the universe of </w:t>
      </w:r>
      <w:r w:rsidRPr="004C4E1C">
        <w:rPr>
          <w:rFonts w:eastAsia="Calibri"/>
        </w:rPr>
        <w:t xml:space="preserve">employers who are subject to paying UI taxes </w:t>
      </w:r>
      <w:r>
        <w:rPr>
          <w:rFonts w:eastAsia="Calibri"/>
        </w:rPr>
        <w:t xml:space="preserve">(subject employers) </w:t>
      </w:r>
      <w:r w:rsidRPr="004C4E1C">
        <w:rPr>
          <w:rFonts w:eastAsia="Calibri"/>
        </w:rPr>
        <w:t>in each of the four states during the reference years. The average number of subject employers between 2009 and 2011 in Kansas was 70,600</w:t>
      </w:r>
      <w:r>
        <w:rPr>
          <w:rFonts w:eastAsia="Calibri"/>
        </w:rPr>
        <w:t>;</w:t>
      </w:r>
      <w:r w:rsidRPr="004C4E1C">
        <w:rPr>
          <w:rFonts w:eastAsia="Calibri"/>
        </w:rPr>
        <w:t xml:space="preserve"> </w:t>
      </w:r>
      <w:r>
        <w:rPr>
          <w:rFonts w:eastAsia="Calibri"/>
        </w:rPr>
        <w:t>i</w:t>
      </w:r>
      <w:r w:rsidRPr="004C4E1C">
        <w:rPr>
          <w:rFonts w:eastAsia="Calibri"/>
        </w:rPr>
        <w:t>n Minnesota, the average was 132,300</w:t>
      </w:r>
      <w:r>
        <w:rPr>
          <w:rFonts w:eastAsia="Calibri"/>
        </w:rPr>
        <w:t>; i</w:t>
      </w:r>
      <w:r w:rsidRPr="004C4E1C">
        <w:rPr>
          <w:rFonts w:eastAsia="Calibri"/>
        </w:rPr>
        <w:t>n Rhode Island, the average was 33,000</w:t>
      </w:r>
      <w:r>
        <w:rPr>
          <w:rFonts w:eastAsia="Calibri"/>
        </w:rPr>
        <w:t xml:space="preserve">; and </w:t>
      </w:r>
      <w:r w:rsidRPr="004C4E1C">
        <w:rPr>
          <w:rFonts w:eastAsia="Calibri"/>
        </w:rPr>
        <w:t>in Washington</w:t>
      </w:r>
      <w:r>
        <w:rPr>
          <w:rFonts w:eastAsia="Calibri"/>
        </w:rPr>
        <w:t>,</w:t>
      </w:r>
      <w:r w:rsidRPr="004C4E1C">
        <w:rPr>
          <w:rFonts w:eastAsia="Calibri"/>
        </w:rPr>
        <w:t xml:space="preserve"> th</w:t>
      </w:r>
      <w:r>
        <w:rPr>
          <w:rFonts w:eastAsia="Calibri"/>
        </w:rPr>
        <w:t>e</w:t>
      </w:r>
      <w:r w:rsidRPr="004C4E1C">
        <w:rPr>
          <w:rFonts w:eastAsia="Calibri"/>
        </w:rPr>
        <w:t xml:space="preserve"> av</w:t>
      </w:r>
      <w:r>
        <w:rPr>
          <w:rFonts w:eastAsia="Calibri"/>
        </w:rPr>
        <w:t>erage was 208,000.</w:t>
      </w:r>
    </w:p>
    <w:p w:rsidR="00EA4B0E" w:rsidRDefault="005F59DA" w:rsidP="00612F70">
      <w:pPr>
        <w:rPr>
          <w:rFonts w:eastAsia="Calibri"/>
        </w:rPr>
      </w:pPr>
      <w:r>
        <w:fldChar w:fldCharType="begin"/>
      </w:r>
      <w:r w:rsidR="00D71732">
        <w:instrText xml:space="preserve"> REF _Ref355000605 \h </w:instrText>
      </w:r>
      <w:r>
        <w:fldChar w:fldCharType="separate"/>
      </w:r>
      <w:r w:rsidR="00DF170B">
        <w:t xml:space="preserve">Exhibit </w:t>
      </w:r>
      <w:r w:rsidR="00DF170B">
        <w:rPr>
          <w:noProof/>
        </w:rPr>
        <w:t>6</w:t>
      </w:r>
      <w:r>
        <w:fldChar w:fldCharType="end"/>
      </w:r>
      <w:r w:rsidR="00EA4B0E" w:rsidRPr="004C4E1C">
        <w:rPr>
          <w:rFonts w:eastAsia="Calibri"/>
        </w:rPr>
        <w:t xml:space="preserve"> presents estimates of the number of employers in </w:t>
      </w:r>
      <w:r w:rsidR="00EA4B0E">
        <w:rPr>
          <w:rFonts w:eastAsia="Calibri"/>
        </w:rPr>
        <w:t xml:space="preserve">each </w:t>
      </w:r>
      <w:r w:rsidR="00B97776">
        <w:rPr>
          <w:rFonts w:eastAsia="Calibri"/>
        </w:rPr>
        <w:t>of the employer groups.</w:t>
      </w:r>
      <w:r w:rsidR="00EA4B0E" w:rsidRPr="004C4E1C">
        <w:rPr>
          <w:rFonts w:eastAsia="Calibri"/>
        </w:rPr>
        <w:t xml:space="preserve"> </w:t>
      </w:r>
      <w:r w:rsidR="00EA4B0E">
        <w:rPr>
          <w:rFonts w:eastAsia="Calibri"/>
        </w:rPr>
        <w:t xml:space="preserve">For groups 1 through 3, we will interview all the </w:t>
      </w:r>
      <w:r w:rsidR="00EA4B0E" w:rsidRPr="004C4E1C">
        <w:rPr>
          <w:rFonts w:eastAsia="Calibri"/>
        </w:rPr>
        <w:t xml:space="preserve">employers in </w:t>
      </w:r>
      <w:r w:rsidR="00B97776">
        <w:rPr>
          <w:rFonts w:eastAsia="Calibri"/>
        </w:rPr>
        <w:t xml:space="preserve">the group. </w:t>
      </w:r>
      <w:r w:rsidR="00EA4B0E">
        <w:rPr>
          <w:rFonts w:eastAsia="Calibri"/>
        </w:rPr>
        <w:t xml:space="preserve">We will then select a sample of employers in group 4 equal to the total number of employers in groups </w:t>
      </w:r>
      <w:r w:rsidR="00EA4B0E" w:rsidRPr="004C4E1C">
        <w:rPr>
          <w:rFonts w:eastAsia="Calibri"/>
        </w:rPr>
        <w:t>1 through 3</w:t>
      </w:r>
      <w:r w:rsidR="00B97776">
        <w:rPr>
          <w:rFonts w:eastAsia="Calibri"/>
        </w:rPr>
        <w:t>.</w:t>
      </w:r>
      <w:r w:rsidR="00EA4B0E">
        <w:rPr>
          <w:rFonts w:eastAsia="Calibri"/>
        </w:rPr>
        <w:t xml:space="preserve"> For example, in Kansas</w:t>
      </w:r>
      <w:r w:rsidR="00EA4B0E" w:rsidRPr="004C4E1C">
        <w:rPr>
          <w:rFonts w:eastAsia="Calibri"/>
        </w:rPr>
        <w:t xml:space="preserve">, </w:t>
      </w:r>
      <w:r w:rsidR="00EA4B0E">
        <w:rPr>
          <w:rFonts w:eastAsia="Calibri"/>
        </w:rPr>
        <w:t>based on information received, we estimate that there will be 158</w:t>
      </w:r>
      <w:r w:rsidR="00EA4B0E" w:rsidRPr="004C4E1C">
        <w:rPr>
          <w:rFonts w:eastAsia="Calibri"/>
        </w:rPr>
        <w:t xml:space="preserve"> </w:t>
      </w:r>
      <w:r w:rsidR="00EA4B0E" w:rsidRPr="004C4E1C">
        <w:rPr>
          <w:rFonts w:eastAsia="Calibri"/>
        </w:rPr>
        <w:lastRenderedPageBreak/>
        <w:t>unique employers with approved STC plans</w:t>
      </w:r>
      <w:r w:rsidR="00B97776">
        <w:rPr>
          <w:rFonts w:eastAsia="Calibri"/>
        </w:rPr>
        <w:t xml:space="preserve"> </w:t>
      </w:r>
      <w:r w:rsidR="00BE6CC1">
        <w:rPr>
          <w:rFonts w:eastAsia="Calibri"/>
        </w:rPr>
        <w:t>from the years 2009 through 2011</w:t>
      </w:r>
      <w:r w:rsidR="00B97776">
        <w:rPr>
          <w:rFonts w:eastAsia="Calibri"/>
        </w:rPr>
        <w:t>.</w:t>
      </w:r>
      <w:r w:rsidR="00EA4B0E">
        <w:rPr>
          <w:rFonts w:eastAsia="Calibri"/>
        </w:rPr>
        <w:t xml:space="preserve"> Furthermore</w:t>
      </w:r>
      <w:r w:rsidR="00EA4B0E" w:rsidRPr="004C4E1C">
        <w:rPr>
          <w:rFonts w:eastAsia="Calibri"/>
        </w:rPr>
        <w:t xml:space="preserve">, </w:t>
      </w:r>
      <w:r w:rsidR="00EA4B0E">
        <w:rPr>
          <w:rFonts w:eastAsia="Calibri"/>
        </w:rPr>
        <w:t>we estimate that there will be 61 unique</w:t>
      </w:r>
      <w:r w:rsidR="00EA4B0E" w:rsidRPr="004C4E1C">
        <w:rPr>
          <w:rFonts w:eastAsia="Calibri"/>
        </w:rPr>
        <w:t xml:space="preserve"> employers who submitted STC plans which were not approved, and </w:t>
      </w:r>
      <w:r w:rsidR="00EA4B0E">
        <w:rPr>
          <w:rFonts w:eastAsia="Calibri"/>
        </w:rPr>
        <w:t>61</w:t>
      </w:r>
      <w:r w:rsidR="00EA4B0E" w:rsidRPr="004C4E1C">
        <w:rPr>
          <w:rFonts w:eastAsia="Calibri"/>
        </w:rPr>
        <w:t xml:space="preserve"> </w:t>
      </w:r>
      <w:r w:rsidR="00EA4B0E">
        <w:rPr>
          <w:rFonts w:eastAsia="Calibri"/>
        </w:rPr>
        <w:t xml:space="preserve">unique </w:t>
      </w:r>
      <w:r w:rsidR="00EA4B0E" w:rsidRPr="004C4E1C">
        <w:rPr>
          <w:rFonts w:eastAsia="Calibri"/>
        </w:rPr>
        <w:t>emp</w:t>
      </w:r>
      <w:r w:rsidR="00B97776">
        <w:rPr>
          <w:rFonts w:eastAsia="Calibri"/>
        </w:rPr>
        <w:t>loyers that inquired about STC.</w:t>
      </w:r>
      <w:r w:rsidR="00EA4B0E" w:rsidRPr="004C4E1C">
        <w:rPr>
          <w:rFonts w:eastAsia="Calibri"/>
        </w:rPr>
        <w:t xml:space="preserve"> </w:t>
      </w:r>
      <w:r w:rsidR="00EA4B0E">
        <w:rPr>
          <w:rFonts w:eastAsia="Calibri"/>
        </w:rPr>
        <w:t xml:space="preserve">Combining the total number of employers in groups 1 through 3, we will survey a total of 280 randomly selected </w:t>
      </w:r>
      <w:r w:rsidR="00EA4B0E" w:rsidRPr="004C4E1C">
        <w:rPr>
          <w:rFonts w:eastAsia="Calibri"/>
        </w:rPr>
        <w:t>employers that did not apply or inquire about STC.</w:t>
      </w:r>
    </w:p>
    <w:p w:rsidR="00EA4B0E" w:rsidRDefault="00EA4B0E" w:rsidP="00612F70">
      <w:pPr>
        <w:rPr>
          <w:rFonts w:eastAsia="Calibri"/>
        </w:rPr>
      </w:pPr>
      <w:r>
        <w:rPr>
          <w:rFonts w:eastAsia="Calibri"/>
        </w:rPr>
        <w:t xml:space="preserve">The sample size estimates in the other three states required additional assumptions about </w:t>
      </w:r>
      <w:r w:rsidR="00B97776">
        <w:rPr>
          <w:rFonts w:eastAsia="Calibri"/>
        </w:rPr>
        <w:t>the number of likely employers.</w:t>
      </w:r>
      <w:r>
        <w:rPr>
          <w:rFonts w:eastAsia="Calibri"/>
        </w:rPr>
        <w:t xml:space="preserve"> For group 1, we used the number of approved plans reported in 2011.</w:t>
      </w:r>
      <w:r>
        <w:rPr>
          <w:rStyle w:val="FootnoteReference"/>
          <w:rFonts w:eastAsia="Calibri"/>
        </w:rPr>
        <w:footnoteReference w:id="10"/>
      </w:r>
      <w:r>
        <w:rPr>
          <w:rFonts w:eastAsia="Calibri"/>
        </w:rPr>
        <w:t xml:space="preserve"> To develop </w:t>
      </w:r>
      <w:r w:rsidR="005F4239">
        <w:rPr>
          <w:rFonts w:eastAsia="Calibri"/>
        </w:rPr>
        <w:t xml:space="preserve">the </w:t>
      </w:r>
      <w:r>
        <w:rPr>
          <w:rFonts w:eastAsia="Calibri"/>
        </w:rPr>
        <w:t>sample population size for groups 2 and 3, we used the proportions found in Kansas.</w:t>
      </w:r>
      <w:r>
        <w:rPr>
          <w:rStyle w:val="FootnoteReference"/>
          <w:rFonts w:eastAsia="Calibri"/>
        </w:rPr>
        <w:footnoteReference w:id="11"/>
      </w:r>
      <w:r>
        <w:rPr>
          <w:rFonts w:eastAsia="Calibri"/>
        </w:rPr>
        <w:t xml:space="preserve"> The resulting total sample available for the survey is expected to be 3,980. Approximately one-half of the </w:t>
      </w:r>
      <w:proofErr w:type="gramStart"/>
      <w:r>
        <w:rPr>
          <w:rFonts w:eastAsia="Calibri"/>
        </w:rPr>
        <w:t>sample</w:t>
      </w:r>
      <w:proofErr w:type="gramEnd"/>
      <w:r>
        <w:rPr>
          <w:rFonts w:eastAsia="Calibri"/>
        </w:rPr>
        <w:t xml:space="preserve"> will be in groups 1 through 3 and the other half in group 4.</w:t>
      </w:r>
    </w:p>
    <w:p w:rsidR="004C4E1C" w:rsidRDefault="004C4E1C" w:rsidP="004C4E1C">
      <w:pPr>
        <w:pStyle w:val="CaptionTitle"/>
        <w:keepLines/>
      </w:pPr>
      <w:bookmarkStart w:id="24" w:name="_Ref355000605"/>
      <w:r>
        <w:t xml:space="preserve">Exhibit </w:t>
      </w:r>
      <w:r w:rsidR="005F59DA">
        <w:fldChar w:fldCharType="begin"/>
      </w:r>
      <w:r w:rsidR="00437EBD">
        <w:instrText xml:space="preserve"> SEQ Exhibit \* ARABIC </w:instrText>
      </w:r>
      <w:r w:rsidR="005F59DA">
        <w:fldChar w:fldCharType="separate"/>
      </w:r>
      <w:r w:rsidR="00DF170B">
        <w:rPr>
          <w:noProof/>
        </w:rPr>
        <w:t>6</w:t>
      </w:r>
      <w:r w:rsidR="005F59DA">
        <w:rPr>
          <w:noProof/>
        </w:rPr>
        <w:fldChar w:fldCharType="end"/>
      </w:r>
      <w:bookmarkEnd w:id="23"/>
      <w:bookmarkEnd w:id="24"/>
      <w:r>
        <w:t xml:space="preserve">: Estimated Number of Employers to be </w:t>
      </w:r>
      <w:proofErr w:type="gramStart"/>
      <w:r>
        <w:t>Surveyed</w:t>
      </w:r>
      <w:proofErr w:type="gramEnd"/>
    </w:p>
    <w:tbl>
      <w:tblPr>
        <w:tblW w:w="4887" w:type="pct"/>
        <w:tblInd w:w="108" w:type="dxa"/>
        <w:tblLook w:val="04A0" w:firstRow="1" w:lastRow="0" w:firstColumn="1" w:lastColumn="0" w:noHBand="0" w:noVBand="1"/>
      </w:tblPr>
      <w:tblGrid>
        <w:gridCol w:w="1253"/>
        <w:gridCol w:w="1359"/>
        <w:gridCol w:w="1421"/>
        <w:gridCol w:w="1426"/>
        <w:gridCol w:w="1421"/>
        <w:gridCol w:w="1426"/>
        <w:gridCol w:w="1054"/>
      </w:tblGrid>
      <w:tr w:rsidR="009768DC" w:rsidRPr="004C4E1C" w:rsidTr="002B1EA9">
        <w:trPr>
          <w:trHeight w:val="300"/>
        </w:trPr>
        <w:tc>
          <w:tcPr>
            <w:tcW w:w="1395" w:type="pct"/>
            <w:gridSpan w:val="2"/>
            <w:vMerge w:val="restart"/>
            <w:tcBorders>
              <w:top w:val="single" w:sz="4" w:space="0" w:color="auto"/>
              <w:left w:val="single" w:sz="4" w:space="0" w:color="auto"/>
              <w:bottom w:val="single" w:sz="4" w:space="0" w:color="auto"/>
              <w:right w:val="single" w:sz="4" w:space="0" w:color="auto"/>
            </w:tcBorders>
            <w:shd w:val="clear" w:color="000000" w:fill="660000"/>
            <w:vAlign w:val="center"/>
            <w:hideMark/>
          </w:tcPr>
          <w:p w:rsidR="009768DC" w:rsidRPr="004C4E1C" w:rsidRDefault="009768DC" w:rsidP="002B1EA9">
            <w:pPr>
              <w:keepNext/>
              <w:spacing w:after="0"/>
              <w:jc w:val="center"/>
              <w:rPr>
                <w:rFonts w:eastAsia="Times New Roman" w:cs="Times New Roman"/>
                <w:b/>
                <w:bCs/>
                <w:color w:val="FFFFFF"/>
                <w:sz w:val="20"/>
                <w:szCs w:val="20"/>
              </w:rPr>
            </w:pPr>
            <w:r w:rsidRPr="004C4E1C">
              <w:rPr>
                <w:rFonts w:eastAsia="Times New Roman" w:cs="Times New Roman"/>
                <w:b/>
                <w:bCs/>
                <w:color w:val="FFFFFF"/>
                <w:sz w:val="20"/>
                <w:szCs w:val="20"/>
              </w:rPr>
              <w:t>Employer Group</w:t>
            </w:r>
          </w:p>
        </w:tc>
        <w:tc>
          <w:tcPr>
            <w:tcW w:w="3041" w:type="pct"/>
            <w:gridSpan w:val="4"/>
            <w:tcBorders>
              <w:top w:val="single" w:sz="4" w:space="0" w:color="auto"/>
              <w:left w:val="nil"/>
              <w:bottom w:val="single" w:sz="4" w:space="0" w:color="auto"/>
              <w:right w:val="single" w:sz="4" w:space="0" w:color="auto"/>
            </w:tcBorders>
            <w:shd w:val="clear" w:color="000000" w:fill="660000"/>
            <w:vAlign w:val="center"/>
            <w:hideMark/>
          </w:tcPr>
          <w:p w:rsidR="009768DC" w:rsidRPr="004C4E1C" w:rsidRDefault="00EA4B0E" w:rsidP="002B1EA9">
            <w:pPr>
              <w:keepNext/>
              <w:spacing w:after="0"/>
              <w:jc w:val="center"/>
              <w:rPr>
                <w:rFonts w:eastAsia="Times New Roman" w:cs="Times New Roman"/>
                <w:b/>
                <w:bCs/>
                <w:color w:val="FFFFFF"/>
                <w:sz w:val="20"/>
                <w:szCs w:val="20"/>
              </w:rPr>
            </w:pPr>
            <w:r>
              <w:rPr>
                <w:rFonts w:eastAsia="Times New Roman" w:cs="Times New Roman"/>
                <w:b/>
                <w:bCs/>
                <w:color w:val="FFFFFF"/>
                <w:sz w:val="20"/>
                <w:szCs w:val="20"/>
              </w:rPr>
              <w:t xml:space="preserve">Study </w:t>
            </w:r>
            <w:r w:rsidR="009768DC" w:rsidRPr="004C4E1C">
              <w:rPr>
                <w:rFonts w:eastAsia="Times New Roman" w:cs="Times New Roman"/>
                <w:b/>
                <w:bCs/>
                <w:color w:val="FFFFFF"/>
                <w:sz w:val="20"/>
                <w:szCs w:val="20"/>
              </w:rPr>
              <w:t>State</w:t>
            </w:r>
          </w:p>
        </w:tc>
        <w:tc>
          <w:tcPr>
            <w:tcW w:w="564" w:type="pct"/>
            <w:vMerge w:val="restart"/>
            <w:tcBorders>
              <w:top w:val="single" w:sz="4" w:space="0" w:color="auto"/>
              <w:left w:val="single" w:sz="4" w:space="0" w:color="auto"/>
              <w:bottom w:val="single" w:sz="4" w:space="0" w:color="auto"/>
              <w:right w:val="single" w:sz="4" w:space="0" w:color="auto"/>
            </w:tcBorders>
            <w:shd w:val="clear" w:color="000000" w:fill="660000"/>
            <w:vAlign w:val="center"/>
            <w:hideMark/>
          </w:tcPr>
          <w:p w:rsidR="009768DC" w:rsidRPr="004C4E1C" w:rsidRDefault="009768DC" w:rsidP="002B1EA9">
            <w:pPr>
              <w:keepNext/>
              <w:spacing w:after="0"/>
              <w:jc w:val="center"/>
              <w:rPr>
                <w:rFonts w:eastAsia="Times New Roman" w:cs="Times New Roman"/>
                <w:b/>
                <w:bCs/>
                <w:color w:val="FFFFFF"/>
                <w:sz w:val="20"/>
                <w:szCs w:val="20"/>
              </w:rPr>
            </w:pPr>
            <w:r w:rsidRPr="004C4E1C">
              <w:rPr>
                <w:rFonts w:eastAsia="Times New Roman" w:cs="Times New Roman"/>
                <w:b/>
                <w:bCs/>
                <w:color w:val="FFFFFF"/>
                <w:sz w:val="20"/>
                <w:szCs w:val="20"/>
              </w:rPr>
              <w:t>Total</w:t>
            </w:r>
          </w:p>
        </w:tc>
      </w:tr>
      <w:tr w:rsidR="009768DC" w:rsidRPr="004C4E1C" w:rsidTr="002B1EA9">
        <w:trPr>
          <w:trHeight w:val="510"/>
        </w:trPr>
        <w:tc>
          <w:tcPr>
            <w:tcW w:w="1395" w:type="pct"/>
            <w:gridSpan w:val="2"/>
            <w:vMerge/>
            <w:tcBorders>
              <w:top w:val="single" w:sz="4" w:space="0" w:color="auto"/>
              <w:left w:val="single" w:sz="4" w:space="0" w:color="auto"/>
              <w:bottom w:val="single" w:sz="4" w:space="0" w:color="auto"/>
              <w:right w:val="single" w:sz="4" w:space="0" w:color="auto"/>
            </w:tcBorders>
            <w:vAlign w:val="center"/>
            <w:hideMark/>
          </w:tcPr>
          <w:p w:rsidR="009768DC" w:rsidRPr="004C4E1C" w:rsidRDefault="009768DC" w:rsidP="002B1EA9">
            <w:pPr>
              <w:keepNext/>
              <w:spacing w:after="0"/>
              <w:jc w:val="left"/>
              <w:rPr>
                <w:rFonts w:eastAsia="Times New Roman" w:cs="Times New Roman"/>
                <w:b/>
                <w:bCs/>
                <w:color w:val="FFFFFF"/>
                <w:sz w:val="20"/>
                <w:szCs w:val="20"/>
              </w:rPr>
            </w:pPr>
          </w:p>
        </w:tc>
        <w:tc>
          <w:tcPr>
            <w:tcW w:w="759" w:type="pct"/>
            <w:tcBorders>
              <w:top w:val="nil"/>
              <w:left w:val="nil"/>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center"/>
              <w:rPr>
                <w:rFonts w:eastAsia="Times New Roman" w:cs="Times New Roman"/>
                <w:b/>
                <w:bCs/>
                <w:color w:val="000000"/>
                <w:sz w:val="20"/>
                <w:szCs w:val="20"/>
              </w:rPr>
            </w:pPr>
            <w:r w:rsidRPr="004C4E1C">
              <w:rPr>
                <w:rFonts w:eastAsia="Times New Roman" w:cs="Times New Roman"/>
                <w:b/>
                <w:bCs/>
                <w:color w:val="000000"/>
                <w:sz w:val="20"/>
                <w:szCs w:val="20"/>
              </w:rPr>
              <w:t>Kansas</w:t>
            </w:r>
          </w:p>
        </w:tc>
        <w:tc>
          <w:tcPr>
            <w:tcW w:w="762" w:type="pct"/>
            <w:tcBorders>
              <w:top w:val="nil"/>
              <w:left w:val="nil"/>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center"/>
              <w:rPr>
                <w:rFonts w:eastAsia="Times New Roman" w:cs="Times New Roman"/>
                <w:b/>
                <w:bCs/>
                <w:color w:val="000000"/>
                <w:sz w:val="20"/>
                <w:szCs w:val="20"/>
              </w:rPr>
            </w:pPr>
            <w:r w:rsidRPr="004C4E1C">
              <w:rPr>
                <w:rFonts w:eastAsia="Times New Roman" w:cs="Times New Roman"/>
                <w:b/>
                <w:bCs/>
                <w:color w:val="000000"/>
                <w:sz w:val="20"/>
                <w:szCs w:val="20"/>
              </w:rPr>
              <w:t>Minnesota</w:t>
            </w:r>
          </w:p>
        </w:tc>
        <w:tc>
          <w:tcPr>
            <w:tcW w:w="759" w:type="pct"/>
            <w:tcBorders>
              <w:top w:val="nil"/>
              <w:left w:val="nil"/>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center"/>
              <w:rPr>
                <w:rFonts w:eastAsia="Times New Roman" w:cs="Times New Roman"/>
                <w:b/>
                <w:bCs/>
                <w:color w:val="000000"/>
                <w:sz w:val="20"/>
                <w:szCs w:val="20"/>
              </w:rPr>
            </w:pPr>
            <w:r w:rsidRPr="004C4E1C">
              <w:rPr>
                <w:rFonts w:eastAsia="Times New Roman" w:cs="Times New Roman"/>
                <w:b/>
                <w:bCs/>
                <w:color w:val="000000"/>
                <w:sz w:val="20"/>
                <w:szCs w:val="20"/>
              </w:rPr>
              <w:t>Rhode Island</w:t>
            </w:r>
          </w:p>
        </w:tc>
        <w:tc>
          <w:tcPr>
            <w:tcW w:w="762" w:type="pct"/>
            <w:tcBorders>
              <w:top w:val="nil"/>
              <w:left w:val="nil"/>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center"/>
              <w:rPr>
                <w:rFonts w:eastAsia="Times New Roman" w:cs="Times New Roman"/>
                <w:b/>
                <w:bCs/>
                <w:color w:val="000000"/>
                <w:sz w:val="20"/>
                <w:szCs w:val="20"/>
              </w:rPr>
            </w:pPr>
            <w:r w:rsidRPr="004C4E1C">
              <w:rPr>
                <w:rFonts w:eastAsia="Times New Roman" w:cs="Times New Roman"/>
                <w:b/>
                <w:bCs/>
                <w:color w:val="000000"/>
                <w:sz w:val="20"/>
                <w:szCs w:val="20"/>
              </w:rPr>
              <w:t>Washington</w:t>
            </w:r>
          </w:p>
        </w:tc>
        <w:tc>
          <w:tcPr>
            <w:tcW w:w="564" w:type="pct"/>
            <w:vMerge/>
            <w:tcBorders>
              <w:top w:val="single" w:sz="4" w:space="0" w:color="auto"/>
              <w:left w:val="single" w:sz="4" w:space="0" w:color="auto"/>
              <w:bottom w:val="single" w:sz="4" w:space="0" w:color="auto"/>
              <w:right w:val="single" w:sz="4" w:space="0" w:color="auto"/>
            </w:tcBorders>
            <w:vAlign w:val="center"/>
            <w:hideMark/>
          </w:tcPr>
          <w:p w:rsidR="009768DC" w:rsidRPr="004C4E1C" w:rsidRDefault="009768DC" w:rsidP="002B1EA9">
            <w:pPr>
              <w:keepNext/>
              <w:spacing w:after="0"/>
              <w:jc w:val="left"/>
              <w:rPr>
                <w:rFonts w:eastAsia="Times New Roman" w:cs="Times New Roman"/>
                <w:b/>
                <w:bCs/>
                <w:color w:val="FFFFFF"/>
                <w:sz w:val="20"/>
                <w:szCs w:val="20"/>
              </w:rPr>
            </w:pPr>
          </w:p>
        </w:tc>
      </w:tr>
      <w:tr w:rsidR="009768DC" w:rsidRPr="004C4E1C" w:rsidTr="002B1EA9">
        <w:trPr>
          <w:trHeight w:val="765"/>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center"/>
              <w:rPr>
                <w:rFonts w:eastAsia="Times New Roman" w:cs="Times New Roman"/>
                <w:b/>
                <w:bCs/>
                <w:color w:val="000000"/>
                <w:sz w:val="20"/>
                <w:szCs w:val="20"/>
              </w:rPr>
            </w:pPr>
            <w:r w:rsidRPr="004C4E1C">
              <w:rPr>
                <w:rFonts w:eastAsia="Times New Roman" w:cs="Times New Roman"/>
                <w:b/>
                <w:bCs/>
                <w:color w:val="000000"/>
                <w:sz w:val="20"/>
                <w:szCs w:val="20"/>
              </w:rPr>
              <w:t>Group 1</w:t>
            </w:r>
          </w:p>
        </w:tc>
        <w:tc>
          <w:tcPr>
            <w:tcW w:w="726" w:type="pct"/>
            <w:tcBorders>
              <w:top w:val="nil"/>
              <w:left w:val="nil"/>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left"/>
              <w:rPr>
                <w:rFonts w:eastAsia="Times New Roman" w:cs="Times New Roman"/>
                <w:color w:val="000000"/>
                <w:sz w:val="20"/>
                <w:szCs w:val="20"/>
              </w:rPr>
            </w:pPr>
            <w:r w:rsidRPr="004C4E1C">
              <w:rPr>
                <w:rFonts w:eastAsia="Times New Roman" w:cs="Times New Roman"/>
                <w:color w:val="000000"/>
                <w:sz w:val="20"/>
                <w:szCs w:val="20"/>
              </w:rPr>
              <w:t>STC plan approved</w:t>
            </w:r>
          </w:p>
        </w:tc>
        <w:tc>
          <w:tcPr>
            <w:tcW w:w="759" w:type="pct"/>
            <w:tcBorders>
              <w:top w:val="nil"/>
              <w:left w:val="nil"/>
              <w:bottom w:val="single" w:sz="4" w:space="0" w:color="auto"/>
              <w:right w:val="single" w:sz="4" w:space="0" w:color="auto"/>
            </w:tcBorders>
            <w:shd w:val="clear" w:color="auto" w:fill="auto"/>
            <w:vAlign w:val="center"/>
          </w:tcPr>
          <w:p w:rsidR="009768DC" w:rsidRPr="004C4E1C" w:rsidRDefault="00EA4B0E" w:rsidP="002B1EA9">
            <w:pPr>
              <w:keepNext/>
              <w:spacing w:after="0"/>
              <w:jc w:val="center"/>
              <w:rPr>
                <w:rFonts w:eastAsia="Times New Roman" w:cs="Times New Roman"/>
                <w:color w:val="000000"/>
                <w:sz w:val="20"/>
                <w:szCs w:val="20"/>
              </w:rPr>
            </w:pPr>
            <w:r>
              <w:rPr>
                <w:rFonts w:eastAsia="Times New Roman" w:cs="Times New Roman"/>
                <w:color w:val="000000"/>
                <w:sz w:val="20"/>
                <w:szCs w:val="20"/>
              </w:rPr>
              <w:t>158</w:t>
            </w:r>
          </w:p>
        </w:tc>
        <w:tc>
          <w:tcPr>
            <w:tcW w:w="762" w:type="pct"/>
            <w:tcBorders>
              <w:top w:val="nil"/>
              <w:left w:val="nil"/>
              <w:bottom w:val="single" w:sz="4" w:space="0" w:color="auto"/>
              <w:right w:val="single" w:sz="4" w:space="0" w:color="auto"/>
            </w:tcBorders>
            <w:shd w:val="clear" w:color="auto" w:fill="auto"/>
            <w:vAlign w:val="center"/>
          </w:tcPr>
          <w:p w:rsidR="009768DC" w:rsidRPr="004C4E1C" w:rsidRDefault="00EA4B0E" w:rsidP="002B1EA9">
            <w:pPr>
              <w:keepNext/>
              <w:spacing w:after="0"/>
              <w:jc w:val="center"/>
              <w:rPr>
                <w:rFonts w:eastAsia="Times New Roman" w:cs="Times New Roman"/>
                <w:color w:val="000000"/>
                <w:sz w:val="20"/>
                <w:szCs w:val="20"/>
              </w:rPr>
            </w:pPr>
            <w:r>
              <w:rPr>
                <w:rFonts w:eastAsia="Times New Roman" w:cs="Times New Roman"/>
                <w:color w:val="000000"/>
                <w:sz w:val="20"/>
                <w:szCs w:val="20"/>
              </w:rPr>
              <w:t>65</w:t>
            </w:r>
          </w:p>
        </w:tc>
        <w:tc>
          <w:tcPr>
            <w:tcW w:w="759" w:type="pct"/>
            <w:tcBorders>
              <w:top w:val="nil"/>
              <w:left w:val="nil"/>
              <w:bottom w:val="single" w:sz="4" w:space="0" w:color="auto"/>
              <w:right w:val="single" w:sz="4" w:space="0" w:color="auto"/>
            </w:tcBorders>
            <w:shd w:val="clear" w:color="auto" w:fill="auto"/>
            <w:vAlign w:val="center"/>
          </w:tcPr>
          <w:p w:rsidR="009768DC" w:rsidRPr="004C4E1C" w:rsidRDefault="00EA4B0E" w:rsidP="002B1EA9">
            <w:pPr>
              <w:keepNext/>
              <w:spacing w:after="0"/>
              <w:jc w:val="center"/>
              <w:rPr>
                <w:rFonts w:eastAsia="Times New Roman" w:cs="Times New Roman"/>
                <w:color w:val="000000"/>
                <w:sz w:val="20"/>
                <w:szCs w:val="20"/>
              </w:rPr>
            </w:pPr>
            <w:r>
              <w:rPr>
                <w:rFonts w:eastAsia="Times New Roman" w:cs="Times New Roman"/>
                <w:color w:val="000000"/>
                <w:sz w:val="20"/>
                <w:szCs w:val="20"/>
              </w:rPr>
              <w:t>200</w:t>
            </w:r>
          </w:p>
        </w:tc>
        <w:tc>
          <w:tcPr>
            <w:tcW w:w="762" w:type="pct"/>
            <w:tcBorders>
              <w:top w:val="nil"/>
              <w:left w:val="nil"/>
              <w:bottom w:val="single" w:sz="4" w:space="0" w:color="auto"/>
              <w:right w:val="single" w:sz="4" w:space="0" w:color="auto"/>
            </w:tcBorders>
            <w:shd w:val="clear" w:color="auto" w:fill="auto"/>
            <w:vAlign w:val="center"/>
          </w:tcPr>
          <w:p w:rsidR="009768DC" w:rsidRPr="004C4E1C" w:rsidRDefault="00EA4B0E" w:rsidP="005C1379">
            <w:pPr>
              <w:keepNext/>
              <w:spacing w:after="0"/>
              <w:jc w:val="center"/>
              <w:rPr>
                <w:rFonts w:eastAsia="Times New Roman" w:cs="Times New Roman"/>
                <w:color w:val="000000"/>
                <w:sz w:val="20"/>
                <w:szCs w:val="20"/>
              </w:rPr>
            </w:pPr>
            <w:r>
              <w:rPr>
                <w:rFonts w:eastAsia="Times New Roman" w:cs="Times New Roman"/>
                <w:color w:val="000000"/>
                <w:sz w:val="20"/>
                <w:szCs w:val="20"/>
              </w:rPr>
              <w:t>700</w:t>
            </w:r>
          </w:p>
        </w:tc>
        <w:tc>
          <w:tcPr>
            <w:tcW w:w="564" w:type="pct"/>
            <w:tcBorders>
              <w:top w:val="nil"/>
              <w:left w:val="nil"/>
              <w:bottom w:val="single" w:sz="4" w:space="0" w:color="auto"/>
              <w:right w:val="single" w:sz="4" w:space="0" w:color="auto"/>
            </w:tcBorders>
            <w:shd w:val="clear" w:color="000000" w:fill="666600"/>
            <w:noWrap/>
            <w:vAlign w:val="center"/>
          </w:tcPr>
          <w:p w:rsidR="009768DC" w:rsidRPr="004C4E1C" w:rsidRDefault="00EA4B0E" w:rsidP="005C1379">
            <w:pPr>
              <w:keepNext/>
              <w:spacing w:after="0"/>
              <w:jc w:val="center"/>
              <w:rPr>
                <w:rFonts w:eastAsia="Times New Roman" w:cs="Times New Roman"/>
                <w:color w:val="FFFFFF"/>
                <w:sz w:val="20"/>
                <w:szCs w:val="20"/>
              </w:rPr>
            </w:pPr>
            <w:r>
              <w:rPr>
                <w:rFonts w:eastAsia="Times New Roman" w:cs="Times New Roman"/>
                <w:color w:val="FFFFFF"/>
                <w:sz w:val="20"/>
                <w:szCs w:val="20"/>
              </w:rPr>
              <w:t>1,123</w:t>
            </w:r>
          </w:p>
        </w:tc>
      </w:tr>
      <w:tr w:rsidR="009768DC" w:rsidRPr="004C4E1C" w:rsidTr="002B1EA9">
        <w:trPr>
          <w:trHeight w:val="765"/>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center"/>
              <w:rPr>
                <w:rFonts w:eastAsia="Times New Roman" w:cs="Times New Roman"/>
                <w:b/>
                <w:bCs/>
                <w:color w:val="000000"/>
                <w:sz w:val="20"/>
                <w:szCs w:val="20"/>
              </w:rPr>
            </w:pPr>
            <w:r w:rsidRPr="004C4E1C">
              <w:rPr>
                <w:rFonts w:eastAsia="Times New Roman" w:cs="Times New Roman"/>
                <w:b/>
                <w:bCs/>
                <w:color w:val="000000"/>
                <w:sz w:val="20"/>
                <w:szCs w:val="20"/>
              </w:rPr>
              <w:t>Group 2</w:t>
            </w:r>
          </w:p>
        </w:tc>
        <w:tc>
          <w:tcPr>
            <w:tcW w:w="726" w:type="pct"/>
            <w:tcBorders>
              <w:top w:val="nil"/>
              <w:left w:val="nil"/>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left"/>
              <w:rPr>
                <w:rFonts w:eastAsia="Times New Roman" w:cs="Times New Roman"/>
                <w:color w:val="000000"/>
                <w:sz w:val="20"/>
                <w:szCs w:val="20"/>
              </w:rPr>
            </w:pPr>
            <w:r w:rsidRPr="004C4E1C">
              <w:rPr>
                <w:rFonts w:eastAsia="Times New Roman" w:cs="Times New Roman"/>
                <w:color w:val="000000"/>
                <w:sz w:val="20"/>
                <w:szCs w:val="20"/>
              </w:rPr>
              <w:t>STC plan not approved</w:t>
            </w:r>
          </w:p>
        </w:tc>
        <w:tc>
          <w:tcPr>
            <w:tcW w:w="759" w:type="pct"/>
            <w:tcBorders>
              <w:top w:val="nil"/>
              <w:left w:val="nil"/>
              <w:bottom w:val="single" w:sz="4" w:space="0" w:color="auto"/>
              <w:right w:val="single" w:sz="4" w:space="0" w:color="auto"/>
            </w:tcBorders>
            <w:shd w:val="clear" w:color="auto" w:fill="auto"/>
            <w:vAlign w:val="center"/>
          </w:tcPr>
          <w:p w:rsidR="009768DC" w:rsidRPr="004C4E1C" w:rsidRDefault="00EA4B0E" w:rsidP="002B1EA9">
            <w:pPr>
              <w:keepNext/>
              <w:spacing w:after="0"/>
              <w:jc w:val="center"/>
              <w:rPr>
                <w:rFonts w:eastAsia="Times New Roman" w:cs="Times New Roman"/>
                <w:color w:val="000000"/>
                <w:sz w:val="20"/>
                <w:szCs w:val="20"/>
              </w:rPr>
            </w:pPr>
            <w:r>
              <w:rPr>
                <w:rFonts w:eastAsia="Times New Roman" w:cs="Times New Roman"/>
                <w:color w:val="000000"/>
                <w:sz w:val="20"/>
                <w:szCs w:val="20"/>
              </w:rPr>
              <w:t>61</w:t>
            </w:r>
          </w:p>
        </w:tc>
        <w:tc>
          <w:tcPr>
            <w:tcW w:w="762" w:type="pct"/>
            <w:tcBorders>
              <w:top w:val="nil"/>
              <w:left w:val="nil"/>
              <w:bottom w:val="single" w:sz="4" w:space="0" w:color="auto"/>
              <w:right w:val="single" w:sz="4" w:space="0" w:color="auto"/>
            </w:tcBorders>
            <w:shd w:val="clear" w:color="auto" w:fill="auto"/>
            <w:vAlign w:val="center"/>
          </w:tcPr>
          <w:p w:rsidR="009768DC" w:rsidRPr="004C4E1C" w:rsidRDefault="00EA4B0E" w:rsidP="002B1EA9">
            <w:pPr>
              <w:keepNext/>
              <w:spacing w:after="0"/>
              <w:jc w:val="center"/>
              <w:rPr>
                <w:rFonts w:eastAsia="Times New Roman" w:cs="Times New Roman"/>
                <w:color w:val="000000"/>
                <w:sz w:val="20"/>
                <w:szCs w:val="20"/>
              </w:rPr>
            </w:pPr>
            <w:r>
              <w:rPr>
                <w:rFonts w:eastAsia="Times New Roman" w:cs="Times New Roman"/>
                <w:color w:val="000000"/>
                <w:sz w:val="20"/>
                <w:szCs w:val="20"/>
              </w:rPr>
              <w:t>25</w:t>
            </w:r>
          </w:p>
        </w:tc>
        <w:tc>
          <w:tcPr>
            <w:tcW w:w="759" w:type="pct"/>
            <w:tcBorders>
              <w:top w:val="nil"/>
              <w:left w:val="nil"/>
              <w:bottom w:val="single" w:sz="4" w:space="0" w:color="auto"/>
              <w:right w:val="single" w:sz="4" w:space="0" w:color="auto"/>
            </w:tcBorders>
            <w:shd w:val="clear" w:color="auto" w:fill="auto"/>
            <w:vAlign w:val="center"/>
          </w:tcPr>
          <w:p w:rsidR="009768DC" w:rsidRPr="004C4E1C" w:rsidRDefault="00EA4B0E" w:rsidP="002B1EA9">
            <w:pPr>
              <w:keepNext/>
              <w:spacing w:after="0"/>
              <w:jc w:val="center"/>
              <w:rPr>
                <w:rFonts w:eastAsia="Times New Roman" w:cs="Times New Roman"/>
                <w:color w:val="000000"/>
                <w:sz w:val="20"/>
                <w:szCs w:val="20"/>
              </w:rPr>
            </w:pPr>
            <w:r>
              <w:rPr>
                <w:rFonts w:eastAsia="Times New Roman" w:cs="Times New Roman"/>
                <w:color w:val="000000"/>
                <w:sz w:val="20"/>
                <w:szCs w:val="20"/>
              </w:rPr>
              <w:t>77</w:t>
            </w:r>
          </w:p>
        </w:tc>
        <w:tc>
          <w:tcPr>
            <w:tcW w:w="762" w:type="pct"/>
            <w:tcBorders>
              <w:top w:val="nil"/>
              <w:left w:val="nil"/>
              <w:bottom w:val="single" w:sz="4" w:space="0" w:color="auto"/>
              <w:right w:val="single" w:sz="4" w:space="0" w:color="auto"/>
            </w:tcBorders>
            <w:shd w:val="clear" w:color="auto" w:fill="auto"/>
            <w:vAlign w:val="center"/>
          </w:tcPr>
          <w:p w:rsidR="009768DC" w:rsidRPr="004C4E1C" w:rsidRDefault="00EA4B0E" w:rsidP="002B1EA9">
            <w:pPr>
              <w:keepNext/>
              <w:spacing w:after="0"/>
              <w:jc w:val="center"/>
              <w:rPr>
                <w:rFonts w:eastAsia="Times New Roman" w:cs="Times New Roman"/>
                <w:color w:val="000000"/>
                <w:sz w:val="20"/>
                <w:szCs w:val="20"/>
              </w:rPr>
            </w:pPr>
            <w:r>
              <w:rPr>
                <w:rFonts w:eastAsia="Times New Roman" w:cs="Times New Roman"/>
                <w:color w:val="000000"/>
                <w:sz w:val="20"/>
                <w:szCs w:val="20"/>
              </w:rPr>
              <w:t>270</w:t>
            </w:r>
          </w:p>
        </w:tc>
        <w:tc>
          <w:tcPr>
            <w:tcW w:w="564" w:type="pct"/>
            <w:tcBorders>
              <w:top w:val="nil"/>
              <w:left w:val="nil"/>
              <w:bottom w:val="single" w:sz="4" w:space="0" w:color="auto"/>
              <w:right w:val="single" w:sz="4" w:space="0" w:color="auto"/>
            </w:tcBorders>
            <w:shd w:val="clear" w:color="000000" w:fill="666600"/>
            <w:noWrap/>
            <w:vAlign w:val="center"/>
          </w:tcPr>
          <w:p w:rsidR="009768DC" w:rsidRPr="004C4E1C" w:rsidRDefault="00EA4B0E" w:rsidP="002B1EA9">
            <w:pPr>
              <w:keepNext/>
              <w:spacing w:after="0"/>
              <w:jc w:val="center"/>
              <w:rPr>
                <w:rFonts w:eastAsia="Times New Roman" w:cs="Times New Roman"/>
                <w:color w:val="FFFFFF"/>
                <w:sz w:val="20"/>
                <w:szCs w:val="20"/>
              </w:rPr>
            </w:pPr>
            <w:r>
              <w:rPr>
                <w:rFonts w:eastAsia="Times New Roman" w:cs="Times New Roman"/>
                <w:color w:val="FFFFFF"/>
                <w:sz w:val="20"/>
                <w:szCs w:val="20"/>
              </w:rPr>
              <w:t>43</w:t>
            </w:r>
            <w:r w:rsidR="00C914BD">
              <w:rPr>
                <w:rFonts w:eastAsia="Times New Roman" w:cs="Times New Roman"/>
                <w:color w:val="FFFFFF"/>
                <w:sz w:val="20"/>
                <w:szCs w:val="20"/>
              </w:rPr>
              <w:t>3</w:t>
            </w:r>
          </w:p>
        </w:tc>
      </w:tr>
      <w:tr w:rsidR="009768DC" w:rsidRPr="004C4E1C" w:rsidTr="002B1EA9">
        <w:trPr>
          <w:trHeight w:val="765"/>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center"/>
              <w:rPr>
                <w:rFonts w:eastAsia="Times New Roman" w:cs="Times New Roman"/>
                <w:b/>
                <w:bCs/>
                <w:color w:val="000000"/>
                <w:sz w:val="20"/>
                <w:szCs w:val="20"/>
              </w:rPr>
            </w:pPr>
            <w:r w:rsidRPr="004C4E1C">
              <w:rPr>
                <w:rFonts w:eastAsia="Times New Roman" w:cs="Times New Roman"/>
                <w:b/>
                <w:bCs/>
                <w:color w:val="000000"/>
                <w:sz w:val="20"/>
                <w:szCs w:val="20"/>
              </w:rPr>
              <w:t>Group 3</w:t>
            </w:r>
          </w:p>
        </w:tc>
        <w:tc>
          <w:tcPr>
            <w:tcW w:w="726" w:type="pct"/>
            <w:tcBorders>
              <w:top w:val="nil"/>
              <w:left w:val="nil"/>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left"/>
              <w:rPr>
                <w:rFonts w:eastAsia="Times New Roman" w:cs="Times New Roman"/>
                <w:color w:val="000000"/>
                <w:sz w:val="20"/>
                <w:szCs w:val="20"/>
              </w:rPr>
            </w:pPr>
            <w:r w:rsidRPr="004C4E1C">
              <w:rPr>
                <w:rFonts w:eastAsia="Times New Roman" w:cs="Times New Roman"/>
                <w:color w:val="000000"/>
                <w:sz w:val="20"/>
                <w:szCs w:val="20"/>
              </w:rPr>
              <w:t>Inquired about STC</w:t>
            </w:r>
          </w:p>
        </w:tc>
        <w:tc>
          <w:tcPr>
            <w:tcW w:w="759" w:type="pct"/>
            <w:tcBorders>
              <w:top w:val="nil"/>
              <w:left w:val="nil"/>
              <w:bottom w:val="single" w:sz="4" w:space="0" w:color="auto"/>
              <w:right w:val="single" w:sz="4" w:space="0" w:color="auto"/>
            </w:tcBorders>
            <w:shd w:val="clear" w:color="auto" w:fill="auto"/>
            <w:vAlign w:val="center"/>
          </w:tcPr>
          <w:p w:rsidR="009768DC" w:rsidRPr="004C4E1C" w:rsidRDefault="00EA4B0E" w:rsidP="002B1EA9">
            <w:pPr>
              <w:keepNext/>
              <w:spacing w:after="0"/>
              <w:jc w:val="center"/>
              <w:rPr>
                <w:rFonts w:eastAsia="Times New Roman" w:cs="Times New Roman"/>
                <w:color w:val="000000"/>
                <w:sz w:val="20"/>
                <w:szCs w:val="20"/>
              </w:rPr>
            </w:pPr>
            <w:r>
              <w:rPr>
                <w:rFonts w:eastAsia="Times New Roman" w:cs="Times New Roman"/>
                <w:color w:val="000000"/>
                <w:sz w:val="20"/>
                <w:szCs w:val="20"/>
              </w:rPr>
              <w:t>61</w:t>
            </w:r>
          </w:p>
        </w:tc>
        <w:tc>
          <w:tcPr>
            <w:tcW w:w="762" w:type="pct"/>
            <w:tcBorders>
              <w:top w:val="nil"/>
              <w:left w:val="nil"/>
              <w:bottom w:val="single" w:sz="4" w:space="0" w:color="auto"/>
              <w:right w:val="single" w:sz="4" w:space="0" w:color="auto"/>
            </w:tcBorders>
            <w:shd w:val="clear" w:color="auto" w:fill="auto"/>
            <w:vAlign w:val="center"/>
          </w:tcPr>
          <w:p w:rsidR="009768DC" w:rsidRPr="004C4E1C" w:rsidRDefault="00EA4B0E" w:rsidP="002B1EA9">
            <w:pPr>
              <w:keepNext/>
              <w:spacing w:after="0"/>
              <w:jc w:val="center"/>
              <w:rPr>
                <w:rFonts w:eastAsia="Times New Roman" w:cs="Times New Roman"/>
                <w:color w:val="000000"/>
                <w:sz w:val="20"/>
                <w:szCs w:val="20"/>
              </w:rPr>
            </w:pPr>
            <w:r>
              <w:rPr>
                <w:rFonts w:eastAsia="Times New Roman" w:cs="Times New Roman"/>
                <w:color w:val="000000"/>
                <w:sz w:val="20"/>
                <w:szCs w:val="20"/>
              </w:rPr>
              <w:t>25</w:t>
            </w:r>
          </w:p>
        </w:tc>
        <w:tc>
          <w:tcPr>
            <w:tcW w:w="759" w:type="pct"/>
            <w:tcBorders>
              <w:top w:val="nil"/>
              <w:left w:val="nil"/>
              <w:bottom w:val="single" w:sz="4" w:space="0" w:color="auto"/>
              <w:right w:val="single" w:sz="4" w:space="0" w:color="auto"/>
            </w:tcBorders>
            <w:shd w:val="clear" w:color="auto" w:fill="auto"/>
            <w:vAlign w:val="center"/>
          </w:tcPr>
          <w:p w:rsidR="009768DC" w:rsidRPr="004C4E1C" w:rsidRDefault="00EA4B0E" w:rsidP="002B1EA9">
            <w:pPr>
              <w:keepNext/>
              <w:spacing w:after="0"/>
              <w:jc w:val="center"/>
              <w:rPr>
                <w:rFonts w:eastAsia="Times New Roman" w:cs="Times New Roman"/>
                <w:color w:val="000000"/>
                <w:sz w:val="20"/>
                <w:szCs w:val="20"/>
              </w:rPr>
            </w:pPr>
            <w:r>
              <w:rPr>
                <w:rFonts w:eastAsia="Times New Roman" w:cs="Times New Roman"/>
                <w:color w:val="000000"/>
                <w:sz w:val="20"/>
                <w:szCs w:val="20"/>
              </w:rPr>
              <w:t>77</w:t>
            </w:r>
          </w:p>
        </w:tc>
        <w:tc>
          <w:tcPr>
            <w:tcW w:w="762" w:type="pct"/>
            <w:tcBorders>
              <w:top w:val="nil"/>
              <w:left w:val="nil"/>
              <w:bottom w:val="single" w:sz="4" w:space="0" w:color="auto"/>
              <w:right w:val="single" w:sz="4" w:space="0" w:color="auto"/>
            </w:tcBorders>
            <w:shd w:val="clear" w:color="auto" w:fill="auto"/>
            <w:vAlign w:val="center"/>
          </w:tcPr>
          <w:p w:rsidR="009768DC" w:rsidRPr="004C4E1C" w:rsidRDefault="00EA4B0E" w:rsidP="002B1EA9">
            <w:pPr>
              <w:keepNext/>
              <w:spacing w:after="0"/>
              <w:jc w:val="center"/>
              <w:rPr>
                <w:rFonts w:eastAsia="Times New Roman" w:cs="Times New Roman"/>
                <w:color w:val="000000"/>
                <w:sz w:val="20"/>
                <w:szCs w:val="20"/>
              </w:rPr>
            </w:pPr>
            <w:r>
              <w:rPr>
                <w:rFonts w:eastAsia="Times New Roman" w:cs="Times New Roman"/>
                <w:color w:val="000000"/>
                <w:sz w:val="20"/>
                <w:szCs w:val="20"/>
              </w:rPr>
              <w:t>270</w:t>
            </w:r>
          </w:p>
        </w:tc>
        <w:tc>
          <w:tcPr>
            <w:tcW w:w="564" w:type="pct"/>
            <w:tcBorders>
              <w:top w:val="nil"/>
              <w:left w:val="nil"/>
              <w:bottom w:val="single" w:sz="4" w:space="0" w:color="auto"/>
              <w:right w:val="single" w:sz="4" w:space="0" w:color="auto"/>
            </w:tcBorders>
            <w:shd w:val="clear" w:color="000000" w:fill="666600"/>
            <w:noWrap/>
            <w:vAlign w:val="center"/>
          </w:tcPr>
          <w:p w:rsidR="009768DC" w:rsidRPr="004C4E1C" w:rsidRDefault="00EA4B0E" w:rsidP="002B1EA9">
            <w:pPr>
              <w:keepNext/>
              <w:spacing w:after="0"/>
              <w:jc w:val="center"/>
              <w:rPr>
                <w:rFonts w:eastAsia="Times New Roman" w:cs="Times New Roman"/>
                <w:color w:val="FFFFFF"/>
                <w:sz w:val="20"/>
                <w:szCs w:val="20"/>
              </w:rPr>
            </w:pPr>
            <w:r>
              <w:rPr>
                <w:rFonts w:eastAsia="Times New Roman" w:cs="Times New Roman"/>
                <w:color w:val="FFFFFF"/>
                <w:sz w:val="20"/>
                <w:szCs w:val="20"/>
              </w:rPr>
              <w:t>43</w:t>
            </w:r>
            <w:r w:rsidR="00C914BD">
              <w:rPr>
                <w:rFonts w:eastAsia="Times New Roman" w:cs="Times New Roman"/>
                <w:color w:val="FFFFFF"/>
                <w:sz w:val="20"/>
                <w:szCs w:val="20"/>
              </w:rPr>
              <w:t>3</w:t>
            </w:r>
          </w:p>
        </w:tc>
      </w:tr>
      <w:tr w:rsidR="009768DC" w:rsidRPr="004C4E1C" w:rsidTr="002B1EA9">
        <w:trPr>
          <w:trHeight w:val="765"/>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center"/>
              <w:rPr>
                <w:rFonts w:eastAsia="Times New Roman" w:cs="Times New Roman"/>
                <w:b/>
                <w:bCs/>
                <w:color w:val="000000"/>
                <w:sz w:val="20"/>
                <w:szCs w:val="20"/>
              </w:rPr>
            </w:pPr>
            <w:r w:rsidRPr="004C4E1C">
              <w:rPr>
                <w:rFonts w:eastAsia="Times New Roman" w:cs="Times New Roman"/>
                <w:b/>
                <w:bCs/>
                <w:color w:val="000000"/>
                <w:sz w:val="20"/>
                <w:szCs w:val="20"/>
              </w:rPr>
              <w:t>Group 4</w:t>
            </w:r>
          </w:p>
        </w:tc>
        <w:tc>
          <w:tcPr>
            <w:tcW w:w="726" w:type="pct"/>
            <w:tcBorders>
              <w:top w:val="nil"/>
              <w:left w:val="nil"/>
              <w:bottom w:val="single" w:sz="4" w:space="0" w:color="auto"/>
              <w:right w:val="single" w:sz="4" w:space="0" w:color="auto"/>
            </w:tcBorders>
            <w:shd w:val="clear" w:color="auto" w:fill="auto"/>
            <w:vAlign w:val="center"/>
            <w:hideMark/>
          </w:tcPr>
          <w:p w:rsidR="009768DC" w:rsidRPr="004C4E1C" w:rsidRDefault="009768DC" w:rsidP="002B1EA9">
            <w:pPr>
              <w:keepNext/>
              <w:spacing w:after="0"/>
              <w:jc w:val="left"/>
              <w:rPr>
                <w:rFonts w:eastAsia="Times New Roman" w:cs="Times New Roman"/>
                <w:color w:val="000000"/>
                <w:sz w:val="20"/>
                <w:szCs w:val="20"/>
              </w:rPr>
            </w:pPr>
            <w:r w:rsidRPr="004C4E1C">
              <w:rPr>
                <w:rFonts w:eastAsia="Times New Roman" w:cs="Times New Roman"/>
                <w:color w:val="000000"/>
                <w:sz w:val="20"/>
                <w:szCs w:val="20"/>
              </w:rPr>
              <w:t>Did not inquire about STC</w:t>
            </w:r>
          </w:p>
        </w:tc>
        <w:tc>
          <w:tcPr>
            <w:tcW w:w="759" w:type="pct"/>
            <w:tcBorders>
              <w:top w:val="nil"/>
              <w:left w:val="nil"/>
              <w:bottom w:val="single" w:sz="4" w:space="0" w:color="auto"/>
              <w:right w:val="single" w:sz="4" w:space="0" w:color="auto"/>
            </w:tcBorders>
            <w:shd w:val="clear" w:color="auto" w:fill="auto"/>
            <w:vAlign w:val="center"/>
          </w:tcPr>
          <w:p w:rsidR="000E3A33" w:rsidRPr="004C4E1C" w:rsidRDefault="00EA4B0E" w:rsidP="001F73DF">
            <w:pPr>
              <w:keepNext/>
              <w:spacing w:after="0"/>
              <w:jc w:val="center"/>
              <w:rPr>
                <w:rFonts w:eastAsia="Times New Roman" w:cs="Times New Roman"/>
                <w:color w:val="000000"/>
                <w:sz w:val="20"/>
                <w:szCs w:val="20"/>
              </w:rPr>
            </w:pPr>
            <w:r>
              <w:rPr>
                <w:rFonts w:eastAsia="Times New Roman" w:cs="Times New Roman"/>
                <w:color w:val="000000"/>
                <w:sz w:val="20"/>
                <w:szCs w:val="20"/>
              </w:rPr>
              <w:t>280</w:t>
            </w:r>
          </w:p>
        </w:tc>
        <w:tc>
          <w:tcPr>
            <w:tcW w:w="762" w:type="pct"/>
            <w:tcBorders>
              <w:top w:val="nil"/>
              <w:left w:val="nil"/>
              <w:bottom w:val="single" w:sz="4" w:space="0" w:color="auto"/>
              <w:right w:val="single" w:sz="4" w:space="0" w:color="auto"/>
            </w:tcBorders>
            <w:shd w:val="clear" w:color="auto" w:fill="auto"/>
            <w:vAlign w:val="center"/>
          </w:tcPr>
          <w:p w:rsidR="000E3A33" w:rsidRPr="004C4E1C" w:rsidRDefault="00EA4B0E" w:rsidP="001F73DF">
            <w:pPr>
              <w:keepNext/>
              <w:spacing w:after="0"/>
              <w:jc w:val="center"/>
              <w:rPr>
                <w:rFonts w:eastAsia="Times New Roman" w:cs="Times New Roman"/>
                <w:color w:val="000000"/>
                <w:sz w:val="20"/>
                <w:szCs w:val="20"/>
              </w:rPr>
            </w:pPr>
            <w:r>
              <w:rPr>
                <w:rFonts w:eastAsia="Times New Roman" w:cs="Times New Roman"/>
                <w:color w:val="000000"/>
                <w:sz w:val="20"/>
                <w:szCs w:val="20"/>
              </w:rPr>
              <w:t>115</w:t>
            </w:r>
          </w:p>
        </w:tc>
        <w:tc>
          <w:tcPr>
            <w:tcW w:w="759" w:type="pct"/>
            <w:tcBorders>
              <w:top w:val="nil"/>
              <w:left w:val="nil"/>
              <w:bottom w:val="single" w:sz="4" w:space="0" w:color="auto"/>
              <w:right w:val="single" w:sz="4" w:space="0" w:color="auto"/>
            </w:tcBorders>
            <w:shd w:val="clear" w:color="auto" w:fill="auto"/>
            <w:vAlign w:val="center"/>
          </w:tcPr>
          <w:p w:rsidR="000E3A33" w:rsidRPr="004C4E1C" w:rsidRDefault="00EA4B0E" w:rsidP="001F73DF">
            <w:pPr>
              <w:keepNext/>
              <w:spacing w:after="0"/>
              <w:jc w:val="center"/>
              <w:rPr>
                <w:rFonts w:eastAsia="Times New Roman" w:cs="Times New Roman"/>
                <w:color w:val="000000"/>
                <w:sz w:val="20"/>
                <w:szCs w:val="20"/>
              </w:rPr>
            </w:pPr>
            <w:r>
              <w:rPr>
                <w:rFonts w:eastAsia="Times New Roman" w:cs="Times New Roman"/>
                <w:color w:val="000000"/>
                <w:sz w:val="20"/>
                <w:szCs w:val="20"/>
              </w:rPr>
              <w:t>354</w:t>
            </w:r>
          </w:p>
        </w:tc>
        <w:tc>
          <w:tcPr>
            <w:tcW w:w="762" w:type="pct"/>
            <w:tcBorders>
              <w:top w:val="nil"/>
              <w:left w:val="nil"/>
              <w:bottom w:val="single" w:sz="4" w:space="0" w:color="auto"/>
              <w:right w:val="single" w:sz="4" w:space="0" w:color="auto"/>
            </w:tcBorders>
            <w:shd w:val="clear" w:color="auto" w:fill="auto"/>
            <w:vAlign w:val="center"/>
          </w:tcPr>
          <w:p w:rsidR="000E3A33" w:rsidRPr="004C4E1C" w:rsidRDefault="00EA4B0E" w:rsidP="001F73DF">
            <w:pPr>
              <w:keepNext/>
              <w:spacing w:after="0"/>
              <w:jc w:val="center"/>
              <w:rPr>
                <w:rFonts w:eastAsia="Times New Roman" w:cs="Times New Roman"/>
                <w:color w:val="000000"/>
                <w:sz w:val="20"/>
                <w:szCs w:val="20"/>
              </w:rPr>
            </w:pPr>
            <w:r>
              <w:rPr>
                <w:rFonts w:eastAsia="Times New Roman" w:cs="Times New Roman"/>
                <w:color w:val="000000"/>
                <w:sz w:val="20"/>
                <w:szCs w:val="20"/>
              </w:rPr>
              <w:t>1,241</w:t>
            </w:r>
          </w:p>
        </w:tc>
        <w:tc>
          <w:tcPr>
            <w:tcW w:w="564" w:type="pct"/>
            <w:tcBorders>
              <w:top w:val="nil"/>
              <w:left w:val="nil"/>
              <w:bottom w:val="single" w:sz="4" w:space="0" w:color="auto"/>
              <w:right w:val="single" w:sz="4" w:space="0" w:color="auto"/>
            </w:tcBorders>
            <w:shd w:val="clear" w:color="000000" w:fill="666600"/>
            <w:noWrap/>
            <w:vAlign w:val="center"/>
          </w:tcPr>
          <w:p w:rsidR="009768DC" w:rsidRPr="004C4E1C" w:rsidRDefault="00EA4B0E" w:rsidP="002B1EA9">
            <w:pPr>
              <w:keepNext/>
              <w:spacing w:after="0"/>
              <w:jc w:val="center"/>
              <w:rPr>
                <w:rFonts w:eastAsia="Times New Roman" w:cs="Times New Roman"/>
                <w:color w:val="FFFFFF"/>
                <w:sz w:val="20"/>
                <w:szCs w:val="20"/>
              </w:rPr>
            </w:pPr>
            <w:r>
              <w:rPr>
                <w:rFonts w:eastAsia="Times New Roman" w:cs="Times New Roman"/>
                <w:color w:val="FFFFFF"/>
                <w:sz w:val="20"/>
                <w:szCs w:val="20"/>
              </w:rPr>
              <w:t>1,990</w:t>
            </w:r>
          </w:p>
        </w:tc>
      </w:tr>
      <w:tr w:rsidR="009768DC" w:rsidRPr="004C4E1C" w:rsidTr="002B1EA9">
        <w:trPr>
          <w:trHeight w:val="440"/>
        </w:trPr>
        <w:tc>
          <w:tcPr>
            <w:tcW w:w="1395" w:type="pct"/>
            <w:gridSpan w:val="2"/>
            <w:tcBorders>
              <w:top w:val="single" w:sz="4" w:space="0" w:color="auto"/>
              <w:left w:val="single" w:sz="4" w:space="0" w:color="auto"/>
              <w:bottom w:val="single" w:sz="4" w:space="0" w:color="auto"/>
              <w:right w:val="single" w:sz="4" w:space="0" w:color="auto"/>
            </w:tcBorders>
            <w:shd w:val="clear" w:color="000000" w:fill="660000"/>
            <w:vAlign w:val="center"/>
            <w:hideMark/>
          </w:tcPr>
          <w:p w:rsidR="009768DC" w:rsidRPr="004C4E1C" w:rsidRDefault="009768DC" w:rsidP="002B1EA9">
            <w:pPr>
              <w:keepNext/>
              <w:spacing w:after="0"/>
              <w:jc w:val="center"/>
              <w:rPr>
                <w:rFonts w:eastAsia="Times New Roman" w:cs="Times New Roman"/>
                <w:b/>
                <w:bCs/>
                <w:color w:val="FFFFFF"/>
                <w:sz w:val="20"/>
                <w:szCs w:val="20"/>
              </w:rPr>
            </w:pPr>
            <w:r w:rsidRPr="004C4E1C">
              <w:rPr>
                <w:rFonts w:eastAsia="Times New Roman" w:cs="Times New Roman"/>
                <w:b/>
                <w:bCs/>
                <w:color w:val="FFFFFF"/>
                <w:sz w:val="20"/>
                <w:szCs w:val="20"/>
              </w:rPr>
              <w:t>Total</w:t>
            </w:r>
          </w:p>
        </w:tc>
        <w:tc>
          <w:tcPr>
            <w:tcW w:w="759" w:type="pct"/>
            <w:tcBorders>
              <w:top w:val="nil"/>
              <w:left w:val="nil"/>
              <w:bottom w:val="single" w:sz="4" w:space="0" w:color="auto"/>
              <w:right w:val="single" w:sz="4" w:space="0" w:color="auto"/>
            </w:tcBorders>
            <w:shd w:val="clear" w:color="000000" w:fill="666600"/>
            <w:noWrap/>
            <w:vAlign w:val="center"/>
          </w:tcPr>
          <w:p w:rsidR="009768DC" w:rsidRPr="004C4E1C" w:rsidRDefault="00EA4B0E" w:rsidP="002B1EA9">
            <w:pPr>
              <w:keepNext/>
              <w:spacing w:after="0"/>
              <w:jc w:val="center"/>
              <w:rPr>
                <w:rFonts w:eastAsia="Times New Roman" w:cs="Times New Roman"/>
                <w:color w:val="FFFFFF"/>
                <w:sz w:val="20"/>
                <w:szCs w:val="20"/>
              </w:rPr>
            </w:pPr>
            <w:r>
              <w:rPr>
                <w:rFonts w:eastAsia="Times New Roman" w:cs="Times New Roman"/>
                <w:color w:val="FFFFFF"/>
                <w:sz w:val="20"/>
                <w:szCs w:val="20"/>
              </w:rPr>
              <w:t>560</w:t>
            </w:r>
          </w:p>
        </w:tc>
        <w:tc>
          <w:tcPr>
            <w:tcW w:w="762" w:type="pct"/>
            <w:tcBorders>
              <w:top w:val="nil"/>
              <w:left w:val="nil"/>
              <w:bottom w:val="single" w:sz="4" w:space="0" w:color="auto"/>
              <w:right w:val="single" w:sz="4" w:space="0" w:color="auto"/>
            </w:tcBorders>
            <w:shd w:val="clear" w:color="000000" w:fill="666600"/>
            <w:noWrap/>
            <w:vAlign w:val="center"/>
          </w:tcPr>
          <w:p w:rsidR="009768DC" w:rsidRPr="004C4E1C" w:rsidRDefault="00EA4B0E" w:rsidP="002B1EA9">
            <w:pPr>
              <w:keepNext/>
              <w:spacing w:after="0"/>
              <w:jc w:val="center"/>
              <w:rPr>
                <w:rFonts w:eastAsia="Times New Roman" w:cs="Times New Roman"/>
                <w:color w:val="FFFFFF"/>
                <w:sz w:val="20"/>
                <w:szCs w:val="20"/>
              </w:rPr>
            </w:pPr>
            <w:r>
              <w:rPr>
                <w:rFonts w:eastAsia="Times New Roman" w:cs="Times New Roman"/>
                <w:color w:val="FFFFFF"/>
                <w:sz w:val="20"/>
                <w:szCs w:val="20"/>
              </w:rPr>
              <w:t>230</w:t>
            </w:r>
          </w:p>
        </w:tc>
        <w:tc>
          <w:tcPr>
            <w:tcW w:w="759" w:type="pct"/>
            <w:tcBorders>
              <w:top w:val="nil"/>
              <w:left w:val="nil"/>
              <w:bottom w:val="single" w:sz="4" w:space="0" w:color="auto"/>
              <w:right w:val="single" w:sz="4" w:space="0" w:color="auto"/>
            </w:tcBorders>
            <w:shd w:val="clear" w:color="000000" w:fill="666600"/>
            <w:noWrap/>
            <w:vAlign w:val="center"/>
          </w:tcPr>
          <w:p w:rsidR="009768DC" w:rsidRPr="004C4E1C" w:rsidRDefault="00EA4B0E" w:rsidP="002B1EA9">
            <w:pPr>
              <w:keepNext/>
              <w:spacing w:after="0"/>
              <w:jc w:val="center"/>
              <w:rPr>
                <w:rFonts w:eastAsia="Times New Roman" w:cs="Times New Roman"/>
                <w:color w:val="FFFFFF"/>
                <w:sz w:val="20"/>
                <w:szCs w:val="20"/>
              </w:rPr>
            </w:pPr>
            <w:r>
              <w:rPr>
                <w:rFonts w:eastAsia="Times New Roman" w:cs="Times New Roman"/>
                <w:color w:val="FFFFFF"/>
                <w:sz w:val="20"/>
                <w:szCs w:val="20"/>
              </w:rPr>
              <w:t>70</w:t>
            </w:r>
            <w:r w:rsidR="00C914BD">
              <w:rPr>
                <w:rFonts w:eastAsia="Times New Roman" w:cs="Times New Roman"/>
                <w:color w:val="FFFFFF"/>
                <w:sz w:val="20"/>
                <w:szCs w:val="20"/>
              </w:rPr>
              <w:t>8</w:t>
            </w:r>
          </w:p>
        </w:tc>
        <w:tc>
          <w:tcPr>
            <w:tcW w:w="762" w:type="pct"/>
            <w:tcBorders>
              <w:top w:val="nil"/>
              <w:left w:val="nil"/>
              <w:bottom w:val="single" w:sz="4" w:space="0" w:color="auto"/>
              <w:right w:val="single" w:sz="4" w:space="0" w:color="auto"/>
            </w:tcBorders>
            <w:shd w:val="clear" w:color="000000" w:fill="666600"/>
            <w:noWrap/>
            <w:vAlign w:val="center"/>
          </w:tcPr>
          <w:p w:rsidR="009768DC" w:rsidRPr="004C4E1C" w:rsidRDefault="00EA4B0E" w:rsidP="005C1379">
            <w:pPr>
              <w:keepNext/>
              <w:spacing w:after="0"/>
              <w:jc w:val="center"/>
              <w:rPr>
                <w:rFonts w:eastAsia="Times New Roman" w:cs="Times New Roman"/>
                <w:color w:val="FFFFFF"/>
                <w:sz w:val="20"/>
                <w:szCs w:val="20"/>
              </w:rPr>
            </w:pPr>
            <w:r>
              <w:rPr>
                <w:rFonts w:eastAsia="Times New Roman" w:cs="Times New Roman"/>
                <w:color w:val="FFFFFF"/>
                <w:sz w:val="20"/>
                <w:szCs w:val="20"/>
              </w:rPr>
              <w:t>2,481</w:t>
            </w:r>
          </w:p>
        </w:tc>
        <w:tc>
          <w:tcPr>
            <w:tcW w:w="564" w:type="pct"/>
            <w:tcBorders>
              <w:top w:val="nil"/>
              <w:left w:val="nil"/>
              <w:bottom w:val="single" w:sz="4" w:space="0" w:color="auto"/>
              <w:right w:val="single" w:sz="4" w:space="0" w:color="auto"/>
            </w:tcBorders>
            <w:shd w:val="clear" w:color="000000" w:fill="666600"/>
            <w:noWrap/>
            <w:vAlign w:val="center"/>
          </w:tcPr>
          <w:p w:rsidR="009768DC" w:rsidRPr="00770B34" w:rsidRDefault="00EA4B0E" w:rsidP="002B1EA9">
            <w:pPr>
              <w:keepNext/>
              <w:spacing w:after="0"/>
              <w:jc w:val="center"/>
              <w:rPr>
                <w:rFonts w:eastAsia="Times New Roman" w:cs="Times New Roman"/>
                <w:b/>
                <w:color w:val="FFFFFF"/>
                <w:sz w:val="20"/>
                <w:szCs w:val="20"/>
              </w:rPr>
            </w:pPr>
            <w:r>
              <w:rPr>
                <w:rFonts w:eastAsia="Times New Roman" w:cs="Times New Roman"/>
                <w:b/>
                <w:color w:val="FFFFFF"/>
                <w:sz w:val="20"/>
                <w:szCs w:val="20"/>
              </w:rPr>
              <w:t>3,9</w:t>
            </w:r>
            <w:r w:rsidR="00C914BD">
              <w:rPr>
                <w:rFonts w:eastAsia="Times New Roman" w:cs="Times New Roman"/>
                <w:b/>
                <w:color w:val="FFFFFF"/>
                <w:sz w:val="20"/>
                <w:szCs w:val="20"/>
              </w:rPr>
              <w:t>79</w:t>
            </w:r>
          </w:p>
        </w:tc>
      </w:tr>
    </w:tbl>
    <w:p w:rsidR="00A57BD8" w:rsidRDefault="0005119B" w:rsidP="00C73E43">
      <w:pPr>
        <w:pStyle w:val="Heading3"/>
      </w:pPr>
      <w:bookmarkStart w:id="25" w:name="_Toc348504215"/>
      <w:bookmarkStart w:id="26" w:name="_Toc348965104"/>
      <w:r>
        <w:t>c.</w:t>
      </w:r>
      <w:r>
        <w:tab/>
      </w:r>
      <w:bookmarkStart w:id="27" w:name="_Toc348455494"/>
      <w:r w:rsidR="00A57BD8" w:rsidRPr="00F702BB">
        <w:t>Tim</w:t>
      </w:r>
      <w:r w:rsidR="00A57BD8">
        <w:t>e-Period for Sample Selection</w:t>
      </w:r>
      <w:bookmarkEnd w:id="25"/>
      <w:bookmarkEnd w:id="26"/>
      <w:bookmarkEnd w:id="27"/>
    </w:p>
    <w:p w:rsidR="00A57BD8" w:rsidRPr="00F702BB" w:rsidRDefault="00A57BD8" w:rsidP="00A57BD8">
      <w:r w:rsidRPr="00F702BB">
        <w:t xml:space="preserve">As illustrated in </w:t>
      </w:r>
      <w:r w:rsidR="006A5A4E">
        <w:fldChar w:fldCharType="begin"/>
      </w:r>
      <w:r w:rsidR="006A5A4E">
        <w:instrText xml:space="preserve"> REF  _Ref339556736 \* Lower \h  \* MERGEFORMAT </w:instrText>
      </w:r>
      <w:r w:rsidR="006A5A4E">
        <w:fldChar w:fldCharType="separate"/>
      </w:r>
      <w:r w:rsidR="00DF170B" w:rsidRPr="005A340E">
        <w:t xml:space="preserve">exhibit </w:t>
      </w:r>
      <w:r w:rsidR="00DF170B">
        <w:t>7</w:t>
      </w:r>
      <w:r w:rsidR="006A5A4E">
        <w:fldChar w:fldCharType="end"/>
      </w:r>
      <w:r w:rsidRPr="00F702BB">
        <w:t>, STC use peaked in calendar year 2009 with 288,618 STC first payments.</w:t>
      </w:r>
      <w:r w:rsidR="00997614" w:rsidRPr="00E13614">
        <w:rPr>
          <w:rStyle w:val="FootnoteReference"/>
          <w:rFonts w:cs="Times New Roman"/>
          <w:color w:val="000000"/>
          <w:szCs w:val="24"/>
        </w:rPr>
        <w:footnoteReference w:id="12"/>
      </w:r>
      <w:r w:rsidR="0005119B">
        <w:t xml:space="preserve"> </w:t>
      </w:r>
      <w:r w:rsidRPr="00F702BB">
        <w:t>This was roughly two percent of all UI first payments made during 2009</w:t>
      </w:r>
      <w:r w:rsidR="00693B97">
        <w:t xml:space="preserve">. </w:t>
      </w:r>
      <w:r w:rsidR="007A5976">
        <w:t>IMPAQ’s</w:t>
      </w:r>
      <w:r w:rsidRPr="00F702BB">
        <w:t xml:space="preserve"> conversations with STC managers at SWA</w:t>
      </w:r>
      <w:r w:rsidR="00FE0584">
        <w:t>s</w:t>
      </w:r>
      <w:r w:rsidRPr="00F702BB">
        <w:t xml:space="preserve"> confirmed that STC use peaked in 2009 in the four states and continued at historically high rates through 2011</w:t>
      </w:r>
      <w:r w:rsidR="00693B97">
        <w:t xml:space="preserve">. </w:t>
      </w:r>
      <w:r w:rsidR="007A5976">
        <w:t>As a result, to generate a sufficient sample size</w:t>
      </w:r>
      <w:r w:rsidR="00FE0584">
        <w:t>,</w:t>
      </w:r>
      <w:r w:rsidR="007A5976">
        <w:t xml:space="preserve"> t</w:t>
      </w:r>
      <w:r w:rsidRPr="00F702BB">
        <w:t>he time period for inclusion in the sampling frame will be calendar years 2009, 2010 and 2011.</w:t>
      </w:r>
    </w:p>
    <w:p w:rsidR="00A57BD8" w:rsidRPr="005A340E" w:rsidRDefault="00A57BD8" w:rsidP="00A57BD8">
      <w:pPr>
        <w:pStyle w:val="CaptionTitle"/>
      </w:pPr>
      <w:bookmarkStart w:id="28" w:name="_Ref339556736"/>
      <w:r w:rsidRPr="005A340E">
        <w:lastRenderedPageBreak/>
        <w:t xml:space="preserve">Exhibit </w:t>
      </w:r>
      <w:r w:rsidR="005F59DA">
        <w:fldChar w:fldCharType="begin"/>
      </w:r>
      <w:r w:rsidR="00437EBD">
        <w:instrText xml:space="preserve"> SEQ Exhibit \* ARABIC </w:instrText>
      </w:r>
      <w:r w:rsidR="005F59DA">
        <w:fldChar w:fldCharType="separate"/>
      </w:r>
      <w:r w:rsidR="00DF170B">
        <w:rPr>
          <w:noProof/>
        </w:rPr>
        <w:t>7</w:t>
      </w:r>
      <w:r w:rsidR="005F59DA">
        <w:rPr>
          <w:noProof/>
        </w:rPr>
        <w:fldChar w:fldCharType="end"/>
      </w:r>
      <w:bookmarkEnd w:id="28"/>
      <w:r w:rsidRPr="005A340E">
        <w:t xml:space="preserve">: </w:t>
      </w:r>
      <w:r>
        <w:t xml:space="preserve">STC </w:t>
      </w:r>
      <w:r w:rsidR="00FE0584">
        <w:t>Use</w:t>
      </w:r>
      <w:r>
        <w:t xml:space="preserve"> from 1995 through 2011</w:t>
      </w:r>
    </w:p>
    <w:p w:rsidR="00A57BD8" w:rsidRDefault="00A57BD8" w:rsidP="00E24B6C">
      <w:pPr>
        <w:pStyle w:val="ExhibitNote"/>
        <w:spacing w:after="0" w:line="240" w:lineRule="auto"/>
        <w:jc w:val="center"/>
      </w:pPr>
      <w:r>
        <w:rPr>
          <w:noProof/>
        </w:rPr>
        <w:drawing>
          <wp:inline distT="0" distB="0" distL="0" distR="0" wp14:anchorId="135FC743" wp14:editId="5C6C01D9">
            <wp:extent cx="5362575" cy="278563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4C1A" w:rsidRDefault="00A57BD8" w:rsidP="00E24B6C">
      <w:pPr>
        <w:pStyle w:val="ExhibitNote"/>
        <w:spacing w:line="240" w:lineRule="auto"/>
      </w:pPr>
      <w:r>
        <w:t>Source: ETA UI AW 5159 and AR 5159.</w:t>
      </w:r>
    </w:p>
    <w:p w:rsidR="007506FD" w:rsidRDefault="007506FD" w:rsidP="006A63E7">
      <w:pPr>
        <w:pStyle w:val="Heading2"/>
      </w:pPr>
      <w:bookmarkStart w:id="29" w:name="_Toc348455495"/>
      <w:bookmarkStart w:id="30" w:name="_Toc348965105"/>
      <w:r>
        <w:t>2.</w:t>
      </w:r>
      <w:r>
        <w:tab/>
        <w:t>Procedures for Collectin</w:t>
      </w:r>
      <w:r w:rsidR="00FE0584">
        <w:t>g</w:t>
      </w:r>
      <w:r>
        <w:t xml:space="preserve"> Information</w:t>
      </w:r>
      <w:bookmarkEnd w:id="11"/>
      <w:bookmarkEnd w:id="29"/>
      <w:bookmarkEnd w:id="30"/>
    </w:p>
    <w:p w:rsidR="00236824" w:rsidRDefault="00236824" w:rsidP="00236824">
      <w:r w:rsidRPr="00C531C8">
        <w:t>T</w:t>
      </w:r>
      <w:r>
        <w:t xml:space="preserve">he </w:t>
      </w:r>
      <w:r w:rsidR="004D3708">
        <w:t xml:space="preserve">objective of this study </w:t>
      </w:r>
      <w:r w:rsidRPr="00C531C8">
        <w:rPr>
          <w:color w:val="000000"/>
        </w:rPr>
        <w:t xml:space="preserve">is to </w:t>
      </w:r>
      <w:r w:rsidRPr="00C531C8">
        <w:t xml:space="preserve">understand employers’ awareness and perceptions of the STC </w:t>
      </w:r>
      <w:r w:rsidR="00FE0584">
        <w:t>P</w:t>
      </w:r>
      <w:r w:rsidR="00FE0584" w:rsidRPr="00C531C8">
        <w:t>rogram</w:t>
      </w:r>
      <w:r w:rsidRPr="00C531C8">
        <w:t>, including how various elements of the program affect their interest and participation</w:t>
      </w:r>
      <w:r w:rsidR="00693B97">
        <w:t xml:space="preserve">. </w:t>
      </w:r>
      <w:r w:rsidR="00FF04DB">
        <w:t xml:space="preserve">The study </w:t>
      </w:r>
      <w:r>
        <w:t xml:space="preserve">will provide information on how </w:t>
      </w:r>
      <w:r w:rsidRPr="00C531C8">
        <w:t>these factors vary with employer characteristics, recent trends in STC benefits paid to employees</w:t>
      </w:r>
      <w:r w:rsidR="00FF04DB">
        <w:t xml:space="preserve"> (</w:t>
      </w:r>
      <w:r>
        <w:t xml:space="preserve">including </w:t>
      </w:r>
      <w:r w:rsidRPr="00C531C8">
        <w:t>variation across states and how such variation relate</w:t>
      </w:r>
      <w:r w:rsidR="00FF04DB">
        <w:t>s</w:t>
      </w:r>
      <w:r w:rsidRPr="00C531C8">
        <w:t xml:space="preserve"> to state STC provisions</w:t>
      </w:r>
      <w:r w:rsidR="00FF04DB">
        <w:t xml:space="preserve">), </w:t>
      </w:r>
      <w:r>
        <w:t xml:space="preserve">and </w:t>
      </w:r>
      <w:r w:rsidRPr="00C531C8">
        <w:t xml:space="preserve">how </w:t>
      </w:r>
      <w:r w:rsidR="00FF04DB" w:rsidRPr="00C531C8">
        <w:t>the Federal STC legislation</w:t>
      </w:r>
      <w:r w:rsidR="00FF04DB">
        <w:t xml:space="preserve"> may impact </w:t>
      </w:r>
      <w:r>
        <w:t xml:space="preserve">existing </w:t>
      </w:r>
      <w:r w:rsidRPr="00C531C8">
        <w:t>state</w:t>
      </w:r>
      <w:r w:rsidR="00601197">
        <w:t>-</w:t>
      </w:r>
      <w:r w:rsidRPr="00C531C8">
        <w:t xml:space="preserve">level </w:t>
      </w:r>
      <w:r>
        <w:t xml:space="preserve">laws </w:t>
      </w:r>
      <w:r w:rsidRPr="00C531C8">
        <w:t>related to STC programs.</w:t>
      </w:r>
    </w:p>
    <w:p w:rsidR="00236824" w:rsidRPr="00A707A5" w:rsidRDefault="00F50052" w:rsidP="00236824">
      <w:r>
        <w:t>To</w:t>
      </w:r>
      <w:r w:rsidR="00236824">
        <w:t xml:space="preserve"> achieve this objective, we will administer an employer survey using a </w:t>
      </w:r>
      <w:r w:rsidR="00FF04DB">
        <w:t>Web</w:t>
      </w:r>
      <w:r w:rsidR="00236824">
        <w:t>-based data collection survey tool</w:t>
      </w:r>
      <w:r w:rsidR="00693B97">
        <w:t xml:space="preserve">. </w:t>
      </w:r>
      <w:r w:rsidR="00236824" w:rsidRPr="00A707A5">
        <w:t xml:space="preserve">The </w:t>
      </w:r>
      <w:r w:rsidR="00FF04DB">
        <w:t>Web</w:t>
      </w:r>
      <w:r w:rsidR="00236824" w:rsidRPr="00A707A5">
        <w:t xml:space="preserve">-based survey will be supplemented </w:t>
      </w:r>
      <w:r w:rsidR="00096DD2">
        <w:t>by</w:t>
      </w:r>
      <w:r w:rsidR="00236824" w:rsidRPr="00A707A5">
        <w:t xml:space="preserve"> a telephone follow-up survey of non-respondents</w:t>
      </w:r>
      <w:r w:rsidR="00693B97">
        <w:t xml:space="preserve">. </w:t>
      </w:r>
      <w:r w:rsidR="00FF04DB">
        <w:t>I</w:t>
      </w:r>
      <w:r w:rsidR="00236824" w:rsidRPr="00A707A5">
        <w:t>f an employer does no</w:t>
      </w:r>
      <w:r w:rsidR="00096DD2">
        <w:t xml:space="preserve">t complete the </w:t>
      </w:r>
      <w:r w:rsidR="00FF04DB">
        <w:t>Web</w:t>
      </w:r>
      <w:r w:rsidR="00096DD2">
        <w:t>-based survey</w:t>
      </w:r>
      <w:r w:rsidR="00236824" w:rsidRPr="00A707A5">
        <w:t xml:space="preserve">, IMPAQ’s telephone survey center will follow up </w:t>
      </w:r>
      <w:r w:rsidR="00236824">
        <w:t xml:space="preserve">to </w:t>
      </w:r>
      <w:r w:rsidR="00096DD2">
        <w:t xml:space="preserve">solicit the </w:t>
      </w:r>
      <w:r w:rsidR="00CA6323">
        <w:t>employer’s</w:t>
      </w:r>
      <w:r w:rsidR="00096DD2">
        <w:t xml:space="preserve"> </w:t>
      </w:r>
      <w:r w:rsidR="00AD0F74">
        <w:t>responses</w:t>
      </w:r>
      <w:r w:rsidR="00236824">
        <w:t>.</w:t>
      </w:r>
    </w:p>
    <w:p w:rsidR="007506FD" w:rsidRDefault="007506FD" w:rsidP="006A63E7">
      <w:pPr>
        <w:pStyle w:val="Heading3"/>
      </w:pPr>
      <w:bookmarkStart w:id="31" w:name="_Toc348504217"/>
      <w:bookmarkStart w:id="32" w:name="_Toc348455496"/>
      <w:bookmarkStart w:id="33" w:name="_Toc348965106"/>
      <w:r>
        <w:t>a.</w:t>
      </w:r>
      <w:r>
        <w:tab/>
        <w:t>Statistical Methodology, Estimation, and Degree of Accuracy</w:t>
      </w:r>
      <w:bookmarkEnd w:id="31"/>
      <w:bookmarkEnd w:id="32"/>
      <w:bookmarkEnd w:id="33"/>
    </w:p>
    <w:bookmarkEnd w:id="8"/>
    <w:p w:rsidR="004A7CAD" w:rsidRDefault="00720792" w:rsidP="00731648">
      <w:pPr>
        <w:pStyle w:val="BodyText"/>
        <w:jc w:val="both"/>
      </w:pPr>
      <w:r>
        <w:t xml:space="preserve">IMPAQ will conduct a census of employers in Group 1 (STC plan approved), Group 2 (STC plan not approved), and Group 3 (did not apply but inquired about STC). </w:t>
      </w:r>
      <w:r w:rsidR="004A7CAD">
        <w:t>We will employ a stratified sampling plan to populate Group 4 (did not apply and did not inquire about STC). We will stratify on industry because employers in certain industries are more likely to apply for STC. For stratification, we will use STC administrative data to identify the prevalent industries associated with STC</w:t>
      </w:r>
      <w:r w:rsidR="00693B97">
        <w:t xml:space="preserve">. </w:t>
      </w:r>
      <w:r w:rsidR="004A7CAD">
        <w:t>We will then use UI administrative records to identify employers in these industries that did not inquire or apply to participate in STC. These employers will then be grouped into strata by industry</w:t>
      </w:r>
      <w:r w:rsidR="00865675">
        <w:t xml:space="preserve"> </w:t>
      </w:r>
      <w:r w:rsidR="004B3562">
        <w:t xml:space="preserve">using </w:t>
      </w:r>
      <w:r w:rsidR="00865675">
        <w:t xml:space="preserve">the NAICS 2012 </w:t>
      </w:r>
      <w:r w:rsidR="009B2265">
        <w:t>classifications</w:t>
      </w:r>
      <w:r w:rsidR="00865675">
        <w:t>.</w:t>
      </w:r>
      <w:r w:rsidR="004A7CAD">
        <w:t xml:space="preserve"> </w:t>
      </w:r>
      <w:r w:rsidR="00865675">
        <w:t xml:space="preserve">We will use no more </w:t>
      </w:r>
      <w:r w:rsidR="00333642">
        <w:t>than</w:t>
      </w:r>
      <w:r w:rsidR="00865675">
        <w:t xml:space="preserve"> 10 strata. </w:t>
      </w:r>
      <w:r w:rsidR="004A7CAD">
        <w:t xml:space="preserve">Employers within each stratum will be selected with equal probability. </w:t>
      </w:r>
    </w:p>
    <w:p w:rsidR="00FD207D" w:rsidRDefault="00FD207D" w:rsidP="00FD207D">
      <w:r>
        <w:t xml:space="preserve">We will </w:t>
      </w:r>
      <w:r w:rsidR="004A7CAD">
        <w:t>account</w:t>
      </w:r>
      <w:r>
        <w:t xml:space="preserve"> for the stratified sampling design </w:t>
      </w:r>
      <w:r w:rsidR="004A7CAD">
        <w:t xml:space="preserve">in our analyses </w:t>
      </w:r>
      <w:r>
        <w:t xml:space="preserve">using Stata’s survey procedures. These operations </w:t>
      </w:r>
      <w:r w:rsidR="00AD0F74">
        <w:t xml:space="preserve">enable </w:t>
      </w:r>
      <w:r>
        <w:t xml:space="preserve">the user to define the survey design for the dataset, thereby </w:t>
      </w:r>
      <w:r>
        <w:lastRenderedPageBreak/>
        <w:t>taking into account the specific characteristics of the survey data. Failure to analyze the data without considering the sampling characteristics can result in inaccurate point estimates and/or inaccurate estimates of standard errors. Specifically, we will use Stata’s “</w:t>
      </w:r>
      <w:proofErr w:type="spellStart"/>
      <w:r>
        <w:t>svyset</w:t>
      </w:r>
      <w:proofErr w:type="spellEnd"/>
      <w:r>
        <w:t xml:space="preserve">” command to define the primary sampling unit and identify the strata and weight variables. </w:t>
      </w:r>
      <w:r w:rsidR="00AD0F74">
        <w:t xml:space="preserve">After defining </w:t>
      </w:r>
      <w:r>
        <w:t>these characteristics, we will use the “</w:t>
      </w:r>
      <w:proofErr w:type="spellStart"/>
      <w:r>
        <w:t>svy</w:t>
      </w:r>
      <w:proofErr w:type="spellEnd"/>
      <w:r>
        <w:t xml:space="preserve">:” prefix for all subsequent commands and calculations. This </w:t>
      </w:r>
      <w:r w:rsidR="00AD0F74">
        <w:t xml:space="preserve">enables </w:t>
      </w:r>
      <w:r>
        <w:t xml:space="preserve">Stata to perform the computations while taking into account the survey design. Conveniently, Stata stores these characteristics with the dataset, eliminating the need to re-define the sampling design </w:t>
      </w:r>
      <w:r w:rsidR="00AD0F74">
        <w:t xml:space="preserve">with </w:t>
      </w:r>
      <w:r>
        <w:t>each dataset use.</w:t>
      </w:r>
    </w:p>
    <w:p w:rsidR="00A86442" w:rsidRPr="0002473C" w:rsidRDefault="00236824" w:rsidP="00A86442">
      <w:proofErr w:type="gramStart"/>
      <w:r w:rsidRPr="001F5912">
        <w:rPr>
          <w:b/>
          <w:bCs/>
          <w:sz w:val="23"/>
          <w:szCs w:val="23"/>
        </w:rPr>
        <w:t>Estimation</w:t>
      </w:r>
      <w:r w:rsidR="001F5912">
        <w:rPr>
          <w:b/>
          <w:bCs/>
          <w:sz w:val="23"/>
          <w:szCs w:val="23"/>
        </w:rPr>
        <w:t xml:space="preserve"> </w:t>
      </w:r>
      <w:r w:rsidRPr="001F5912">
        <w:rPr>
          <w:b/>
          <w:bCs/>
          <w:sz w:val="23"/>
          <w:szCs w:val="23"/>
        </w:rPr>
        <w:t>Procedures</w:t>
      </w:r>
      <w:r w:rsidR="001F5912">
        <w:rPr>
          <w:b/>
          <w:bCs/>
          <w:sz w:val="23"/>
          <w:szCs w:val="23"/>
        </w:rPr>
        <w:t>.</w:t>
      </w:r>
      <w:proofErr w:type="gramEnd"/>
      <w:r w:rsidR="00F50052">
        <w:rPr>
          <w:b/>
        </w:rPr>
        <w:t xml:space="preserve"> </w:t>
      </w:r>
      <w:r w:rsidR="00A86442" w:rsidRPr="00D5567B">
        <w:t>Employer survey</w:t>
      </w:r>
      <w:r w:rsidR="00A86442" w:rsidRPr="0002473C">
        <w:t xml:space="preserve"> data from participating and non-participating employers will </w:t>
      </w:r>
      <w:r w:rsidR="00AD0F74">
        <w:t>enable</w:t>
      </w:r>
      <w:r w:rsidR="00AD0F74" w:rsidRPr="0002473C">
        <w:t xml:space="preserve"> </w:t>
      </w:r>
      <w:r w:rsidR="00A86442" w:rsidRPr="0002473C">
        <w:t xml:space="preserve">us to examine the factors related to the employer participation decision, </w:t>
      </w:r>
      <w:r w:rsidR="00F50052">
        <w:t>a</w:t>
      </w:r>
      <w:r w:rsidR="00F50052" w:rsidRPr="0002473C">
        <w:t xml:space="preserve"> </w:t>
      </w:r>
      <w:r w:rsidR="00A86442" w:rsidRPr="0002473C">
        <w:t>key focus of this study</w:t>
      </w:r>
      <w:r w:rsidR="00693B97">
        <w:t xml:space="preserve">. </w:t>
      </w:r>
      <w:r w:rsidR="00A86442" w:rsidRPr="0002473C">
        <w:t>Our analyses will include descriptive statistics (tabulations, means, standard deviations, etc.) of:</w:t>
      </w:r>
    </w:p>
    <w:p w:rsidR="00A86442" w:rsidRPr="00A86442" w:rsidRDefault="00A86442" w:rsidP="0091457B">
      <w:pPr>
        <w:pStyle w:val="Bullet"/>
        <w:numPr>
          <w:ilvl w:val="0"/>
          <w:numId w:val="46"/>
        </w:numPr>
        <w:spacing w:before="120" w:after="0"/>
        <w:ind w:left="720"/>
      </w:pPr>
      <w:r w:rsidRPr="00A86442">
        <w:t>All available employer characteristics (industry, number of employees, years in business, annual revenue, etc.)</w:t>
      </w:r>
      <w:r w:rsidR="00AD0F74">
        <w:t>.</w:t>
      </w:r>
    </w:p>
    <w:p w:rsidR="00A86442" w:rsidRPr="00A86442" w:rsidRDefault="00A86442" w:rsidP="0091457B">
      <w:pPr>
        <w:pStyle w:val="Bullet"/>
        <w:numPr>
          <w:ilvl w:val="0"/>
          <w:numId w:val="46"/>
        </w:numPr>
        <w:spacing w:before="120" w:after="0"/>
        <w:ind w:left="720"/>
      </w:pPr>
      <w:r w:rsidRPr="00A86442">
        <w:t xml:space="preserve">STC participation rates and STC </w:t>
      </w:r>
      <w:r w:rsidR="00AD0F74">
        <w:t>P</w:t>
      </w:r>
      <w:r w:rsidR="00AD0F74" w:rsidRPr="00A86442">
        <w:t xml:space="preserve">rogram </w:t>
      </w:r>
      <w:r w:rsidR="00FE0584">
        <w:t>use</w:t>
      </w:r>
      <w:r w:rsidRPr="00A86442">
        <w:t xml:space="preserve"> (the number of quarters in which firms used STC)</w:t>
      </w:r>
      <w:r w:rsidR="00AD0F74">
        <w:t>.</w:t>
      </w:r>
    </w:p>
    <w:p w:rsidR="00A86442" w:rsidRPr="00A86442" w:rsidRDefault="00A86442" w:rsidP="0091457B">
      <w:pPr>
        <w:pStyle w:val="Bullet"/>
        <w:numPr>
          <w:ilvl w:val="0"/>
          <w:numId w:val="46"/>
        </w:numPr>
        <w:spacing w:before="120" w:after="0"/>
        <w:ind w:left="720"/>
      </w:pPr>
      <w:r w:rsidRPr="00A86442">
        <w:t xml:space="preserve">Reasons for participating in the STC </w:t>
      </w:r>
      <w:r w:rsidR="00AD0F74">
        <w:t>P</w:t>
      </w:r>
      <w:r w:rsidR="00AD0F74" w:rsidRPr="00A86442">
        <w:t xml:space="preserve">rogram </w:t>
      </w:r>
      <w:r w:rsidRPr="00A86442">
        <w:t xml:space="preserve">(retain skilled workers, </w:t>
      </w:r>
      <w:r w:rsidR="008C371D" w:rsidRPr="00A86442">
        <w:t>improv</w:t>
      </w:r>
      <w:r w:rsidR="008C371D">
        <w:t>e</w:t>
      </w:r>
      <w:r w:rsidR="008C371D" w:rsidRPr="00A86442">
        <w:t xml:space="preserve"> </w:t>
      </w:r>
      <w:r w:rsidRPr="00A86442">
        <w:t>employee morale, and avoid future recruitment and training costs</w:t>
      </w:r>
      <w:r w:rsidR="008C371D">
        <w:t>)</w:t>
      </w:r>
      <w:r w:rsidR="00AD0F74">
        <w:t>.</w:t>
      </w:r>
    </w:p>
    <w:p w:rsidR="00A86442" w:rsidRPr="00A86442" w:rsidRDefault="00A86442" w:rsidP="0091457B">
      <w:pPr>
        <w:pStyle w:val="Bullet"/>
        <w:numPr>
          <w:ilvl w:val="0"/>
          <w:numId w:val="46"/>
        </w:numPr>
        <w:spacing w:before="120" w:after="0"/>
        <w:ind w:left="720"/>
      </w:pPr>
      <w:r w:rsidRPr="00A86442">
        <w:t>Reasons for not participating (lack of awareness of the program, the administrative burden of participation, higher UI charges, or production technologies that limit the potential for reducing working hours</w:t>
      </w:r>
      <w:r w:rsidR="008C371D">
        <w:t>)</w:t>
      </w:r>
      <w:r w:rsidR="00AD0F74">
        <w:t>.</w:t>
      </w:r>
    </w:p>
    <w:p w:rsidR="00A86442" w:rsidRPr="00736E1F" w:rsidRDefault="00A86442" w:rsidP="0091457B">
      <w:pPr>
        <w:pStyle w:val="Bullet"/>
        <w:numPr>
          <w:ilvl w:val="0"/>
          <w:numId w:val="46"/>
        </w:numPr>
        <w:spacing w:before="120" w:after="240"/>
        <w:ind w:left="720"/>
      </w:pPr>
      <w:r w:rsidRPr="00A86442">
        <w:t>Employer and employee interest (as reported by employers) in participating</w:t>
      </w:r>
      <w:r w:rsidRPr="00736E1F">
        <w:t>.</w:t>
      </w:r>
    </w:p>
    <w:p w:rsidR="00F50052" w:rsidRPr="00B83E1C" w:rsidRDefault="00A86442" w:rsidP="00A86442">
      <w:r w:rsidRPr="001028F6">
        <w:t xml:space="preserve">In addition to descriptive analyses, we will use multivariate regression models to produce a more detailed characterization of the relationships between employer characteristics and participation in </w:t>
      </w:r>
      <w:r w:rsidR="00AD0F74">
        <w:t xml:space="preserve">the </w:t>
      </w:r>
      <w:r w:rsidRPr="001028F6">
        <w:t xml:space="preserve">STC </w:t>
      </w:r>
      <w:r w:rsidR="00AD0F74">
        <w:t>P</w:t>
      </w:r>
      <w:r w:rsidRPr="001028F6">
        <w:t>rogram</w:t>
      </w:r>
      <w:r w:rsidR="00693B97">
        <w:t xml:space="preserve">. </w:t>
      </w:r>
      <w:r w:rsidRPr="001028F6">
        <w:t>We will estimate the following logistic regression model using pooled employer survey data:</w:t>
      </w:r>
    </w:p>
    <w:p w:rsidR="00134C1A" w:rsidRPr="004D6258" w:rsidRDefault="00CA154D" w:rsidP="00A86442">
      <w:pPr>
        <w:rPr>
          <w:rFonts w:eastAsiaTheme="minorEastAsia"/>
          <w:color w:val="000000"/>
          <w:szCs w:val="24"/>
        </w:rPr>
      </w:pPr>
      <m:oMathPara>
        <m:oMath>
          <m:r>
            <w:rPr>
              <w:rFonts w:ascii="Cambria Math" w:hAnsi="Cambria Math" w:cs="Times New Roman"/>
              <w:color w:val="000000"/>
              <w:szCs w:val="24"/>
            </w:rPr>
            <m:t>Y=X</m:t>
          </m:r>
          <m:r>
            <m:rPr>
              <m:sty m:val="p"/>
            </m:rPr>
            <w:rPr>
              <w:rFonts w:ascii="Cambria Math" w:hAnsi="Cambria Math" w:cs="Times New Roman"/>
              <w:color w:val="000000"/>
              <w:szCs w:val="24"/>
            </w:rPr>
            <m:t>∙</m:t>
          </m:r>
          <m:r>
            <w:rPr>
              <w:rFonts w:ascii="Cambria Math" w:hAnsi="Cambria Math" w:cs="Times New Roman"/>
              <w:color w:val="000000"/>
              <w:szCs w:val="24"/>
            </w:rPr>
            <m:t>a+S</m:t>
          </m:r>
          <m:r>
            <m:rPr>
              <m:sty m:val="p"/>
            </m:rPr>
            <w:rPr>
              <w:rFonts w:ascii="Cambria Math" w:hAnsi="Cambria Math" w:cs="Times New Roman"/>
              <w:color w:val="000000"/>
              <w:szCs w:val="24"/>
            </w:rPr>
            <m:t>∙</m:t>
          </m:r>
          <m:r>
            <w:rPr>
              <w:rFonts w:ascii="Cambria Math" w:hAnsi="Cambria Math" w:cs="Times New Roman"/>
              <w:color w:val="000000"/>
              <w:szCs w:val="24"/>
            </w:rPr>
            <m:t>b+u</m:t>
          </m:r>
        </m:oMath>
      </m:oMathPara>
    </w:p>
    <w:p w:rsidR="00A86442" w:rsidRPr="001028F6" w:rsidRDefault="00A86442" w:rsidP="00A86442">
      <w:r w:rsidRPr="001028F6">
        <w:t>The dependent variable (Y) is equal to 1 if the employer participates in the STC program and zero otherwise</w:t>
      </w:r>
      <w:r w:rsidR="00693B97">
        <w:t xml:space="preserve">. </w:t>
      </w:r>
      <w:r w:rsidRPr="001028F6">
        <w:t>Control variables include:</w:t>
      </w:r>
    </w:p>
    <w:p w:rsidR="00A86442" w:rsidRPr="00A86442" w:rsidRDefault="003B0418" w:rsidP="0091457B">
      <w:pPr>
        <w:pStyle w:val="Bullet"/>
        <w:numPr>
          <w:ilvl w:val="0"/>
          <w:numId w:val="47"/>
        </w:numPr>
        <w:spacing w:before="120" w:after="0"/>
        <w:ind w:left="720"/>
      </w:pPr>
      <m:oMath>
        <m:r>
          <m:rPr>
            <m:sty m:val="p"/>
          </m:rPr>
          <w:rPr>
            <w:rFonts w:ascii="Cambria Math" w:hAnsi="Cambria Math"/>
          </w:rPr>
          <m:t>X</m:t>
        </m:r>
      </m:oMath>
      <w:r w:rsidR="00A86442" w:rsidRPr="001028F6">
        <w:t xml:space="preserve">, </w:t>
      </w:r>
      <w:r w:rsidR="00A86442" w:rsidRPr="00A86442">
        <w:t>which includes all available employer characteristics in the survey data (e.g., industry, size, annual revenue) and a constant term</w:t>
      </w:r>
      <w:r w:rsidR="00AD0F74">
        <w:t>.</w:t>
      </w:r>
    </w:p>
    <w:p w:rsidR="00A86442" w:rsidRPr="00A86442" w:rsidRDefault="003B0418" w:rsidP="0091457B">
      <w:pPr>
        <w:pStyle w:val="Bullet"/>
        <w:numPr>
          <w:ilvl w:val="0"/>
          <w:numId w:val="47"/>
        </w:numPr>
        <w:spacing w:before="120" w:after="0"/>
        <w:ind w:left="720"/>
      </w:pPr>
      <m:oMath>
        <m:r>
          <m:rPr>
            <m:sty m:val="p"/>
          </m:rPr>
          <w:rPr>
            <w:rFonts w:ascii="Cambria Math" w:hAnsi="Cambria Math"/>
          </w:rPr>
          <m:t>S</m:t>
        </m:r>
      </m:oMath>
      <w:r w:rsidR="00A86442" w:rsidRPr="00A86442">
        <w:t>, includes identifiers for each of the four states</w:t>
      </w:r>
      <w:r w:rsidR="00AD0F74">
        <w:t>.</w:t>
      </w:r>
    </w:p>
    <w:p w:rsidR="00A86442" w:rsidRPr="001028F6" w:rsidRDefault="003B0418" w:rsidP="0091457B">
      <w:pPr>
        <w:pStyle w:val="Bullet"/>
        <w:numPr>
          <w:ilvl w:val="0"/>
          <w:numId w:val="47"/>
        </w:numPr>
        <w:spacing w:before="120" w:after="240"/>
        <w:ind w:left="720"/>
      </w:pPr>
      <m:oMath>
        <m:r>
          <m:rPr>
            <m:sty m:val="p"/>
          </m:rPr>
          <w:rPr>
            <w:rFonts w:ascii="Cambria Math" w:hAnsi="Cambria Math"/>
          </w:rPr>
          <m:t>u</m:t>
        </m:r>
      </m:oMath>
      <w:r w:rsidR="00A86442" w:rsidRPr="00A86442">
        <w:t>, a mean</w:t>
      </w:r>
      <w:r w:rsidR="00A86442" w:rsidRPr="001028F6">
        <w:t xml:space="preserve"> zero disturbance term.</w:t>
      </w:r>
    </w:p>
    <w:p w:rsidR="00A86442" w:rsidRDefault="00A86442" w:rsidP="00A86442">
      <w:r>
        <w:t>We will repeat this analysis for each state and</w:t>
      </w:r>
      <w:r w:rsidRPr="001028F6">
        <w:t xml:space="preserve"> use t-tests to determine if the estimated coefficient associated with each employer characteristic is statistically significant</w:t>
      </w:r>
      <w:r w:rsidR="00693B97">
        <w:t xml:space="preserve">. </w:t>
      </w:r>
      <w:r w:rsidRPr="001028F6">
        <w:t>The results of these models will allow us to assess whether significant difference</w:t>
      </w:r>
      <w:r w:rsidR="00F50052">
        <w:t>s</w:t>
      </w:r>
      <w:r w:rsidRPr="001028F6">
        <w:t xml:space="preserve"> </w:t>
      </w:r>
      <w:r w:rsidR="00AD0F74">
        <w:t xml:space="preserve">exist </w:t>
      </w:r>
      <w:r w:rsidRPr="001028F6">
        <w:t>in the likelihood of participation across employer characteristics and the direction of those differences</w:t>
      </w:r>
      <w:r w:rsidR="00693B97">
        <w:t xml:space="preserve">. </w:t>
      </w:r>
      <w:r w:rsidRPr="001028F6">
        <w:t xml:space="preserve">For example, we </w:t>
      </w:r>
      <w:r w:rsidR="00AD0F74">
        <w:t>can</w:t>
      </w:r>
      <w:r w:rsidRPr="001028F6">
        <w:t xml:space="preserve"> assess whether larger firms are less likely to participate in STC than other employers, controlling for </w:t>
      </w:r>
      <w:r w:rsidR="003B0418">
        <w:t>other employer characteristics.</w:t>
      </w:r>
    </w:p>
    <w:p w:rsidR="007506FD" w:rsidRDefault="007506FD" w:rsidP="006A63E7">
      <w:pPr>
        <w:pStyle w:val="Heading3"/>
      </w:pPr>
      <w:bookmarkStart w:id="34" w:name="_Toc348504218"/>
      <w:bookmarkStart w:id="35" w:name="_Toc348455497"/>
      <w:bookmarkStart w:id="36" w:name="_Toc348965107"/>
      <w:r>
        <w:lastRenderedPageBreak/>
        <w:t>b.</w:t>
      </w:r>
      <w:r>
        <w:tab/>
        <w:t>Unusual Problems Requiring Specialized Sampling Procedures.</w:t>
      </w:r>
      <w:bookmarkEnd w:id="34"/>
      <w:bookmarkEnd w:id="35"/>
      <w:bookmarkEnd w:id="36"/>
    </w:p>
    <w:p w:rsidR="007506FD" w:rsidRDefault="007506FD" w:rsidP="006A63E7">
      <w:r>
        <w:t>There are no unusual problems requiring specialized sampling procedures</w:t>
      </w:r>
      <w:r w:rsidR="00693B97">
        <w:t xml:space="preserve">. </w:t>
      </w:r>
    </w:p>
    <w:p w:rsidR="007506FD" w:rsidRDefault="007506FD" w:rsidP="006A63E7">
      <w:pPr>
        <w:pStyle w:val="Heading2"/>
      </w:pPr>
      <w:bookmarkStart w:id="37" w:name="_Toc21406408"/>
      <w:bookmarkStart w:id="38" w:name="_Toc295118815"/>
      <w:bookmarkStart w:id="39" w:name="_Toc348455498"/>
      <w:bookmarkStart w:id="40" w:name="_Toc348965108"/>
      <w:r>
        <w:t>3.</w:t>
      </w:r>
      <w:r>
        <w:tab/>
        <w:t>Methods to Maximize Response Rates and Data Reliability</w:t>
      </w:r>
      <w:bookmarkEnd w:id="37"/>
      <w:bookmarkEnd w:id="38"/>
      <w:bookmarkEnd w:id="39"/>
      <w:bookmarkEnd w:id="40"/>
    </w:p>
    <w:p w:rsidR="00134C1A" w:rsidRDefault="007506FD" w:rsidP="007235AA">
      <w:pPr>
        <w:pStyle w:val="Heading3"/>
      </w:pPr>
      <w:bookmarkStart w:id="41" w:name="_Toc21406409"/>
      <w:bookmarkStart w:id="42" w:name="_Toc348504220"/>
      <w:bookmarkStart w:id="43" w:name="_Toc348455499"/>
      <w:bookmarkStart w:id="44" w:name="_Toc348965109"/>
      <w:r>
        <w:t>a.</w:t>
      </w:r>
      <w:r>
        <w:tab/>
        <w:t>Response Rates</w:t>
      </w:r>
      <w:bookmarkEnd w:id="41"/>
      <w:bookmarkEnd w:id="42"/>
      <w:bookmarkEnd w:id="43"/>
      <w:bookmarkEnd w:id="44"/>
    </w:p>
    <w:p w:rsidR="00BA274E" w:rsidRPr="00705C8C" w:rsidRDefault="00BA274E" w:rsidP="00BA274E">
      <w:r w:rsidRPr="00705C8C">
        <w:t xml:space="preserve">We define response rate as the proportion of completed and partially completed </w:t>
      </w:r>
      <w:r w:rsidR="00FF04DB">
        <w:t>Web</w:t>
      </w:r>
      <w:r w:rsidRPr="00705C8C">
        <w:t xml:space="preserve"> </w:t>
      </w:r>
      <w:r w:rsidR="00262F69">
        <w:t>and</w:t>
      </w:r>
      <w:r w:rsidRPr="00705C8C">
        <w:t xml:space="preserve"> phone interviews to the number of eligible employers identified from the UI administrative data in four states</w:t>
      </w:r>
      <w:r w:rsidR="00693B97">
        <w:t xml:space="preserve">. </w:t>
      </w:r>
      <w:r w:rsidR="00262F69">
        <w:t>The r</w:t>
      </w:r>
      <w:r w:rsidRPr="00705C8C">
        <w:t xml:space="preserve">esponse rate is crucial for this project as a high response rate ensures study external validity by accurately inferring the characteristic of </w:t>
      </w:r>
      <w:r w:rsidR="00C570A0">
        <w:t xml:space="preserve">STC </w:t>
      </w:r>
      <w:r w:rsidRPr="00705C8C">
        <w:t xml:space="preserve">participating firms and the extent to which </w:t>
      </w:r>
      <w:r w:rsidR="00C570A0">
        <w:t>the STC</w:t>
      </w:r>
      <w:r w:rsidRPr="00705C8C">
        <w:t xml:space="preserve"> </w:t>
      </w:r>
      <w:r w:rsidR="00B06DE7">
        <w:t>P</w:t>
      </w:r>
      <w:r w:rsidR="00B06DE7" w:rsidRPr="00705C8C">
        <w:t xml:space="preserve">rogram </w:t>
      </w:r>
      <w:r w:rsidRPr="00705C8C">
        <w:t>is adopted by employers in the sample</w:t>
      </w:r>
      <w:r w:rsidR="00693B97">
        <w:t xml:space="preserve">. </w:t>
      </w:r>
      <w:r w:rsidRPr="00705C8C">
        <w:t xml:space="preserve">Additionally, the pattern of response rate among employers may reveal varied interests in the </w:t>
      </w:r>
      <w:r w:rsidR="00C570A0">
        <w:t>STC</w:t>
      </w:r>
      <w:r w:rsidRPr="00705C8C">
        <w:t xml:space="preserve"> </w:t>
      </w:r>
      <w:r w:rsidR="00B06DE7">
        <w:t>P</w:t>
      </w:r>
      <w:r w:rsidR="00B06DE7" w:rsidRPr="00705C8C">
        <w:t xml:space="preserve">rogram </w:t>
      </w:r>
      <w:r w:rsidRPr="00705C8C">
        <w:t>and the relationship between employer characteristics and such interest.</w:t>
      </w:r>
    </w:p>
    <w:p w:rsidR="00134C1A" w:rsidRDefault="00B06DE7" w:rsidP="00BA274E">
      <w:r>
        <w:t xml:space="preserve">The </w:t>
      </w:r>
      <w:r w:rsidR="00BA274E" w:rsidRPr="00705C8C">
        <w:t xml:space="preserve">IMPAQ </w:t>
      </w:r>
      <w:r w:rsidR="00E97858" w:rsidRPr="00705C8C">
        <w:t>staff has</w:t>
      </w:r>
      <w:r w:rsidR="00BA274E" w:rsidRPr="00705C8C">
        <w:t xml:space="preserve"> accumulated extensive experience in survey research and developed a profile of strategies to achieve high response rate</w:t>
      </w:r>
      <w:r>
        <w:t>s</w:t>
      </w:r>
      <w:r w:rsidR="00693B97">
        <w:t xml:space="preserve">. </w:t>
      </w:r>
      <w:r w:rsidR="00BA274E" w:rsidRPr="00705C8C">
        <w:t>These strategies</w:t>
      </w:r>
      <w:r>
        <w:t>--</w:t>
      </w:r>
      <w:r w:rsidR="00BA274E" w:rsidRPr="00705C8C">
        <w:t>essentially efforts to decrease the workload the survey demands from survey respondents</w:t>
      </w:r>
      <w:r>
        <w:t>--</w:t>
      </w:r>
      <w:r w:rsidR="00BA274E" w:rsidRPr="00705C8C">
        <w:t>increase the perceived reward of completing the survey</w:t>
      </w:r>
      <w:r w:rsidR="00693B97">
        <w:t xml:space="preserve">. </w:t>
      </w:r>
      <w:r w:rsidR="00BA274E" w:rsidRPr="00705C8C">
        <w:t xml:space="preserve">For example, </w:t>
      </w:r>
      <w:r w:rsidR="00C570A0">
        <w:t>IMPAQ</w:t>
      </w:r>
      <w:r w:rsidR="00BA274E" w:rsidRPr="00705C8C">
        <w:t xml:space="preserve"> </w:t>
      </w:r>
      <w:r w:rsidR="008C371D">
        <w:t>staff members</w:t>
      </w:r>
      <w:r w:rsidR="00BA274E" w:rsidRPr="00705C8C">
        <w:t xml:space="preserve"> pay a great amount of attention to the user-friendliness of the </w:t>
      </w:r>
      <w:r w:rsidR="00FF04DB">
        <w:t>Web</w:t>
      </w:r>
      <w:r w:rsidR="00BA274E" w:rsidRPr="00705C8C">
        <w:t>-based questionnaire and the phone interview protocols</w:t>
      </w:r>
      <w:r w:rsidR="00836B31">
        <w:t xml:space="preserve">, enabling </w:t>
      </w:r>
      <w:r w:rsidR="00BA274E" w:rsidRPr="00705C8C">
        <w:t xml:space="preserve">respondents </w:t>
      </w:r>
      <w:r w:rsidR="00836B31">
        <w:t>to</w:t>
      </w:r>
      <w:r w:rsidR="00836B31" w:rsidRPr="00705C8C">
        <w:t xml:space="preserve"> </w:t>
      </w:r>
      <w:r w:rsidR="00BA274E" w:rsidRPr="00705C8C">
        <w:t>quickly comprehend the questions, make accurate response</w:t>
      </w:r>
      <w:r w:rsidR="00F50052">
        <w:t>s</w:t>
      </w:r>
      <w:r w:rsidR="00836B31">
        <w:t>,</w:t>
      </w:r>
      <w:r w:rsidR="00BA274E" w:rsidRPr="00705C8C">
        <w:t xml:space="preserve"> and proceed smoothly to the end of the survey</w:t>
      </w:r>
      <w:r w:rsidR="00693B97">
        <w:t xml:space="preserve">. </w:t>
      </w:r>
      <w:r w:rsidR="00BA274E" w:rsidRPr="00705C8C">
        <w:t xml:space="preserve">Specifically, </w:t>
      </w:r>
      <w:r w:rsidR="00C570A0">
        <w:t>IMPAQ</w:t>
      </w:r>
      <w:r w:rsidR="00BA274E" w:rsidRPr="00705C8C">
        <w:t xml:space="preserve"> learned from our experience that online survey respondents prefer a clear description of computer actions at point of use, a scrolling rather than a screen-to-screen format, progress bars</w:t>
      </w:r>
      <w:r w:rsidR="00836B31">
        <w:t>,</w:t>
      </w:r>
      <w:r w:rsidR="00BA274E" w:rsidRPr="00705C8C">
        <w:t xml:space="preserve"> and the option to skip questions</w:t>
      </w:r>
      <w:r w:rsidR="00693B97">
        <w:t xml:space="preserve">. </w:t>
      </w:r>
      <w:r w:rsidR="00BA274E" w:rsidRPr="00705C8C">
        <w:t xml:space="preserve">In addition to incorporating these design features in our online questionnaire, we </w:t>
      </w:r>
      <w:r w:rsidR="00FB3D77">
        <w:t xml:space="preserve">have </w:t>
      </w:r>
      <w:r w:rsidR="00BA274E" w:rsidRPr="00705C8C">
        <w:t>also carefully craft</w:t>
      </w:r>
      <w:r w:rsidR="00FB3D77">
        <w:t>ed</w:t>
      </w:r>
      <w:r w:rsidR="00BA274E" w:rsidRPr="00705C8C">
        <w:t xml:space="preserve"> each question to make it easily comprehensible and concise.</w:t>
      </w:r>
    </w:p>
    <w:p w:rsidR="00BA274E" w:rsidRPr="00705C8C" w:rsidRDefault="00BA274E" w:rsidP="00BA274E">
      <w:r w:rsidRPr="00705C8C">
        <w:t>Another strategy to increase response rate is to motivate respondents by increasing the perceived reward of survey completion</w:t>
      </w:r>
      <w:r w:rsidR="00693B97">
        <w:t xml:space="preserve">. </w:t>
      </w:r>
      <w:r w:rsidRPr="00705C8C">
        <w:t xml:space="preserve">For example, we will email a motivational cover letter to all employers in the sample </w:t>
      </w:r>
      <w:r w:rsidR="00836B31">
        <w:t>that</w:t>
      </w:r>
      <w:r w:rsidRPr="00705C8C">
        <w:t xml:space="preserve"> will introduce the </w:t>
      </w:r>
      <w:r w:rsidR="00836B31">
        <w:t>study’s G</w:t>
      </w:r>
      <w:r w:rsidR="00836B31" w:rsidRPr="00705C8C">
        <w:t xml:space="preserve">overnment </w:t>
      </w:r>
      <w:r w:rsidRPr="00705C8C">
        <w:t>sponsor and explain the purpose of the survey as well as the potential applications of the survey findings</w:t>
      </w:r>
      <w:r w:rsidR="00693B97">
        <w:t xml:space="preserve">. </w:t>
      </w:r>
      <w:r w:rsidRPr="00705C8C">
        <w:t>The cover letter not only increases respondents’ trust but also shows the relevance of the survey content to employers</w:t>
      </w:r>
      <w:r w:rsidR="00693B97">
        <w:t xml:space="preserve">. </w:t>
      </w:r>
      <w:r>
        <w:t xml:space="preserve">Logistically, </w:t>
      </w:r>
      <w:r w:rsidR="00836B31">
        <w:t>the letter</w:t>
      </w:r>
      <w:r w:rsidR="00836B31" w:rsidRPr="00705C8C">
        <w:t xml:space="preserve"> </w:t>
      </w:r>
      <w:r w:rsidRPr="00705C8C">
        <w:t>serves as the first point of contact to verify contact information before survey delivery and to pre</w:t>
      </w:r>
      <w:r w:rsidR="00C570A0">
        <w:t>-</w:t>
      </w:r>
      <w:r w:rsidRPr="00705C8C">
        <w:t>notify employers of the online survey availability</w:t>
      </w:r>
      <w:r w:rsidR="00693B97">
        <w:t xml:space="preserve">. </w:t>
      </w:r>
      <w:r w:rsidR="00836B31">
        <w:t>We will send t</w:t>
      </w:r>
      <w:r w:rsidRPr="00705C8C">
        <w:t xml:space="preserve">he cover letter email approximately </w:t>
      </w:r>
      <w:r w:rsidR="00836B31">
        <w:t>1</w:t>
      </w:r>
      <w:r w:rsidRPr="00705C8C">
        <w:t xml:space="preserve"> week before the questionnaire becomes available online</w:t>
      </w:r>
      <w:r w:rsidR="00693B97">
        <w:t xml:space="preserve">. </w:t>
      </w:r>
    </w:p>
    <w:p w:rsidR="007506FD" w:rsidRPr="00BA274E" w:rsidRDefault="00BA274E" w:rsidP="00BA274E">
      <w:r w:rsidRPr="00705C8C">
        <w:t>For online survey non-respon</w:t>
      </w:r>
      <w:r>
        <w:t xml:space="preserve">dents, we will follow up with </w:t>
      </w:r>
      <w:r w:rsidRPr="00AE7C5B">
        <w:t>three</w:t>
      </w:r>
      <w:r w:rsidRPr="00705C8C">
        <w:t xml:space="preserve"> waves of phone interviews</w:t>
      </w:r>
      <w:r w:rsidR="00693B97">
        <w:t xml:space="preserve">. </w:t>
      </w:r>
      <w:r w:rsidR="00836B31">
        <w:t>We will recruit and extensively train e</w:t>
      </w:r>
      <w:r w:rsidRPr="00705C8C">
        <w:t>xperienced interviewers on data collection procedures, including methods for promoting cooperation among sample members</w:t>
      </w:r>
      <w:r w:rsidR="00693B97">
        <w:t xml:space="preserve">. </w:t>
      </w:r>
      <w:r w:rsidRPr="00705C8C">
        <w:t>Interviewers especially skilled at encouraging cooperation will be available to persuade reluctant respondents to participate and will be assigned to attempt conversions with respondents who initially refuse (except for hostile refusals)</w:t>
      </w:r>
      <w:r w:rsidR="00693B97">
        <w:t xml:space="preserve">. </w:t>
      </w:r>
      <w:r w:rsidR="00836B31">
        <w:t>We will translate t</w:t>
      </w:r>
      <w:r w:rsidRPr="00705C8C">
        <w:t xml:space="preserve">he survey into Spanish and </w:t>
      </w:r>
      <w:r w:rsidR="00836B31">
        <w:t xml:space="preserve">use </w:t>
      </w:r>
      <w:r w:rsidRPr="00705C8C">
        <w:t>bilingual interviewers to conduct surveys in Spanish if necessary</w:t>
      </w:r>
      <w:r w:rsidR="00693B97">
        <w:t xml:space="preserve">. </w:t>
      </w:r>
      <w:r w:rsidRPr="00705C8C">
        <w:t>Call scheduling in CATI will allow respondents to select the time most convenient for them to be surveyed</w:t>
      </w:r>
    </w:p>
    <w:p w:rsidR="00BA274E" w:rsidRDefault="007506FD" w:rsidP="006A63E7">
      <w:pPr>
        <w:pStyle w:val="Heading3"/>
      </w:pPr>
      <w:bookmarkStart w:id="45" w:name="_Toc348504221"/>
      <w:bookmarkStart w:id="46" w:name="_Toc348455500"/>
      <w:bookmarkStart w:id="47" w:name="_Toc348965110"/>
      <w:bookmarkStart w:id="48" w:name="_Toc21406410"/>
      <w:r>
        <w:lastRenderedPageBreak/>
        <w:t>b.</w:t>
      </w:r>
      <w:r>
        <w:tab/>
      </w:r>
      <w:r w:rsidR="00BA274E">
        <w:t>Addressing Bias due to Non-</w:t>
      </w:r>
      <w:r w:rsidR="00FD4DC9">
        <w:t>Contact and Non-</w:t>
      </w:r>
      <w:r w:rsidR="00BA274E">
        <w:t>Response</w:t>
      </w:r>
      <w:bookmarkEnd w:id="45"/>
      <w:bookmarkEnd w:id="46"/>
      <w:bookmarkEnd w:id="47"/>
    </w:p>
    <w:bookmarkEnd w:id="48"/>
    <w:p w:rsidR="00BA274E" w:rsidRPr="00337107" w:rsidRDefault="000F7889" w:rsidP="00BA274E">
      <w:r>
        <w:t>While we expect a relatively high response rate, we will investigate our data to determine if there is any non-response bias</w:t>
      </w:r>
      <w:r w:rsidR="00693B97">
        <w:t xml:space="preserve">. </w:t>
      </w:r>
      <w:r>
        <w:t>Specifically,</w:t>
      </w:r>
      <w:r w:rsidR="007235AA">
        <w:t xml:space="preserve"> </w:t>
      </w:r>
      <w:r w:rsidR="00BA274E" w:rsidRPr="00337107">
        <w:t>we will conduct a non-response bias analysis to assess whether the survey sample is representative of employers in the four states</w:t>
      </w:r>
      <w:r w:rsidR="00693B97">
        <w:t xml:space="preserve">. </w:t>
      </w:r>
      <w:r w:rsidR="00BA274E" w:rsidRPr="00337107">
        <w:t>Two kinds of bias may arise from missing response</w:t>
      </w:r>
      <w:r>
        <w:t>s</w:t>
      </w:r>
      <w:r w:rsidR="00BA274E" w:rsidRPr="00337107">
        <w:t xml:space="preserve"> in the surveys</w:t>
      </w:r>
      <w:r w:rsidR="00693B97">
        <w:t xml:space="preserve">. </w:t>
      </w:r>
      <w:r w:rsidR="00BA274E" w:rsidRPr="00337107">
        <w:t>“Non-contact bias” results from the failure to locate the respondent despite repeated email and telephone calls</w:t>
      </w:r>
      <w:r w:rsidR="00693B97">
        <w:t xml:space="preserve">. </w:t>
      </w:r>
      <w:r w:rsidR="00BA274E" w:rsidRPr="00337107">
        <w:t xml:space="preserve">This may be for various reasons such as the employer </w:t>
      </w:r>
      <w:r>
        <w:t xml:space="preserve">has </w:t>
      </w:r>
      <w:r w:rsidR="00BA274E" w:rsidRPr="00337107">
        <w:t>gone out of business, moved, or restructured</w:t>
      </w:r>
      <w:r w:rsidR="00693B97">
        <w:t xml:space="preserve">. </w:t>
      </w:r>
      <w:r w:rsidR="00BA274E" w:rsidRPr="00337107">
        <w:t>“Non-response bias” results from the respondent’s failure to answer a particular question, either because the respondent refused to answer, or the respondent did not know the answer.</w:t>
      </w:r>
    </w:p>
    <w:p w:rsidR="00BA274E" w:rsidRPr="00337107" w:rsidRDefault="00BA274E" w:rsidP="00BA274E">
      <w:r w:rsidRPr="00337107">
        <w:t xml:space="preserve">We will address non-contact bias by comparing characteristics of employers </w:t>
      </w:r>
      <w:r w:rsidR="007934EE">
        <w:t>we</w:t>
      </w:r>
      <w:r w:rsidR="007934EE" w:rsidRPr="00337107">
        <w:t xml:space="preserve"> </w:t>
      </w:r>
      <w:r w:rsidRPr="00337107">
        <w:t xml:space="preserve">cannot reach and that of employers </w:t>
      </w:r>
      <w:r w:rsidR="007934EE">
        <w:t xml:space="preserve">we do </w:t>
      </w:r>
      <w:r w:rsidRPr="00337107">
        <w:t>reach</w:t>
      </w:r>
      <w:r w:rsidR="00693B97">
        <w:t xml:space="preserve">. </w:t>
      </w:r>
      <w:r w:rsidR="007934EE">
        <w:t>We will use U</w:t>
      </w:r>
      <w:r w:rsidRPr="00337107">
        <w:t xml:space="preserve">I administrative data, not subject to non-response, to examine differences in perceptions of </w:t>
      </w:r>
      <w:r w:rsidR="00C570A0">
        <w:t>STC</w:t>
      </w:r>
      <w:r w:rsidR="00693B97">
        <w:t xml:space="preserve">. </w:t>
      </w:r>
      <w:r w:rsidRPr="00337107">
        <w:t>A consistent pattern between employer characteristics and the chance of failure to locate suggests a skewed sample, i.e., employers with certain characteristics tend to be more difficult to reach and, therefore, less represented in the analytic sample</w:t>
      </w:r>
      <w:r w:rsidR="00693B97">
        <w:t xml:space="preserve">. </w:t>
      </w:r>
      <w:r w:rsidRPr="00337107">
        <w:t>Results of such bias analyses will help us understand the study sample and the population</w:t>
      </w:r>
      <w:r w:rsidR="00FD5D2D">
        <w:t xml:space="preserve"> to which</w:t>
      </w:r>
      <w:r w:rsidRPr="00337107">
        <w:t xml:space="preserve"> </w:t>
      </w:r>
      <w:r w:rsidR="007934EE">
        <w:t xml:space="preserve">we can generalize </w:t>
      </w:r>
      <w:r w:rsidRPr="00337107">
        <w:t>the study findings</w:t>
      </w:r>
      <w:bookmarkStart w:id="49" w:name="_GoBack"/>
      <w:bookmarkEnd w:id="49"/>
      <w:r w:rsidR="0064445C">
        <w:t>.</w:t>
      </w:r>
      <w:r w:rsidR="00FC203B">
        <w:t xml:space="preserve">  Study findings </w:t>
      </w:r>
      <w:r w:rsidR="00640418">
        <w:t>cannot</w:t>
      </w:r>
      <w:r w:rsidR="00FC203B">
        <w:t xml:space="preserve"> and will not be generalized to all states with STC programs.  The non-response bias analysis will be used to see how generalizable the results are to the 4 study states.</w:t>
      </w:r>
    </w:p>
    <w:p w:rsidR="00BA274E" w:rsidRDefault="00BA274E" w:rsidP="00BA274E">
      <w:r w:rsidRPr="00337107">
        <w:t>In addition to comparing characteristics of respondents and non-respondents, we will adopt appropriate methods to adjust for non-respondent bias based on the specific nature of missing survey response</w:t>
      </w:r>
      <w:r w:rsidR="007934EE">
        <w:t>s</w:t>
      </w:r>
      <w:r w:rsidR="00693B97">
        <w:t xml:space="preserve">. </w:t>
      </w:r>
      <w:r w:rsidRPr="00337107">
        <w:t xml:space="preserve">For example, if </w:t>
      </w:r>
      <w:r w:rsidR="007934EE">
        <w:t xml:space="preserve">a </w:t>
      </w:r>
      <w:r w:rsidRPr="00337107">
        <w:t>response</w:t>
      </w:r>
      <w:r>
        <w:t xml:space="preserve"> is</w:t>
      </w:r>
      <w:r w:rsidRPr="00337107">
        <w:t xml:space="preserve"> not missing at random</w:t>
      </w:r>
      <w:r>
        <w:t xml:space="preserve"> </w:t>
      </w:r>
      <w:r w:rsidRPr="00337107">
        <w:t xml:space="preserve">and certain background characteristics fully explain the difference in response rate, we will use re-weighting methods </w:t>
      </w:r>
      <w:r w:rsidR="007934EE">
        <w:t>that assign</w:t>
      </w:r>
      <w:r w:rsidR="007934EE" w:rsidRPr="00337107">
        <w:t xml:space="preserve"> </w:t>
      </w:r>
      <w:r w:rsidRPr="00337107">
        <w:t>larger weights to underrepresented respondents</w:t>
      </w:r>
      <w:r w:rsidR="00693B97">
        <w:t xml:space="preserve">. </w:t>
      </w:r>
      <w:r w:rsidRPr="00337107">
        <w:t>Specifically, we will use a logistic regression model of the probability that a sample member responded to the survey to estimate the probability of survey response to construct appropriate weights for each respondent</w:t>
      </w:r>
      <w:r w:rsidR="00693B97">
        <w:t xml:space="preserve">. </w:t>
      </w:r>
      <w:r w:rsidRPr="00337107">
        <w:t xml:space="preserve">The initial logistic regression model will be estimated using all available </w:t>
      </w:r>
      <w:r w:rsidR="00E97858" w:rsidRPr="00337107">
        <w:t>employer</w:t>
      </w:r>
      <w:r w:rsidR="00E97858">
        <w:t>s’</w:t>
      </w:r>
      <w:r w:rsidRPr="00337107">
        <w:t xml:space="preserve"> background characteristics</w:t>
      </w:r>
      <w:r w:rsidR="00693B97">
        <w:t xml:space="preserve">. </w:t>
      </w:r>
      <w:r w:rsidRPr="00337107">
        <w:t>The model can be expressed by the following equation:</w:t>
      </w:r>
    </w:p>
    <w:p w:rsidR="00134C1A" w:rsidRPr="007235AA" w:rsidRDefault="00BA274E" w:rsidP="00BA274E">
      <m:oMathPara>
        <m:oMath>
          <m:r>
            <w:rPr>
              <w:rFonts w:ascii="Cambria Math" w:hAnsi="Cambria Math"/>
              <w:color w:val="000000" w:themeColor="text1"/>
            </w:rPr>
            <m:t>P(S=1</m:t>
          </m:r>
          <m:d>
            <m:dPr>
              <m:begChr m:val="|"/>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olor w:val="000000" w:themeColor="text1"/>
            </w:rPr>
            <m:t>=</m:t>
          </m:r>
          <m:f>
            <m:fPr>
              <m:ctrlPr>
                <w:rPr>
                  <w:rFonts w:ascii="Cambria Math" w:hAnsi="Cambria Math" w:cs="Times New Roman"/>
                  <w:i/>
                  <w:color w:val="000000" w:themeColor="text1"/>
                </w:rPr>
              </m:ctrlPr>
            </m:fPr>
            <m:num>
              <m:r>
                <m:rPr>
                  <m:sty m:val="p"/>
                </m:rPr>
                <w:rPr>
                  <w:rFonts w:ascii="Cambria Math" w:hAnsi="Cambria Math"/>
                  <w:color w:val="000000" w:themeColor="text1"/>
                </w:rPr>
                <m:t>exp⁡</m:t>
              </m:r>
              <m:d>
                <m:dPr>
                  <m:ctrlPr>
                    <w:rPr>
                      <w:rFonts w:ascii="Cambria Math" w:hAnsi="Cambria Math" w:cs="Times New Roman"/>
                      <w:i/>
                      <w:color w:val="000000" w:themeColor="text1"/>
                    </w:rPr>
                  </m:ctrlPr>
                </m:dPr>
                <m:e>
                  <m:r>
                    <w:rPr>
                      <w:rFonts w:ascii="Cambria Math" w:hAnsi="Cambria Math" w:cs="Times New Roman"/>
                      <w:color w:val="000000" w:themeColor="text1"/>
                    </w:rPr>
                    <m:t>X</m:t>
                  </m:r>
                  <m:r>
                    <w:rPr>
                      <w:rFonts w:ascii="Cambria Math" w:hAnsi="Cambria Math"/>
                      <w:color w:val="000000" w:themeColor="text1"/>
                    </w:rPr>
                    <m:t>∙b</m:t>
                  </m:r>
                </m:e>
              </m:d>
            </m:num>
            <m:den>
              <m:r>
                <w:rPr>
                  <w:rFonts w:ascii="Cambria Math" w:hAnsi="Cambria Math"/>
                  <w:color w:val="000000" w:themeColor="text1"/>
                </w:rPr>
                <m:t>1+</m:t>
              </m:r>
              <m:r>
                <m:rPr>
                  <m:sty m:val="p"/>
                </m:rPr>
                <w:rPr>
                  <w:rFonts w:ascii="Cambria Math" w:hAnsi="Cambria Math"/>
                  <w:color w:val="000000" w:themeColor="text1"/>
                </w:rPr>
                <m:t>exp⁡</m:t>
              </m:r>
              <m:d>
                <m:dPr>
                  <m:ctrlPr>
                    <w:rPr>
                      <w:rFonts w:ascii="Cambria Math" w:hAnsi="Cambria Math" w:cs="Times New Roman"/>
                      <w:i/>
                      <w:color w:val="000000" w:themeColor="text1"/>
                    </w:rPr>
                  </m:ctrlPr>
                </m:dPr>
                <m:e>
                  <m:r>
                    <w:rPr>
                      <w:rFonts w:ascii="Cambria Math" w:hAnsi="Cambria Math" w:cs="Times New Roman"/>
                      <w:color w:val="000000" w:themeColor="text1"/>
                    </w:rPr>
                    <m:t>X</m:t>
                  </m:r>
                  <m:r>
                    <w:rPr>
                      <w:rFonts w:ascii="Cambria Math" w:hAnsi="Cambria Math"/>
                      <w:color w:val="000000" w:themeColor="text1"/>
                    </w:rPr>
                    <m:t>∙b</m:t>
                  </m:r>
                </m:e>
              </m:d>
            </m:den>
          </m:f>
        </m:oMath>
      </m:oMathPara>
    </w:p>
    <w:p w:rsidR="00BA274E" w:rsidRPr="00337107" w:rsidRDefault="00BA274E" w:rsidP="00BA274E">
      <w:r w:rsidRPr="00337107">
        <w:t>The dependent variable in this model (S) is the likelihood that the participant responds to the survey</w:t>
      </w:r>
      <w:r w:rsidR="00693B97">
        <w:t xml:space="preserve">. </w:t>
      </w:r>
      <w:r w:rsidRPr="00337107">
        <w:t>S equals 1 if the participant responds to the survey and 0 otherwise</w:t>
      </w:r>
      <w:r w:rsidR="00693B97">
        <w:t xml:space="preserve">. </w:t>
      </w:r>
      <w:r w:rsidRPr="00337107">
        <w:t>The initial model includes all available participant characteristics (X) in the UI administrative data, such as company size</w:t>
      </w:r>
      <w:r w:rsidR="004E2C51">
        <w:t xml:space="preserve"> and </w:t>
      </w:r>
      <w:r w:rsidRPr="00337107">
        <w:t>industry</w:t>
      </w:r>
      <w:r w:rsidR="00693B97">
        <w:t xml:space="preserve">. </w:t>
      </w:r>
      <w:r w:rsidRPr="00337107">
        <w:t>Inclusion of all available background characteristics in the model is important for identifying which variables are strong predictors of non-response</w:t>
      </w:r>
      <w:r w:rsidR="00693B97">
        <w:t xml:space="preserve">. </w:t>
      </w:r>
      <w:r w:rsidRPr="00337107">
        <w:t>To identify the final set of covariates for the non-response model (i.e., the variables that are strong predictors of non-response)</w:t>
      </w:r>
      <w:proofErr w:type="gramStart"/>
      <w:r w:rsidRPr="00337107">
        <w:t>,</w:t>
      </w:r>
      <w:proofErr w:type="gramEnd"/>
      <w:r w:rsidRPr="00337107">
        <w:t xml:space="preserve"> we will use the following measures of predictive ability and goodness of fit:</w:t>
      </w:r>
    </w:p>
    <w:p w:rsidR="00BA274E" w:rsidRPr="00337107" w:rsidRDefault="00BA274E" w:rsidP="007235AA">
      <w:pPr>
        <w:pStyle w:val="BulletedList"/>
        <w:numPr>
          <w:ilvl w:val="0"/>
          <w:numId w:val="48"/>
        </w:numPr>
        <w:tabs>
          <w:tab w:val="clear" w:pos="720"/>
        </w:tabs>
        <w:ind w:left="720"/>
      </w:pPr>
      <w:r w:rsidRPr="00337107">
        <w:rPr>
          <w:b/>
          <w:i/>
        </w:rPr>
        <w:lastRenderedPageBreak/>
        <w:t>McFadden’s Pseudo R-squared statistic</w:t>
      </w:r>
      <w:r w:rsidRPr="00337107">
        <w:t xml:space="preserve"> – This measure captures the percent of the variation in the likelihood of responding to the survey that is explained by participant characteristics</w:t>
      </w:r>
      <w:r w:rsidR="00693B97">
        <w:t xml:space="preserve">. </w:t>
      </w:r>
      <w:r w:rsidRPr="00337107">
        <w:t>This statistic is constructed as follows:</w:t>
      </w:r>
      <w:r w:rsidRPr="00337107">
        <w:rPr>
          <w:rStyle w:val="FootnoteReference"/>
          <w:szCs w:val="24"/>
        </w:rPr>
        <w:footnoteReference w:id="13"/>
      </w:r>
    </w:p>
    <w:p w:rsidR="00BA274E" w:rsidRPr="00084C87" w:rsidRDefault="008879CF" w:rsidP="00084C87">
      <w:pPr>
        <w:pStyle w:val="ListParagraph"/>
        <w:spacing w:before="240"/>
        <w:ind w:left="0"/>
        <w:contextualSpacing w:val="0"/>
        <w:rPr>
          <w:color w:val="000000" w:themeColor="text1"/>
        </w:rPr>
      </w:pPr>
      <m:oMathPara>
        <m:oMathParaPr>
          <m:jc m:val="center"/>
        </m:oMathParaPr>
        <m:oMath>
          <m:sSup>
            <m:sSupPr>
              <m:ctrlPr>
                <w:rPr>
                  <w:rFonts w:ascii="Cambria Math" w:hAnsi="Cambria Math" w:cs="Calibri"/>
                  <w:i/>
                  <w:color w:val="000000" w:themeColor="text1"/>
                </w:rPr>
              </m:ctrlPr>
            </m:sSupPr>
            <m:e>
              <m:r>
                <w:rPr>
                  <w:rFonts w:ascii="Cambria Math" w:hAnsi="Cambria Math" w:cs="Calibri"/>
                  <w:color w:val="000000" w:themeColor="text1"/>
                </w:rPr>
                <m:t>R</m:t>
              </m:r>
            </m:e>
            <m:sup>
              <m:r>
                <w:rPr>
                  <w:rFonts w:ascii="Cambria Math" w:hAnsi="Cambria Math" w:cs="Calibri"/>
                  <w:color w:val="000000" w:themeColor="text1"/>
                </w:rPr>
                <m:t>2</m:t>
              </m:r>
            </m:sup>
          </m:sSup>
          <m:r>
            <w:rPr>
              <w:rFonts w:ascii="Cambria Math" w:hAnsi="Cambria Math" w:cs="Calibri"/>
              <w:color w:val="000000" w:themeColor="text1"/>
            </w:rPr>
            <m:t>=</m:t>
          </m:r>
          <m:r>
            <w:rPr>
              <w:rFonts w:ascii="Cambria Math" w:cs="Calibri"/>
              <w:color w:val="000000" w:themeColor="text1"/>
            </w:rPr>
            <m:t>1</m:t>
          </m:r>
          <m:r>
            <w:rPr>
              <w:rFonts w:ascii="Cambria Math" w:cs="Calibri"/>
              <w:color w:val="000000" w:themeColor="text1"/>
            </w:rPr>
            <m:t>-</m:t>
          </m:r>
          <m:f>
            <m:fPr>
              <m:ctrlPr>
                <w:rPr>
                  <w:rFonts w:ascii="Cambria Math" w:hAnsi="Cambria Math" w:cs="Calibri"/>
                  <w:i/>
                  <w:color w:val="000000" w:themeColor="text1"/>
                </w:rPr>
              </m:ctrlPr>
            </m:fPr>
            <m:num>
              <m:r>
                <m:rPr>
                  <m:sty m:val="p"/>
                </m:rPr>
                <w:rPr>
                  <w:rFonts w:ascii="Cambria Math" w:hAnsi="Cambria Math" w:cs="Calibri"/>
                  <w:color w:val="000000" w:themeColor="text1"/>
                </w:rPr>
                <m:t>ln</m:t>
              </m:r>
              <m:r>
                <m:rPr>
                  <m:sty m:val="p"/>
                </m:rPr>
                <w:rPr>
                  <w:rFonts w:ascii="Monaco" w:hAnsi="Monaco" w:cs="Monaco"/>
                  <w:color w:val="000000" w:themeColor="text1"/>
                </w:rPr>
                <m:t>⁡</m:t>
              </m:r>
              <m:r>
                <w:rPr>
                  <w:rFonts w:ascii="Cambria Math" w:hAnsi="Cambria Math" w:cs="Calibri"/>
                  <w:color w:val="000000" w:themeColor="text1"/>
                </w:rPr>
                <m:t>(</m:t>
              </m:r>
              <m:acc>
                <m:accPr>
                  <m:ctrlPr>
                    <w:rPr>
                      <w:rFonts w:ascii="Cambria Math" w:hAnsi="Cambria Math" w:cs="Calibri"/>
                      <w:i/>
                      <w:color w:val="000000" w:themeColor="text1"/>
                    </w:rPr>
                  </m:ctrlPr>
                </m:accPr>
                <m:e>
                  <m:r>
                    <w:rPr>
                      <w:rFonts w:ascii="Cambria Math" w:hAnsi="Cambria Math" w:cs="Calibri"/>
                      <w:color w:val="000000" w:themeColor="text1"/>
                    </w:rPr>
                    <m:t>L</m:t>
                  </m:r>
                </m:e>
              </m:acc>
              <m:d>
                <m:dPr>
                  <m:ctrlPr>
                    <w:rPr>
                      <w:rFonts w:ascii="Cambria Math" w:hAnsi="Cambria Math" w:cs="Calibri"/>
                      <w:i/>
                      <w:color w:val="000000" w:themeColor="text1"/>
                    </w:rPr>
                  </m:ctrlPr>
                </m:dPr>
                <m:e>
                  <m:sSub>
                    <m:sSubPr>
                      <m:ctrlPr>
                        <w:rPr>
                          <w:rFonts w:ascii="Cambria Math" w:hAnsi="Cambria Math" w:cs="Calibri"/>
                          <w:i/>
                          <w:color w:val="000000" w:themeColor="text1"/>
                        </w:rPr>
                      </m:ctrlPr>
                    </m:sSubPr>
                    <m:e>
                      <m:r>
                        <w:rPr>
                          <w:rFonts w:ascii="Cambria Math" w:hAnsi="Cambria Math" w:cs="Calibri"/>
                          <w:color w:val="000000" w:themeColor="text1"/>
                        </w:rPr>
                        <m:t>M</m:t>
                      </m:r>
                    </m:e>
                    <m:sub>
                      <m:r>
                        <w:rPr>
                          <w:rFonts w:ascii="Cambria Math" w:hAnsi="Cambria Math" w:cs="Calibri"/>
                          <w:color w:val="000000" w:themeColor="text1"/>
                        </w:rPr>
                        <m:t>Full</m:t>
                      </m:r>
                    </m:sub>
                  </m:sSub>
                </m:e>
              </m:d>
              <m:r>
                <w:rPr>
                  <w:rFonts w:ascii="Cambria Math" w:hAnsi="Cambria Math" w:cs="Calibri"/>
                  <w:color w:val="000000" w:themeColor="text1"/>
                </w:rPr>
                <m:t>)</m:t>
              </m:r>
            </m:num>
            <m:den>
              <m:r>
                <m:rPr>
                  <m:sty m:val="p"/>
                </m:rPr>
                <w:rPr>
                  <w:rFonts w:ascii="Cambria Math" w:hAnsi="Cambria Math" w:cs="Calibri"/>
                  <w:color w:val="000000" w:themeColor="text1"/>
                </w:rPr>
                <m:t>ln</m:t>
              </m:r>
              <m:r>
                <m:rPr>
                  <m:sty m:val="p"/>
                </m:rPr>
                <w:rPr>
                  <w:rFonts w:ascii="Monaco" w:hAnsi="Monaco" w:cs="Monaco"/>
                  <w:color w:val="000000" w:themeColor="text1"/>
                </w:rPr>
                <m:t>⁡</m:t>
              </m:r>
              <m:r>
                <w:rPr>
                  <w:rFonts w:ascii="Cambria Math" w:hAnsi="Cambria Math" w:cs="Calibri"/>
                  <w:color w:val="000000" w:themeColor="text1"/>
                </w:rPr>
                <m:t>(</m:t>
              </m:r>
              <m:acc>
                <m:accPr>
                  <m:ctrlPr>
                    <w:rPr>
                      <w:rFonts w:ascii="Cambria Math" w:hAnsi="Cambria Math" w:cs="Calibri"/>
                      <w:i/>
                      <w:color w:val="000000" w:themeColor="text1"/>
                    </w:rPr>
                  </m:ctrlPr>
                </m:accPr>
                <m:e>
                  <m:r>
                    <w:rPr>
                      <w:rFonts w:ascii="Cambria Math" w:hAnsi="Cambria Math" w:cs="Calibri"/>
                      <w:color w:val="000000" w:themeColor="text1"/>
                    </w:rPr>
                    <m:t>L</m:t>
                  </m:r>
                </m:e>
              </m:acc>
              <m:d>
                <m:dPr>
                  <m:ctrlPr>
                    <w:rPr>
                      <w:rFonts w:ascii="Cambria Math" w:hAnsi="Cambria Math" w:cs="Calibri"/>
                      <w:i/>
                      <w:color w:val="000000" w:themeColor="text1"/>
                    </w:rPr>
                  </m:ctrlPr>
                </m:dPr>
                <m:e>
                  <m:sSub>
                    <m:sSubPr>
                      <m:ctrlPr>
                        <w:rPr>
                          <w:rFonts w:ascii="Cambria Math" w:hAnsi="Cambria Math" w:cs="Calibri"/>
                          <w:i/>
                          <w:color w:val="000000" w:themeColor="text1"/>
                        </w:rPr>
                      </m:ctrlPr>
                    </m:sSubPr>
                    <m:e>
                      <m:r>
                        <w:rPr>
                          <w:rFonts w:ascii="Cambria Math" w:hAnsi="Cambria Math" w:cs="Calibri"/>
                          <w:color w:val="000000" w:themeColor="text1"/>
                        </w:rPr>
                        <m:t>M</m:t>
                      </m:r>
                    </m:e>
                    <m:sub>
                      <m:r>
                        <w:rPr>
                          <w:rFonts w:ascii="Cambria Math" w:hAnsi="Cambria Math" w:cs="Calibri"/>
                          <w:color w:val="000000" w:themeColor="text1"/>
                        </w:rPr>
                        <m:t>Intercept</m:t>
                      </m:r>
                    </m:sub>
                  </m:sSub>
                </m:e>
              </m:d>
              <m:r>
                <w:rPr>
                  <w:rFonts w:ascii="Cambria Math" w:hAnsi="Cambria Math" w:cs="Calibri"/>
                  <w:color w:val="000000" w:themeColor="text1"/>
                </w:rPr>
                <m:t>)</m:t>
              </m:r>
            </m:den>
          </m:f>
        </m:oMath>
      </m:oMathPara>
    </w:p>
    <w:p w:rsidR="00BA274E" w:rsidRPr="00337107" w:rsidRDefault="00BA274E" w:rsidP="007235AA">
      <w:pPr>
        <w:pStyle w:val="BulletedList"/>
        <w:numPr>
          <w:ilvl w:val="0"/>
          <w:numId w:val="48"/>
        </w:numPr>
        <w:spacing w:before="240"/>
        <w:ind w:left="720"/>
      </w:pPr>
      <w:proofErr w:type="spellStart"/>
      <w:r w:rsidRPr="00337107">
        <w:rPr>
          <w:b/>
          <w:i/>
        </w:rPr>
        <w:t>Akaike’s</w:t>
      </w:r>
      <w:proofErr w:type="spellEnd"/>
      <w:r w:rsidRPr="00337107">
        <w:rPr>
          <w:b/>
          <w:i/>
        </w:rPr>
        <w:t xml:space="preserve"> Information Criterion (</w:t>
      </w:r>
      <w:proofErr w:type="spellStart"/>
      <w:r w:rsidRPr="00337107">
        <w:rPr>
          <w:b/>
          <w:i/>
        </w:rPr>
        <w:t>Akaike</w:t>
      </w:r>
      <w:proofErr w:type="spellEnd"/>
      <w:r w:rsidRPr="00337107">
        <w:rPr>
          <w:b/>
          <w:i/>
        </w:rPr>
        <w:t xml:space="preserve"> 1974)</w:t>
      </w:r>
      <w:r w:rsidRPr="00337107">
        <w:t xml:space="preserve"> – This statistic measures the efficiency of the model in predicting the outcome based on the number of covariates</w:t>
      </w:r>
      <w:r w:rsidR="00693B97">
        <w:t xml:space="preserve">. </w:t>
      </w:r>
      <w:r w:rsidRPr="00337107">
        <w:t>This statistic is constructed as follows:</w:t>
      </w:r>
      <w:r w:rsidRPr="00337107">
        <w:rPr>
          <w:rStyle w:val="FootnoteReference"/>
          <w:szCs w:val="24"/>
        </w:rPr>
        <w:footnoteReference w:id="14"/>
      </w:r>
    </w:p>
    <w:p w:rsidR="00BA274E" w:rsidRPr="00084C87" w:rsidRDefault="00BA274E" w:rsidP="00084C87">
      <w:pPr>
        <w:pStyle w:val="ListParagraph"/>
        <w:spacing w:before="240"/>
        <w:ind w:left="0"/>
        <w:contextualSpacing w:val="0"/>
        <w:rPr>
          <w:color w:val="000000" w:themeColor="text1"/>
        </w:rPr>
      </w:pPr>
      <m:oMathPara>
        <m:oMathParaPr>
          <m:jc m:val="center"/>
        </m:oMathParaPr>
        <m:oMath>
          <m:r>
            <w:rPr>
              <w:rFonts w:ascii="Cambria Math" w:hAnsi="Cambria Math" w:cs="Calibri"/>
              <w:color w:val="000000" w:themeColor="text1"/>
            </w:rPr>
            <m:t>AIC=2k-2</m:t>
          </m:r>
          <m:r>
            <m:rPr>
              <m:sty m:val="p"/>
            </m:rPr>
            <w:rPr>
              <w:rFonts w:ascii="Cambria Math" w:hAnsi="Cambria Math" w:cs="Calibri"/>
              <w:color w:val="000000" w:themeColor="text1"/>
            </w:rPr>
            <m:t>ln</m:t>
          </m:r>
          <m:r>
            <m:rPr>
              <m:sty m:val="p"/>
            </m:rPr>
            <w:rPr>
              <w:rFonts w:ascii="Monaco" w:hAnsi="Monaco" w:cs="Monaco"/>
              <w:color w:val="000000" w:themeColor="text1"/>
            </w:rPr>
            <m:t>⁡</m:t>
          </m:r>
          <m:r>
            <w:rPr>
              <w:rFonts w:ascii="Cambria Math" w:hAnsi="Cambria Math" w:cs="Calibri"/>
              <w:color w:val="000000" w:themeColor="text1"/>
            </w:rPr>
            <m:t>(</m:t>
          </m:r>
          <m:sSub>
            <m:sSubPr>
              <m:ctrlPr>
                <w:rPr>
                  <w:rFonts w:ascii="Cambria Math" w:hAnsi="Cambria Math" w:cs="Calibri"/>
                  <w:i/>
                  <w:color w:val="000000" w:themeColor="text1"/>
                </w:rPr>
              </m:ctrlPr>
            </m:sSubPr>
            <m:e>
              <m:acc>
                <m:accPr>
                  <m:ctrlPr>
                    <w:rPr>
                      <w:rFonts w:ascii="Cambria Math" w:hAnsi="Cambria Math" w:cs="Calibri"/>
                      <w:i/>
                      <w:color w:val="000000" w:themeColor="text1"/>
                    </w:rPr>
                  </m:ctrlPr>
                </m:accPr>
                <m:e>
                  <m:r>
                    <w:rPr>
                      <w:rFonts w:ascii="Cambria Math" w:hAnsi="Cambria Math" w:cs="Calibri"/>
                      <w:color w:val="000000" w:themeColor="text1"/>
                    </w:rPr>
                    <m:t>L</m:t>
                  </m:r>
                </m:e>
              </m:acc>
            </m:e>
            <m:sub>
              <m:r>
                <w:rPr>
                  <w:rFonts w:ascii="Cambria Math" w:hAnsi="Cambria Math" w:cs="Calibri"/>
                  <w:color w:val="000000" w:themeColor="text1"/>
                </w:rPr>
                <m:t>k</m:t>
              </m:r>
            </m:sub>
          </m:sSub>
          <m:r>
            <w:rPr>
              <w:rFonts w:ascii="Cambria Math" w:hAnsi="Cambria Math" w:cs="Calibri"/>
              <w:color w:val="000000" w:themeColor="text1"/>
            </w:rPr>
            <m:t>)</m:t>
          </m:r>
        </m:oMath>
      </m:oMathPara>
    </w:p>
    <w:p w:rsidR="00BA274E" w:rsidRPr="00337107" w:rsidRDefault="00C6640A" w:rsidP="00BA274E">
      <w:r>
        <w:t>We will use t</w:t>
      </w:r>
      <w:r w:rsidR="00BA274E" w:rsidRPr="00337107">
        <w:t>hese statistics to assess which set of observable characteristics are strong predictors of survey non-response</w:t>
      </w:r>
      <w:r w:rsidR="00693B97">
        <w:t xml:space="preserve">. </w:t>
      </w:r>
      <w:r>
        <w:t>After</w:t>
      </w:r>
      <w:r w:rsidRPr="00337107">
        <w:t xml:space="preserve"> </w:t>
      </w:r>
      <w:r>
        <w:t>i</w:t>
      </w:r>
      <w:r w:rsidR="00BA274E" w:rsidRPr="00337107">
        <w:t>dentify</w:t>
      </w:r>
      <w:r>
        <w:t>ing</w:t>
      </w:r>
      <w:r w:rsidR="00BA274E" w:rsidRPr="00337107">
        <w:t xml:space="preserve"> this set of characteristics, we will estimate the final version of the model using these characteristics</w:t>
      </w:r>
      <w:r w:rsidR="00693B97">
        <w:t xml:space="preserve">. </w:t>
      </w:r>
      <w:r>
        <w:t xml:space="preserve">After estimating </w:t>
      </w:r>
      <w:r w:rsidR="00BA274E" w:rsidRPr="00337107">
        <w:t>this model, we will use the results to calculate the predicted likelihood of survey response based on each participant’s characteristics, as follows:</w:t>
      </w:r>
    </w:p>
    <w:p w:rsidR="00BA274E" w:rsidRPr="00084C87" w:rsidRDefault="008879CF" w:rsidP="00084C87">
      <w:pPr>
        <w:spacing w:before="240"/>
        <w:rPr>
          <w:color w:val="000000" w:themeColor="text1"/>
        </w:rPr>
      </w:pPr>
      <m:oMathPara>
        <m:oMathParaPr>
          <m:jc m:val="center"/>
        </m:oMathParaPr>
        <m:oMath>
          <m:sSub>
            <m:sSubPr>
              <m:ctrlPr>
                <w:rPr>
                  <w:rFonts w:ascii="Cambria Math" w:hAnsi="Cambria Math" w:cs="Calibri"/>
                  <w:i/>
                  <w:color w:val="000000" w:themeColor="text1"/>
                </w:rPr>
              </m:ctrlPr>
            </m:sSubPr>
            <m:e>
              <m:r>
                <w:rPr>
                  <w:rFonts w:ascii="Cambria Math" w:hAnsi="Cambria Math" w:cs="Calibri"/>
                  <w:color w:val="000000" w:themeColor="text1"/>
                </w:rPr>
                <m:t>w</m:t>
              </m:r>
            </m:e>
            <m:sub>
              <m:r>
                <w:rPr>
                  <w:rFonts w:ascii="Cambria Math" w:hAnsi="Cambria Math" w:cs="Calibri"/>
                  <w:color w:val="000000" w:themeColor="text1"/>
                </w:rPr>
                <m:t>i</m:t>
              </m:r>
            </m:sub>
          </m:sSub>
          <m:r>
            <w:rPr>
              <w:rFonts w:ascii="Cambria Math" w:cs="Calibri"/>
              <w:color w:val="000000" w:themeColor="text1"/>
            </w:rPr>
            <m:t>=</m:t>
          </m:r>
          <m:f>
            <m:fPr>
              <m:ctrlPr>
                <w:rPr>
                  <w:rFonts w:ascii="Cambria Math" w:hAnsi="Cambria Math" w:cs="Calibri"/>
                  <w:i/>
                  <w:color w:val="000000" w:themeColor="text1"/>
                </w:rPr>
              </m:ctrlPr>
            </m:fPr>
            <m:num>
              <m:r>
                <w:rPr>
                  <w:rFonts w:ascii="Cambria Math" w:cs="Calibri"/>
                  <w:color w:val="000000" w:themeColor="text1"/>
                </w:rPr>
                <m:t>1</m:t>
              </m:r>
            </m:num>
            <m:den>
              <m:r>
                <w:rPr>
                  <w:rFonts w:ascii="Cambria Math" w:cs="Calibri"/>
                  <w:color w:val="000000" w:themeColor="text1"/>
                </w:rPr>
                <m:t>f</m:t>
              </m:r>
              <m:d>
                <m:dPr>
                  <m:ctrlPr>
                    <w:rPr>
                      <w:rFonts w:ascii="Cambria Math" w:hAnsi="Cambria Math" w:cs="Calibri"/>
                      <w:i/>
                      <w:color w:val="000000" w:themeColor="text1"/>
                    </w:rPr>
                  </m:ctrlPr>
                </m:dPr>
                <m:e>
                  <m:r>
                    <w:rPr>
                      <w:rFonts w:ascii="Cambria Math" w:hAnsi="Cambria Math" w:cs="Calibri"/>
                      <w:color w:val="000000" w:themeColor="text1"/>
                    </w:rPr>
                    <m:t>X∙</m:t>
                  </m:r>
                  <m:acc>
                    <m:accPr>
                      <m:ctrlPr>
                        <w:rPr>
                          <w:rFonts w:ascii="Cambria Math" w:hAnsi="Cambria Math" w:cs="Calibri"/>
                          <w:i/>
                          <w:color w:val="000000" w:themeColor="text1"/>
                        </w:rPr>
                      </m:ctrlPr>
                    </m:accPr>
                    <m:e>
                      <m:r>
                        <w:rPr>
                          <w:rFonts w:ascii="Cambria Math" w:hAnsi="Cambria Math" w:cs="Calibri"/>
                          <w:color w:val="000000" w:themeColor="text1"/>
                        </w:rPr>
                        <m:t>b</m:t>
                      </m:r>
                    </m:e>
                  </m:acc>
                </m:e>
              </m:d>
            </m:den>
          </m:f>
        </m:oMath>
      </m:oMathPara>
    </w:p>
    <w:p w:rsidR="00134C1A" w:rsidRDefault="00BA274E" w:rsidP="00BA274E">
      <w:r w:rsidRPr="00337107">
        <w:t>In words, the survey non-response weight for each participant is the inverse of the predicted probability of response</w:t>
      </w:r>
      <w:proofErr w:type="gramStart"/>
      <w:r w:rsidRPr="00337107">
        <w:t xml:space="preserve">, </w:t>
      </w:r>
      <w:proofErr w:type="gramEnd"/>
      <m:oMath>
        <m:r>
          <m:rPr>
            <m:sty m:val="p"/>
          </m:rPr>
          <w:rPr>
            <w:rFonts w:ascii="Cambria Math"/>
          </w:rPr>
          <m:t>f</m:t>
        </m:r>
        <m:d>
          <m:dPr>
            <m:ctrlPr>
              <w:rPr>
                <w:rFonts w:ascii="Cambria Math" w:hAnsi="Cambria Math"/>
              </w:rPr>
            </m:ctrlPr>
          </m:dPr>
          <m:e>
            <m:r>
              <m:rPr>
                <m:sty m:val="p"/>
              </m:rPr>
              <w:rPr>
                <w:rFonts w:ascii="Cambria Math" w:hAnsi="Cambria Math"/>
              </w:rPr>
              <m:t>X∙</m:t>
            </m:r>
            <m:acc>
              <m:accPr>
                <m:ctrlPr>
                  <w:rPr>
                    <w:rFonts w:ascii="Cambria Math" w:hAnsi="Cambria Math"/>
                  </w:rPr>
                </m:ctrlPr>
              </m:accPr>
              <m:e>
                <m:r>
                  <m:rPr>
                    <m:sty m:val="p"/>
                  </m:rPr>
                  <w:rPr>
                    <w:rFonts w:ascii="Cambria Math" w:hAnsi="Cambria Math"/>
                  </w:rPr>
                  <m:t>b</m:t>
                </m:r>
              </m:e>
            </m:acc>
          </m:e>
        </m:d>
      </m:oMath>
      <w:r w:rsidR="00693B97">
        <w:t xml:space="preserve">. </w:t>
      </w:r>
      <w:r w:rsidR="00C6640A">
        <w:t>We use t</w:t>
      </w:r>
      <w:r w:rsidRPr="00337107">
        <w:t>hese weights in the analyses to make the sample representative of all employers in the four states</w:t>
      </w:r>
      <w:r w:rsidR="00693B97">
        <w:t xml:space="preserve">. </w:t>
      </w:r>
      <w:r w:rsidRPr="00337107">
        <w:t>This method is a widely accepted practice in program evaluations for controlling for survey non-response and for making estimation results representative of all program applicants</w:t>
      </w:r>
      <w:r w:rsidR="00F538CA">
        <w:t>.</w:t>
      </w:r>
      <w:r w:rsidR="00F538CA">
        <w:rPr>
          <w:rStyle w:val="FootnoteReference"/>
        </w:rPr>
        <w:footnoteReference w:id="15"/>
      </w:r>
    </w:p>
    <w:p w:rsidR="00BA274E" w:rsidRDefault="00C6640A" w:rsidP="00BA274E">
      <w:r>
        <w:t>W</w:t>
      </w:r>
      <w:r w:rsidR="00BA274E">
        <w:t xml:space="preserve">e will </w:t>
      </w:r>
      <w:r>
        <w:t xml:space="preserve">also </w:t>
      </w:r>
      <w:r w:rsidR="00BA274E">
        <w:t>conduct sensitivity analyses using alternative methods to address non-response bias, such as case wise deletion and dummy adjustment</w:t>
      </w:r>
      <w:r w:rsidR="00693B97">
        <w:t xml:space="preserve">. </w:t>
      </w:r>
      <w:r w:rsidR="00BA274E">
        <w:t>The former involves deleting the entire survey response record if dependent variables have missing data</w:t>
      </w:r>
      <w:r w:rsidR="00693B97">
        <w:t xml:space="preserve">. </w:t>
      </w:r>
      <w:r w:rsidR="00BA274E">
        <w:t>The latter requires creating a dummy variable to indicate the missing status (0 if not missing data; 1 if missing data) when independent variables in the analytic model have missing data</w:t>
      </w:r>
      <w:r w:rsidR="00693B97">
        <w:t xml:space="preserve">. </w:t>
      </w:r>
      <w:r>
        <w:t>We will then incorporate t</w:t>
      </w:r>
      <w:r w:rsidR="00BA274E">
        <w:t>he dummy missing indicator and the independent variables in the analytic model as predictors.</w:t>
      </w:r>
    </w:p>
    <w:p w:rsidR="007235AA" w:rsidRDefault="0042128E" w:rsidP="0042128E">
      <w:pPr>
        <w:pStyle w:val="Heading3"/>
      </w:pPr>
      <w:bookmarkStart w:id="50" w:name="_Toc348504222"/>
      <w:bookmarkStart w:id="51" w:name="_Toc348455501"/>
      <w:bookmarkStart w:id="52" w:name="_Toc348965111"/>
      <w:r>
        <w:t>c.</w:t>
      </w:r>
      <w:r>
        <w:tab/>
      </w:r>
      <w:r w:rsidR="00BA274E" w:rsidRPr="007235AA">
        <w:t>Reliability of Data Collection</w:t>
      </w:r>
      <w:bookmarkEnd w:id="50"/>
      <w:bookmarkEnd w:id="51"/>
      <w:bookmarkEnd w:id="52"/>
    </w:p>
    <w:p w:rsidR="00BA274E" w:rsidRPr="00337107" w:rsidRDefault="00BA274E" w:rsidP="00BA274E">
      <w:r w:rsidRPr="00337107">
        <w:t xml:space="preserve">The </w:t>
      </w:r>
      <w:r>
        <w:t xml:space="preserve">survey </w:t>
      </w:r>
      <w:r w:rsidRPr="00337107">
        <w:t>question design ensure</w:t>
      </w:r>
      <w:r w:rsidR="00C6640A">
        <w:t>s</w:t>
      </w:r>
      <w:r w:rsidRPr="00337107">
        <w:t xml:space="preserve"> that the</w:t>
      </w:r>
      <w:r w:rsidR="00C6640A" w:rsidRPr="00C6640A">
        <w:t xml:space="preserve"> </w:t>
      </w:r>
      <w:r w:rsidR="00C6640A" w:rsidRPr="00337107">
        <w:t xml:space="preserve">respondents </w:t>
      </w:r>
      <w:r w:rsidR="00C6640A">
        <w:t>can</w:t>
      </w:r>
      <w:r w:rsidR="00C6640A" w:rsidRPr="00337107">
        <w:t xml:space="preserve"> </w:t>
      </w:r>
      <w:r w:rsidRPr="00337107">
        <w:t xml:space="preserve">easily </w:t>
      </w:r>
      <w:r w:rsidR="00720792" w:rsidRPr="00337107">
        <w:t>understand</w:t>
      </w:r>
      <w:r w:rsidRPr="00337107">
        <w:t xml:space="preserve"> </w:t>
      </w:r>
      <w:r w:rsidR="00C6640A">
        <w:t>them</w:t>
      </w:r>
      <w:r w:rsidR="00693B97">
        <w:t xml:space="preserve">. </w:t>
      </w:r>
      <w:r w:rsidRPr="00337107">
        <w:t xml:space="preserve">Revisions were made to the draft questionnaire based on an internal review, a review by technical advisors, </w:t>
      </w:r>
      <w:r w:rsidR="001B22DA">
        <w:t xml:space="preserve">and </w:t>
      </w:r>
      <w:r w:rsidRPr="00337107">
        <w:t>a review by DO</w:t>
      </w:r>
      <w:r w:rsidR="001B22DA">
        <w:t>L</w:t>
      </w:r>
      <w:r w:rsidRPr="00337107">
        <w:t>.</w:t>
      </w:r>
    </w:p>
    <w:p w:rsidR="00EC0911" w:rsidRDefault="00EC0911" w:rsidP="00EC0911">
      <w:r>
        <w:lastRenderedPageBreak/>
        <w:t xml:space="preserve">The use of </w:t>
      </w:r>
      <w:r w:rsidR="00C6640A">
        <w:t>Computer Assisted Telephone Interviewing (</w:t>
      </w:r>
      <w:r>
        <w:t>CATI</w:t>
      </w:r>
      <w:r w:rsidR="00C6640A">
        <w:t>)</w:t>
      </w:r>
      <w:r>
        <w:t xml:space="preserve"> and </w:t>
      </w:r>
      <w:r w:rsidR="00C6640A">
        <w:t>Computer Assisted Web Interviewing (</w:t>
      </w:r>
      <w:r>
        <w:t>CAWI</w:t>
      </w:r>
      <w:r w:rsidR="00C6640A">
        <w:t>)</w:t>
      </w:r>
      <w:r>
        <w:t xml:space="preserve"> to conduct the survey also helps ensure </w:t>
      </w:r>
      <w:r w:rsidR="00C6640A">
        <w:t xml:space="preserve">data </w:t>
      </w:r>
      <w:r>
        <w:t>reliability</w:t>
      </w:r>
      <w:r w:rsidR="00693B97">
        <w:t xml:space="preserve">. </w:t>
      </w:r>
      <w:r>
        <w:t xml:space="preserve">Both systems </w:t>
      </w:r>
      <w:r w:rsidR="00C6640A">
        <w:t>can</w:t>
      </w:r>
      <w:r>
        <w:t xml:space="preserve"> control question branching (reducing item nonresponse due to interviewer error), as well as</w:t>
      </w:r>
      <w:r w:rsidR="00C6640A">
        <w:t xml:space="preserve"> </w:t>
      </w:r>
      <w:r>
        <w:t xml:space="preserve">modifying wording (providing memory aids and probes and personalizing questions), and constructing complex sequences </w:t>
      </w:r>
      <w:r w:rsidR="00C6640A">
        <w:t xml:space="preserve">that are </w:t>
      </w:r>
      <w:r>
        <w:t>not possible to produce or are less accurate in other survey administration systems</w:t>
      </w:r>
      <w:r w:rsidR="007235AA">
        <w:t xml:space="preserve">. </w:t>
      </w:r>
      <w:r>
        <w:t>The probes, verifications, and consistency checks are built into the system</w:t>
      </w:r>
      <w:r w:rsidR="00ED57A9">
        <w:t>, enabling</w:t>
      </w:r>
      <w:r>
        <w:t xml:space="preserve"> the CATI/CAWI syst</w:t>
      </w:r>
      <w:r w:rsidR="00FE0BB9">
        <w:t xml:space="preserve">em </w:t>
      </w:r>
      <w:r w:rsidR="00ED57A9">
        <w:t xml:space="preserve">to </w:t>
      </w:r>
      <w:r w:rsidR="00FE0BB9">
        <w:t>standardize procedures</w:t>
      </w:r>
      <w:r w:rsidR="00693B97">
        <w:t xml:space="preserve">. </w:t>
      </w:r>
      <w:r>
        <w:t>These procedures ensure the reliability of the data collection methods and the data collected through those methods.</w:t>
      </w:r>
    </w:p>
    <w:p w:rsidR="00BA274E" w:rsidRPr="00337107" w:rsidRDefault="00BA274E" w:rsidP="00BA274E">
      <w:r w:rsidRPr="00337107">
        <w:t xml:space="preserve">Lastly, IMPAQ will monitor each interviewer’s work using silent call-monitoring equipment and video monitors that display the interviewer’s screen </w:t>
      </w:r>
      <w:r w:rsidR="00ED57A9">
        <w:t>in</w:t>
      </w:r>
      <w:r w:rsidR="00ED57A9" w:rsidRPr="00337107">
        <w:t xml:space="preserve"> </w:t>
      </w:r>
      <w:r w:rsidRPr="00337107">
        <w:t>real-t</w:t>
      </w:r>
      <w:r w:rsidR="006D3662">
        <w:t xml:space="preserve">ime </w:t>
      </w:r>
      <w:r w:rsidR="00ED57A9">
        <w:t>for</w:t>
      </w:r>
      <w:r w:rsidR="006D3662">
        <w:t xml:space="preserve"> supervisors.</w:t>
      </w:r>
    </w:p>
    <w:p w:rsidR="007506FD" w:rsidRDefault="007506FD" w:rsidP="006A63E7">
      <w:pPr>
        <w:pStyle w:val="Heading2"/>
      </w:pPr>
      <w:bookmarkStart w:id="53" w:name="_Toc21406411"/>
      <w:bookmarkStart w:id="54" w:name="_Toc295118816"/>
      <w:bookmarkStart w:id="55" w:name="_Toc348455502"/>
      <w:bookmarkStart w:id="56" w:name="_Toc348965112"/>
      <w:r w:rsidRPr="004C6EC9">
        <w:t>4.</w:t>
      </w:r>
      <w:r w:rsidRPr="004C6EC9">
        <w:tab/>
        <w:t>Tests of Procedures or Methods</w:t>
      </w:r>
      <w:bookmarkEnd w:id="53"/>
      <w:bookmarkEnd w:id="54"/>
      <w:bookmarkEnd w:id="55"/>
      <w:bookmarkEnd w:id="56"/>
    </w:p>
    <w:p w:rsidR="00E00678" w:rsidRPr="00B86ABC" w:rsidRDefault="00E00678" w:rsidP="00E00678">
      <w:bookmarkStart w:id="57" w:name="_Toc21406412"/>
      <w:bookmarkStart w:id="58" w:name="_Toc295118817"/>
      <w:r w:rsidRPr="00B86ABC">
        <w:t>IMPAQ conduct</w:t>
      </w:r>
      <w:r w:rsidR="00367099">
        <w:t>ed</w:t>
      </w:r>
      <w:r w:rsidRPr="00B86ABC">
        <w:t xml:space="preserve"> a pretest </w:t>
      </w:r>
      <w:r w:rsidR="00075E1E" w:rsidRPr="00B86ABC">
        <w:t>of the s</w:t>
      </w:r>
      <w:r w:rsidRPr="00B86ABC">
        <w:t>urvey instrument using printed versions of the questionnaire</w:t>
      </w:r>
      <w:r w:rsidR="00FB28A9">
        <w:t>.</w:t>
      </w:r>
      <w:r w:rsidR="004633E8">
        <w:t xml:space="preserve"> </w:t>
      </w:r>
      <w:r w:rsidRPr="00B86ABC">
        <w:t xml:space="preserve">Each pretest </w:t>
      </w:r>
      <w:r w:rsidR="00450EFA">
        <w:t>was</w:t>
      </w:r>
      <w:r w:rsidRPr="00B86ABC">
        <w:t xml:space="preserve"> monitored to determine if the respondent’s answers </w:t>
      </w:r>
      <w:r w:rsidR="00450EFA">
        <w:t>were</w:t>
      </w:r>
      <w:r w:rsidRPr="00B86ABC">
        <w:t xml:space="preserve"> consistent with the intent of the question</w:t>
      </w:r>
      <w:r w:rsidR="00693B97">
        <w:t xml:space="preserve">. </w:t>
      </w:r>
      <w:r w:rsidRPr="00B86ABC">
        <w:t>The pretest enable</w:t>
      </w:r>
      <w:r w:rsidR="00450EFA">
        <w:t>d</w:t>
      </w:r>
      <w:r w:rsidRPr="00B86ABC">
        <w:t xml:space="preserve"> IMPAQ to check the accuracy of the internal skip patterns of the survey, the instructions to </w:t>
      </w:r>
      <w:r w:rsidR="00385608">
        <w:t xml:space="preserve">responders in the </w:t>
      </w:r>
      <w:r w:rsidR="00FF04DB">
        <w:t>Web</w:t>
      </w:r>
      <w:r w:rsidR="00ED57A9">
        <w:t>-</w:t>
      </w:r>
      <w:r w:rsidR="00385608">
        <w:t xml:space="preserve">based instrument, instructions to </w:t>
      </w:r>
      <w:r w:rsidRPr="00B86ABC">
        <w:t>interviewers</w:t>
      </w:r>
      <w:r w:rsidR="00385608">
        <w:t xml:space="preserve"> for the </w:t>
      </w:r>
      <w:r w:rsidR="00ED57A9">
        <w:t>phone-</w:t>
      </w:r>
      <w:r w:rsidR="00385608">
        <w:t>based instrument</w:t>
      </w:r>
      <w:r w:rsidRPr="00B86ABC">
        <w:t>, the ea</w:t>
      </w:r>
      <w:r w:rsidR="00B86CC4" w:rsidRPr="00B86ABC">
        <w:t xml:space="preserve">se with which interviewers </w:t>
      </w:r>
      <w:r w:rsidR="00ED57A9">
        <w:t>can</w:t>
      </w:r>
      <w:r w:rsidRPr="00B86ABC">
        <w:t xml:space="preserve"> </w:t>
      </w:r>
      <w:r w:rsidR="00450EFA">
        <w:t xml:space="preserve"> interpret </w:t>
      </w:r>
      <w:r w:rsidRPr="00B86ABC">
        <w:t>question wording, and the apparent ability of respondents to follow the wording and sequence of questions</w:t>
      </w:r>
      <w:r w:rsidR="00693B97">
        <w:t xml:space="preserve">. </w:t>
      </w:r>
      <w:r w:rsidRPr="00B86ABC">
        <w:t>Project staff</w:t>
      </w:r>
      <w:r w:rsidR="00450EFA">
        <w:t xml:space="preserve"> </w:t>
      </w:r>
      <w:r w:rsidRPr="00B86ABC">
        <w:t>monitor</w:t>
      </w:r>
      <w:r w:rsidR="00450EFA">
        <w:t>ed</w:t>
      </w:r>
      <w:r w:rsidR="00B86CC4" w:rsidRPr="00B86ABC">
        <w:t xml:space="preserve"> all pretest</w:t>
      </w:r>
      <w:r w:rsidR="00450EFA">
        <w:t>s</w:t>
      </w:r>
      <w:r w:rsidR="00B86CC4" w:rsidRPr="00B86ABC">
        <w:t xml:space="preserve"> and </w:t>
      </w:r>
      <w:r w:rsidR="00450EFA">
        <w:t>took</w:t>
      </w:r>
      <w:r w:rsidRPr="00B86ABC">
        <w:t xml:space="preserve"> extensive notes on question wording, skip logic, and the overall flow of the instrument</w:t>
      </w:r>
      <w:r w:rsidR="0064445C">
        <w:t>.</w:t>
      </w:r>
    </w:p>
    <w:p w:rsidR="007506FD" w:rsidRDefault="007506FD" w:rsidP="006A63E7">
      <w:pPr>
        <w:pStyle w:val="Heading2"/>
      </w:pPr>
      <w:bookmarkStart w:id="59" w:name="_Toc348455503"/>
      <w:bookmarkStart w:id="60" w:name="_Toc348965113"/>
      <w:r>
        <w:t>5.</w:t>
      </w:r>
      <w:r>
        <w:tab/>
        <w:t>Individuals Consulted on Statistical Methods</w:t>
      </w:r>
      <w:bookmarkEnd w:id="57"/>
      <w:bookmarkEnd w:id="58"/>
      <w:bookmarkEnd w:id="59"/>
      <w:bookmarkEnd w:id="60"/>
    </w:p>
    <w:p w:rsidR="00CA5FEE" w:rsidRDefault="005F59DA">
      <w:r>
        <w:fldChar w:fldCharType="begin"/>
      </w:r>
      <w:r w:rsidR="00DF330A">
        <w:instrText xml:space="preserve"> REF _Ref350938055 \h </w:instrText>
      </w:r>
      <w:r>
        <w:fldChar w:fldCharType="separate"/>
      </w:r>
      <w:r w:rsidR="00DF170B" w:rsidRPr="0042128E">
        <w:t xml:space="preserve">Exhibit </w:t>
      </w:r>
      <w:r w:rsidR="00DF170B">
        <w:rPr>
          <w:noProof/>
        </w:rPr>
        <w:t>8</w:t>
      </w:r>
      <w:r>
        <w:fldChar w:fldCharType="end"/>
      </w:r>
      <w:r w:rsidR="00DF330A">
        <w:t xml:space="preserve"> </w:t>
      </w:r>
      <w:r w:rsidR="00BD2377">
        <w:t>lists the p</w:t>
      </w:r>
      <w:r w:rsidR="007506FD">
        <w:t xml:space="preserve">ersons outside of </w:t>
      </w:r>
      <w:r w:rsidR="00ED57A9">
        <w:t xml:space="preserve">the </w:t>
      </w:r>
      <w:r w:rsidR="00ED57A9" w:rsidRPr="00C13DC7">
        <w:rPr>
          <w:rFonts w:cs="Calibri"/>
          <w:szCs w:val="24"/>
        </w:rPr>
        <w:t>Employment and Training Administration</w:t>
      </w:r>
      <w:r w:rsidR="00ED57A9">
        <w:t xml:space="preserve"> who </w:t>
      </w:r>
      <w:r w:rsidR="007506FD">
        <w:t>contributed to, reviewed, and/or approved the design, instrumentation</w:t>
      </w:r>
      <w:r w:rsidR="00ED57A9">
        <w:t>,</w:t>
      </w:r>
      <w:r w:rsidR="007506FD">
        <w:t xml:space="preserve"> and sampling plan:</w:t>
      </w:r>
    </w:p>
    <w:p w:rsidR="00CA5FEE" w:rsidRPr="0042128E" w:rsidRDefault="00CA5FEE" w:rsidP="0042128E">
      <w:pPr>
        <w:pStyle w:val="CaptionTitle"/>
      </w:pPr>
      <w:bookmarkStart w:id="61" w:name="_Ref350938055"/>
      <w:r w:rsidRPr="0042128E">
        <w:t xml:space="preserve">Exhibit </w:t>
      </w:r>
      <w:r w:rsidR="005F59DA">
        <w:fldChar w:fldCharType="begin"/>
      </w:r>
      <w:r w:rsidR="00437EBD">
        <w:instrText xml:space="preserve"> SEQ Exhibit \* ARABIC </w:instrText>
      </w:r>
      <w:r w:rsidR="005F59DA">
        <w:fldChar w:fldCharType="separate"/>
      </w:r>
      <w:r w:rsidR="00DF170B">
        <w:rPr>
          <w:noProof/>
        </w:rPr>
        <w:t>8</w:t>
      </w:r>
      <w:r w:rsidR="005F59DA">
        <w:rPr>
          <w:noProof/>
        </w:rPr>
        <w:fldChar w:fldCharType="end"/>
      </w:r>
      <w:bookmarkEnd w:id="61"/>
      <w:r w:rsidRPr="0042128E">
        <w:t>: Consulted Individuals</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2"/>
        <w:gridCol w:w="2699"/>
        <w:gridCol w:w="2699"/>
      </w:tblGrid>
      <w:tr w:rsidR="00B353CF" w:rsidRPr="003B6F6E" w:rsidTr="00844378">
        <w:trPr>
          <w:cantSplit/>
          <w:trHeight w:val="493"/>
        </w:trPr>
        <w:tc>
          <w:tcPr>
            <w:tcW w:w="2116" w:type="pct"/>
            <w:shd w:val="clear" w:color="auto" w:fill="660000"/>
            <w:vAlign w:val="center"/>
          </w:tcPr>
          <w:p w:rsidR="00CA5FEE" w:rsidRPr="007235AA" w:rsidRDefault="00CA5FEE" w:rsidP="00844378">
            <w:pPr>
              <w:keepNext/>
              <w:spacing w:before="120" w:after="120"/>
              <w:ind w:right="14"/>
              <w:jc w:val="center"/>
              <w:rPr>
                <w:b/>
                <w:color w:val="FFFFFF" w:themeColor="background1"/>
              </w:rPr>
            </w:pPr>
            <w:r w:rsidRPr="007235AA">
              <w:rPr>
                <w:b/>
                <w:color w:val="FFFFFF" w:themeColor="background1"/>
                <w:sz w:val="22"/>
              </w:rPr>
              <w:t>Name</w:t>
            </w:r>
          </w:p>
        </w:tc>
        <w:tc>
          <w:tcPr>
            <w:tcW w:w="1442" w:type="pct"/>
            <w:shd w:val="clear" w:color="auto" w:fill="660000"/>
            <w:vAlign w:val="center"/>
          </w:tcPr>
          <w:p w:rsidR="00CA5FEE" w:rsidRPr="007235AA" w:rsidRDefault="00CA5FEE" w:rsidP="00844378">
            <w:pPr>
              <w:keepNext/>
              <w:spacing w:before="120" w:after="120"/>
              <w:ind w:right="14"/>
              <w:jc w:val="center"/>
              <w:rPr>
                <w:b/>
                <w:color w:val="FFFFFF" w:themeColor="background1"/>
              </w:rPr>
            </w:pPr>
            <w:r w:rsidRPr="007235AA">
              <w:rPr>
                <w:b/>
                <w:color w:val="FFFFFF" w:themeColor="background1"/>
                <w:sz w:val="22"/>
              </w:rPr>
              <w:t>Affiliation</w:t>
            </w:r>
          </w:p>
        </w:tc>
        <w:tc>
          <w:tcPr>
            <w:tcW w:w="1442" w:type="pct"/>
            <w:shd w:val="clear" w:color="auto" w:fill="660000"/>
            <w:vAlign w:val="center"/>
          </w:tcPr>
          <w:p w:rsidR="00CA5FEE" w:rsidRPr="007235AA" w:rsidRDefault="00CA5FEE" w:rsidP="00844378">
            <w:pPr>
              <w:keepNext/>
              <w:spacing w:before="120" w:after="120"/>
              <w:ind w:right="14"/>
              <w:jc w:val="center"/>
              <w:rPr>
                <w:b/>
                <w:color w:val="FFFFFF" w:themeColor="background1"/>
              </w:rPr>
            </w:pPr>
            <w:r w:rsidRPr="007235AA">
              <w:rPr>
                <w:b/>
                <w:color w:val="FFFFFF" w:themeColor="background1"/>
                <w:sz w:val="22"/>
              </w:rPr>
              <w:t>Telephone Number</w:t>
            </w:r>
          </w:p>
        </w:tc>
      </w:tr>
      <w:tr w:rsidR="00CA5FEE" w:rsidRPr="003B6F6E" w:rsidTr="00844378">
        <w:trPr>
          <w:cantSplit/>
          <w:trHeight w:val="493"/>
        </w:trPr>
        <w:tc>
          <w:tcPr>
            <w:tcW w:w="2116" w:type="pct"/>
            <w:vAlign w:val="center"/>
          </w:tcPr>
          <w:p w:rsidR="00CA5FEE" w:rsidRPr="007235AA" w:rsidRDefault="00CA5FEE" w:rsidP="00844378">
            <w:pPr>
              <w:keepNext/>
              <w:spacing w:before="120" w:after="120"/>
              <w:ind w:right="14"/>
              <w:jc w:val="left"/>
              <w:rPr>
                <w:sz w:val="20"/>
              </w:rPr>
            </w:pPr>
            <w:r w:rsidRPr="007235AA">
              <w:rPr>
                <w:sz w:val="20"/>
              </w:rPr>
              <w:t xml:space="preserve">Jacob </w:t>
            </w:r>
            <w:proofErr w:type="spellStart"/>
            <w:r w:rsidRPr="007235AA">
              <w:rPr>
                <w:sz w:val="20"/>
              </w:rPr>
              <w:t>Benus</w:t>
            </w:r>
            <w:proofErr w:type="spellEnd"/>
            <w:r w:rsidRPr="007235AA">
              <w:rPr>
                <w:sz w:val="20"/>
              </w:rPr>
              <w:t xml:space="preserve"> (Project Director)</w:t>
            </w:r>
          </w:p>
        </w:tc>
        <w:tc>
          <w:tcPr>
            <w:tcW w:w="1442" w:type="pct"/>
            <w:vAlign w:val="center"/>
          </w:tcPr>
          <w:p w:rsidR="00CA5FEE" w:rsidRPr="007235AA" w:rsidRDefault="00CA5FEE" w:rsidP="00844378">
            <w:pPr>
              <w:keepNext/>
              <w:spacing w:before="120" w:after="120"/>
              <w:ind w:right="14"/>
              <w:jc w:val="center"/>
              <w:rPr>
                <w:sz w:val="20"/>
              </w:rPr>
            </w:pPr>
            <w:r w:rsidRPr="007235AA">
              <w:rPr>
                <w:sz w:val="20"/>
              </w:rPr>
              <w:t>IMPAQ International</w:t>
            </w:r>
          </w:p>
        </w:tc>
        <w:tc>
          <w:tcPr>
            <w:tcW w:w="1442" w:type="pct"/>
            <w:vAlign w:val="center"/>
          </w:tcPr>
          <w:p w:rsidR="00CA5FEE" w:rsidRPr="007235AA" w:rsidRDefault="00CA5FEE" w:rsidP="00844378">
            <w:pPr>
              <w:pStyle w:val="Center"/>
              <w:keepNext/>
              <w:spacing w:before="120" w:after="120" w:line="240" w:lineRule="auto"/>
              <w:ind w:right="14"/>
              <w:rPr>
                <w:sz w:val="20"/>
              </w:rPr>
            </w:pPr>
            <w:r w:rsidRPr="007235AA">
              <w:rPr>
                <w:sz w:val="20"/>
              </w:rPr>
              <w:t>(443) 367-0088</w:t>
            </w:r>
          </w:p>
        </w:tc>
      </w:tr>
      <w:tr w:rsidR="00CA5FEE" w:rsidRPr="003B6F6E" w:rsidTr="00844378">
        <w:trPr>
          <w:cantSplit/>
          <w:trHeight w:val="493"/>
        </w:trPr>
        <w:tc>
          <w:tcPr>
            <w:tcW w:w="2116" w:type="pct"/>
            <w:vAlign w:val="center"/>
          </w:tcPr>
          <w:p w:rsidR="00CA5FEE" w:rsidRPr="007235AA" w:rsidRDefault="00CA5FEE" w:rsidP="00844378">
            <w:pPr>
              <w:keepNext/>
              <w:spacing w:before="120" w:after="120"/>
              <w:ind w:right="14"/>
              <w:jc w:val="left"/>
              <w:rPr>
                <w:sz w:val="20"/>
              </w:rPr>
            </w:pPr>
            <w:r w:rsidRPr="007235AA">
              <w:rPr>
                <w:sz w:val="20"/>
              </w:rPr>
              <w:t xml:space="preserve">David </w:t>
            </w:r>
            <w:proofErr w:type="spellStart"/>
            <w:r w:rsidRPr="007235AA">
              <w:rPr>
                <w:sz w:val="20"/>
              </w:rPr>
              <w:t>Balducchi</w:t>
            </w:r>
            <w:proofErr w:type="spellEnd"/>
            <w:r w:rsidRPr="007235AA">
              <w:rPr>
                <w:sz w:val="20"/>
              </w:rPr>
              <w:t xml:space="preserve"> (Principal Investigator)</w:t>
            </w:r>
          </w:p>
        </w:tc>
        <w:tc>
          <w:tcPr>
            <w:tcW w:w="1442" w:type="pct"/>
            <w:vAlign w:val="center"/>
          </w:tcPr>
          <w:p w:rsidR="00CA5FEE" w:rsidRPr="007235AA" w:rsidRDefault="00B829C7" w:rsidP="00844378">
            <w:pPr>
              <w:keepNext/>
              <w:spacing w:before="120" w:after="120"/>
              <w:ind w:right="14"/>
              <w:jc w:val="center"/>
              <w:rPr>
                <w:sz w:val="20"/>
              </w:rPr>
            </w:pPr>
            <w:r w:rsidRPr="00B829C7">
              <w:rPr>
                <w:sz w:val="20"/>
              </w:rPr>
              <w:t>I</w:t>
            </w:r>
            <w:r w:rsidR="00275305" w:rsidRPr="00B829C7">
              <w:rPr>
                <w:sz w:val="20"/>
              </w:rPr>
              <w:t>MPAQ International</w:t>
            </w:r>
          </w:p>
        </w:tc>
        <w:tc>
          <w:tcPr>
            <w:tcW w:w="1442" w:type="pct"/>
            <w:vAlign w:val="center"/>
          </w:tcPr>
          <w:p w:rsidR="00CA5FEE" w:rsidRPr="007235AA" w:rsidRDefault="00CA5FEE" w:rsidP="00844378">
            <w:pPr>
              <w:pStyle w:val="Center"/>
              <w:keepNext/>
              <w:spacing w:before="120" w:after="120" w:line="240" w:lineRule="auto"/>
              <w:ind w:right="14"/>
              <w:rPr>
                <w:sz w:val="20"/>
              </w:rPr>
            </w:pPr>
            <w:r w:rsidRPr="007235AA">
              <w:rPr>
                <w:sz w:val="20"/>
              </w:rPr>
              <w:t>(703) 276-8494</w:t>
            </w:r>
          </w:p>
        </w:tc>
      </w:tr>
      <w:tr w:rsidR="00CA5FEE" w:rsidRPr="003B6F6E" w:rsidTr="00844378">
        <w:trPr>
          <w:cantSplit/>
          <w:trHeight w:val="493"/>
        </w:trPr>
        <w:tc>
          <w:tcPr>
            <w:tcW w:w="2116" w:type="pct"/>
            <w:vAlign w:val="center"/>
          </w:tcPr>
          <w:p w:rsidR="00CA5FEE" w:rsidRPr="005D4700" w:rsidRDefault="00CA5FEE" w:rsidP="00844378">
            <w:pPr>
              <w:keepNext/>
              <w:spacing w:before="120" w:after="120"/>
              <w:ind w:right="14"/>
              <w:jc w:val="left"/>
              <w:rPr>
                <w:sz w:val="20"/>
                <w:szCs w:val="20"/>
              </w:rPr>
            </w:pPr>
            <w:r w:rsidRPr="005D4700">
              <w:rPr>
                <w:sz w:val="20"/>
                <w:szCs w:val="20"/>
              </w:rPr>
              <w:t>Stephen Wandner (Senior Technical Advisor)</w:t>
            </w:r>
          </w:p>
        </w:tc>
        <w:tc>
          <w:tcPr>
            <w:tcW w:w="1442" w:type="pct"/>
            <w:vAlign w:val="center"/>
          </w:tcPr>
          <w:p w:rsidR="00CA5FEE" w:rsidRPr="005D4700" w:rsidRDefault="00CA5FEE" w:rsidP="00844378">
            <w:pPr>
              <w:keepNext/>
              <w:spacing w:before="120" w:after="120"/>
              <w:ind w:right="14"/>
              <w:jc w:val="center"/>
              <w:rPr>
                <w:sz w:val="20"/>
                <w:szCs w:val="20"/>
              </w:rPr>
            </w:pPr>
            <w:r w:rsidRPr="005D4700">
              <w:rPr>
                <w:sz w:val="20"/>
                <w:szCs w:val="20"/>
              </w:rPr>
              <w:t>Urban Institute</w:t>
            </w:r>
          </w:p>
        </w:tc>
        <w:tc>
          <w:tcPr>
            <w:tcW w:w="1442" w:type="pct"/>
            <w:vAlign w:val="center"/>
          </w:tcPr>
          <w:p w:rsidR="00CA5FEE" w:rsidRPr="005D4700" w:rsidRDefault="00CA5FEE" w:rsidP="00844378">
            <w:pPr>
              <w:pStyle w:val="Center"/>
              <w:keepNext/>
              <w:spacing w:before="120" w:after="120" w:line="240" w:lineRule="auto"/>
              <w:ind w:right="14"/>
              <w:rPr>
                <w:sz w:val="20"/>
              </w:rPr>
            </w:pPr>
            <w:r w:rsidRPr="005D4700">
              <w:rPr>
                <w:sz w:val="20"/>
              </w:rPr>
              <w:t>(301) 785-6670</w:t>
            </w:r>
          </w:p>
        </w:tc>
      </w:tr>
      <w:tr w:rsidR="00CA5FEE" w:rsidRPr="003B6F6E" w:rsidTr="00844378">
        <w:trPr>
          <w:cantSplit/>
          <w:trHeight w:val="493"/>
        </w:trPr>
        <w:tc>
          <w:tcPr>
            <w:tcW w:w="2116" w:type="pct"/>
            <w:vAlign w:val="center"/>
          </w:tcPr>
          <w:p w:rsidR="00CA5FEE" w:rsidRPr="005D4700" w:rsidRDefault="00CA5FEE" w:rsidP="00844378">
            <w:pPr>
              <w:keepNext/>
              <w:spacing w:before="120" w:after="120"/>
              <w:ind w:right="14"/>
              <w:jc w:val="left"/>
              <w:rPr>
                <w:sz w:val="20"/>
                <w:szCs w:val="20"/>
              </w:rPr>
            </w:pPr>
            <w:r w:rsidRPr="005D4700">
              <w:rPr>
                <w:sz w:val="20"/>
                <w:szCs w:val="20"/>
              </w:rPr>
              <w:t>Russell Saltz (Research Associate)</w:t>
            </w:r>
          </w:p>
        </w:tc>
        <w:tc>
          <w:tcPr>
            <w:tcW w:w="1442" w:type="pct"/>
            <w:vAlign w:val="center"/>
          </w:tcPr>
          <w:p w:rsidR="00CA5FEE" w:rsidRPr="005D4700" w:rsidRDefault="00CA5FEE" w:rsidP="00844378">
            <w:pPr>
              <w:keepNext/>
              <w:spacing w:before="120" w:after="120"/>
              <w:ind w:right="14"/>
              <w:jc w:val="center"/>
              <w:rPr>
                <w:sz w:val="20"/>
                <w:szCs w:val="20"/>
              </w:rPr>
            </w:pPr>
            <w:r w:rsidRPr="005D4700">
              <w:rPr>
                <w:sz w:val="20"/>
                <w:szCs w:val="20"/>
              </w:rPr>
              <w:t>IMPAQ International</w:t>
            </w:r>
          </w:p>
        </w:tc>
        <w:tc>
          <w:tcPr>
            <w:tcW w:w="1442" w:type="pct"/>
            <w:vAlign w:val="center"/>
          </w:tcPr>
          <w:p w:rsidR="00CA5FEE" w:rsidRPr="005D4700" w:rsidRDefault="00CA5FEE" w:rsidP="00844378">
            <w:pPr>
              <w:keepNext/>
              <w:spacing w:before="120" w:after="120"/>
              <w:ind w:right="14"/>
              <w:jc w:val="center"/>
              <w:rPr>
                <w:sz w:val="20"/>
                <w:szCs w:val="20"/>
              </w:rPr>
            </w:pPr>
            <w:r w:rsidRPr="005D4700">
              <w:rPr>
                <w:sz w:val="20"/>
                <w:szCs w:val="20"/>
              </w:rPr>
              <w:t>(443) 367-0088</w:t>
            </w:r>
          </w:p>
        </w:tc>
      </w:tr>
    </w:tbl>
    <w:p w:rsidR="00E00678" w:rsidDel="00134C1A" w:rsidRDefault="00E00678" w:rsidP="007235AA">
      <w:pPr>
        <w:spacing w:after="200" w:line="276" w:lineRule="auto"/>
        <w:jc w:val="left"/>
      </w:pPr>
    </w:p>
    <w:sectPr w:rsidR="00E00678" w:rsidDel="00134C1A" w:rsidSect="00057742">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72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1E5" w:rsidRDefault="00BF01E5" w:rsidP="004376A9">
      <w:r>
        <w:separator/>
      </w:r>
    </w:p>
  </w:endnote>
  <w:endnote w:type="continuationSeparator" w:id="0">
    <w:p w:rsidR="00BF01E5" w:rsidRDefault="00BF01E5" w:rsidP="004376A9">
      <w:r>
        <w:continuationSeparator/>
      </w:r>
    </w:p>
  </w:endnote>
  <w:endnote w:type="continuationNotice" w:id="1">
    <w:p w:rsidR="00BF01E5" w:rsidRDefault="00BF01E5" w:rsidP="00B35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onaco">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7E" w:rsidRDefault="00E54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7E" w:rsidRDefault="00E54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7E" w:rsidRDefault="00E54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1E5" w:rsidRDefault="00BF01E5" w:rsidP="00FD428C">
      <w:pPr>
        <w:spacing w:after="0"/>
      </w:pPr>
      <w:r>
        <w:separator/>
      </w:r>
    </w:p>
  </w:footnote>
  <w:footnote w:type="continuationSeparator" w:id="0">
    <w:p w:rsidR="00BF01E5" w:rsidRDefault="00BF01E5" w:rsidP="00FD428C">
      <w:pPr>
        <w:spacing w:after="0"/>
      </w:pPr>
      <w:r>
        <w:continuationSeparator/>
      </w:r>
    </w:p>
  </w:footnote>
  <w:footnote w:type="continuationNotice" w:id="1">
    <w:p w:rsidR="00BF01E5" w:rsidRDefault="00BF01E5" w:rsidP="00FD428C">
      <w:pPr>
        <w:spacing w:after="0"/>
      </w:pPr>
    </w:p>
  </w:footnote>
  <w:footnote w:id="2">
    <w:p w:rsidR="008E5793" w:rsidRPr="0061263C" w:rsidRDefault="008E5793" w:rsidP="00D002C9">
      <w:pPr>
        <w:pStyle w:val="FootNote"/>
        <w:spacing w:after="0"/>
      </w:pPr>
      <w:r w:rsidRPr="0061263C">
        <w:rPr>
          <w:rStyle w:val="FootnoteReference"/>
        </w:rPr>
        <w:footnoteRef/>
      </w:r>
      <w:r w:rsidRPr="0061263C">
        <w:t xml:space="preserve"> An employer can submit more than one STC application. </w:t>
      </w:r>
    </w:p>
  </w:footnote>
  <w:footnote w:id="3">
    <w:p w:rsidR="008E5793" w:rsidRPr="0061263C" w:rsidRDefault="008E5793" w:rsidP="00D002C9">
      <w:pPr>
        <w:pStyle w:val="FootNote"/>
        <w:spacing w:after="0"/>
      </w:pPr>
      <w:r w:rsidRPr="0061263C">
        <w:rPr>
          <w:rStyle w:val="FootnoteReference"/>
        </w:rPr>
        <w:footnoteRef/>
      </w:r>
      <w:r w:rsidRPr="0061263C">
        <w:t xml:space="preserve"> Prior to 2009, 17 states had STC language in their UI laws. These states were </w:t>
      </w:r>
      <w:r w:rsidRPr="0061263C">
        <w:rPr>
          <w:color w:val="000000"/>
        </w:rPr>
        <w:t xml:space="preserve">Arizona, Arkansas, California, Connecticut, Florida, Iowa, Kansas, Maryland, Massachusetts, Minnesota, Missouri, New York, Oregon, Rhode Island, Texas, Vermont, and Washington. </w:t>
      </w:r>
      <w:r w:rsidRPr="0061263C">
        <w:t xml:space="preserve">In 2010, Maine and Pennsylvania enacted programs. In 2011, Colorado, </w:t>
      </w:r>
      <w:r w:rsidRPr="0061263C">
        <w:rPr>
          <w:color w:val="000000"/>
        </w:rPr>
        <w:t>District of Columbia, New Hampshire, and Oklahoma adopted STC. In 2012, New Jersey and Michigan enacted STC bills. This number does not include Louisiana, which enacted an STC law in 1986, but does not operate a program.</w:t>
      </w:r>
    </w:p>
  </w:footnote>
  <w:footnote w:id="4">
    <w:p w:rsidR="008E5793" w:rsidRPr="0061263C" w:rsidRDefault="008E5793" w:rsidP="00D002C9">
      <w:pPr>
        <w:pStyle w:val="FootNote"/>
        <w:spacing w:after="0"/>
      </w:pPr>
      <w:r w:rsidRPr="0061263C">
        <w:rPr>
          <w:rStyle w:val="FootnoteReference"/>
        </w:rPr>
        <w:footnoteRef/>
      </w:r>
      <w:r w:rsidRPr="0061263C">
        <w:t xml:space="preserve"> We have received informal acknowledgement that these four states desire to participate in this study, and we are currently seeking formal agreements with the state to participate. In the event that one or more states do not formally agree to participate in the study, we will solicit participation from an alternative and comparable state.</w:t>
      </w:r>
    </w:p>
  </w:footnote>
  <w:footnote w:id="5">
    <w:p w:rsidR="008E5793" w:rsidRPr="0061263C" w:rsidRDefault="008E5793" w:rsidP="00D002C9">
      <w:pPr>
        <w:pStyle w:val="FootNote"/>
        <w:spacing w:after="0"/>
      </w:pPr>
      <w:r w:rsidRPr="0061263C">
        <w:rPr>
          <w:rStyle w:val="FootnoteReference"/>
        </w:rPr>
        <w:footnoteRef/>
      </w:r>
      <w:r w:rsidRPr="0061263C">
        <w:t xml:space="preserve"> Kansas currently has roughly 130 active STC plans; Minnesota has more than 60 active STC plans; Rhode Island has more than 200 active STC employers; and Washington has roughly 1,400 active STC plans. However, these figures do not represent the number of unique employers with approved STC plans. Employers can have more than one active STC plan at a time (i.e. multi-plans). For example, roughly 50 percent of Kansas’ plans are multi-plans and 80 percent or more of Rhode Island’s plans are multi-plans. These states had significantly more STC plans in 2009 than they do today.</w:t>
      </w:r>
      <w:r w:rsidR="00E3230B" w:rsidRPr="0061263C">
        <w:t xml:space="preserve"> In addition, these are current numbers.  The survey sampling frame will include the years 2009 through 2011.</w:t>
      </w:r>
    </w:p>
  </w:footnote>
  <w:footnote w:id="6">
    <w:p w:rsidR="008E5793" w:rsidRPr="0061263C" w:rsidRDefault="008E5793" w:rsidP="00D002C9">
      <w:pPr>
        <w:pStyle w:val="FootnoteText"/>
        <w:spacing w:after="0" w:line="240" w:lineRule="auto"/>
        <w:rPr>
          <w:rFonts w:ascii="Times New Roman" w:hAnsi="Times New Roman"/>
        </w:rPr>
      </w:pPr>
      <w:r w:rsidRPr="0061263C">
        <w:rPr>
          <w:rStyle w:val="FootnoteReference"/>
          <w:rFonts w:ascii="Times New Roman" w:hAnsi="Times New Roman"/>
        </w:rPr>
        <w:footnoteRef/>
      </w:r>
      <w:r w:rsidRPr="0061263C">
        <w:rPr>
          <w:rFonts w:ascii="Times New Roman" w:hAnsi="Times New Roman"/>
        </w:rPr>
        <w:t xml:space="preserve"> The U.S. annual average unemployment rate in 2011 was 8.9 percent.</w:t>
      </w:r>
    </w:p>
  </w:footnote>
  <w:footnote w:id="7">
    <w:p w:rsidR="008E5793" w:rsidRPr="0061263C" w:rsidRDefault="008E5793" w:rsidP="00D002C9">
      <w:pPr>
        <w:pStyle w:val="FootNote"/>
        <w:spacing w:after="0"/>
      </w:pPr>
      <w:r w:rsidRPr="0061263C">
        <w:rPr>
          <w:rStyle w:val="FootnoteReference"/>
        </w:rPr>
        <w:footnoteRef/>
      </w:r>
      <w:r w:rsidRPr="0061263C">
        <w:t xml:space="preserve"> An employer’s STC plan will not be accepted if it fails to meet state law requirements that may include whether the employer is delinquent in paying contributions, unable to commit to the program, or is either in negative balance or a maximum rated tax status. These state law requirements and reasons for non-acceptance vary by state.</w:t>
      </w:r>
    </w:p>
  </w:footnote>
  <w:footnote w:id="8">
    <w:p w:rsidR="008E5793" w:rsidRPr="0061263C" w:rsidRDefault="008E5793" w:rsidP="00D002C9">
      <w:pPr>
        <w:pStyle w:val="FootNote"/>
        <w:spacing w:after="0"/>
      </w:pPr>
      <w:r w:rsidRPr="0061263C">
        <w:rPr>
          <w:rStyle w:val="FootnoteReference"/>
        </w:rPr>
        <w:footnoteRef/>
      </w:r>
      <w:r w:rsidRPr="0061263C">
        <w:t xml:space="preserve"> The number of approved plans and number of unique employers using STC will be different because employers can have multiple approved plans at the same time. In addition, employers can have multiple plans across time. The number of unique employers in the sampling frame will be less than the number of approved/denied plans. Information on the number of plans is based on phone interviews with SWA individuals.</w:t>
      </w:r>
    </w:p>
  </w:footnote>
  <w:footnote w:id="9">
    <w:p w:rsidR="008E5793" w:rsidRPr="0061263C" w:rsidRDefault="008E5793" w:rsidP="00D002C9">
      <w:pPr>
        <w:pStyle w:val="FootNote"/>
        <w:spacing w:after="0"/>
      </w:pPr>
      <w:r w:rsidRPr="0061263C">
        <w:rPr>
          <w:rStyle w:val="FootnoteReference"/>
        </w:rPr>
        <w:footnoteRef/>
      </w:r>
      <w:r w:rsidRPr="0061263C">
        <w:t xml:space="preserve"> IMPAQ expects 80 percent survey response rate because employers who participate in (or known about) STC are more likely to have working relationships with the state UI agencies, or because of the premium their companies place on human capital and job preservation programs.</w:t>
      </w:r>
      <w:r w:rsidR="00452AED">
        <w:t xml:space="preserve">  Similar studies, such as the USDOL Evaluation of Individual Training Account Demonstration and the Green Jobs Impact </w:t>
      </w:r>
      <w:r w:rsidR="00E5407E">
        <w:t>Evaluation</w:t>
      </w:r>
      <w:r w:rsidR="00452AED">
        <w:t>, have achieved an 80 percent or higher response rate.</w:t>
      </w:r>
    </w:p>
  </w:footnote>
  <w:footnote w:id="10">
    <w:p w:rsidR="00EA4B0E" w:rsidRPr="0061263C" w:rsidRDefault="00EA4B0E" w:rsidP="00D002C9">
      <w:pPr>
        <w:pStyle w:val="FootnoteText"/>
        <w:spacing w:after="0" w:line="240" w:lineRule="auto"/>
        <w:rPr>
          <w:rFonts w:ascii="Times New Roman" w:hAnsi="Times New Roman"/>
        </w:rPr>
      </w:pPr>
      <w:r w:rsidRPr="0061263C">
        <w:rPr>
          <w:rStyle w:val="FootnoteReference"/>
          <w:rFonts w:ascii="Times New Roman" w:hAnsi="Times New Roman"/>
        </w:rPr>
        <w:footnoteRef/>
      </w:r>
      <w:r w:rsidRPr="0061263C">
        <w:rPr>
          <w:rFonts w:ascii="Times New Roman" w:hAnsi="Times New Roman"/>
        </w:rPr>
        <w:t xml:space="preserve"> In Washington, we used 50% of approved 2011 plans due to the very large number of approved plans in Washington.</w:t>
      </w:r>
      <w:r w:rsidR="001F73DF">
        <w:rPr>
          <w:rFonts w:ascii="Times New Roman" w:hAnsi="Times New Roman"/>
        </w:rPr>
        <w:t xml:space="preserve">  These </w:t>
      </w:r>
      <w:r w:rsidR="00924292">
        <w:rPr>
          <w:rFonts w:ascii="Times New Roman" w:hAnsi="Times New Roman"/>
        </w:rPr>
        <w:t>employers</w:t>
      </w:r>
      <w:r w:rsidR="001F73DF">
        <w:rPr>
          <w:rFonts w:ascii="Times New Roman" w:hAnsi="Times New Roman"/>
        </w:rPr>
        <w:t xml:space="preserve"> will be randomly selected with equal probability.</w:t>
      </w:r>
    </w:p>
  </w:footnote>
  <w:footnote w:id="11">
    <w:p w:rsidR="00EA4B0E" w:rsidRPr="0061263C" w:rsidRDefault="00EA4B0E" w:rsidP="00D002C9">
      <w:pPr>
        <w:pStyle w:val="FootnoteText"/>
        <w:spacing w:after="0" w:line="240" w:lineRule="auto"/>
        <w:rPr>
          <w:rFonts w:ascii="Times New Roman" w:hAnsi="Times New Roman"/>
        </w:rPr>
      </w:pPr>
      <w:r w:rsidRPr="0061263C">
        <w:rPr>
          <w:rStyle w:val="FootnoteReference"/>
          <w:rFonts w:ascii="Times New Roman" w:hAnsi="Times New Roman"/>
        </w:rPr>
        <w:footnoteRef/>
      </w:r>
      <w:r w:rsidRPr="0061263C">
        <w:rPr>
          <w:rFonts w:ascii="Times New Roman" w:hAnsi="Times New Roman"/>
        </w:rPr>
        <w:t xml:space="preserve"> Sample size estimates were developed using the following proportions:  (1) the rate of STC plans not approved in each state is equal to 39% of the approved plans; (2) group 3 was set equal to group 2; and (3) group 4 was set equal to </w:t>
      </w:r>
      <w:r w:rsidR="001E50B3" w:rsidRPr="0061263C">
        <w:rPr>
          <w:rFonts w:ascii="Times New Roman" w:hAnsi="Times New Roman"/>
        </w:rPr>
        <w:t>the sum of groups 1, 2, and 3.</w:t>
      </w:r>
    </w:p>
  </w:footnote>
  <w:footnote w:id="12">
    <w:p w:rsidR="008E5793" w:rsidRPr="0061263C" w:rsidRDefault="008E5793" w:rsidP="00D002C9">
      <w:pPr>
        <w:pStyle w:val="FootNote"/>
        <w:spacing w:after="0"/>
      </w:pPr>
      <w:r w:rsidRPr="0061263C">
        <w:rPr>
          <w:rStyle w:val="FootnoteReference"/>
        </w:rPr>
        <w:footnoteRef/>
      </w:r>
      <w:r w:rsidRPr="0061263C">
        <w:t xml:space="preserve"> Current federal reporting requirements only yield data on STC claimants, not on participating STC employers.</w:t>
      </w:r>
    </w:p>
  </w:footnote>
  <w:footnote w:id="13">
    <w:p w:rsidR="008E5793" w:rsidRPr="0061263C" w:rsidRDefault="008E5793" w:rsidP="00D002C9">
      <w:pPr>
        <w:pStyle w:val="FootNote"/>
        <w:spacing w:after="0"/>
      </w:pPr>
      <w:r w:rsidRPr="0061263C">
        <w:rPr>
          <w:rStyle w:val="FootnoteReference"/>
        </w:rPr>
        <w:footnoteRef/>
      </w:r>
      <w:r w:rsidRPr="0061263C">
        <w:t xml:space="preserve"> Note:  </w:t>
      </w:r>
      <w:r w:rsidRPr="0061263C">
        <w:rPr>
          <w:rFonts w:eastAsia="Times New Roman"/>
          <w:position w:val="-4"/>
        </w:rPr>
        <w:object w:dxaOrig="220" w:dyaOrig="320">
          <v:shape id="_x0000_i1027" type="#_x0000_t75" style="width:10.4pt;height:15.9pt" o:ole="">
            <v:imagedata r:id="rId1" o:title=""/>
          </v:shape>
          <o:OLEObject Type="Embed" ProgID="Equation.3" ShapeID="_x0000_i1027" DrawAspect="Content" ObjectID="_1458026155" r:id="rId2"/>
        </w:object>
      </w:r>
      <w:r w:rsidRPr="0061263C">
        <w:rPr>
          <w:rFonts w:eastAsia="Times New Roman"/>
        </w:rPr>
        <w:t>i</w:t>
      </w:r>
      <w:r w:rsidRPr="0061263C">
        <w:t xml:space="preserve">s the full model prediction using all control variables; </w:t>
      </w:r>
      <w:proofErr w:type="spellStart"/>
      <w:r w:rsidRPr="0061263C">
        <w:rPr>
          <w:i/>
        </w:rPr>
        <w:t>M</w:t>
      </w:r>
      <w:r w:rsidRPr="0061263C">
        <w:rPr>
          <w:i/>
          <w:vertAlign w:val="subscript"/>
        </w:rPr>
        <w:t>Full</w:t>
      </w:r>
      <w:proofErr w:type="spellEnd"/>
      <w:r w:rsidRPr="0061263C">
        <w:t xml:space="preserve"> is the full model prediction without predictors; and </w:t>
      </w:r>
      <w:proofErr w:type="spellStart"/>
      <w:r w:rsidRPr="0061263C">
        <w:rPr>
          <w:i/>
        </w:rPr>
        <w:t>M</w:t>
      </w:r>
      <w:r w:rsidRPr="0061263C">
        <w:rPr>
          <w:i/>
          <w:vertAlign w:val="subscript"/>
        </w:rPr>
        <w:t>Intercept</w:t>
      </w:r>
      <w:proofErr w:type="spellEnd"/>
      <w:r w:rsidRPr="0061263C">
        <w:t xml:space="preserve"> is the estimated likelihood of response based on the </w:t>
      </w:r>
      <w:proofErr w:type="spellStart"/>
      <w:r w:rsidRPr="0061263C">
        <w:t>logit</w:t>
      </w:r>
      <w:proofErr w:type="spellEnd"/>
      <w:r w:rsidRPr="0061263C">
        <w:t xml:space="preserve"> model.</w:t>
      </w:r>
    </w:p>
  </w:footnote>
  <w:footnote w:id="14">
    <w:p w:rsidR="008E5793" w:rsidRPr="0061263C" w:rsidRDefault="008E5793" w:rsidP="00D002C9">
      <w:pPr>
        <w:pStyle w:val="FootNote"/>
        <w:spacing w:after="0"/>
      </w:pPr>
      <w:r w:rsidRPr="0061263C">
        <w:rPr>
          <w:rStyle w:val="FootnoteReference"/>
        </w:rPr>
        <w:footnoteRef/>
      </w:r>
      <w:r w:rsidRPr="0061263C">
        <w:t xml:space="preserve"> Note: </w:t>
      </w:r>
      <w:r w:rsidRPr="0061263C">
        <w:rPr>
          <w:i/>
        </w:rPr>
        <w:t>k</w:t>
      </w:r>
      <w:r w:rsidRPr="0061263C">
        <w:t xml:space="preserve"> is the number of parameters in the estimated model; and </w:t>
      </w:r>
      <w:r w:rsidRPr="0061263C">
        <w:rPr>
          <w:rFonts w:eastAsia="Times New Roman"/>
          <w:position w:val="-12"/>
        </w:rPr>
        <w:object w:dxaOrig="279" w:dyaOrig="400">
          <v:shape id="_x0000_i1029" type="#_x0000_t75" style="width:13.85pt;height:20.1pt" o:ole="">
            <v:imagedata r:id="rId3" o:title=""/>
          </v:shape>
          <o:OLEObject Type="Embed" ProgID="Equation.3" ShapeID="_x0000_i1029" DrawAspect="Content" ObjectID="_1458026156" r:id="rId4"/>
        </w:object>
      </w:r>
      <w:r w:rsidRPr="0061263C">
        <w:t xml:space="preserve"> is the maximum value of the likelihood function based on the estimated model.</w:t>
      </w:r>
    </w:p>
  </w:footnote>
  <w:footnote w:id="15">
    <w:p w:rsidR="008E5793" w:rsidRPr="0061263C" w:rsidRDefault="008E5793" w:rsidP="00D002C9">
      <w:pPr>
        <w:pStyle w:val="FootnoteText"/>
        <w:spacing w:after="0" w:line="240" w:lineRule="auto"/>
        <w:rPr>
          <w:rFonts w:ascii="Times New Roman" w:hAnsi="Times New Roman"/>
        </w:rPr>
      </w:pPr>
      <w:r w:rsidRPr="0061263C">
        <w:rPr>
          <w:rStyle w:val="FootnoteReference"/>
          <w:rFonts w:ascii="Times New Roman" w:hAnsi="Times New Roman"/>
        </w:rPr>
        <w:footnoteRef/>
      </w:r>
      <w:r w:rsidRPr="0061263C">
        <w:rPr>
          <w:rFonts w:ascii="Times New Roman" w:hAnsi="Times New Roman"/>
        </w:rPr>
        <w:t xml:space="preserve"> Source:  McConnell et al., 2006; </w:t>
      </w:r>
      <w:proofErr w:type="spellStart"/>
      <w:r w:rsidRPr="0061263C">
        <w:rPr>
          <w:rFonts w:ascii="Times New Roman" w:hAnsi="Times New Roman"/>
        </w:rPr>
        <w:t>Trenholm</w:t>
      </w:r>
      <w:proofErr w:type="spellEnd"/>
      <w:r w:rsidRPr="0061263C">
        <w:rPr>
          <w:rFonts w:ascii="Times New Roman" w:hAnsi="Times New Roman"/>
        </w:rPr>
        <w:t xml:space="preserve"> et al., 2007; </w:t>
      </w:r>
      <w:proofErr w:type="spellStart"/>
      <w:r w:rsidRPr="0061263C">
        <w:rPr>
          <w:rFonts w:ascii="Times New Roman" w:hAnsi="Times New Roman"/>
        </w:rPr>
        <w:t>Benus</w:t>
      </w:r>
      <w:proofErr w:type="spellEnd"/>
      <w:r w:rsidRPr="0061263C">
        <w:rPr>
          <w:rFonts w:ascii="Times New Roman" w:hAnsi="Times New Roman"/>
        </w:rPr>
        <w:t xml:space="preserve"> et al.,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7E" w:rsidRDefault="00E54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1E4" w:rsidRDefault="00FD61E4" w:rsidP="00B91EA1">
    <w:pPr>
      <w:pStyle w:val="Header"/>
      <w:tabs>
        <w:tab w:val="clear" w:pos="4680"/>
      </w:tabs>
      <w:jc w:val="right"/>
    </w:pPr>
    <w:r>
      <w:t>STC OMB Pt. B</w:t>
    </w:r>
    <w:r>
      <w:tab/>
    </w:r>
    <w:r w:rsidRPr="00243956">
      <w:t xml:space="preserve">Page </w:t>
    </w:r>
    <w:r w:rsidR="005F59DA" w:rsidRPr="00243956">
      <w:rPr>
        <w:bCs/>
        <w:szCs w:val="24"/>
      </w:rPr>
      <w:fldChar w:fldCharType="begin"/>
    </w:r>
    <w:r w:rsidRPr="00243956">
      <w:rPr>
        <w:bCs/>
      </w:rPr>
      <w:instrText xml:space="preserve"> PAGE </w:instrText>
    </w:r>
    <w:r w:rsidR="005F59DA" w:rsidRPr="00243956">
      <w:rPr>
        <w:bCs/>
        <w:szCs w:val="24"/>
      </w:rPr>
      <w:fldChar w:fldCharType="separate"/>
    </w:r>
    <w:r w:rsidR="008879CF">
      <w:rPr>
        <w:bCs/>
        <w:noProof/>
      </w:rPr>
      <w:t>10</w:t>
    </w:r>
    <w:r w:rsidR="005F59DA" w:rsidRPr="00243956">
      <w:rPr>
        <w:bCs/>
        <w:szCs w:val="24"/>
      </w:rPr>
      <w:fldChar w:fldCharType="end"/>
    </w:r>
    <w:r w:rsidRPr="00243956">
      <w:t xml:space="preserve"> of </w:t>
    </w:r>
    <w:r w:rsidR="005F59DA" w:rsidRPr="00243956">
      <w:rPr>
        <w:bCs/>
        <w:szCs w:val="24"/>
      </w:rPr>
      <w:fldChar w:fldCharType="begin"/>
    </w:r>
    <w:r w:rsidRPr="00243956">
      <w:rPr>
        <w:bCs/>
      </w:rPr>
      <w:instrText xml:space="preserve"> NUMPAGES  </w:instrText>
    </w:r>
    <w:r w:rsidR="005F59DA" w:rsidRPr="00243956">
      <w:rPr>
        <w:bCs/>
        <w:szCs w:val="24"/>
      </w:rPr>
      <w:fldChar w:fldCharType="separate"/>
    </w:r>
    <w:r w:rsidR="008879CF">
      <w:rPr>
        <w:bCs/>
        <w:noProof/>
      </w:rPr>
      <w:t>12</w:t>
    </w:r>
    <w:r w:rsidR="005F59DA" w:rsidRPr="00243956">
      <w:rPr>
        <w:bCs/>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7E" w:rsidRDefault="00E54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01A412D7"/>
    <w:multiLevelType w:val="hybridMultilevel"/>
    <w:tmpl w:val="6FACA784"/>
    <w:lvl w:ilvl="0" w:tplc="27D68150">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25AE4"/>
    <w:multiLevelType w:val="hybridMultilevel"/>
    <w:tmpl w:val="4C40B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8F136F"/>
    <w:multiLevelType w:val="hybridMultilevel"/>
    <w:tmpl w:val="8EA6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44D33"/>
    <w:multiLevelType w:val="hybridMultilevel"/>
    <w:tmpl w:val="A7B07EBA"/>
    <w:lvl w:ilvl="0" w:tplc="56E0602C">
      <w:start w:val="1"/>
      <w:numFmt w:val="bullet"/>
      <w:lvlText w:val=""/>
      <w:lvlJc w:val="left"/>
      <w:pPr>
        <w:ind w:left="1080" w:hanging="360"/>
      </w:pPr>
      <w:rPr>
        <w:rFonts w:ascii="Wingdings" w:hAnsi="Wing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A12F81"/>
    <w:multiLevelType w:val="hybridMultilevel"/>
    <w:tmpl w:val="42067416"/>
    <w:lvl w:ilvl="0" w:tplc="0DBC4BC6">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7">
    <w:nsid w:val="09803683"/>
    <w:multiLevelType w:val="hybridMultilevel"/>
    <w:tmpl w:val="D99CE6C0"/>
    <w:lvl w:ilvl="0" w:tplc="04090019">
      <w:start w:val="1"/>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nsid w:val="0ACE28D8"/>
    <w:multiLevelType w:val="hybridMultilevel"/>
    <w:tmpl w:val="29BC76A4"/>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57436D"/>
    <w:multiLevelType w:val="multilevel"/>
    <w:tmpl w:val="EFB8F5F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3CC2D72"/>
    <w:multiLevelType w:val="hybridMultilevel"/>
    <w:tmpl w:val="6658A388"/>
    <w:lvl w:ilvl="0" w:tplc="56E0602C">
      <w:start w:val="1"/>
      <w:numFmt w:val="bullet"/>
      <w:lvlText w:val=""/>
      <w:lvlJc w:val="left"/>
      <w:pPr>
        <w:ind w:left="1080" w:hanging="360"/>
      </w:pPr>
      <w:rPr>
        <w:rFonts w:ascii="Wingdings" w:hAnsi="Wing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5A80A45"/>
    <w:multiLevelType w:val="hybridMultilevel"/>
    <w:tmpl w:val="4978E192"/>
    <w:lvl w:ilvl="0" w:tplc="EFA637F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E2EF8"/>
    <w:multiLevelType w:val="hybridMultilevel"/>
    <w:tmpl w:val="AFAAB3FA"/>
    <w:lvl w:ilvl="0" w:tplc="F5A0A05A">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3C0FDA"/>
    <w:multiLevelType w:val="hybridMultilevel"/>
    <w:tmpl w:val="BCA48D84"/>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E14386"/>
    <w:multiLevelType w:val="hybridMultilevel"/>
    <w:tmpl w:val="6280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C641F2"/>
    <w:multiLevelType w:val="hybridMultilevel"/>
    <w:tmpl w:val="66369B00"/>
    <w:lvl w:ilvl="0" w:tplc="123E1192">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A755AA"/>
    <w:multiLevelType w:val="hybridMultilevel"/>
    <w:tmpl w:val="7DC68C60"/>
    <w:lvl w:ilvl="0" w:tplc="8C9E12FC">
      <w:start w:val="1"/>
      <w:numFmt w:val="bullet"/>
      <w:pStyle w:val="Gbullet"/>
      <w:lvlText w:val=""/>
      <w:lvlJc w:val="left"/>
      <w:pPr>
        <w:tabs>
          <w:tab w:val="num" w:pos="792"/>
        </w:tabs>
        <w:ind w:left="792"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8A02AA"/>
    <w:multiLevelType w:val="hybridMultilevel"/>
    <w:tmpl w:val="D8D2A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F55CC8"/>
    <w:multiLevelType w:val="hybridMultilevel"/>
    <w:tmpl w:val="D48EC5D2"/>
    <w:lvl w:ilvl="0" w:tplc="CA48B0D6">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6081AEC"/>
    <w:multiLevelType w:val="hybridMultilevel"/>
    <w:tmpl w:val="D55CE63C"/>
    <w:lvl w:ilvl="0" w:tplc="4ABEADDC">
      <w:start w:val="1"/>
      <w:numFmt w:val="bullet"/>
      <w:pStyle w:val="ListBullet"/>
      <w:lvlText w:val=""/>
      <w:lvlJc w:val="left"/>
      <w:pPr>
        <w:ind w:left="779" w:hanging="360"/>
      </w:pPr>
      <w:rPr>
        <w:rFonts w:ascii="Wingdings" w:hAnsi="Wingdings" w:hint="default"/>
        <w:color w:val="auto"/>
        <w:sz w:val="16"/>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1">
    <w:nsid w:val="3C2921C1"/>
    <w:multiLevelType w:val="hybridMultilevel"/>
    <w:tmpl w:val="AE0213EC"/>
    <w:lvl w:ilvl="0" w:tplc="9724A5CA">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641CC7"/>
    <w:multiLevelType w:val="hybridMultilevel"/>
    <w:tmpl w:val="7E4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F82B21"/>
    <w:multiLevelType w:val="hybridMultilevel"/>
    <w:tmpl w:val="80DA9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1A04FB4"/>
    <w:multiLevelType w:val="multilevel"/>
    <w:tmpl w:val="C9AEB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3B372A8"/>
    <w:multiLevelType w:val="hybridMultilevel"/>
    <w:tmpl w:val="9514A600"/>
    <w:lvl w:ilvl="0" w:tplc="6D4A0704">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440E7DEB"/>
    <w:multiLevelType w:val="hybridMultilevel"/>
    <w:tmpl w:val="D21AC820"/>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0F72AB"/>
    <w:multiLevelType w:val="hybridMultilevel"/>
    <w:tmpl w:val="91C4B644"/>
    <w:lvl w:ilvl="0" w:tplc="DC68346A">
      <w:start w:val="1"/>
      <w:numFmt w:val="bullet"/>
      <w:lvlText w:val=""/>
      <w:lvlJc w:val="left"/>
      <w:pPr>
        <w:tabs>
          <w:tab w:val="num" w:pos="792"/>
        </w:tabs>
        <w:ind w:left="792" w:hanging="360"/>
      </w:pPr>
      <w:rPr>
        <w:rFonts w:ascii="Webdings" w:hAnsi="Webdings" w:hint="default"/>
        <w:color w:val="FF0000"/>
      </w:rPr>
    </w:lvl>
    <w:lvl w:ilvl="1" w:tplc="04090019" w:tentative="1">
      <w:start w:val="1"/>
      <w:numFmt w:val="bullet"/>
      <w:lvlText w:val="o"/>
      <w:lvlJc w:val="left"/>
      <w:pPr>
        <w:tabs>
          <w:tab w:val="num" w:pos="1872"/>
        </w:tabs>
        <w:ind w:left="1872" w:hanging="360"/>
      </w:pPr>
      <w:rPr>
        <w:rFonts w:ascii="Courier New" w:hAnsi="Courier New" w:cs="Courier New" w:hint="default"/>
      </w:rPr>
    </w:lvl>
    <w:lvl w:ilvl="2" w:tplc="0409001B" w:tentative="1">
      <w:start w:val="1"/>
      <w:numFmt w:val="bullet"/>
      <w:lvlText w:val=""/>
      <w:lvlJc w:val="left"/>
      <w:pPr>
        <w:tabs>
          <w:tab w:val="num" w:pos="2592"/>
        </w:tabs>
        <w:ind w:left="2592" w:hanging="360"/>
      </w:pPr>
      <w:rPr>
        <w:rFonts w:ascii="Wingdings" w:hAnsi="Wingdings" w:hint="default"/>
      </w:rPr>
    </w:lvl>
    <w:lvl w:ilvl="3" w:tplc="0409000F" w:tentative="1">
      <w:start w:val="1"/>
      <w:numFmt w:val="bullet"/>
      <w:lvlText w:val=""/>
      <w:lvlJc w:val="left"/>
      <w:pPr>
        <w:tabs>
          <w:tab w:val="num" w:pos="3312"/>
        </w:tabs>
        <w:ind w:left="3312" w:hanging="360"/>
      </w:pPr>
      <w:rPr>
        <w:rFonts w:ascii="Symbol" w:hAnsi="Symbol" w:hint="default"/>
      </w:rPr>
    </w:lvl>
    <w:lvl w:ilvl="4" w:tplc="04090019" w:tentative="1">
      <w:start w:val="1"/>
      <w:numFmt w:val="bullet"/>
      <w:lvlText w:val="o"/>
      <w:lvlJc w:val="left"/>
      <w:pPr>
        <w:tabs>
          <w:tab w:val="num" w:pos="4032"/>
        </w:tabs>
        <w:ind w:left="4032" w:hanging="360"/>
      </w:pPr>
      <w:rPr>
        <w:rFonts w:ascii="Courier New" w:hAnsi="Courier New" w:cs="Courier New" w:hint="default"/>
      </w:rPr>
    </w:lvl>
    <w:lvl w:ilvl="5" w:tplc="0409001B" w:tentative="1">
      <w:start w:val="1"/>
      <w:numFmt w:val="bullet"/>
      <w:lvlText w:val=""/>
      <w:lvlJc w:val="left"/>
      <w:pPr>
        <w:tabs>
          <w:tab w:val="num" w:pos="4752"/>
        </w:tabs>
        <w:ind w:left="4752" w:hanging="360"/>
      </w:pPr>
      <w:rPr>
        <w:rFonts w:ascii="Wingdings" w:hAnsi="Wingdings" w:hint="default"/>
      </w:rPr>
    </w:lvl>
    <w:lvl w:ilvl="6" w:tplc="0409000F" w:tentative="1">
      <w:start w:val="1"/>
      <w:numFmt w:val="bullet"/>
      <w:lvlText w:val=""/>
      <w:lvlJc w:val="left"/>
      <w:pPr>
        <w:tabs>
          <w:tab w:val="num" w:pos="5472"/>
        </w:tabs>
        <w:ind w:left="5472" w:hanging="360"/>
      </w:pPr>
      <w:rPr>
        <w:rFonts w:ascii="Symbol" w:hAnsi="Symbol" w:hint="default"/>
      </w:rPr>
    </w:lvl>
    <w:lvl w:ilvl="7" w:tplc="04090019" w:tentative="1">
      <w:start w:val="1"/>
      <w:numFmt w:val="bullet"/>
      <w:lvlText w:val="o"/>
      <w:lvlJc w:val="left"/>
      <w:pPr>
        <w:tabs>
          <w:tab w:val="num" w:pos="6192"/>
        </w:tabs>
        <w:ind w:left="6192" w:hanging="360"/>
      </w:pPr>
      <w:rPr>
        <w:rFonts w:ascii="Courier New" w:hAnsi="Courier New" w:cs="Courier New" w:hint="default"/>
      </w:rPr>
    </w:lvl>
    <w:lvl w:ilvl="8" w:tplc="0409001B" w:tentative="1">
      <w:start w:val="1"/>
      <w:numFmt w:val="bullet"/>
      <w:lvlText w:val=""/>
      <w:lvlJc w:val="left"/>
      <w:pPr>
        <w:tabs>
          <w:tab w:val="num" w:pos="6912"/>
        </w:tabs>
        <w:ind w:left="6912" w:hanging="360"/>
      </w:pPr>
      <w:rPr>
        <w:rFonts w:ascii="Wingdings" w:hAnsi="Wingdings" w:hint="default"/>
      </w:rPr>
    </w:lvl>
  </w:abstractNum>
  <w:abstractNum w:abstractNumId="28">
    <w:nsid w:val="462B16FC"/>
    <w:multiLevelType w:val="singleLevel"/>
    <w:tmpl w:val="E7902ADC"/>
    <w:lvl w:ilvl="0">
      <w:start w:val="1"/>
      <w:numFmt w:val="bullet"/>
      <w:lvlText w:val=""/>
      <w:lvlJc w:val="left"/>
      <w:pPr>
        <w:tabs>
          <w:tab w:val="num" w:pos="360"/>
        </w:tabs>
        <w:ind w:left="360" w:hanging="360"/>
      </w:pPr>
      <w:rPr>
        <w:rFonts w:ascii="Symbol" w:hAnsi="Symbol" w:hint="default"/>
      </w:rPr>
    </w:lvl>
  </w:abstractNum>
  <w:abstractNum w:abstractNumId="29">
    <w:nsid w:val="46D21D16"/>
    <w:multiLevelType w:val="hybridMultilevel"/>
    <w:tmpl w:val="D64CD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B939FF"/>
    <w:multiLevelType w:val="hybridMultilevel"/>
    <w:tmpl w:val="79647D5A"/>
    <w:lvl w:ilvl="0" w:tplc="EFA637F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CB7793"/>
    <w:multiLevelType w:val="hybridMultilevel"/>
    <w:tmpl w:val="4BE05A0E"/>
    <w:lvl w:ilvl="0" w:tplc="634CE3C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33">
    <w:nsid w:val="4D08730C"/>
    <w:multiLevelType w:val="hybridMultilevel"/>
    <w:tmpl w:val="E5EC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F17B1C"/>
    <w:multiLevelType w:val="hybridMultilevel"/>
    <w:tmpl w:val="A4C6EA82"/>
    <w:lvl w:ilvl="0" w:tplc="0990271A">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4921A77"/>
    <w:multiLevelType w:val="hybridMultilevel"/>
    <w:tmpl w:val="8ADE10F4"/>
    <w:lvl w:ilvl="0" w:tplc="56E0602C">
      <w:start w:val="1"/>
      <w:numFmt w:val="bullet"/>
      <w:lvlText w:val=""/>
      <w:lvlJc w:val="left"/>
      <w:pPr>
        <w:ind w:left="1080" w:hanging="360"/>
      </w:pPr>
      <w:rPr>
        <w:rFonts w:ascii="Wingdings" w:hAnsi="Wing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77A1A95"/>
    <w:multiLevelType w:val="hybridMultilevel"/>
    <w:tmpl w:val="16EEE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EDD7DB0"/>
    <w:multiLevelType w:val="hybridMultilevel"/>
    <w:tmpl w:val="44DADDCC"/>
    <w:lvl w:ilvl="0" w:tplc="04090015">
      <w:start w:val="1"/>
      <w:numFmt w:val="bullet"/>
      <w:lvlText w:val=""/>
      <w:lvlJc w:val="left"/>
      <w:pPr>
        <w:ind w:left="720" w:hanging="360"/>
      </w:pPr>
      <w:rPr>
        <w:rFonts w:ascii="Wingdings" w:hAnsi="Wingdings" w:hint="default"/>
        <w:color w:val="auto"/>
        <w:sz w:val="16"/>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nsid w:val="62A81E38"/>
    <w:multiLevelType w:val="hybridMultilevel"/>
    <w:tmpl w:val="83DE53FA"/>
    <w:lvl w:ilvl="0" w:tplc="123E1192">
      <w:start w:val="1"/>
      <w:numFmt w:val="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2AD52BE"/>
    <w:multiLevelType w:val="hybridMultilevel"/>
    <w:tmpl w:val="279E6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5E84DEB"/>
    <w:multiLevelType w:val="hybridMultilevel"/>
    <w:tmpl w:val="B23E964C"/>
    <w:lvl w:ilvl="0" w:tplc="47108414">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B80628F"/>
    <w:multiLevelType w:val="hybridMultilevel"/>
    <w:tmpl w:val="B796AA62"/>
    <w:lvl w:ilvl="0" w:tplc="FFFFFFFF">
      <w:start w:val="1"/>
      <w:numFmt w:val="bullet"/>
      <w:lvlText w:val=""/>
      <w:lvlJc w:val="left"/>
      <w:pPr>
        <w:tabs>
          <w:tab w:val="num" w:pos="720"/>
        </w:tabs>
        <w:ind w:left="720" w:hanging="360"/>
      </w:pPr>
      <w:rPr>
        <w:rFonts w:ascii="Webdings" w:hAnsi="Webdings" w:hint="default"/>
        <w:color w:val="FF000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nsid w:val="6BCD6F35"/>
    <w:multiLevelType w:val="hybridMultilevel"/>
    <w:tmpl w:val="464C2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CB1005C"/>
    <w:multiLevelType w:val="hybridMultilevel"/>
    <w:tmpl w:val="94005CF8"/>
    <w:lvl w:ilvl="0" w:tplc="018E062A">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36700F"/>
    <w:multiLevelType w:val="hybridMultilevel"/>
    <w:tmpl w:val="67EC351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05393E"/>
    <w:multiLevelType w:val="hybridMultilevel"/>
    <w:tmpl w:val="B98A6D46"/>
    <w:lvl w:ilvl="0" w:tplc="B0B238A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571402"/>
    <w:multiLevelType w:val="hybridMultilevel"/>
    <w:tmpl w:val="95B0FEAA"/>
    <w:lvl w:ilvl="0" w:tplc="4C303F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2A4BCF"/>
    <w:multiLevelType w:val="hybridMultilevel"/>
    <w:tmpl w:val="90A0E38A"/>
    <w:lvl w:ilvl="0" w:tplc="0409000F">
      <w:start w:val="1"/>
      <w:numFmt w:val="decimal"/>
      <w:lvlText w:val="%1."/>
      <w:lvlJc w:val="left"/>
      <w:pPr>
        <w:tabs>
          <w:tab w:val="num" w:pos="792"/>
        </w:tabs>
        <w:ind w:left="792" w:hanging="360"/>
      </w:pPr>
      <w:rPr>
        <w:rFonts w:hint="default"/>
      </w:rPr>
    </w:lvl>
    <w:lvl w:ilvl="1" w:tplc="04090003" w:tentative="1">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48">
    <w:nsid w:val="75621512"/>
    <w:multiLevelType w:val="hybridMultilevel"/>
    <w:tmpl w:val="16702F18"/>
    <w:lvl w:ilvl="0" w:tplc="0A5A9548">
      <w:start w:val="1"/>
      <w:numFmt w:val="bullet"/>
      <w:lvlText w:val=""/>
      <w:lvlJc w:val="left"/>
      <w:pPr>
        <w:ind w:left="1710" w:hanging="360"/>
      </w:pPr>
      <w:rPr>
        <w:rFonts w:ascii="Wingdings" w:hAnsi="Wingdings" w:hint="default"/>
        <w:color w:val="auto"/>
        <w:sz w:val="16"/>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9">
    <w:nsid w:val="79EF0BEE"/>
    <w:multiLevelType w:val="hybridMultilevel"/>
    <w:tmpl w:val="C10EED3C"/>
    <w:lvl w:ilvl="0" w:tplc="123E1192">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48"/>
  </w:num>
  <w:num w:numId="3">
    <w:abstractNumId w:val="31"/>
  </w:num>
  <w:num w:numId="4">
    <w:abstractNumId w:val="1"/>
  </w:num>
  <w:num w:numId="5">
    <w:abstractNumId w:val="40"/>
  </w:num>
  <w:num w:numId="6">
    <w:abstractNumId w:val="43"/>
  </w:num>
  <w:num w:numId="7">
    <w:abstractNumId w:val="16"/>
  </w:num>
  <w:num w:numId="8">
    <w:abstractNumId w:val="27"/>
  </w:num>
  <w:num w:numId="9">
    <w:abstractNumId w:val="47"/>
  </w:num>
  <w:num w:numId="10">
    <w:abstractNumId w:val="41"/>
  </w:num>
  <w:num w:numId="11">
    <w:abstractNumId w:val="9"/>
  </w:num>
  <w:num w:numId="12">
    <w:abstractNumId w:val="18"/>
  </w:num>
  <w:num w:numId="13">
    <w:abstractNumId w:val="5"/>
  </w:num>
  <w:num w:numId="14">
    <w:abstractNumId w:val="13"/>
  </w:num>
  <w:num w:numId="15">
    <w:abstractNumId w:val="21"/>
  </w:num>
  <w:num w:numId="16">
    <w:abstractNumId w:val="45"/>
  </w:num>
  <w:num w:numId="17">
    <w:abstractNumId w:val="36"/>
  </w:num>
  <w:num w:numId="18">
    <w:abstractNumId w:val="3"/>
  </w:num>
  <w:num w:numId="19">
    <w:abstractNumId w:val="20"/>
  </w:num>
  <w:num w:numId="20">
    <w:abstractNumId w:val="37"/>
  </w:num>
  <w:num w:numId="21">
    <w:abstractNumId w:val="22"/>
  </w:num>
  <w:num w:numId="22">
    <w:abstractNumId w:val="34"/>
  </w:num>
  <w:num w:numId="23">
    <w:abstractNumId w:val="44"/>
  </w:num>
  <w:num w:numId="24">
    <w:abstractNumId w:val="4"/>
  </w:num>
  <w:num w:numId="25">
    <w:abstractNumId w:val="10"/>
  </w:num>
  <w:num w:numId="26">
    <w:abstractNumId w:val="35"/>
  </w:num>
  <w:num w:numId="27">
    <w:abstractNumId w:val="8"/>
  </w:num>
  <w:num w:numId="28">
    <w:abstractNumId w:val="28"/>
  </w:num>
  <w:num w:numId="29">
    <w:abstractNumId w:val="6"/>
  </w:num>
  <w:num w:numId="30">
    <w:abstractNumId w:val="32"/>
  </w:num>
  <w:num w:numId="31">
    <w:abstractNumId w:val="11"/>
  </w:num>
  <w:num w:numId="32">
    <w:abstractNumId w:val="0"/>
  </w:num>
  <w:num w:numId="33">
    <w:abstractNumId w:val="29"/>
  </w:num>
  <w:num w:numId="34">
    <w:abstractNumId w:val="19"/>
  </w:num>
  <w:num w:numId="35">
    <w:abstractNumId w:val="46"/>
  </w:num>
  <w:num w:numId="36">
    <w:abstractNumId w:val="30"/>
  </w:num>
  <w:num w:numId="37">
    <w:abstractNumId w:val="12"/>
  </w:num>
  <w:num w:numId="38">
    <w:abstractNumId w:val="2"/>
  </w:num>
  <w:num w:numId="39">
    <w:abstractNumId w:val="23"/>
  </w:num>
  <w:num w:numId="40">
    <w:abstractNumId w:val="17"/>
  </w:num>
  <w:num w:numId="41">
    <w:abstractNumId w:val="24"/>
  </w:num>
  <w:num w:numId="42">
    <w:abstractNumId w:val="33"/>
  </w:num>
  <w:num w:numId="43">
    <w:abstractNumId w:val="42"/>
  </w:num>
  <w:num w:numId="44">
    <w:abstractNumId w:val="39"/>
  </w:num>
  <w:num w:numId="45">
    <w:abstractNumId w:val="7"/>
  </w:num>
  <w:num w:numId="46">
    <w:abstractNumId w:val="15"/>
  </w:num>
  <w:num w:numId="47">
    <w:abstractNumId w:val="49"/>
  </w:num>
  <w:num w:numId="48">
    <w:abstractNumId w:val="38"/>
  </w:num>
  <w:num w:numId="49">
    <w:abstractNumId w:val="2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proofState w:spelling="clean" w:grammar="clean"/>
  <w:trackRevisions/>
  <w:defaultTabStop w:val="720"/>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CC"/>
    <w:rsid w:val="00001169"/>
    <w:rsid w:val="000019B1"/>
    <w:rsid w:val="00001D2C"/>
    <w:rsid w:val="00013FB3"/>
    <w:rsid w:val="00017B65"/>
    <w:rsid w:val="000250B9"/>
    <w:rsid w:val="000266BE"/>
    <w:rsid w:val="000318DB"/>
    <w:rsid w:val="00031F15"/>
    <w:rsid w:val="00033DC7"/>
    <w:rsid w:val="00035327"/>
    <w:rsid w:val="00035512"/>
    <w:rsid w:val="00042532"/>
    <w:rsid w:val="000439D3"/>
    <w:rsid w:val="00046172"/>
    <w:rsid w:val="00047356"/>
    <w:rsid w:val="0005119B"/>
    <w:rsid w:val="000523B1"/>
    <w:rsid w:val="000546AD"/>
    <w:rsid w:val="000558B1"/>
    <w:rsid w:val="00057742"/>
    <w:rsid w:val="000625D2"/>
    <w:rsid w:val="00070571"/>
    <w:rsid w:val="000731DE"/>
    <w:rsid w:val="00075E1E"/>
    <w:rsid w:val="0008095A"/>
    <w:rsid w:val="0008479D"/>
    <w:rsid w:val="00084C87"/>
    <w:rsid w:val="000905D0"/>
    <w:rsid w:val="00092D71"/>
    <w:rsid w:val="00092DCB"/>
    <w:rsid w:val="00094A08"/>
    <w:rsid w:val="00095049"/>
    <w:rsid w:val="00095F45"/>
    <w:rsid w:val="00096DD2"/>
    <w:rsid w:val="0009715E"/>
    <w:rsid w:val="000A0A0C"/>
    <w:rsid w:val="000A64DE"/>
    <w:rsid w:val="000A7DE5"/>
    <w:rsid w:val="000B26C3"/>
    <w:rsid w:val="000B33CC"/>
    <w:rsid w:val="000B5C56"/>
    <w:rsid w:val="000B61CD"/>
    <w:rsid w:val="000B775B"/>
    <w:rsid w:val="000C2763"/>
    <w:rsid w:val="000C2C69"/>
    <w:rsid w:val="000D3C5E"/>
    <w:rsid w:val="000D5509"/>
    <w:rsid w:val="000E3A33"/>
    <w:rsid w:val="000F3A19"/>
    <w:rsid w:val="000F5D3D"/>
    <w:rsid w:val="000F7230"/>
    <w:rsid w:val="000F7889"/>
    <w:rsid w:val="00105E83"/>
    <w:rsid w:val="00107AC9"/>
    <w:rsid w:val="00111D2B"/>
    <w:rsid w:val="00112D65"/>
    <w:rsid w:val="00122213"/>
    <w:rsid w:val="0012274F"/>
    <w:rsid w:val="0012509D"/>
    <w:rsid w:val="00127251"/>
    <w:rsid w:val="001328D7"/>
    <w:rsid w:val="001337FF"/>
    <w:rsid w:val="00134C1A"/>
    <w:rsid w:val="00135BE9"/>
    <w:rsid w:val="00136B82"/>
    <w:rsid w:val="00142954"/>
    <w:rsid w:val="00142F5E"/>
    <w:rsid w:val="00144899"/>
    <w:rsid w:val="00144AAF"/>
    <w:rsid w:val="00147F52"/>
    <w:rsid w:val="00150356"/>
    <w:rsid w:val="0015059C"/>
    <w:rsid w:val="00152467"/>
    <w:rsid w:val="001533E5"/>
    <w:rsid w:val="00153726"/>
    <w:rsid w:val="00156423"/>
    <w:rsid w:val="00156492"/>
    <w:rsid w:val="00163A2D"/>
    <w:rsid w:val="001648A7"/>
    <w:rsid w:val="0017556F"/>
    <w:rsid w:val="00176322"/>
    <w:rsid w:val="00177949"/>
    <w:rsid w:val="001779E4"/>
    <w:rsid w:val="0018458C"/>
    <w:rsid w:val="00190528"/>
    <w:rsid w:val="00190B26"/>
    <w:rsid w:val="00191327"/>
    <w:rsid w:val="001951FB"/>
    <w:rsid w:val="00196143"/>
    <w:rsid w:val="001965A1"/>
    <w:rsid w:val="001968F2"/>
    <w:rsid w:val="001A0B98"/>
    <w:rsid w:val="001A1CEB"/>
    <w:rsid w:val="001B22DA"/>
    <w:rsid w:val="001B2FBF"/>
    <w:rsid w:val="001C1F80"/>
    <w:rsid w:val="001C35E9"/>
    <w:rsid w:val="001C72FD"/>
    <w:rsid w:val="001D005C"/>
    <w:rsid w:val="001D0BF0"/>
    <w:rsid w:val="001D1436"/>
    <w:rsid w:val="001D1B7C"/>
    <w:rsid w:val="001D7E35"/>
    <w:rsid w:val="001E50B3"/>
    <w:rsid w:val="001E6138"/>
    <w:rsid w:val="001E75BB"/>
    <w:rsid w:val="001F3B9F"/>
    <w:rsid w:val="001F5439"/>
    <w:rsid w:val="001F5912"/>
    <w:rsid w:val="001F5A46"/>
    <w:rsid w:val="001F5EE4"/>
    <w:rsid w:val="001F73DF"/>
    <w:rsid w:val="00200449"/>
    <w:rsid w:val="00202DD6"/>
    <w:rsid w:val="002036D1"/>
    <w:rsid w:val="002044E8"/>
    <w:rsid w:val="00204FB7"/>
    <w:rsid w:val="002104CC"/>
    <w:rsid w:val="00211883"/>
    <w:rsid w:val="00215B4E"/>
    <w:rsid w:val="00220ABB"/>
    <w:rsid w:val="00221A5B"/>
    <w:rsid w:val="00223651"/>
    <w:rsid w:val="00224371"/>
    <w:rsid w:val="0022557B"/>
    <w:rsid w:val="00225AF5"/>
    <w:rsid w:val="00226ECC"/>
    <w:rsid w:val="00236824"/>
    <w:rsid w:val="00247A65"/>
    <w:rsid w:val="00250E2B"/>
    <w:rsid w:val="0025300A"/>
    <w:rsid w:val="002602B5"/>
    <w:rsid w:val="002626FE"/>
    <w:rsid w:val="00262F69"/>
    <w:rsid w:val="00267BDF"/>
    <w:rsid w:val="00271E91"/>
    <w:rsid w:val="002735A3"/>
    <w:rsid w:val="00275305"/>
    <w:rsid w:val="00275A09"/>
    <w:rsid w:val="00281AB6"/>
    <w:rsid w:val="00281B19"/>
    <w:rsid w:val="002944B1"/>
    <w:rsid w:val="002A3CB3"/>
    <w:rsid w:val="002A50DB"/>
    <w:rsid w:val="002A5294"/>
    <w:rsid w:val="002A6A5B"/>
    <w:rsid w:val="002B1EA9"/>
    <w:rsid w:val="002B3FFC"/>
    <w:rsid w:val="002C2742"/>
    <w:rsid w:val="002F1E5C"/>
    <w:rsid w:val="002F474E"/>
    <w:rsid w:val="002F6193"/>
    <w:rsid w:val="002F7E09"/>
    <w:rsid w:val="00300B6D"/>
    <w:rsid w:val="00301B6B"/>
    <w:rsid w:val="0031222C"/>
    <w:rsid w:val="00316A1C"/>
    <w:rsid w:val="003178AF"/>
    <w:rsid w:val="00326698"/>
    <w:rsid w:val="00330833"/>
    <w:rsid w:val="00332464"/>
    <w:rsid w:val="00333642"/>
    <w:rsid w:val="00337653"/>
    <w:rsid w:val="0034299D"/>
    <w:rsid w:val="00346857"/>
    <w:rsid w:val="00353782"/>
    <w:rsid w:val="00353A22"/>
    <w:rsid w:val="003541EF"/>
    <w:rsid w:val="00361E14"/>
    <w:rsid w:val="003626BA"/>
    <w:rsid w:val="00365B86"/>
    <w:rsid w:val="00367099"/>
    <w:rsid w:val="00375B5C"/>
    <w:rsid w:val="003802AB"/>
    <w:rsid w:val="00381F64"/>
    <w:rsid w:val="00385608"/>
    <w:rsid w:val="00396068"/>
    <w:rsid w:val="003A3D8A"/>
    <w:rsid w:val="003B03AE"/>
    <w:rsid w:val="003B0418"/>
    <w:rsid w:val="003B1867"/>
    <w:rsid w:val="003B420F"/>
    <w:rsid w:val="003B6F6E"/>
    <w:rsid w:val="003C2AEE"/>
    <w:rsid w:val="003C5CAF"/>
    <w:rsid w:val="003C60CB"/>
    <w:rsid w:val="003D0E5E"/>
    <w:rsid w:val="003D7E20"/>
    <w:rsid w:val="003E2122"/>
    <w:rsid w:val="003E30A8"/>
    <w:rsid w:val="003E5801"/>
    <w:rsid w:val="003E669A"/>
    <w:rsid w:val="003F0977"/>
    <w:rsid w:val="003F6459"/>
    <w:rsid w:val="00410142"/>
    <w:rsid w:val="00411D6F"/>
    <w:rsid w:val="0042128E"/>
    <w:rsid w:val="0042176E"/>
    <w:rsid w:val="00423379"/>
    <w:rsid w:val="00426E80"/>
    <w:rsid w:val="00431914"/>
    <w:rsid w:val="00432CFF"/>
    <w:rsid w:val="004376A9"/>
    <w:rsid w:val="00437EBD"/>
    <w:rsid w:val="004505F8"/>
    <w:rsid w:val="00450EFA"/>
    <w:rsid w:val="00450F1C"/>
    <w:rsid w:val="0045135B"/>
    <w:rsid w:val="00452AED"/>
    <w:rsid w:val="0045350D"/>
    <w:rsid w:val="0045629B"/>
    <w:rsid w:val="00456E45"/>
    <w:rsid w:val="00460439"/>
    <w:rsid w:val="004633E8"/>
    <w:rsid w:val="00467457"/>
    <w:rsid w:val="00470F90"/>
    <w:rsid w:val="004718D4"/>
    <w:rsid w:val="00472EDE"/>
    <w:rsid w:val="0047379B"/>
    <w:rsid w:val="00477B54"/>
    <w:rsid w:val="00481009"/>
    <w:rsid w:val="004815BF"/>
    <w:rsid w:val="00482CFE"/>
    <w:rsid w:val="00486494"/>
    <w:rsid w:val="00486BFD"/>
    <w:rsid w:val="00487E52"/>
    <w:rsid w:val="004928A2"/>
    <w:rsid w:val="004930CA"/>
    <w:rsid w:val="004939BA"/>
    <w:rsid w:val="004A0407"/>
    <w:rsid w:val="004A48FD"/>
    <w:rsid w:val="004A7CAD"/>
    <w:rsid w:val="004B3562"/>
    <w:rsid w:val="004B4166"/>
    <w:rsid w:val="004B577F"/>
    <w:rsid w:val="004B6242"/>
    <w:rsid w:val="004C0EE4"/>
    <w:rsid w:val="004C1A45"/>
    <w:rsid w:val="004C3057"/>
    <w:rsid w:val="004C443F"/>
    <w:rsid w:val="004C4E1C"/>
    <w:rsid w:val="004D0392"/>
    <w:rsid w:val="004D0E0B"/>
    <w:rsid w:val="004D2E93"/>
    <w:rsid w:val="004D2F7D"/>
    <w:rsid w:val="004D3708"/>
    <w:rsid w:val="004D51C3"/>
    <w:rsid w:val="004D6026"/>
    <w:rsid w:val="004D6258"/>
    <w:rsid w:val="004D685A"/>
    <w:rsid w:val="004E0173"/>
    <w:rsid w:val="004E110E"/>
    <w:rsid w:val="004E18AD"/>
    <w:rsid w:val="004E219B"/>
    <w:rsid w:val="004E2C51"/>
    <w:rsid w:val="004E5AFC"/>
    <w:rsid w:val="004F5DB1"/>
    <w:rsid w:val="00500B05"/>
    <w:rsid w:val="00501259"/>
    <w:rsid w:val="005039DA"/>
    <w:rsid w:val="005073D9"/>
    <w:rsid w:val="00510EBF"/>
    <w:rsid w:val="00513942"/>
    <w:rsid w:val="00520286"/>
    <w:rsid w:val="00522057"/>
    <w:rsid w:val="0053126D"/>
    <w:rsid w:val="00533609"/>
    <w:rsid w:val="00536BEC"/>
    <w:rsid w:val="00547B1A"/>
    <w:rsid w:val="00553C46"/>
    <w:rsid w:val="005613BF"/>
    <w:rsid w:val="00564469"/>
    <w:rsid w:val="00565BA1"/>
    <w:rsid w:val="0057478A"/>
    <w:rsid w:val="005761A3"/>
    <w:rsid w:val="0058090B"/>
    <w:rsid w:val="00582C98"/>
    <w:rsid w:val="0059049F"/>
    <w:rsid w:val="00593C03"/>
    <w:rsid w:val="00594BFD"/>
    <w:rsid w:val="005B0FA8"/>
    <w:rsid w:val="005B39E6"/>
    <w:rsid w:val="005C1379"/>
    <w:rsid w:val="005D1F05"/>
    <w:rsid w:val="005D4B01"/>
    <w:rsid w:val="005E6C61"/>
    <w:rsid w:val="005E7988"/>
    <w:rsid w:val="005F0A76"/>
    <w:rsid w:val="005F4239"/>
    <w:rsid w:val="005F4AD9"/>
    <w:rsid w:val="005F59DA"/>
    <w:rsid w:val="00601197"/>
    <w:rsid w:val="00604A34"/>
    <w:rsid w:val="0060517D"/>
    <w:rsid w:val="0061263C"/>
    <w:rsid w:val="00612F70"/>
    <w:rsid w:val="00614760"/>
    <w:rsid w:val="00615508"/>
    <w:rsid w:val="00615545"/>
    <w:rsid w:val="006162F5"/>
    <w:rsid w:val="0062018E"/>
    <w:rsid w:val="00621E67"/>
    <w:rsid w:val="006263D2"/>
    <w:rsid w:val="0063404B"/>
    <w:rsid w:val="00640418"/>
    <w:rsid w:val="0064445C"/>
    <w:rsid w:val="0064608A"/>
    <w:rsid w:val="006474C0"/>
    <w:rsid w:val="00650C0E"/>
    <w:rsid w:val="006556D2"/>
    <w:rsid w:val="00662325"/>
    <w:rsid w:val="0067175A"/>
    <w:rsid w:val="0067623D"/>
    <w:rsid w:val="00676B9C"/>
    <w:rsid w:val="0068041F"/>
    <w:rsid w:val="006819A9"/>
    <w:rsid w:val="00681DA9"/>
    <w:rsid w:val="00682177"/>
    <w:rsid w:val="00686C08"/>
    <w:rsid w:val="006873E4"/>
    <w:rsid w:val="00691B2D"/>
    <w:rsid w:val="006932D6"/>
    <w:rsid w:val="00693B97"/>
    <w:rsid w:val="006946D6"/>
    <w:rsid w:val="0069752F"/>
    <w:rsid w:val="006978B7"/>
    <w:rsid w:val="006A1368"/>
    <w:rsid w:val="006A38B0"/>
    <w:rsid w:val="006A5A4E"/>
    <w:rsid w:val="006A63E7"/>
    <w:rsid w:val="006B2522"/>
    <w:rsid w:val="006B31CC"/>
    <w:rsid w:val="006B5DD3"/>
    <w:rsid w:val="006C06FA"/>
    <w:rsid w:val="006C3FC3"/>
    <w:rsid w:val="006C48C5"/>
    <w:rsid w:val="006C6A0E"/>
    <w:rsid w:val="006D15AB"/>
    <w:rsid w:val="006D3662"/>
    <w:rsid w:val="006D7C72"/>
    <w:rsid w:val="006E2E0C"/>
    <w:rsid w:val="006E33B3"/>
    <w:rsid w:val="006E62B2"/>
    <w:rsid w:val="006E75FC"/>
    <w:rsid w:val="006F2BEA"/>
    <w:rsid w:val="006F59B6"/>
    <w:rsid w:val="006F7575"/>
    <w:rsid w:val="00701859"/>
    <w:rsid w:val="007040C0"/>
    <w:rsid w:val="007054D3"/>
    <w:rsid w:val="00720792"/>
    <w:rsid w:val="00720846"/>
    <w:rsid w:val="007235AA"/>
    <w:rsid w:val="00724407"/>
    <w:rsid w:val="00731648"/>
    <w:rsid w:val="007362E3"/>
    <w:rsid w:val="00736E51"/>
    <w:rsid w:val="00737F6D"/>
    <w:rsid w:val="00740F36"/>
    <w:rsid w:val="007418F8"/>
    <w:rsid w:val="0074383B"/>
    <w:rsid w:val="00743F35"/>
    <w:rsid w:val="007475CD"/>
    <w:rsid w:val="007476A1"/>
    <w:rsid w:val="0074792F"/>
    <w:rsid w:val="007506FD"/>
    <w:rsid w:val="00750740"/>
    <w:rsid w:val="00750752"/>
    <w:rsid w:val="00753F42"/>
    <w:rsid w:val="0075419F"/>
    <w:rsid w:val="007604E5"/>
    <w:rsid w:val="00760FFD"/>
    <w:rsid w:val="007633CD"/>
    <w:rsid w:val="00770081"/>
    <w:rsid w:val="00770AB6"/>
    <w:rsid w:val="00770B34"/>
    <w:rsid w:val="00774852"/>
    <w:rsid w:val="00774D31"/>
    <w:rsid w:val="00774F11"/>
    <w:rsid w:val="00775FE4"/>
    <w:rsid w:val="00776597"/>
    <w:rsid w:val="00783347"/>
    <w:rsid w:val="00786C35"/>
    <w:rsid w:val="00787246"/>
    <w:rsid w:val="0079346A"/>
    <w:rsid w:val="007934EE"/>
    <w:rsid w:val="00795939"/>
    <w:rsid w:val="00796009"/>
    <w:rsid w:val="00796C3A"/>
    <w:rsid w:val="007A2469"/>
    <w:rsid w:val="007A2488"/>
    <w:rsid w:val="007A2876"/>
    <w:rsid w:val="007A42F2"/>
    <w:rsid w:val="007A5976"/>
    <w:rsid w:val="007B09D8"/>
    <w:rsid w:val="007B1332"/>
    <w:rsid w:val="007B3933"/>
    <w:rsid w:val="007B41BC"/>
    <w:rsid w:val="007C570D"/>
    <w:rsid w:val="007D1E9D"/>
    <w:rsid w:val="007D5F31"/>
    <w:rsid w:val="007E2519"/>
    <w:rsid w:val="007E2E9A"/>
    <w:rsid w:val="007E4C7D"/>
    <w:rsid w:val="007F671D"/>
    <w:rsid w:val="007F678C"/>
    <w:rsid w:val="00803CB2"/>
    <w:rsid w:val="00805EBB"/>
    <w:rsid w:val="00811772"/>
    <w:rsid w:val="00812C04"/>
    <w:rsid w:val="00816511"/>
    <w:rsid w:val="00816920"/>
    <w:rsid w:val="00816B29"/>
    <w:rsid w:val="00817CCB"/>
    <w:rsid w:val="00820D9C"/>
    <w:rsid w:val="0082335D"/>
    <w:rsid w:val="008233DD"/>
    <w:rsid w:val="0082358E"/>
    <w:rsid w:val="008237D1"/>
    <w:rsid w:val="008247CF"/>
    <w:rsid w:val="008324DC"/>
    <w:rsid w:val="00832681"/>
    <w:rsid w:val="00836B31"/>
    <w:rsid w:val="008437CA"/>
    <w:rsid w:val="00844378"/>
    <w:rsid w:val="0084715B"/>
    <w:rsid w:val="00853EA7"/>
    <w:rsid w:val="00854440"/>
    <w:rsid w:val="0086216D"/>
    <w:rsid w:val="00864592"/>
    <w:rsid w:val="00865675"/>
    <w:rsid w:val="008661AB"/>
    <w:rsid w:val="00866329"/>
    <w:rsid w:val="00880021"/>
    <w:rsid w:val="00885E1C"/>
    <w:rsid w:val="008876F1"/>
    <w:rsid w:val="008879CF"/>
    <w:rsid w:val="00890DE0"/>
    <w:rsid w:val="008940B1"/>
    <w:rsid w:val="00895835"/>
    <w:rsid w:val="00896135"/>
    <w:rsid w:val="008978E7"/>
    <w:rsid w:val="00897BEE"/>
    <w:rsid w:val="008A197B"/>
    <w:rsid w:val="008A4700"/>
    <w:rsid w:val="008A5041"/>
    <w:rsid w:val="008B15C1"/>
    <w:rsid w:val="008B22D8"/>
    <w:rsid w:val="008B3056"/>
    <w:rsid w:val="008B59DC"/>
    <w:rsid w:val="008B5AD5"/>
    <w:rsid w:val="008B6A8D"/>
    <w:rsid w:val="008C16A8"/>
    <w:rsid w:val="008C2754"/>
    <w:rsid w:val="008C2FCE"/>
    <w:rsid w:val="008C371D"/>
    <w:rsid w:val="008D1179"/>
    <w:rsid w:val="008D1995"/>
    <w:rsid w:val="008D2847"/>
    <w:rsid w:val="008D7D2B"/>
    <w:rsid w:val="008E30D4"/>
    <w:rsid w:val="008E5793"/>
    <w:rsid w:val="008F0EB8"/>
    <w:rsid w:val="008F374B"/>
    <w:rsid w:val="008F3E30"/>
    <w:rsid w:val="008F5A7B"/>
    <w:rsid w:val="00901D72"/>
    <w:rsid w:val="009049CD"/>
    <w:rsid w:val="00905CD2"/>
    <w:rsid w:val="0091029E"/>
    <w:rsid w:val="0091457B"/>
    <w:rsid w:val="00915126"/>
    <w:rsid w:val="0092175A"/>
    <w:rsid w:val="00924292"/>
    <w:rsid w:val="009278A2"/>
    <w:rsid w:val="00931C55"/>
    <w:rsid w:val="00935817"/>
    <w:rsid w:val="0093597B"/>
    <w:rsid w:val="0094294D"/>
    <w:rsid w:val="00943AFE"/>
    <w:rsid w:val="00950D71"/>
    <w:rsid w:val="00951BFE"/>
    <w:rsid w:val="00953DBC"/>
    <w:rsid w:val="00955584"/>
    <w:rsid w:val="009606B0"/>
    <w:rsid w:val="00961C10"/>
    <w:rsid w:val="009625BC"/>
    <w:rsid w:val="00963BF4"/>
    <w:rsid w:val="009640BC"/>
    <w:rsid w:val="009641E6"/>
    <w:rsid w:val="009641FC"/>
    <w:rsid w:val="00973C3F"/>
    <w:rsid w:val="0097536C"/>
    <w:rsid w:val="00975380"/>
    <w:rsid w:val="009768DC"/>
    <w:rsid w:val="00985BB2"/>
    <w:rsid w:val="0098740F"/>
    <w:rsid w:val="00993953"/>
    <w:rsid w:val="0099465E"/>
    <w:rsid w:val="00997614"/>
    <w:rsid w:val="009A0CA5"/>
    <w:rsid w:val="009B14A4"/>
    <w:rsid w:val="009B18DE"/>
    <w:rsid w:val="009B1918"/>
    <w:rsid w:val="009B2265"/>
    <w:rsid w:val="009B578E"/>
    <w:rsid w:val="009B767F"/>
    <w:rsid w:val="009C6AFC"/>
    <w:rsid w:val="009D04BF"/>
    <w:rsid w:val="009D0D3F"/>
    <w:rsid w:val="009D32AF"/>
    <w:rsid w:val="009D3626"/>
    <w:rsid w:val="009D3A8D"/>
    <w:rsid w:val="009D4321"/>
    <w:rsid w:val="009D4473"/>
    <w:rsid w:val="009E285C"/>
    <w:rsid w:val="009E3F06"/>
    <w:rsid w:val="009E4BAB"/>
    <w:rsid w:val="009E6392"/>
    <w:rsid w:val="009E68EA"/>
    <w:rsid w:val="009F26C7"/>
    <w:rsid w:val="009F6139"/>
    <w:rsid w:val="00A0100F"/>
    <w:rsid w:val="00A0490E"/>
    <w:rsid w:val="00A04BFC"/>
    <w:rsid w:val="00A05009"/>
    <w:rsid w:val="00A1162E"/>
    <w:rsid w:val="00A11C47"/>
    <w:rsid w:val="00A11E46"/>
    <w:rsid w:val="00A1276A"/>
    <w:rsid w:val="00A14156"/>
    <w:rsid w:val="00A15E3A"/>
    <w:rsid w:val="00A21506"/>
    <w:rsid w:val="00A21875"/>
    <w:rsid w:val="00A24D54"/>
    <w:rsid w:val="00A4290D"/>
    <w:rsid w:val="00A42F5E"/>
    <w:rsid w:val="00A45FA5"/>
    <w:rsid w:val="00A462C4"/>
    <w:rsid w:val="00A50053"/>
    <w:rsid w:val="00A550BD"/>
    <w:rsid w:val="00A55136"/>
    <w:rsid w:val="00A5638C"/>
    <w:rsid w:val="00A57BD8"/>
    <w:rsid w:val="00A61FD7"/>
    <w:rsid w:val="00A63B61"/>
    <w:rsid w:val="00A65A61"/>
    <w:rsid w:val="00A73031"/>
    <w:rsid w:val="00A763F0"/>
    <w:rsid w:val="00A83883"/>
    <w:rsid w:val="00A83895"/>
    <w:rsid w:val="00A84E24"/>
    <w:rsid w:val="00A86442"/>
    <w:rsid w:val="00A86B3F"/>
    <w:rsid w:val="00A90DA7"/>
    <w:rsid w:val="00A90F08"/>
    <w:rsid w:val="00A96A71"/>
    <w:rsid w:val="00AA226D"/>
    <w:rsid w:val="00AA476A"/>
    <w:rsid w:val="00AA5905"/>
    <w:rsid w:val="00AA5990"/>
    <w:rsid w:val="00AB0501"/>
    <w:rsid w:val="00AB154B"/>
    <w:rsid w:val="00AB2D60"/>
    <w:rsid w:val="00AC60FE"/>
    <w:rsid w:val="00AC6D0A"/>
    <w:rsid w:val="00AD0F74"/>
    <w:rsid w:val="00AD3B1E"/>
    <w:rsid w:val="00AD54A3"/>
    <w:rsid w:val="00AD5BBC"/>
    <w:rsid w:val="00AD76BF"/>
    <w:rsid w:val="00AE0568"/>
    <w:rsid w:val="00AE39D6"/>
    <w:rsid w:val="00AE5DF6"/>
    <w:rsid w:val="00AE6B2B"/>
    <w:rsid w:val="00AF0E88"/>
    <w:rsid w:val="00AF43F2"/>
    <w:rsid w:val="00AF6D82"/>
    <w:rsid w:val="00AF7EF7"/>
    <w:rsid w:val="00B0385D"/>
    <w:rsid w:val="00B06DE7"/>
    <w:rsid w:val="00B07163"/>
    <w:rsid w:val="00B12697"/>
    <w:rsid w:val="00B22666"/>
    <w:rsid w:val="00B22E2F"/>
    <w:rsid w:val="00B2301D"/>
    <w:rsid w:val="00B24DC6"/>
    <w:rsid w:val="00B25E7C"/>
    <w:rsid w:val="00B27521"/>
    <w:rsid w:val="00B353CF"/>
    <w:rsid w:val="00B36236"/>
    <w:rsid w:val="00B366E6"/>
    <w:rsid w:val="00B37ABB"/>
    <w:rsid w:val="00B44CEB"/>
    <w:rsid w:val="00B53F21"/>
    <w:rsid w:val="00B56193"/>
    <w:rsid w:val="00B609C6"/>
    <w:rsid w:val="00B62140"/>
    <w:rsid w:val="00B63C58"/>
    <w:rsid w:val="00B6411F"/>
    <w:rsid w:val="00B66C66"/>
    <w:rsid w:val="00B7216D"/>
    <w:rsid w:val="00B73C6A"/>
    <w:rsid w:val="00B74DE1"/>
    <w:rsid w:val="00B753BD"/>
    <w:rsid w:val="00B7668E"/>
    <w:rsid w:val="00B8141E"/>
    <w:rsid w:val="00B829C7"/>
    <w:rsid w:val="00B83E03"/>
    <w:rsid w:val="00B83E1C"/>
    <w:rsid w:val="00B8582E"/>
    <w:rsid w:val="00B86ABC"/>
    <w:rsid w:val="00B86CC4"/>
    <w:rsid w:val="00B91EA1"/>
    <w:rsid w:val="00B93FDB"/>
    <w:rsid w:val="00B95DA1"/>
    <w:rsid w:val="00B972BC"/>
    <w:rsid w:val="00B97776"/>
    <w:rsid w:val="00B97881"/>
    <w:rsid w:val="00B97D51"/>
    <w:rsid w:val="00BA274E"/>
    <w:rsid w:val="00BA4468"/>
    <w:rsid w:val="00BB012C"/>
    <w:rsid w:val="00BB0BD4"/>
    <w:rsid w:val="00BC29A8"/>
    <w:rsid w:val="00BC3A74"/>
    <w:rsid w:val="00BC6FB2"/>
    <w:rsid w:val="00BD2377"/>
    <w:rsid w:val="00BD4346"/>
    <w:rsid w:val="00BD58C2"/>
    <w:rsid w:val="00BD6979"/>
    <w:rsid w:val="00BE42AB"/>
    <w:rsid w:val="00BE5895"/>
    <w:rsid w:val="00BE62C1"/>
    <w:rsid w:val="00BE6CC1"/>
    <w:rsid w:val="00BF01E5"/>
    <w:rsid w:val="00BF4C18"/>
    <w:rsid w:val="00BF4E0B"/>
    <w:rsid w:val="00BF5FDE"/>
    <w:rsid w:val="00C02F50"/>
    <w:rsid w:val="00C054D9"/>
    <w:rsid w:val="00C06089"/>
    <w:rsid w:val="00C07747"/>
    <w:rsid w:val="00C120CF"/>
    <w:rsid w:val="00C13DC7"/>
    <w:rsid w:val="00C1592A"/>
    <w:rsid w:val="00C159C3"/>
    <w:rsid w:val="00C20B96"/>
    <w:rsid w:val="00C237B0"/>
    <w:rsid w:val="00C247FE"/>
    <w:rsid w:val="00C24904"/>
    <w:rsid w:val="00C24991"/>
    <w:rsid w:val="00C2534B"/>
    <w:rsid w:val="00C30BA5"/>
    <w:rsid w:val="00C339A6"/>
    <w:rsid w:val="00C37236"/>
    <w:rsid w:val="00C37AA2"/>
    <w:rsid w:val="00C37BDB"/>
    <w:rsid w:val="00C43D80"/>
    <w:rsid w:val="00C43F1A"/>
    <w:rsid w:val="00C5012D"/>
    <w:rsid w:val="00C5019D"/>
    <w:rsid w:val="00C52716"/>
    <w:rsid w:val="00C5295E"/>
    <w:rsid w:val="00C52B90"/>
    <w:rsid w:val="00C53337"/>
    <w:rsid w:val="00C53BE0"/>
    <w:rsid w:val="00C53F85"/>
    <w:rsid w:val="00C55136"/>
    <w:rsid w:val="00C570A0"/>
    <w:rsid w:val="00C6640A"/>
    <w:rsid w:val="00C71E7F"/>
    <w:rsid w:val="00C71EEB"/>
    <w:rsid w:val="00C72020"/>
    <w:rsid w:val="00C73A74"/>
    <w:rsid w:val="00C73E43"/>
    <w:rsid w:val="00C808AA"/>
    <w:rsid w:val="00C84CC5"/>
    <w:rsid w:val="00C86113"/>
    <w:rsid w:val="00C8652E"/>
    <w:rsid w:val="00C86806"/>
    <w:rsid w:val="00C8737B"/>
    <w:rsid w:val="00C90B9F"/>
    <w:rsid w:val="00C90BBE"/>
    <w:rsid w:val="00C914BD"/>
    <w:rsid w:val="00C9306B"/>
    <w:rsid w:val="00C94087"/>
    <w:rsid w:val="00C94A1D"/>
    <w:rsid w:val="00CA154D"/>
    <w:rsid w:val="00CA5FEE"/>
    <w:rsid w:val="00CA6323"/>
    <w:rsid w:val="00CB16AE"/>
    <w:rsid w:val="00CB3B33"/>
    <w:rsid w:val="00CB5000"/>
    <w:rsid w:val="00CB602E"/>
    <w:rsid w:val="00CC1957"/>
    <w:rsid w:val="00CC3D21"/>
    <w:rsid w:val="00CD1435"/>
    <w:rsid w:val="00CD2D22"/>
    <w:rsid w:val="00CD373D"/>
    <w:rsid w:val="00CD40C0"/>
    <w:rsid w:val="00CE0BD4"/>
    <w:rsid w:val="00CE0F07"/>
    <w:rsid w:val="00CE2386"/>
    <w:rsid w:val="00CF6DCA"/>
    <w:rsid w:val="00CF70D1"/>
    <w:rsid w:val="00D002C9"/>
    <w:rsid w:val="00D01E00"/>
    <w:rsid w:val="00D051DD"/>
    <w:rsid w:val="00D058F4"/>
    <w:rsid w:val="00D07929"/>
    <w:rsid w:val="00D07B24"/>
    <w:rsid w:val="00D07BC3"/>
    <w:rsid w:val="00D124F6"/>
    <w:rsid w:val="00D14E3F"/>
    <w:rsid w:val="00D2033C"/>
    <w:rsid w:val="00D214CC"/>
    <w:rsid w:val="00D22A50"/>
    <w:rsid w:val="00D23252"/>
    <w:rsid w:val="00D31B79"/>
    <w:rsid w:val="00D31F08"/>
    <w:rsid w:val="00D32D5B"/>
    <w:rsid w:val="00D32E40"/>
    <w:rsid w:val="00D37E9D"/>
    <w:rsid w:val="00D41585"/>
    <w:rsid w:val="00D43923"/>
    <w:rsid w:val="00D46709"/>
    <w:rsid w:val="00D469DE"/>
    <w:rsid w:val="00D47A20"/>
    <w:rsid w:val="00D505F9"/>
    <w:rsid w:val="00D5671B"/>
    <w:rsid w:val="00D617BD"/>
    <w:rsid w:val="00D62D8D"/>
    <w:rsid w:val="00D668C2"/>
    <w:rsid w:val="00D71732"/>
    <w:rsid w:val="00D75091"/>
    <w:rsid w:val="00D8108D"/>
    <w:rsid w:val="00D81E3E"/>
    <w:rsid w:val="00D82042"/>
    <w:rsid w:val="00D82AE8"/>
    <w:rsid w:val="00D85F5B"/>
    <w:rsid w:val="00D87376"/>
    <w:rsid w:val="00D90A72"/>
    <w:rsid w:val="00DA0844"/>
    <w:rsid w:val="00DA2838"/>
    <w:rsid w:val="00DA3E62"/>
    <w:rsid w:val="00DA5A68"/>
    <w:rsid w:val="00DA5BBA"/>
    <w:rsid w:val="00DA64F3"/>
    <w:rsid w:val="00DB15D0"/>
    <w:rsid w:val="00DC038B"/>
    <w:rsid w:val="00DC2CBC"/>
    <w:rsid w:val="00DC3D82"/>
    <w:rsid w:val="00DD17E6"/>
    <w:rsid w:val="00DD6DB8"/>
    <w:rsid w:val="00DE0115"/>
    <w:rsid w:val="00DE3A69"/>
    <w:rsid w:val="00DE3E32"/>
    <w:rsid w:val="00DE67D0"/>
    <w:rsid w:val="00DE7D29"/>
    <w:rsid w:val="00DF0ACC"/>
    <w:rsid w:val="00DF0F3C"/>
    <w:rsid w:val="00DF170B"/>
    <w:rsid w:val="00DF2F4C"/>
    <w:rsid w:val="00DF330A"/>
    <w:rsid w:val="00DF7B12"/>
    <w:rsid w:val="00E00678"/>
    <w:rsid w:val="00E04EFB"/>
    <w:rsid w:val="00E05F50"/>
    <w:rsid w:val="00E13403"/>
    <w:rsid w:val="00E13F36"/>
    <w:rsid w:val="00E15205"/>
    <w:rsid w:val="00E15A8B"/>
    <w:rsid w:val="00E21A72"/>
    <w:rsid w:val="00E24B6C"/>
    <w:rsid w:val="00E25B21"/>
    <w:rsid w:val="00E26E7F"/>
    <w:rsid w:val="00E3230B"/>
    <w:rsid w:val="00E3391A"/>
    <w:rsid w:val="00E33B84"/>
    <w:rsid w:val="00E4394D"/>
    <w:rsid w:val="00E45A37"/>
    <w:rsid w:val="00E51B08"/>
    <w:rsid w:val="00E5252C"/>
    <w:rsid w:val="00E5407E"/>
    <w:rsid w:val="00E63956"/>
    <w:rsid w:val="00E6574E"/>
    <w:rsid w:val="00E665C6"/>
    <w:rsid w:val="00E66D53"/>
    <w:rsid w:val="00E71BDA"/>
    <w:rsid w:val="00E73068"/>
    <w:rsid w:val="00E732E4"/>
    <w:rsid w:val="00E76A78"/>
    <w:rsid w:val="00E76FA9"/>
    <w:rsid w:val="00E77F33"/>
    <w:rsid w:val="00E81C37"/>
    <w:rsid w:val="00E823DA"/>
    <w:rsid w:val="00E90601"/>
    <w:rsid w:val="00E91A84"/>
    <w:rsid w:val="00E920E3"/>
    <w:rsid w:val="00E932B0"/>
    <w:rsid w:val="00E96A51"/>
    <w:rsid w:val="00E97858"/>
    <w:rsid w:val="00EA00BF"/>
    <w:rsid w:val="00EA10EA"/>
    <w:rsid w:val="00EA18EE"/>
    <w:rsid w:val="00EA3526"/>
    <w:rsid w:val="00EA4866"/>
    <w:rsid w:val="00EA4B0E"/>
    <w:rsid w:val="00EA53BD"/>
    <w:rsid w:val="00EA6325"/>
    <w:rsid w:val="00EA6ADB"/>
    <w:rsid w:val="00EB1C29"/>
    <w:rsid w:val="00EB553C"/>
    <w:rsid w:val="00EC0911"/>
    <w:rsid w:val="00EC1166"/>
    <w:rsid w:val="00EC137F"/>
    <w:rsid w:val="00EC1660"/>
    <w:rsid w:val="00EC38BA"/>
    <w:rsid w:val="00EC53B4"/>
    <w:rsid w:val="00EC6744"/>
    <w:rsid w:val="00ED07E0"/>
    <w:rsid w:val="00ED1073"/>
    <w:rsid w:val="00ED5489"/>
    <w:rsid w:val="00ED57A9"/>
    <w:rsid w:val="00EE1424"/>
    <w:rsid w:val="00EE1F99"/>
    <w:rsid w:val="00EE2C24"/>
    <w:rsid w:val="00EE332C"/>
    <w:rsid w:val="00EE6C98"/>
    <w:rsid w:val="00EF68C1"/>
    <w:rsid w:val="00EF7112"/>
    <w:rsid w:val="00F15AD1"/>
    <w:rsid w:val="00F20841"/>
    <w:rsid w:val="00F2519C"/>
    <w:rsid w:val="00F25CE6"/>
    <w:rsid w:val="00F3318C"/>
    <w:rsid w:val="00F3372A"/>
    <w:rsid w:val="00F36C4E"/>
    <w:rsid w:val="00F37AC3"/>
    <w:rsid w:val="00F44411"/>
    <w:rsid w:val="00F50052"/>
    <w:rsid w:val="00F538CA"/>
    <w:rsid w:val="00F538D1"/>
    <w:rsid w:val="00F559F3"/>
    <w:rsid w:val="00F55C47"/>
    <w:rsid w:val="00F60A27"/>
    <w:rsid w:val="00F7051D"/>
    <w:rsid w:val="00F73185"/>
    <w:rsid w:val="00F73261"/>
    <w:rsid w:val="00F732DA"/>
    <w:rsid w:val="00F74EF0"/>
    <w:rsid w:val="00F8028B"/>
    <w:rsid w:val="00F806E4"/>
    <w:rsid w:val="00F829A1"/>
    <w:rsid w:val="00F84764"/>
    <w:rsid w:val="00F93A32"/>
    <w:rsid w:val="00F947B2"/>
    <w:rsid w:val="00F9494F"/>
    <w:rsid w:val="00F96284"/>
    <w:rsid w:val="00FA6460"/>
    <w:rsid w:val="00FA6E84"/>
    <w:rsid w:val="00FB0C01"/>
    <w:rsid w:val="00FB126A"/>
    <w:rsid w:val="00FB28A9"/>
    <w:rsid w:val="00FB28E1"/>
    <w:rsid w:val="00FB3D77"/>
    <w:rsid w:val="00FB70D9"/>
    <w:rsid w:val="00FC0481"/>
    <w:rsid w:val="00FC0609"/>
    <w:rsid w:val="00FC203B"/>
    <w:rsid w:val="00FC3CB1"/>
    <w:rsid w:val="00FC4B00"/>
    <w:rsid w:val="00FD207D"/>
    <w:rsid w:val="00FD24ED"/>
    <w:rsid w:val="00FD3217"/>
    <w:rsid w:val="00FD428C"/>
    <w:rsid w:val="00FD4DC9"/>
    <w:rsid w:val="00FD5D2D"/>
    <w:rsid w:val="00FD61E4"/>
    <w:rsid w:val="00FD7C10"/>
    <w:rsid w:val="00FE0584"/>
    <w:rsid w:val="00FE0693"/>
    <w:rsid w:val="00FE0BB9"/>
    <w:rsid w:val="00FE6618"/>
    <w:rsid w:val="00FF04DB"/>
    <w:rsid w:val="00FF1283"/>
    <w:rsid w:val="00FF33EA"/>
    <w:rsid w:val="00FF4A63"/>
    <w:rsid w:val="00FF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06"/>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353CF"/>
    <w:pPr>
      <w:keepNext/>
      <w:keepLines/>
      <w:pBdr>
        <w:bottom w:val="single" w:sz="4" w:space="1" w:color="660000"/>
      </w:pBdr>
      <w:jc w:val="center"/>
      <w:outlineLvl w:val="0"/>
    </w:pPr>
    <w:rPr>
      <w:rFonts w:eastAsiaTheme="majorEastAsia" w:cstheme="majorBidi"/>
      <w:b/>
      <w:bCs/>
      <w:caps/>
      <w:color w:val="6D0000"/>
      <w:sz w:val="28"/>
      <w:szCs w:val="28"/>
    </w:rPr>
  </w:style>
  <w:style w:type="paragraph" w:styleId="Heading2">
    <w:name w:val="heading 2"/>
    <w:basedOn w:val="Normal"/>
    <w:next w:val="Normal"/>
    <w:link w:val="Heading2Char"/>
    <w:uiPriority w:val="9"/>
    <w:unhideWhenUsed/>
    <w:qFormat/>
    <w:rsid w:val="0042128E"/>
    <w:pPr>
      <w:keepNext/>
      <w:keepLines/>
      <w:widowControl w:val="0"/>
      <w:tabs>
        <w:tab w:val="left" w:pos="547"/>
      </w:tabs>
      <w:spacing w:before="200"/>
      <w:outlineLvl w:val="1"/>
    </w:pPr>
    <w:rPr>
      <w:rFonts w:eastAsiaTheme="majorEastAsia" w:cstheme="minorHAnsi"/>
      <w:b/>
      <w:bCs/>
      <w:color w:val="6D0000"/>
      <w:szCs w:val="26"/>
    </w:rPr>
  </w:style>
  <w:style w:type="paragraph" w:styleId="Heading3">
    <w:name w:val="heading 3"/>
    <w:basedOn w:val="Normal"/>
    <w:next w:val="Normal"/>
    <w:link w:val="Heading3Char"/>
    <w:uiPriority w:val="9"/>
    <w:unhideWhenUsed/>
    <w:qFormat/>
    <w:rsid w:val="0042128E"/>
    <w:pPr>
      <w:keepNext/>
      <w:keepLines/>
      <w:tabs>
        <w:tab w:val="left" w:pos="547"/>
      </w:tabs>
      <w:jc w:val="left"/>
      <w:outlineLvl w:val="2"/>
    </w:pPr>
    <w:rPr>
      <w:rFonts w:eastAsiaTheme="majorEastAsia" w:cstheme="majorBidi"/>
      <w:b/>
      <w:bCs/>
    </w:rPr>
  </w:style>
  <w:style w:type="paragraph" w:styleId="Heading4">
    <w:name w:val="heading 4"/>
    <w:basedOn w:val="Heading3"/>
    <w:next w:val="Normal"/>
    <w:link w:val="Heading4Char"/>
    <w:uiPriority w:val="9"/>
    <w:unhideWhenUsed/>
    <w:rsid w:val="00B353CF"/>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E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42128E"/>
    <w:rPr>
      <w:rFonts w:ascii="Times New Roman" w:eastAsiaTheme="majorEastAsia" w:hAnsi="Times New Roman" w:cstheme="minorHAnsi"/>
      <w:b/>
      <w:bCs/>
      <w:color w:val="6D0000"/>
      <w:sz w:val="24"/>
      <w:szCs w:val="26"/>
    </w:rPr>
  </w:style>
  <w:style w:type="character" w:customStyle="1" w:styleId="Heading3Char">
    <w:name w:val="Heading 3 Char"/>
    <w:basedOn w:val="DefaultParagraphFont"/>
    <w:link w:val="Heading3"/>
    <w:uiPriority w:val="9"/>
    <w:rsid w:val="0042128E"/>
    <w:rPr>
      <w:rFonts w:ascii="Times New Roman" w:eastAsiaTheme="majorEastAsia" w:hAnsi="Times New Roman" w:cstheme="majorBidi"/>
      <w:b/>
      <w:bCs/>
      <w:sz w:val="24"/>
    </w:rPr>
  </w:style>
  <w:style w:type="paragraph" w:styleId="ListParagraph">
    <w:name w:val="List Paragraph"/>
    <w:basedOn w:val="Normal"/>
    <w:link w:val="ListParagraphChar"/>
    <w:qFormat/>
    <w:rsid w:val="00B353CF"/>
    <w:pPr>
      <w:ind w:left="720"/>
      <w:contextualSpacing/>
    </w:pPr>
  </w:style>
  <w:style w:type="character" w:customStyle="1" w:styleId="ListParagraphChar">
    <w:name w:val="List Paragraph Char"/>
    <w:basedOn w:val="DefaultParagraphFont"/>
    <w:link w:val="ListParagraph"/>
    <w:rsid w:val="00226ECC"/>
    <w:rPr>
      <w:rFonts w:ascii="Times New Roman" w:hAnsi="Times New Roman"/>
      <w:sz w:val="24"/>
    </w:rPr>
  </w:style>
  <w:style w:type="paragraph" w:styleId="FootnoteText">
    <w:name w:val="footnote text"/>
    <w:basedOn w:val="Normal"/>
    <w:link w:val="FootnoteTextChar"/>
    <w:unhideWhenUsed/>
    <w:rsid w:val="00B353CF"/>
    <w:pPr>
      <w:spacing w:line="48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4376A9"/>
    <w:rPr>
      <w:rFonts w:ascii="Calibri" w:eastAsia="Calibri" w:hAnsi="Calibri" w:cs="Times New Roman"/>
      <w:sz w:val="20"/>
      <w:szCs w:val="20"/>
    </w:rPr>
  </w:style>
  <w:style w:type="character" w:styleId="FootnoteReference">
    <w:name w:val="footnote reference"/>
    <w:uiPriority w:val="99"/>
    <w:rsid w:val="004376A9"/>
    <w:rPr>
      <w:vertAlign w:val="superscript"/>
    </w:rPr>
  </w:style>
  <w:style w:type="character" w:customStyle="1" w:styleId="Heading1Char">
    <w:name w:val="Heading 1 Char"/>
    <w:basedOn w:val="DefaultParagraphFont"/>
    <w:link w:val="Heading1"/>
    <w:uiPriority w:val="9"/>
    <w:rsid w:val="007A2488"/>
    <w:rPr>
      <w:rFonts w:ascii="Times New Roman" w:eastAsiaTheme="majorEastAsia" w:hAnsi="Times New Roman" w:cstheme="majorBidi"/>
      <w:b/>
      <w:bCs/>
      <w:caps/>
      <w:color w:val="6D0000"/>
      <w:sz w:val="28"/>
      <w:szCs w:val="28"/>
    </w:rPr>
  </w:style>
  <w:style w:type="paragraph" w:customStyle="1" w:styleId="ExhibitTitle">
    <w:name w:val="Exhibit Title"/>
    <w:basedOn w:val="Normal"/>
    <w:link w:val="ExhibitTitleChar"/>
    <w:qFormat/>
    <w:rsid w:val="00B353CF"/>
    <w:pPr>
      <w:keepNext/>
      <w:spacing w:after="120"/>
      <w:jc w:val="center"/>
    </w:pPr>
    <w:rPr>
      <w:rFonts w:eastAsia="Calibri" w:cs="Times New Roman"/>
      <w:b/>
      <w:noProof/>
    </w:rPr>
  </w:style>
  <w:style w:type="character" w:customStyle="1" w:styleId="ExhibitTitleChar">
    <w:name w:val="Exhibit Title Char"/>
    <w:link w:val="ExhibitTitle"/>
    <w:rsid w:val="00A21875"/>
    <w:rPr>
      <w:rFonts w:ascii="Times New Roman" w:eastAsia="Calibri" w:hAnsi="Times New Roman" w:cs="Times New Roman"/>
      <w:b/>
      <w:noProof/>
      <w:sz w:val="24"/>
    </w:rPr>
  </w:style>
  <w:style w:type="table" w:customStyle="1" w:styleId="TableGrid1">
    <w:name w:val="Table Grid1"/>
    <w:basedOn w:val="TableNormal"/>
    <w:next w:val="TableGrid"/>
    <w:uiPriority w:val="59"/>
    <w:rsid w:val="00FC0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C0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53CF"/>
    <w:rPr>
      <w:rFonts w:ascii="Tahoma" w:hAnsi="Tahoma" w:cs="Tahoma"/>
      <w:sz w:val="16"/>
      <w:szCs w:val="16"/>
    </w:rPr>
  </w:style>
  <w:style w:type="character" w:customStyle="1" w:styleId="BalloonTextChar">
    <w:name w:val="Balloon Text Char"/>
    <w:basedOn w:val="DefaultParagraphFont"/>
    <w:link w:val="BalloonText"/>
    <w:uiPriority w:val="99"/>
    <w:semiHidden/>
    <w:rsid w:val="00163A2D"/>
    <w:rPr>
      <w:rFonts w:ascii="Tahoma" w:hAnsi="Tahoma" w:cs="Tahoma"/>
      <w:sz w:val="16"/>
      <w:szCs w:val="16"/>
    </w:rPr>
  </w:style>
  <w:style w:type="paragraph" w:styleId="Header">
    <w:name w:val="header"/>
    <w:basedOn w:val="Normal"/>
    <w:link w:val="HeaderChar"/>
    <w:uiPriority w:val="99"/>
    <w:unhideWhenUsed/>
    <w:rsid w:val="00B353CF"/>
    <w:pPr>
      <w:tabs>
        <w:tab w:val="center" w:pos="4680"/>
        <w:tab w:val="right" w:pos="9360"/>
      </w:tabs>
    </w:pPr>
  </w:style>
  <w:style w:type="character" w:customStyle="1" w:styleId="HeaderChar">
    <w:name w:val="Header Char"/>
    <w:basedOn w:val="DefaultParagraphFont"/>
    <w:link w:val="Header"/>
    <w:uiPriority w:val="99"/>
    <w:rsid w:val="00D07BC3"/>
    <w:rPr>
      <w:rFonts w:ascii="Times New Roman" w:hAnsi="Times New Roman"/>
      <w:sz w:val="24"/>
    </w:rPr>
  </w:style>
  <w:style w:type="paragraph" w:styleId="Footer">
    <w:name w:val="footer"/>
    <w:basedOn w:val="Normal"/>
    <w:link w:val="FooterChar"/>
    <w:unhideWhenUsed/>
    <w:rsid w:val="00B353CF"/>
    <w:pPr>
      <w:tabs>
        <w:tab w:val="center" w:pos="4680"/>
        <w:tab w:val="right" w:pos="9360"/>
      </w:tabs>
    </w:pPr>
  </w:style>
  <w:style w:type="character" w:customStyle="1" w:styleId="FooterChar">
    <w:name w:val="Footer Char"/>
    <w:basedOn w:val="DefaultParagraphFont"/>
    <w:link w:val="Footer"/>
    <w:rsid w:val="00D07BC3"/>
    <w:rPr>
      <w:rFonts w:ascii="Times New Roman" w:hAnsi="Times New Roman"/>
      <w:sz w:val="24"/>
    </w:rPr>
  </w:style>
  <w:style w:type="paragraph" w:customStyle="1" w:styleId="Bullet">
    <w:name w:val="Bullet"/>
    <w:basedOn w:val="ListParagraph"/>
    <w:uiPriority w:val="99"/>
    <w:qFormat/>
    <w:rsid w:val="00B353CF"/>
    <w:pPr>
      <w:autoSpaceDE w:val="0"/>
      <w:autoSpaceDN w:val="0"/>
      <w:adjustRightInd w:val="0"/>
      <w:spacing w:after="120"/>
      <w:ind w:left="0"/>
      <w:contextualSpacing w:val="0"/>
    </w:pPr>
    <w:rPr>
      <w:rFonts w:eastAsia="Times New Roman" w:cs="Times New Roman"/>
      <w:iCs/>
      <w:szCs w:val="24"/>
    </w:rPr>
  </w:style>
  <w:style w:type="character" w:styleId="Hyperlink">
    <w:name w:val="Hyperlink"/>
    <w:uiPriority w:val="99"/>
    <w:unhideWhenUsed/>
    <w:rsid w:val="008F0EB8"/>
    <w:rPr>
      <w:color w:val="0000FF"/>
      <w:u w:val="single"/>
    </w:rPr>
  </w:style>
  <w:style w:type="paragraph" w:styleId="TOCHeading">
    <w:name w:val="TOC Heading"/>
    <w:basedOn w:val="Heading1"/>
    <w:next w:val="Normal"/>
    <w:uiPriority w:val="39"/>
    <w:semiHidden/>
    <w:unhideWhenUsed/>
    <w:qFormat/>
    <w:rsid w:val="00B353CF"/>
    <w:pPr>
      <w:outlineLvl w:val="9"/>
    </w:pPr>
    <w:rPr>
      <w:lang w:eastAsia="ja-JP"/>
    </w:rPr>
  </w:style>
  <w:style w:type="paragraph" w:styleId="TOC2">
    <w:name w:val="toc 2"/>
    <w:basedOn w:val="Normal"/>
    <w:next w:val="Normal"/>
    <w:autoRedefine/>
    <w:uiPriority w:val="39"/>
    <w:unhideWhenUsed/>
    <w:rsid w:val="00A462C4"/>
    <w:pPr>
      <w:tabs>
        <w:tab w:val="left" w:pos="360"/>
        <w:tab w:val="right" w:leader="dot" w:pos="9350"/>
      </w:tabs>
      <w:spacing w:before="120"/>
      <w:ind w:left="360" w:hanging="360"/>
    </w:pPr>
    <w:rPr>
      <w:b/>
      <w:noProof/>
      <w:color w:val="660000"/>
    </w:rPr>
  </w:style>
  <w:style w:type="paragraph" w:styleId="TOC3">
    <w:name w:val="toc 3"/>
    <w:basedOn w:val="Normal"/>
    <w:next w:val="Normal"/>
    <w:autoRedefine/>
    <w:uiPriority w:val="39"/>
    <w:unhideWhenUsed/>
    <w:rsid w:val="00B353CF"/>
    <w:pPr>
      <w:spacing w:after="100"/>
      <w:ind w:left="440"/>
    </w:pPr>
  </w:style>
  <w:style w:type="paragraph" w:styleId="TOC1">
    <w:name w:val="toc 1"/>
    <w:basedOn w:val="Normal"/>
    <w:next w:val="Normal"/>
    <w:autoRedefine/>
    <w:uiPriority w:val="39"/>
    <w:unhideWhenUsed/>
    <w:rsid w:val="00CD1435"/>
    <w:pPr>
      <w:tabs>
        <w:tab w:val="right" w:leader="dot" w:pos="9350"/>
      </w:tabs>
      <w:spacing w:after="120"/>
      <w:ind w:left="360" w:hanging="360"/>
      <w:jc w:val="right"/>
    </w:pPr>
    <w:rPr>
      <w:b/>
      <w:noProof/>
    </w:rPr>
  </w:style>
  <w:style w:type="paragraph" w:customStyle="1" w:styleId="Gnormal">
    <w:name w:val="G_normal"/>
    <w:basedOn w:val="Normal"/>
    <w:link w:val="GnormalChar"/>
    <w:uiPriority w:val="99"/>
    <w:rsid w:val="00B353CF"/>
    <w:pPr>
      <w:tabs>
        <w:tab w:val="left" w:pos="432"/>
      </w:tabs>
      <w:ind w:firstLine="432"/>
    </w:pPr>
    <w:rPr>
      <w:rFonts w:ascii="Garamond" w:eastAsia="Times New Roman" w:hAnsi="Garamond" w:cs="Times New Roman"/>
      <w:szCs w:val="20"/>
    </w:rPr>
  </w:style>
  <w:style w:type="paragraph" w:customStyle="1" w:styleId="Gbullet">
    <w:name w:val="G_bullet"/>
    <w:rsid w:val="00FE6618"/>
    <w:pPr>
      <w:numPr>
        <w:numId w:val="7"/>
      </w:numPr>
      <w:tabs>
        <w:tab w:val="left" w:pos="360"/>
      </w:tabs>
      <w:spacing w:after="240" w:line="240" w:lineRule="auto"/>
      <w:ind w:right="432"/>
      <w:jc w:val="both"/>
    </w:pPr>
    <w:rPr>
      <w:rFonts w:ascii="Garamond" w:eastAsia="Times New Roman" w:hAnsi="Garamond" w:cs="Times New Roman"/>
      <w:sz w:val="24"/>
      <w:szCs w:val="20"/>
    </w:rPr>
  </w:style>
  <w:style w:type="character" w:customStyle="1" w:styleId="GnormalChar">
    <w:name w:val="G_normal Char"/>
    <w:basedOn w:val="DefaultParagraphFont"/>
    <w:link w:val="Gnormal"/>
    <w:uiPriority w:val="99"/>
    <w:rsid w:val="00FE6618"/>
    <w:rPr>
      <w:rFonts w:ascii="Garamond" w:eastAsia="Times New Roman" w:hAnsi="Garamond" w:cs="Times New Roman"/>
      <w:sz w:val="24"/>
      <w:szCs w:val="20"/>
    </w:rPr>
  </w:style>
  <w:style w:type="paragraph" w:customStyle="1" w:styleId="GHead3letter">
    <w:name w:val="G_Head 3 letter"/>
    <w:basedOn w:val="Normal"/>
    <w:next w:val="Gnormal"/>
    <w:rsid w:val="00B353CF"/>
    <w:pPr>
      <w:keepNext/>
      <w:keepLines/>
      <w:tabs>
        <w:tab w:val="left" w:pos="432"/>
      </w:tabs>
      <w:spacing w:before="120" w:after="180"/>
      <w:ind w:left="432" w:hanging="432"/>
    </w:pPr>
    <w:rPr>
      <w:rFonts w:ascii="Garamond" w:eastAsia="Times New Roman" w:hAnsi="Garamond" w:cs="Times New Roman"/>
      <w:b/>
      <w:szCs w:val="20"/>
    </w:rPr>
  </w:style>
  <w:style w:type="character" w:styleId="PlaceholderText">
    <w:name w:val="Placeholder Text"/>
    <w:basedOn w:val="DefaultParagraphFont"/>
    <w:uiPriority w:val="99"/>
    <w:semiHidden/>
    <w:rsid w:val="003C60CB"/>
    <w:rPr>
      <w:color w:val="808080"/>
    </w:rPr>
  </w:style>
  <w:style w:type="paragraph" w:customStyle="1" w:styleId="BulletedList">
    <w:name w:val="Bulleted List"/>
    <w:basedOn w:val="ListBullet"/>
    <w:link w:val="BulletedListChar"/>
    <w:qFormat/>
    <w:rsid w:val="00B353CF"/>
    <w:pPr>
      <w:numPr>
        <w:numId w:val="0"/>
      </w:numPr>
      <w:tabs>
        <w:tab w:val="left" w:pos="720"/>
      </w:tabs>
      <w:spacing w:before="120"/>
      <w:ind w:left="720" w:hanging="360"/>
      <w:contextualSpacing w:val="0"/>
    </w:pPr>
  </w:style>
  <w:style w:type="character" w:customStyle="1" w:styleId="BulletedListChar">
    <w:name w:val="Bulleted List Char"/>
    <w:basedOn w:val="DefaultParagraphFont"/>
    <w:link w:val="BulletedList"/>
    <w:rsid w:val="00147F52"/>
    <w:rPr>
      <w:rFonts w:ascii="Times New Roman" w:hAnsi="Times New Roman"/>
      <w:sz w:val="24"/>
    </w:rPr>
  </w:style>
  <w:style w:type="paragraph" w:styleId="ListBullet">
    <w:name w:val="List Bullet"/>
    <w:basedOn w:val="Normal"/>
    <w:uiPriority w:val="99"/>
    <w:semiHidden/>
    <w:unhideWhenUsed/>
    <w:rsid w:val="00B353CF"/>
    <w:pPr>
      <w:numPr>
        <w:numId w:val="19"/>
      </w:numPr>
      <w:contextualSpacing/>
    </w:pPr>
  </w:style>
  <w:style w:type="paragraph" w:styleId="NoSpacing">
    <w:name w:val="No Spacing"/>
    <w:uiPriority w:val="1"/>
    <w:qFormat/>
    <w:rsid w:val="004D685A"/>
    <w:pPr>
      <w:spacing w:after="0" w:line="240" w:lineRule="auto"/>
      <w:jc w:val="both"/>
    </w:pPr>
    <w:rPr>
      <w:sz w:val="24"/>
    </w:rPr>
  </w:style>
  <w:style w:type="paragraph" w:customStyle="1" w:styleId="NormalSS">
    <w:name w:val="NormalSS"/>
    <w:basedOn w:val="Normal"/>
    <w:rsid w:val="00B353CF"/>
    <w:pPr>
      <w:tabs>
        <w:tab w:val="left" w:pos="432"/>
      </w:tabs>
      <w:ind w:firstLine="432"/>
    </w:pPr>
    <w:rPr>
      <w:rFonts w:eastAsia="Times New Roman" w:cs="Times New Roman"/>
      <w:szCs w:val="20"/>
    </w:rPr>
  </w:style>
  <w:style w:type="character" w:styleId="CommentReference">
    <w:name w:val="annotation reference"/>
    <w:basedOn w:val="DefaultParagraphFont"/>
    <w:uiPriority w:val="99"/>
    <w:semiHidden/>
    <w:unhideWhenUsed/>
    <w:rsid w:val="00432CFF"/>
    <w:rPr>
      <w:sz w:val="16"/>
      <w:szCs w:val="16"/>
    </w:rPr>
  </w:style>
  <w:style w:type="paragraph" w:styleId="CommentText">
    <w:name w:val="annotation text"/>
    <w:basedOn w:val="Normal"/>
    <w:link w:val="CommentTextChar"/>
    <w:uiPriority w:val="99"/>
    <w:unhideWhenUsed/>
    <w:rsid w:val="00B353CF"/>
    <w:rPr>
      <w:sz w:val="20"/>
      <w:szCs w:val="20"/>
    </w:rPr>
  </w:style>
  <w:style w:type="character" w:customStyle="1" w:styleId="CommentTextChar">
    <w:name w:val="Comment Text Char"/>
    <w:basedOn w:val="DefaultParagraphFont"/>
    <w:link w:val="CommentText"/>
    <w:uiPriority w:val="99"/>
    <w:rsid w:val="00432CF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53CF"/>
    <w:rPr>
      <w:b/>
      <w:bCs/>
    </w:rPr>
  </w:style>
  <w:style w:type="character" w:customStyle="1" w:styleId="CommentSubjectChar">
    <w:name w:val="Comment Subject Char"/>
    <w:basedOn w:val="CommentTextChar"/>
    <w:link w:val="CommentSubject"/>
    <w:uiPriority w:val="99"/>
    <w:semiHidden/>
    <w:rsid w:val="00432CFF"/>
    <w:rPr>
      <w:rFonts w:ascii="Times New Roman" w:hAnsi="Times New Roman"/>
      <w:b/>
      <w:bCs/>
      <w:sz w:val="20"/>
      <w:szCs w:val="20"/>
    </w:rPr>
  </w:style>
  <w:style w:type="paragraph" w:customStyle="1" w:styleId="default0">
    <w:name w:val="default"/>
    <w:basedOn w:val="Normal"/>
    <w:uiPriority w:val="99"/>
    <w:rsid w:val="00B353CF"/>
    <w:pPr>
      <w:jc w:val="left"/>
    </w:pPr>
    <w:rPr>
      <w:rFonts w:cs="Times New Roman"/>
      <w:szCs w:val="24"/>
    </w:rPr>
  </w:style>
  <w:style w:type="character" w:customStyle="1" w:styleId="Heading4Char">
    <w:name w:val="Heading 4 Char"/>
    <w:basedOn w:val="DefaultParagraphFont"/>
    <w:link w:val="Heading4"/>
    <w:uiPriority w:val="9"/>
    <w:rsid w:val="00DA0844"/>
    <w:rPr>
      <w:rFonts w:ascii="Times New Roman" w:eastAsiaTheme="majorEastAsia" w:hAnsi="Times New Roman" w:cstheme="majorBidi"/>
      <w:b/>
      <w:bCs/>
      <w:i/>
      <w:sz w:val="24"/>
    </w:rPr>
  </w:style>
  <w:style w:type="paragraph" w:customStyle="1" w:styleId="BulletLAST">
    <w:name w:val="Bullet (LAST)"/>
    <w:next w:val="Normal"/>
    <w:uiPriority w:val="99"/>
    <w:rsid w:val="00880021"/>
    <w:pPr>
      <w:numPr>
        <w:numId w:val="29"/>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B353CF"/>
    <w:pPr>
      <w:tabs>
        <w:tab w:val="left" w:pos="432"/>
      </w:tabs>
      <w:spacing w:line="480" w:lineRule="auto"/>
      <w:ind w:firstLine="432"/>
    </w:pPr>
    <w:rPr>
      <w:rFonts w:eastAsia="Times New Roman" w:cs="Times New Roman"/>
      <w:szCs w:val="20"/>
    </w:rPr>
  </w:style>
  <w:style w:type="paragraph" w:customStyle="1" w:styleId="Center">
    <w:name w:val="Center"/>
    <w:basedOn w:val="Normal"/>
    <w:rsid w:val="00880021"/>
    <w:pPr>
      <w:tabs>
        <w:tab w:val="left" w:pos="432"/>
      </w:tabs>
      <w:spacing w:line="480" w:lineRule="auto"/>
      <w:jc w:val="center"/>
    </w:pPr>
    <w:rPr>
      <w:rFonts w:eastAsia="Times New Roman" w:cs="Times New Roman"/>
      <w:szCs w:val="20"/>
    </w:rPr>
  </w:style>
  <w:style w:type="paragraph" w:customStyle="1" w:styleId="NumberedBullet">
    <w:name w:val="Numbered Bullet"/>
    <w:uiPriority w:val="99"/>
    <w:rsid w:val="00880021"/>
    <w:pPr>
      <w:numPr>
        <w:numId w:val="30"/>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B353CF"/>
    <w:pPr>
      <w:tabs>
        <w:tab w:val="left" w:pos="432"/>
      </w:tabs>
      <w:spacing w:line="480" w:lineRule="auto"/>
      <w:ind w:firstLine="432"/>
    </w:pPr>
    <w:rPr>
      <w:rFonts w:eastAsia="Times New Roman" w:cs="Times New Roman"/>
      <w:szCs w:val="20"/>
    </w:rPr>
  </w:style>
  <w:style w:type="paragraph" w:customStyle="1" w:styleId="MediumGrid1-Accent21">
    <w:name w:val="Medium Grid 1 - Accent 21"/>
    <w:basedOn w:val="Normal"/>
    <w:uiPriority w:val="99"/>
    <w:rsid w:val="00B353CF"/>
    <w:pPr>
      <w:ind w:left="720"/>
      <w:contextualSpacing/>
      <w:jc w:val="left"/>
    </w:pPr>
    <w:rPr>
      <w:rFonts w:ascii="Cambria" w:eastAsia="Times New Roman" w:hAnsi="Cambria" w:cs="Times New Roman"/>
      <w:sz w:val="22"/>
    </w:rPr>
  </w:style>
  <w:style w:type="character" w:customStyle="1" w:styleId="medium-font">
    <w:name w:val="medium-font"/>
    <w:basedOn w:val="DefaultParagraphFont"/>
    <w:rsid w:val="00880021"/>
  </w:style>
  <w:style w:type="character" w:customStyle="1" w:styleId="apple-style-span">
    <w:name w:val="apple-style-span"/>
    <w:basedOn w:val="DefaultParagraphFont"/>
    <w:rsid w:val="00880021"/>
  </w:style>
  <w:style w:type="character" w:customStyle="1" w:styleId="author">
    <w:name w:val="author"/>
    <w:basedOn w:val="DefaultParagraphFont"/>
    <w:rsid w:val="00880021"/>
  </w:style>
  <w:style w:type="character" w:customStyle="1" w:styleId="apple-converted-space">
    <w:name w:val="apple-converted-space"/>
    <w:basedOn w:val="DefaultParagraphFont"/>
    <w:rsid w:val="00880021"/>
  </w:style>
  <w:style w:type="character" w:styleId="Strong">
    <w:name w:val="Strong"/>
    <w:basedOn w:val="DefaultParagraphFont"/>
    <w:uiPriority w:val="22"/>
    <w:qFormat/>
    <w:rsid w:val="00880021"/>
    <w:rPr>
      <w:b/>
      <w:bCs/>
    </w:rPr>
  </w:style>
  <w:style w:type="character" w:styleId="PageNumber">
    <w:name w:val="page number"/>
    <w:basedOn w:val="DefaultParagraphFont"/>
    <w:semiHidden/>
    <w:rsid w:val="007506FD"/>
    <w:rPr>
      <w:rFonts w:cs="Times New Roman"/>
    </w:rPr>
  </w:style>
  <w:style w:type="paragraph" w:customStyle="1" w:styleId="References">
    <w:name w:val="References"/>
    <w:basedOn w:val="Normal"/>
    <w:next w:val="Normal"/>
    <w:rsid w:val="00B353CF"/>
    <w:pPr>
      <w:tabs>
        <w:tab w:val="left" w:pos="432"/>
      </w:tabs>
      <w:ind w:left="432" w:hanging="432"/>
    </w:pPr>
    <w:rPr>
      <w:rFonts w:eastAsia="Times New Roman" w:cs="Times New Roman"/>
      <w:szCs w:val="20"/>
    </w:rPr>
  </w:style>
  <w:style w:type="character" w:customStyle="1" w:styleId="e-03">
    <w:name w:val="e-03"/>
    <w:basedOn w:val="DefaultParagraphFont"/>
    <w:rsid w:val="007506FD"/>
    <w:rPr>
      <w:rFonts w:cs="Times New Roman"/>
    </w:rPr>
  </w:style>
  <w:style w:type="paragraph" w:customStyle="1" w:styleId="Greferences">
    <w:name w:val="G_references"/>
    <w:basedOn w:val="Normal"/>
    <w:rsid w:val="00B353CF"/>
    <w:pPr>
      <w:tabs>
        <w:tab w:val="left" w:pos="432"/>
      </w:tabs>
      <w:ind w:left="432" w:hanging="432"/>
      <w:jc w:val="left"/>
    </w:pPr>
    <w:rPr>
      <w:rFonts w:ascii="Garamond" w:eastAsia="Times New Roman" w:hAnsi="Garamond" w:cs="Times New Roman"/>
      <w:szCs w:val="20"/>
    </w:rPr>
  </w:style>
  <w:style w:type="paragraph" w:customStyle="1" w:styleId="CaptionTitle">
    <w:name w:val="Caption Title"/>
    <w:basedOn w:val="Caption"/>
    <w:link w:val="CaptionTitleChar"/>
    <w:qFormat/>
    <w:rsid w:val="0042128E"/>
    <w:pPr>
      <w:keepNext/>
      <w:spacing w:after="120"/>
      <w:jc w:val="center"/>
    </w:pPr>
    <w:rPr>
      <w:rFonts w:cs="Times New Roman"/>
      <w:color w:val="auto"/>
      <w:sz w:val="24"/>
    </w:rPr>
  </w:style>
  <w:style w:type="paragraph" w:customStyle="1" w:styleId="ExhibitNote">
    <w:name w:val="Exhibit Note"/>
    <w:basedOn w:val="Normal"/>
    <w:link w:val="ExhibitNoteChar"/>
    <w:qFormat/>
    <w:rsid w:val="00B353CF"/>
    <w:pPr>
      <w:keepLines/>
      <w:spacing w:line="276" w:lineRule="auto"/>
    </w:pPr>
    <w:rPr>
      <w:rFonts w:cs="Times New Roman"/>
      <w:color w:val="000000"/>
      <w:sz w:val="20"/>
      <w:szCs w:val="20"/>
    </w:rPr>
  </w:style>
  <w:style w:type="character" w:customStyle="1" w:styleId="CaptionTitleChar">
    <w:name w:val="Caption Title Char"/>
    <w:basedOn w:val="DefaultParagraphFont"/>
    <w:link w:val="CaptionTitle"/>
    <w:rsid w:val="0042128E"/>
    <w:rPr>
      <w:rFonts w:ascii="Times New Roman" w:hAnsi="Times New Roman" w:cs="Times New Roman"/>
      <w:b/>
      <w:bCs/>
      <w:sz w:val="24"/>
      <w:szCs w:val="18"/>
    </w:rPr>
  </w:style>
  <w:style w:type="character" w:customStyle="1" w:styleId="ExhibitNoteChar">
    <w:name w:val="Exhibit Note Char"/>
    <w:basedOn w:val="DefaultParagraphFont"/>
    <w:link w:val="ExhibitNote"/>
    <w:rsid w:val="00A86442"/>
    <w:rPr>
      <w:rFonts w:ascii="Times New Roman" w:hAnsi="Times New Roman" w:cs="Times New Roman"/>
      <w:color w:val="000000"/>
      <w:sz w:val="20"/>
      <w:szCs w:val="20"/>
    </w:rPr>
  </w:style>
  <w:style w:type="paragraph" w:styleId="Caption">
    <w:name w:val="caption"/>
    <w:basedOn w:val="Normal"/>
    <w:next w:val="Normal"/>
    <w:uiPriority w:val="35"/>
    <w:unhideWhenUsed/>
    <w:qFormat/>
    <w:rsid w:val="00B353CF"/>
    <w:pPr>
      <w:spacing w:after="200"/>
    </w:pPr>
    <w:rPr>
      <w:b/>
      <w:bCs/>
      <w:color w:val="4F81BD" w:themeColor="accent1"/>
      <w:sz w:val="18"/>
      <w:szCs w:val="18"/>
    </w:rPr>
  </w:style>
  <w:style w:type="paragraph" w:customStyle="1" w:styleId="FootNote">
    <w:name w:val="Foot Note"/>
    <w:basedOn w:val="FootnoteText"/>
    <w:link w:val="FootNoteChar"/>
    <w:qFormat/>
    <w:rsid w:val="00A86442"/>
    <w:pPr>
      <w:spacing w:line="240" w:lineRule="auto"/>
    </w:pPr>
    <w:rPr>
      <w:rFonts w:ascii="Times New Roman" w:hAnsi="Times New Roman"/>
    </w:rPr>
  </w:style>
  <w:style w:type="character" w:customStyle="1" w:styleId="FootNoteChar">
    <w:name w:val="Foot Note Char"/>
    <w:basedOn w:val="FootnoteTextChar"/>
    <w:link w:val="FootNote"/>
    <w:rsid w:val="00A86442"/>
    <w:rPr>
      <w:rFonts w:ascii="Times New Roman" w:eastAsia="Calibri" w:hAnsi="Times New Roman" w:cs="Times New Roman"/>
      <w:sz w:val="20"/>
      <w:szCs w:val="20"/>
    </w:rPr>
  </w:style>
  <w:style w:type="paragraph" w:styleId="Revision">
    <w:name w:val="Revision"/>
    <w:hidden/>
    <w:uiPriority w:val="99"/>
    <w:semiHidden/>
    <w:rsid w:val="008E30D4"/>
    <w:pPr>
      <w:spacing w:after="0" w:line="240" w:lineRule="auto"/>
    </w:pPr>
    <w:rPr>
      <w:rFonts w:ascii="Times New Roman" w:hAnsi="Times New Roman"/>
      <w:sz w:val="24"/>
    </w:rPr>
  </w:style>
  <w:style w:type="paragraph" w:styleId="BodyText">
    <w:name w:val="Body Text"/>
    <w:basedOn w:val="Normal"/>
    <w:link w:val="BodyTextChar"/>
    <w:rsid w:val="001C1F80"/>
    <w:pPr>
      <w:tabs>
        <w:tab w:val="left" w:pos="720"/>
        <w:tab w:val="left" w:pos="1080"/>
        <w:tab w:val="left" w:pos="1440"/>
        <w:tab w:val="left" w:pos="1800"/>
      </w:tabs>
      <w:spacing w:line="264" w:lineRule="auto"/>
      <w:jc w:val="left"/>
    </w:pPr>
    <w:rPr>
      <w:rFonts w:eastAsia="Times New Roman" w:cs="Times New Roman"/>
      <w:szCs w:val="20"/>
    </w:rPr>
  </w:style>
  <w:style w:type="character" w:customStyle="1" w:styleId="BodyTextChar">
    <w:name w:val="Body Text Char"/>
    <w:basedOn w:val="DefaultParagraphFont"/>
    <w:link w:val="BodyText"/>
    <w:rsid w:val="001C1F8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06"/>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353CF"/>
    <w:pPr>
      <w:keepNext/>
      <w:keepLines/>
      <w:pBdr>
        <w:bottom w:val="single" w:sz="4" w:space="1" w:color="660000"/>
      </w:pBdr>
      <w:jc w:val="center"/>
      <w:outlineLvl w:val="0"/>
    </w:pPr>
    <w:rPr>
      <w:rFonts w:eastAsiaTheme="majorEastAsia" w:cstheme="majorBidi"/>
      <w:b/>
      <w:bCs/>
      <w:caps/>
      <w:color w:val="6D0000"/>
      <w:sz w:val="28"/>
      <w:szCs w:val="28"/>
    </w:rPr>
  </w:style>
  <w:style w:type="paragraph" w:styleId="Heading2">
    <w:name w:val="heading 2"/>
    <w:basedOn w:val="Normal"/>
    <w:next w:val="Normal"/>
    <w:link w:val="Heading2Char"/>
    <w:uiPriority w:val="9"/>
    <w:unhideWhenUsed/>
    <w:qFormat/>
    <w:rsid w:val="0042128E"/>
    <w:pPr>
      <w:keepNext/>
      <w:keepLines/>
      <w:widowControl w:val="0"/>
      <w:tabs>
        <w:tab w:val="left" w:pos="547"/>
      </w:tabs>
      <w:spacing w:before="200"/>
      <w:outlineLvl w:val="1"/>
    </w:pPr>
    <w:rPr>
      <w:rFonts w:eastAsiaTheme="majorEastAsia" w:cstheme="minorHAnsi"/>
      <w:b/>
      <w:bCs/>
      <w:color w:val="6D0000"/>
      <w:szCs w:val="26"/>
    </w:rPr>
  </w:style>
  <w:style w:type="paragraph" w:styleId="Heading3">
    <w:name w:val="heading 3"/>
    <w:basedOn w:val="Normal"/>
    <w:next w:val="Normal"/>
    <w:link w:val="Heading3Char"/>
    <w:uiPriority w:val="9"/>
    <w:unhideWhenUsed/>
    <w:qFormat/>
    <w:rsid w:val="0042128E"/>
    <w:pPr>
      <w:keepNext/>
      <w:keepLines/>
      <w:tabs>
        <w:tab w:val="left" w:pos="547"/>
      </w:tabs>
      <w:jc w:val="left"/>
      <w:outlineLvl w:val="2"/>
    </w:pPr>
    <w:rPr>
      <w:rFonts w:eastAsiaTheme="majorEastAsia" w:cstheme="majorBidi"/>
      <w:b/>
      <w:bCs/>
    </w:rPr>
  </w:style>
  <w:style w:type="paragraph" w:styleId="Heading4">
    <w:name w:val="heading 4"/>
    <w:basedOn w:val="Heading3"/>
    <w:next w:val="Normal"/>
    <w:link w:val="Heading4Char"/>
    <w:uiPriority w:val="9"/>
    <w:unhideWhenUsed/>
    <w:rsid w:val="00B353CF"/>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E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42128E"/>
    <w:rPr>
      <w:rFonts w:ascii="Times New Roman" w:eastAsiaTheme="majorEastAsia" w:hAnsi="Times New Roman" w:cstheme="minorHAnsi"/>
      <w:b/>
      <w:bCs/>
      <w:color w:val="6D0000"/>
      <w:sz w:val="24"/>
      <w:szCs w:val="26"/>
    </w:rPr>
  </w:style>
  <w:style w:type="character" w:customStyle="1" w:styleId="Heading3Char">
    <w:name w:val="Heading 3 Char"/>
    <w:basedOn w:val="DefaultParagraphFont"/>
    <w:link w:val="Heading3"/>
    <w:uiPriority w:val="9"/>
    <w:rsid w:val="0042128E"/>
    <w:rPr>
      <w:rFonts w:ascii="Times New Roman" w:eastAsiaTheme="majorEastAsia" w:hAnsi="Times New Roman" w:cstheme="majorBidi"/>
      <w:b/>
      <w:bCs/>
      <w:sz w:val="24"/>
    </w:rPr>
  </w:style>
  <w:style w:type="paragraph" w:styleId="ListParagraph">
    <w:name w:val="List Paragraph"/>
    <w:basedOn w:val="Normal"/>
    <w:link w:val="ListParagraphChar"/>
    <w:qFormat/>
    <w:rsid w:val="00B353CF"/>
    <w:pPr>
      <w:ind w:left="720"/>
      <w:contextualSpacing/>
    </w:pPr>
  </w:style>
  <w:style w:type="character" w:customStyle="1" w:styleId="ListParagraphChar">
    <w:name w:val="List Paragraph Char"/>
    <w:basedOn w:val="DefaultParagraphFont"/>
    <w:link w:val="ListParagraph"/>
    <w:rsid w:val="00226ECC"/>
    <w:rPr>
      <w:rFonts w:ascii="Times New Roman" w:hAnsi="Times New Roman"/>
      <w:sz w:val="24"/>
    </w:rPr>
  </w:style>
  <w:style w:type="paragraph" w:styleId="FootnoteText">
    <w:name w:val="footnote text"/>
    <w:basedOn w:val="Normal"/>
    <w:link w:val="FootnoteTextChar"/>
    <w:unhideWhenUsed/>
    <w:rsid w:val="00B353CF"/>
    <w:pPr>
      <w:spacing w:line="48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4376A9"/>
    <w:rPr>
      <w:rFonts w:ascii="Calibri" w:eastAsia="Calibri" w:hAnsi="Calibri" w:cs="Times New Roman"/>
      <w:sz w:val="20"/>
      <w:szCs w:val="20"/>
    </w:rPr>
  </w:style>
  <w:style w:type="character" w:styleId="FootnoteReference">
    <w:name w:val="footnote reference"/>
    <w:uiPriority w:val="99"/>
    <w:rsid w:val="004376A9"/>
    <w:rPr>
      <w:vertAlign w:val="superscript"/>
    </w:rPr>
  </w:style>
  <w:style w:type="character" w:customStyle="1" w:styleId="Heading1Char">
    <w:name w:val="Heading 1 Char"/>
    <w:basedOn w:val="DefaultParagraphFont"/>
    <w:link w:val="Heading1"/>
    <w:uiPriority w:val="9"/>
    <w:rsid w:val="007A2488"/>
    <w:rPr>
      <w:rFonts w:ascii="Times New Roman" w:eastAsiaTheme="majorEastAsia" w:hAnsi="Times New Roman" w:cstheme="majorBidi"/>
      <w:b/>
      <w:bCs/>
      <w:caps/>
      <w:color w:val="6D0000"/>
      <w:sz w:val="28"/>
      <w:szCs w:val="28"/>
    </w:rPr>
  </w:style>
  <w:style w:type="paragraph" w:customStyle="1" w:styleId="ExhibitTitle">
    <w:name w:val="Exhibit Title"/>
    <w:basedOn w:val="Normal"/>
    <w:link w:val="ExhibitTitleChar"/>
    <w:qFormat/>
    <w:rsid w:val="00B353CF"/>
    <w:pPr>
      <w:keepNext/>
      <w:spacing w:after="120"/>
      <w:jc w:val="center"/>
    </w:pPr>
    <w:rPr>
      <w:rFonts w:eastAsia="Calibri" w:cs="Times New Roman"/>
      <w:b/>
      <w:noProof/>
    </w:rPr>
  </w:style>
  <w:style w:type="character" w:customStyle="1" w:styleId="ExhibitTitleChar">
    <w:name w:val="Exhibit Title Char"/>
    <w:link w:val="ExhibitTitle"/>
    <w:rsid w:val="00A21875"/>
    <w:rPr>
      <w:rFonts w:ascii="Times New Roman" w:eastAsia="Calibri" w:hAnsi="Times New Roman" w:cs="Times New Roman"/>
      <w:b/>
      <w:noProof/>
      <w:sz w:val="24"/>
    </w:rPr>
  </w:style>
  <w:style w:type="table" w:customStyle="1" w:styleId="TableGrid1">
    <w:name w:val="Table Grid1"/>
    <w:basedOn w:val="TableNormal"/>
    <w:next w:val="TableGrid"/>
    <w:uiPriority w:val="59"/>
    <w:rsid w:val="00FC0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C0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53CF"/>
    <w:rPr>
      <w:rFonts w:ascii="Tahoma" w:hAnsi="Tahoma" w:cs="Tahoma"/>
      <w:sz w:val="16"/>
      <w:szCs w:val="16"/>
    </w:rPr>
  </w:style>
  <w:style w:type="character" w:customStyle="1" w:styleId="BalloonTextChar">
    <w:name w:val="Balloon Text Char"/>
    <w:basedOn w:val="DefaultParagraphFont"/>
    <w:link w:val="BalloonText"/>
    <w:uiPriority w:val="99"/>
    <w:semiHidden/>
    <w:rsid w:val="00163A2D"/>
    <w:rPr>
      <w:rFonts w:ascii="Tahoma" w:hAnsi="Tahoma" w:cs="Tahoma"/>
      <w:sz w:val="16"/>
      <w:szCs w:val="16"/>
    </w:rPr>
  </w:style>
  <w:style w:type="paragraph" w:styleId="Header">
    <w:name w:val="header"/>
    <w:basedOn w:val="Normal"/>
    <w:link w:val="HeaderChar"/>
    <w:uiPriority w:val="99"/>
    <w:unhideWhenUsed/>
    <w:rsid w:val="00B353CF"/>
    <w:pPr>
      <w:tabs>
        <w:tab w:val="center" w:pos="4680"/>
        <w:tab w:val="right" w:pos="9360"/>
      </w:tabs>
    </w:pPr>
  </w:style>
  <w:style w:type="character" w:customStyle="1" w:styleId="HeaderChar">
    <w:name w:val="Header Char"/>
    <w:basedOn w:val="DefaultParagraphFont"/>
    <w:link w:val="Header"/>
    <w:uiPriority w:val="99"/>
    <w:rsid w:val="00D07BC3"/>
    <w:rPr>
      <w:rFonts w:ascii="Times New Roman" w:hAnsi="Times New Roman"/>
      <w:sz w:val="24"/>
    </w:rPr>
  </w:style>
  <w:style w:type="paragraph" w:styleId="Footer">
    <w:name w:val="footer"/>
    <w:basedOn w:val="Normal"/>
    <w:link w:val="FooterChar"/>
    <w:unhideWhenUsed/>
    <w:rsid w:val="00B353CF"/>
    <w:pPr>
      <w:tabs>
        <w:tab w:val="center" w:pos="4680"/>
        <w:tab w:val="right" w:pos="9360"/>
      </w:tabs>
    </w:pPr>
  </w:style>
  <w:style w:type="character" w:customStyle="1" w:styleId="FooterChar">
    <w:name w:val="Footer Char"/>
    <w:basedOn w:val="DefaultParagraphFont"/>
    <w:link w:val="Footer"/>
    <w:rsid w:val="00D07BC3"/>
    <w:rPr>
      <w:rFonts w:ascii="Times New Roman" w:hAnsi="Times New Roman"/>
      <w:sz w:val="24"/>
    </w:rPr>
  </w:style>
  <w:style w:type="paragraph" w:customStyle="1" w:styleId="Bullet">
    <w:name w:val="Bullet"/>
    <w:basedOn w:val="ListParagraph"/>
    <w:uiPriority w:val="99"/>
    <w:qFormat/>
    <w:rsid w:val="00B353CF"/>
    <w:pPr>
      <w:autoSpaceDE w:val="0"/>
      <w:autoSpaceDN w:val="0"/>
      <w:adjustRightInd w:val="0"/>
      <w:spacing w:after="120"/>
      <w:ind w:left="0"/>
      <w:contextualSpacing w:val="0"/>
    </w:pPr>
    <w:rPr>
      <w:rFonts w:eastAsia="Times New Roman" w:cs="Times New Roman"/>
      <w:iCs/>
      <w:szCs w:val="24"/>
    </w:rPr>
  </w:style>
  <w:style w:type="character" w:styleId="Hyperlink">
    <w:name w:val="Hyperlink"/>
    <w:uiPriority w:val="99"/>
    <w:unhideWhenUsed/>
    <w:rsid w:val="008F0EB8"/>
    <w:rPr>
      <w:color w:val="0000FF"/>
      <w:u w:val="single"/>
    </w:rPr>
  </w:style>
  <w:style w:type="paragraph" w:styleId="TOCHeading">
    <w:name w:val="TOC Heading"/>
    <w:basedOn w:val="Heading1"/>
    <w:next w:val="Normal"/>
    <w:uiPriority w:val="39"/>
    <w:semiHidden/>
    <w:unhideWhenUsed/>
    <w:qFormat/>
    <w:rsid w:val="00B353CF"/>
    <w:pPr>
      <w:outlineLvl w:val="9"/>
    </w:pPr>
    <w:rPr>
      <w:lang w:eastAsia="ja-JP"/>
    </w:rPr>
  </w:style>
  <w:style w:type="paragraph" w:styleId="TOC2">
    <w:name w:val="toc 2"/>
    <w:basedOn w:val="Normal"/>
    <w:next w:val="Normal"/>
    <w:autoRedefine/>
    <w:uiPriority w:val="39"/>
    <w:unhideWhenUsed/>
    <w:rsid w:val="00A462C4"/>
    <w:pPr>
      <w:tabs>
        <w:tab w:val="left" w:pos="360"/>
        <w:tab w:val="right" w:leader="dot" w:pos="9350"/>
      </w:tabs>
      <w:spacing w:before="120"/>
      <w:ind w:left="360" w:hanging="360"/>
    </w:pPr>
    <w:rPr>
      <w:b/>
      <w:noProof/>
      <w:color w:val="660000"/>
    </w:rPr>
  </w:style>
  <w:style w:type="paragraph" w:styleId="TOC3">
    <w:name w:val="toc 3"/>
    <w:basedOn w:val="Normal"/>
    <w:next w:val="Normal"/>
    <w:autoRedefine/>
    <w:uiPriority w:val="39"/>
    <w:unhideWhenUsed/>
    <w:rsid w:val="00B353CF"/>
    <w:pPr>
      <w:spacing w:after="100"/>
      <w:ind w:left="440"/>
    </w:pPr>
  </w:style>
  <w:style w:type="paragraph" w:styleId="TOC1">
    <w:name w:val="toc 1"/>
    <w:basedOn w:val="Normal"/>
    <w:next w:val="Normal"/>
    <w:autoRedefine/>
    <w:uiPriority w:val="39"/>
    <w:unhideWhenUsed/>
    <w:rsid w:val="00CD1435"/>
    <w:pPr>
      <w:tabs>
        <w:tab w:val="right" w:leader="dot" w:pos="9350"/>
      </w:tabs>
      <w:spacing w:after="120"/>
      <w:ind w:left="360" w:hanging="360"/>
      <w:jc w:val="right"/>
    </w:pPr>
    <w:rPr>
      <w:b/>
      <w:noProof/>
    </w:rPr>
  </w:style>
  <w:style w:type="paragraph" w:customStyle="1" w:styleId="Gnormal">
    <w:name w:val="G_normal"/>
    <w:basedOn w:val="Normal"/>
    <w:link w:val="GnormalChar"/>
    <w:uiPriority w:val="99"/>
    <w:rsid w:val="00B353CF"/>
    <w:pPr>
      <w:tabs>
        <w:tab w:val="left" w:pos="432"/>
      </w:tabs>
      <w:ind w:firstLine="432"/>
    </w:pPr>
    <w:rPr>
      <w:rFonts w:ascii="Garamond" w:eastAsia="Times New Roman" w:hAnsi="Garamond" w:cs="Times New Roman"/>
      <w:szCs w:val="20"/>
    </w:rPr>
  </w:style>
  <w:style w:type="paragraph" w:customStyle="1" w:styleId="Gbullet">
    <w:name w:val="G_bullet"/>
    <w:rsid w:val="00FE6618"/>
    <w:pPr>
      <w:numPr>
        <w:numId w:val="7"/>
      </w:numPr>
      <w:tabs>
        <w:tab w:val="left" w:pos="360"/>
      </w:tabs>
      <w:spacing w:after="240" w:line="240" w:lineRule="auto"/>
      <w:ind w:right="432"/>
      <w:jc w:val="both"/>
    </w:pPr>
    <w:rPr>
      <w:rFonts w:ascii="Garamond" w:eastAsia="Times New Roman" w:hAnsi="Garamond" w:cs="Times New Roman"/>
      <w:sz w:val="24"/>
      <w:szCs w:val="20"/>
    </w:rPr>
  </w:style>
  <w:style w:type="character" w:customStyle="1" w:styleId="GnormalChar">
    <w:name w:val="G_normal Char"/>
    <w:basedOn w:val="DefaultParagraphFont"/>
    <w:link w:val="Gnormal"/>
    <w:uiPriority w:val="99"/>
    <w:rsid w:val="00FE6618"/>
    <w:rPr>
      <w:rFonts w:ascii="Garamond" w:eastAsia="Times New Roman" w:hAnsi="Garamond" w:cs="Times New Roman"/>
      <w:sz w:val="24"/>
      <w:szCs w:val="20"/>
    </w:rPr>
  </w:style>
  <w:style w:type="paragraph" w:customStyle="1" w:styleId="GHead3letter">
    <w:name w:val="G_Head 3 letter"/>
    <w:basedOn w:val="Normal"/>
    <w:next w:val="Gnormal"/>
    <w:rsid w:val="00B353CF"/>
    <w:pPr>
      <w:keepNext/>
      <w:keepLines/>
      <w:tabs>
        <w:tab w:val="left" w:pos="432"/>
      </w:tabs>
      <w:spacing w:before="120" w:after="180"/>
      <w:ind w:left="432" w:hanging="432"/>
    </w:pPr>
    <w:rPr>
      <w:rFonts w:ascii="Garamond" w:eastAsia="Times New Roman" w:hAnsi="Garamond" w:cs="Times New Roman"/>
      <w:b/>
      <w:szCs w:val="20"/>
    </w:rPr>
  </w:style>
  <w:style w:type="character" w:styleId="PlaceholderText">
    <w:name w:val="Placeholder Text"/>
    <w:basedOn w:val="DefaultParagraphFont"/>
    <w:uiPriority w:val="99"/>
    <w:semiHidden/>
    <w:rsid w:val="003C60CB"/>
    <w:rPr>
      <w:color w:val="808080"/>
    </w:rPr>
  </w:style>
  <w:style w:type="paragraph" w:customStyle="1" w:styleId="BulletedList">
    <w:name w:val="Bulleted List"/>
    <w:basedOn w:val="ListBullet"/>
    <w:link w:val="BulletedListChar"/>
    <w:qFormat/>
    <w:rsid w:val="00B353CF"/>
    <w:pPr>
      <w:numPr>
        <w:numId w:val="0"/>
      </w:numPr>
      <w:tabs>
        <w:tab w:val="left" w:pos="720"/>
      </w:tabs>
      <w:spacing w:before="120"/>
      <w:ind w:left="720" w:hanging="360"/>
      <w:contextualSpacing w:val="0"/>
    </w:pPr>
  </w:style>
  <w:style w:type="character" w:customStyle="1" w:styleId="BulletedListChar">
    <w:name w:val="Bulleted List Char"/>
    <w:basedOn w:val="DefaultParagraphFont"/>
    <w:link w:val="BulletedList"/>
    <w:rsid w:val="00147F52"/>
    <w:rPr>
      <w:rFonts w:ascii="Times New Roman" w:hAnsi="Times New Roman"/>
      <w:sz w:val="24"/>
    </w:rPr>
  </w:style>
  <w:style w:type="paragraph" w:styleId="ListBullet">
    <w:name w:val="List Bullet"/>
    <w:basedOn w:val="Normal"/>
    <w:uiPriority w:val="99"/>
    <w:semiHidden/>
    <w:unhideWhenUsed/>
    <w:rsid w:val="00B353CF"/>
    <w:pPr>
      <w:numPr>
        <w:numId w:val="19"/>
      </w:numPr>
      <w:contextualSpacing/>
    </w:pPr>
  </w:style>
  <w:style w:type="paragraph" w:styleId="NoSpacing">
    <w:name w:val="No Spacing"/>
    <w:uiPriority w:val="1"/>
    <w:qFormat/>
    <w:rsid w:val="004D685A"/>
    <w:pPr>
      <w:spacing w:after="0" w:line="240" w:lineRule="auto"/>
      <w:jc w:val="both"/>
    </w:pPr>
    <w:rPr>
      <w:sz w:val="24"/>
    </w:rPr>
  </w:style>
  <w:style w:type="paragraph" w:customStyle="1" w:styleId="NormalSS">
    <w:name w:val="NormalSS"/>
    <w:basedOn w:val="Normal"/>
    <w:rsid w:val="00B353CF"/>
    <w:pPr>
      <w:tabs>
        <w:tab w:val="left" w:pos="432"/>
      </w:tabs>
      <w:ind w:firstLine="432"/>
    </w:pPr>
    <w:rPr>
      <w:rFonts w:eastAsia="Times New Roman" w:cs="Times New Roman"/>
      <w:szCs w:val="20"/>
    </w:rPr>
  </w:style>
  <w:style w:type="character" w:styleId="CommentReference">
    <w:name w:val="annotation reference"/>
    <w:basedOn w:val="DefaultParagraphFont"/>
    <w:uiPriority w:val="99"/>
    <w:semiHidden/>
    <w:unhideWhenUsed/>
    <w:rsid w:val="00432CFF"/>
    <w:rPr>
      <w:sz w:val="16"/>
      <w:szCs w:val="16"/>
    </w:rPr>
  </w:style>
  <w:style w:type="paragraph" w:styleId="CommentText">
    <w:name w:val="annotation text"/>
    <w:basedOn w:val="Normal"/>
    <w:link w:val="CommentTextChar"/>
    <w:uiPriority w:val="99"/>
    <w:unhideWhenUsed/>
    <w:rsid w:val="00B353CF"/>
    <w:rPr>
      <w:sz w:val="20"/>
      <w:szCs w:val="20"/>
    </w:rPr>
  </w:style>
  <w:style w:type="character" w:customStyle="1" w:styleId="CommentTextChar">
    <w:name w:val="Comment Text Char"/>
    <w:basedOn w:val="DefaultParagraphFont"/>
    <w:link w:val="CommentText"/>
    <w:uiPriority w:val="99"/>
    <w:rsid w:val="00432CF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53CF"/>
    <w:rPr>
      <w:b/>
      <w:bCs/>
    </w:rPr>
  </w:style>
  <w:style w:type="character" w:customStyle="1" w:styleId="CommentSubjectChar">
    <w:name w:val="Comment Subject Char"/>
    <w:basedOn w:val="CommentTextChar"/>
    <w:link w:val="CommentSubject"/>
    <w:uiPriority w:val="99"/>
    <w:semiHidden/>
    <w:rsid w:val="00432CFF"/>
    <w:rPr>
      <w:rFonts w:ascii="Times New Roman" w:hAnsi="Times New Roman"/>
      <w:b/>
      <w:bCs/>
      <w:sz w:val="20"/>
      <w:szCs w:val="20"/>
    </w:rPr>
  </w:style>
  <w:style w:type="paragraph" w:customStyle="1" w:styleId="default0">
    <w:name w:val="default"/>
    <w:basedOn w:val="Normal"/>
    <w:uiPriority w:val="99"/>
    <w:rsid w:val="00B353CF"/>
    <w:pPr>
      <w:jc w:val="left"/>
    </w:pPr>
    <w:rPr>
      <w:rFonts w:cs="Times New Roman"/>
      <w:szCs w:val="24"/>
    </w:rPr>
  </w:style>
  <w:style w:type="character" w:customStyle="1" w:styleId="Heading4Char">
    <w:name w:val="Heading 4 Char"/>
    <w:basedOn w:val="DefaultParagraphFont"/>
    <w:link w:val="Heading4"/>
    <w:uiPriority w:val="9"/>
    <w:rsid w:val="00DA0844"/>
    <w:rPr>
      <w:rFonts w:ascii="Times New Roman" w:eastAsiaTheme="majorEastAsia" w:hAnsi="Times New Roman" w:cstheme="majorBidi"/>
      <w:b/>
      <w:bCs/>
      <w:i/>
      <w:sz w:val="24"/>
    </w:rPr>
  </w:style>
  <w:style w:type="paragraph" w:customStyle="1" w:styleId="BulletLAST">
    <w:name w:val="Bullet (LAST)"/>
    <w:next w:val="Normal"/>
    <w:uiPriority w:val="99"/>
    <w:rsid w:val="00880021"/>
    <w:pPr>
      <w:numPr>
        <w:numId w:val="29"/>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B353CF"/>
    <w:pPr>
      <w:tabs>
        <w:tab w:val="left" w:pos="432"/>
      </w:tabs>
      <w:spacing w:line="480" w:lineRule="auto"/>
      <w:ind w:firstLine="432"/>
    </w:pPr>
    <w:rPr>
      <w:rFonts w:eastAsia="Times New Roman" w:cs="Times New Roman"/>
      <w:szCs w:val="20"/>
    </w:rPr>
  </w:style>
  <w:style w:type="paragraph" w:customStyle="1" w:styleId="Center">
    <w:name w:val="Center"/>
    <w:basedOn w:val="Normal"/>
    <w:rsid w:val="00880021"/>
    <w:pPr>
      <w:tabs>
        <w:tab w:val="left" w:pos="432"/>
      </w:tabs>
      <w:spacing w:line="480" w:lineRule="auto"/>
      <w:jc w:val="center"/>
    </w:pPr>
    <w:rPr>
      <w:rFonts w:eastAsia="Times New Roman" w:cs="Times New Roman"/>
      <w:szCs w:val="20"/>
    </w:rPr>
  </w:style>
  <w:style w:type="paragraph" w:customStyle="1" w:styleId="NumberedBullet">
    <w:name w:val="Numbered Bullet"/>
    <w:uiPriority w:val="99"/>
    <w:rsid w:val="00880021"/>
    <w:pPr>
      <w:numPr>
        <w:numId w:val="30"/>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B353CF"/>
    <w:pPr>
      <w:tabs>
        <w:tab w:val="left" w:pos="432"/>
      </w:tabs>
      <w:spacing w:line="480" w:lineRule="auto"/>
      <w:ind w:firstLine="432"/>
    </w:pPr>
    <w:rPr>
      <w:rFonts w:eastAsia="Times New Roman" w:cs="Times New Roman"/>
      <w:szCs w:val="20"/>
    </w:rPr>
  </w:style>
  <w:style w:type="paragraph" w:customStyle="1" w:styleId="MediumGrid1-Accent21">
    <w:name w:val="Medium Grid 1 - Accent 21"/>
    <w:basedOn w:val="Normal"/>
    <w:uiPriority w:val="99"/>
    <w:rsid w:val="00B353CF"/>
    <w:pPr>
      <w:ind w:left="720"/>
      <w:contextualSpacing/>
      <w:jc w:val="left"/>
    </w:pPr>
    <w:rPr>
      <w:rFonts w:ascii="Cambria" w:eastAsia="Times New Roman" w:hAnsi="Cambria" w:cs="Times New Roman"/>
      <w:sz w:val="22"/>
    </w:rPr>
  </w:style>
  <w:style w:type="character" w:customStyle="1" w:styleId="medium-font">
    <w:name w:val="medium-font"/>
    <w:basedOn w:val="DefaultParagraphFont"/>
    <w:rsid w:val="00880021"/>
  </w:style>
  <w:style w:type="character" w:customStyle="1" w:styleId="apple-style-span">
    <w:name w:val="apple-style-span"/>
    <w:basedOn w:val="DefaultParagraphFont"/>
    <w:rsid w:val="00880021"/>
  </w:style>
  <w:style w:type="character" w:customStyle="1" w:styleId="author">
    <w:name w:val="author"/>
    <w:basedOn w:val="DefaultParagraphFont"/>
    <w:rsid w:val="00880021"/>
  </w:style>
  <w:style w:type="character" w:customStyle="1" w:styleId="apple-converted-space">
    <w:name w:val="apple-converted-space"/>
    <w:basedOn w:val="DefaultParagraphFont"/>
    <w:rsid w:val="00880021"/>
  </w:style>
  <w:style w:type="character" w:styleId="Strong">
    <w:name w:val="Strong"/>
    <w:basedOn w:val="DefaultParagraphFont"/>
    <w:uiPriority w:val="22"/>
    <w:qFormat/>
    <w:rsid w:val="00880021"/>
    <w:rPr>
      <w:b/>
      <w:bCs/>
    </w:rPr>
  </w:style>
  <w:style w:type="character" w:styleId="PageNumber">
    <w:name w:val="page number"/>
    <w:basedOn w:val="DefaultParagraphFont"/>
    <w:semiHidden/>
    <w:rsid w:val="007506FD"/>
    <w:rPr>
      <w:rFonts w:cs="Times New Roman"/>
    </w:rPr>
  </w:style>
  <w:style w:type="paragraph" w:customStyle="1" w:styleId="References">
    <w:name w:val="References"/>
    <w:basedOn w:val="Normal"/>
    <w:next w:val="Normal"/>
    <w:rsid w:val="00B353CF"/>
    <w:pPr>
      <w:tabs>
        <w:tab w:val="left" w:pos="432"/>
      </w:tabs>
      <w:ind w:left="432" w:hanging="432"/>
    </w:pPr>
    <w:rPr>
      <w:rFonts w:eastAsia="Times New Roman" w:cs="Times New Roman"/>
      <w:szCs w:val="20"/>
    </w:rPr>
  </w:style>
  <w:style w:type="character" w:customStyle="1" w:styleId="e-03">
    <w:name w:val="e-03"/>
    <w:basedOn w:val="DefaultParagraphFont"/>
    <w:rsid w:val="007506FD"/>
    <w:rPr>
      <w:rFonts w:cs="Times New Roman"/>
    </w:rPr>
  </w:style>
  <w:style w:type="paragraph" w:customStyle="1" w:styleId="Greferences">
    <w:name w:val="G_references"/>
    <w:basedOn w:val="Normal"/>
    <w:rsid w:val="00B353CF"/>
    <w:pPr>
      <w:tabs>
        <w:tab w:val="left" w:pos="432"/>
      </w:tabs>
      <w:ind w:left="432" w:hanging="432"/>
      <w:jc w:val="left"/>
    </w:pPr>
    <w:rPr>
      <w:rFonts w:ascii="Garamond" w:eastAsia="Times New Roman" w:hAnsi="Garamond" w:cs="Times New Roman"/>
      <w:szCs w:val="20"/>
    </w:rPr>
  </w:style>
  <w:style w:type="paragraph" w:customStyle="1" w:styleId="CaptionTitle">
    <w:name w:val="Caption Title"/>
    <w:basedOn w:val="Caption"/>
    <w:link w:val="CaptionTitleChar"/>
    <w:qFormat/>
    <w:rsid w:val="0042128E"/>
    <w:pPr>
      <w:keepNext/>
      <w:spacing w:after="120"/>
      <w:jc w:val="center"/>
    </w:pPr>
    <w:rPr>
      <w:rFonts w:cs="Times New Roman"/>
      <w:color w:val="auto"/>
      <w:sz w:val="24"/>
    </w:rPr>
  </w:style>
  <w:style w:type="paragraph" w:customStyle="1" w:styleId="ExhibitNote">
    <w:name w:val="Exhibit Note"/>
    <w:basedOn w:val="Normal"/>
    <w:link w:val="ExhibitNoteChar"/>
    <w:qFormat/>
    <w:rsid w:val="00B353CF"/>
    <w:pPr>
      <w:keepLines/>
      <w:spacing w:line="276" w:lineRule="auto"/>
    </w:pPr>
    <w:rPr>
      <w:rFonts w:cs="Times New Roman"/>
      <w:color w:val="000000"/>
      <w:sz w:val="20"/>
      <w:szCs w:val="20"/>
    </w:rPr>
  </w:style>
  <w:style w:type="character" w:customStyle="1" w:styleId="CaptionTitleChar">
    <w:name w:val="Caption Title Char"/>
    <w:basedOn w:val="DefaultParagraphFont"/>
    <w:link w:val="CaptionTitle"/>
    <w:rsid w:val="0042128E"/>
    <w:rPr>
      <w:rFonts w:ascii="Times New Roman" w:hAnsi="Times New Roman" w:cs="Times New Roman"/>
      <w:b/>
      <w:bCs/>
      <w:sz w:val="24"/>
      <w:szCs w:val="18"/>
    </w:rPr>
  </w:style>
  <w:style w:type="character" w:customStyle="1" w:styleId="ExhibitNoteChar">
    <w:name w:val="Exhibit Note Char"/>
    <w:basedOn w:val="DefaultParagraphFont"/>
    <w:link w:val="ExhibitNote"/>
    <w:rsid w:val="00A86442"/>
    <w:rPr>
      <w:rFonts w:ascii="Times New Roman" w:hAnsi="Times New Roman" w:cs="Times New Roman"/>
      <w:color w:val="000000"/>
      <w:sz w:val="20"/>
      <w:szCs w:val="20"/>
    </w:rPr>
  </w:style>
  <w:style w:type="paragraph" w:styleId="Caption">
    <w:name w:val="caption"/>
    <w:basedOn w:val="Normal"/>
    <w:next w:val="Normal"/>
    <w:uiPriority w:val="35"/>
    <w:unhideWhenUsed/>
    <w:qFormat/>
    <w:rsid w:val="00B353CF"/>
    <w:pPr>
      <w:spacing w:after="200"/>
    </w:pPr>
    <w:rPr>
      <w:b/>
      <w:bCs/>
      <w:color w:val="4F81BD" w:themeColor="accent1"/>
      <w:sz w:val="18"/>
      <w:szCs w:val="18"/>
    </w:rPr>
  </w:style>
  <w:style w:type="paragraph" w:customStyle="1" w:styleId="FootNote">
    <w:name w:val="Foot Note"/>
    <w:basedOn w:val="FootnoteText"/>
    <w:link w:val="FootNoteChar"/>
    <w:qFormat/>
    <w:rsid w:val="00A86442"/>
    <w:pPr>
      <w:spacing w:line="240" w:lineRule="auto"/>
    </w:pPr>
    <w:rPr>
      <w:rFonts w:ascii="Times New Roman" w:hAnsi="Times New Roman"/>
    </w:rPr>
  </w:style>
  <w:style w:type="character" w:customStyle="1" w:styleId="FootNoteChar">
    <w:name w:val="Foot Note Char"/>
    <w:basedOn w:val="FootnoteTextChar"/>
    <w:link w:val="FootNote"/>
    <w:rsid w:val="00A86442"/>
    <w:rPr>
      <w:rFonts w:ascii="Times New Roman" w:eastAsia="Calibri" w:hAnsi="Times New Roman" w:cs="Times New Roman"/>
      <w:sz w:val="20"/>
      <w:szCs w:val="20"/>
    </w:rPr>
  </w:style>
  <w:style w:type="paragraph" w:styleId="Revision">
    <w:name w:val="Revision"/>
    <w:hidden/>
    <w:uiPriority w:val="99"/>
    <w:semiHidden/>
    <w:rsid w:val="008E30D4"/>
    <w:pPr>
      <w:spacing w:after="0" w:line="240" w:lineRule="auto"/>
    </w:pPr>
    <w:rPr>
      <w:rFonts w:ascii="Times New Roman" w:hAnsi="Times New Roman"/>
      <w:sz w:val="24"/>
    </w:rPr>
  </w:style>
  <w:style w:type="paragraph" w:styleId="BodyText">
    <w:name w:val="Body Text"/>
    <w:basedOn w:val="Normal"/>
    <w:link w:val="BodyTextChar"/>
    <w:rsid w:val="001C1F80"/>
    <w:pPr>
      <w:tabs>
        <w:tab w:val="left" w:pos="720"/>
        <w:tab w:val="left" w:pos="1080"/>
        <w:tab w:val="left" w:pos="1440"/>
        <w:tab w:val="left" w:pos="1800"/>
      </w:tabs>
      <w:spacing w:line="264" w:lineRule="auto"/>
      <w:jc w:val="left"/>
    </w:pPr>
    <w:rPr>
      <w:rFonts w:eastAsia="Times New Roman" w:cs="Times New Roman"/>
      <w:szCs w:val="20"/>
    </w:rPr>
  </w:style>
  <w:style w:type="character" w:customStyle="1" w:styleId="BodyTextChar">
    <w:name w:val="Body Text Char"/>
    <w:basedOn w:val="DefaultParagraphFont"/>
    <w:link w:val="BodyText"/>
    <w:rsid w:val="001C1F8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09180">
      <w:bodyDiv w:val="1"/>
      <w:marLeft w:val="0"/>
      <w:marRight w:val="0"/>
      <w:marTop w:val="0"/>
      <w:marBottom w:val="0"/>
      <w:divBdr>
        <w:top w:val="none" w:sz="0" w:space="0" w:color="auto"/>
        <w:left w:val="none" w:sz="0" w:space="0" w:color="auto"/>
        <w:bottom w:val="none" w:sz="0" w:space="0" w:color="auto"/>
        <w:right w:val="none" w:sz="0" w:space="0" w:color="auto"/>
      </w:divBdr>
    </w:div>
    <w:div w:id="556553585">
      <w:bodyDiv w:val="1"/>
      <w:marLeft w:val="0"/>
      <w:marRight w:val="0"/>
      <w:marTop w:val="0"/>
      <w:marBottom w:val="0"/>
      <w:divBdr>
        <w:top w:val="none" w:sz="0" w:space="0" w:color="auto"/>
        <w:left w:val="none" w:sz="0" w:space="0" w:color="auto"/>
        <w:bottom w:val="none" w:sz="0" w:space="0" w:color="auto"/>
        <w:right w:val="none" w:sz="0" w:space="0" w:color="auto"/>
      </w:divBdr>
    </w:div>
    <w:div w:id="645165984">
      <w:bodyDiv w:val="1"/>
      <w:marLeft w:val="0"/>
      <w:marRight w:val="0"/>
      <w:marTop w:val="0"/>
      <w:marBottom w:val="0"/>
      <w:divBdr>
        <w:top w:val="none" w:sz="0" w:space="0" w:color="auto"/>
        <w:left w:val="none" w:sz="0" w:space="0" w:color="auto"/>
        <w:bottom w:val="none" w:sz="0" w:space="0" w:color="auto"/>
        <w:right w:val="none" w:sz="0" w:space="0" w:color="auto"/>
      </w:divBdr>
    </w:div>
    <w:div w:id="741952613">
      <w:bodyDiv w:val="1"/>
      <w:marLeft w:val="0"/>
      <w:marRight w:val="0"/>
      <w:marTop w:val="0"/>
      <w:marBottom w:val="0"/>
      <w:divBdr>
        <w:top w:val="none" w:sz="0" w:space="0" w:color="auto"/>
        <w:left w:val="none" w:sz="0" w:space="0" w:color="auto"/>
        <w:bottom w:val="none" w:sz="0" w:space="0" w:color="auto"/>
        <w:right w:val="none" w:sz="0" w:space="0" w:color="auto"/>
      </w:divBdr>
    </w:div>
    <w:div w:id="842083843">
      <w:bodyDiv w:val="1"/>
      <w:marLeft w:val="0"/>
      <w:marRight w:val="0"/>
      <w:marTop w:val="0"/>
      <w:marBottom w:val="0"/>
      <w:divBdr>
        <w:top w:val="none" w:sz="0" w:space="0" w:color="auto"/>
        <w:left w:val="none" w:sz="0" w:space="0" w:color="auto"/>
        <w:bottom w:val="none" w:sz="0" w:space="0" w:color="auto"/>
        <w:right w:val="none" w:sz="0" w:space="0" w:color="auto"/>
      </w:divBdr>
    </w:div>
    <w:div w:id="971977819">
      <w:bodyDiv w:val="1"/>
      <w:marLeft w:val="0"/>
      <w:marRight w:val="0"/>
      <w:marTop w:val="0"/>
      <w:marBottom w:val="0"/>
      <w:divBdr>
        <w:top w:val="none" w:sz="0" w:space="0" w:color="auto"/>
        <w:left w:val="none" w:sz="0" w:space="0" w:color="auto"/>
        <w:bottom w:val="none" w:sz="0" w:space="0" w:color="auto"/>
        <w:right w:val="none" w:sz="0" w:space="0" w:color="auto"/>
      </w:divBdr>
    </w:div>
    <w:div w:id="1061253813">
      <w:bodyDiv w:val="1"/>
      <w:marLeft w:val="0"/>
      <w:marRight w:val="0"/>
      <w:marTop w:val="0"/>
      <w:marBottom w:val="0"/>
      <w:divBdr>
        <w:top w:val="none" w:sz="0" w:space="0" w:color="auto"/>
        <w:left w:val="none" w:sz="0" w:space="0" w:color="auto"/>
        <w:bottom w:val="none" w:sz="0" w:space="0" w:color="auto"/>
        <w:right w:val="none" w:sz="0" w:space="0" w:color="auto"/>
      </w:divBdr>
    </w:div>
    <w:div w:id="1158225607">
      <w:bodyDiv w:val="1"/>
      <w:marLeft w:val="0"/>
      <w:marRight w:val="0"/>
      <w:marTop w:val="0"/>
      <w:marBottom w:val="0"/>
      <w:divBdr>
        <w:top w:val="none" w:sz="0" w:space="0" w:color="auto"/>
        <w:left w:val="none" w:sz="0" w:space="0" w:color="auto"/>
        <w:bottom w:val="none" w:sz="0" w:space="0" w:color="auto"/>
        <w:right w:val="none" w:sz="0" w:space="0" w:color="auto"/>
      </w:divBdr>
    </w:div>
    <w:div w:id="16101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oleObject" Target="embeddings/oleObject2.bin"/><Relationship Id="rId1" Type="http://schemas.openxmlformats.org/officeDocument/2006/relationships/image" Target="media/image2.wmf"/><Relationship Id="rId4" Type="http://schemas.openxmlformats.org/officeDocument/2006/relationships/oleObject" Target="embeddings/oleObject3.bin"/></Relationships>
</file>

<file path=word/charts/_rels/chart1.xml.rels><?xml version="1.0" encoding="UTF-8" standalone="yes"?>
<Relationships xmlns="http://schemas.openxmlformats.org/package/2006/relationships"><Relationship Id="rId1" Type="http://schemas.openxmlformats.org/officeDocument/2006/relationships/oleObject" Target="file:///\\afsv02\Research\DOL%20Master\DOL_ETA_Short-Time%20Compensation\Deliverables\Nov%202012%20Evaluation%20Design%20Memo\Exhibits\Tables1%20to%20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48840769903974"/>
          <c:y val="5.1400554097404488E-2"/>
          <c:w val="0.82668547681540505"/>
          <c:h val="0.8326195683872849"/>
        </c:manualLayout>
      </c:layout>
      <c:lineChart>
        <c:grouping val="standard"/>
        <c:varyColors val="0"/>
        <c:ser>
          <c:idx val="1"/>
          <c:order val="0"/>
          <c:tx>
            <c:strRef>
              <c:f>'Table 1'!$B$2</c:f>
              <c:strCache>
                <c:ptCount val="1"/>
                <c:pt idx="0">
                  <c:v>Total Amount of First STC Payments</c:v>
                </c:pt>
              </c:strCache>
            </c:strRef>
          </c:tx>
          <c:spPr>
            <a:ln>
              <a:solidFill>
                <a:srgbClr val="808000"/>
              </a:solidFill>
            </a:ln>
          </c:spPr>
          <c:marker>
            <c:symbol val="none"/>
          </c:marker>
          <c:cat>
            <c:numRef>
              <c:f>'Table 1'!$A$3:$A$19</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'Table 1'!$B$3:$B$19</c:f>
              <c:numCache>
                <c:formatCode>_(* #,##0_);_(* \(#,##0\);_(* "-"??_);_(@_)</c:formatCode>
                <c:ptCount val="17"/>
                <c:pt idx="0">
                  <c:v>45942</c:v>
                </c:pt>
                <c:pt idx="1">
                  <c:v>41567</c:v>
                </c:pt>
                <c:pt idx="2">
                  <c:v>33577</c:v>
                </c:pt>
                <c:pt idx="3">
                  <c:v>64331</c:v>
                </c:pt>
                <c:pt idx="4">
                  <c:v>36666</c:v>
                </c:pt>
                <c:pt idx="5">
                  <c:v>32916</c:v>
                </c:pt>
                <c:pt idx="6">
                  <c:v>122714</c:v>
                </c:pt>
                <c:pt idx="7">
                  <c:v>93797</c:v>
                </c:pt>
                <c:pt idx="8">
                  <c:v>83783</c:v>
                </c:pt>
                <c:pt idx="9">
                  <c:v>42209</c:v>
                </c:pt>
                <c:pt idx="10">
                  <c:v>40238</c:v>
                </c:pt>
                <c:pt idx="11">
                  <c:v>39854</c:v>
                </c:pt>
                <c:pt idx="12">
                  <c:v>49152</c:v>
                </c:pt>
                <c:pt idx="13">
                  <c:v>96388</c:v>
                </c:pt>
                <c:pt idx="14">
                  <c:v>288941</c:v>
                </c:pt>
                <c:pt idx="15">
                  <c:v>147591</c:v>
                </c:pt>
                <c:pt idx="16">
                  <c:v>106544</c:v>
                </c:pt>
              </c:numCache>
            </c:numRef>
          </c:val>
          <c:smooth val="0"/>
        </c:ser>
        <c:dLbls>
          <c:showLegendKey val="0"/>
          <c:showVal val="0"/>
          <c:showCatName val="0"/>
          <c:showSerName val="0"/>
          <c:showPercent val="0"/>
          <c:showBubbleSize val="0"/>
        </c:dLbls>
        <c:marker val="1"/>
        <c:smooth val="0"/>
        <c:axId val="96762112"/>
        <c:axId val="96923648"/>
      </c:lineChart>
      <c:lineChart>
        <c:grouping val="standard"/>
        <c:varyColors val="0"/>
        <c:ser>
          <c:idx val="3"/>
          <c:order val="1"/>
          <c:tx>
            <c:strRef>
              <c:f>'Table 1'!$D$2</c:f>
              <c:strCache>
                <c:ptCount val="1"/>
                <c:pt idx="0">
                  <c:v>Percentage  (%) of Total Amount of First STC Payments as a Share of Regular UI First Payments</c:v>
                </c:pt>
              </c:strCache>
            </c:strRef>
          </c:tx>
          <c:spPr>
            <a:ln>
              <a:solidFill>
                <a:srgbClr val="660000"/>
              </a:solidFill>
            </a:ln>
          </c:spPr>
          <c:marker>
            <c:symbol val="none"/>
          </c:marker>
          <c:cat>
            <c:numRef>
              <c:f>'Table 1'!$A$3:$A$19</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'Table 1'!$D$3:$D$19</c:f>
              <c:numCache>
                <c:formatCode>0.00%</c:formatCode>
                <c:ptCount val="17"/>
                <c:pt idx="0">
                  <c:v>5.7175648415684942E-3</c:v>
                </c:pt>
                <c:pt idx="1">
                  <c:v>5.1990366641714025E-3</c:v>
                </c:pt>
                <c:pt idx="2">
                  <c:v>4.5838325875180034E-3</c:v>
                </c:pt>
                <c:pt idx="3">
                  <c:v>8.762169699054875E-3</c:v>
                </c:pt>
                <c:pt idx="4">
                  <c:v>5.2621759397460319E-3</c:v>
                </c:pt>
                <c:pt idx="5">
                  <c:v>4.6783705523607017E-3</c:v>
                </c:pt>
                <c:pt idx="6">
                  <c:v>1.243529469704816E-2</c:v>
                </c:pt>
                <c:pt idx="7">
                  <c:v>9.2936694314401068E-3</c:v>
                </c:pt>
                <c:pt idx="8">
                  <c:v>8.4330235765932449E-3</c:v>
                </c:pt>
                <c:pt idx="9">
                  <c:v>5.0437210518385241E-3</c:v>
                </c:pt>
                <c:pt idx="10">
                  <c:v>5.0822875118679963E-3</c:v>
                </c:pt>
                <c:pt idx="11">
                  <c:v>5.4217714856774988E-3</c:v>
                </c:pt>
                <c:pt idx="12">
                  <c:v>6.4228865512188354E-3</c:v>
                </c:pt>
                <c:pt idx="13">
                  <c:v>9.5817369239232925E-3</c:v>
                </c:pt>
                <c:pt idx="14">
                  <c:v>2.0386977272416222E-2</c:v>
                </c:pt>
                <c:pt idx="15">
                  <c:v>1.3759389538087056E-2</c:v>
                </c:pt>
                <c:pt idx="16">
                  <c:v>1.1245408042370843E-2</c:v>
                </c:pt>
              </c:numCache>
            </c:numRef>
          </c:val>
          <c:smooth val="0"/>
        </c:ser>
        <c:dLbls>
          <c:showLegendKey val="0"/>
          <c:showVal val="0"/>
          <c:showCatName val="0"/>
          <c:showSerName val="0"/>
          <c:showPercent val="0"/>
          <c:showBubbleSize val="0"/>
        </c:dLbls>
        <c:marker val="1"/>
        <c:smooth val="0"/>
        <c:axId val="96926720"/>
        <c:axId val="96925184"/>
      </c:lineChart>
      <c:catAx>
        <c:axId val="96762112"/>
        <c:scaling>
          <c:orientation val="minMax"/>
        </c:scaling>
        <c:delete val="0"/>
        <c:axPos val="b"/>
        <c:numFmt formatCode="General" sourceLinked="1"/>
        <c:majorTickMark val="out"/>
        <c:minorTickMark val="none"/>
        <c:tickLblPos val="nextTo"/>
        <c:crossAx val="96923648"/>
        <c:crosses val="autoZero"/>
        <c:auto val="1"/>
        <c:lblAlgn val="ctr"/>
        <c:lblOffset val="100"/>
        <c:noMultiLvlLbl val="0"/>
      </c:catAx>
      <c:valAx>
        <c:axId val="96923648"/>
        <c:scaling>
          <c:orientation val="minMax"/>
        </c:scaling>
        <c:delete val="0"/>
        <c:axPos val="l"/>
        <c:majorGridlines/>
        <c:numFmt formatCode="_(* #,##0_);_(* \(#,##0\);_(* &quot;-&quot;??_);_(@_)" sourceLinked="1"/>
        <c:majorTickMark val="out"/>
        <c:minorTickMark val="none"/>
        <c:tickLblPos val="nextTo"/>
        <c:crossAx val="96762112"/>
        <c:crosses val="autoZero"/>
        <c:crossBetween val="between"/>
      </c:valAx>
      <c:valAx>
        <c:axId val="96925184"/>
        <c:scaling>
          <c:orientation val="minMax"/>
        </c:scaling>
        <c:delete val="0"/>
        <c:axPos val="r"/>
        <c:numFmt formatCode="0.00%" sourceLinked="1"/>
        <c:majorTickMark val="out"/>
        <c:minorTickMark val="none"/>
        <c:tickLblPos val="nextTo"/>
        <c:crossAx val="96926720"/>
        <c:crosses val="max"/>
        <c:crossBetween val="between"/>
      </c:valAx>
      <c:catAx>
        <c:axId val="96926720"/>
        <c:scaling>
          <c:orientation val="minMax"/>
        </c:scaling>
        <c:delete val="1"/>
        <c:axPos val="b"/>
        <c:numFmt formatCode="General" sourceLinked="1"/>
        <c:majorTickMark val="out"/>
        <c:minorTickMark val="none"/>
        <c:tickLblPos val="none"/>
        <c:crossAx val="96925184"/>
        <c:crosses val="autoZero"/>
        <c:auto val="1"/>
        <c:lblAlgn val="ctr"/>
        <c:lblOffset val="100"/>
        <c:noMultiLvlLbl val="0"/>
      </c:cat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687E0-6F1C-4B22-B39B-A2BE3757C8B0}">
  <ds:schemaRefs>
    <ds:schemaRef ds:uri="http://schemas.openxmlformats.org/officeDocument/2006/bibliography"/>
  </ds:schemaRefs>
</ds:datastoreItem>
</file>

<file path=customXml/itemProps2.xml><?xml version="1.0" encoding="utf-8"?>
<ds:datastoreItem xmlns:ds="http://schemas.openxmlformats.org/officeDocument/2006/customXml" ds:itemID="{07F0ACD0-8C04-4065-B146-FBB419DF253D}">
  <ds:schemaRefs>
    <ds:schemaRef ds:uri="http://schemas.openxmlformats.org/officeDocument/2006/bibliography"/>
  </ds:schemaRefs>
</ds:datastoreItem>
</file>

<file path=customXml/itemProps3.xml><?xml version="1.0" encoding="utf-8"?>
<ds:datastoreItem xmlns:ds="http://schemas.openxmlformats.org/officeDocument/2006/customXml" ds:itemID="{8126884E-B720-4978-BF13-3062C383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4136</Words>
  <Characters>23580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2014-04-03T14:29:00Z</dcterms:created>
  <dcterms:modified xsi:type="dcterms:W3CDTF">2014-04-03T14:29:00Z</dcterms:modified>
</cp:coreProperties>
</file>