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6B6" w:rsidRDefault="007276B6" w:rsidP="007276B6">
      <w:pPr>
        <w:pStyle w:val="Heading3"/>
      </w:pPr>
      <w:bookmarkStart w:id="0" w:name="_GoBack"/>
      <w:bookmarkEnd w:id="0"/>
      <w:r>
        <w:t>Burden of Section 2.55’s Right-of-Way Requirement</w:t>
      </w:r>
      <w:bookmarkStart w:id="1" w:name="_bmk12"/>
    </w:p>
    <w:bookmarkEnd w:id="1"/>
    <w:p w:rsidR="007276B6" w:rsidRDefault="007276B6" w:rsidP="007276B6">
      <w:pPr>
        <w:pStyle w:val="FERCparanumber"/>
        <w:widowControl/>
        <w:numPr>
          <w:ilvl w:val="0"/>
          <w:numId w:val="3"/>
        </w:numPr>
        <w:spacing w:line="480" w:lineRule="auto"/>
      </w:pPr>
      <w:r>
        <w:t>INGAA argues that we erred by not including the “additional time and burden” of blanket or case-specific section 7 procedures that will now be necessary for facilities that cannot meet section 2.55(a) siting requirements.</w:t>
      </w:r>
      <w:r>
        <w:rPr>
          <w:rStyle w:val="FootnoteReference"/>
        </w:rPr>
        <w:footnoteReference w:id="1"/>
      </w:r>
      <w:r>
        <w:t xml:space="preserve">  This objection presumes the section 2.55(a) right-of-way/work space constraint constitutes a new burden imposed by this rule.  As previously discussed, this not the case, because section 2.55 activities have always been restricted to an authorized right-of-way or facility site and prescribed work spaces.  Activities that exceed these limits are not covered under section 2.55, and thus no additional time and burden is being imposed – they remain subject to the same time and burden that they were before.  Consequently, we do not include activities that did not and will not qualify under section 2.55(a) in our estimate of the additional time and burden imposed by this rule.  </w:t>
      </w:r>
    </w:p>
    <w:p w:rsidR="007276B6" w:rsidRDefault="007276B6" w:rsidP="007276B6">
      <w:pPr>
        <w:pStyle w:val="FERCparanumber"/>
        <w:widowControl/>
        <w:numPr>
          <w:ilvl w:val="0"/>
          <w:numId w:val="3"/>
        </w:numPr>
        <w:spacing w:line="480" w:lineRule="auto"/>
      </w:pPr>
      <w:r>
        <w:t>INGAA asserts the “NOPR would convert all auxiliary installations outside of existing rights of way and historical work spaces into Natural Gas Act jurisdictional facility construction that would require certificate authorization and formal agency consultation.”</w:t>
      </w:r>
      <w:r>
        <w:rPr>
          <w:rStyle w:val="FootnoteReference"/>
        </w:rPr>
        <w:footnoteReference w:id="2"/>
      </w:r>
      <w:r>
        <w:t xml:space="preserve">  We concur, but as noted, we will not compel companies to seek blanket or case-specific authorization for facilities installed in </w:t>
      </w:r>
      <w:r>
        <w:rPr>
          <w:bCs/>
          <w:lang w:val="en"/>
        </w:rPr>
        <w:t>erroneous</w:t>
      </w:r>
      <w:r>
        <w:t xml:space="preserve"> reliance on section 2.55(a) unless we find reason to suspect such facilities are a cause of significant adverse </w:t>
      </w:r>
      <w:r>
        <w:lastRenderedPageBreak/>
        <w:t xml:space="preserve">environmental impact.  Where facilities already in place present no such issues, we find no reason to subject them to further review.  </w:t>
      </w:r>
    </w:p>
    <w:p w:rsidR="007276B6" w:rsidRDefault="007276B6" w:rsidP="007276B6">
      <w:pPr>
        <w:pStyle w:val="FERCparanumber"/>
        <w:widowControl/>
        <w:numPr>
          <w:ilvl w:val="0"/>
          <w:numId w:val="3"/>
        </w:numPr>
        <w:spacing w:line="480" w:lineRule="auto"/>
      </w:pPr>
      <w:r>
        <w:t>In any event, the NOPR and this Final Rule do no more than clarify the source of our authority over certain types of facilities.  Therefore, we reject INGAA’s claim that we include an estimate of the burden on companies of filing certificate applications and consulting with environmental agencies for facilities allegedly ‘converted’ to blanket or case-specific status.</w:t>
      </w:r>
    </w:p>
    <w:p w:rsidR="007276B6" w:rsidRDefault="007276B6" w:rsidP="007276B6">
      <w:pPr>
        <w:pStyle w:val="Heading2"/>
        <w:numPr>
          <w:ilvl w:val="1"/>
          <w:numId w:val="4"/>
        </w:numPr>
      </w:pPr>
      <w:r>
        <w:t>Landowner Notification</w:t>
      </w:r>
      <w:bookmarkStart w:id="2" w:name="_bmk13"/>
    </w:p>
    <w:bookmarkEnd w:id="2"/>
    <w:p w:rsidR="007276B6" w:rsidRDefault="007276B6" w:rsidP="007276B6">
      <w:pPr>
        <w:pStyle w:val="FERCparanumber"/>
        <w:widowControl/>
        <w:numPr>
          <w:ilvl w:val="0"/>
          <w:numId w:val="3"/>
        </w:numPr>
        <w:spacing w:line="480" w:lineRule="auto"/>
      </w:pPr>
      <w:r>
        <w:t xml:space="preserve">This Final Rule adopts regulations to provide for advance landowner notification for auxiliary and replacement projects under section 2.55 and for maintenance activities under section 380.15.  As previously discussed, we consider it appropriate to give landowners prior notice to the extent practicable before intruding onto their property as a courtesy and to avoid potential conflict between landowners and gas companies.  </w:t>
      </w:r>
      <w:proofErr w:type="spellStart"/>
      <w:r>
        <w:t>Commentors</w:t>
      </w:r>
      <w:proofErr w:type="spellEnd"/>
      <w:r>
        <w:t xml:space="preserve"> do not dispute the virtues of informing landowners of company activities, but insist the notice procedures described in the NOPR are impractical.</w:t>
      </w:r>
    </w:p>
    <w:p w:rsidR="007276B6" w:rsidRDefault="007276B6" w:rsidP="007276B6">
      <w:pPr>
        <w:pStyle w:val="FERCparanumber"/>
        <w:widowControl/>
        <w:numPr>
          <w:ilvl w:val="0"/>
          <w:numId w:val="3"/>
        </w:numPr>
        <w:spacing w:line="480" w:lineRule="auto"/>
      </w:pPr>
      <w:r>
        <w:t xml:space="preserve">  In response to </w:t>
      </w:r>
      <w:proofErr w:type="spellStart"/>
      <w:r>
        <w:t>commentors</w:t>
      </w:r>
      <w:proofErr w:type="spellEnd"/>
      <w:r>
        <w:t xml:space="preserve">’ concerns, we will revise the proposed notification obligations to (1) specify the types of maintenance activities that merit individual notice; (2) limit notice to landowners whose property is crossed or used for section 2.55 and section 380.15 activities; and (3) reduce the prior notice period from 10 days to five days.  These modifications should significantly diminish the burden of complying with the new requirements for prior notice to landowners.  </w:t>
      </w:r>
    </w:p>
    <w:p w:rsidR="007276B6" w:rsidRDefault="007276B6" w:rsidP="007276B6">
      <w:pPr>
        <w:pStyle w:val="FERCparanumber"/>
        <w:widowControl/>
        <w:numPr>
          <w:ilvl w:val="0"/>
          <w:numId w:val="3"/>
        </w:numPr>
        <w:spacing w:line="480" w:lineRule="auto"/>
      </w:pPr>
      <w:r>
        <w:lastRenderedPageBreak/>
        <w:t>Instead of mandating notice to landowners for all section 380.15 maintenance activities, as proposed in the NOPR, we will only require prior notice of those more substantial activities that will result in ground disturbance.  In addition, we are reducing the scope of notification proposed in the NOPR, which would have required that notice be provided not only to directly affected landowners, but also to adjacent landowners and to landowners with a residence within 50 feet of a proposed work area.</w:t>
      </w:r>
      <w:r>
        <w:rPr>
          <w:rStyle w:val="FootnoteReference"/>
        </w:rPr>
        <w:footnoteReference w:id="3"/>
      </w:r>
      <w:r>
        <w:t xml:space="preserve">  </w:t>
      </w:r>
      <w:proofErr w:type="spellStart"/>
      <w:r>
        <w:t>Commentors</w:t>
      </w:r>
      <w:proofErr w:type="spellEnd"/>
      <w:r>
        <w:t xml:space="preserve"> assert this is overly broad and request that we remove abutting landowners and landowners with a residence within 50 feet of the proposed work area from the definition of “affected landowners.”  Although the NOPR would have required the same scope of notice that companies are required to provide for projects under the Part 157 blanket certificate regulations, the </w:t>
      </w:r>
      <w:proofErr w:type="spellStart"/>
      <w:r>
        <w:t>commentors</w:t>
      </w:r>
      <w:proofErr w:type="spellEnd"/>
      <w:r>
        <w:t xml:space="preserve"> have convinced us that more limited landowner notification requirements are appropriate for companies’ activities under section 2.55 and 380.15, since such projects are likely to be smaller, take a shorter period of time to accomplish, and be less disruptive than blanket certificate projects.  </w:t>
      </w:r>
    </w:p>
    <w:p w:rsidR="007276B6" w:rsidRDefault="007276B6" w:rsidP="007276B6">
      <w:pPr>
        <w:pStyle w:val="FERCparanumber"/>
        <w:widowControl/>
        <w:numPr>
          <w:ilvl w:val="0"/>
          <w:numId w:val="3"/>
        </w:numPr>
        <w:spacing w:line="480" w:lineRule="auto"/>
      </w:pPr>
      <w:r>
        <w:t xml:space="preserve">Finally, while the NOPR stipulated a 10-day prior notice, we accept </w:t>
      </w:r>
      <w:proofErr w:type="spellStart"/>
      <w:r>
        <w:t>commentors</w:t>
      </w:r>
      <w:proofErr w:type="spellEnd"/>
      <w:r>
        <w:t xml:space="preserve">’ claim that some activities, particularly unanticipated maintenance, are not scheduled far </w:t>
      </w:r>
      <w:r>
        <w:lastRenderedPageBreak/>
        <w:t>enough in advance to allow for a 10-day prior notice.</w:t>
      </w:r>
      <w:r>
        <w:rPr>
          <w:rStyle w:val="FootnoteReference"/>
        </w:rPr>
        <w:footnoteReference w:id="4"/>
      </w:r>
      <w:r>
        <w:t xml:space="preserve">  In view of this, we will only require that landowners receive notice five days in advance of initiating certain activity under section 2.55 or 380.15, which we anticipate will still allow time for landowners and a company to discuss any concerns landowners may have regarding companies’ planned activities.     </w:t>
      </w:r>
    </w:p>
    <w:p w:rsidR="007276B6" w:rsidRDefault="007276B6" w:rsidP="007276B6">
      <w:pPr>
        <w:pStyle w:val="Heading3"/>
        <w:numPr>
          <w:ilvl w:val="2"/>
          <w:numId w:val="5"/>
        </w:numPr>
      </w:pPr>
      <w:r>
        <w:t>Jurisdictional Basis and Need for Landowner Notification</w:t>
      </w:r>
      <w:bookmarkStart w:id="3" w:name="_bmk14"/>
    </w:p>
    <w:bookmarkEnd w:id="3"/>
    <w:p w:rsidR="007276B6" w:rsidRDefault="007276B6" w:rsidP="007276B6">
      <w:pPr>
        <w:pStyle w:val="FERCparanumber"/>
        <w:widowControl/>
        <w:numPr>
          <w:ilvl w:val="0"/>
          <w:numId w:val="3"/>
        </w:numPr>
        <w:spacing w:line="480" w:lineRule="auto"/>
      </w:pPr>
      <w:r>
        <w:t>INGAA asserts that the Commission has no jurisdictional basis to impose landowner notification requirements for companies’ installations of auxiliary facilities and replacement projects under section 2.55 or their maintenance activities under section 380.15;</w:t>
      </w:r>
      <w:r>
        <w:rPr>
          <w:rStyle w:val="FootnoteReference"/>
        </w:rPr>
        <w:footnoteReference w:id="5"/>
      </w:r>
      <w:r>
        <w:t xml:space="preserve"> therefore, INGAA argues that the NOPR’s proposed landowner notification requirements for these activities should not be adopted.  However, if the Final Rule does adopt landowner notification requirements, INGAA asks the Commission to explain what circumstances changed since the promulgation of Order </w:t>
      </w:r>
      <w:r>
        <w:lastRenderedPageBreak/>
        <w:t>No. 609</w:t>
      </w:r>
      <w:r>
        <w:rPr>
          <w:rStyle w:val="FootnoteReference"/>
        </w:rPr>
        <w:footnoteReference w:id="6"/>
      </w:r>
      <w:r>
        <w:t xml:space="preserve"> to merit mandatory prior notification to landowners before a company commences construction under section 2.55 or maintenance under section 380.15.  </w:t>
      </w:r>
    </w:p>
    <w:p w:rsidR="007276B6" w:rsidRDefault="007276B6" w:rsidP="007276B6">
      <w:pPr>
        <w:pStyle w:val="FERCparanumber"/>
        <w:numPr>
          <w:ilvl w:val="0"/>
          <w:numId w:val="0"/>
        </w:numPr>
        <w:tabs>
          <w:tab w:val="left" w:pos="720"/>
        </w:tabs>
      </w:pPr>
    </w:p>
    <w:p w:rsidR="007276B6" w:rsidRDefault="007276B6" w:rsidP="007276B6">
      <w:pPr>
        <w:pStyle w:val="FERCparanumber"/>
        <w:numPr>
          <w:ilvl w:val="0"/>
          <w:numId w:val="0"/>
        </w:numPr>
        <w:tabs>
          <w:tab w:val="left" w:pos="720"/>
        </w:tabs>
      </w:pPr>
    </w:p>
    <w:p w:rsidR="007276B6" w:rsidRDefault="007276B6" w:rsidP="007276B6">
      <w:pPr>
        <w:pStyle w:val="FERCparanumber"/>
        <w:widowControl/>
        <w:numPr>
          <w:ilvl w:val="0"/>
          <w:numId w:val="3"/>
        </w:numPr>
        <w:spacing w:line="480" w:lineRule="auto"/>
      </w:pPr>
      <w:r>
        <w:t>INGAA points out</w:t>
      </w:r>
      <w:r>
        <w:rPr>
          <w:rStyle w:val="FootnoteReference"/>
        </w:rPr>
        <w:footnoteReference w:id="7"/>
      </w:r>
      <w:r>
        <w:t xml:space="preserve"> that in Order No. 609 the Commission determined that there was no need for landowner notification because section 2.55(b) replacements occur within an “existing right-of-way and subject to an existing easement agreement, which dictates the pipeline’s right to obtain access to maintain the facilities.”</w:t>
      </w:r>
      <w:r>
        <w:rPr>
          <w:rStyle w:val="FootnoteReference"/>
        </w:rPr>
        <w:footnoteReference w:id="8"/>
      </w:r>
      <w:r>
        <w:t xml:space="preserve">  However, Order No. 609 also stated that “prudence would dictate that the pipeline should give the landowner as much advance warning as possible to avoid misunderstandings and ill-will.”</w:t>
      </w:r>
      <w:r>
        <w:rPr>
          <w:rStyle w:val="FootnoteReference"/>
        </w:rPr>
        <w:footnoteReference w:id="9"/>
      </w:r>
      <w:r>
        <w:t xml:space="preserve">  </w:t>
      </w:r>
    </w:p>
    <w:p w:rsidR="007276B6" w:rsidRDefault="007276B6" w:rsidP="007276B6">
      <w:pPr>
        <w:pStyle w:val="FERCparanumber"/>
        <w:widowControl/>
        <w:numPr>
          <w:ilvl w:val="0"/>
          <w:numId w:val="3"/>
        </w:numPr>
        <w:spacing w:line="480" w:lineRule="auto"/>
      </w:pPr>
      <w:r>
        <w:t xml:space="preserve">Our proposal in the NOPR in this proceeding to adopt landowner notification requirements for companies’ activities under section 2.55 and section 380.15 was prompted by landowners’ expressions of concern to Commission staff during phone inquiries, scoping meetings, and in other forums due to companies’ personnel appearing unannounced on or near their property.  The types of concerns expressed by landowners </w:t>
      </w:r>
      <w:r>
        <w:lastRenderedPageBreak/>
        <w:t>arise from construction and maintenance crews arriving unexpectedly to engage in activities that disrupt, or could disrupt, landowners use of their property, or damage their property as a result of replacing facilities; re-grading or replacing access roads; lowering pipelines; performing anomaly digs;  or preventing and controlling erosion.  We view providing prior notice, which some companies avow is routine practice, as the least burdensome and most practical way to ensure courtesy and preclude conflicts with landowners.  Whenever a company conducts an activity subject to our jurisdiction and under authority provided by our regulations,</w:t>
      </w:r>
      <w:r>
        <w:rPr>
          <w:rStyle w:val="FootnoteReference"/>
        </w:rPr>
        <w:footnoteReference w:id="10"/>
      </w:r>
      <w:r>
        <w:t xml:space="preserve"> we have a right and responsibility to impose appropriate and reasonable conditions on that activity.</w:t>
      </w:r>
      <w:r>
        <w:rPr>
          <w:rStyle w:val="FootnoteReference"/>
        </w:rPr>
        <w:footnoteReference w:id="11"/>
      </w:r>
      <w:r>
        <w:t xml:space="preserve">  Our responsibility </w:t>
      </w:r>
      <w:r>
        <w:lastRenderedPageBreak/>
        <w:t>includes ensuring that, to the extent practicable, landowners are informed in advance when they may be inconvenienced or the use of their property may be disrupted by companies’ jurisdictional activities to construct auxiliary and replacement facilities under section 2.55 authority or conduct maintenance activities subject to section 380.15.  Landowners deserve an opportunity to express concerns, and we want the opportunity to act on those concerns if necessary.</w:t>
      </w:r>
      <w:r>
        <w:rPr>
          <w:rStyle w:val="FootnoteReference"/>
        </w:rPr>
        <w:t xml:space="preserve"> </w:t>
      </w:r>
      <w:r>
        <w:rPr>
          <w:rStyle w:val="FootnoteReference"/>
        </w:rPr>
        <w:footnoteReference w:id="12"/>
      </w:r>
    </w:p>
    <w:p w:rsidR="007276B6" w:rsidRDefault="007276B6" w:rsidP="007276B6">
      <w:pPr>
        <w:pStyle w:val="FERCparanumber"/>
        <w:widowControl/>
        <w:numPr>
          <w:ilvl w:val="0"/>
          <w:numId w:val="3"/>
        </w:numPr>
        <w:spacing w:line="480" w:lineRule="auto"/>
      </w:pPr>
      <w:proofErr w:type="spellStart"/>
      <w:r>
        <w:t>Commentors</w:t>
      </w:r>
      <w:proofErr w:type="spellEnd"/>
      <w:r>
        <w:t xml:space="preserve"> assert that easement agreements are the proper method for landowners to establish any requirements for prior notice of company activities on private property,</w:t>
      </w:r>
      <w:r>
        <w:rPr>
          <w:rStyle w:val="FootnoteReference"/>
        </w:rPr>
        <w:footnoteReference w:id="13"/>
      </w:r>
      <w:r>
        <w:t xml:space="preserve"> and note that many of these agreements specify that no notice is required for maintenance activities.  While we recognize that some landowners agree to forego prior notice, we nevertheless believe it is prudent for gas companies to provide such notice.  Landowners may misunderstand the terms of an easement agreement or a subsequent </w:t>
      </w:r>
      <w:r>
        <w:lastRenderedPageBreak/>
        <w:t>owner may not be aware that the land is subject to an easement.  Therefore, regardless of whether an easement agreement gives a company a right enforceable under state property law to enter on property without notice, we believe it is appropriate and reasonable for our regulations to require that to the extent practicable companies provide landowners with prior notice before commencing certain activities under section 2.55 or section 380.15.</w:t>
      </w:r>
    </w:p>
    <w:p w:rsidR="007276B6" w:rsidRDefault="007276B6" w:rsidP="007276B6">
      <w:pPr>
        <w:pStyle w:val="Heading3"/>
        <w:numPr>
          <w:ilvl w:val="2"/>
          <w:numId w:val="5"/>
        </w:numPr>
      </w:pPr>
      <w:r>
        <w:t>Exceptions to Landowner Notification Requirements</w:t>
      </w:r>
      <w:bookmarkStart w:id="4" w:name="_bmk15"/>
    </w:p>
    <w:bookmarkEnd w:id="4"/>
    <w:p w:rsidR="007276B6" w:rsidRDefault="007276B6" w:rsidP="007276B6">
      <w:pPr>
        <w:pStyle w:val="FERCparanumber"/>
        <w:widowControl/>
        <w:numPr>
          <w:ilvl w:val="0"/>
          <w:numId w:val="3"/>
        </w:numPr>
        <w:spacing w:line="480" w:lineRule="auto"/>
      </w:pPr>
      <w:proofErr w:type="spellStart"/>
      <w:r>
        <w:t>Commentors</w:t>
      </w:r>
      <w:proofErr w:type="spellEnd"/>
      <w:r>
        <w:t xml:space="preserve"> state that if the landowner notification proposals are adopted, the Final Rule should waive landowner notification to provide “for immediate access to emergency gas leaks, acts of God, investigations related to gas pressure or flow or SCADA signals, or to respond to One Call notifications on an emergency or routine basis.”</w:t>
      </w:r>
      <w:r>
        <w:rPr>
          <w:rStyle w:val="FootnoteReference"/>
        </w:rPr>
        <w:footnoteReference w:id="14"/>
      </w:r>
    </w:p>
    <w:p w:rsidR="007276B6" w:rsidRDefault="007276B6" w:rsidP="007276B6">
      <w:pPr>
        <w:pStyle w:val="FERCparanumber"/>
        <w:widowControl/>
        <w:numPr>
          <w:ilvl w:val="0"/>
          <w:numId w:val="3"/>
        </w:numPr>
        <w:spacing w:line="480" w:lineRule="auto"/>
      </w:pPr>
      <w:r>
        <w:t>Our regulations provide for a company to take immediate action in an emergency, as we pointed out in response to a similar concern regarding the imposition of a 30-day prior notice:</w:t>
      </w:r>
    </w:p>
    <w:p w:rsidR="007276B6" w:rsidRDefault="007276B6" w:rsidP="007276B6">
      <w:pPr>
        <w:pStyle w:val="FERCparanumber"/>
        <w:numPr>
          <w:ilvl w:val="0"/>
          <w:numId w:val="0"/>
        </w:numPr>
        <w:tabs>
          <w:tab w:val="left" w:pos="720"/>
        </w:tabs>
        <w:ind w:left="1440" w:right="720"/>
      </w:pPr>
      <w:r>
        <w:t xml:space="preserve">[This] rule does not override other Commission regulations which permit interstate pipelines to take prompt corrective actions to address conditions that constitute a safety hazard.  Subpart I of Part 284 of the Commission's regulations </w:t>
      </w:r>
      <w:proofErr w:type="gramStart"/>
      <w:r>
        <w:t>exempts</w:t>
      </w:r>
      <w:proofErr w:type="gramEnd"/>
      <w:r>
        <w:t xml:space="preserve"> emergency situations from the provisions of section 7 of the Natural Gas Act and permits a pipeline to take immediate action to alleviate an emergency situation subject to a </w:t>
      </w:r>
      <w:r>
        <w:rPr>
          <w:rStyle w:val="Emphasis"/>
        </w:rPr>
        <w:t>subsequent</w:t>
      </w:r>
      <w:r>
        <w:t xml:space="preserve"> 48-hour reporting requirement.  Section 284.262(a</w:t>
      </w:r>
      <w:proofErr w:type="gramStart"/>
      <w:r>
        <w:t>)(</w:t>
      </w:r>
      <w:proofErr w:type="gramEnd"/>
      <w:r>
        <w:t xml:space="preserve">1)(iii) of Subpart I defines emergency as “Any situation in which . . . immediate action is required or is reasonably </w:t>
      </w:r>
    </w:p>
    <w:p w:rsidR="007276B6" w:rsidRDefault="007276B6" w:rsidP="007276B6">
      <w:pPr>
        <w:pStyle w:val="FERCparanumber"/>
        <w:numPr>
          <w:ilvl w:val="0"/>
          <w:numId w:val="0"/>
        </w:numPr>
        <w:tabs>
          <w:tab w:val="left" w:pos="720"/>
        </w:tabs>
        <w:ind w:left="1440" w:right="720"/>
      </w:pPr>
    </w:p>
    <w:p w:rsidR="007276B6" w:rsidRDefault="007276B6" w:rsidP="007276B6">
      <w:pPr>
        <w:pStyle w:val="FERCparanumber"/>
        <w:numPr>
          <w:ilvl w:val="0"/>
          <w:numId w:val="0"/>
        </w:numPr>
        <w:tabs>
          <w:tab w:val="left" w:pos="720"/>
        </w:tabs>
        <w:ind w:left="1440" w:right="720"/>
      </w:pPr>
      <w:proofErr w:type="gramStart"/>
      <w:r>
        <w:lastRenderedPageBreak/>
        <w:t>anticipated</w:t>
      </w:r>
      <w:proofErr w:type="gramEnd"/>
      <w:r>
        <w:t xml:space="preserve"> to be required for the protection of life or health or for maintenance of physical property.”</w:t>
      </w:r>
      <w:r>
        <w:rPr>
          <w:rStyle w:val="FootnoteReference"/>
        </w:rPr>
        <w:footnoteReference w:id="15"/>
      </w:r>
    </w:p>
    <w:p w:rsidR="007276B6" w:rsidRDefault="007276B6" w:rsidP="007276B6">
      <w:pPr>
        <w:ind w:left="1440" w:right="720"/>
      </w:pPr>
    </w:p>
    <w:p w:rsidR="007276B6" w:rsidRDefault="007276B6" w:rsidP="007276B6">
      <w:pPr>
        <w:pStyle w:val="FERCparanumber"/>
        <w:numPr>
          <w:ilvl w:val="0"/>
          <w:numId w:val="0"/>
        </w:numPr>
        <w:tabs>
          <w:tab w:val="left" w:pos="720"/>
        </w:tabs>
      </w:pPr>
      <w:r>
        <w:t xml:space="preserve">Notwithstanding the foregoing, to assure there will be no hesitation by gas companies if immediate action is called for, we will specify in sections 2.55 and 380.15 that:  “For an activity required to respond to an emergency, the five-day prior notice period does not apply.”  Note that events that do not necessitate immediate access to system facilities would not trigger our section 284 emergency provisions, and therefore would still be subject to a five-day prior notice.  </w:t>
      </w:r>
    </w:p>
    <w:p w:rsidR="007276B6" w:rsidRDefault="007276B6" w:rsidP="007276B6">
      <w:pPr>
        <w:pStyle w:val="Heading3"/>
        <w:numPr>
          <w:ilvl w:val="2"/>
          <w:numId w:val="5"/>
        </w:numPr>
      </w:pPr>
      <w:r>
        <w:t>Part 157 Landowner Notification Exemption for Replacement Projects</w:t>
      </w:r>
      <w:bookmarkStart w:id="5" w:name="_bmk16"/>
    </w:p>
    <w:bookmarkEnd w:id="5"/>
    <w:p w:rsidR="007276B6" w:rsidRDefault="007276B6" w:rsidP="007276B6">
      <w:pPr>
        <w:pStyle w:val="FERCparanumber"/>
        <w:widowControl/>
        <w:numPr>
          <w:ilvl w:val="0"/>
          <w:numId w:val="3"/>
        </w:numPr>
        <w:spacing w:line="480" w:lineRule="auto"/>
      </w:pPr>
      <w:r>
        <w:t>Companies are required to provide landowner notice prior to initiating projects under the Part 157 blanket certificate regulations.</w:t>
      </w:r>
      <w:r>
        <w:rPr>
          <w:rStyle w:val="FootnoteReference"/>
        </w:rPr>
        <w:footnoteReference w:id="16"/>
      </w:r>
      <w:r>
        <w:t xml:space="preserve">  However, section 157.203(d</w:t>
      </w:r>
      <w:proofErr w:type="gramStart"/>
      <w:r>
        <w:t>)(</w:t>
      </w:r>
      <w:proofErr w:type="gramEnd"/>
      <w:r>
        <w:t>3)(</w:t>
      </w:r>
      <w:proofErr w:type="spellStart"/>
      <w:r>
        <w:t>i</w:t>
      </w:r>
      <w:proofErr w:type="spellEnd"/>
      <w:r>
        <w:t>) of the regulations provides a notice exemption for replacement projects that would have been done under section 2.55(b), but for the fact that the replacement projects are not of the same capacity.</w:t>
      </w:r>
      <w:r>
        <w:rPr>
          <w:rStyle w:val="FootnoteReference"/>
        </w:rPr>
        <w:footnoteReference w:id="17"/>
      </w:r>
      <w:r>
        <w:t xml:space="preserve">  To provide consistency with new the section 2.55 landowner notification requirements established in this Final Rule, we will amend section 157.203(d</w:t>
      </w:r>
      <w:proofErr w:type="gramStart"/>
      <w:r>
        <w:t>)(</w:t>
      </w:r>
      <w:proofErr w:type="gramEnd"/>
      <w:r>
        <w:t>3)(</w:t>
      </w:r>
      <w:proofErr w:type="spellStart"/>
      <w:r>
        <w:t>i</w:t>
      </w:r>
      <w:proofErr w:type="spellEnd"/>
      <w:r>
        <w:t xml:space="preserve">) to provide that replacement projects that would have been done under section 2.55(b), but for the fact that the project alters the designed delivery capacity of the original facility, remains exempt from the landowner notification requirements of </w:t>
      </w:r>
      <w:r>
        <w:lastRenderedPageBreak/>
        <w:t>Part 157, as long as the project does not involve ground disturbance.  Because the revised section 2.55(b) notice requirements require landowner notice for a ground disturbing replacement project that substitutes in a new same-size facility, it would be inconsistent to retain the landowner notice exemption in section 157.203(d)(3)(</w:t>
      </w:r>
      <w:proofErr w:type="spellStart"/>
      <w:r>
        <w:t>i</w:t>
      </w:r>
      <w:proofErr w:type="spellEnd"/>
      <w:r>
        <w:t>) for a ground disturbing replacement project that alters the capacity of the original facility.</w:t>
      </w:r>
    </w:p>
    <w:p w:rsidR="007276B6" w:rsidRDefault="007276B6" w:rsidP="007276B6">
      <w:pPr>
        <w:pStyle w:val="Heading3"/>
        <w:numPr>
          <w:ilvl w:val="2"/>
          <w:numId w:val="5"/>
        </w:numPr>
      </w:pPr>
      <w:r>
        <w:t xml:space="preserve">Requirement that Notification Inform Landowners of the Availability of the Commission’s Dispute Resolution Division </w:t>
      </w:r>
      <w:bookmarkStart w:id="6" w:name="_bmk17"/>
    </w:p>
    <w:bookmarkEnd w:id="6"/>
    <w:p w:rsidR="007276B6" w:rsidRDefault="007276B6" w:rsidP="007276B6">
      <w:pPr>
        <w:pStyle w:val="FERCparanumber"/>
        <w:widowControl/>
        <w:numPr>
          <w:ilvl w:val="0"/>
          <w:numId w:val="3"/>
        </w:numPr>
        <w:spacing w:line="480" w:lineRule="auto"/>
      </w:pPr>
      <w:r>
        <w:t>WBI Energy states that any landowner notification requirements should not include a requirement that companies provide landowners with contact information or include a description of the Commission’s Dispute Resolution Division (DRD) Helpline.  WBI Energy asserts disputes concerning easements and right-of-ways for existing facilities are properly adjudicated in state courts, and not by the Commission.  WBI Energy further argues that including information regarding the DRD in the notice likely would cause landowners to incorrectly believe that the Commission is the appropriate venue for resolving property disputes.</w:t>
      </w:r>
      <w:r>
        <w:rPr>
          <w:rStyle w:val="FootnoteReference"/>
        </w:rPr>
        <w:footnoteReference w:id="18"/>
      </w:r>
    </w:p>
    <w:p w:rsidR="007276B6" w:rsidRDefault="007276B6" w:rsidP="007276B6">
      <w:pPr>
        <w:pStyle w:val="FERCparanumber"/>
        <w:widowControl/>
        <w:numPr>
          <w:ilvl w:val="0"/>
          <w:numId w:val="3"/>
        </w:numPr>
        <w:spacing w:line="480" w:lineRule="auto"/>
        <w:rPr>
          <w:lang w:val="x-none"/>
        </w:rPr>
      </w:pPr>
      <w:r>
        <w:t xml:space="preserve">We recognize that the DRD Helpline is not the appropriate venue for determining the respective rights of companies and landowners under state property law or for renegotiating the terms of easement agreements.  However, there are instances in which it is appropriate and/or potentially helpful for landowners to contact Commission staff to seek informal resolution of a dispute.  For example, while a court would be the appropriate forum to adjudicate a dispute regarding whether an easement agreement gives </w:t>
      </w:r>
      <w:r>
        <w:lastRenderedPageBreak/>
        <w:t>a natural gas company the right to allow another company to lay a fiber optic cable in the pipeline right-of-way, or to determine the amount of monetary damages caused to a landowner’s property by a company’s negligence during construction activities, it is appropriate for a landowner to contact the Commission if the landowner believes that a company’s planned activities might not comply with the provisions of section 2.55 (e.g., may not be confined to the existing right-of-way) or section 380.15 and for the Commission’s staff to contact the company regarding the matter.  It also is appropriate for a landowner to seek the Commission’s assistance in obtaining a company’s voluntary agreement to reasonable accommodation requested by the landowner (e.g., to reschedule backhoe digging planned by the company for the same day as a back-yard wedding reception).   In this regard, we emphasize that section 380.15(b),</w:t>
      </w:r>
      <w:r>
        <w:rPr>
          <w:i/>
        </w:rPr>
        <w:t xml:space="preserve"> Landowner consideration</w:t>
      </w:r>
      <w:r>
        <w:t xml:space="preserve">, states that “[t]he desires of landowners should be taken into account in the planning, locating, clearing, and maintenance of rights-of-way and the construction of facilities on their property.”  </w:t>
      </w:r>
    </w:p>
    <w:p w:rsidR="007276B6" w:rsidRDefault="007276B6" w:rsidP="007276B6">
      <w:pPr>
        <w:pStyle w:val="FERCparanumber"/>
        <w:widowControl/>
        <w:numPr>
          <w:ilvl w:val="0"/>
          <w:numId w:val="3"/>
        </w:numPr>
        <w:spacing w:line="480" w:lineRule="auto"/>
      </w:pPr>
      <w:r>
        <w:t xml:space="preserve">While only a court can determine the respective rights of a company and landowner under the terms of an easement agreement, the terms of an easement in no way diminish the Commission’s NGA authority over companies’ activities to construct or maintain jurisdictional facilities.  Thus, we are adopting our proposal to require that companies include the DRD Helpline number to facilitate landowners being able to contact and seek assistance from Commission staff.  We encourage companies to describe the DRD Helpline as a way for landowners to inform the Commission of concerns regarding a company’s planned activities.  We anticipate companies, in </w:t>
      </w:r>
      <w:r>
        <w:lastRenderedPageBreak/>
        <w:t xml:space="preserve">providing the DRD Helpline number, will be able to explain this without implying, as WBI Energy </w:t>
      </w:r>
      <w:proofErr w:type="gramStart"/>
      <w:r>
        <w:t>worries, that</w:t>
      </w:r>
      <w:proofErr w:type="gramEnd"/>
      <w:r>
        <w:t xml:space="preserve"> a company is acting unlawfully.</w:t>
      </w:r>
      <w:r>
        <w:rPr>
          <w:rStyle w:val="FootnoteReference"/>
        </w:rPr>
        <w:footnoteReference w:id="19"/>
      </w:r>
      <w:r>
        <w:t xml:space="preserve">    </w:t>
      </w:r>
    </w:p>
    <w:p w:rsidR="007276B6" w:rsidRDefault="007276B6" w:rsidP="007276B6">
      <w:pPr>
        <w:pStyle w:val="Heading3"/>
        <w:numPr>
          <w:ilvl w:val="2"/>
          <w:numId w:val="5"/>
        </w:numPr>
      </w:pPr>
      <w:r>
        <w:t>Landowner Notification for Maintenance Activities</w:t>
      </w:r>
      <w:bookmarkStart w:id="7" w:name="_bmk18"/>
    </w:p>
    <w:bookmarkEnd w:id="7"/>
    <w:p w:rsidR="007276B6" w:rsidRDefault="007276B6" w:rsidP="007276B6">
      <w:pPr>
        <w:pStyle w:val="FERCparanumber"/>
        <w:widowControl/>
        <w:numPr>
          <w:ilvl w:val="0"/>
          <w:numId w:val="3"/>
        </w:numPr>
        <w:spacing w:line="480" w:lineRule="auto"/>
        <w:rPr>
          <w:lang w:val="x-none"/>
        </w:rPr>
      </w:pPr>
      <w:proofErr w:type="spellStart"/>
      <w:r>
        <w:t>Commentors</w:t>
      </w:r>
      <w:proofErr w:type="spellEnd"/>
      <w:r>
        <w:t xml:space="preserve"> state that the Commission’s proposed prior notice requirements for maintenance activities may be unnecessary in view of existing U.S. Department of Transportation (DOT) regulations.  DOT’s Pipeline and Hazardous Materials Safety Administration (PHMSA) requires pipelines to develop a continuing public education program,</w:t>
      </w:r>
      <w:r>
        <w:rPr>
          <w:rStyle w:val="FootnoteReference"/>
        </w:rPr>
        <w:footnoteReference w:id="20"/>
      </w:r>
      <w:r>
        <w:t xml:space="preserve"> which follows guidance provided by the American Petroleum Institute’s (API) </w:t>
      </w:r>
    </w:p>
    <w:p w:rsidR="007276B6" w:rsidRDefault="007276B6" w:rsidP="007276B6">
      <w:pPr>
        <w:pStyle w:val="FERCparanumber"/>
        <w:numPr>
          <w:ilvl w:val="0"/>
          <w:numId w:val="0"/>
        </w:numPr>
        <w:tabs>
          <w:tab w:val="left" w:pos="720"/>
        </w:tabs>
        <w:rPr>
          <w:lang w:val="x-none"/>
        </w:rPr>
      </w:pPr>
      <w:proofErr w:type="gramStart"/>
      <w:r>
        <w:t>Recommended Practice 1162.</w:t>
      </w:r>
      <w:proofErr w:type="gramEnd"/>
      <w:r>
        <w:rPr>
          <w:rStyle w:val="FootnoteReference"/>
        </w:rPr>
        <w:footnoteReference w:id="21"/>
      </w:r>
      <w:r>
        <w:t xml:space="preserve">  API’s Recommended Practice 1162 requires that “[w]hen planning pipeline maintenance-related construction activities,” gas companies “should communicate to the audience affected by the specific activity in a timely manner appropriate to the nature and extent of activity,”</w:t>
      </w:r>
      <w:r>
        <w:rPr>
          <w:rStyle w:val="FootnoteReference"/>
        </w:rPr>
        <w:footnoteReference w:id="22"/>
      </w:r>
      <w:r>
        <w:t xml:space="preserve"> and must also notify landowners in writing biennially of all “planned major maintenance/construction activity.”</w:t>
      </w:r>
      <w:r>
        <w:rPr>
          <w:rStyle w:val="FootnoteReference"/>
        </w:rPr>
        <w:footnoteReference w:id="23"/>
      </w:r>
      <w:r>
        <w:t xml:space="preserve">  </w:t>
      </w:r>
    </w:p>
    <w:p w:rsidR="007276B6" w:rsidRDefault="007276B6" w:rsidP="007276B6">
      <w:pPr>
        <w:pStyle w:val="FERCparanumber"/>
        <w:widowControl/>
        <w:numPr>
          <w:ilvl w:val="0"/>
          <w:numId w:val="3"/>
        </w:numPr>
        <w:spacing w:line="480" w:lineRule="auto"/>
        <w:rPr>
          <w:lang w:val="x-none"/>
        </w:rPr>
      </w:pPr>
      <w:r>
        <w:t xml:space="preserve">We accept that the PHMSA requirements will be sufficient to alert landowners to many maintenance activities.  We will therefore modify the prior notice requirement for </w:t>
      </w:r>
      <w:r>
        <w:lastRenderedPageBreak/>
        <w:t>section 380.15 maintenance activities proposed in the NOPR in this proceeding by limiting notice to maintenance activities that will cause ground disturbance.</w:t>
      </w:r>
      <w:r>
        <w:rPr>
          <w:rStyle w:val="FootnoteReference"/>
        </w:rPr>
        <w:footnoteReference w:id="24"/>
      </w:r>
      <w:r>
        <w:t xml:space="preserve">  Given the potential disruption and impact level of maintenance activities that will cause ground disturbance, we find such activities merit separate written notice to affected landowners.  </w:t>
      </w:r>
    </w:p>
    <w:p w:rsidR="007276B6" w:rsidRDefault="007276B6" w:rsidP="007276B6">
      <w:pPr>
        <w:pStyle w:val="FERCparanumber"/>
        <w:widowControl/>
        <w:numPr>
          <w:ilvl w:val="0"/>
          <w:numId w:val="3"/>
        </w:numPr>
        <w:spacing w:line="480" w:lineRule="auto"/>
      </w:pPr>
      <w:r>
        <w:t xml:space="preserve">While some of these activities will be included in the PHMSA-mandated biennial report distributed to landowners, we have no assurance that all such activities will be.  Further, while the PHMSA report of planned major maintenance can provide a broad overview of a company’s future operations, because the company only issues this report every other year, it does not give landowners a sufficiently precise description of when a particular activity will commence and conclude.  We believe that if landowners have notice five days before a ground disturbing project begins, this will enable companies and landowners time to confer, coordinate, and avoid simultaneously undertaking incompatible actions.  Finally, we note that PHMSA is focused on the safe operation of existing facilities, whereas the Commission purview of the public interest covers a broader set of concerns.  Thus, while PHMSA may find no cause to take into account a company’s activity that inconveniences a landowner but does not compromise the safe operation of gas facilities, the Commission may find such an activity to be within the scope of its authority to ensure the activity is consistent with the public convenience and necessity.  </w:t>
      </w:r>
    </w:p>
    <w:p w:rsidR="007276B6" w:rsidRDefault="007276B6" w:rsidP="007276B6">
      <w:pPr>
        <w:pStyle w:val="FERCparanumber"/>
        <w:widowControl/>
        <w:numPr>
          <w:ilvl w:val="0"/>
          <w:numId w:val="3"/>
        </w:numPr>
        <w:spacing w:line="480" w:lineRule="auto"/>
      </w:pPr>
      <w:r>
        <w:lastRenderedPageBreak/>
        <w:t>MidAmerican Energy and Golden Triangle request that the Commission provide a definition of maintenance under section 380.15 of the regulations.</w:t>
      </w:r>
      <w:r>
        <w:rPr>
          <w:rStyle w:val="FootnoteReference"/>
        </w:rPr>
        <w:footnoteReference w:id="25"/>
      </w:r>
      <w:r>
        <w:t xml:space="preserve">  Golden Triangle states that any time its personnel enter the right-of-way for periodic routine activities (e.g., pipe-to-soil readings, leak patrols, surveillance patrols, meter station inspections, and walking the pipeline right-of-way)</w:t>
      </w:r>
      <w:proofErr w:type="gramStart"/>
      <w:r>
        <w:t>,</w:t>
      </w:r>
      <w:proofErr w:type="gramEnd"/>
      <w:r>
        <w:t xml:space="preserve"> a landowner will construe that entrance as a maintenance activity.</w:t>
      </w:r>
      <w:r>
        <w:rPr>
          <w:rStyle w:val="FootnoteReference"/>
        </w:rPr>
        <w:footnoteReference w:id="26"/>
      </w:r>
      <w:r>
        <w:t xml:space="preserve"> </w:t>
      </w:r>
    </w:p>
    <w:p w:rsidR="007276B6" w:rsidRDefault="007276B6" w:rsidP="007276B6">
      <w:pPr>
        <w:pStyle w:val="FERCparanumber"/>
        <w:widowControl/>
        <w:numPr>
          <w:ilvl w:val="0"/>
          <w:numId w:val="3"/>
        </w:numPr>
        <w:spacing w:line="480" w:lineRule="auto"/>
        <w:rPr>
          <w:lang w:val="x-none"/>
        </w:rPr>
      </w:pPr>
      <w:r>
        <w:t xml:space="preserve">We see no need to craft a definition describing all maintenance activities, although we can say that we do not share Golden Triangle’s apparent view that an intrusion by company personnel onto a landowner’s property for monitoring purposes is not “maintenance” so long as the monitoring does not lead to any additional activity during the same intrusion.  We consider </w:t>
      </w:r>
      <w:r>
        <w:rPr>
          <w:i/>
        </w:rPr>
        <w:t>all</w:t>
      </w:r>
      <w:r>
        <w:t xml:space="preserve"> of the activities identified by Golden Triangle to be maintenance.  However, as stated above, we are scaling back the NOPR’s proposal so that prior notice to landowners will only be required for ground disturbing maintenance activities.  Thus, while we believe Golden Triangle’s examples are maintenance activities, as long as these minor activities do not cause ground disturbance, they will not trigger any Commission requirement for advance notice to landowners.</w:t>
      </w:r>
    </w:p>
    <w:p w:rsidR="007276B6" w:rsidRDefault="007276B6" w:rsidP="007276B6">
      <w:pPr>
        <w:pStyle w:val="Heading3"/>
        <w:numPr>
          <w:ilvl w:val="2"/>
          <w:numId w:val="5"/>
        </w:numPr>
      </w:pPr>
      <w:r>
        <w:t>Burden Resulting from Notification Requirement</w:t>
      </w:r>
      <w:bookmarkStart w:id="8" w:name="_bmk19"/>
    </w:p>
    <w:bookmarkEnd w:id="8"/>
    <w:p w:rsidR="007276B6" w:rsidRDefault="007276B6" w:rsidP="007276B6">
      <w:pPr>
        <w:pStyle w:val="FERCparanumber"/>
        <w:widowControl/>
        <w:numPr>
          <w:ilvl w:val="0"/>
          <w:numId w:val="3"/>
        </w:numPr>
        <w:spacing w:line="480" w:lineRule="auto"/>
      </w:pPr>
      <w:proofErr w:type="spellStart"/>
      <w:r>
        <w:t>Commentors</w:t>
      </w:r>
      <w:proofErr w:type="spellEnd"/>
      <w:r>
        <w:t xml:space="preserve"> argue that the NOPR did not fully analyze the expense and burden associated with requiring landowner notification for auxiliary, replacement, and </w:t>
      </w:r>
      <w:r>
        <w:lastRenderedPageBreak/>
        <w:t>maintenance activities.</w:t>
      </w:r>
      <w:r>
        <w:rPr>
          <w:rStyle w:val="FootnoteReference"/>
        </w:rPr>
        <w:footnoteReference w:id="27"/>
      </w:r>
      <w:r>
        <w:t xml:space="preserve">  INGAA stresses that maintenance alone entails hundreds of thousands of property visits per year, and that to track these activities company personnel would have to write descriptions of each activity, visit the site to determine if new residences were installed since the last patrol, hire a land agent to identify all affected and abutting landowners, and craft and mail formal letters.</w:t>
      </w:r>
      <w:r>
        <w:rPr>
          <w:rStyle w:val="FootnoteReference"/>
        </w:rPr>
        <w:footnoteReference w:id="28"/>
      </w:r>
    </w:p>
    <w:p w:rsidR="007276B6" w:rsidRDefault="007276B6" w:rsidP="007276B6">
      <w:pPr>
        <w:pStyle w:val="FERCparanumber"/>
        <w:widowControl/>
        <w:numPr>
          <w:ilvl w:val="0"/>
          <w:numId w:val="3"/>
        </w:numPr>
        <w:tabs>
          <w:tab w:val="num" w:pos="1170"/>
        </w:tabs>
        <w:spacing w:line="480" w:lineRule="auto"/>
      </w:pPr>
      <w:r>
        <w:t>Golden Triangle asserts that the expense of complying with the proposed landowner notification requirements will have a significant impact on small entities.</w:t>
      </w:r>
      <w:r>
        <w:rPr>
          <w:rStyle w:val="FootnoteReference"/>
        </w:rPr>
        <w:t xml:space="preserve"> </w:t>
      </w:r>
      <w:r>
        <w:rPr>
          <w:rStyle w:val="FootnoteReference"/>
        </w:rPr>
        <w:footnoteReference w:id="29"/>
      </w:r>
      <w:r>
        <w:t xml:space="preserve">  Golden Triangle states that compliance with the landowner notification requirements will include increased costs to hire either a contractor or full-time employee, to create a database or purchase specialty software, and to mail out letters to all of its right-of-way easement holders.</w:t>
      </w:r>
      <w:r>
        <w:rPr>
          <w:rStyle w:val="FootnoteReference"/>
        </w:rPr>
        <w:footnoteReference w:id="30"/>
      </w:r>
    </w:p>
    <w:p w:rsidR="007276B6" w:rsidRDefault="007276B6" w:rsidP="007276B6">
      <w:pPr>
        <w:pStyle w:val="FERCparanumber"/>
        <w:widowControl/>
        <w:numPr>
          <w:ilvl w:val="0"/>
          <w:numId w:val="3"/>
        </w:numPr>
        <w:tabs>
          <w:tab w:val="num" w:pos="1170"/>
        </w:tabs>
        <w:spacing w:line="480" w:lineRule="auto"/>
      </w:pPr>
      <w:r>
        <w:t>WBI Energy and National Fuel argue that the Commission underestimated the amount of time it will take companies to prepare the notices.</w:t>
      </w:r>
      <w:r>
        <w:rPr>
          <w:rStyle w:val="FootnoteReference"/>
        </w:rPr>
        <w:footnoteReference w:id="31"/>
      </w:r>
      <w:r>
        <w:t xml:space="preserve">  WBI Energy and INGAA </w:t>
      </w:r>
      <w:r>
        <w:lastRenderedPageBreak/>
        <w:t>state that the NOPR’s estimate that there will be three times as many maintenance projects as section 2.55 projects is a gross underestimation.</w:t>
      </w:r>
      <w:r>
        <w:rPr>
          <w:rStyle w:val="FootnoteReference"/>
        </w:rPr>
        <w:footnoteReference w:id="32"/>
      </w:r>
      <w:r>
        <w:t xml:space="preserve">  National Fuel insists that the NOPR’s estimate that the entire industry will spend 39,000 hours to satisfy the notification requirement is low.  National Fuel predicts that it will be required to spend approximately six hours to prepare and deliver notices to all affected landowners for each maintenance activity.</w:t>
      </w:r>
      <w:r>
        <w:rPr>
          <w:rStyle w:val="FootnoteReference"/>
        </w:rPr>
        <w:footnoteReference w:id="33"/>
      </w:r>
      <w:r>
        <w:t xml:space="preserve">  Golden Triangle asserts it will spend at least 16 hours on 250 letters for mowing or noxious weed control, in addition to the eight hours it estimates will be required to research, update, and prepare separate letters for abutting landowners.</w:t>
      </w:r>
      <w:r>
        <w:rPr>
          <w:rStyle w:val="FootnoteReference"/>
        </w:rPr>
        <w:footnoteReference w:id="34"/>
      </w:r>
      <w:r>
        <w:t xml:space="preserve">  In addition, MidAmerican Energy states that the landowner notification requirement will impose varying burdens on individual pipelines based on the activity undertaken.  For example, it estimates that farm tap installation and maintenance will require 5,400 letters per year; check, operate, and lubricate maintenance will require 30,000 letters per year; and leak detection surveys will require 7,700 letters per year.</w:t>
      </w:r>
      <w:r>
        <w:rPr>
          <w:rStyle w:val="FootnoteReference"/>
        </w:rPr>
        <w:footnoteReference w:id="35"/>
      </w:r>
    </w:p>
    <w:p w:rsidR="007276B6" w:rsidRDefault="007276B6" w:rsidP="007276B6">
      <w:pPr>
        <w:pStyle w:val="FERCparanumber"/>
        <w:widowControl/>
        <w:numPr>
          <w:ilvl w:val="0"/>
          <w:numId w:val="3"/>
        </w:numPr>
        <w:tabs>
          <w:tab w:val="num" w:pos="1170"/>
        </w:tabs>
        <w:spacing w:line="480" w:lineRule="auto"/>
      </w:pPr>
      <w:r>
        <w:t xml:space="preserve">We acknowledge that given the wide range of maintenance activities described by </w:t>
      </w:r>
      <w:proofErr w:type="spellStart"/>
      <w:r>
        <w:t>commentors</w:t>
      </w:r>
      <w:proofErr w:type="spellEnd"/>
      <w:r>
        <w:t xml:space="preserve">, we may have underestimated the burden of providing prior notice to landowners that would have resulted from the NOPR’s proposal to require that </w:t>
      </w:r>
      <w:r>
        <w:lastRenderedPageBreak/>
        <w:t>companies notify landowners, including abutting landowners, prior to commencing any activities under section 2.55 or section 380.15.  However, as discussed above, we are limiting the requirement for prior notice to activities that will involve ground disturbance.  In addition, we are eliminating the proposed requirement that companies give prior notice to abutting landowners and to landowners with a residence within 50 feet of a proposed work area.</w:t>
      </w:r>
    </w:p>
    <w:p w:rsidR="007276B6" w:rsidRDefault="007276B6" w:rsidP="007276B6">
      <w:pPr>
        <w:pStyle w:val="FERCparanumber"/>
        <w:widowControl/>
        <w:numPr>
          <w:ilvl w:val="0"/>
          <w:numId w:val="3"/>
        </w:numPr>
        <w:tabs>
          <w:tab w:val="num" w:pos="1170"/>
        </w:tabs>
        <w:spacing w:line="480" w:lineRule="auto"/>
      </w:pPr>
      <w:r>
        <w:t xml:space="preserve">We believe these modifications to the NOPR’s proposed notice requirements will alleviate the concerns for the majority of the activities cited by </w:t>
      </w:r>
      <w:proofErr w:type="spellStart"/>
      <w:r>
        <w:t>commentors</w:t>
      </w:r>
      <w:proofErr w:type="spellEnd"/>
      <w:r>
        <w:t>.  As a result, we will use a multiplier of two times the number of all regulated companies’ estimated annual auxiliary installations under section 2.55(a)</w:t>
      </w:r>
      <w:r>
        <w:rPr>
          <w:rStyle w:val="FootnoteReference"/>
        </w:rPr>
        <w:footnoteReference w:id="36"/>
      </w:r>
      <w:r>
        <w:t xml:space="preserve"> as a reasonable estimate of the total annual number of auxiliary installations, replacement projects, and maintenance activities that will require prior notice to landowners because the activities will result in ground disturbance.  We acknowledge that basing the estimated total number of activities requiring prior notice on regulated companies’ estimates of the number of section 2.55(a) auxiliary installations undertaken annually is not going to yield the same number as basing our estimate on on-site surveys or other verifiable data; nevertheless, we believe our estimate is reasonable and is as accurate an estimate as can be readily established for purposes of calculating the anticipated burden.  </w:t>
      </w:r>
    </w:p>
    <w:p w:rsidR="007276B6" w:rsidRDefault="007276B6" w:rsidP="007276B6">
      <w:pPr>
        <w:pStyle w:val="FERCparanumber"/>
        <w:widowControl/>
        <w:numPr>
          <w:ilvl w:val="0"/>
          <w:numId w:val="3"/>
        </w:numPr>
        <w:tabs>
          <w:tab w:val="num" w:pos="1170"/>
        </w:tabs>
        <w:spacing w:line="480" w:lineRule="auto"/>
      </w:pPr>
      <w:r>
        <w:rPr>
          <w:lang w:eastAsia="x-none"/>
        </w:rPr>
        <w:t xml:space="preserve">As discussed herein, we are also </w:t>
      </w:r>
      <w:r>
        <w:rPr>
          <w:lang w:val="x-none" w:eastAsia="x-none"/>
        </w:rPr>
        <w:t>respon</w:t>
      </w:r>
      <w:r>
        <w:rPr>
          <w:lang w:eastAsia="x-none"/>
        </w:rPr>
        <w:t>ding</w:t>
      </w:r>
      <w:r>
        <w:rPr>
          <w:lang w:val="x-none" w:eastAsia="x-none"/>
        </w:rPr>
        <w:t xml:space="preserve"> to </w:t>
      </w:r>
      <w:r>
        <w:rPr>
          <w:lang w:eastAsia="x-none"/>
        </w:rPr>
        <w:t xml:space="preserve">companies’ </w:t>
      </w:r>
      <w:r>
        <w:rPr>
          <w:lang w:val="x-none" w:eastAsia="x-none"/>
        </w:rPr>
        <w:t xml:space="preserve">concerns that </w:t>
      </w:r>
      <w:r>
        <w:rPr>
          <w:lang w:eastAsia="x-none"/>
        </w:rPr>
        <w:t xml:space="preserve">it is often impractical to notify landowners at least </w:t>
      </w:r>
      <w:r>
        <w:rPr>
          <w:lang w:val="x-none" w:eastAsia="x-none"/>
        </w:rPr>
        <w:t>10 day</w:t>
      </w:r>
      <w:r>
        <w:rPr>
          <w:lang w:eastAsia="x-none"/>
        </w:rPr>
        <w:t>s</w:t>
      </w:r>
      <w:r>
        <w:rPr>
          <w:lang w:val="x-none" w:eastAsia="x-none"/>
        </w:rPr>
        <w:t xml:space="preserve"> </w:t>
      </w:r>
      <w:r>
        <w:rPr>
          <w:lang w:eastAsia="x-none"/>
        </w:rPr>
        <w:t>prior to the start of</w:t>
      </w:r>
      <w:r>
        <w:rPr>
          <w:lang w:val="x-none" w:eastAsia="x-none"/>
        </w:rPr>
        <w:t xml:space="preserve"> any </w:t>
      </w:r>
      <w:r>
        <w:rPr>
          <w:lang w:eastAsia="x-none"/>
        </w:rPr>
        <w:t xml:space="preserve">section 2.55 or </w:t>
      </w:r>
      <w:r>
        <w:rPr>
          <w:lang w:eastAsia="x-none"/>
        </w:rPr>
        <w:lastRenderedPageBreak/>
        <w:t xml:space="preserve">section 380.15 </w:t>
      </w:r>
      <w:proofErr w:type="gramStart"/>
      <w:r>
        <w:rPr>
          <w:lang w:val="x-none" w:eastAsia="x-none"/>
        </w:rPr>
        <w:t>activity</w:t>
      </w:r>
      <w:proofErr w:type="gramEnd"/>
      <w:r>
        <w:rPr>
          <w:lang w:eastAsia="x-none"/>
        </w:rPr>
        <w:t xml:space="preserve">, as the NOPR’s proposal would have required.  By requiring that notice be received </w:t>
      </w:r>
      <w:r>
        <w:rPr>
          <w:lang w:val="x-none" w:eastAsia="x-none"/>
        </w:rPr>
        <w:t>five days</w:t>
      </w:r>
      <w:r>
        <w:rPr>
          <w:lang w:eastAsia="x-none"/>
        </w:rPr>
        <w:t xml:space="preserve"> and not 10 days prior to undertaking any activity,</w:t>
      </w:r>
      <w:r>
        <w:rPr>
          <w:lang w:val="x-none" w:eastAsia="x-none"/>
        </w:rPr>
        <w:t xml:space="preserve"> </w:t>
      </w:r>
      <w:r>
        <w:rPr>
          <w:lang w:eastAsia="x-none"/>
        </w:rPr>
        <w:t xml:space="preserve">and limiting notice to only ground disturbing rather than all </w:t>
      </w:r>
      <w:proofErr w:type="gramStart"/>
      <w:r>
        <w:rPr>
          <w:lang w:eastAsia="x-none"/>
        </w:rPr>
        <w:t>section  2.55</w:t>
      </w:r>
      <w:proofErr w:type="gramEnd"/>
      <w:r>
        <w:rPr>
          <w:lang w:eastAsia="x-none"/>
        </w:rPr>
        <w:t xml:space="preserve"> and section 380.15 activities</w:t>
      </w:r>
      <w:r>
        <w:rPr>
          <w:lang w:val="x-none" w:eastAsia="x-none"/>
        </w:rPr>
        <w:t xml:space="preserve">, </w:t>
      </w:r>
      <w:r>
        <w:rPr>
          <w:lang w:eastAsia="x-none"/>
        </w:rPr>
        <w:t xml:space="preserve">we believe </w:t>
      </w:r>
      <w:r>
        <w:rPr>
          <w:lang w:val="x-none" w:eastAsia="x-none"/>
        </w:rPr>
        <w:t xml:space="preserve">companies will be subject to the minimal inconvenience necessary to ensure that landowners </w:t>
      </w:r>
      <w:r>
        <w:rPr>
          <w:lang w:eastAsia="x-none"/>
        </w:rPr>
        <w:t xml:space="preserve">receive adequate advance notice </w:t>
      </w:r>
      <w:r>
        <w:rPr>
          <w:lang w:val="x-none" w:eastAsia="x-none"/>
        </w:rPr>
        <w:t>of activities on their property</w:t>
      </w:r>
      <w:r>
        <w:rPr>
          <w:lang w:eastAsia="x-none"/>
        </w:rPr>
        <w:t xml:space="preserve"> that could adversely affect them</w:t>
      </w:r>
      <w:r>
        <w:rPr>
          <w:lang w:val="x-none" w:eastAsia="x-none"/>
        </w:rPr>
        <w:t>.</w:t>
      </w:r>
    </w:p>
    <w:p w:rsidR="007276B6" w:rsidRDefault="007276B6" w:rsidP="007276B6">
      <w:pPr>
        <w:pStyle w:val="FERCparanumber"/>
        <w:widowControl/>
        <w:numPr>
          <w:ilvl w:val="0"/>
          <w:numId w:val="3"/>
        </w:numPr>
        <w:tabs>
          <w:tab w:val="num" w:pos="1170"/>
        </w:tabs>
        <w:spacing w:line="480" w:lineRule="auto"/>
      </w:pPr>
      <w:r>
        <w:rPr>
          <w:lang w:val="x-none" w:eastAsia="x-none"/>
        </w:rPr>
        <w:t xml:space="preserve">Further, while Golden Triangle </w:t>
      </w:r>
      <w:r>
        <w:rPr>
          <w:lang w:eastAsia="x-none"/>
        </w:rPr>
        <w:t xml:space="preserve">indicates </w:t>
      </w:r>
      <w:r>
        <w:rPr>
          <w:lang w:val="x-none" w:eastAsia="x-none"/>
        </w:rPr>
        <w:t xml:space="preserve">that compliance with the landowner notification requirements </w:t>
      </w:r>
      <w:r>
        <w:rPr>
          <w:lang w:eastAsia="x-none"/>
        </w:rPr>
        <w:t xml:space="preserve">may require companies </w:t>
      </w:r>
      <w:r>
        <w:rPr>
          <w:lang w:val="x-none" w:eastAsia="x-none"/>
        </w:rPr>
        <w:t xml:space="preserve">to create a database or purchase specialty software, </w:t>
      </w:r>
      <w:r>
        <w:rPr>
          <w:lang w:eastAsia="x-none"/>
        </w:rPr>
        <w:t xml:space="preserve">we do not believe it is unreasonable or burdensome if </w:t>
      </w:r>
      <w:r>
        <w:rPr>
          <w:lang w:val="x-none" w:eastAsia="x-none"/>
        </w:rPr>
        <w:t xml:space="preserve">the new notice requirements necessitate </w:t>
      </w:r>
      <w:r>
        <w:rPr>
          <w:lang w:eastAsia="x-none"/>
        </w:rPr>
        <w:t xml:space="preserve">that some companies </w:t>
      </w:r>
      <w:r>
        <w:rPr>
          <w:lang w:val="x-none" w:eastAsia="x-none"/>
        </w:rPr>
        <w:t xml:space="preserve">update </w:t>
      </w:r>
      <w:r>
        <w:rPr>
          <w:lang w:eastAsia="x-none"/>
        </w:rPr>
        <w:t xml:space="preserve">their </w:t>
      </w:r>
      <w:r>
        <w:rPr>
          <w:lang w:val="x-none" w:eastAsia="x-none"/>
        </w:rPr>
        <w:t>databases</w:t>
      </w:r>
      <w:r>
        <w:rPr>
          <w:lang w:eastAsia="x-none"/>
        </w:rPr>
        <w:t>.</w:t>
      </w:r>
      <w:r>
        <w:rPr>
          <w:lang w:val="x-none" w:eastAsia="x-none"/>
        </w:rPr>
        <w:t xml:space="preserve">  </w:t>
      </w:r>
      <w:r>
        <w:rPr>
          <w:lang w:eastAsia="x-none"/>
        </w:rPr>
        <w:t>All gas companies (regardless of size)</w:t>
      </w:r>
      <w:r>
        <w:rPr>
          <w:lang w:val="x-none" w:eastAsia="x-none"/>
        </w:rPr>
        <w:t xml:space="preserve"> need to know</w:t>
      </w:r>
      <w:r>
        <w:rPr>
          <w:lang w:eastAsia="x-none"/>
        </w:rPr>
        <w:t>,</w:t>
      </w:r>
      <w:r>
        <w:rPr>
          <w:lang w:val="x-none" w:eastAsia="x-none"/>
        </w:rPr>
        <w:t xml:space="preserve"> </w:t>
      </w:r>
      <w:r>
        <w:rPr>
          <w:lang w:eastAsia="x-none"/>
        </w:rPr>
        <w:t xml:space="preserve">both to enhance, replace, and maintain their facilities and to be able to respond to emergencies, </w:t>
      </w:r>
      <w:r>
        <w:rPr>
          <w:lang w:val="x-none" w:eastAsia="x-none"/>
        </w:rPr>
        <w:t>precisely where their rights-of-way lie, how to get to their facilities, and how to contact the owner</w:t>
      </w:r>
      <w:r>
        <w:rPr>
          <w:lang w:eastAsia="x-none"/>
        </w:rPr>
        <w:t>s</w:t>
      </w:r>
      <w:r>
        <w:rPr>
          <w:lang w:val="x-none" w:eastAsia="x-none"/>
        </w:rPr>
        <w:t xml:space="preserve"> of the properties their facilities sit upon.</w:t>
      </w:r>
      <w:r>
        <w:rPr>
          <w:rStyle w:val="FootnoteReference"/>
        </w:rPr>
        <w:footnoteReference w:id="37"/>
      </w:r>
      <w:r>
        <w:rPr>
          <w:lang w:val="x-none" w:eastAsia="x-none"/>
        </w:rPr>
        <w:t xml:space="preserve">  The new notice requirements require companies to do little more than access this </w:t>
      </w:r>
      <w:r>
        <w:rPr>
          <w:lang w:val="x-none" w:eastAsia="x-none"/>
        </w:rPr>
        <w:lastRenderedPageBreak/>
        <w:t>existing information and update it as needed.</w:t>
      </w:r>
      <w:r>
        <w:rPr>
          <w:rStyle w:val="FootnoteReference"/>
        </w:rPr>
        <w:footnoteReference w:id="38"/>
      </w:r>
      <w:r>
        <w:rPr>
          <w:lang w:val="x-none" w:eastAsia="x-none"/>
        </w:rPr>
        <w:t>  Prepar</w:t>
      </w:r>
      <w:r>
        <w:rPr>
          <w:lang w:eastAsia="x-none"/>
        </w:rPr>
        <w:t>ation</w:t>
      </w:r>
      <w:r>
        <w:rPr>
          <w:lang w:val="x-none" w:eastAsia="x-none"/>
        </w:rPr>
        <w:t xml:space="preserve"> </w:t>
      </w:r>
      <w:r>
        <w:rPr>
          <w:lang w:eastAsia="x-none"/>
        </w:rPr>
        <w:t xml:space="preserve">of </w:t>
      </w:r>
      <w:r>
        <w:rPr>
          <w:lang w:val="x-none" w:eastAsia="x-none"/>
        </w:rPr>
        <w:t xml:space="preserve">a notice </w:t>
      </w:r>
      <w:r>
        <w:rPr>
          <w:lang w:eastAsia="x-none"/>
        </w:rPr>
        <w:t xml:space="preserve">using information </w:t>
      </w:r>
      <w:r>
        <w:rPr>
          <w:lang w:val="x-none" w:eastAsia="x-none"/>
        </w:rPr>
        <w:t xml:space="preserve">a company </w:t>
      </w:r>
      <w:r>
        <w:rPr>
          <w:lang w:eastAsia="x-none"/>
        </w:rPr>
        <w:t xml:space="preserve">already needs to </w:t>
      </w:r>
      <w:r>
        <w:rPr>
          <w:lang w:val="x-none" w:eastAsia="x-none"/>
        </w:rPr>
        <w:t>have on hand should not be burdensome or delay the commencement or progress of activit</w:t>
      </w:r>
      <w:r>
        <w:rPr>
          <w:lang w:eastAsia="x-none"/>
        </w:rPr>
        <w:t>ies under section 2.55 or section 380.15</w:t>
      </w:r>
      <w:r>
        <w:rPr>
          <w:lang w:val="x-none" w:eastAsia="x-none"/>
        </w:rPr>
        <w:t>.</w:t>
      </w:r>
    </w:p>
    <w:p w:rsidR="0078241C" w:rsidRDefault="0078241C"/>
    <w:sectPr w:rsidR="0078241C" w:rsidSect="00565EC0">
      <w:headerReference w:type="first" r:id="rId8"/>
      <w:pgSz w:w="12240" w:h="15840" w:code="1"/>
      <w:pgMar w:top="1440" w:right="1440" w:bottom="1440" w:left="1440" w:header="1440" w:footer="144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059" w:rsidRDefault="00467059" w:rsidP="007276B6">
      <w:r>
        <w:separator/>
      </w:r>
    </w:p>
  </w:endnote>
  <w:endnote w:type="continuationSeparator" w:id="0">
    <w:p w:rsidR="00467059" w:rsidRDefault="00467059" w:rsidP="00727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059" w:rsidRDefault="00467059" w:rsidP="007276B6">
      <w:r>
        <w:separator/>
      </w:r>
    </w:p>
  </w:footnote>
  <w:footnote w:type="continuationSeparator" w:id="0">
    <w:p w:rsidR="00467059" w:rsidRDefault="00467059" w:rsidP="007276B6">
      <w:r>
        <w:continuationSeparator/>
      </w:r>
    </w:p>
  </w:footnote>
  <w:footnote w:id="1">
    <w:p w:rsidR="007276B6" w:rsidRDefault="007276B6" w:rsidP="007276B6">
      <w:pPr>
        <w:pStyle w:val="FootnoteText"/>
      </w:pPr>
      <w:r>
        <w:rPr>
          <w:rStyle w:val="FootnoteReference"/>
        </w:rPr>
        <w:footnoteRef/>
      </w:r>
      <w:r>
        <w:t xml:space="preserve"> INGAA’s March 2013 Comments at p. 5.</w:t>
      </w:r>
    </w:p>
  </w:footnote>
  <w:footnote w:id="2">
    <w:p w:rsidR="007276B6" w:rsidRDefault="007276B6" w:rsidP="007276B6">
      <w:pPr>
        <w:pStyle w:val="FootnoteText"/>
      </w:pPr>
      <w:r>
        <w:rPr>
          <w:rStyle w:val="FootnoteReference"/>
        </w:rPr>
        <w:footnoteRef/>
      </w:r>
      <w:r>
        <w:t xml:space="preserve"> INGAA’s March 2013 Comments at p. 22.</w:t>
      </w:r>
    </w:p>
  </w:footnote>
  <w:footnote w:id="3">
    <w:p w:rsidR="007276B6" w:rsidRDefault="007276B6" w:rsidP="007276B6">
      <w:pPr>
        <w:pStyle w:val="FootnoteText"/>
      </w:pPr>
      <w:r>
        <w:rPr>
          <w:rStyle w:val="FootnoteReference"/>
        </w:rPr>
        <w:footnoteRef/>
      </w:r>
      <w:r>
        <w:t xml:space="preserve"> The NOPR defined “affected landowners” for purposes of companies’ activities under sections 2.55 and 380.15 as “owners of property interests, as noted in the most recent tax notice, whose property (1) is directly affected (i.e., crossed or used) by the proposed activity, including all rights-of-way, facility sites, access roads, pipe and contractor yards, and temporary work space; or (2) abuts either side of an existing right-of-way or facility site, or abuts the edge or a proposed right-of-way or facility site which runs along a property line in the area in which the facilities would be constructed, or contains a residence within 50 feet of the proposed construction work area.”</w:t>
      </w:r>
      <w:r>
        <w:rPr>
          <w:i/>
        </w:rPr>
        <w:t xml:space="preserve">  </w:t>
      </w:r>
      <w:proofErr w:type="gramStart"/>
      <w:r>
        <w:t>78 FR at 683, NOPR, FERC Stats.</w:t>
      </w:r>
      <w:proofErr w:type="gramEnd"/>
      <w:r>
        <w:t xml:space="preserve"> </w:t>
      </w:r>
      <w:proofErr w:type="gramStart"/>
      <w:r>
        <w:t xml:space="preserve">&amp; </w:t>
      </w:r>
      <w:proofErr w:type="spellStart"/>
      <w:r>
        <w:t>Regs</w:t>
      </w:r>
      <w:proofErr w:type="spellEnd"/>
      <w:r>
        <w:t>.</w:t>
      </w:r>
      <w:proofErr w:type="gramEnd"/>
      <w:r>
        <w:t xml:space="preserve"> </w:t>
      </w:r>
      <w:proofErr w:type="gramStart"/>
      <w:r>
        <w:t>¶ 32,696 at P 30 (</w:t>
      </w:r>
      <w:proofErr w:type="spellStart"/>
      <w:r>
        <w:t>corss</w:t>
      </w:r>
      <w:proofErr w:type="spellEnd"/>
      <w:r>
        <w:t>-referenced at 141 FERC           ¶ 61,228).</w:t>
      </w:r>
      <w:proofErr w:type="gramEnd"/>
    </w:p>
  </w:footnote>
  <w:footnote w:id="4">
    <w:p w:rsidR="007276B6" w:rsidRDefault="007276B6" w:rsidP="007276B6">
      <w:pPr>
        <w:pStyle w:val="FootnoteText"/>
      </w:pPr>
      <w:r>
        <w:rPr>
          <w:rStyle w:val="FootnoteReference"/>
        </w:rPr>
        <w:footnoteRef/>
      </w:r>
      <w:r>
        <w:t xml:space="preserve"> Additionally, </w:t>
      </w:r>
      <w:proofErr w:type="spellStart"/>
      <w:r>
        <w:t>commentors</w:t>
      </w:r>
      <w:proofErr w:type="spellEnd"/>
      <w:r>
        <w:t xml:space="preserve"> state that the 10-day prior notice period prevents companies from adjusting maintenance schedules due to weather, equipment availability, permitting processes, etc.</w:t>
      </w:r>
    </w:p>
  </w:footnote>
  <w:footnote w:id="5">
    <w:p w:rsidR="007276B6" w:rsidRDefault="007276B6" w:rsidP="007276B6">
      <w:pPr>
        <w:pStyle w:val="FootnoteText"/>
      </w:pPr>
      <w:r>
        <w:rPr>
          <w:rStyle w:val="FootnoteReference"/>
        </w:rPr>
        <w:footnoteRef/>
      </w:r>
      <w:r>
        <w:t xml:space="preserve"> INGAA’s March 2013 Comments at p. 7.  INGAA cites to </w:t>
      </w:r>
      <w:r>
        <w:rPr>
          <w:i/>
        </w:rPr>
        <w:t>Californians for Renewable Energy, Inc.</w:t>
      </w:r>
      <w:r>
        <w:t>, 133 FERC ¶ 61,194, at P 26 (2010), to support its statement that “[t]</w:t>
      </w:r>
      <w:proofErr w:type="spellStart"/>
      <w:r>
        <w:t>hus</w:t>
      </w:r>
      <w:proofErr w:type="spellEnd"/>
      <w:r>
        <w:t xml:space="preserve"> far, the Commission properly has refrained from exercising jurisdiction over easement or right-of-way agreements, and has appropriately deferred the formal resolution of disputes in such matters to the courts.”  We agree that formal resolution of disputes over the terms of easements and right-of-way agreements belong in the courts and we are not claiming jurisdiction over these matters by imposing landowner notification requirements for Commission-authorized activities.</w:t>
      </w:r>
    </w:p>
  </w:footnote>
  <w:footnote w:id="6">
    <w:p w:rsidR="007276B6" w:rsidRDefault="007276B6" w:rsidP="007276B6">
      <w:pPr>
        <w:pStyle w:val="FootnoteText"/>
      </w:pPr>
      <w:r>
        <w:rPr>
          <w:rStyle w:val="FootnoteReference"/>
        </w:rPr>
        <w:footnoteRef/>
      </w:r>
      <w:r>
        <w:t xml:space="preserve"> Order No. 609, 64 FR 57374 (October 25, 1999), FERC Stats. </w:t>
      </w:r>
      <w:proofErr w:type="gramStart"/>
      <w:r>
        <w:t xml:space="preserve">&amp; </w:t>
      </w:r>
      <w:proofErr w:type="spellStart"/>
      <w:r>
        <w:t>Regs</w:t>
      </w:r>
      <w:proofErr w:type="spellEnd"/>
      <w:r>
        <w:t>.</w:t>
      </w:r>
      <w:proofErr w:type="gramEnd"/>
      <w:r>
        <w:t xml:space="preserve"> </w:t>
      </w:r>
      <w:proofErr w:type="gramStart"/>
      <w:r>
        <w:t>¶ 31,082 (1999).</w:t>
      </w:r>
      <w:proofErr w:type="gramEnd"/>
      <w:r>
        <w:t xml:space="preserve"> </w:t>
      </w:r>
    </w:p>
  </w:footnote>
  <w:footnote w:id="7">
    <w:p w:rsidR="007276B6" w:rsidRDefault="007276B6" w:rsidP="007276B6">
      <w:pPr>
        <w:pStyle w:val="FootnoteText"/>
      </w:pPr>
      <w:r>
        <w:rPr>
          <w:rStyle w:val="FootnoteReference"/>
        </w:rPr>
        <w:footnoteRef/>
      </w:r>
      <w:r>
        <w:t xml:space="preserve"> INGAA’s March 2013 Comments at pp. 6-7.  INGAA also notes that “[a] pipeline must own the property or have an easement to perform maintenance, and the same is true for a pipeline to install, modify, replace, improve, alter, operate, maintain, access, inspect, patrol, protect, abandon, etc. auxiliary installations and replacement facilities.”  </w:t>
      </w:r>
      <w:r>
        <w:rPr>
          <w:i/>
        </w:rPr>
        <w:t>Id</w:t>
      </w:r>
      <w:r>
        <w:t>. at p. 12.</w:t>
      </w:r>
    </w:p>
  </w:footnote>
  <w:footnote w:id="8">
    <w:p w:rsidR="007276B6" w:rsidRDefault="007276B6" w:rsidP="007276B6">
      <w:pPr>
        <w:pStyle w:val="FootnoteText"/>
      </w:pPr>
      <w:r>
        <w:rPr>
          <w:rStyle w:val="FootnoteReference"/>
        </w:rPr>
        <w:footnoteRef/>
      </w:r>
      <w:r>
        <w:t xml:space="preserve"> Order No. 609, 64 FR 57374 at 57382, FERC Stats. </w:t>
      </w:r>
      <w:proofErr w:type="gramStart"/>
      <w:r>
        <w:t xml:space="preserve">&amp; </w:t>
      </w:r>
      <w:proofErr w:type="spellStart"/>
      <w:r>
        <w:t>Regs</w:t>
      </w:r>
      <w:proofErr w:type="spellEnd"/>
      <w:r>
        <w:t xml:space="preserve"> ¶ 31,082.</w:t>
      </w:r>
      <w:proofErr w:type="gramEnd"/>
    </w:p>
  </w:footnote>
  <w:footnote w:id="9">
    <w:p w:rsidR="007276B6" w:rsidRDefault="007276B6" w:rsidP="007276B6">
      <w:pPr>
        <w:pStyle w:val="FootnoteText"/>
      </w:pPr>
      <w:r>
        <w:rPr>
          <w:rStyle w:val="FootnoteReference"/>
        </w:rPr>
        <w:footnoteRef/>
      </w:r>
      <w:r>
        <w:t xml:space="preserve"> </w:t>
      </w:r>
      <w:r>
        <w:rPr>
          <w:i/>
        </w:rPr>
        <w:t>Id</w:t>
      </w:r>
      <w:r>
        <w:t>.</w:t>
      </w:r>
    </w:p>
  </w:footnote>
  <w:footnote w:id="10">
    <w:p w:rsidR="007276B6" w:rsidRDefault="007276B6" w:rsidP="007276B6">
      <w:pPr>
        <w:pStyle w:val="FootnoteText"/>
      </w:pPr>
      <w:r>
        <w:rPr>
          <w:rStyle w:val="FootnoteReference"/>
        </w:rPr>
        <w:footnoteRef/>
      </w:r>
      <w:r>
        <w:t xml:space="preserve"> In addition, section 157.14(a)(9)(iv) of the Commission’s regulations requires an applicant for NGA section 7 certificate authority to certify that it will “maintain the facilities for which a certificate is requested in accordance with Federal safety standards.”</w:t>
      </w:r>
      <w:r>
        <w:rPr>
          <w:rStyle w:val="FootnoteReference"/>
        </w:rPr>
        <w:t xml:space="preserve"> </w:t>
      </w:r>
      <w:r>
        <w:t xml:space="preserve"> 18 CFR 157.14(a</w:t>
      </w:r>
      <w:proofErr w:type="gramStart"/>
      <w:r>
        <w:t>)(</w:t>
      </w:r>
      <w:proofErr w:type="gramEnd"/>
      <w:r>
        <w:t>9)(iv) (2013).  Likewise, NGA section 7(h) gives the certificate holder eminent domain authority to acquire rights necessary to “construct, operate, and maintain a pipe line.”</w:t>
      </w:r>
      <w:r>
        <w:rPr>
          <w:rStyle w:val="FootnoteReference"/>
        </w:rPr>
        <w:t xml:space="preserve"> </w:t>
      </w:r>
      <w:r>
        <w:t xml:space="preserve"> 15 U.S.C. </w:t>
      </w:r>
      <w:proofErr w:type="gramStart"/>
      <w:r>
        <w:t>717</w:t>
      </w:r>
      <w:r>
        <w:rPr>
          <w:i/>
        </w:rPr>
        <w:t>f</w:t>
      </w:r>
      <w:r>
        <w:t>(</w:t>
      </w:r>
      <w:proofErr w:type="gramEnd"/>
      <w:r>
        <w:t xml:space="preserve">h) (2012).  </w:t>
      </w:r>
      <w:r>
        <w:rPr>
          <w:i/>
        </w:rPr>
        <w:t>See Brian Hamilton</w:t>
      </w:r>
      <w:r>
        <w:t>, 141 FERC ¶ 61,229, at PP 24-25 (2012) (</w:t>
      </w:r>
      <w:r>
        <w:rPr>
          <w:i/>
        </w:rPr>
        <w:t>Hamilton</w:t>
      </w:r>
      <w:r>
        <w:t>).  Therefore, the Commission has jurisdiction over maintenance activities, and has the authority to require landowner notice as a condition of a company’s jurisdictional maintenance activities.</w:t>
      </w:r>
    </w:p>
  </w:footnote>
  <w:footnote w:id="11">
    <w:p w:rsidR="007276B6" w:rsidRDefault="007276B6" w:rsidP="007276B6">
      <w:pPr>
        <w:pStyle w:val="FootnoteText"/>
      </w:pPr>
      <w:r>
        <w:rPr>
          <w:rStyle w:val="FootnoteReference"/>
        </w:rPr>
        <w:footnoteRef/>
      </w:r>
      <w:r>
        <w:t xml:space="preserve"> Contrary to National Fuel’s assertion</w:t>
      </w:r>
      <w:r>
        <w:rPr>
          <w:i/>
        </w:rPr>
        <w:t xml:space="preserve"> </w:t>
      </w:r>
      <w:r>
        <w:t>(</w:t>
      </w:r>
      <w:r>
        <w:rPr>
          <w:i/>
        </w:rPr>
        <w:t xml:space="preserve">see </w:t>
      </w:r>
      <w:r>
        <w:t>National Fuel’s Comments</w:t>
      </w:r>
      <w:r>
        <w:rPr>
          <w:u w:val="single"/>
        </w:rPr>
        <w:t xml:space="preserve"> </w:t>
      </w:r>
      <w:r>
        <w:t xml:space="preserve">at p. 2), the Commission is not restricted to requiring landowner notification only for companies’ activities under their Part 157 blanket and case-specific certificates.  As discussed </w:t>
      </w:r>
      <w:proofErr w:type="gramStart"/>
      <w:r>
        <w:rPr>
          <w:i/>
        </w:rPr>
        <w:t>supra</w:t>
      </w:r>
      <w:r>
        <w:t xml:space="preserve">  PP</w:t>
      </w:r>
      <w:proofErr w:type="gramEnd"/>
      <w:r>
        <w:t xml:space="preserve"> 13-16 auxiliary and replacement facilities are NGA-jurisdictional facilities that can be constructed only with the requisite section 7 certificate authority, which the Commission provided when it adopted section 2.55 as a precursor to the Part 157 blanket certificate construction program.  Further, the authorization to perform maintenance on gas facilities comes from the certificate authority under which the facilities were or will be constructed – whether it </w:t>
      </w:r>
      <w:proofErr w:type="gramStart"/>
      <w:r>
        <w:t>be</w:t>
      </w:r>
      <w:proofErr w:type="gramEnd"/>
      <w:r>
        <w:t xml:space="preserve"> self-implementing section 2.55 certificate authority, Part 157 blanket certificate authority, or case-specific certificate authority.  As the Commission explained in </w:t>
      </w:r>
      <w:r>
        <w:rPr>
          <w:i/>
        </w:rPr>
        <w:t>Hamilton</w:t>
      </w:r>
      <w:r>
        <w:t>, 141 FERC ¶ 61,229, at P 24, “[</w:t>
      </w:r>
      <w:proofErr w:type="spellStart"/>
      <w:r>
        <w:t>i</w:t>
      </w:r>
      <w:proofErr w:type="spellEnd"/>
      <w:r>
        <w:t>]</w:t>
      </w:r>
      <w:r>
        <w:rPr>
          <w:szCs w:val="24"/>
        </w:rPr>
        <w:t>t does not necessarily follow, however, that [a natural gas company] has no responsibilities merely because the activity neither falls within the replacement of facilities under section 2.55(b) nor under the blanket construction provisions.  When the Commission authorizes a natural gas company to construct and operate pipeline facilities, the authority must necessarily include authority to maintain the pipeline.”</w:t>
      </w:r>
      <w:r>
        <w:t xml:space="preserve">  </w:t>
      </w:r>
    </w:p>
  </w:footnote>
  <w:footnote w:id="12">
    <w:p w:rsidR="007276B6" w:rsidRDefault="007276B6" w:rsidP="007276B6">
      <w:pPr>
        <w:pStyle w:val="FootnoteText"/>
      </w:pPr>
      <w:r>
        <w:rPr>
          <w:rStyle w:val="FootnoteReference"/>
        </w:rPr>
        <w:footnoteRef/>
      </w:r>
      <w:r>
        <w:t xml:space="preserve"> National Fuel argues that the NOPR relied on NEPA as a basis for requiring landowner notification for maintenance activities.  </w:t>
      </w:r>
      <w:proofErr w:type="gramStart"/>
      <w:r>
        <w:t>National Fuel’s Comments at p. 3.</w:t>
      </w:r>
      <w:proofErr w:type="gramEnd"/>
      <w:r>
        <w:t xml:space="preserve">  It did not.  The rationale for requiring notification is our belief that landowners should be informed in advance of any activity that will take place on their property as a consequence of our granting a company an NGA section 7(c) certificate.  The jurisdictional basis for this requirement is as a condition to the certificate, which we impose to ensure company actions are consistent with the public interest.  The NOPR, however, did rely on NEPA as a basis for restricting companies’ activities to areas subject to an environmental review, and as a result thereof, authorized for a particular use.</w:t>
      </w:r>
    </w:p>
  </w:footnote>
  <w:footnote w:id="13">
    <w:p w:rsidR="007276B6" w:rsidRDefault="007276B6" w:rsidP="007276B6">
      <w:pPr>
        <w:pStyle w:val="FootnoteText"/>
      </w:pPr>
      <w:r>
        <w:rPr>
          <w:rStyle w:val="FootnoteReference"/>
        </w:rPr>
        <w:footnoteRef/>
      </w:r>
      <w:r>
        <w:t xml:space="preserve"> </w:t>
      </w:r>
      <w:r>
        <w:rPr>
          <w:i/>
        </w:rPr>
        <w:t>See</w:t>
      </w:r>
      <w:r>
        <w:t xml:space="preserve"> INGAA’s March 2013 Comments at pp. 6 and 12, Southern Star’s Comments at p. 6, Golden Triangle’s Comments at p. 4, WBI Energy’s Comments at p. 7, and National Fuel’s Comments at pp. 2-3.</w:t>
      </w:r>
    </w:p>
  </w:footnote>
  <w:footnote w:id="14">
    <w:p w:rsidR="007276B6" w:rsidRDefault="007276B6" w:rsidP="007276B6">
      <w:pPr>
        <w:pStyle w:val="FootnoteText"/>
      </w:pPr>
      <w:r>
        <w:rPr>
          <w:rStyle w:val="FootnoteReference"/>
        </w:rPr>
        <w:footnoteRef/>
      </w:r>
      <w:r>
        <w:t xml:space="preserve"> INGAA’s March 2013</w:t>
      </w:r>
      <w:r>
        <w:rPr>
          <w:i/>
        </w:rPr>
        <w:t xml:space="preserve"> </w:t>
      </w:r>
      <w:r>
        <w:t>Comments at p. 9 and National Fuel’s Comments at p. 5.</w:t>
      </w:r>
    </w:p>
  </w:footnote>
  <w:footnote w:id="15">
    <w:p w:rsidR="007276B6" w:rsidRDefault="007276B6" w:rsidP="007276B6">
      <w:pPr>
        <w:pStyle w:val="FootnoteText"/>
      </w:pPr>
      <w:r>
        <w:rPr>
          <w:b/>
          <w:vertAlign w:val="superscript"/>
        </w:rPr>
        <w:footnoteRef/>
      </w:r>
      <w:r>
        <w:t xml:space="preserve"> </w:t>
      </w:r>
      <w:r>
        <w:rPr>
          <w:i/>
        </w:rPr>
        <w:t>Interim Revisions to Regulations Governing Construction of Facilities Pursuant to NGPA Section 311 and Replacement of Facilities</w:t>
      </w:r>
      <w:r>
        <w:t xml:space="preserve">, 52 FERC ¶ 61,252, at 61,877 (1990).  </w:t>
      </w:r>
      <w:r>
        <w:rPr>
          <w:i/>
        </w:rPr>
        <w:t>See also</w:t>
      </w:r>
      <w:r>
        <w:t xml:space="preserve"> section 157.203(d</w:t>
      </w:r>
      <w:proofErr w:type="gramStart"/>
      <w:r>
        <w:t>)(</w:t>
      </w:r>
      <w:proofErr w:type="gramEnd"/>
      <w:r>
        <w:t>3)(</w:t>
      </w:r>
      <w:proofErr w:type="spellStart"/>
      <w:r>
        <w:t>i</w:t>
      </w:r>
      <w:proofErr w:type="spellEnd"/>
      <w:r>
        <w:t xml:space="preserve">), which states that “no landowner notice is required” for any blanket program “replacement done for safety, DOT compliance, environmental, or unplanned maintenance reasons that are not foreseen and that require immediate attention by the certificate holder.”   </w:t>
      </w:r>
    </w:p>
  </w:footnote>
  <w:footnote w:id="16">
    <w:p w:rsidR="007276B6" w:rsidRDefault="007276B6" w:rsidP="007276B6">
      <w:pPr>
        <w:pStyle w:val="FootnoteText"/>
      </w:pPr>
      <w:r>
        <w:rPr>
          <w:rStyle w:val="FootnoteReference"/>
        </w:rPr>
        <w:footnoteRef/>
      </w:r>
      <w:r>
        <w:t xml:space="preserve"> 18 CFR 157.203(d</w:t>
      </w:r>
      <w:proofErr w:type="gramStart"/>
      <w:r>
        <w:t>)(</w:t>
      </w:r>
      <w:proofErr w:type="gramEnd"/>
      <w:r>
        <w:t>1) (2013).</w:t>
      </w:r>
    </w:p>
  </w:footnote>
  <w:footnote w:id="17">
    <w:p w:rsidR="007276B6" w:rsidRDefault="007276B6" w:rsidP="007276B6">
      <w:pPr>
        <w:pStyle w:val="FootnoteText"/>
      </w:pPr>
      <w:r>
        <w:rPr>
          <w:rStyle w:val="FootnoteReference"/>
        </w:rPr>
        <w:footnoteRef/>
      </w:r>
      <w:r>
        <w:t xml:space="preserve"> 18 CFR 157.203(d</w:t>
      </w:r>
      <w:proofErr w:type="gramStart"/>
      <w:r>
        <w:t>)(</w:t>
      </w:r>
      <w:proofErr w:type="gramEnd"/>
      <w:r>
        <w:t>3)(</w:t>
      </w:r>
      <w:proofErr w:type="spellStart"/>
      <w:r>
        <w:t>i</w:t>
      </w:r>
      <w:proofErr w:type="spellEnd"/>
      <w:r>
        <w:t>) (2013).  To qualify under section 2.55(b) a replacement project must have a substantially equivalent designed delivery capacity as the original facility.  18 CFR 2.55(b</w:t>
      </w:r>
      <w:proofErr w:type="gramStart"/>
      <w:r>
        <w:t>)(</w:t>
      </w:r>
      <w:proofErr w:type="gramEnd"/>
      <w:r>
        <w:t>1)(ii) (2013).</w:t>
      </w:r>
    </w:p>
  </w:footnote>
  <w:footnote w:id="18">
    <w:p w:rsidR="007276B6" w:rsidRDefault="007276B6" w:rsidP="007276B6">
      <w:pPr>
        <w:pStyle w:val="FootnoteText"/>
      </w:pPr>
      <w:r>
        <w:rPr>
          <w:rStyle w:val="FootnoteReference"/>
        </w:rPr>
        <w:footnoteRef/>
      </w:r>
      <w:r>
        <w:t xml:space="preserve"> </w:t>
      </w:r>
      <w:proofErr w:type="gramStart"/>
      <w:r>
        <w:t>WBI Energy’s Comments at pp. 8-9.</w:t>
      </w:r>
      <w:proofErr w:type="gramEnd"/>
    </w:p>
  </w:footnote>
  <w:footnote w:id="19">
    <w:p w:rsidR="007276B6" w:rsidRDefault="007276B6" w:rsidP="007276B6">
      <w:pPr>
        <w:pStyle w:val="FootnoteText"/>
      </w:pPr>
      <w:r>
        <w:rPr>
          <w:rStyle w:val="FootnoteReference"/>
        </w:rPr>
        <w:footnoteRef/>
      </w:r>
      <w:r>
        <w:t xml:space="preserve"> </w:t>
      </w:r>
      <w:r>
        <w:rPr>
          <w:i/>
        </w:rPr>
        <w:t>Id</w:t>
      </w:r>
      <w:r>
        <w:t xml:space="preserve">. In Order No. 609, in response to similar apprehensions regarding a requirement for companies to include information in landowner notices on how to contact the Commission’s Enforcement Hotline, we stated we did not believe “that including a reference to the Enforcement Hotline implies the company is doing something unlawful,” and added that we expected companies “will be able to present it as merely being a means to contact the Commission, which is in fact what it is.”  </w:t>
      </w:r>
      <w:proofErr w:type="gramStart"/>
      <w:r>
        <w:t>64 FR 57374, 57384.</w:t>
      </w:r>
      <w:proofErr w:type="gramEnd"/>
    </w:p>
  </w:footnote>
  <w:footnote w:id="20">
    <w:p w:rsidR="007276B6" w:rsidRDefault="007276B6" w:rsidP="007276B6">
      <w:pPr>
        <w:pStyle w:val="FootnoteText"/>
      </w:pPr>
      <w:r>
        <w:rPr>
          <w:rStyle w:val="FootnoteReference"/>
        </w:rPr>
        <w:footnoteRef/>
      </w:r>
      <w:r>
        <w:t xml:space="preserve"> </w:t>
      </w:r>
      <w:r>
        <w:rPr>
          <w:i/>
        </w:rPr>
        <w:t xml:space="preserve">See </w:t>
      </w:r>
      <w:r>
        <w:t>49 CFR 192.616 (2013).</w:t>
      </w:r>
    </w:p>
  </w:footnote>
  <w:footnote w:id="21">
    <w:p w:rsidR="007276B6" w:rsidRDefault="007276B6" w:rsidP="007276B6">
      <w:pPr>
        <w:pStyle w:val="FootnoteText"/>
        <w:rPr>
          <w:szCs w:val="26"/>
        </w:rPr>
      </w:pPr>
      <w:r>
        <w:rPr>
          <w:rStyle w:val="FootnoteReference"/>
        </w:rPr>
        <w:footnoteRef/>
      </w:r>
      <w:r>
        <w:rPr>
          <w:i/>
        </w:rPr>
        <w:t xml:space="preserve"> See</w:t>
      </w:r>
      <w:r>
        <w:t xml:space="preserve"> </w:t>
      </w:r>
      <w:r>
        <w:rPr>
          <w:bCs/>
          <w:szCs w:val="26"/>
          <w:shd w:val="clear" w:color="auto" w:fill="FFFFFF"/>
        </w:rPr>
        <w:t>http://mycommittees.api.org/standards/pipeline/1162%20Links/1162nonprintable.pdf.</w:t>
      </w:r>
    </w:p>
  </w:footnote>
  <w:footnote w:id="22">
    <w:p w:rsidR="007276B6" w:rsidRDefault="007276B6" w:rsidP="007276B6">
      <w:pPr>
        <w:pStyle w:val="FootnoteText"/>
      </w:pPr>
      <w:r>
        <w:rPr>
          <w:rStyle w:val="FootnoteReference"/>
        </w:rPr>
        <w:footnoteRef/>
      </w:r>
      <w:r>
        <w:t xml:space="preserve"> </w:t>
      </w:r>
      <w:r>
        <w:rPr>
          <w:i/>
        </w:rPr>
        <w:t>See</w:t>
      </w:r>
      <w:r>
        <w:t xml:space="preserve"> </w:t>
      </w:r>
      <w:r>
        <w:rPr>
          <w:bCs/>
        </w:rPr>
        <w:t>http://mycommittees.api.org/standards/pipeline/1162%20Links/1162nonprintable.pdf,</w:t>
      </w:r>
      <w:r>
        <w:t xml:space="preserve"> sections 4.10 and C.10.</w:t>
      </w:r>
    </w:p>
  </w:footnote>
  <w:footnote w:id="23">
    <w:p w:rsidR="007276B6" w:rsidRDefault="007276B6" w:rsidP="007276B6">
      <w:pPr>
        <w:pStyle w:val="FootnoteText"/>
      </w:pPr>
      <w:r>
        <w:rPr>
          <w:rStyle w:val="FootnoteReference"/>
        </w:rPr>
        <w:footnoteRef/>
      </w:r>
      <w:r>
        <w:t xml:space="preserve"> </w:t>
      </w:r>
      <w:r>
        <w:rPr>
          <w:i/>
        </w:rPr>
        <w:t>Id</w:t>
      </w:r>
      <w:r>
        <w:t xml:space="preserve">. </w:t>
      </w:r>
      <w:r>
        <w:rPr>
          <w:i/>
        </w:rPr>
        <w:t xml:space="preserve"> See</w:t>
      </w:r>
      <w:r>
        <w:t xml:space="preserve"> Table 2-1, </w:t>
      </w:r>
      <w:r>
        <w:rPr>
          <w:i/>
        </w:rPr>
        <w:t>Summary of Public Awareness Communications for Hazardous Liquids and Natural Gas Transmission Pipeline Operators</w:t>
      </w:r>
      <w:r>
        <w:t>.</w:t>
      </w:r>
    </w:p>
  </w:footnote>
  <w:footnote w:id="24">
    <w:p w:rsidR="007276B6" w:rsidRDefault="007276B6" w:rsidP="007276B6">
      <w:pPr>
        <w:pStyle w:val="FootnoteText"/>
      </w:pPr>
      <w:r>
        <w:rPr>
          <w:rStyle w:val="FootnoteReference"/>
        </w:rPr>
        <w:footnoteRef/>
      </w:r>
      <w:r>
        <w:t xml:space="preserve"> However, if in the future, we receive objections indicating that landowners are not adequately informed of particular maintenance activities, we may consider applying a separate prior notice requirement specific to such activities.</w:t>
      </w:r>
    </w:p>
  </w:footnote>
  <w:footnote w:id="25">
    <w:p w:rsidR="007276B6" w:rsidRDefault="007276B6" w:rsidP="007276B6">
      <w:pPr>
        <w:pStyle w:val="FootnoteText"/>
      </w:pPr>
      <w:r>
        <w:rPr>
          <w:rStyle w:val="FootnoteReference"/>
        </w:rPr>
        <w:footnoteRef/>
      </w:r>
      <w:r>
        <w:t xml:space="preserve"> </w:t>
      </w:r>
      <w:proofErr w:type="gramStart"/>
      <w:r>
        <w:t>MidAmerican Energy’s Comments at p. 5 and Golden Triangle’s Comments at p. 9.</w:t>
      </w:r>
      <w:proofErr w:type="gramEnd"/>
    </w:p>
  </w:footnote>
  <w:footnote w:id="26">
    <w:p w:rsidR="007276B6" w:rsidRDefault="007276B6" w:rsidP="007276B6">
      <w:pPr>
        <w:pStyle w:val="FootnoteText"/>
      </w:pPr>
      <w:r>
        <w:rPr>
          <w:rStyle w:val="FootnoteReference"/>
        </w:rPr>
        <w:footnoteRef/>
      </w:r>
      <w:r>
        <w:t xml:space="preserve"> </w:t>
      </w:r>
      <w:proofErr w:type="gramStart"/>
      <w:r>
        <w:t>Golden Triangle’s Comments at pp. 9-10.</w:t>
      </w:r>
      <w:proofErr w:type="gramEnd"/>
    </w:p>
  </w:footnote>
  <w:footnote w:id="27">
    <w:p w:rsidR="007276B6" w:rsidRDefault="007276B6" w:rsidP="007276B6">
      <w:pPr>
        <w:pStyle w:val="FootnoteText"/>
      </w:pPr>
      <w:r>
        <w:rPr>
          <w:rStyle w:val="FootnoteReference"/>
        </w:rPr>
        <w:footnoteRef/>
      </w:r>
      <w:r>
        <w:t xml:space="preserve"> INGAA’s March 2013</w:t>
      </w:r>
      <w:r>
        <w:rPr>
          <w:i/>
        </w:rPr>
        <w:t xml:space="preserve"> </w:t>
      </w:r>
      <w:r>
        <w:t>Comments at pp. 21-25, Southern Star’s Comments at p. 5-6, and National Fuel’s Comments at p. 2.</w:t>
      </w:r>
    </w:p>
  </w:footnote>
  <w:footnote w:id="28">
    <w:p w:rsidR="007276B6" w:rsidRDefault="007276B6" w:rsidP="007276B6">
      <w:pPr>
        <w:pStyle w:val="FootnoteText"/>
      </w:pPr>
      <w:r>
        <w:rPr>
          <w:rStyle w:val="FootnoteReference"/>
        </w:rPr>
        <w:footnoteRef/>
      </w:r>
      <w:r>
        <w:t xml:space="preserve"> INGAA’s March 2013 Comments at p. 10.</w:t>
      </w:r>
    </w:p>
  </w:footnote>
  <w:footnote w:id="29">
    <w:p w:rsidR="007276B6" w:rsidRDefault="007276B6" w:rsidP="007276B6">
      <w:pPr>
        <w:pStyle w:val="FootnoteText"/>
      </w:pPr>
      <w:r>
        <w:rPr>
          <w:rStyle w:val="FootnoteReference"/>
        </w:rPr>
        <w:footnoteRef/>
      </w:r>
      <w:r>
        <w:t xml:space="preserve"> Golden Triangle claims it is a small entity, which the Small Business Administration (SBA) Office of Size Standards defines a natural gas company transporting natural gas as small if its annual receipts are less than $25.5 million.</w:t>
      </w:r>
      <w:r>
        <w:rPr>
          <w:szCs w:val="24"/>
        </w:rPr>
        <w:t xml:space="preserve">  </w:t>
      </w:r>
      <w:r>
        <w:rPr>
          <w:i/>
          <w:szCs w:val="24"/>
        </w:rPr>
        <w:t>See</w:t>
      </w:r>
      <w:r>
        <w:rPr>
          <w:szCs w:val="24"/>
        </w:rPr>
        <w:t xml:space="preserve"> </w:t>
      </w:r>
      <w:r>
        <w:t>13 CFR § 121.201 (2013), Subsector 486 and</w:t>
      </w:r>
      <w:r>
        <w:rPr>
          <w:i/>
        </w:rPr>
        <w:t xml:space="preserve"> </w:t>
      </w:r>
      <w:r>
        <w:t>SBA’s Table of Small Business Size Standards, e</w:t>
      </w:r>
      <w:r>
        <w:rPr>
          <w:iCs/>
        </w:rPr>
        <w:t xml:space="preserve">ffective March 26, 2012, </w:t>
      </w:r>
      <w:r>
        <w:rPr>
          <w:i/>
          <w:iCs/>
        </w:rPr>
        <w:t>available at</w:t>
      </w:r>
      <w:r>
        <w:rPr>
          <w:iCs/>
        </w:rPr>
        <w:t xml:space="preserve">:  </w:t>
      </w:r>
      <w:hyperlink r:id="rId1" w:history="1">
        <w:r>
          <w:rPr>
            <w:rStyle w:val="Hyperlink"/>
            <w:iCs/>
          </w:rPr>
          <w:t>http://www.sba.gov/sites/default/files/files/Size_Standards_Table.pdf</w:t>
        </w:r>
      </w:hyperlink>
      <w:r>
        <w:rPr>
          <w:rStyle w:val="Hyperlink"/>
          <w:iCs/>
        </w:rPr>
        <w:t>.</w:t>
      </w:r>
    </w:p>
  </w:footnote>
  <w:footnote w:id="30">
    <w:p w:rsidR="007276B6" w:rsidRDefault="007276B6" w:rsidP="007276B6">
      <w:pPr>
        <w:pStyle w:val="FootnoteText"/>
      </w:pPr>
      <w:r>
        <w:rPr>
          <w:rStyle w:val="FootnoteReference"/>
        </w:rPr>
        <w:footnoteRef/>
      </w:r>
      <w:r>
        <w:t xml:space="preserve"> </w:t>
      </w:r>
      <w:proofErr w:type="gramStart"/>
      <w:r>
        <w:t>Golden Triangle’s Comments at pp. 7-8.</w:t>
      </w:r>
      <w:proofErr w:type="gramEnd"/>
    </w:p>
  </w:footnote>
  <w:footnote w:id="31">
    <w:p w:rsidR="007276B6" w:rsidRDefault="007276B6" w:rsidP="007276B6">
      <w:pPr>
        <w:pStyle w:val="FootnoteText"/>
      </w:pPr>
      <w:r>
        <w:rPr>
          <w:rStyle w:val="FootnoteReference"/>
        </w:rPr>
        <w:footnoteRef/>
      </w:r>
      <w:r>
        <w:t xml:space="preserve"> </w:t>
      </w:r>
      <w:proofErr w:type="gramStart"/>
      <w:r>
        <w:t>WBI Energy’s Comments at p. 11 and National Fuel’s Comments at p. 4.</w:t>
      </w:r>
      <w:proofErr w:type="gramEnd"/>
    </w:p>
  </w:footnote>
  <w:footnote w:id="32">
    <w:p w:rsidR="007276B6" w:rsidRDefault="007276B6" w:rsidP="007276B6">
      <w:pPr>
        <w:pStyle w:val="FootnoteText"/>
      </w:pPr>
      <w:r>
        <w:rPr>
          <w:rStyle w:val="FootnoteReference"/>
        </w:rPr>
        <w:footnoteRef/>
      </w:r>
      <w:r>
        <w:t xml:space="preserve"> </w:t>
      </w:r>
      <w:proofErr w:type="gramStart"/>
      <w:r>
        <w:t>WBI Energy’s Comments at p. 11.</w:t>
      </w:r>
      <w:proofErr w:type="gramEnd"/>
    </w:p>
  </w:footnote>
  <w:footnote w:id="33">
    <w:p w:rsidR="007276B6" w:rsidRDefault="007276B6" w:rsidP="007276B6">
      <w:pPr>
        <w:pStyle w:val="FootnoteText"/>
      </w:pPr>
      <w:r>
        <w:rPr>
          <w:rStyle w:val="FootnoteReference"/>
        </w:rPr>
        <w:footnoteRef/>
      </w:r>
      <w:r>
        <w:t xml:space="preserve"> </w:t>
      </w:r>
      <w:proofErr w:type="gramStart"/>
      <w:r>
        <w:t>National Fuel’s Comments at pp. 4-5.</w:t>
      </w:r>
      <w:proofErr w:type="gramEnd"/>
    </w:p>
  </w:footnote>
  <w:footnote w:id="34">
    <w:p w:rsidR="007276B6" w:rsidRDefault="007276B6" w:rsidP="007276B6">
      <w:pPr>
        <w:pStyle w:val="FootnoteText"/>
      </w:pPr>
      <w:r>
        <w:rPr>
          <w:rStyle w:val="FootnoteReference"/>
        </w:rPr>
        <w:footnoteRef/>
      </w:r>
      <w:r>
        <w:t xml:space="preserve"> </w:t>
      </w:r>
      <w:proofErr w:type="gramStart"/>
      <w:r>
        <w:t>Golden Triangle’s Comments at p. 9.</w:t>
      </w:r>
      <w:proofErr w:type="gramEnd"/>
    </w:p>
  </w:footnote>
  <w:footnote w:id="35">
    <w:p w:rsidR="007276B6" w:rsidRDefault="007276B6" w:rsidP="007276B6">
      <w:pPr>
        <w:pStyle w:val="FootnoteText"/>
      </w:pPr>
      <w:r>
        <w:rPr>
          <w:rStyle w:val="FootnoteReference"/>
        </w:rPr>
        <w:footnoteRef/>
      </w:r>
      <w:r>
        <w:t xml:space="preserve"> For maintenance activities on their systems, WBI Energy estimated it would have to send 19,500 letters, Northern Natural estimated 45,000 letters, and National Fuel estimated 220,000 letters.</w:t>
      </w:r>
    </w:p>
  </w:footnote>
  <w:footnote w:id="36">
    <w:p w:rsidR="007276B6" w:rsidRDefault="007276B6" w:rsidP="007276B6">
      <w:pPr>
        <w:pStyle w:val="FootnoteText"/>
      </w:pPr>
      <w:r>
        <w:rPr>
          <w:rStyle w:val="FootnoteReference"/>
        </w:rPr>
        <w:footnoteRef/>
      </w:r>
      <w:r>
        <w:t xml:space="preserve"> Based on a survey of nine jurisdictional companies, we estimate that approximately 7,605 auxiliary installation projects occur each year.  </w:t>
      </w:r>
    </w:p>
  </w:footnote>
  <w:footnote w:id="37">
    <w:p w:rsidR="007276B6" w:rsidRDefault="007276B6" w:rsidP="007276B6">
      <w:pPr>
        <w:pStyle w:val="FootnoteText"/>
      </w:pPr>
      <w:r>
        <w:rPr>
          <w:rStyle w:val="FootnoteReference"/>
        </w:rPr>
        <w:footnoteRef/>
      </w:r>
      <w:r>
        <w:t xml:space="preserve"> Companies should already have such information on file, given that gas facilities generally were constructed under case-specific certificates obtained in proceedings in which the companies were required to give affected landowners notice in accordance with section 157.6(d), or were constructed under the blanket certificate regulations which require in section 157.203(d) that companies give landowners notice of all projects subject to those regulations’ prior notice provisions.  In addition, companies need to periodically update such information to be able to comply with the PHMSA biennial reporting requirement.  Further, since some of the major maintenance projects included in the PHMSA report will also qualify for prior notice under our new regulations, companies should be able to use the same project description to satisfy both PHMSA and Commission requirements.   </w:t>
      </w:r>
    </w:p>
  </w:footnote>
  <w:footnote w:id="38">
    <w:p w:rsidR="007276B6" w:rsidRDefault="007276B6" w:rsidP="007276B6">
      <w:pPr>
        <w:pStyle w:val="FootnoteText"/>
      </w:pPr>
      <w:r>
        <w:rPr>
          <w:rStyle w:val="FootnoteReference"/>
        </w:rPr>
        <w:footnoteRef/>
      </w:r>
      <w:r>
        <w:t xml:space="preserve"> Golden Triangle argues that it does not have a database of its easement holders.  </w:t>
      </w:r>
      <w:proofErr w:type="gramStart"/>
      <w:r>
        <w:t>Golden Triangle’s Comments at pp. 7-8.</w:t>
      </w:r>
      <w:proofErr w:type="gramEnd"/>
      <w:r>
        <w:t xml:space="preserve">  We expect gas companies to have documented the metes and bounds, terms of, and parties to all existing easements.  While we recognize that this is not a static data set, we expect companies to conduct systematic reviews to keep this information current.  We note Golden Triangle acknowledges, as discussed above, that its personnel need to enter its rights-of-way for periodic routine activities including pipe-to-soil readings, leak patrols, surveillance patrols, meter station inspections, and walking the pipeline right-of-way.  </w:t>
      </w:r>
      <w:proofErr w:type="gramStart"/>
      <w:r>
        <w:t>Golden Triangle’s Comments at pp. 9-10.</w:t>
      </w:r>
      <w:proofErr w:type="gramEnd"/>
      <w:r>
        <w:t xml:space="preserve">  If Golden Triangle does not have a database that identifies the precise location of and owners of the properties on which it has its rights-of-way, it should.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6B6" w:rsidRPr="007276B6" w:rsidRDefault="007276B6">
    <w:pPr>
      <w:pStyle w:val="Header"/>
      <w:rPr>
        <w:b/>
      </w:rPr>
    </w:pPr>
    <w:r w:rsidRPr="007276B6">
      <w:rPr>
        <w:b/>
      </w:rPr>
      <w:t>Excerpt from Final Rule in Docket RM12-11 (Paragraphs 51-79 of the Final Rule)</w:t>
    </w:r>
  </w:p>
  <w:p w:rsidR="007276B6" w:rsidRDefault="007276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02536"/>
    <w:multiLevelType w:val="multilevel"/>
    <w:tmpl w:val="FE940450"/>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080"/>
        </w:tabs>
        <w:ind w:left="1080" w:hanging="720"/>
      </w:pPr>
    </w:lvl>
    <w:lvl w:ilvl="2">
      <w:start w:val="1"/>
      <w:numFmt w:val="decimal"/>
      <w:pStyle w:val="Heading3"/>
      <w:lvlText w:val="%3."/>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1800"/>
        </w:tabs>
        <w:ind w:left="1800" w:hanging="720"/>
      </w:pPr>
    </w:lvl>
    <w:lvl w:ilvl="4">
      <w:start w:val="1"/>
      <w:numFmt w:val="lowerRoman"/>
      <w:pStyle w:val="Heading5"/>
      <w:lvlText w:val="%5."/>
      <w:lvlJc w:val="left"/>
      <w:pPr>
        <w:tabs>
          <w:tab w:val="num" w:pos="2160"/>
        </w:tabs>
        <w:ind w:left="2160" w:hanging="720"/>
      </w:pPr>
    </w:lvl>
    <w:lvl w:ilvl="5">
      <w:start w:val="1"/>
      <w:numFmt w:val="lowerLetter"/>
      <w:pStyle w:val="Heading6"/>
      <w:lvlText w:val="(%6)"/>
      <w:lvlJc w:val="left"/>
      <w:pPr>
        <w:tabs>
          <w:tab w:val="num" w:pos="2520"/>
        </w:tabs>
        <w:ind w:left="2520" w:hanging="720"/>
      </w:pPr>
    </w:lvl>
    <w:lvl w:ilvl="6">
      <w:start w:val="1"/>
      <w:numFmt w:val="decimal"/>
      <w:pStyle w:val="Heading7"/>
      <w:lvlText w:val="(%7)"/>
      <w:lvlJc w:val="left"/>
      <w:pPr>
        <w:tabs>
          <w:tab w:val="num" w:pos="2880"/>
        </w:tabs>
        <w:ind w:left="2880" w:hanging="720"/>
      </w:pPr>
    </w:lvl>
    <w:lvl w:ilvl="7">
      <w:start w:val="1"/>
      <w:numFmt w:val="lowerRoman"/>
      <w:pStyle w:val="Heading8"/>
      <w:lvlText w:val="(%8)"/>
      <w:lvlJc w:val="left"/>
      <w:pPr>
        <w:tabs>
          <w:tab w:val="num" w:pos="3240"/>
        </w:tabs>
        <w:ind w:left="3240" w:hanging="720"/>
      </w:pPr>
    </w:lvl>
    <w:lvl w:ilvl="8">
      <w:start w:val="1"/>
      <w:numFmt w:val="decimalZero"/>
      <w:pStyle w:val="Heading9"/>
      <w:lvlText w:val="(%9)"/>
      <w:lvlJc w:val="left"/>
      <w:pPr>
        <w:tabs>
          <w:tab w:val="num" w:pos="3600"/>
        </w:tabs>
        <w:ind w:left="3600" w:hanging="720"/>
      </w:pPr>
    </w:lvl>
  </w:abstractNum>
  <w:abstractNum w:abstractNumId="1">
    <w:nsid w:val="4BE5641A"/>
    <w:multiLevelType w:val="multilevel"/>
    <w:tmpl w:val="3B9E6DF6"/>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upperLetter"/>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2">
    <w:nsid w:val="53D5532C"/>
    <w:multiLevelType w:val="multilevel"/>
    <w:tmpl w:val="8AC4F286"/>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3">
    <w:nsid w:val="5EE719D3"/>
    <w:multiLevelType w:val="hybridMultilevel"/>
    <w:tmpl w:val="B9A2F77C"/>
    <w:lvl w:ilvl="0" w:tplc="E4FAF836">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E4E4DD3"/>
    <w:multiLevelType w:val="hybridMultilevel"/>
    <w:tmpl w:val="6FFA4980"/>
    <w:lvl w:ilvl="0" w:tplc="12E2EBB4">
      <w:start w:val="1"/>
      <w:numFmt w:val="decimal"/>
      <w:pStyle w:val="Heading8Char"/>
      <w:lvlText w:val="%1."/>
      <w:lvlJc w:val="left"/>
      <w:pPr>
        <w:tabs>
          <w:tab w:val="num" w:pos="720"/>
        </w:tabs>
        <w:ind w:left="0" w:firstLine="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6B6"/>
    <w:rsid w:val="0000007C"/>
    <w:rsid w:val="0000017F"/>
    <w:rsid w:val="000002ED"/>
    <w:rsid w:val="0000031B"/>
    <w:rsid w:val="00001030"/>
    <w:rsid w:val="00001288"/>
    <w:rsid w:val="00001479"/>
    <w:rsid w:val="00001753"/>
    <w:rsid w:val="00001C4E"/>
    <w:rsid w:val="00001D00"/>
    <w:rsid w:val="00001D7A"/>
    <w:rsid w:val="00002694"/>
    <w:rsid w:val="0000305D"/>
    <w:rsid w:val="000030CE"/>
    <w:rsid w:val="000035CF"/>
    <w:rsid w:val="0000389F"/>
    <w:rsid w:val="0000390D"/>
    <w:rsid w:val="000045DA"/>
    <w:rsid w:val="00004D97"/>
    <w:rsid w:val="00004F20"/>
    <w:rsid w:val="000052DA"/>
    <w:rsid w:val="00005374"/>
    <w:rsid w:val="000059A7"/>
    <w:rsid w:val="00005ABA"/>
    <w:rsid w:val="000062A1"/>
    <w:rsid w:val="00006404"/>
    <w:rsid w:val="00006DB8"/>
    <w:rsid w:val="00006DE0"/>
    <w:rsid w:val="00007613"/>
    <w:rsid w:val="000077AE"/>
    <w:rsid w:val="000078C1"/>
    <w:rsid w:val="00007CFE"/>
    <w:rsid w:val="0001048E"/>
    <w:rsid w:val="00010B10"/>
    <w:rsid w:val="00010E14"/>
    <w:rsid w:val="00011303"/>
    <w:rsid w:val="00011388"/>
    <w:rsid w:val="00011E8D"/>
    <w:rsid w:val="00012AE2"/>
    <w:rsid w:val="0001315C"/>
    <w:rsid w:val="00013240"/>
    <w:rsid w:val="0001329B"/>
    <w:rsid w:val="000132B1"/>
    <w:rsid w:val="00013489"/>
    <w:rsid w:val="00013689"/>
    <w:rsid w:val="00013985"/>
    <w:rsid w:val="00014CFC"/>
    <w:rsid w:val="00014E36"/>
    <w:rsid w:val="00015037"/>
    <w:rsid w:val="00015484"/>
    <w:rsid w:val="00015ACA"/>
    <w:rsid w:val="00015CCF"/>
    <w:rsid w:val="000165DF"/>
    <w:rsid w:val="00016617"/>
    <w:rsid w:val="00017601"/>
    <w:rsid w:val="0001770A"/>
    <w:rsid w:val="000177EE"/>
    <w:rsid w:val="00017A5D"/>
    <w:rsid w:val="0002005F"/>
    <w:rsid w:val="000201FB"/>
    <w:rsid w:val="00020623"/>
    <w:rsid w:val="00020801"/>
    <w:rsid w:val="000208EC"/>
    <w:rsid w:val="00020A72"/>
    <w:rsid w:val="00020C25"/>
    <w:rsid w:val="00021018"/>
    <w:rsid w:val="000212EC"/>
    <w:rsid w:val="00021584"/>
    <w:rsid w:val="000216BA"/>
    <w:rsid w:val="00021758"/>
    <w:rsid w:val="00021760"/>
    <w:rsid w:val="00021AE8"/>
    <w:rsid w:val="00021EA5"/>
    <w:rsid w:val="0002228A"/>
    <w:rsid w:val="000224B5"/>
    <w:rsid w:val="000227DA"/>
    <w:rsid w:val="000231F6"/>
    <w:rsid w:val="00023AD7"/>
    <w:rsid w:val="00023CBD"/>
    <w:rsid w:val="00023E7B"/>
    <w:rsid w:val="000242F2"/>
    <w:rsid w:val="000245A6"/>
    <w:rsid w:val="00024A6D"/>
    <w:rsid w:val="000259C8"/>
    <w:rsid w:val="00025DF9"/>
    <w:rsid w:val="00025FE1"/>
    <w:rsid w:val="0002600B"/>
    <w:rsid w:val="00027209"/>
    <w:rsid w:val="000275A3"/>
    <w:rsid w:val="00030042"/>
    <w:rsid w:val="00030402"/>
    <w:rsid w:val="00030D92"/>
    <w:rsid w:val="00030D94"/>
    <w:rsid w:val="00030ECB"/>
    <w:rsid w:val="00030F92"/>
    <w:rsid w:val="000313E9"/>
    <w:rsid w:val="000319DC"/>
    <w:rsid w:val="000327F9"/>
    <w:rsid w:val="00032C46"/>
    <w:rsid w:val="00032E44"/>
    <w:rsid w:val="00032F1B"/>
    <w:rsid w:val="000337B2"/>
    <w:rsid w:val="00034031"/>
    <w:rsid w:val="00034D4B"/>
    <w:rsid w:val="00035577"/>
    <w:rsid w:val="00035BBA"/>
    <w:rsid w:val="000363A3"/>
    <w:rsid w:val="000369D6"/>
    <w:rsid w:val="00036A08"/>
    <w:rsid w:val="00036B0D"/>
    <w:rsid w:val="00036C36"/>
    <w:rsid w:val="00036FEC"/>
    <w:rsid w:val="0003774C"/>
    <w:rsid w:val="00040052"/>
    <w:rsid w:val="000400EC"/>
    <w:rsid w:val="00040714"/>
    <w:rsid w:val="00041471"/>
    <w:rsid w:val="00041CF4"/>
    <w:rsid w:val="00041EE8"/>
    <w:rsid w:val="000425F7"/>
    <w:rsid w:val="000426A2"/>
    <w:rsid w:val="00042E68"/>
    <w:rsid w:val="00043468"/>
    <w:rsid w:val="000436E9"/>
    <w:rsid w:val="00043903"/>
    <w:rsid w:val="00043C03"/>
    <w:rsid w:val="00043D70"/>
    <w:rsid w:val="00044137"/>
    <w:rsid w:val="000449E3"/>
    <w:rsid w:val="00044C63"/>
    <w:rsid w:val="00044DE8"/>
    <w:rsid w:val="00044E48"/>
    <w:rsid w:val="00045856"/>
    <w:rsid w:val="00045AEF"/>
    <w:rsid w:val="000464D1"/>
    <w:rsid w:val="00046BF8"/>
    <w:rsid w:val="00047242"/>
    <w:rsid w:val="000479C2"/>
    <w:rsid w:val="00047D6E"/>
    <w:rsid w:val="00047E11"/>
    <w:rsid w:val="00051774"/>
    <w:rsid w:val="00051889"/>
    <w:rsid w:val="00052381"/>
    <w:rsid w:val="000527E5"/>
    <w:rsid w:val="00052E25"/>
    <w:rsid w:val="000531DC"/>
    <w:rsid w:val="0005347C"/>
    <w:rsid w:val="000534C2"/>
    <w:rsid w:val="0005353E"/>
    <w:rsid w:val="00053904"/>
    <w:rsid w:val="00053DE0"/>
    <w:rsid w:val="0005442D"/>
    <w:rsid w:val="000547DA"/>
    <w:rsid w:val="000547F0"/>
    <w:rsid w:val="000547F2"/>
    <w:rsid w:val="0005485F"/>
    <w:rsid w:val="00054B52"/>
    <w:rsid w:val="00054CB7"/>
    <w:rsid w:val="00055307"/>
    <w:rsid w:val="000555DF"/>
    <w:rsid w:val="00055C4A"/>
    <w:rsid w:val="0005620F"/>
    <w:rsid w:val="0005665C"/>
    <w:rsid w:val="00056918"/>
    <w:rsid w:val="00056967"/>
    <w:rsid w:val="00056A94"/>
    <w:rsid w:val="00056FB0"/>
    <w:rsid w:val="00057A1E"/>
    <w:rsid w:val="00057EAD"/>
    <w:rsid w:val="000608B3"/>
    <w:rsid w:val="000609B8"/>
    <w:rsid w:val="00061685"/>
    <w:rsid w:val="000616CD"/>
    <w:rsid w:val="000624A2"/>
    <w:rsid w:val="000627E0"/>
    <w:rsid w:val="000628D5"/>
    <w:rsid w:val="00062CCD"/>
    <w:rsid w:val="00063204"/>
    <w:rsid w:val="0006335A"/>
    <w:rsid w:val="000637E6"/>
    <w:rsid w:val="000638EA"/>
    <w:rsid w:val="00063A67"/>
    <w:rsid w:val="00063AA6"/>
    <w:rsid w:val="00063DBF"/>
    <w:rsid w:val="00064682"/>
    <w:rsid w:val="00064787"/>
    <w:rsid w:val="00064EDF"/>
    <w:rsid w:val="000654C4"/>
    <w:rsid w:val="000654DE"/>
    <w:rsid w:val="000663F7"/>
    <w:rsid w:val="0006673E"/>
    <w:rsid w:val="00066AA5"/>
    <w:rsid w:val="00067033"/>
    <w:rsid w:val="00067135"/>
    <w:rsid w:val="00067ABA"/>
    <w:rsid w:val="00067E1F"/>
    <w:rsid w:val="0007034D"/>
    <w:rsid w:val="0007051A"/>
    <w:rsid w:val="00070C34"/>
    <w:rsid w:val="00070D31"/>
    <w:rsid w:val="000711FE"/>
    <w:rsid w:val="00071C1C"/>
    <w:rsid w:val="00072256"/>
    <w:rsid w:val="00072448"/>
    <w:rsid w:val="00072DF8"/>
    <w:rsid w:val="000738F3"/>
    <w:rsid w:val="00073F17"/>
    <w:rsid w:val="00073FA4"/>
    <w:rsid w:val="0007402A"/>
    <w:rsid w:val="00074A69"/>
    <w:rsid w:val="00074E70"/>
    <w:rsid w:val="000752B4"/>
    <w:rsid w:val="0007594C"/>
    <w:rsid w:val="0007595A"/>
    <w:rsid w:val="00075C7C"/>
    <w:rsid w:val="00075E60"/>
    <w:rsid w:val="00075F70"/>
    <w:rsid w:val="00076C99"/>
    <w:rsid w:val="00076EFA"/>
    <w:rsid w:val="00077F20"/>
    <w:rsid w:val="00080219"/>
    <w:rsid w:val="0008039A"/>
    <w:rsid w:val="000808BB"/>
    <w:rsid w:val="000809E2"/>
    <w:rsid w:val="00080D59"/>
    <w:rsid w:val="00080D5F"/>
    <w:rsid w:val="00080F9D"/>
    <w:rsid w:val="000812EB"/>
    <w:rsid w:val="00081E14"/>
    <w:rsid w:val="000823BB"/>
    <w:rsid w:val="000824A0"/>
    <w:rsid w:val="000838BE"/>
    <w:rsid w:val="00084081"/>
    <w:rsid w:val="000842CD"/>
    <w:rsid w:val="000844FF"/>
    <w:rsid w:val="000846D4"/>
    <w:rsid w:val="00084C53"/>
    <w:rsid w:val="000850B1"/>
    <w:rsid w:val="000854B7"/>
    <w:rsid w:val="000858DB"/>
    <w:rsid w:val="00085C34"/>
    <w:rsid w:val="00086296"/>
    <w:rsid w:val="00086507"/>
    <w:rsid w:val="000865E5"/>
    <w:rsid w:val="00086D64"/>
    <w:rsid w:val="00086D99"/>
    <w:rsid w:val="00086F41"/>
    <w:rsid w:val="00087157"/>
    <w:rsid w:val="000874AB"/>
    <w:rsid w:val="00087E71"/>
    <w:rsid w:val="00087EEC"/>
    <w:rsid w:val="0009082A"/>
    <w:rsid w:val="00090A8A"/>
    <w:rsid w:val="00090BB9"/>
    <w:rsid w:val="000917EB"/>
    <w:rsid w:val="0009182C"/>
    <w:rsid w:val="00091935"/>
    <w:rsid w:val="00091A95"/>
    <w:rsid w:val="000921DD"/>
    <w:rsid w:val="00092533"/>
    <w:rsid w:val="00092B3C"/>
    <w:rsid w:val="00092CE8"/>
    <w:rsid w:val="00092D65"/>
    <w:rsid w:val="00092E14"/>
    <w:rsid w:val="00092E87"/>
    <w:rsid w:val="00092EFF"/>
    <w:rsid w:val="0009323D"/>
    <w:rsid w:val="000935D4"/>
    <w:rsid w:val="000936B0"/>
    <w:rsid w:val="00093B43"/>
    <w:rsid w:val="00093D5C"/>
    <w:rsid w:val="00093DFB"/>
    <w:rsid w:val="00093E40"/>
    <w:rsid w:val="00093E92"/>
    <w:rsid w:val="00093F5D"/>
    <w:rsid w:val="00094BA0"/>
    <w:rsid w:val="00094EF5"/>
    <w:rsid w:val="00095023"/>
    <w:rsid w:val="000950B2"/>
    <w:rsid w:val="000950DB"/>
    <w:rsid w:val="00095349"/>
    <w:rsid w:val="00095543"/>
    <w:rsid w:val="000959CA"/>
    <w:rsid w:val="00095FDD"/>
    <w:rsid w:val="000964D8"/>
    <w:rsid w:val="0009670C"/>
    <w:rsid w:val="00096B15"/>
    <w:rsid w:val="00096F5C"/>
    <w:rsid w:val="000970BC"/>
    <w:rsid w:val="000972F6"/>
    <w:rsid w:val="0009745F"/>
    <w:rsid w:val="000975C6"/>
    <w:rsid w:val="00097EAF"/>
    <w:rsid w:val="000A027C"/>
    <w:rsid w:val="000A0494"/>
    <w:rsid w:val="000A0724"/>
    <w:rsid w:val="000A0B11"/>
    <w:rsid w:val="000A0C9E"/>
    <w:rsid w:val="000A1298"/>
    <w:rsid w:val="000A137D"/>
    <w:rsid w:val="000A14F7"/>
    <w:rsid w:val="000A27CA"/>
    <w:rsid w:val="000A296D"/>
    <w:rsid w:val="000A2B22"/>
    <w:rsid w:val="000A2D81"/>
    <w:rsid w:val="000A376E"/>
    <w:rsid w:val="000A3B25"/>
    <w:rsid w:val="000A3C09"/>
    <w:rsid w:val="000A3EB4"/>
    <w:rsid w:val="000A3ED2"/>
    <w:rsid w:val="000A4A60"/>
    <w:rsid w:val="000A4D3F"/>
    <w:rsid w:val="000A5308"/>
    <w:rsid w:val="000A5425"/>
    <w:rsid w:val="000A5B58"/>
    <w:rsid w:val="000A5E8B"/>
    <w:rsid w:val="000A614A"/>
    <w:rsid w:val="000A6E49"/>
    <w:rsid w:val="000A78E5"/>
    <w:rsid w:val="000B006E"/>
    <w:rsid w:val="000B095E"/>
    <w:rsid w:val="000B106F"/>
    <w:rsid w:val="000B13AF"/>
    <w:rsid w:val="000B1BEB"/>
    <w:rsid w:val="000B20C8"/>
    <w:rsid w:val="000B2147"/>
    <w:rsid w:val="000B215F"/>
    <w:rsid w:val="000B233D"/>
    <w:rsid w:val="000B2B19"/>
    <w:rsid w:val="000B2BC9"/>
    <w:rsid w:val="000B2E1C"/>
    <w:rsid w:val="000B3180"/>
    <w:rsid w:val="000B31DD"/>
    <w:rsid w:val="000B32C4"/>
    <w:rsid w:val="000B33DE"/>
    <w:rsid w:val="000B3FD9"/>
    <w:rsid w:val="000B428B"/>
    <w:rsid w:val="000B4E24"/>
    <w:rsid w:val="000B51C8"/>
    <w:rsid w:val="000B55A1"/>
    <w:rsid w:val="000B5C92"/>
    <w:rsid w:val="000B63A9"/>
    <w:rsid w:val="000B67DB"/>
    <w:rsid w:val="000B67DD"/>
    <w:rsid w:val="000B67E0"/>
    <w:rsid w:val="000B6DE5"/>
    <w:rsid w:val="000B71A6"/>
    <w:rsid w:val="000B723A"/>
    <w:rsid w:val="000B732D"/>
    <w:rsid w:val="000B7396"/>
    <w:rsid w:val="000B7610"/>
    <w:rsid w:val="000B796D"/>
    <w:rsid w:val="000B7D11"/>
    <w:rsid w:val="000B7EEC"/>
    <w:rsid w:val="000B7FB0"/>
    <w:rsid w:val="000C0EC1"/>
    <w:rsid w:val="000C12B2"/>
    <w:rsid w:val="000C1352"/>
    <w:rsid w:val="000C155A"/>
    <w:rsid w:val="000C185E"/>
    <w:rsid w:val="000C1987"/>
    <w:rsid w:val="000C1C01"/>
    <w:rsid w:val="000C2450"/>
    <w:rsid w:val="000C31E8"/>
    <w:rsid w:val="000C368A"/>
    <w:rsid w:val="000C47D5"/>
    <w:rsid w:val="000C4CEA"/>
    <w:rsid w:val="000C5276"/>
    <w:rsid w:val="000C54A6"/>
    <w:rsid w:val="000C56A4"/>
    <w:rsid w:val="000C5BC4"/>
    <w:rsid w:val="000C5CD8"/>
    <w:rsid w:val="000C5F54"/>
    <w:rsid w:val="000C6190"/>
    <w:rsid w:val="000C61FF"/>
    <w:rsid w:val="000C62C6"/>
    <w:rsid w:val="000C64E0"/>
    <w:rsid w:val="000C674E"/>
    <w:rsid w:val="000C69A7"/>
    <w:rsid w:val="000C7519"/>
    <w:rsid w:val="000C75A6"/>
    <w:rsid w:val="000D0415"/>
    <w:rsid w:val="000D07EC"/>
    <w:rsid w:val="000D124F"/>
    <w:rsid w:val="000D17AC"/>
    <w:rsid w:val="000D1CF1"/>
    <w:rsid w:val="000D1F2D"/>
    <w:rsid w:val="000D21DF"/>
    <w:rsid w:val="000D26C3"/>
    <w:rsid w:val="000D3227"/>
    <w:rsid w:val="000D3639"/>
    <w:rsid w:val="000D38F8"/>
    <w:rsid w:val="000D3EBA"/>
    <w:rsid w:val="000D46D7"/>
    <w:rsid w:val="000D4B89"/>
    <w:rsid w:val="000D4C46"/>
    <w:rsid w:val="000D5216"/>
    <w:rsid w:val="000D5651"/>
    <w:rsid w:val="000D5AD2"/>
    <w:rsid w:val="000D5AE1"/>
    <w:rsid w:val="000D6091"/>
    <w:rsid w:val="000D684D"/>
    <w:rsid w:val="000D6CCD"/>
    <w:rsid w:val="000D6EAE"/>
    <w:rsid w:val="000D77E5"/>
    <w:rsid w:val="000D790D"/>
    <w:rsid w:val="000E1092"/>
    <w:rsid w:val="000E1189"/>
    <w:rsid w:val="000E1879"/>
    <w:rsid w:val="000E2DEE"/>
    <w:rsid w:val="000E3D73"/>
    <w:rsid w:val="000E479E"/>
    <w:rsid w:val="000E580C"/>
    <w:rsid w:val="000E58E9"/>
    <w:rsid w:val="000E5A9D"/>
    <w:rsid w:val="000E5B82"/>
    <w:rsid w:val="000E6269"/>
    <w:rsid w:val="000E62C3"/>
    <w:rsid w:val="000E62E9"/>
    <w:rsid w:val="000E6568"/>
    <w:rsid w:val="000E72A0"/>
    <w:rsid w:val="000E7900"/>
    <w:rsid w:val="000E7EED"/>
    <w:rsid w:val="000E7F4D"/>
    <w:rsid w:val="000F08B6"/>
    <w:rsid w:val="000F0F33"/>
    <w:rsid w:val="000F163F"/>
    <w:rsid w:val="000F1C60"/>
    <w:rsid w:val="000F2070"/>
    <w:rsid w:val="000F21CE"/>
    <w:rsid w:val="000F2B6F"/>
    <w:rsid w:val="000F3907"/>
    <w:rsid w:val="000F3935"/>
    <w:rsid w:val="000F3B64"/>
    <w:rsid w:val="000F3DA2"/>
    <w:rsid w:val="000F3E00"/>
    <w:rsid w:val="000F411C"/>
    <w:rsid w:val="000F41E8"/>
    <w:rsid w:val="000F4396"/>
    <w:rsid w:val="000F452A"/>
    <w:rsid w:val="000F5110"/>
    <w:rsid w:val="000F5161"/>
    <w:rsid w:val="000F6FF4"/>
    <w:rsid w:val="000F73C6"/>
    <w:rsid w:val="001004B7"/>
    <w:rsid w:val="00100DEE"/>
    <w:rsid w:val="00102825"/>
    <w:rsid w:val="00102B54"/>
    <w:rsid w:val="00102FDC"/>
    <w:rsid w:val="00103023"/>
    <w:rsid w:val="001032C9"/>
    <w:rsid w:val="0010331C"/>
    <w:rsid w:val="001034A1"/>
    <w:rsid w:val="0010379E"/>
    <w:rsid w:val="00103BBC"/>
    <w:rsid w:val="00103D50"/>
    <w:rsid w:val="00104CB7"/>
    <w:rsid w:val="00105019"/>
    <w:rsid w:val="001051AF"/>
    <w:rsid w:val="001054B4"/>
    <w:rsid w:val="001055B3"/>
    <w:rsid w:val="00105B08"/>
    <w:rsid w:val="00106A12"/>
    <w:rsid w:val="001070B5"/>
    <w:rsid w:val="00107283"/>
    <w:rsid w:val="00107437"/>
    <w:rsid w:val="00110073"/>
    <w:rsid w:val="00110254"/>
    <w:rsid w:val="001102C0"/>
    <w:rsid w:val="0011079B"/>
    <w:rsid w:val="0011083C"/>
    <w:rsid w:val="00110951"/>
    <w:rsid w:val="00110ABA"/>
    <w:rsid w:val="00110C17"/>
    <w:rsid w:val="00111785"/>
    <w:rsid w:val="00111A0E"/>
    <w:rsid w:val="00111E6D"/>
    <w:rsid w:val="0011286F"/>
    <w:rsid w:val="0011359B"/>
    <w:rsid w:val="001137DD"/>
    <w:rsid w:val="001138EB"/>
    <w:rsid w:val="0011394E"/>
    <w:rsid w:val="001148EF"/>
    <w:rsid w:val="00114B14"/>
    <w:rsid w:val="0011524C"/>
    <w:rsid w:val="0011569F"/>
    <w:rsid w:val="00115DBA"/>
    <w:rsid w:val="001163FA"/>
    <w:rsid w:val="00116B7F"/>
    <w:rsid w:val="00116DAD"/>
    <w:rsid w:val="001172F2"/>
    <w:rsid w:val="00117364"/>
    <w:rsid w:val="00120019"/>
    <w:rsid w:val="00120580"/>
    <w:rsid w:val="00120F9F"/>
    <w:rsid w:val="00121072"/>
    <w:rsid w:val="001214A5"/>
    <w:rsid w:val="00121721"/>
    <w:rsid w:val="00121D8F"/>
    <w:rsid w:val="00121E9A"/>
    <w:rsid w:val="001224BC"/>
    <w:rsid w:val="00122FFF"/>
    <w:rsid w:val="0012362D"/>
    <w:rsid w:val="001240FD"/>
    <w:rsid w:val="00124333"/>
    <w:rsid w:val="0012436B"/>
    <w:rsid w:val="00124609"/>
    <w:rsid w:val="001247B1"/>
    <w:rsid w:val="00124D47"/>
    <w:rsid w:val="00124F6C"/>
    <w:rsid w:val="001256C2"/>
    <w:rsid w:val="00125F00"/>
    <w:rsid w:val="00126035"/>
    <w:rsid w:val="001260C8"/>
    <w:rsid w:val="00127395"/>
    <w:rsid w:val="001279AA"/>
    <w:rsid w:val="001301EA"/>
    <w:rsid w:val="0013039A"/>
    <w:rsid w:val="0013095C"/>
    <w:rsid w:val="0013187E"/>
    <w:rsid w:val="00131935"/>
    <w:rsid w:val="00131B91"/>
    <w:rsid w:val="00131C02"/>
    <w:rsid w:val="00131FA7"/>
    <w:rsid w:val="001320D6"/>
    <w:rsid w:val="001323F5"/>
    <w:rsid w:val="00132666"/>
    <w:rsid w:val="00132718"/>
    <w:rsid w:val="001327E3"/>
    <w:rsid w:val="00132A25"/>
    <w:rsid w:val="00132D39"/>
    <w:rsid w:val="00132D82"/>
    <w:rsid w:val="00132FF5"/>
    <w:rsid w:val="001338BC"/>
    <w:rsid w:val="00133E72"/>
    <w:rsid w:val="00134509"/>
    <w:rsid w:val="001346E7"/>
    <w:rsid w:val="0013485C"/>
    <w:rsid w:val="00134A77"/>
    <w:rsid w:val="0013570A"/>
    <w:rsid w:val="001358F6"/>
    <w:rsid w:val="00135962"/>
    <w:rsid w:val="001360BB"/>
    <w:rsid w:val="00136B8E"/>
    <w:rsid w:val="0013758D"/>
    <w:rsid w:val="001376C1"/>
    <w:rsid w:val="001377C7"/>
    <w:rsid w:val="00140475"/>
    <w:rsid w:val="001404D1"/>
    <w:rsid w:val="001408A2"/>
    <w:rsid w:val="001427D9"/>
    <w:rsid w:val="00142DD7"/>
    <w:rsid w:val="00143067"/>
    <w:rsid w:val="001433CF"/>
    <w:rsid w:val="0014363D"/>
    <w:rsid w:val="0014397E"/>
    <w:rsid w:val="00143A21"/>
    <w:rsid w:val="00143EA6"/>
    <w:rsid w:val="0014412C"/>
    <w:rsid w:val="001441AB"/>
    <w:rsid w:val="001442B0"/>
    <w:rsid w:val="001447EA"/>
    <w:rsid w:val="00144A4A"/>
    <w:rsid w:val="00144D34"/>
    <w:rsid w:val="00144DFF"/>
    <w:rsid w:val="00145725"/>
    <w:rsid w:val="001457DE"/>
    <w:rsid w:val="00145D61"/>
    <w:rsid w:val="00145DB6"/>
    <w:rsid w:val="0014609F"/>
    <w:rsid w:val="001463EE"/>
    <w:rsid w:val="00146427"/>
    <w:rsid w:val="00146600"/>
    <w:rsid w:val="001466FF"/>
    <w:rsid w:val="001468DD"/>
    <w:rsid w:val="00146B5E"/>
    <w:rsid w:val="00146E4D"/>
    <w:rsid w:val="001470C0"/>
    <w:rsid w:val="001472AC"/>
    <w:rsid w:val="0014749A"/>
    <w:rsid w:val="0015022E"/>
    <w:rsid w:val="00150868"/>
    <w:rsid w:val="00150A76"/>
    <w:rsid w:val="00150CA6"/>
    <w:rsid w:val="00150CB4"/>
    <w:rsid w:val="00150CEF"/>
    <w:rsid w:val="00150DC7"/>
    <w:rsid w:val="00151AD4"/>
    <w:rsid w:val="00151D0A"/>
    <w:rsid w:val="00151E35"/>
    <w:rsid w:val="00151E8D"/>
    <w:rsid w:val="00152243"/>
    <w:rsid w:val="00152725"/>
    <w:rsid w:val="00152EDF"/>
    <w:rsid w:val="001532FF"/>
    <w:rsid w:val="00153650"/>
    <w:rsid w:val="0015381D"/>
    <w:rsid w:val="00153AAD"/>
    <w:rsid w:val="0015400E"/>
    <w:rsid w:val="00154463"/>
    <w:rsid w:val="00154954"/>
    <w:rsid w:val="00154C8D"/>
    <w:rsid w:val="00154F36"/>
    <w:rsid w:val="00154F73"/>
    <w:rsid w:val="00155456"/>
    <w:rsid w:val="001559C6"/>
    <w:rsid w:val="00155B99"/>
    <w:rsid w:val="0015629A"/>
    <w:rsid w:val="00157606"/>
    <w:rsid w:val="001577B5"/>
    <w:rsid w:val="001579F0"/>
    <w:rsid w:val="00157CE2"/>
    <w:rsid w:val="00160255"/>
    <w:rsid w:val="0016037D"/>
    <w:rsid w:val="00160420"/>
    <w:rsid w:val="001604C2"/>
    <w:rsid w:val="001608E5"/>
    <w:rsid w:val="00160E99"/>
    <w:rsid w:val="00160FA4"/>
    <w:rsid w:val="00161166"/>
    <w:rsid w:val="00161484"/>
    <w:rsid w:val="001614C5"/>
    <w:rsid w:val="001614F4"/>
    <w:rsid w:val="001635D9"/>
    <w:rsid w:val="00163839"/>
    <w:rsid w:val="00164B96"/>
    <w:rsid w:val="00164FF2"/>
    <w:rsid w:val="00165127"/>
    <w:rsid w:val="001659D3"/>
    <w:rsid w:val="00165A36"/>
    <w:rsid w:val="00165C2D"/>
    <w:rsid w:val="00165F74"/>
    <w:rsid w:val="00165FAE"/>
    <w:rsid w:val="00166A22"/>
    <w:rsid w:val="00166C4D"/>
    <w:rsid w:val="001673B7"/>
    <w:rsid w:val="0016760B"/>
    <w:rsid w:val="00167BAD"/>
    <w:rsid w:val="00167BBD"/>
    <w:rsid w:val="00167C69"/>
    <w:rsid w:val="00170555"/>
    <w:rsid w:val="00170DE4"/>
    <w:rsid w:val="00171733"/>
    <w:rsid w:val="00171AD7"/>
    <w:rsid w:val="00171D68"/>
    <w:rsid w:val="00172212"/>
    <w:rsid w:val="00173A41"/>
    <w:rsid w:val="001741D2"/>
    <w:rsid w:val="00174471"/>
    <w:rsid w:val="001744D4"/>
    <w:rsid w:val="001748C3"/>
    <w:rsid w:val="001749FF"/>
    <w:rsid w:val="00174A08"/>
    <w:rsid w:val="00174A28"/>
    <w:rsid w:val="00175196"/>
    <w:rsid w:val="0017532E"/>
    <w:rsid w:val="001756ED"/>
    <w:rsid w:val="00175719"/>
    <w:rsid w:val="00175BBA"/>
    <w:rsid w:val="00176C98"/>
    <w:rsid w:val="00176D66"/>
    <w:rsid w:val="00176D86"/>
    <w:rsid w:val="00176E92"/>
    <w:rsid w:val="001775C7"/>
    <w:rsid w:val="0017781E"/>
    <w:rsid w:val="00177B49"/>
    <w:rsid w:val="00177E07"/>
    <w:rsid w:val="001802EF"/>
    <w:rsid w:val="00180EBD"/>
    <w:rsid w:val="00180F22"/>
    <w:rsid w:val="00181278"/>
    <w:rsid w:val="00181499"/>
    <w:rsid w:val="00181F00"/>
    <w:rsid w:val="001823F0"/>
    <w:rsid w:val="001826FA"/>
    <w:rsid w:val="0018275F"/>
    <w:rsid w:val="00182B7D"/>
    <w:rsid w:val="00182E9E"/>
    <w:rsid w:val="0018301E"/>
    <w:rsid w:val="00183443"/>
    <w:rsid w:val="00183472"/>
    <w:rsid w:val="0018377F"/>
    <w:rsid w:val="00184509"/>
    <w:rsid w:val="00184850"/>
    <w:rsid w:val="001859CE"/>
    <w:rsid w:val="00185DDF"/>
    <w:rsid w:val="00186324"/>
    <w:rsid w:val="0018635F"/>
    <w:rsid w:val="00186426"/>
    <w:rsid w:val="00187064"/>
    <w:rsid w:val="00187EF7"/>
    <w:rsid w:val="00187F42"/>
    <w:rsid w:val="00190016"/>
    <w:rsid w:val="0019040F"/>
    <w:rsid w:val="00190B19"/>
    <w:rsid w:val="00190C9C"/>
    <w:rsid w:val="0019145A"/>
    <w:rsid w:val="00191945"/>
    <w:rsid w:val="00191E09"/>
    <w:rsid w:val="00191F93"/>
    <w:rsid w:val="001921FB"/>
    <w:rsid w:val="00192442"/>
    <w:rsid w:val="001924C7"/>
    <w:rsid w:val="0019287A"/>
    <w:rsid w:val="001928F9"/>
    <w:rsid w:val="00192B14"/>
    <w:rsid w:val="001932CD"/>
    <w:rsid w:val="00193F31"/>
    <w:rsid w:val="00193F72"/>
    <w:rsid w:val="0019407A"/>
    <w:rsid w:val="001944B0"/>
    <w:rsid w:val="0019518E"/>
    <w:rsid w:val="00195550"/>
    <w:rsid w:val="00195D89"/>
    <w:rsid w:val="00196230"/>
    <w:rsid w:val="0019689F"/>
    <w:rsid w:val="0019691F"/>
    <w:rsid w:val="0019692A"/>
    <w:rsid w:val="00196D96"/>
    <w:rsid w:val="001971DD"/>
    <w:rsid w:val="00197221"/>
    <w:rsid w:val="001975E1"/>
    <w:rsid w:val="00197BF7"/>
    <w:rsid w:val="00197F46"/>
    <w:rsid w:val="001A00A2"/>
    <w:rsid w:val="001A0D9C"/>
    <w:rsid w:val="001A1113"/>
    <w:rsid w:val="001A19A5"/>
    <w:rsid w:val="001A1E9C"/>
    <w:rsid w:val="001A1EAA"/>
    <w:rsid w:val="001A29CA"/>
    <w:rsid w:val="001A2ECA"/>
    <w:rsid w:val="001A2F23"/>
    <w:rsid w:val="001A2F91"/>
    <w:rsid w:val="001A31D8"/>
    <w:rsid w:val="001A388F"/>
    <w:rsid w:val="001A393E"/>
    <w:rsid w:val="001A40BA"/>
    <w:rsid w:val="001A4577"/>
    <w:rsid w:val="001A49E7"/>
    <w:rsid w:val="001A4CDE"/>
    <w:rsid w:val="001A525C"/>
    <w:rsid w:val="001A5279"/>
    <w:rsid w:val="001A5E0A"/>
    <w:rsid w:val="001A67A3"/>
    <w:rsid w:val="001A7F84"/>
    <w:rsid w:val="001B05E9"/>
    <w:rsid w:val="001B188E"/>
    <w:rsid w:val="001B1FCD"/>
    <w:rsid w:val="001B25DD"/>
    <w:rsid w:val="001B2AC4"/>
    <w:rsid w:val="001B2E3B"/>
    <w:rsid w:val="001B33F3"/>
    <w:rsid w:val="001B3616"/>
    <w:rsid w:val="001B3639"/>
    <w:rsid w:val="001B40FA"/>
    <w:rsid w:val="001B4158"/>
    <w:rsid w:val="001B428D"/>
    <w:rsid w:val="001B430B"/>
    <w:rsid w:val="001B467F"/>
    <w:rsid w:val="001B49BD"/>
    <w:rsid w:val="001B4F75"/>
    <w:rsid w:val="001B505F"/>
    <w:rsid w:val="001B51EC"/>
    <w:rsid w:val="001B5DED"/>
    <w:rsid w:val="001B6001"/>
    <w:rsid w:val="001B6021"/>
    <w:rsid w:val="001B60F5"/>
    <w:rsid w:val="001B6A70"/>
    <w:rsid w:val="001B6FA0"/>
    <w:rsid w:val="001C10AC"/>
    <w:rsid w:val="001C124F"/>
    <w:rsid w:val="001C14C7"/>
    <w:rsid w:val="001C175E"/>
    <w:rsid w:val="001C214C"/>
    <w:rsid w:val="001C2268"/>
    <w:rsid w:val="001C25EF"/>
    <w:rsid w:val="001C2704"/>
    <w:rsid w:val="001C283E"/>
    <w:rsid w:val="001C2FC5"/>
    <w:rsid w:val="001C30DC"/>
    <w:rsid w:val="001C3324"/>
    <w:rsid w:val="001C36FC"/>
    <w:rsid w:val="001C390E"/>
    <w:rsid w:val="001C3AF3"/>
    <w:rsid w:val="001C3C8B"/>
    <w:rsid w:val="001C3E04"/>
    <w:rsid w:val="001C415C"/>
    <w:rsid w:val="001C48BE"/>
    <w:rsid w:val="001C4BDD"/>
    <w:rsid w:val="001C4D3A"/>
    <w:rsid w:val="001C506D"/>
    <w:rsid w:val="001C5B99"/>
    <w:rsid w:val="001C5D46"/>
    <w:rsid w:val="001C69B1"/>
    <w:rsid w:val="001C769F"/>
    <w:rsid w:val="001C7E3D"/>
    <w:rsid w:val="001D0048"/>
    <w:rsid w:val="001D023E"/>
    <w:rsid w:val="001D0883"/>
    <w:rsid w:val="001D0A29"/>
    <w:rsid w:val="001D0D7C"/>
    <w:rsid w:val="001D0E1A"/>
    <w:rsid w:val="001D1643"/>
    <w:rsid w:val="001D187B"/>
    <w:rsid w:val="001D1B16"/>
    <w:rsid w:val="001D1B7A"/>
    <w:rsid w:val="001D1EAB"/>
    <w:rsid w:val="001D25E8"/>
    <w:rsid w:val="001D25FB"/>
    <w:rsid w:val="001D266A"/>
    <w:rsid w:val="001D26F6"/>
    <w:rsid w:val="001D2AF4"/>
    <w:rsid w:val="001D2B46"/>
    <w:rsid w:val="001D2EC4"/>
    <w:rsid w:val="001D3292"/>
    <w:rsid w:val="001D3372"/>
    <w:rsid w:val="001D3779"/>
    <w:rsid w:val="001D3AEB"/>
    <w:rsid w:val="001D43A4"/>
    <w:rsid w:val="001D48CD"/>
    <w:rsid w:val="001D5561"/>
    <w:rsid w:val="001D6741"/>
    <w:rsid w:val="001D6835"/>
    <w:rsid w:val="001D6B23"/>
    <w:rsid w:val="001D74F9"/>
    <w:rsid w:val="001E0181"/>
    <w:rsid w:val="001E0256"/>
    <w:rsid w:val="001E0CE2"/>
    <w:rsid w:val="001E0DCB"/>
    <w:rsid w:val="001E1B7C"/>
    <w:rsid w:val="001E1CB3"/>
    <w:rsid w:val="001E2920"/>
    <w:rsid w:val="001E2982"/>
    <w:rsid w:val="001E29AB"/>
    <w:rsid w:val="001E29F9"/>
    <w:rsid w:val="001E31A4"/>
    <w:rsid w:val="001E382C"/>
    <w:rsid w:val="001E3E9C"/>
    <w:rsid w:val="001E4AE8"/>
    <w:rsid w:val="001E4EC1"/>
    <w:rsid w:val="001E5306"/>
    <w:rsid w:val="001E56A3"/>
    <w:rsid w:val="001E571E"/>
    <w:rsid w:val="001E5F00"/>
    <w:rsid w:val="001E6375"/>
    <w:rsid w:val="001E66DD"/>
    <w:rsid w:val="001E69DB"/>
    <w:rsid w:val="001E6BDD"/>
    <w:rsid w:val="001F09FC"/>
    <w:rsid w:val="001F0B06"/>
    <w:rsid w:val="001F0F53"/>
    <w:rsid w:val="001F1E16"/>
    <w:rsid w:val="001F2664"/>
    <w:rsid w:val="001F2BF5"/>
    <w:rsid w:val="001F2EB1"/>
    <w:rsid w:val="001F31C6"/>
    <w:rsid w:val="001F32A7"/>
    <w:rsid w:val="001F47CB"/>
    <w:rsid w:val="001F48B6"/>
    <w:rsid w:val="001F512D"/>
    <w:rsid w:val="001F5377"/>
    <w:rsid w:val="001F5408"/>
    <w:rsid w:val="001F59F9"/>
    <w:rsid w:val="001F60C7"/>
    <w:rsid w:val="001F639D"/>
    <w:rsid w:val="001F67B3"/>
    <w:rsid w:val="001F6C3C"/>
    <w:rsid w:val="001F7F4D"/>
    <w:rsid w:val="002003F7"/>
    <w:rsid w:val="0020052E"/>
    <w:rsid w:val="00200C41"/>
    <w:rsid w:val="00200EE2"/>
    <w:rsid w:val="0020102A"/>
    <w:rsid w:val="00201A4E"/>
    <w:rsid w:val="00201F82"/>
    <w:rsid w:val="00202398"/>
    <w:rsid w:val="002023A0"/>
    <w:rsid w:val="00202535"/>
    <w:rsid w:val="00203080"/>
    <w:rsid w:val="0020366A"/>
    <w:rsid w:val="00203C39"/>
    <w:rsid w:val="00203C63"/>
    <w:rsid w:val="00204B88"/>
    <w:rsid w:val="00204BDD"/>
    <w:rsid w:val="00204D0F"/>
    <w:rsid w:val="00204F08"/>
    <w:rsid w:val="0020562D"/>
    <w:rsid w:val="00205E21"/>
    <w:rsid w:val="00205F0E"/>
    <w:rsid w:val="0020612A"/>
    <w:rsid w:val="002063E2"/>
    <w:rsid w:val="00206423"/>
    <w:rsid w:val="00206443"/>
    <w:rsid w:val="00206AB8"/>
    <w:rsid w:val="00206AEF"/>
    <w:rsid w:val="0021010F"/>
    <w:rsid w:val="0021090E"/>
    <w:rsid w:val="002111BC"/>
    <w:rsid w:val="002111C5"/>
    <w:rsid w:val="002114CC"/>
    <w:rsid w:val="00211550"/>
    <w:rsid w:val="00211600"/>
    <w:rsid w:val="00211919"/>
    <w:rsid w:val="002120B7"/>
    <w:rsid w:val="0021235B"/>
    <w:rsid w:val="00212DE5"/>
    <w:rsid w:val="002139CD"/>
    <w:rsid w:val="00213CD6"/>
    <w:rsid w:val="00213D48"/>
    <w:rsid w:val="00213FCB"/>
    <w:rsid w:val="00214237"/>
    <w:rsid w:val="00214F6E"/>
    <w:rsid w:val="0021517F"/>
    <w:rsid w:val="0021572B"/>
    <w:rsid w:val="00216098"/>
    <w:rsid w:val="00216C15"/>
    <w:rsid w:val="002173F5"/>
    <w:rsid w:val="002174AF"/>
    <w:rsid w:val="002176B3"/>
    <w:rsid w:val="00217C27"/>
    <w:rsid w:val="00217DD7"/>
    <w:rsid w:val="00220017"/>
    <w:rsid w:val="00220079"/>
    <w:rsid w:val="00220143"/>
    <w:rsid w:val="002204F4"/>
    <w:rsid w:val="002207E6"/>
    <w:rsid w:val="00220ADB"/>
    <w:rsid w:val="00220BC0"/>
    <w:rsid w:val="00221181"/>
    <w:rsid w:val="002212A9"/>
    <w:rsid w:val="00221363"/>
    <w:rsid w:val="00221440"/>
    <w:rsid w:val="00221B7F"/>
    <w:rsid w:val="00221CA4"/>
    <w:rsid w:val="00221EC2"/>
    <w:rsid w:val="00221F26"/>
    <w:rsid w:val="002222BA"/>
    <w:rsid w:val="0022233F"/>
    <w:rsid w:val="00222A4B"/>
    <w:rsid w:val="00222A9E"/>
    <w:rsid w:val="00222D37"/>
    <w:rsid w:val="00222F27"/>
    <w:rsid w:val="00222FCC"/>
    <w:rsid w:val="00223B12"/>
    <w:rsid w:val="00223E4C"/>
    <w:rsid w:val="0022405B"/>
    <w:rsid w:val="0022421D"/>
    <w:rsid w:val="00224B6A"/>
    <w:rsid w:val="00224D29"/>
    <w:rsid w:val="00225F05"/>
    <w:rsid w:val="002263AE"/>
    <w:rsid w:val="002265E9"/>
    <w:rsid w:val="00226C78"/>
    <w:rsid w:val="00226E2D"/>
    <w:rsid w:val="0022709C"/>
    <w:rsid w:val="00227497"/>
    <w:rsid w:val="00227E2E"/>
    <w:rsid w:val="00230003"/>
    <w:rsid w:val="002307FF"/>
    <w:rsid w:val="0023139A"/>
    <w:rsid w:val="00231D7E"/>
    <w:rsid w:val="00231F56"/>
    <w:rsid w:val="0023266B"/>
    <w:rsid w:val="00232920"/>
    <w:rsid w:val="00232950"/>
    <w:rsid w:val="0023321B"/>
    <w:rsid w:val="00233A5C"/>
    <w:rsid w:val="00233ACB"/>
    <w:rsid w:val="00233C79"/>
    <w:rsid w:val="00233EF1"/>
    <w:rsid w:val="00234430"/>
    <w:rsid w:val="00234B36"/>
    <w:rsid w:val="00234CE3"/>
    <w:rsid w:val="0023599E"/>
    <w:rsid w:val="00235D5A"/>
    <w:rsid w:val="002363DA"/>
    <w:rsid w:val="002364B4"/>
    <w:rsid w:val="00236AB0"/>
    <w:rsid w:val="00236ACA"/>
    <w:rsid w:val="0023716C"/>
    <w:rsid w:val="0023736F"/>
    <w:rsid w:val="002375B2"/>
    <w:rsid w:val="002376F0"/>
    <w:rsid w:val="00240DB8"/>
    <w:rsid w:val="00240E63"/>
    <w:rsid w:val="00240FB8"/>
    <w:rsid w:val="00241025"/>
    <w:rsid w:val="0024102B"/>
    <w:rsid w:val="00241C47"/>
    <w:rsid w:val="002422D3"/>
    <w:rsid w:val="002424D2"/>
    <w:rsid w:val="00242554"/>
    <w:rsid w:val="00242738"/>
    <w:rsid w:val="00242850"/>
    <w:rsid w:val="00244119"/>
    <w:rsid w:val="00244490"/>
    <w:rsid w:val="0024540C"/>
    <w:rsid w:val="00245898"/>
    <w:rsid w:val="00245BD4"/>
    <w:rsid w:val="00246265"/>
    <w:rsid w:val="00246AF3"/>
    <w:rsid w:val="00246FC5"/>
    <w:rsid w:val="002473AB"/>
    <w:rsid w:val="00247AA8"/>
    <w:rsid w:val="00247D62"/>
    <w:rsid w:val="00250434"/>
    <w:rsid w:val="0025061A"/>
    <w:rsid w:val="00250677"/>
    <w:rsid w:val="002507FE"/>
    <w:rsid w:val="00251412"/>
    <w:rsid w:val="002517CC"/>
    <w:rsid w:val="00252068"/>
    <w:rsid w:val="0025207B"/>
    <w:rsid w:val="00252688"/>
    <w:rsid w:val="00252CD0"/>
    <w:rsid w:val="0025318E"/>
    <w:rsid w:val="00253391"/>
    <w:rsid w:val="0025366B"/>
    <w:rsid w:val="00253E1B"/>
    <w:rsid w:val="00254818"/>
    <w:rsid w:val="00254821"/>
    <w:rsid w:val="00254899"/>
    <w:rsid w:val="00255314"/>
    <w:rsid w:val="00255B5E"/>
    <w:rsid w:val="00255F84"/>
    <w:rsid w:val="0025641A"/>
    <w:rsid w:val="00256674"/>
    <w:rsid w:val="0025699C"/>
    <w:rsid w:val="00257903"/>
    <w:rsid w:val="00257B2C"/>
    <w:rsid w:val="0026054F"/>
    <w:rsid w:val="00260866"/>
    <w:rsid w:val="00260946"/>
    <w:rsid w:val="002611E2"/>
    <w:rsid w:val="0026139B"/>
    <w:rsid w:val="00262145"/>
    <w:rsid w:val="002621EE"/>
    <w:rsid w:val="00262275"/>
    <w:rsid w:val="00262872"/>
    <w:rsid w:val="0026299F"/>
    <w:rsid w:val="002630CA"/>
    <w:rsid w:val="00263B58"/>
    <w:rsid w:val="00263F46"/>
    <w:rsid w:val="0026407D"/>
    <w:rsid w:val="00264AA9"/>
    <w:rsid w:val="00264E0C"/>
    <w:rsid w:val="002657B9"/>
    <w:rsid w:val="00266885"/>
    <w:rsid w:val="00266897"/>
    <w:rsid w:val="00266C4C"/>
    <w:rsid w:val="00266D06"/>
    <w:rsid w:val="0026722A"/>
    <w:rsid w:val="002677D6"/>
    <w:rsid w:val="00267833"/>
    <w:rsid w:val="00267B2D"/>
    <w:rsid w:val="00267B96"/>
    <w:rsid w:val="00270899"/>
    <w:rsid w:val="00271306"/>
    <w:rsid w:val="002713DE"/>
    <w:rsid w:val="002714EA"/>
    <w:rsid w:val="00271500"/>
    <w:rsid w:val="00271648"/>
    <w:rsid w:val="00271C58"/>
    <w:rsid w:val="002723A8"/>
    <w:rsid w:val="002725D9"/>
    <w:rsid w:val="00272C84"/>
    <w:rsid w:val="00272E50"/>
    <w:rsid w:val="00273E59"/>
    <w:rsid w:val="00274692"/>
    <w:rsid w:val="00274877"/>
    <w:rsid w:val="00274F45"/>
    <w:rsid w:val="0027507A"/>
    <w:rsid w:val="00275361"/>
    <w:rsid w:val="002755F3"/>
    <w:rsid w:val="0027564C"/>
    <w:rsid w:val="0027576C"/>
    <w:rsid w:val="002759A5"/>
    <w:rsid w:val="002759A9"/>
    <w:rsid w:val="00275A1D"/>
    <w:rsid w:val="002766F2"/>
    <w:rsid w:val="00276886"/>
    <w:rsid w:val="00276F00"/>
    <w:rsid w:val="00277252"/>
    <w:rsid w:val="002774C5"/>
    <w:rsid w:val="00280BD1"/>
    <w:rsid w:val="00281673"/>
    <w:rsid w:val="00282095"/>
    <w:rsid w:val="00282218"/>
    <w:rsid w:val="0028237E"/>
    <w:rsid w:val="00282693"/>
    <w:rsid w:val="00282F2F"/>
    <w:rsid w:val="00283283"/>
    <w:rsid w:val="00284393"/>
    <w:rsid w:val="00285062"/>
    <w:rsid w:val="00285BDD"/>
    <w:rsid w:val="00285E62"/>
    <w:rsid w:val="002863D5"/>
    <w:rsid w:val="0028648A"/>
    <w:rsid w:val="0028667F"/>
    <w:rsid w:val="0028677A"/>
    <w:rsid w:val="002868C4"/>
    <w:rsid w:val="00286B2E"/>
    <w:rsid w:val="00286E64"/>
    <w:rsid w:val="00290518"/>
    <w:rsid w:val="002909BA"/>
    <w:rsid w:val="002909CE"/>
    <w:rsid w:val="00291782"/>
    <w:rsid w:val="002919CF"/>
    <w:rsid w:val="0029206D"/>
    <w:rsid w:val="00292476"/>
    <w:rsid w:val="0029265A"/>
    <w:rsid w:val="002928EA"/>
    <w:rsid w:val="00292DC2"/>
    <w:rsid w:val="002932CD"/>
    <w:rsid w:val="002942D9"/>
    <w:rsid w:val="00294665"/>
    <w:rsid w:val="0029476E"/>
    <w:rsid w:val="0029495F"/>
    <w:rsid w:val="002949E2"/>
    <w:rsid w:val="00294BA3"/>
    <w:rsid w:val="00294CE8"/>
    <w:rsid w:val="00295015"/>
    <w:rsid w:val="00295179"/>
    <w:rsid w:val="00295A53"/>
    <w:rsid w:val="00295AC3"/>
    <w:rsid w:val="002960A3"/>
    <w:rsid w:val="00296592"/>
    <w:rsid w:val="00296A2C"/>
    <w:rsid w:val="00296AF5"/>
    <w:rsid w:val="002970F7"/>
    <w:rsid w:val="002972E4"/>
    <w:rsid w:val="002979F2"/>
    <w:rsid w:val="00297E27"/>
    <w:rsid w:val="00297E4A"/>
    <w:rsid w:val="00297FE2"/>
    <w:rsid w:val="002A00B2"/>
    <w:rsid w:val="002A0867"/>
    <w:rsid w:val="002A1478"/>
    <w:rsid w:val="002A18A4"/>
    <w:rsid w:val="002A204D"/>
    <w:rsid w:val="002A22D1"/>
    <w:rsid w:val="002A241D"/>
    <w:rsid w:val="002A2446"/>
    <w:rsid w:val="002A2A12"/>
    <w:rsid w:val="002A2D74"/>
    <w:rsid w:val="002A3034"/>
    <w:rsid w:val="002A315D"/>
    <w:rsid w:val="002A3983"/>
    <w:rsid w:val="002A3BCB"/>
    <w:rsid w:val="002A40A1"/>
    <w:rsid w:val="002A510E"/>
    <w:rsid w:val="002A51A4"/>
    <w:rsid w:val="002A6174"/>
    <w:rsid w:val="002A63C4"/>
    <w:rsid w:val="002A671C"/>
    <w:rsid w:val="002A69B3"/>
    <w:rsid w:val="002A6B7D"/>
    <w:rsid w:val="002A6DFE"/>
    <w:rsid w:val="002A6ED5"/>
    <w:rsid w:val="002A73DD"/>
    <w:rsid w:val="002A792A"/>
    <w:rsid w:val="002A7C5B"/>
    <w:rsid w:val="002B0EB6"/>
    <w:rsid w:val="002B2099"/>
    <w:rsid w:val="002B219F"/>
    <w:rsid w:val="002B22CA"/>
    <w:rsid w:val="002B2340"/>
    <w:rsid w:val="002B25F9"/>
    <w:rsid w:val="002B2EFD"/>
    <w:rsid w:val="002B36CB"/>
    <w:rsid w:val="002B4234"/>
    <w:rsid w:val="002B441D"/>
    <w:rsid w:val="002B4952"/>
    <w:rsid w:val="002B4BA0"/>
    <w:rsid w:val="002B5099"/>
    <w:rsid w:val="002B5251"/>
    <w:rsid w:val="002B5411"/>
    <w:rsid w:val="002B5498"/>
    <w:rsid w:val="002B57C2"/>
    <w:rsid w:val="002B62A0"/>
    <w:rsid w:val="002B66E6"/>
    <w:rsid w:val="002B6939"/>
    <w:rsid w:val="002B6DD3"/>
    <w:rsid w:val="002B71D3"/>
    <w:rsid w:val="002B77A7"/>
    <w:rsid w:val="002B7834"/>
    <w:rsid w:val="002B7989"/>
    <w:rsid w:val="002B7B07"/>
    <w:rsid w:val="002C078D"/>
    <w:rsid w:val="002C09E2"/>
    <w:rsid w:val="002C0ECB"/>
    <w:rsid w:val="002C1B1C"/>
    <w:rsid w:val="002C1B22"/>
    <w:rsid w:val="002C1B61"/>
    <w:rsid w:val="002C1C12"/>
    <w:rsid w:val="002C23E9"/>
    <w:rsid w:val="002C2C55"/>
    <w:rsid w:val="002C2CCC"/>
    <w:rsid w:val="002C300B"/>
    <w:rsid w:val="002C3881"/>
    <w:rsid w:val="002C4655"/>
    <w:rsid w:val="002C48ED"/>
    <w:rsid w:val="002C4950"/>
    <w:rsid w:val="002C4A06"/>
    <w:rsid w:val="002C50BF"/>
    <w:rsid w:val="002C5A75"/>
    <w:rsid w:val="002C64D6"/>
    <w:rsid w:val="002C6706"/>
    <w:rsid w:val="002C7117"/>
    <w:rsid w:val="002C7177"/>
    <w:rsid w:val="002C73B4"/>
    <w:rsid w:val="002C7C53"/>
    <w:rsid w:val="002C7E22"/>
    <w:rsid w:val="002D05AB"/>
    <w:rsid w:val="002D0CBB"/>
    <w:rsid w:val="002D1046"/>
    <w:rsid w:val="002D1E23"/>
    <w:rsid w:val="002D215C"/>
    <w:rsid w:val="002D21E6"/>
    <w:rsid w:val="002D23D8"/>
    <w:rsid w:val="002D24D2"/>
    <w:rsid w:val="002D2622"/>
    <w:rsid w:val="002D2727"/>
    <w:rsid w:val="002D2B63"/>
    <w:rsid w:val="002D2DDD"/>
    <w:rsid w:val="002D3070"/>
    <w:rsid w:val="002D345F"/>
    <w:rsid w:val="002D3651"/>
    <w:rsid w:val="002D373E"/>
    <w:rsid w:val="002D42C4"/>
    <w:rsid w:val="002D4512"/>
    <w:rsid w:val="002D49B7"/>
    <w:rsid w:val="002D4BC2"/>
    <w:rsid w:val="002D504E"/>
    <w:rsid w:val="002D505B"/>
    <w:rsid w:val="002D5175"/>
    <w:rsid w:val="002D5323"/>
    <w:rsid w:val="002D5E49"/>
    <w:rsid w:val="002D5EBB"/>
    <w:rsid w:val="002D62FE"/>
    <w:rsid w:val="002D639D"/>
    <w:rsid w:val="002D663E"/>
    <w:rsid w:val="002D6927"/>
    <w:rsid w:val="002D6EA8"/>
    <w:rsid w:val="002D73F8"/>
    <w:rsid w:val="002D7534"/>
    <w:rsid w:val="002D7595"/>
    <w:rsid w:val="002E0BAB"/>
    <w:rsid w:val="002E0C35"/>
    <w:rsid w:val="002E0D6E"/>
    <w:rsid w:val="002E1075"/>
    <w:rsid w:val="002E18DC"/>
    <w:rsid w:val="002E1A5E"/>
    <w:rsid w:val="002E1A6D"/>
    <w:rsid w:val="002E23DF"/>
    <w:rsid w:val="002E2955"/>
    <w:rsid w:val="002E2978"/>
    <w:rsid w:val="002E2B67"/>
    <w:rsid w:val="002E32FA"/>
    <w:rsid w:val="002E36C5"/>
    <w:rsid w:val="002E417E"/>
    <w:rsid w:val="002E4597"/>
    <w:rsid w:val="002E476E"/>
    <w:rsid w:val="002E48B1"/>
    <w:rsid w:val="002E51A1"/>
    <w:rsid w:val="002E56B3"/>
    <w:rsid w:val="002E5771"/>
    <w:rsid w:val="002E5D8E"/>
    <w:rsid w:val="002E5DD9"/>
    <w:rsid w:val="002E6397"/>
    <w:rsid w:val="002E6E32"/>
    <w:rsid w:val="002E761D"/>
    <w:rsid w:val="002E76F6"/>
    <w:rsid w:val="002E77D9"/>
    <w:rsid w:val="002E7840"/>
    <w:rsid w:val="002E79BC"/>
    <w:rsid w:val="002E7CEC"/>
    <w:rsid w:val="002F08A2"/>
    <w:rsid w:val="002F0A1E"/>
    <w:rsid w:val="002F1534"/>
    <w:rsid w:val="002F1554"/>
    <w:rsid w:val="002F1668"/>
    <w:rsid w:val="002F17C2"/>
    <w:rsid w:val="002F1A64"/>
    <w:rsid w:val="002F1B40"/>
    <w:rsid w:val="002F230B"/>
    <w:rsid w:val="002F288B"/>
    <w:rsid w:val="002F332D"/>
    <w:rsid w:val="002F3B23"/>
    <w:rsid w:val="002F4390"/>
    <w:rsid w:val="002F467B"/>
    <w:rsid w:val="002F5524"/>
    <w:rsid w:val="002F589E"/>
    <w:rsid w:val="002F5D09"/>
    <w:rsid w:val="002F6208"/>
    <w:rsid w:val="002F6514"/>
    <w:rsid w:val="002F7AA5"/>
    <w:rsid w:val="00300B5B"/>
    <w:rsid w:val="00300DE6"/>
    <w:rsid w:val="00301065"/>
    <w:rsid w:val="003010B4"/>
    <w:rsid w:val="00301299"/>
    <w:rsid w:val="00301BB4"/>
    <w:rsid w:val="00301DE0"/>
    <w:rsid w:val="00301E8E"/>
    <w:rsid w:val="0030230E"/>
    <w:rsid w:val="003024E9"/>
    <w:rsid w:val="0030289E"/>
    <w:rsid w:val="0030340D"/>
    <w:rsid w:val="00303968"/>
    <w:rsid w:val="00303FD5"/>
    <w:rsid w:val="0030429B"/>
    <w:rsid w:val="003042EE"/>
    <w:rsid w:val="003044D0"/>
    <w:rsid w:val="00305746"/>
    <w:rsid w:val="00305A78"/>
    <w:rsid w:val="00306104"/>
    <w:rsid w:val="003065A5"/>
    <w:rsid w:val="0030667D"/>
    <w:rsid w:val="00306F63"/>
    <w:rsid w:val="00306F7C"/>
    <w:rsid w:val="003070FF"/>
    <w:rsid w:val="0030781C"/>
    <w:rsid w:val="00307A14"/>
    <w:rsid w:val="003101C9"/>
    <w:rsid w:val="003102F6"/>
    <w:rsid w:val="00310D04"/>
    <w:rsid w:val="00310F12"/>
    <w:rsid w:val="00310F74"/>
    <w:rsid w:val="00312676"/>
    <w:rsid w:val="0031274E"/>
    <w:rsid w:val="0031346F"/>
    <w:rsid w:val="003140B3"/>
    <w:rsid w:val="00314149"/>
    <w:rsid w:val="0031420F"/>
    <w:rsid w:val="00314287"/>
    <w:rsid w:val="00314656"/>
    <w:rsid w:val="00314A50"/>
    <w:rsid w:val="00314A6B"/>
    <w:rsid w:val="00315087"/>
    <w:rsid w:val="00315448"/>
    <w:rsid w:val="00315583"/>
    <w:rsid w:val="003168D2"/>
    <w:rsid w:val="00316D75"/>
    <w:rsid w:val="00316E80"/>
    <w:rsid w:val="0031778A"/>
    <w:rsid w:val="00317A96"/>
    <w:rsid w:val="00320104"/>
    <w:rsid w:val="0032013F"/>
    <w:rsid w:val="0032021A"/>
    <w:rsid w:val="0032038F"/>
    <w:rsid w:val="003205AB"/>
    <w:rsid w:val="00320A8C"/>
    <w:rsid w:val="00320EAD"/>
    <w:rsid w:val="00320EBC"/>
    <w:rsid w:val="0032179C"/>
    <w:rsid w:val="003219CD"/>
    <w:rsid w:val="00321B3D"/>
    <w:rsid w:val="00321EB8"/>
    <w:rsid w:val="00322555"/>
    <w:rsid w:val="00323139"/>
    <w:rsid w:val="00323270"/>
    <w:rsid w:val="003234DB"/>
    <w:rsid w:val="00323706"/>
    <w:rsid w:val="00324392"/>
    <w:rsid w:val="0032474E"/>
    <w:rsid w:val="0032478C"/>
    <w:rsid w:val="003255B9"/>
    <w:rsid w:val="00325B62"/>
    <w:rsid w:val="0032604B"/>
    <w:rsid w:val="00326BF8"/>
    <w:rsid w:val="003302E8"/>
    <w:rsid w:val="00330482"/>
    <w:rsid w:val="003307F6"/>
    <w:rsid w:val="00330B1E"/>
    <w:rsid w:val="00330D5D"/>
    <w:rsid w:val="003315B0"/>
    <w:rsid w:val="00332701"/>
    <w:rsid w:val="00332784"/>
    <w:rsid w:val="003329CF"/>
    <w:rsid w:val="00332A55"/>
    <w:rsid w:val="00332A6C"/>
    <w:rsid w:val="00332C04"/>
    <w:rsid w:val="00333071"/>
    <w:rsid w:val="003336DD"/>
    <w:rsid w:val="00333B77"/>
    <w:rsid w:val="00334123"/>
    <w:rsid w:val="0033457C"/>
    <w:rsid w:val="00334851"/>
    <w:rsid w:val="00334DFB"/>
    <w:rsid w:val="00334E80"/>
    <w:rsid w:val="00335092"/>
    <w:rsid w:val="00335944"/>
    <w:rsid w:val="00335964"/>
    <w:rsid w:val="00335A79"/>
    <w:rsid w:val="00335CD5"/>
    <w:rsid w:val="00335FB6"/>
    <w:rsid w:val="00336B3A"/>
    <w:rsid w:val="00337467"/>
    <w:rsid w:val="00340249"/>
    <w:rsid w:val="00341004"/>
    <w:rsid w:val="00341866"/>
    <w:rsid w:val="003419B0"/>
    <w:rsid w:val="00341B3B"/>
    <w:rsid w:val="003424E6"/>
    <w:rsid w:val="00342A50"/>
    <w:rsid w:val="00343342"/>
    <w:rsid w:val="0034339A"/>
    <w:rsid w:val="0034351B"/>
    <w:rsid w:val="003435B1"/>
    <w:rsid w:val="0034379C"/>
    <w:rsid w:val="0034418D"/>
    <w:rsid w:val="0034502E"/>
    <w:rsid w:val="00345E4E"/>
    <w:rsid w:val="00346352"/>
    <w:rsid w:val="003474E7"/>
    <w:rsid w:val="00347C64"/>
    <w:rsid w:val="00347CD3"/>
    <w:rsid w:val="00350305"/>
    <w:rsid w:val="003503F5"/>
    <w:rsid w:val="00350CCF"/>
    <w:rsid w:val="00350E66"/>
    <w:rsid w:val="00351623"/>
    <w:rsid w:val="003520A6"/>
    <w:rsid w:val="0035234D"/>
    <w:rsid w:val="0035269E"/>
    <w:rsid w:val="00353FBB"/>
    <w:rsid w:val="00354292"/>
    <w:rsid w:val="003548F9"/>
    <w:rsid w:val="00355327"/>
    <w:rsid w:val="0035547E"/>
    <w:rsid w:val="00355601"/>
    <w:rsid w:val="00355666"/>
    <w:rsid w:val="003557E2"/>
    <w:rsid w:val="0035581C"/>
    <w:rsid w:val="00356422"/>
    <w:rsid w:val="00356520"/>
    <w:rsid w:val="00356AAE"/>
    <w:rsid w:val="00356AD3"/>
    <w:rsid w:val="00356D9A"/>
    <w:rsid w:val="00356E26"/>
    <w:rsid w:val="00356E97"/>
    <w:rsid w:val="00357E0E"/>
    <w:rsid w:val="00360264"/>
    <w:rsid w:val="003603E9"/>
    <w:rsid w:val="0036099C"/>
    <w:rsid w:val="00360B69"/>
    <w:rsid w:val="00361065"/>
    <w:rsid w:val="0036121C"/>
    <w:rsid w:val="003612EE"/>
    <w:rsid w:val="003614B4"/>
    <w:rsid w:val="003614FD"/>
    <w:rsid w:val="00361978"/>
    <w:rsid w:val="00361C9A"/>
    <w:rsid w:val="00361F28"/>
    <w:rsid w:val="003621EF"/>
    <w:rsid w:val="003624D1"/>
    <w:rsid w:val="003629AB"/>
    <w:rsid w:val="00362C6D"/>
    <w:rsid w:val="00362C71"/>
    <w:rsid w:val="00363A47"/>
    <w:rsid w:val="00363A9A"/>
    <w:rsid w:val="003642ED"/>
    <w:rsid w:val="00364960"/>
    <w:rsid w:val="003649EC"/>
    <w:rsid w:val="00364A7C"/>
    <w:rsid w:val="00365D1D"/>
    <w:rsid w:val="003660A8"/>
    <w:rsid w:val="00366334"/>
    <w:rsid w:val="003665AA"/>
    <w:rsid w:val="003665EB"/>
    <w:rsid w:val="00366669"/>
    <w:rsid w:val="00366D26"/>
    <w:rsid w:val="00366D7A"/>
    <w:rsid w:val="0036729E"/>
    <w:rsid w:val="003674E9"/>
    <w:rsid w:val="003675B1"/>
    <w:rsid w:val="003701AD"/>
    <w:rsid w:val="00370763"/>
    <w:rsid w:val="00370C61"/>
    <w:rsid w:val="00371003"/>
    <w:rsid w:val="00371013"/>
    <w:rsid w:val="003710E4"/>
    <w:rsid w:val="00371D36"/>
    <w:rsid w:val="00373CB5"/>
    <w:rsid w:val="00374409"/>
    <w:rsid w:val="00374B69"/>
    <w:rsid w:val="00374CA8"/>
    <w:rsid w:val="00375020"/>
    <w:rsid w:val="00375708"/>
    <w:rsid w:val="003762C4"/>
    <w:rsid w:val="003767CE"/>
    <w:rsid w:val="00376CC6"/>
    <w:rsid w:val="003770A7"/>
    <w:rsid w:val="003778E9"/>
    <w:rsid w:val="00377EF2"/>
    <w:rsid w:val="00380B1F"/>
    <w:rsid w:val="00381192"/>
    <w:rsid w:val="003812C9"/>
    <w:rsid w:val="00381558"/>
    <w:rsid w:val="00381700"/>
    <w:rsid w:val="00381717"/>
    <w:rsid w:val="00381827"/>
    <w:rsid w:val="003828F5"/>
    <w:rsid w:val="00382B2B"/>
    <w:rsid w:val="00382F38"/>
    <w:rsid w:val="00382F88"/>
    <w:rsid w:val="00383414"/>
    <w:rsid w:val="00383CA8"/>
    <w:rsid w:val="00384178"/>
    <w:rsid w:val="00384186"/>
    <w:rsid w:val="0038433D"/>
    <w:rsid w:val="00384C92"/>
    <w:rsid w:val="00384D5F"/>
    <w:rsid w:val="00384E31"/>
    <w:rsid w:val="00384F72"/>
    <w:rsid w:val="0038555C"/>
    <w:rsid w:val="003855A9"/>
    <w:rsid w:val="00385845"/>
    <w:rsid w:val="00385C47"/>
    <w:rsid w:val="00385C7F"/>
    <w:rsid w:val="0038601A"/>
    <w:rsid w:val="003860F9"/>
    <w:rsid w:val="003863B1"/>
    <w:rsid w:val="00386BED"/>
    <w:rsid w:val="00387451"/>
    <w:rsid w:val="0038787E"/>
    <w:rsid w:val="0038789E"/>
    <w:rsid w:val="00390696"/>
    <w:rsid w:val="00391636"/>
    <w:rsid w:val="00391651"/>
    <w:rsid w:val="00391C06"/>
    <w:rsid w:val="00391F4F"/>
    <w:rsid w:val="0039233F"/>
    <w:rsid w:val="00392700"/>
    <w:rsid w:val="00392944"/>
    <w:rsid w:val="00393159"/>
    <w:rsid w:val="00393361"/>
    <w:rsid w:val="00393427"/>
    <w:rsid w:val="0039352D"/>
    <w:rsid w:val="00393D97"/>
    <w:rsid w:val="00394278"/>
    <w:rsid w:val="003945AB"/>
    <w:rsid w:val="00395AAD"/>
    <w:rsid w:val="00395BA1"/>
    <w:rsid w:val="00395F26"/>
    <w:rsid w:val="0039605A"/>
    <w:rsid w:val="0039624B"/>
    <w:rsid w:val="00396856"/>
    <w:rsid w:val="003973EB"/>
    <w:rsid w:val="00397400"/>
    <w:rsid w:val="003A0130"/>
    <w:rsid w:val="003A04BD"/>
    <w:rsid w:val="003A108B"/>
    <w:rsid w:val="003A12FE"/>
    <w:rsid w:val="003A16E6"/>
    <w:rsid w:val="003A17E2"/>
    <w:rsid w:val="003A1887"/>
    <w:rsid w:val="003A190C"/>
    <w:rsid w:val="003A1D7A"/>
    <w:rsid w:val="003A223E"/>
    <w:rsid w:val="003A26C1"/>
    <w:rsid w:val="003A26F2"/>
    <w:rsid w:val="003A2ACB"/>
    <w:rsid w:val="003A2AE8"/>
    <w:rsid w:val="003A2ECB"/>
    <w:rsid w:val="003A374A"/>
    <w:rsid w:val="003A37B1"/>
    <w:rsid w:val="003A388A"/>
    <w:rsid w:val="003A3DA5"/>
    <w:rsid w:val="003A4439"/>
    <w:rsid w:val="003A4552"/>
    <w:rsid w:val="003A4D09"/>
    <w:rsid w:val="003A5D5C"/>
    <w:rsid w:val="003A63F3"/>
    <w:rsid w:val="003A727D"/>
    <w:rsid w:val="003A7345"/>
    <w:rsid w:val="003A77AF"/>
    <w:rsid w:val="003B0398"/>
    <w:rsid w:val="003B1464"/>
    <w:rsid w:val="003B16B3"/>
    <w:rsid w:val="003B17B0"/>
    <w:rsid w:val="003B1874"/>
    <w:rsid w:val="003B18AE"/>
    <w:rsid w:val="003B1CA1"/>
    <w:rsid w:val="003B1D21"/>
    <w:rsid w:val="003B23F1"/>
    <w:rsid w:val="003B2DDE"/>
    <w:rsid w:val="003B2E74"/>
    <w:rsid w:val="003B331E"/>
    <w:rsid w:val="003B3372"/>
    <w:rsid w:val="003B35CF"/>
    <w:rsid w:val="003B3B6A"/>
    <w:rsid w:val="003B3D9F"/>
    <w:rsid w:val="003B4570"/>
    <w:rsid w:val="003B4654"/>
    <w:rsid w:val="003B4900"/>
    <w:rsid w:val="003B4A6D"/>
    <w:rsid w:val="003B4BCE"/>
    <w:rsid w:val="003B5237"/>
    <w:rsid w:val="003B5A11"/>
    <w:rsid w:val="003B5B28"/>
    <w:rsid w:val="003B5D8D"/>
    <w:rsid w:val="003B65A1"/>
    <w:rsid w:val="003B6676"/>
    <w:rsid w:val="003B698E"/>
    <w:rsid w:val="003B6D7F"/>
    <w:rsid w:val="003B7311"/>
    <w:rsid w:val="003B7D83"/>
    <w:rsid w:val="003C082E"/>
    <w:rsid w:val="003C10F6"/>
    <w:rsid w:val="003C11FC"/>
    <w:rsid w:val="003C1644"/>
    <w:rsid w:val="003C198E"/>
    <w:rsid w:val="003C1C62"/>
    <w:rsid w:val="003C1F91"/>
    <w:rsid w:val="003C2784"/>
    <w:rsid w:val="003C2E99"/>
    <w:rsid w:val="003C3254"/>
    <w:rsid w:val="003C356B"/>
    <w:rsid w:val="003C36EB"/>
    <w:rsid w:val="003C374C"/>
    <w:rsid w:val="003C3869"/>
    <w:rsid w:val="003C46A6"/>
    <w:rsid w:val="003C4EA0"/>
    <w:rsid w:val="003C4FD4"/>
    <w:rsid w:val="003C56B3"/>
    <w:rsid w:val="003C5711"/>
    <w:rsid w:val="003C5B00"/>
    <w:rsid w:val="003C6473"/>
    <w:rsid w:val="003C694B"/>
    <w:rsid w:val="003C70B2"/>
    <w:rsid w:val="003C766C"/>
    <w:rsid w:val="003D0551"/>
    <w:rsid w:val="003D0FE1"/>
    <w:rsid w:val="003D173B"/>
    <w:rsid w:val="003D1854"/>
    <w:rsid w:val="003D1BE1"/>
    <w:rsid w:val="003D1DC6"/>
    <w:rsid w:val="003D1DF8"/>
    <w:rsid w:val="003D20A2"/>
    <w:rsid w:val="003D279B"/>
    <w:rsid w:val="003D2AB8"/>
    <w:rsid w:val="003D2B99"/>
    <w:rsid w:val="003D2E17"/>
    <w:rsid w:val="003D2F95"/>
    <w:rsid w:val="003D3684"/>
    <w:rsid w:val="003D3F28"/>
    <w:rsid w:val="003D44FD"/>
    <w:rsid w:val="003D4531"/>
    <w:rsid w:val="003D486E"/>
    <w:rsid w:val="003D4E79"/>
    <w:rsid w:val="003D5110"/>
    <w:rsid w:val="003D519C"/>
    <w:rsid w:val="003D51E3"/>
    <w:rsid w:val="003D574A"/>
    <w:rsid w:val="003D5D3C"/>
    <w:rsid w:val="003D6724"/>
    <w:rsid w:val="003D6813"/>
    <w:rsid w:val="003D6D39"/>
    <w:rsid w:val="003D6FE0"/>
    <w:rsid w:val="003D71EE"/>
    <w:rsid w:val="003D73CA"/>
    <w:rsid w:val="003D7FAE"/>
    <w:rsid w:val="003E0A3D"/>
    <w:rsid w:val="003E0DFA"/>
    <w:rsid w:val="003E1079"/>
    <w:rsid w:val="003E1710"/>
    <w:rsid w:val="003E1A66"/>
    <w:rsid w:val="003E1D03"/>
    <w:rsid w:val="003E1E18"/>
    <w:rsid w:val="003E231A"/>
    <w:rsid w:val="003E2605"/>
    <w:rsid w:val="003E2EF3"/>
    <w:rsid w:val="003E2F41"/>
    <w:rsid w:val="003E30EC"/>
    <w:rsid w:val="003E31E4"/>
    <w:rsid w:val="003E34B8"/>
    <w:rsid w:val="003E35B6"/>
    <w:rsid w:val="003E39E5"/>
    <w:rsid w:val="003E3EAA"/>
    <w:rsid w:val="003E424B"/>
    <w:rsid w:val="003E441B"/>
    <w:rsid w:val="003E46C8"/>
    <w:rsid w:val="003E4BF0"/>
    <w:rsid w:val="003E4DFC"/>
    <w:rsid w:val="003E4E94"/>
    <w:rsid w:val="003E5182"/>
    <w:rsid w:val="003E5255"/>
    <w:rsid w:val="003E57FE"/>
    <w:rsid w:val="003E6112"/>
    <w:rsid w:val="003E61FE"/>
    <w:rsid w:val="003E66C6"/>
    <w:rsid w:val="003E6929"/>
    <w:rsid w:val="003E7216"/>
    <w:rsid w:val="003E751C"/>
    <w:rsid w:val="003E761D"/>
    <w:rsid w:val="003E7815"/>
    <w:rsid w:val="003F01E2"/>
    <w:rsid w:val="003F0807"/>
    <w:rsid w:val="003F0A48"/>
    <w:rsid w:val="003F11C8"/>
    <w:rsid w:val="003F159C"/>
    <w:rsid w:val="003F18B9"/>
    <w:rsid w:val="003F1927"/>
    <w:rsid w:val="003F27E0"/>
    <w:rsid w:val="003F305A"/>
    <w:rsid w:val="003F32A9"/>
    <w:rsid w:val="003F3911"/>
    <w:rsid w:val="003F48F5"/>
    <w:rsid w:val="003F508B"/>
    <w:rsid w:val="003F5691"/>
    <w:rsid w:val="003F5CAF"/>
    <w:rsid w:val="003F5D61"/>
    <w:rsid w:val="003F5DEA"/>
    <w:rsid w:val="003F6031"/>
    <w:rsid w:val="003F6616"/>
    <w:rsid w:val="003F6D88"/>
    <w:rsid w:val="003F70A2"/>
    <w:rsid w:val="003F70AC"/>
    <w:rsid w:val="003F7152"/>
    <w:rsid w:val="003F739B"/>
    <w:rsid w:val="003F7AF7"/>
    <w:rsid w:val="0040019E"/>
    <w:rsid w:val="00400486"/>
    <w:rsid w:val="00400539"/>
    <w:rsid w:val="0040133A"/>
    <w:rsid w:val="0040254A"/>
    <w:rsid w:val="004032F1"/>
    <w:rsid w:val="004036BF"/>
    <w:rsid w:val="0040404D"/>
    <w:rsid w:val="0040421C"/>
    <w:rsid w:val="00404289"/>
    <w:rsid w:val="00404AA6"/>
    <w:rsid w:val="00404E7F"/>
    <w:rsid w:val="00404F36"/>
    <w:rsid w:val="00405709"/>
    <w:rsid w:val="004061BB"/>
    <w:rsid w:val="00406A43"/>
    <w:rsid w:val="00407255"/>
    <w:rsid w:val="00407BF2"/>
    <w:rsid w:val="00407D26"/>
    <w:rsid w:val="004103D6"/>
    <w:rsid w:val="004103F5"/>
    <w:rsid w:val="004104C3"/>
    <w:rsid w:val="00410643"/>
    <w:rsid w:val="004108D4"/>
    <w:rsid w:val="00410A3F"/>
    <w:rsid w:val="00410A9D"/>
    <w:rsid w:val="00411219"/>
    <w:rsid w:val="004113D5"/>
    <w:rsid w:val="00411626"/>
    <w:rsid w:val="00411B5E"/>
    <w:rsid w:val="004120F8"/>
    <w:rsid w:val="00412DB9"/>
    <w:rsid w:val="00413037"/>
    <w:rsid w:val="00413C44"/>
    <w:rsid w:val="00413FB9"/>
    <w:rsid w:val="00413FDC"/>
    <w:rsid w:val="004143E6"/>
    <w:rsid w:val="00414715"/>
    <w:rsid w:val="00414852"/>
    <w:rsid w:val="00414B86"/>
    <w:rsid w:val="00414CF9"/>
    <w:rsid w:val="00414D9E"/>
    <w:rsid w:val="00414DB4"/>
    <w:rsid w:val="004150D3"/>
    <w:rsid w:val="004152CA"/>
    <w:rsid w:val="004153B7"/>
    <w:rsid w:val="0041566D"/>
    <w:rsid w:val="00415849"/>
    <w:rsid w:val="00415AE4"/>
    <w:rsid w:val="004163BD"/>
    <w:rsid w:val="004169D4"/>
    <w:rsid w:val="00416AED"/>
    <w:rsid w:val="00416F63"/>
    <w:rsid w:val="00417040"/>
    <w:rsid w:val="0041709D"/>
    <w:rsid w:val="004173AC"/>
    <w:rsid w:val="00417581"/>
    <w:rsid w:val="00417679"/>
    <w:rsid w:val="004178DC"/>
    <w:rsid w:val="00417DC2"/>
    <w:rsid w:val="00420820"/>
    <w:rsid w:val="00420DB2"/>
    <w:rsid w:val="00421333"/>
    <w:rsid w:val="004214FE"/>
    <w:rsid w:val="00421F9B"/>
    <w:rsid w:val="00422011"/>
    <w:rsid w:val="00422942"/>
    <w:rsid w:val="004229B7"/>
    <w:rsid w:val="004230B0"/>
    <w:rsid w:val="004232D1"/>
    <w:rsid w:val="00423C49"/>
    <w:rsid w:val="00423E86"/>
    <w:rsid w:val="00423F15"/>
    <w:rsid w:val="004243A4"/>
    <w:rsid w:val="004245FF"/>
    <w:rsid w:val="004247DE"/>
    <w:rsid w:val="00424874"/>
    <w:rsid w:val="00424B79"/>
    <w:rsid w:val="00424CBC"/>
    <w:rsid w:val="00424FDD"/>
    <w:rsid w:val="004250C1"/>
    <w:rsid w:val="004250C8"/>
    <w:rsid w:val="00425461"/>
    <w:rsid w:val="00425666"/>
    <w:rsid w:val="00425A81"/>
    <w:rsid w:val="00425FF8"/>
    <w:rsid w:val="0042604E"/>
    <w:rsid w:val="0042612A"/>
    <w:rsid w:val="004263BD"/>
    <w:rsid w:val="00426B2F"/>
    <w:rsid w:val="00426C11"/>
    <w:rsid w:val="00427228"/>
    <w:rsid w:val="004277F8"/>
    <w:rsid w:val="0042785C"/>
    <w:rsid w:val="004279E5"/>
    <w:rsid w:val="00427A1C"/>
    <w:rsid w:val="00427A4D"/>
    <w:rsid w:val="0043020B"/>
    <w:rsid w:val="004302D1"/>
    <w:rsid w:val="00430978"/>
    <w:rsid w:val="004314CC"/>
    <w:rsid w:val="00431A89"/>
    <w:rsid w:val="00431DE8"/>
    <w:rsid w:val="00432848"/>
    <w:rsid w:val="0043290C"/>
    <w:rsid w:val="00432B24"/>
    <w:rsid w:val="00432C0C"/>
    <w:rsid w:val="00432C41"/>
    <w:rsid w:val="00432F18"/>
    <w:rsid w:val="00433057"/>
    <w:rsid w:val="0043359A"/>
    <w:rsid w:val="00433D52"/>
    <w:rsid w:val="00433D67"/>
    <w:rsid w:val="00433FD1"/>
    <w:rsid w:val="0043433C"/>
    <w:rsid w:val="00434521"/>
    <w:rsid w:val="00434A92"/>
    <w:rsid w:val="00434E6C"/>
    <w:rsid w:val="00434EFB"/>
    <w:rsid w:val="00434F68"/>
    <w:rsid w:val="004353C5"/>
    <w:rsid w:val="0043594B"/>
    <w:rsid w:val="00436223"/>
    <w:rsid w:val="00436DBC"/>
    <w:rsid w:val="00437192"/>
    <w:rsid w:val="00437350"/>
    <w:rsid w:val="00437475"/>
    <w:rsid w:val="004378AA"/>
    <w:rsid w:val="00440D0D"/>
    <w:rsid w:val="00440D7D"/>
    <w:rsid w:val="00440DF1"/>
    <w:rsid w:val="004414A2"/>
    <w:rsid w:val="004415F9"/>
    <w:rsid w:val="00441DB3"/>
    <w:rsid w:val="00442D72"/>
    <w:rsid w:val="00442DBB"/>
    <w:rsid w:val="00442E6E"/>
    <w:rsid w:val="0044321A"/>
    <w:rsid w:val="004435DA"/>
    <w:rsid w:val="00443892"/>
    <w:rsid w:val="00444406"/>
    <w:rsid w:val="00444559"/>
    <w:rsid w:val="00444582"/>
    <w:rsid w:val="004448B5"/>
    <w:rsid w:val="004449A0"/>
    <w:rsid w:val="00444D31"/>
    <w:rsid w:val="00445431"/>
    <w:rsid w:val="00445739"/>
    <w:rsid w:val="00445C11"/>
    <w:rsid w:val="00445C56"/>
    <w:rsid w:val="00445DDF"/>
    <w:rsid w:val="004460E2"/>
    <w:rsid w:val="004464E1"/>
    <w:rsid w:val="0044696F"/>
    <w:rsid w:val="00446BA6"/>
    <w:rsid w:val="00446D1A"/>
    <w:rsid w:val="00450C5B"/>
    <w:rsid w:val="00452605"/>
    <w:rsid w:val="00453514"/>
    <w:rsid w:val="00453616"/>
    <w:rsid w:val="00453F74"/>
    <w:rsid w:val="00454871"/>
    <w:rsid w:val="00454B58"/>
    <w:rsid w:val="0045579D"/>
    <w:rsid w:val="00455A33"/>
    <w:rsid w:val="00455B20"/>
    <w:rsid w:val="00455F45"/>
    <w:rsid w:val="00455F8F"/>
    <w:rsid w:val="004563B7"/>
    <w:rsid w:val="00457659"/>
    <w:rsid w:val="004576BB"/>
    <w:rsid w:val="004579EA"/>
    <w:rsid w:val="00457C01"/>
    <w:rsid w:val="00460309"/>
    <w:rsid w:val="00460409"/>
    <w:rsid w:val="00460B9E"/>
    <w:rsid w:val="00460E5C"/>
    <w:rsid w:val="00461023"/>
    <w:rsid w:val="004610CF"/>
    <w:rsid w:val="00461E5E"/>
    <w:rsid w:val="004624E2"/>
    <w:rsid w:val="004626C4"/>
    <w:rsid w:val="00462ADB"/>
    <w:rsid w:val="00462B5D"/>
    <w:rsid w:val="00462B82"/>
    <w:rsid w:val="00463423"/>
    <w:rsid w:val="0046369F"/>
    <w:rsid w:val="004638B5"/>
    <w:rsid w:val="0046437B"/>
    <w:rsid w:val="004643A7"/>
    <w:rsid w:val="00464A8C"/>
    <w:rsid w:val="00464B32"/>
    <w:rsid w:val="00464BA4"/>
    <w:rsid w:val="00465462"/>
    <w:rsid w:val="00465505"/>
    <w:rsid w:val="004664B0"/>
    <w:rsid w:val="00466823"/>
    <w:rsid w:val="00466BF7"/>
    <w:rsid w:val="00467059"/>
    <w:rsid w:val="00467440"/>
    <w:rsid w:val="00467932"/>
    <w:rsid w:val="00467F41"/>
    <w:rsid w:val="00470106"/>
    <w:rsid w:val="0047016A"/>
    <w:rsid w:val="004702A3"/>
    <w:rsid w:val="00470FAD"/>
    <w:rsid w:val="004710ED"/>
    <w:rsid w:val="004713D3"/>
    <w:rsid w:val="0047155F"/>
    <w:rsid w:val="004720D8"/>
    <w:rsid w:val="00472183"/>
    <w:rsid w:val="0047273C"/>
    <w:rsid w:val="00472779"/>
    <w:rsid w:val="00472F3C"/>
    <w:rsid w:val="0047321C"/>
    <w:rsid w:val="00473415"/>
    <w:rsid w:val="00473494"/>
    <w:rsid w:val="00473E33"/>
    <w:rsid w:val="00473F51"/>
    <w:rsid w:val="004747C9"/>
    <w:rsid w:val="00474A14"/>
    <w:rsid w:val="00475121"/>
    <w:rsid w:val="0047564E"/>
    <w:rsid w:val="004763BB"/>
    <w:rsid w:val="004765EE"/>
    <w:rsid w:val="0047680E"/>
    <w:rsid w:val="00476D7C"/>
    <w:rsid w:val="00476FD9"/>
    <w:rsid w:val="0047710F"/>
    <w:rsid w:val="00477596"/>
    <w:rsid w:val="00477B07"/>
    <w:rsid w:val="0048017E"/>
    <w:rsid w:val="00480535"/>
    <w:rsid w:val="0048110D"/>
    <w:rsid w:val="00481210"/>
    <w:rsid w:val="0048161E"/>
    <w:rsid w:val="00481AB1"/>
    <w:rsid w:val="004828AC"/>
    <w:rsid w:val="00482C6E"/>
    <w:rsid w:val="00482CAB"/>
    <w:rsid w:val="0048351B"/>
    <w:rsid w:val="00483BD3"/>
    <w:rsid w:val="00484BFB"/>
    <w:rsid w:val="00485223"/>
    <w:rsid w:val="004855F2"/>
    <w:rsid w:val="00485E56"/>
    <w:rsid w:val="004863FD"/>
    <w:rsid w:val="004864FE"/>
    <w:rsid w:val="00486751"/>
    <w:rsid w:val="0048698C"/>
    <w:rsid w:val="004869BD"/>
    <w:rsid w:val="00486BBD"/>
    <w:rsid w:val="00486CE7"/>
    <w:rsid w:val="00486D0B"/>
    <w:rsid w:val="00486E28"/>
    <w:rsid w:val="00486E3C"/>
    <w:rsid w:val="00487256"/>
    <w:rsid w:val="004874F5"/>
    <w:rsid w:val="00487E9B"/>
    <w:rsid w:val="004905CD"/>
    <w:rsid w:val="0049072A"/>
    <w:rsid w:val="00490B34"/>
    <w:rsid w:val="00490BCF"/>
    <w:rsid w:val="00490E50"/>
    <w:rsid w:val="004912FC"/>
    <w:rsid w:val="00491D09"/>
    <w:rsid w:val="00491D1A"/>
    <w:rsid w:val="00491D54"/>
    <w:rsid w:val="00491FAB"/>
    <w:rsid w:val="00492038"/>
    <w:rsid w:val="0049255D"/>
    <w:rsid w:val="00492F75"/>
    <w:rsid w:val="00493368"/>
    <w:rsid w:val="00493502"/>
    <w:rsid w:val="00493603"/>
    <w:rsid w:val="00493B6F"/>
    <w:rsid w:val="00493CFB"/>
    <w:rsid w:val="0049418A"/>
    <w:rsid w:val="0049460E"/>
    <w:rsid w:val="00495297"/>
    <w:rsid w:val="004953BF"/>
    <w:rsid w:val="00495883"/>
    <w:rsid w:val="0049595F"/>
    <w:rsid w:val="00495C93"/>
    <w:rsid w:val="004962AE"/>
    <w:rsid w:val="00497384"/>
    <w:rsid w:val="004976BC"/>
    <w:rsid w:val="00497E85"/>
    <w:rsid w:val="004A0498"/>
    <w:rsid w:val="004A0AC9"/>
    <w:rsid w:val="004A1180"/>
    <w:rsid w:val="004A1640"/>
    <w:rsid w:val="004A1840"/>
    <w:rsid w:val="004A2158"/>
    <w:rsid w:val="004A271F"/>
    <w:rsid w:val="004A2963"/>
    <w:rsid w:val="004A2B70"/>
    <w:rsid w:val="004A2D74"/>
    <w:rsid w:val="004A2F63"/>
    <w:rsid w:val="004A3311"/>
    <w:rsid w:val="004A4C42"/>
    <w:rsid w:val="004A4D6C"/>
    <w:rsid w:val="004A5026"/>
    <w:rsid w:val="004A51DF"/>
    <w:rsid w:val="004A5DC5"/>
    <w:rsid w:val="004A6155"/>
    <w:rsid w:val="004A61F3"/>
    <w:rsid w:val="004A6A90"/>
    <w:rsid w:val="004A6E59"/>
    <w:rsid w:val="004A73A6"/>
    <w:rsid w:val="004A792A"/>
    <w:rsid w:val="004A7C80"/>
    <w:rsid w:val="004A7DBE"/>
    <w:rsid w:val="004B0A09"/>
    <w:rsid w:val="004B0B21"/>
    <w:rsid w:val="004B1043"/>
    <w:rsid w:val="004B1476"/>
    <w:rsid w:val="004B15CD"/>
    <w:rsid w:val="004B16D2"/>
    <w:rsid w:val="004B1879"/>
    <w:rsid w:val="004B1B5F"/>
    <w:rsid w:val="004B2087"/>
    <w:rsid w:val="004B216B"/>
    <w:rsid w:val="004B2675"/>
    <w:rsid w:val="004B2BD6"/>
    <w:rsid w:val="004B368C"/>
    <w:rsid w:val="004B393D"/>
    <w:rsid w:val="004B4010"/>
    <w:rsid w:val="004B432C"/>
    <w:rsid w:val="004B44F1"/>
    <w:rsid w:val="004B4D4F"/>
    <w:rsid w:val="004B5954"/>
    <w:rsid w:val="004B5A33"/>
    <w:rsid w:val="004B633D"/>
    <w:rsid w:val="004B637C"/>
    <w:rsid w:val="004B6569"/>
    <w:rsid w:val="004B6AE8"/>
    <w:rsid w:val="004B6D72"/>
    <w:rsid w:val="004B708E"/>
    <w:rsid w:val="004B70B3"/>
    <w:rsid w:val="004B7B16"/>
    <w:rsid w:val="004B7DF0"/>
    <w:rsid w:val="004C028D"/>
    <w:rsid w:val="004C02E6"/>
    <w:rsid w:val="004C16C8"/>
    <w:rsid w:val="004C1835"/>
    <w:rsid w:val="004C1B05"/>
    <w:rsid w:val="004C1D85"/>
    <w:rsid w:val="004C2488"/>
    <w:rsid w:val="004C32D4"/>
    <w:rsid w:val="004C344D"/>
    <w:rsid w:val="004C3BB0"/>
    <w:rsid w:val="004C3CFE"/>
    <w:rsid w:val="004C3D85"/>
    <w:rsid w:val="004C4B69"/>
    <w:rsid w:val="004C5CB2"/>
    <w:rsid w:val="004C5DDB"/>
    <w:rsid w:val="004C6581"/>
    <w:rsid w:val="004C6663"/>
    <w:rsid w:val="004C6B79"/>
    <w:rsid w:val="004C6C1D"/>
    <w:rsid w:val="004C7406"/>
    <w:rsid w:val="004C7475"/>
    <w:rsid w:val="004C7907"/>
    <w:rsid w:val="004C7F1C"/>
    <w:rsid w:val="004D0142"/>
    <w:rsid w:val="004D01E1"/>
    <w:rsid w:val="004D03B7"/>
    <w:rsid w:val="004D064C"/>
    <w:rsid w:val="004D0742"/>
    <w:rsid w:val="004D190D"/>
    <w:rsid w:val="004D1EA4"/>
    <w:rsid w:val="004D1EE5"/>
    <w:rsid w:val="004D23DB"/>
    <w:rsid w:val="004D2520"/>
    <w:rsid w:val="004D284B"/>
    <w:rsid w:val="004D3D7A"/>
    <w:rsid w:val="004D3E85"/>
    <w:rsid w:val="004D3FC3"/>
    <w:rsid w:val="004D3FD5"/>
    <w:rsid w:val="004D402E"/>
    <w:rsid w:val="004D4107"/>
    <w:rsid w:val="004D4989"/>
    <w:rsid w:val="004D4B83"/>
    <w:rsid w:val="004D4CD3"/>
    <w:rsid w:val="004D4E7B"/>
    <w:rsid w:val="004D53C3"/>
    <w:rsid w:val="004D5865"/>
    <w:rsid w:val="004D5C00"/>
    <w:rsid w:val="004D6082"/>
    <w:rsid w:val="004D61AD"/>
    <w:rsid w:val="004D6C90"/>
    <w:rsid w:val="004D761B"/>
    <w:rsid w:val="004D7777"/>
    <w:rsid w:val="004D778A"/>
    <w:rsid w:val="004D77F0"/>
    <w:rsid w:val="004D7C3E"/>
    <w:rsid w:val="004E1592"/>
    <w:rsid w:val="004E1771"/>
    <w:rsid w:val="004E1B60"/>
    <w:rsid w:val="004E2245"/>
    <w:rsid w:val="004E31EE"/>
    <w:rsid w:val="004E324C"/>
    <w:rsid w:val="004E3342"/>
    <w:rsid w:val="004E335B"/>
    <w:rsid w:val="004E3501"/>
    <w:rsid w:val="004E3837"/>
    <w:rsid w:val="004E3920"/>
    <w:rsid w:val="004E3B10"/>
    <w:rsid w:val="004E3EF1"/>
    <w:rsid w:val="004E4622"/>
    <w:rsid w:val="004E4A3B"/>
    <w:rsid w:val="004E5431"/>
    <w:rsid w:val="004E5482"/>
    <w:rsid w:val="004E5B52"/>
    <w:rsid w:val="004E6170"/>
    <w:rsid w:val="004E67D9"/>
    <w:rsid w:val="004E6A64"/>
    <w:rsid w:val="004E6B4C"/>
    <w:rsid w:val="004F04EE"/>
    <w:rsid w:val="004F056A"/>
    <w:rsid w:val="004F07CA"/>
    <w:rsid w:val="004F083D"/>
    <w:rsid w:val="004F0E2E"/>
    <w:rsid w:val="004F0EB5"/>
    <w:rsid w:val="004F140A"/>
    <w:rsid w:val="004F1616"/>
    <w:rsid w:val="004F1820"/>
    <w:rsid w:val="004F183D"/>
    <w:rsid w:val="004F1B6C"/>
    <w:rsid w:val="004F1FB8"/>
    <w:rsid w:val="004F2541"/>
    <w:rsid w:val="004F2607"/>
    <w:rsid w:val="004F2EE9"/>
    <w:rsid w:val="004F31FF"/>
    <w:rsid w:val="004F35F0"/>
    <w:rsid w:val="004F3E67"/>
    <w:rsid w:val="004F4143"/>
    <w:rsid w:val="004F4422"/>
    <w:rsid w:val="004F4600"/>
    <w:rsid w:val="004F5BDC"/>
    <w:rsid w:val="004F6310"/>
    <w:rsid w:val="004F64B6"/>
    <w:rsid w:val="004F667A"/>
    <w:rsid w:val="004F6923"/>
    <w:rsid w:val="004F6BEC"/>
    <w:rsid w:val="004F6E69"/>
    <w:rsid w:val="004F745D"/>
    <w:rsid w:val="004F74DA"/>
    <w:rsid w:val="004F7982"/>
    <w:rsid w:val="004F7F0F"/>
    <w:rsid w:val="005000D2"/>
    <w:rsid w:val="005002E2"/>
    <w:rsid w:val="0050033C"/>
    <w:rsid w:val="005003F3"/>
    <w:rsid w:val="005008AC"/>
    <w:rsid w:val="005009EC"/>
    <w:rsid w:val="00500CFE"/>
    <w:rsid w:val="005012F6"/>
    <w:rsid w:val="00501775"/>
    <w:rsid w:val="0050247C"/>
    <w:rsid w:val="005025D3"/>
    <w:rsid w:val="00502C28"/>
    <w:rsid w:val="00502C5B"/>
    <w:rsid w:val="00502F69"/>
    <w:rsid w:val="00502F76"/>
    <w:rsid w:val="005036BA"/>
    <w:rsid w:val="00503771"/>
    <w:rsid w:val="00503E4B"/>
    <w:rsid w:val="00503F3E"/>
    <w:rsid w:val="0050437A"/>
    <w:rsid w:val="00504989"/>
    <w:rsid w:val="005052BA"/>
    <w:rsid w:val="0050657A"/>
    <w:rsid w:val="00506602"/>
    <w:rsid w:val="00506B5A"/>
    <w:rsid w:val="005075A5"/>
    <w:rsid w:val="00507FBC"/>
    <w:rsid w:val="00510041"/>
    <w:rsid w:val="00510D0A"/>
    <w:rsid w:val="00510DBF"/>
    <w:rsid w:val="00511358"/>
    <w:rsid w:val="0051140C"/>
    <w:rsid w:val="00511AA9"/>
    <w:rsid w:val="00511B4C"/>
    <w:rsid w:val="0051206F"/>
    <w:rsid w:val="00512517"/>
    <w:rsid w:val="00512F9D"/>
    <w:rsid w:val="0051368C"/>
    <w:rsid w:val="0051503D"/>
    <w:rsid w:val="0051505B"/>
    <w:rsid w:val="005154BF"/>
    <w:rsid w:val="00515584"/>
    <w:rsid w:val="005155BA"/>
    <w:rsid w:val="00515B29"/>
    <w:rsid w:val="00515CA5"/>
    <w:rsid w:val="00515D56"/>
    <w:rsid w:val="00515FA7"/>
    <w:rsid w:val="005165B9"/>
    <w:rsid w:val="00516966"/>
    <w:rsid w:val="0051708F"/>
    <w:rsid w:val="00517B18"/>
    <w:rsid w:val="0052077E"/>
    <w:rsid w:val="005207AF"/>
    <w:rsid w:val="005208FA"/>
    <w:rsid w:val="00520CC4"/>
    <w:rsid w:val="005213EA"/>
    <w:rsid w:val="00521784"/>
    <w:rsid w:val="00521975"/>
    <w:rsid w:val="00521B3B"/>
    <w:rsid w:val="00521B7C"/>
    <w:rsid w:val="00521DA1"/>
    <w:rsid w:val="00522083"/>
    <w:rsid w:val="005224D2"/>
    <w:rsid w:val="00522B20"/>
    <w:rsid w:val="00523C11"/>
    <w:rsid w:val="00523CE5"/>
    <w:rsid w:val="00523FDB"/>
    <w:rsid w:val="005243A4"/>
    <w:rsid w:val="00524B22"/>
    <w:rsid w:val="00524B64"/>
    <w:rsid w:val="00524E6A"/>
    <w:rsid w:val="00525274"/>
    <w:rsid w:val="0052573D"/>
    <w:rsid w:val="005261F3"/>
    <w:rsid w:val="0052647E"/>
    <w:rsid w:val="005267DD"/>
    <w:rsid w:val="00526CAD"/>
    <w:rsid w:val="005300DF"/>
    <w:rsid w:val="005308DA"/>
    <w:rsid w:val="00530992"/>
    <w:rsid w:val="00530A6E"/>
    <w:rsid w:val="00530BB4"/>
    <w:rsid w:val="00530C44"/>
    <w:rsid w:val="005310C7"/>
    <w:rsid w:val="005312E6"/>
    <w:rsid w:val="00531782"/>
    <w:rsid w:val="00531794"/>
    <w:rsid w:val="0053193E"/>
    <w:rsid w:val="0053194F"/>
    <w:rsid w:val="005320C7"/>
    <w:rsid w:val="005320E9"/>
    <w:rsid w:val="0053218F"/>
    <w:rsid w:val="0053248E"/>
    <w:rsid w:val="0053285B"/>
    <w:rsid w:val="00533C70"/>
    <w:rsid w:val="0053491E"/>
    <w:rsid w:val="00534B97"/>
    <w:rsid w:val="00535305"/>
    <w:rsid w:val="00535343"/>
    <w:rsid w:val="00535756"/>
    <w:rsid w:val="00535B98"/>
    <w:rsid w:val="0053623F"/>
    <w:rsid w:val="005364F9"/>
    <w:rsid w:val="00536B4F"/>
    <w:rsid w:val="00536D2D"/>
    <w:rsid w:val="005370E0"/>
    <w:rsid w:val="0053720A"/>
    <w:rsid w:val="00540CF8"/>
    <w:rsid w:val="00540E0B"/>
    <w:rsid w:val="005416C3"/>
    <w:rsid w:val="00541916"/>
    <w:rsid w:val="00541C69"/>
    <w:rsid w:val="005421C5"/>
    <w:rsid w:val="005427A6"/>
    <w:rsid w:val="0054288C"/>
    <w:rsid w:val="005429DB"/>
    <w:rsid w:val="00542A4A"/>
    <w:rsid w:val="00542AA0"/>
    <w:rsid w:val="00542EC6"/>
    <w:rsid w:val="00543456"/>
    <w:rsid w:val="00543723"/>
    <w:rsid w:val="005440F4"/>
    <w:rsid w:val="0054477B"/>
    <w:rsid w:val="00544943"/>
    <w:rsid w:val="0054543C"/>
    <w:rsid w:val="005456AE"/>
    <w:rsid w:val="005464EF"/>
    <w:rsid w:val="00546BFB"/>
    <w:rsid w:val="00547473"/>
    <w:rsid w:val="00550283"/>
    <w:rsid w:val="00550C22"/>
    <w:rsid w:val="00551B13"/>
    <w:rsid w:val="005521E7"/>
    <w:rsid w:val="0055247E"/>
    <w:rsid w:val="005525C3"/>
    <w:rsid w:val="00552DAD"/>
    <w:rsid w:val="0055301A"/>
    <w:rsid w:val="005538CE"/>
    <w:rsid w:val="0055394E"/>
    <w:rsid w:val="00553C5C"/>
    <w:rsid w:val="0055416A"/>
    <w:rsid w:val="00554172"/>
    <w:rsid w:val="00555284"/>
    <w:rsid w:val="00555534"/>
    <w:rsid w:val="005558AF"/>
    <w:rsid w:val="00555D6E"/>
    <w:rsid w:val="0055617D"/>
    <w:rsid w:val="00556AC8"/>
    <w:rsid w:val="0055725C"/>
    <w:rsid w:val="005578F2"/>
    <w:rsid w:val="00557B6B"/>
    <w:rsid w:val="00560BF1"/>
    <w:rsid w:val="00560CE7"/>
    <w:rsid w:val="00561138"/>
    <w:rsid w:val="00561546"/>
    <w:rsid w:val="00561CBD"/>
    <w:rsid w:val="00561DC9"/>
    <w:rsid w:val="005620A3"/>
    <w:rsid w:val="005627F6"/>
    <w:rsid w:val="00562ED6"/>
    <w:rsid w:val="00563278"/>
    <w:rsid w:val="00563666"/>
    <w:rsid w:val="00563DB0"/>
    <w:rsid w:val="00564769"/>
    <w:rsid w:val="00565298"/>
    <w:rsid w:val="005653E6"/>
    <w:rsid w:val="005659C9"/>
    <w:rsid w:val="00565B1B"/>
    <w:rsid w:val="00565C79"/>
    <w:rsid w:val="00565EC0"/>
    <w:rsid w:val="005665D1"/>
    <w:rsid w:val="0056702B"/>
    <w:rsid w:val="005675B4"/>
    <w:rsid w:val="005675E3"/>
    <w:rsid w:val="00570446"/>
    <w:rsid w:val="0057078C"/>
    <w:rsid w:val="00570E93"/>
    <w:rsid w:val="005716F1"/>
    <w:rsid w:val="005718E7"/>
    <w:rsid w:val="00571D63"/>
    <w:rsid w:val="00572055"/>
    <w:rsid w:val="00572117"/>
    <w:rsid w:val="00572430"/>
    <w:rsid w:val="00572580"/>
    <w:rsid w:val="00572A2B"/>
    <w:rsid w:val="0057312E"/>
    <w:rsid w:val="00573701"/>
    <w:rsid w:val="0057373A"/>
    <w:rsid w:val="00573779"/>
    <w:rsid w:val="00573A02"/>
    <w:rsid w:val="00573B58"/>
    <w:rsid w:val="00573CC6"/>
    <w:rsid w:val="00573DFD"/>
    <w:rsid w:val="005749CF"/>
    <w:rsid w:val="0057525B"/>
    <w:rsid w:val="00575D08"/>
    <w:rsid w:val="00575DC8"/>
    <w:rsid w:val="00575E3A"/>
    <w:rsid w:val="00575FF4"/>
    <w:rsid w:val="0057640F"/>
    <w:rsid w:val="0057671E"/>
    <w:rsid w:val="005767B8"/>
    <w:rsid w:val="00576A7E"/>
    <w:rsid w:val="00576C22"/>
    <w:rsid w:val="005772F7"/>
    <w:rsid w:val="005774E3"/>
    <w:rsid w:val="00577C40"/>
    <w:rsid w:val="0058007E"/>
    <w:rsid w:val="005802CB"/>
    <w:rsid w:val="00580BCE"/>
    <w:rsid w:val="00580F39"/>
    <w:rsid w:val="00581250"/>
    <w:rsid w:val="00582823"/>
    <w:rsid w:val="005833A7"/>
    <w:rsid w:val="00583552"/>
    <w:rsid w:val="00583970"/>
    <w:rsid w:val="00583CA0"/>
    <w:rsid w:val="005840EE"/>
    <w:rsid w:val="00584143"/>
    <w:rsid w:val="00584518"/>
    <w:rsid w:val="005848E3"/>
    <w:rsid w:val="005848FE"/>
    <w:rsid w:val="00585382"/>
    <w:rsid w:val="00585D73"/>
    <w:rsid w:val="00585FE8"/>
    <w:rsid w:val="00586A1D"/>
    <w:rsid w:val="00586A2D"/>
    <w:rsid w:val="00586C4B"/>
    <w:rsid w:val="005872F7"/>
    <w:rsid w:val="0058734A"/>
    <w:rsid w:val="00587BCD"/>
    <w:rsid w:val="00587BFE"/>
    <w:rsid w:val="005901DE"/>
    <w:rsid w:val="00590849"/>
    <w:rsid w:val="00590902"/>
    <w:rsid w:val="005912E6"/>
    <w:rsid w:val="005914A0"/>
    <w:rsid w:val="005915CE"/>
    <w:rsid w:val="005916D2"/>
    <w:rsid w:val="005917DA"/>
    <w:rsid w:val="00591B10"/>
    <w:rsid w:val="005927B2"/>
    <w:rsid w:val="005928E9"/>
    <w:rsid w:val="00592AD7"/>
    <w:rsid w:val="00592C08"/>
    <w:rsid w:val="00592D47"/>
    <w:rsid w:val="005936CB"/>
    <w:rsid w:val="005939BB"/>
    <w:rsid w:val="00593A4D"/>
    <w:rsid w:val="00593D7D"/>
    <w:rsid w:val="005944F4"/>
    <w:rsid w:val="00594528"/>
    <w:rsid w:val="0059454B"/>
    <w:rsid w:val="00594550"/>
    <w:rsid w:val="005947E4"/>
    <w:rsid w:val="00594A91"/>
    <w:rsid w:val="00594BBA"/>
    <w:rsid w:val="005953A4"/>
    <w:rsid w:val="00595A8F"/>
    <w:rsid w:val="00595FB9"/>
    <w:rsid w:val="00596238"/>
    <w:rsid w:val="0059656F"/>
    <w:rsid w:val="0059743F"/>
    <w:rsid w:val="00597FF2"/>
    <w:rsid w:val="005A02C5"/>
    <w:rsid w:val="005A06DB"/>
    <w:rsid w:val="005A0AF1"/>
    <w:rsid w:val="005A0B94"/>
    <w:rsid w:val="005A0C84"/>
    <w:rsid w:val="005A105F"/>
    <w:rsid w:val="005A1246"/>
    <w:rsid w:val="005A1612"/>
    <w:rsid w:val="005A1728"/>
    <w:rsid w:val="005A1DF1"/>
    <w:rsid w:val="005A20C1"/>
    <w:rsid w:val="005A247D"/>
    <w:rsid w:val="005A2620"/>
    <w:rsid w:val="005A2BA1"/>
    <w:rsid w:val="005A3487"/>
    <w:rsid w:val="005A3848"/>
    <w:rsid w:val="005A38A7"/>
    <w:rsid w:val="005A3FE9"/>
    <w:rsid w:val="005A4002"/>
    <w:rsid w:val="005A4833"/>
    <w:rsid w:val="005A49B8"/>
    <w:rsid w:val="005A4DF6"/>
    <w:rsid w:val="005A52C2"/>
    <w:rsid w:val="005A5BD8"/>
    <w:rsid w:val="005A6226"/>
    <w:rsid w:val="005A67C0"/>
    <w:rsid w:val="005A6D8E"/>
    <w:rsid w:val="005A71E5"/>
    <w:rsid w:val="005A7874"/>
    <w:rsid w:val="005B0BEE"/>
    <w:rsid w:val="005B0E46"/>
    <w:rsid w:val="005B1508"/>
    <w:rsid w:val="005B15C3"/>
    <w:rsid w:val="005B2276"/>
    <w:rsid w:val="005B256E"/>
    <w:rsid w:val="005B2CE2"/>
    <w:rsid w:val="005B3137"/>
    <w:rsid w:val="005B32F9"/>
    <w:rsid w:val="005B369F"/>
    <w:rsid w:val="005B3AFC"/>
    <w:rsid w:val="005B3F59"/>
    <w:rsid w:val="005B3FF7"/>
    <w:rsid w:val="005B4533"/>
    <w:rsid w:val="005B538B"/>
    <w:rsid w:val="005B56F6"/>
    <w:rsid w:val="005B5F78"/>
    <w:rsid w:val="005B60E3"/>
    <w:rsid w:val="005B6E72"/>
    <w:rsid w:val="005B6F92"/>
    <w:rsid w:val="005C0556"/>
    <w:rsid w:val="005C0C8A"/>
    <w:rsid w:val="005C1659"/>
    <w:rsid w:val="005C1D9A"/>
    <w:rsid w:val="005C1DEB"/>
    <w:rsid w:val="005C1E24"/>
    <w:rsid w:val="005C237D"/>
    <w:rsid w:val="005C2890"/>
    <w:rsid w:val="005C2962"/>
    <w:rsid w:val="005C299B"/>
    <w:rsid w:val="005C2BF6"/>
    <w:rsid w:val="005C3B54"/>
    <w:rsid w:val="005C3BC3"/>
    <w:rsid w:val="005C416B"/>
    <w:rsid w:val="005C4225"/>
    <w:rsid w:val="005C451D"/>
    <w:rsid w:val="005C48F1"/>
    <w:rsid w:val="005C4D8E"/>
    <w:rsid w:val="005C4EE1"/>
    <w:rsid w:val="005C511D"/>
    <w:rsid w:val="005C5806"/>
    <w:rsid w:val="005C5E15"/>
    <w:rsid w:val="005C6351"/>
    <w:rsid w:val="005C6886"/>
    <w:rsid w:val="005C69B8"/>
    <w:rsid w:val="005C7995"/>
    <w:rsid w:val="005C7AF7"/>
    <w:rsid w:val="005C7CBD"/>
    <w:rsid w:val="005C7D90"/>
    <w:rsid w:val="005C7FA4"/>
    <w:rsid w:val="005D0272"/>
    <w:rsid w:val="005D0B70"/>
    <w:rsid w:val="005D0CF9"/>
    <w:rsid w:val="005D1945"/>
    <w:rsid w:val="005D1B20"/>
    <w:rsid w:val="005D224F"/>
    <w:rsid w:val="005D2384"/>
    <w:rsid w:val="005D295C"/>
    <w:rsid w:val="005D29D3"/>
    <w:rsid w:val="005D2B20"/>
    <w:rsid w:val="005D355C"/>
    <w:rsid w:val="005D3A18"/>
    <w:rsid w:val="005D3D85"/>
    <w:rsid w:val="005D3EB1"/>
    <w:rsid w:val="005D422E"/>
    <w:rsid w:val="005D4629"/>
    <w:rsid w:val="005D48D3"/>
    <w:rsid w:val="005D4916"/>
    <w:rsid w:val="005D4AED"/>
    <w:rsid w:val="005D4DE3"/>
    <w:rsid w:val="005D535E"/>
    <w:rsid w:val="005D695E"/>
    <w:rsid w:val="005D69B9"/>
    <w:rsid w:val="005D6AB3"/>
    <w:rsid w:val="005D6AB6"/>
    <w:rsid w:val="005D6B2E"/>
    <w:rsid w:val="005D72A3"/>
    <w:rsid w:val="005D7488"/>
    <w:rsid w:val="005D7ACB"/>
    <w:rsid w:val="005D7FF4"/>
    <w:rsid w:val="005E06DB"/>
    <w:rsid w:val="005E0913"/>
    <w:rsid w:val="005E0C3A"/>
    <w:rsid w:val="005E0CE1"/>
    <w:rsid w:val="005E1940"/>
    <w:rsid w:val="005E1ADD"/>
    <w:rsid w:val="005E1E5A"/>
    <w:rsid w:val="005E2056"/>
    <w:rsid w:val="005E22A2"/>
    <w:rsid w:val="005E2BC8"/>
    <w:rsid w:val="005E31B8"/>
    <w:rsid w:val="005E3CF9"/>
    <w:rsid w:val="005E43DB"/>
    <w:rsid w:val="005E4479"/>
    <w:rsid w:val="005E4B99"/>
    <w:rsid w:val="005E4BC7"/>
    <w:rsid w:val="005E4DF1"/>
    <w:rsid w:val="005E4F31"/>
    <w:rsid w:val="005E67EF"/>
    <w:rsid w:val="005E6AE4"/>
    <w:rsid w:val="005E6B6B"/>
    <w:rsid w:val="005E6F3A"/>
    <w:rsid w:val="005E74F2"/>
    <w:rsid w:val="005E7BFE"/>
    <w:rsid w:val="005E7D8C"/>
    <w:rsid w:val="005F0035"/>
    <w:rsid w:val="005F076D"/>
    <w:rsid w:val="005F0900"/>
    <w:rsid w:val="005F10D6"/>
    <w:rsid w:val="005F122C"/>
    <w:rsid w:val="005F137F"/>
    <w:rsid w:val="005F1494"/>
    <w:rsid w:val="005F181C"/>
    <w:rsid w:val="005F18AF"/>
    <w:rsid w:val="005F1A84"/>
    <w:rsid w:val="005F1C07"/>
    <w:rsid w:val="005F20E7"/>
    <w:rsid w:val="005F22A2"/>
    <w:rsid w:val="005F3020"/>
    <w:rsid w:val="005F3319"/>
    <w:rsid w:val="005F3346"/>
    <w:rsid w:val="005F3697"/>
    <w:rsid w:val="005F397D"/>
    <w:rsid w:val="005F3D8D"/>
    <w:rsid w:val="005F42B5"/>
    <w:rsid w:val="005F44D9"/>
    <w:rsid w:val="005F4CA7"/>
    <w:rsid w:val="005F5171"/>
    <w:rsid w:val="005F56C0"/>
    <w:rsid w:val="005F5887"/>
    <w:rsid w:val="005F5BAC"/>
    <w:rsid w:val="005F5E88"/>
    <w:rsid w:val="005F617A"/>
    <w:rsid w:val="005F6424"/>
    <w:rsid w:val="005F6855"/>
    <w:rsid w:val="005F7604"/>
    <w:rsid w:val="005F7A79"/>
    <w:rsid w:val="00600932"/>
    <w:rsid w:val="00600AA2"/>
    <w:rsid w:val="00600F16"/>
    <w:rsid w:val="00601372"/>
    <w:rsid w:val="0060223D"/>
    <w:rsid w:val="00602668"/>
    <w:rsid w:val="00602A19"/>
    <w:rsid w:val="00603769"/>
    <w:rsid w:val="00603946"/>
    <w:rsid w:val="00603AD6"/>
    <w:rsid w:val="00603BB7"/>
    <w:rsid w:val="00603E9E"/>
    <w:rsid w:val="00604536"/>
    <w:rsid w:val="006045F3"/>
    <w:rsid w:val="00604CCC"/>
    <w:rsid w:val="006052A8"/>
    <w:rsid w:val="00605B53"/>
    <w:rsid w:val="00605B81"/>
    <w:rsid w:val="00606BC0"/>
    <w:rsid w:val="00606F3D"/>
    <w:rsid w:val="006070B9"/>
    <w:rsid w:val="0060719A"/>
    <w:rsid w:val="0060799D"/>
    <w:rsid w:val="00607F84"/>
    <w:rsid w:val="0061018B"/>
    <w:rsid w:val="0061018F"/>
    <w:rsid w:val="006106A4"/>
    <w:rsid w:val="006109BF"/>
    <w:rsid w:val="00610AA8"/>
    <w:rsid w:val="00610CC3"/>
    <w:rsid w:val="00611DD2"/>
    <w:rsid w:val="00612364"/>
    <w:rsid w:val="00612C25"/>
    <w:rsid w:val="00612EBE"/>
    <w:rsid w:val="00612EC0"/>
    <w:rsid w:val="00612ED5"/>
    <w:rsid w:val="0061315F"/>
    <w:rsid w:val="006133AB"/>
    <w:rsid w:val="00613F85"/>
    <w:rsid w:val="00614737"/>
    <w:rsid w:val="0061491D"/>
    <w:rsid w:val="00614E7D"/>
    <w:rsid w:val="00615678"/>
    <w:rsid w:val="00615721"/>
    <w:rsid w:val="00617542"/>
    <w:rsid w:val="006179C5"/>
    <w:rsid w:val="00617ACF"/>
    <w:rsid w:val="00617E46"/>
    <w:rsid w:val="0062025E"/>
    <w:rsid w:val="00620346"/>
    <w:rsid w:val="00620A0C"/>
    <w:rsid w:val="00620F20"/>
    <w:rsid w:val="0062221A"/>
    <w:rsid w:val="00622477"/>
    <w:rsid w:val="00622B57"/>
    <w:rsid w:val="00622F91"/>
    <w:rsid w:val="00622FAC"/>
    <w:rsid w:val="006232E6"/>
    <w:rsid w:val="006237FA"/>
    <w:rsid w:val="00623DFB"/>
    <w:rsid w:val="00624012"/>
    <w:rsid w:val="00624C4B"/>
    <w:rsid w:val="00624F57"/>
    <w:rsid w:val="0062505D"/>
    <w:rsid w:val="00625067"/>
    <w:rsid w:val="0062540A"/>
    <w:rsid w:val="00625882"/>
    <w:rsid w:val="006266D1"/>
    <w:rsid w:val="00626863"/>
    <w:rsid w:val="00626CB2"/>
    <w:rsid w:val="00626DED"/>
    <w:rsid w:val="006276C9"/>
    <w:rsid w:val="00627FB7"/>
    <w:rsid w:val="00630A02"/>
    <w:rsid w:val="00630B9C"/>
    <w:rsid w:val="00630DD2"/>
    <w:rsid w:val="00630FC2"/>
    <w:rsid w:val="00631111"/>
    <w:rsid w:val="006315A4"/>
    <w:rsid w:val="006324FC"/>
    <w:rsid w:val="00632762"/>
    <w:rsid w:val="00632E22"/>
    <w:rsid w:val="006330D6"/>
    <w:rsid w:val="006332CD"/>
    <w:rsid w:val="00633451"/>
    <w:rsid w:val="00633640"/>
    <w:rsid w:val="006339F9"/>
    <w:rsid w:val="00633E99"/>
    <w:rsid w:val="006343EC"/>
    <w:rsid w:val="00634461"/>
    <w:rsid w:val="006344E5"/>
    <w:rsid w:val="00634BC6"/>
    <w:rsid w:val="0063519B"/>
    <w:rsid w:val="00635C8F"/>
    <w:rsid w:val="00635DFF"/>
    <w:rsid w:val="00636352"/>
    <w:rsid w:val="00636921"/>
    <w:rsid w:val="00636DB4"/>
    <w:rsid w:val="00637682"/>
    <w:rsid w:val="006378CC"/>
    <w:rsid w:val="0063793D"/>
    <w:rsid w:val="00637C29"/>
    <w:rsid w:val="00637FF3"/>
    <w:rsid w:val="006400D4"/>
    <w:rsid w:val="00640354"/>
    <w:rsid w:val="00640953"/>
    <w:rsid w:val="00640F8F"/>
    <w:rsid w:val="00641327"/>
    <w:rsid w:val="00641C78"/>
    <w:rsid w:val="00642799"/>
    <w:rsid w:val="0064291A"/>
    <w:rsid w:val="00642AAA"/>
    <w:rsid w:val="00643516"/>
    <w:rsid w:val="0064365D"/>
    <w:rsid w:val="00643D72"/>
    <w:rsid w:val="00643E5B"/>
    <w:rsid w:val="00644636"/>
    <w:rsid w:val="00644BAB"/>
    <w:rsid w:val="00644CE6"/>
    <w:rsid w:val="00645621"/>
    <w:rsid w:val="0064593C"/>
    <w:rsid w:val="00645DE4"/>
    <w:rsid w:val="0064659D"/>
    <w:rsid w:val="00646A08"/>
    <w:rsid w:val="00646D31"/>
    <w:rsid w:val="006470EC"/>
    <w:rsid w:val="00647612"/>
    <w:rsid w:val="00647847"/>
    <w:rsid w:val="006509B5"/>
    <w:rsid w:val="00650B6D"/>
    <w:rsid w:val="0065129A"/>
    <w:rsid w:val="006515D9"/>
    <w:rsid w:val="006517E0"/>
    <w:rsid w:val="0065202B"/>
    <w:rsid w:val="006527E3"/>
    <w:rsid w:val="00652B04"/>
    <w:rsid w:val="006531CC"/>
    <w:rsid w:val="00653472"/>
    <w:rsid w:val="00653D1A"/>
    <w:rsid w:val="006550D8"/>
    <w:rsid w:val="0065600A"/>
    <w:rsid w:val="00656023"/>
    <w:rsid w:val="0065768D"/>
    <w:rsid w:val="00657C3A"/>
    <w:rsid w:val="0066076E"/>
    <w:rsid w:val="00660D06"/>
    <w:rsid w:val="00660F1B"/>
    <w:rsid w:val="00661B0C"/>
    <w:rsid w:val="00661CCA"/>
    <w:rsid w:val="00661E9C"/>
    <w:rsid w:val="00662284"/>
    <w:rsid w:val="0066286E"/>
    <w:rsid w:val="0066297D"/>
    <w:rsid w:val="00662ADC"/>
    <w:rsid w:val="00663156"/>
    <w:rsid w:val="00663232"/>
    <w:rsid w:val="00663673"/>
    <w:rsid w:val="00664572"/>
    <w:rsid w:val="0066493C"/>
    <w:rsid w:val="006649E8"/>
    <w:rsid w:val="00664FF4"/>
    <w:rsid w:val="006654B0"/>
    <w:rsid w:val="006658F6"/>
    <w:rsid w:val="00665C19"/>
    <w:rsid w:val="00665D11"/>
    <w:rsid w:val="00666071"/>
    <w:rsid w:val="0066650C"/>
    <w:rsid w:val="006670CF"/>
    <w:rsid w:val="00667295"/>
    <w:rsid w:val="00667938"/>
    <w:rsid w:val="00667CCD"/>
    <w:rsid w:val="00670AB4"/>
    <w:rsid w:val="00670B67"/>
    <w:rsid w:val="00672168"/>
    <w:rsid w:val="00672D1D"/>
    <w:rsid w:val="00672D3D"/>
    <w:rsid w:val="00673057"/>
    <w:rsid w:val="006730ED"/>
    <w:rsid w:val="006733C2"/>
    <w:rsid w:val="006737C1"/>
    <w:rsid w:val="00673839"/>
    <w:rsid w:val="00673E23"/>
    <w:rsid w:val="00673E8E"/>
    <w:rsid w:val="0067509C"/>
    <w:rsid w:val="00675C01"/>
    <w:rsid w:val="00675EE3"/>
    <w:rsid w:val="00675F25"/>
    <w:rsid w:val="006761BB"/>
    <w:rsid w:val="00676503"/>
    <w:rsid w:val="00676C8C"/>
    <w:rsid w:val="0067703C"/>
    <w:rsid w:val="00677546"/>
    <w:rsid w:val="006800F8"/>
    <w:rsid w:val="00680198"/>
    <w:rsid w:val="006802B1"/>
    <w:rsid w:val="00680D6B"/>
    <w:rsid w:val="00681692"/>
    <w:rsid w:val="006816FB"/>
    <w:rsid w:val="00681E49"/>
    <w:rsid w:val="00682161"/>
    <w:rsid w:val="006821CD"/>
    <w:rsid w:val="00682237"/>
    <w:rsid w:val="00683C9F"/>
    <w:rsid w:val="006843CE"/>
    <w:rsid w:val="0068483B"/>
    <w:rsid w:val="00684A1E"/>
    <w:rsid w:val="00684BDF"/>
    <w:rsid w:val="006851A3"/>
    <w:rsid w:val="00685E04"/>
    <w:rsid w:val="00685E0E"/>
    <w:rsid w:val="006867BF"/>
    <w:rsid w:val="006868FD"/>
    <w:rsid w:val="00686C60"/>
    <w:rsid w:val="0068708E"/>
    <w:rsid w:val="00687201"/>
    <w:rsid w:val="00687CC7"/>
    <w:rsid w:val="00690243"/>
    <w:rsid w:val="00690591"/>
    <w:rsid w:val="00690DA3"/>
    <w:rsid w:val="00690F57"/>
    <w:rsid w:val="006910AA"/>
    <w:rsid w:val="0069142C"/>
    <w:rsid w:val="006915F7"/>
    <w:rsid w:val="00691A23"/>
    <w:rsid w:val="0069276F"/>
    <w:rsid w:val="00692799"/>
    <w:rsid w:val="00692A60"/>
    <w:rsid w:val="00692B43"/>
    <w:rsid w:val="00693826"/>
    <w:rsid w:val="0069453A"/>
    <w:rsid w:val="00694C77"/>
    <w:rsid w:val="00694DF4"/>
    <w:rsid w:val="00694EF7"/>
    <w:rsid w:val="00695189"/>
    <w:rsid w:val="00695504"/>
    <w:rsid w:val="00695EFF"/>
    <w:rsid w:val="006961F0"/>
    <w:rsid w:val="006966F2"/>
    <w:rsid w:val="006969FB"/>
    <w:rsid w:val="00696B71"/>
    <w:rsid w:val="006973F6"/>
    <w:rsid w:val="00697630"/>
    <w:rsid w:val="00697731"/>
    <w:rsid w:val="00697867"/>
    <w:rsid w:val="0069790D"/>
    <w:rsid w:val="006A00E7"/>
    <w:rsid w:val="006A0279"/>
    <w:rsid w:val="006A07B8"/>
    <w:rsid w:val="006A098F"/>
    <w:rsid w:val="006A0E4C"/>
    <w:rsid w:val="006A1AD5"/>
    <w:rsid w:val="006A1DB0"/>
    <w:rsid w:val="006A2046"/>
    <w:rsid w:val="006A2074"/>
    <w:rsid w:val="006A21D4"/>
    <w:rsid w:val="006A2755"/>
    <w:rsid w:val="006A29C5"/>
    <w:rsid w:val="006A2B17"/>
    <w:rsid w:val="006A329F"/>
    <w:rsid w:val="006A34A7"/>
    <w:rsid w:val="006A3E8E"/>
    <w:rsid w:val="006A48DE"/>
    <w:rsid w:val="006A4D89"/>
    <w:rsid w:val="006A5110"/>
    <w:rsid w:val="006A60DA"/>
    <w:rsid w:val="006A633C"/>
    <w:rsid w:val="006A63D8"/>
    <w:rsid w:val="006A6411"/>
    <w:rsid w:val="006A65F2"/>
    <w:rsid w:val="006A67C4"/>
    <w:rsid w:val="006A6B4F"/>
    <w:rsid w:val="006A6BC6"/>
    <w:rsid w:val="006A6E56"/>
    <w:rsid w:val="006B0882"/>
    <w:rsid w:val="006B08B5"/>
    <w:rsid w:val="006B1376"/>
    <w:rsid w:val="006B1809"/>
    <w:rsid w:val="006B2096"/>
    <w:rsid w:val="006B2938"/>
    <w:rsid w:val="006B2CD2"/>
    <w:rsid w:val="006B3079"/>
    <w:rsid w:val="006B3318"/>
    <w:rsid w:val="006B34F3"/>
    <w:rsid w:val="006B35D1"/>
    <w:rsid w:val="006B40A9"/>
    <w:rsid w:val="006B440C"/>
    <w:rsid w:val="006B4821"/>
    <w:rsid w:val="006B4D06"/>
    <w:rsid w:val="006B4D74"/>
    <w:rsid w:val="006B5159"/>
    <w:rsid w:val="006B550A"/>
    <w:rsid w:val="006B55D9"/>
    <w:rsid w:val="006B5A0D"/>
    <w:rsid w:val="006B5D41"/>
    <w:rsid w:val="006B6282"/>
    <w:rsid w:val="006B628D"/>
    <w:rsid w:val="006B62FB"/>
    <w:rsid w:val="006B6364"/>
    <w:rsid w:val="006B63F8"/>
    <w:rsid w:val="006B6D58"/>
    <w:rsid w:val="006B70A9"/>
    <w:rsid w:val="006B737B"/>
    <w:rsid w:val="006B7ADD"/>
    <w:rsid w:val="006B7C6A"/>
    <w:rsid w:val="006C0043"/>
    <w:rsid w:val="006C018A"/>
    <w:rsid w:val="006C054C"/>
    <w:rsid w:val="006C0C3A"/>
    <w:rsid w:val="006C0CB0"/>
    <w:rsid w:val="006C1337"/>
    <w:rsid w:val="006C17A5"/>
    <w:rsid w:val="006C1A68"/>
    <w:rsid w:val="006C2015"/>
    <w:rsid w:val="006C2151"/>
    <w:rsid w:val="006C2164"/>
    <w:rsid w:val="006C21AE"/>
    <w:rsid w:val="006C2277"/>
    <w:rsid w:val="006C2599"/>
    <w:rsid w:val="006C2A1C"/>
    <w:rsid w:val="006C2A4B"/>
    <w:rsid w:val="006C2ACD"/>
    <w:rsid w:val="006C2C16"/>
    <w:rsid w:val="006C36BF"/>
    <w:rsid w:val="006C36C0"/>
    <w:rsid w:val="006C37C5"/>
    <w:rsid w:val="006C38EA"/>
    <w:rsid w:val="006C3FF3"/>
    <w:rsid w:val="006C4734"/>
    <w:rsid w:val="006C5111"/>
    <w:rsid w:val="006C5771"/>
    <w:rsid w:val="006C57B1"/>
    <w:rsid w:val="006C6235"/>
    <w:rsid w:val="006C6A57"/>
    <w:rsid w:val="006C6F45"/>
    <w:rsid w:val="006C7063"/>
    <w:rsid w:val="006C7277"/>
    <w:rsid w:val="006C7378"/>
    <w:rsid w:val="006C748C"/>
    <w:rsid w:val="006C7FB8"/>
    <w:rsid w:val="006D01DA"/>
    <w:rsid w:val="006D1789"/>
    <w:rsid w:val="006D1924"/>
    <w:rsid w:val="006D21CB"/>
    <w:rsid w:val="006D263E"/>
    <w:rsid w:val="006D2BD9"/>
    <w:rsid w:val="006D2F82"/>
    <w:rsid w:val="006D31DF"/>
    <w:rsid w:val="006D3E4D"/>
    <w:rsid w:val="006D426F"/>
    <w:rsid w:val="006D431D"/>
    <w:rsid w:val="006D51B7"/>
    <w:rsid w:val="006D549E"/>
    <w:rsid w:val="006D5841"/>
    <w:rsid w:val="006D5BBA"/>
    <w:rsid w:val="006D5C86"/>
    <w:rsid w:val="006D5D86"/>
    <w:rsid w:val="006D6AA8"/>
    <w:rsid w:val="006D6CCF"/>
    <w:rsid w:val="006D7842"/>
    <w:rsid w:val="006D78F0"/>
    <w:rsid w:val="006D7AF7"/>
    <w:rsid w:val="006D7E56"/>
    <w:rsid w:val="006E0378"/>
    <w:rsid w:val="006E08F6"/>
    <w:rsid w:val="006E0E09"/>
    <w:rsid w:val="006E183B"/>
    <w:rsid w:val="006E3094"/>
    <w:rsid w:val="006E3222"/>
    <w:rsid w:val="006E37D1"/>
    <w:rsid w:val="006E3938"/>
    <w:rsid w:val="006E43B4"/>
    <w:rsid w:val="006E4DD1"/>
    <w:rsid w:val="006E540A"/>
    <w:rsid w:val="006E571D"/>
    <w:rsid w:val="006E5739"/>
    <w:rsid w:val="006E6000"/>
    <w:rsid w:val="006E6360"/>
    <w:rsid w:val="006E72A8"/>
    <w:rsid w:val="006E752D"/>
    <w:rsid w:val="006E7683"/>
    <w:rsid w:val="006E7C06"/>
    <w:rsid w:val="006E7C9F"/>
    <w:rsid w:val="006E7FB0"/>
    <w:rsid w:val="006F002B"/>
    <w:rsid w:val="006F074C"/>
    <w:rsid w:val="006F0C7F"/>
    <w:rsid w:val="006F0DB5"/>
    <w:rsid w:val="006F145E"/>
    <w:rsid w:val="006F1696"/>
    <w:rsid w:val="006F1DE3"/>
    <w:rsid w:val="006F1F49"/>
    <w:rsid w:val="006F1FD0"/>
    <w:rsid w:val="006F331D"/>
    <w:rsid w:val="006F3B3D"/>
    <w:rsid w:val="006F3CC5"/>
    <w:rsid w:val="006F4A80"/>
    <w:rsid w:val="006F4C05"/>
    <w:rsid w:val="006F4FD6"/>
    <w:rsid w:val="006F5162"/>
    <w:rsid w:val="006F5AA8"/>
    <w:rsid w:val="006F6C9B"/>
    <w:rsid w:val="006F6F54"/>
    <w:rsid w:val="006F7548"/>
    <w:rsid w:val="006F76C7"/>
    <w:rsid w:val="006F77BE"/>
    <w:rsid w:val="006F7B45"/>
    <w:rsid w:val="0070007C"/>
    <w:rsid w:val="0070048D"/>
    <w:rsid w:val="007011BC"/>
    <w:rsid w:val="0070121A"/>
    <w:rsid w:val="007015BB"/>
    <w:rsid w:val="0070179B"/>
    <w:rsid w:val="00703DFC"/>
    <w:rsid w:val="00703F81"/>
    <w:rsid w:val="007047CB"/>
    <w:rsid w:val="0070558B"/>
    <w:rsid w:val="00705B65"/>
    <w:rsid w:val="00705F05"/>
    <w:rsid w:val="00706C1A"/>
    <w:rsid w:val="00707012"/>
    <w:rsid w:val="0070703D"/>
    <w:rsid w:val="00707076"/>
    <w:rsid w:val="007073DA"/>
    <w:rsid w:val="007073ED"/>
    <w:rsid w:val="00707C09"/>
    <w:rsid w:val="00707D28"/>
    <w:rsid w:val="00707FF0"/>
    <w:rsid w:val="007100FE"/>
    <w:rsid w:val="007102BB"/>
    <w:rsid w:val="00710A7E"/>
    <w:rsid w:val="007112BD"/>
    <w:rsid w:val="00711687"/>
    <w:rsid w:val="00711CF0"/>
    <w:rsid w:val="0071251E"/>
    <w:rsid w:val="007125E0"/>
    <w:rsid w:val="00712780"/>
    <w:rsid w:val="00712785"/>
    <w:rsid w:val="00712A75"/>
    <w:rsid w:val="00712AFF"/>
    <w:rsid w:val="007134A4"/>
    <w:rsid w:val="0071393D"/>
    <w:rsid w:val="00713A0B"/>
    <w:rsid w:val="00713EF1"/>
    <w:rsid w:val="00714189"/>
    <w:rsid w:val="00714724"/>
    <w:rsid w:val="0071485C"/>
    <w:rsid w:val="00714E5E"/>
    <w:rsid w:val="0071535A"/>
    <w:rsid w:val="00715621"/>
    <w:rsid w:val="0071653F"/>
    <w:rsid w:val="007177B1"/>
    <w:rsid w:val="00717ED1"/>
    <w:rsid w:val="0072072C"/>
    <w:rsid w:val="00720B54"/>
    <w:rsid w:val="00720E07"/>
    <w:rsid w:val="00720E46"/>
    <w:rsid w:val="00720F3A"/>
    <w:rsid w:val="007216EC"/>
    <w:rsid w:val="00721AB2"/>
    <w:rsid w:val="00721BEE"/>
    <w:rsid w:val="00721D89"/>
    <w:rsid w:val="00721DE1"/>
    <w:rsid w:val="00722117"/>
    <w:rsid w:val="007221DF"/>
    <w:rsid w:val="00722A94"/>
    <w:rsid w:val="007237ED"/>
    <w:rsid w:val="007238E2"/>
    <w:rsid w:val="007239DE"/>
    <w:rsid w:val="0072451E"/>
    <w:rsid w:val="00724C27"/>
    <w:rsid w:val="00725249"/>
    <w:rsid w:val="0072567C"/>
    <w:rsid w:val="00725908"/>
    <w:rsid w:val="0072626C"/>
    <w:rsid w:val="0072643A"/>
    <w:rsid w:val="00726664"/>
    <w:rsid w:val="00726761"/>
    <w:rsid w:val="00726920"/>
    <w:rsid w:val="00726A4A"/>
    <w:rsid w:val="00726DD1"/>
    <w:rsid w:val="00726F33"/>
    <w:rsid w:val="007276B6"/>
    <w:rsid w:val="00727B38"/>
    <w:rsid w:val="00730650"/>
    <w:rsid w:val="007306EA"/>
    <w:rsid w:val="0073153F"/>
    <w:rsid w:val="007317F8"/>
    <w:rsid w:val="00731AB7"/>
    <w:rsid w:val="00731E4B"/>
    <w:rsid w:val="00733908"/>
    <w:rsid w:val="00733D7B"/>
    <w:rsid w:val="00733E8F"/>
    <w:rsid w:val="007342D5"/>
    <w:rsid w:val="00734F34"/>
    <w:rsid w:val="007350C1"/>
    <w:rsid w:val="00735206"/>
    <w:rsid w:val="007361BD"/>
    <w:rsid w:val="00736B88"/>
    <w:rsid w:val="007371AE"/>
    <w:rsid w:val="007378EE"/>
    <w:rsid w:val="00737B82"/>
    <w:rsid w:val="00737F1F"/>
    <w:rsid w:val="007402DC"/>
    <w:rsid w:val="00740BC4"/>
    <w:rsid w:val="0074196B"/>
    <w:rsid w:val="007419A3"/>
    <w:rsid w:val="007423DC"/>
    <w:rsid w:val="007423DD"/>
    <w:rsid w:val="007436D5"/>
    <w:rsid w:val="0074374E"/>
    <w:rsid w:val="00743D8C"/>
    <w:rsid w:val="00744012"/>
    <w:rsid w:val="007445CD"/>
    <w:rsid w:val="00744633"/>
    <w:rsid w:val="007446BA"/>
    <w:rsid w:val="007448B3"/>
    <w:rsid w:val="007449C4"/>
    <w:rsid w:val="00744AF0"/>
    <w:rsid w:val="007453A7"/>
    <w:rsid w:val="00745B65"/>
    <w:rsid w:val="00745D79"/>
    <w:rsid w:val="00745DE2"/>
    <w:rsid w:val="00745E5E"/>
    <w:rsid w:val="007466EA"/>
    <w:rsid w:val="00746EE5"/>
    <w:rsid w:val="007473A9"/>
    <w:rsid w:val="00747BE2"/>
    <w:rsid w:val="00747C36"/>
    <w:rsid w:val="00747CBF"/>
    <w:rsid w:val="00747E5C"/>
    <w:rsid w:val="007503DD"/>
    <w:rsid w:val="00750603"/>
    <w:rsid w:val="0075082B"/>
    <w:rsid w:val="00751A21"/>
    <w:rsid w:val="0075257E"/>
    <w:rsid w:val="00752E1D"/>
    <w:rsid w:val="00752FF5"/>
    <w:rsid w:val="007530C8"/>
    <w:rsid w:val="007532C2"/>
    <w:rsid w:val="0075344D"/>
    <w:rsid w:val="00753975"/>
    <w:rsid w:val="00754157"/>
    <w:rsid w:val="007546B3"/>
    <w:rsid w:val="0075479C"/>
    <w:rsid w:val="00754855"/>
    <w:rsid w:val="00754AD7"/>
    <w:rsid w:val="00754BB4"/>
    <w:rsid w:val="00754E9E"/>
    <w:rsid w:val="0075525F"/>
    <w:rsid w:val="007560DD"/>
    <w:rsid w:val="007564D9"/>
    <w:rsid w:val="00756571"/>
    <w:rsid w:val="00756D6A"/>
    <w:rsid w:val="00756E95"/>
    <w:rsid w:val="007576D6"/>
    <w:rsid w:val="00757799"/>
    <w:rsid w:val="00757922"/>
    <w:rsid w:val="00757F8D"/>
    <w:rsid w:val="007604BB"/>
    <w:rsid w:val="007607F3"/>
    <w:rsid w:val="00760B9A"/>
    <w:rsid w:val="00761246"/>
    <w:rsid w:val="007623E8"/>
    <w:rsid w:val="00762624"/>
    <w:rsid w:val="00762B58"/>
    <w:rsid w:val="00764107"/>
    <w:rsid w:val="00764718"/>
    <w:rsid w:val="00764A87"/>
    <w:rsid w:val="00764A91"/>
    <w:rsid w:val="00764D97"/>
    <w:rsid w:val="007653B8"/>
    <w:rsid w:val="00765CE7"/>
    <w:rsid w:val="00765D50"/>
    <w:rsid w:val="00765F8C"/>
    <w:rsid w:val="007667FA"/>
    <w:rsid w:val="00766823"/>
    <w:rsid w:val="00766957"/>
    <w:rsid w:val="00766997"/>
    <w:rsid w:val="00766F77"/>
    <w:rsid w:val="0077004D"/>
    <w:rsid w:val="00770369"/>
    <w:rsid w:val="00771133"/>
    <w:rsid w:val="00771B17"/>
    <w:rsid w:val="00771D03"/>
    <w:rsid w:val="007721C5"/>
    <w:rsid w:val="007724EE"/>
    <w:rsid w:val="00772663"/>
    <w:rsid w:val="007726D7"/>
    <w:rsid w:val="007728FA"/>
    <w:rsid w:val="00772EB7"/>
    <w:rsid w:val="0077349C"/>
    <w:rsid w:val="00773856"/>
    <w:rsid w:val="00773B12"/>
    <w:rsid w:val="0077441D"/>
    <w:rsid w:val="007746C4"/>
    <w:rsid w:val="00774A2C"/>
    <w:rsid w:val="00775101"/>
    <w:rsid w:val="007756F6"/>
    <w:rsid w:val="00775C44"/>
    <w:rsid w:val="00775CEC"/>
    <w:rsid w:val="00775DCB"/>
    <w:rsid w:val="00775E39"/>
    <w:rsid w:val="00776312"/>
    <w:rsid w:val="007764DB"/>
    <w:rsid w:val="00777198"/>
    <w:rsid w:val="00777575"/>
    <w:rsid w:val="00777981"/>
    <w:rsid w:val="00777C94"/>
    <w:rsid w:val="0078002F"/>
    <w:rsid w:val="00781081"/>
    <w:rsid w:val="00781903"/>
    <w:rsid w:val="00781B37"/>
    <w:rsid w:val="00782227"/>
    <w:rsid w:val="00782272"/>
    <w:rsid w:val="0078241C"/>
    <w:rsid w:val="007826E4"/>
    <w:rsid w:val="00783360"/>
    <w:rsid w:val="007838CF"/>
    <w:rsid w:val="00783A0F"/>
    <w:rsid w:val="00784E61"/>
    <w:rsid w:val="0078547B"/>
    <w:rsid w:val="00785533"/>
    <w:rsid w:val="00785E6E"/>
    <w:rsid w:val="00786041"/>
    <w:rsid w:val="007860F9"/>
    <w:rsid w:val="0078611D"/>
    <w:rsid w:val="00786D20"/>
    <w:rsid w:val="00786D82"/>
    <w:rsid w:val="00787523"/>
    <w:rsid w:val="00787526"/>
    <w:rsid w:val="0078756D"/>
    <w:rsid w:val="007875C0"/>
    <w:rsid w:val="00787B8A"/>
    <w:rsid w:val="00787DAB"/>
    <w:rsid w:val="00787FCA"/>
    <w:rsid w:val="007904F6"/>
    <w:rsid w:val="00790895"/>
    <w:rsid w:val="00790DBD"/>
    <w:rsid w:val="00791149"/>
    <w:rsid w:val="007919B8"/>
    <w:rsid w:val="007919E4"/>
    <w:rsid w:val="00791FD3"/>
    <w:rsid w:val="0079204E"/>
    <w:rsid w:val="00792A52"/>
    <w:rsid w:val="00792D69"/>
    <w:rsid w:val="00792EB0"/>
    <w:rsid w:val="0079308C"/>
    <w:rsid w:val="00793485"/>
    <w:rsid w:val="007936F9"/>
    <w:rsid w:val="00793D4A"/>
    <w:rsid w:val="00794A0A"/>
    <w:rsid w:val="00794A54"/>
    <w:rsid w:val="00794D39"/>
    <w:rsid w:val="00794E90"/>
    <w:rsid w:val="00795231"/>
    <w:rsid w:val="007953D3"/>
    <w:rsid w:val="007957B9"/>
    <w:rsid w:val="00795F74"/>
    <w:rsid w:val="007960F3"/>
    <w:rsid w:val="00796223"/>
    <w:rsid w:val="00797041"/>
    <w:rsid w:val="00797746"/>
    <w:rsid w:val="007977BD"/>
    <w:rsid w:val="007977F7"/>
    <w:rsid w:val="00797A37"/>
    <w:rsid w:val="00797AE6"/>
    <w:rsid w:val="00797E5E"/>
    <w:rsid w:val="007A06F1"/>
    <w:rsid w:val="007A0B36"/>
    <w:rsid w:val="007A0E0C"/>
    <w:rsid w:val="007A110E"/>
    <w:rsid w:val="007A11A6"/>
    <w:rsid w:val="007A1230"/>
    <w:rsid w:val="007A151E"/>
    <w:rsid w:val="007A1708"/>
    <w:rsid w:val="007A22F3"/>
    <w:rsid w:val="007A2F4A"/>
    <w:rsid w:val="007A365D"/>
    <w:rsid w:val="007A3918"/>
    <w:rsid w:val="007A3F89"/>
    <w:rsid w:val="007A41DA"/>
    <w:rsid w:val="007A44A7"/>
    <w:rsid w:val="007A46B4"/>
    <w:rsid w:val="007A48E3"/>
    <w:rsid w:val="007A49E4"/>
    <w:rsid w:val="007A4A19"/>
    <w:rsid w:val="007A5261"/>
    <w:rsid w:val="007A5731"/>
    <w:rsid w:val="007A5C4A"/>
    <w:rsid w:val="007A5FB2"/>
    <w:rsid w:val="007A6084"/>
    <w:rsid w:val="007A6095"/>
    <w:rsid w:val="007A6649"/>
    <w:rsid w:val="007A691F"/>
    <w:rsid w:val="007A6A46"/>
    <w:rsid w:val="007A6C57"/>
    <w:rsid w:val="007A757C"/>
    <w:rsid w:val="007A7722"/>
    <w:rsid w:val="007A7C2B"/>
    <w:rsid w:val="007A7C37"/>
    <w:rsid w:val="007B04E6"/>
    <w:rsid w:val="007B0594"/>
    <w:rsid w:val="007B07B9"/>
    <w:rsid w:val="007B0B63"/>
    <w:rsid w:val="007B0F09"/>
    <w:rsid w:val="007B110D"/>
    <w:rsid w:val="007B2054"/>
    <w:rsid w:val="007B258B"/>
    <w:rsid w:val="007B2E68"/>
    <w:rsid w:val="007B308B"/>
    <w:rsid w:val="007B398A"/>
    <w:rsid w:val="007B3E40"/>
    <w:rsid w:val="007B572E"/>
    <w:rsid w:val="007B638C"/>
    <w:rsid w:val="007B68C0"/>
    <w:rsid w:val="007B6B26"/>
    <w:rsid w:val="007B739E"/>
    <w:rsid w:val="007B74D6"/>
    <w:rsid w:val="007B7C17"/>
    <w:rsid w:val="007B7C7F"/>
    <w:rsid w:val="007C0040"/>
    <w:rsid w:val="007C18FC"/>
    <w:rsid w:val="007C2581"/>
    <w:rsid w:val="007C259E"/>
    <w:rsid w:val="007C2A65"/>
    <w:rsid w:val="007C31BB"/>
    <w:rsid w:val="007C372A"/>
    <w:rsid w:val="007C4186"/>
    <w:rsid w:val="007C42F9"/>
    <w:rsid w:val="007C4B2C"/>
    <w:rsid w:val="007C4E18"/>
    <w:rsid w:val="007C4E7E"/>
    <w:rsid w:val="007C5474"/>
    <w:rsid w:val="007C5BBA"/>
    <w:rsid w:val="007C5E01"/>
    <w:rsid w:val="007C6137"/>
    <w:rsid w:val="007C64C1"/>
    <w:rsid w:val="007C6692"/>
    <w:rsid w:val="007C6ACE"/>
    <w:rsid w:val="007C6DA9"/>
    <w:rsid w:val="007C72A3"/>
    <w:rsid w:val="007C72A6"/>
    <w:rsid w:val="007C7699"/>
    <w:rsid w:val="007C7846"/>
    <w:rsid w:val="007C7A5B"/>
    <w:rsid w:val="007C7B6B"/>
    <w:rsid w:val="007C7F5D"/>
    <w:rsid w:val="007D02A2"/>
    <w:rsid w:val="007D0E34"/>
    <w:rsid w:val="007D0F23"/>
    <w:rsid w:val="007D1209"/>
    <w:rsid w:val="007D1C11"/>
    <w:rsid w:val="007D23B4"/>
    <w:rsid w:val="007D2400"/>
    <w:rsid w:val="007D2458"/>
    <w:rsid w:val="007D2680"/>
    <w:rsid w:val="007D2A6C"/>
    <w:rsid w:val="007D2CF2"/>
    <w:rsid w:val="007D2FE5"/>
    <w:rsid w:val="007D3056"/>
    <w:rsid w:val="007D3AC9"/>
    <w:rsid w:val="007D4977"/>
    <w:rsid w:val="007D4A4A"/>
    <w:rsid w:val="007D4C61"/>
    <w:rsid w:val="007D5360"/>
    <w:rsid w:val="007D5953"/>
    <w:rsid w:val="007D5E42"/>
    <w:rsid w:val="007D6150"/>
    <w:rsid w:val="007D6B38"/>
    <w:rsid w:val="007D7437"/>
    <w:rsid w:val="007D7620"/>
    <w:rsid w:val="007D7A1D"/>
    <w:rsid w:val="007E02FC"/>
    <w:rsid w:val="007E0575"/>
    <w:rsid w:val="007E08DF"/>
    <w:rsid w:val="007E0B30"/>
    <w:rsid w:val="007E0F9E"/>
    <w:rsid w:val="007E179D"/>
    <w:rsid w:val="007E1F15"/>
    <w:rsid w:val="007E20C7"/>
    <w:rsid w:val="007E2186"/>
    <w:rsid w:val="007E2384"/>
    <w:rsid w:val="007E24A3"/>
    <w:rsid w:val="007E29C9"/>
    <w:rsid w:val="007E2E4E"/>
    <w:rsid w:val="007E30C3"/>
    <w:rsid w:val="007E34C4"/>
    <w:rsid w:val="007E35AC"/>
    <w:rsid w:val="007E39BF"/>
    <w:rsid w:val="007E3B56"/>
    <w:rsid w:val="007E413D"/>
    <w:rsid w:val="007E4CBB"/>
    <w:rsid w:val="007E5007"/>
    <w:rsid w:val="007E52AC"/>
    <w:rsid w:val="007E6123"/>
    <w:rsid w:val="007E61EC"/>
    <w:rsid w:val="007E6973"/>
    <w:rsid w:val="007E699A"/>
    <w:rsid w:val="007E6E7E"/>
    <w:rsid w:val="007E6ECD"/>
    <w:rsid w:val="007E7573"/>
    <w:rsid w:val="007E768E"/>
    <w:rsid w:val="007E7BD3"/>
    <w:rsid w:val="007F0A87"/>
    <w:rsid w:val="007F0E4A"/>
    <w:rsid w:val="007F1583"/>
    <w:rsid w:val="007F1642"/>
    <w:rsid w:val="007F1D5C"/>
    <w:rsid w:val="007F216A"/>
    <w:rsid w:val="007F26F2"/>
    <w:rsid w:val="007F2FFD"/>
    <w:rsid w:val="007F30FA"/>
    <w:rsid w:val="007F3720"/>
    <w:rsid w:val="007F37C7"/>
    <w:rsid w:val="007F3A6B"/>
    <w:rsid w:val="007F3CA1"/>
    <w:rsid w:val="007F3E6B"/>
    <w:rsid w:val="007F3EA1"/>
    <w:rsid w:val="007F4159"/>
    <w:rsid w:val="007F4433"/>
    <w:rsid w:val="007F4F94"/>
    <w:rsid w:val="007F508E"/>
    <w:rsid w:val="007F51DB"/>
    <w:rsid w:val="007F53C4"/>
    <w:rsid w:val="007F548C"/>
    <w:rsid w:val="007F5C81"/>
    <w:rsid w:val="007F64CD"/>
    <w:rsid w:val="007F6518"/>
    <w:rsid w:val="007F69D6"/>
    <w:rsid w:val="007F70C5"/>
    <w:rsid w:val="007F75D2"/>
    <w:rsid w:val="007F7E3C"/>
    <w:rsid w:val="007F7E7B"/>
    <w:rsid w:val="00800282"/>
    <w:rsid w:val="0080064C"/>
    <w:rsid w:val="00800A0F"/>
    <w:rsid w:val="008010BF"/>
    <w:rsid w:val="008012FC"/>
    <w:rsid w:val="00801697"/>
    <w:rsid w:val="00801809"/>
    <w:rsid w:val="00801959"/>
    <w:rsid w:val="00801A29"/>
    <w:rsid w:val="008024B4"/>
    <w:rsid w:val="008026E1"/>
    <w:rsid w:val="008027A9"/>
    <w:rsid w:val="0080296C"/>
    <w:rsid w:val="00802986"/>
    <w:rsid w:val="008029FD"/>
    <w:rsid w:val="00802E3E"/>
    <w:rsid w:val="00802FC8"/>
    <w:rsid w:val="00803848"/>
    <w:rsid w:val="008039D2"/>
    <w:rsid w:val="00803C9E"/>
    <w:rsid w:val="00804226"/>
    <w:rsid w:val="008042B6"/>
    <w:rsid w:val="00804ABF"/>
    <w:rsid w:val="00806398"/>
    <w:rsid w:val="00806DB8"/>
    <w:rsid w:val="008072FC"/>
    <w:rsid w:val="00807F1C"/>
    <w:rsid w:val="008100C4"/>
    <w:rsid w:val="00810966"/>
    <w:rsid w:val="00810A6E"/>
    <w:rsid w:val="00811108"/>
    <w:rsid w:val="008116AD"/>
    <w:rsid w:val="0081181F"/>
    <w:rsid w:val="0081187A"/>
    <w:rsid w:val="00811DDB"/>
    <w:rsid w:val="008122AE"/>
    <w:rsid w:val="00812329"/>
    <w:rsid w:val="008130EC"/>
    <w:rsid w:val="008132B7"/>
    <w:rsid w:val="00813462"/>
    <w:rsid w:val="008137E3"/>
    <w:rsid w:val="00813981"/>
    <w:rsid w:val="00813D21"/>
    <w:rsid w:val="00813D9A"/>
    <w:rsid w:val="00814429"/>
    <w:rsid w:val="00814532"/>
    <w:rsid w:val="00814D9B"/>
    <w:rsid w:val="00814DA4"/>
    <w:rsid w:val="00815140"/>
    <w:rsid w:val="008157B9"/>
    <w:rsid w:val="0081678E"/>
    <w:rsid w:val="008170AD"/>
    <w:rsid w:val="008171C5"/>
    <w:rsid w:val="00820467"/>
    <w:rsid w:val="008208A8"/>
    <w:rsid w:val="0082111D"/>
    <w:rsid w:val="00821133"/>
    <w:rsid w:val="00821864"/>
    <w:rsid w:val="008221A1"/>
    <w:rsid w:val="008226E8"/>
    <w:rsid w:val="00823085"/>
    <w:rsid w:val="00823528"/>
    <w:rsid w:val="008237F9"/>
    <w:rsid w:val="0082384D"/>
    <w:rsid w:val="00823943"/>
    <w:rsid w:val="008239E2"/>
    <w:rsid w:val="00825DE6"/>
    <w:rsid w:val="00826DA5"/>
    <w:rsid w:val="00826ED5"/>
    <w:rsid w:val="00826F35"/>
    <w:rsid w:val="0082799D"/>
    <w:rsid w:val="00827DA2"/>
    <w:rsid w:val="0083006A"/>
    <w:rsid w:val="00830372"/>
    <w:rsid w:val="00830440"/>
    <w:rsid w:val="00830AA4"/>
    <w:rsid w:val="00830CC1"/>
    <w:rsid w:val="008310D5"/>
    <w:rsid w:val="00831824"/>
    <w:rsid w:val="00831B07"/>
    <w:rsid w:val="00831EF5"/>
    <w:rsid w:val="008321F0"/>
    <w:rsid w:val="008326EA"/>
    <w:rsid w:val="0083270A"/>
    <w:rsid w:val="008332A6"/>
    <w:rsid w:val="00833305"/>
    <w:rsid w:val="0083338B"/>
    <w:rsid w:val="008339BF"/>
    <w:rsid w:val="00833B74"/>
    <w:rsid w:val="00833C0F"/>
    <w:rsid w:val="0083490F"/>
    <w:rsid w:val="00834B9E"/>
    <w:rsid w:val="00834F80"/>
    <w:rsid w:val="00835644"/>
    <w:rsid w:val="00835685"/>
    <w:rsid w:val="008357D8"/>
    <w:rsid w:val="00836605"/>
    <w:rsid w:val="00836AB7"/>
    <w:rsid w:val="00836B1C"/>
    <w:rsid w:val="00836EB0"/>
    <w:rsid w:val="00837138"/>
    <w:rsid w:val="008407FF"/>
    <w:rsid w:val="0084110A"/>
    <w:rsid w:val="0084114F"/>
    <w:rsid w:val="0084125D"/>
    <w:rsid w:val="008415E6"/>
    <w:rsid w:val="008417CC"/>
    <w:rsid w:val="00841CCE"/>
    <w:rsid w:val="008420F1"/>
    <w:rsid w:val="00843081"/>
    <w:rsid w:val="00843E79"/>
    <w:rsid w:val="00844021"/>
    <w:rsid w:val="008440FF"/>
    <w:rsid w:val="00844690"/>
    <w:rsid w:val="00844B92"/>
    <w:rsid w:val="00844C05"/>
    <w:rsid w:val="00845629"/>
    <w:rsid w:val="00845841"/>
    <w:rsid w:val="008458E6"/>
    <w:rsid w:val="00845FB4"/>
    <w:rsid w:val="00846D3F"/>
    <w:rsid w:val="008474B3"/>
    <w:rsid w:val="00847A12"/>
    <w:rsid w:val="008505AB"/>
    <w:rsid w:val="0085090D"/>
    <w:rsid w:val="0085092B"/>
    <w:rsid w:val="00850F7F"/>
    <w:rsid w:val="00851064"/>
    <w:rsid w:val="00851878"/>
    <w:rsid w:val="0085199F"/>
    <w:rsid w:val="00851A42"/>
    <w:rsid w:val="00851DCF"/>
    <w:rsid w:val="00852671"/>
    <w:rsid w:val="008527BC"/>
    <w:rsid w:val="00852936"/>
    <w:rsid w:val="00852A99"/>
    <w:rsid w:val="008535D5"/>
    <w:rsid w:val="008540D0"/>
    <w:rsid w:val="00854255"/>
    <w:rsid w:val="008547D2"/>
    <w:rsid w:val="00854A8B"/>
    <w:rsid w:val="00855434"/>
    <w:rsid w:val="00856539"/>
    <w:rsid w:val="00856855"/>
    <w:rsid w:val="00857139"/>
    <w:rsid w:val="00857676"/>
    <w:rsid w:val="00857723"/>
    <w:rsid w:val="00857892"/>
    <w:rsid w:val="008579AF"/>
    <w:rsid w:val="00857C22"/>
    <w:rsid w:val="00860111"/>
    <w:rsid w:val="00860721"/>
    <w:rsid w:val="00860A2A"/>
    <w:rsid w:val="0086146E"/>
    <w:rsid w:val="00861801"/>
    <w:rsid w:val="00861EAF"/>
    <w:rsid w:val="008621BD"/>
    <w:rsid w:val="00862857"/>
    <w:rsid w:val="00862B9C"/>
    <w:rsid w:val="00863398"/>
    <w:rsid w:val="00864E01"/>
    <w:rsid w:val="00865BBE"/>
    <w:rsid w:val="00865DB3"/>
    <w:rsid w:val="00865E72"/>
    <w:rsid w:val="008669A4"/>
    <w:rsid w:val="00866DB6"/>
    <w:rsid w:val="0086710C"/>
    <w:rsid w:val="00867497"/>
    <w:rsid w:val="00867887"/>
    <w:rsid w:val="00867A02"/>
    <w:rsid w:val="00867F8D"/>
    <w:rsid w:val="0087056E"/>
    <w:rsid w:val="00871F4F"/>
    <w:rsid w:val="00872260"/>
    <w:rsid w:val="008723BA"/>
    <w:rsid w:val="00872416"/>
    <w:rsid w:val="0087254C"/>
    <w:rsid w:val="0087301E"/>
    <w:rsid w:val="00873033"/>
    <w:rsid w:val="00873494"/>
    <w:rsid w:val="008738DA"/>
    <w:rsid w:val="00873A18"/>
    <w:rsid w:val="00873AF2"/>
    <w:rsid w:val="00875311"/>
    <w:rsid w:val="00875378"/>
    <w:rsid w:val="008753F2"/>
    <w:rsid w:val="008758B0"/>
    <w:rsid w:val="00875925"/>
    <w:rsid w:val="00875B3B"/>
    <w:rsid w:val="0087632B"/>
    <w:rsid w:val="0087690E"/>
    <w:rsid w:val="008769C8"/>
    <w:rsid w:val="00876A6F"/>
    <w:rsid w:val="00876C22"/>
    <w:rsid w:val="00877C92"/>
    <w:rsid w:val="0088036F"/>
    <w:rsid w:val="00880B20"/>
    <w:rsid w:val="00880D27"/>
    <w:rsid w:val="00880D69"/>
    <w:rsid w:val="008810ED"/>
    <w:rsid w:val="00881124"/>
    <w:rsid w:val="008814F7"/>
    <w:rsid w:val="00881712"/>
    <w:rsid w:val="00881AE6"/>
    <w:rsid w:val="00881B14"/>
    <w:rsid w:val="00882583"/>
    <w:rsid w:val="00884315"/>
    <w:rsid w:val="0088470B"/>
    <w:rsid w:val="0088488F"/>
    <w:rsid w:val="00884C21"/>
    <w:rsid w:val="00884DC3"/>
    <w:rsid w:val="008853F8"/>
    <w:rsid w:val="00885561"/>
    <w:rsid w:val="00885AEE"/>
    <w:rsid w:val="00885C90"/>
    <w:rsid w:val="00885F5D"/>
    <w:rsid w:val="00885FCC"/>
    <w:rsid w:val="0088692C"/>
    <w:rsid w:val="00886CEE"/>
    <w:rsid w:val="00886E40"/>
    <w:rsid w:val="008870E3"/>
    <w:rsid w:val="0088710E"/>
    <w:rsid w:val="008879AF"/>
    <w:rsid w:val="00890068"/>
    <w:rsid w:val="008900DF"/>
    <w:rsid w:val="00890A2E"/>
    <w:rsid w:val="00891131"/>
    <w:rsid w:val="008912EB"/>
    <w:rsid w:val="00891E91"/>
    <w:rsid w:val="008924B8"/>
    <w:rsid w:val="00892C6B"/>
    <w:rsid w:val="00892D44"/>
    <w:rsid w:val="00893142"/>
    <w:rsid w:val="00893329"/>
    <w:rsid w:val="00893469"/>
    <w:rsid w:val="008936EC"/>
    <w:rsid w:val="00893790"/>
    <w:rsid w:val="00893A19"/>
    <w:rsid w:val="00893FB3"/>
    <w:rsid w:val="00894201"/>
    <w:rsid w:val="008945A9"/>
    <w:rsid w:val="00895382"/>
    <w:rsid w:val="008956A4"/>
    <w:rsid w:val="00895B7C"/>
    <w:rsid w:val="00895D50"/>
    <w:rsid w:val="0089672A"/>
    <w:rsid w:val="00896C31"/>
    <w:rsid w:val="0089701A"/>
    <w:rsid w:val="00897CA8"/>
    <w:rsid w:val="008A034E"/>
    <w:rsid w:val="008A05FD"/>
    <w:rsid w:val="008A0C12"/>
    <w:rsid w:val="008A0D67"/>
    <w:rsid w:val="008A1019"/>
    <w:rsid w:val="008A138C"/>
    <w:rsid w:val="008A1935"/>
    <w:rsid w:val="008A216F"/>
    <w:rsid w:val="008A2225"/>
    <w:rsid w:val="008A2A97"/>
    <w:rsid w:val="008A3405"/>
    <w:rsid w:val="008A35BE"/>
    <w:rsid w:val="008A370C"/>
    <w:rsid w:val="008A3957"/>
    <w:rsid w:val="008A4506"/>
    <w:rsid w:val="008A45C1"/>
    <w:rsid w:val="008A46A8"/>
    <w:rsid w:val="008A4A2B"/>
    <w:rsid w:val="008A4A34"/>
    <w:rsid w:val="008A4C47"/>
    <w:rsid w:val="008A4C95"/>
    <w:rsid w:val="008A4DAD"/>
    <w:rsid w:val="008A514F"/>
    <w:rsid w:val="008A5A58"/>
    <w:rsid w:val="008A5CAB"/>
    <w:rsid w:val="008A5E13"/>
    <w:rsid w:val="008A62E8"/>
    <w:rsid w:val="008A6550"/>
    <w:rsid w:val="008A6749"/>
    <w:rsid w:val="008A7E13"/>
    <w:rsid w:val="008A7EEC"/>
    <w:rsid w:val="008A7F36"/>
    <w:rsid w:val="008B04C2"/>
    <w:rsid w:val="008B11DF"/>
    <w:rsid w:val="008B132F"/>
    <w:rsid w:val="008B14BD"/>
    <w:rsid w:val="008B178C"/>
    <w:rsid w:val="008B1EE3"/>
    <w:rsid w:val="008B23EB"/>
    <w:rsid w:val="008B243C"/>
    <w:rsid w:val="008B2651"/>
    <w:rsid w:val="008B304F"/>
    <w:rsid w:val="008B3D44"/>
    <w:rsid w:val="008B4221"/>
    <w:rsid w:val="008B4512"/>
    <w:rsid w:val="008B4577"/>
    <w:rsid w:val="008B4E25"/>
    <w:rsid w:val="008B4F84"/>
    <w:rsid w:val="008B549E"/>
    <w:rsid w:val="008B5808"/>
    <w:rsid w:val="008B5814"/>
    <w:rsid w:val="008B5F25"/>
    <w:rsid w:val="008B64FC"/>
    <w:rsid w:val="008B659B"/>
    <w:rsid w:val="008B6738"/>
    <w:rsid w:val="008B68D4"/>
    <w:rsid w:val="008B6917"/>
    <w:rsid w:val="008B7749"/>
    <w:rsid w:val="008B7CA7"/>
    <w:rsid w:val="008B7D98"/>
    <w:rsid w:val="008B7E04"/>
    <w:rsid w:val="008C04EA"/>
    <w:rsid w:val="008C051B"/>
    <w:rsid w:val="008C0591"/>
    <w:rsid w:val="008C15D4"/>
    <w:rsid w:val="008C18D6"/>
    <w:rsid w:val="008C1906"/>
    <w:rsid w:val="008C19F0"/>
    <w:rsid w:val="008C1C1C"/>
    <w:rsid w:val="008C21A9"/>
    <w:rsid w:val="008C2270"/>
    <w:rsid w:val="008C25C0"/>
    <w:rsid w:val="008C2BE8"/>
    <w:rsid w:val="008C3694"/>
    <w:rsid w:val="008C3B47"/>
    <w:rsid w:val="008C3B7D"/>
    <w:rsid w:val="008C3CAD"/>
    <w:rsid w:val="008C4192"/>
    <w:rsid w:val="008C4317"/>
    <w:rsid w:val="008C49A9"/>
    <w:rsid w:val="008C4AE2"/>
    <w:rsid w:val="008C4BED"/>
    <w:rsid w:val="008C4FB0"/>
    <w:rsid w:val="008C547F"/>
    <w:rsid w:val="008C57D2"/>
    <w:rsid w:val="008C60D7"/>
    <w:rsid w:val="008C6165"/>
    <w:rsid w:val="008C619D"/>
    <w:rsid w:val="008C6565"/>
    <w:rsid w:val="008C6D55"/>
    <w:rsid w:val="008C6ED4"/>
    <w:rsid w:val="008C7349"/>
    <w:rsid w:val="008C78F3"/>
    <w:rsid w:val="008C7F4D"/>
    <w:rsid w:val="008D010F"/>
    <w:rsid w:val="008D0A16"/>
    <w:rsid w:val="008D0BD2"/>
    <w:rsid w:val="008D18CB"/>
    <w:rsid w:val="008D1C70"/>
    <w:rsid w:val="008D1E27"/>
    <w:rsid w:val="008D232C"/>
    <w:rsid w:val="008D29B3"/>
    <w:rsid w:val="008D3BFA"/>
    <w:rsid w:val="008D4008"/>
    <w:rsid w:val="008D4372"/>
    <w:rsid w:val="008D4D30"/>
    <w:rsid w:val="008D52A1"/>
    <w:rsid w:val="008D553E"/>
    <w:rsid w:val="008D5CF9"/>
    <w:rsid w:val="008D60A1"/>
    <w:rsid w:val="008D6305"/>
    <w:rsid w:val="008D6526"/>
    <w:rsid w:val="008D677F"/>
    <w:rsid w:val="008D6F11"/>
    <w:rsid w:val="008D717D"/>
    <w:rsid w:val="008D790C"/>
    <w:rsid w:val="008D79C2"/>
    <w:rsid w:val="008D7AA3"/>
    <w:rsid w:val="008D7DF2"/>
    <w:rsid w:val="008E14DE"/>
    <w:rsid w:val="008E1E42"/>
    <w:rsid w:val="008E278B"/>
    <w:rsid w:val="008E2B32"/>
    <w:rsid w:val="008E2F68"/>
    <w:rsid w:val="008E3697"/>
    <w:rsid w:val="008E36CE"/>
    <w:rsid w:val="008E3D3E"/>
    <w:rsid w:val="008E3FA4"/>
    <w:rsid w:val="008E40CB"/>
    <w:rsid w:val="008E416C"/>
    <w:rsid w:val="008E4354"/>
    <w:rsid w:val="008E497D"/>
    <w:rsid w:val="008E4A72"/>
    <w:rsid w:val="008E4B12"/>
    <w:rsid w:val="008E4BAF"/>
    <w:rsid w:val="008E4CB7"/>
    <w:rsid w:val="008E5222"/>
    <w:rsid w:val="008E6056"/>
    <w:rsid w:val="008E60CA"/>
    <w:rsid w:val="008E624F"/>
    <w:rsid w:val="008E6781"/>
    <w:rsid w:val="008E7436"/>
    <w:rsid w:val="008E76A0"/>
    <w:rsid w:val="008E7B39"/>
    <w:rsid w:val="008E7BCE"/>
    <w:rsid w:val="008F071D"/>
    <w:rsid w:val="008F105F"/>
    <w:rsid w:val="008F12AD"/>
    <w:rsid w:val="008F187E"/>
    <w:rsid w:val="008F22A8"/>
    <w:rsid w:val="008F2732"/>
    <w:rsid w:val="008F2A82"/>
    <w:rsid w:val="008F2AAD"/>
    <w:rsid w:val="008F2C82"/>
    <w:rsid w:val="008F31B3"/>
    <w:rsid w:val="008F344E"/>
    <w:rsid w:val="008F3570"/>
    <w:rsid w:val="008F4078"/>
    <w:rsid w:val="008F4870"/>
    <w:rsid w:val="008F521B"/>
    <w:rsid w:val="008F5625"/>
    <w:rsid w:val="008F5B14"/>
    <w:rsid w:val="008F6769"/>
    <w:rsid w:val="008F694A"/>
    <w:rsid w:val="008F6F90"/>
    <w:rsid w:val="008F7151"/>
    <w:rsid w:val="008F7AFC"/>
    <w:rsid w:val="008F7C55"/>
    <w:rsid w:val="0090059F"/>
    <w:rsid w:val="00900F7D"/>
    <w:rsid w:val="00900F87"/>
    <w:rsid w:val="00901145"/>
    <w:rsid w:val="009016F8"/>
    <w:rsid w:val="00902EA0"/>
    <w:rsid w:val="00902FFA"/>
    <w:rsid w:val="009035C9"/>
    <w:rsid w:val="00903F78"/>
    <w:rsid w:val="009040A9"/>
    <w:rsid w:val="0090441B"/>
    <w:rsid w:val="0090475B"/>
    <w:rsid w:val="00904A94"/>
    <w:rsid w:val="00904B84"/>
    <w:rsid w:val="00904CC5"/>
    <w:rsid w:val="009054D6"/>
    <w:rsid w:val="009056D9"/>
    <w:rsid w:val="00905955"/>
    <w:rsid w:val="00905B85"/>
    <w:rsid w:val="00906415"/>
    <w:rsid w:val="009067ED"/>
    <w:rsid w:val="00906A53"/>
    <w:rsid w:val="00906BFB"/>
    <w:rsid w:val="00906DFB"/>
    <w:rsid w:val="00907793"/>
    <w:rsid w:val="00907F99"/>
    <w:rsid w:val="00910182"/>
    <w:rsid w:val="00910514"/>
    <w:rsid w:val="00910DEC"/>
    <w:rsid w:val="009111D3"/>
    <w:rsid w:val="0091127B"/>
    <w:rsid w:val="009117ED"/>
    <w:rsid w:val="0091224A"/>
    <w:rsid w:val="009124A0"/>
    <w:rsid w:val="00912549"/>
    <w:rsid w:val="009131BC"/>
    <w:rsid w:val="009134DD"/>
    <w:rsid w:val="00914042"/>
    <w:rsid w:val="009140E8"/>
    <w:rsid w:val="0091456B"/>
    <w:rsid w:val="009145E5"/>
    <w:rsid w:val="00914A19"/>
    <w:rsid w:val="009150DB"/>
    <w:rsid w:val="0091520E"/>
    <w:rsid w:val="00915C43"/>
    <w:rsid w:val="00915FCB"/>
    <w:rsid w:val="0091645B"/>
    <w:rsid w:val="0091686D"/>
    <w:rsid w:val="00916A38"/>
    <w:rsid w:val="00916A41"/>
    <w:rsid w:val="00916C0A"/>
    <w:rsid w:val="00916EE6"/>
    <w:rsid w:val="00917438"/>
    <w:rsid w:val="00917BE3"/>
    <w:rsid w:val="0092017B"/>
    <w:rsid w:val="009208A2"/>
    <w:rsid w:val="009208EC"/>
    <w:rsid w:val="0092093C"/>
    <w:rsid w:val="00920CE3"/>
    <w:rsid w:val="00921092"/>
    <w:rsid w:val="009210DD"/>
    <w:rsid w:val="00921275"/>
    <w:rsid w:val="009213A8"/>
    <w:rsid w:val="0092252A"/>
    <w:rsid w:val="00922543"/>
    <w:rsid w:val="0092291A"/>
    <w:rsid w:val="00922E36"/>
    <w:rsid w:val="00923149"/>
    <w:rsid w:val="009233F6"/>
    <w:rsid w:val="009236A1"/>
    <w:rsid w:val="00923B6C"/>
    <w:rsid w:val="009245C0"/>
    <w:rsid w:val="00924AA7"/>
    <w:rsid w:val="00924B80"/>
    <w:rsid w:val="00925B01"/>
    <w:rsid w:val="00925F7C"/>
    <w:rsid w:val="0092701E"/>
    <w:rsid w:val="00927063"/>
    <w:rsid w:val="00927484"/>
    <w:rsid w:val="009274C1"/>
    <w:rsid w:val="009277AE"/>
    <w:rsid w:val="00927832"/>
    <w:rsid w:val="0093067A"/>
    <w:rsid w:val="0093102C"/>
    <w:rsid w:val="00931201"/>
    <w:rsid w:val="009314D7"/>
    <w:rsid w:val="00931DFC"/>
    <w:rsid w:val="009324D2"/>
    <w:rsid w:val="009325AD"/>
    <w:rsid w:val="00932992"/>
    <w:rsid w:val="00932B84"/>
    <w:rsid w:val="00932F73"/>
    <w:rsid w:val="009331C6"/>
    <w:rsid w:val="009333C4"/>
    <w:rsid w:val="009334C4"/>
    <w:rsid w:val="009343A0"/>
    <w:rsid w:val="0093450A"/>
    <w:rsid w:val="009348FE"/>
    <w:rsid w:val="00935354"/>
    <w:rsid w:val="0093546A"/>
    <w:rsid w:val="00935574"/>
    <w:rsid w:val="00936603"/>
    <w:rsid w:val="00936722"/>
    <w:rsid w:val="00937374"/>
    <w:rsid w:val="0093739F"/>
    <w:rsid w:val="00937661"/>
    <w:rsid w:val="00937668"/>
    <w:rsid w:val="00937BCD"/>
    <w:rsid w:val="00940288"/>
    <w:rsid w:val="0094034E"/>
    <w:rsid w:val="00940C00"/>
    <w:rsid w:val="0094127F"/>
    <w:rsid w:val="00941E3A"/>
    <w:rsid w:val="00942459"/>
    <w:rsid w:val="009427D8"/>
    <w:rsid w:val="009427FE"/>
    <w:rsid w:val="0094296E"/>
    <w:rsid w:val="00942C89"/>
    <w:rsid w:val="00942D12"/>
    <w:rsid w:val="0094403F"/>
    <w:rsid w:val="009444EE"/>
    <w:rsid w:val="00944562"/>
    <w:rsid w:val="0094471A"/>
    <w:rsid w:val="009449A7"/>
    <w:rsid w:val="00945488"/>
    <w:rsid w:val="00945673"/>
    <w:rsid w:val="00945B11"/>
    <w:rsid w:val="00945BBA"/>
    <w:rsid w:val="00946530"/>
    <w:rsid w:val="0094688C"/>
    <w:rsid w:val="009469F4"/>
    <w:rsid w:val="009476FE"/>
    <w:rsid w:val="00947C64"/>
    <w:rsid w:val="00947CC3"/>
    <w:rsid w:val="0095026B"/>
    <w:rsid w:val="00950285"/>
    <w:rsid w:val="00950B5B"/>
    <w:rsid w:val="00950F2A"/>
    <w:rsid w:val="009510AC"/>
    <w:rsid w:val="00951BE1"/>
    <w:rsid w:val="00952C2E"/>
    <w:rsid w:val="00953072"/>
    <w:rsid w:val="00953452"/>
    <w:rsid w:val="00954985"/>
    <w:rsid w:val="00954A87"/>
    <w:rsid w:val="009550AD"/>
    <w:rsid w:val="0095510F"/>
    <w:rsid w:val="0095519A"/>
    <w:rsid w:val="009551F5"/>
    <w:rsid w:val="0095588D"/>
    <w:rsid w:val="00955D4E"/>
    <w:rsid w:val="00955E1C"/>
    <w:rsid w:val="00956537"/>
    <w:rsid w:val="009566A4"/>
    <w:rsid w:val="00956FF9"/>
    <w:rsid w:val="0095731E"/>
    <w:rsid w:val="00957B5D"/>
    <w:rsid w:val="00957D42"/>
    <w:rsid w:val="00957E8E"/>
    <w:rsid w:val="00960023"/>
    <w:rsid w:val="009606FD"/>
    <w:rsid w:val="00960D3B"/>
    <w:rsid w:val="00960D6B"/>
    <w:rsid w:val="009611CD"/>
    <w:rsid w:val="00961568"/>
    <w:rsid w:val="00961752"/>
    <w:rsid w:val="00961AEF"/>
    <w:rsid w:val="00961DAE"/>
    <w:rsid w:val="00962480"/>
    <w:rsid w:val="00962609"/>
    <w:rsid w:val="00962B8A"/>
    <w:rsid w:val="00962CF0"/>
    <w:rsid w:val="00962F9D"/>
    <w:rsid w:val="0096332B"/>
    <w:rsid w:val="00963C10"/>
    <w:rsid w:val="0096401E"/>
    <w:rsid w:val="00964A8E"/>
    <w:rsid w:val="00964FA0"/>
    <w:rsid w:val="009651FE"/>
    <w:rsid w:val="009655F4"/>
    <w:rsid w:val="00965A83"/>
    <w:rsid w:val="00965BF6"/>
    <w:rsid w:val="00965F87"/>
    <w:rsid w:val="0096699E"/>
    <w:rsid w:val="00966B8A"/>
    <w:rsid w:val="00966D25"/>
    <w:rsid w:val="009674BB"/>
    <w:rsid w:val="00967519"/>
    <w:rsid w:val="009679D7"/>
    <w:rsid w:val="00970235"/>
    <w:rsid w:val="0097024B"/>
    <w:rsid w:val="0097040E"/>
    <w:rsid w:val="00970482"/>
    <w:rsid w:val="0097076C"/>
    <w:rsid w:val="0097079E"/>
    <w:rsid w:val="009708B4"/>
    <w:rsid w:val="00970CFB"/>
    <w:rsid w:val="00970E0B"/>
    <w:rsid w:val="00970F96"/>
    <w:rsid w:val="009710D4"/>
    <w:rsid w:val="009710FC"/>
    <w:rsid w:val="00971CC7"/>
    <w:rsid w:val="00971D0D"/>
    <w:rsid w:val="0097217E"/>
    <w:rsid w:val="00972802"/>
    <w:rsid w:val="00972CEC"/>
    <w:rsid w:val="00973A91"/>
    <w:rsid w:val="0097412E"/>
    <w:rsid w:val="0097434D"/>
    <w:rsid w:val="00974368"/>
    <w:rsid w:val="0097441A"/>
    <w:rsid w:val="00974C02"/>
    <w:rsid w:val="009754C1"/>
    <w:rsid w:val="009754EA"/>
    <w:rsid w:val="00975539"/>
    <w:rsid w:val="00975D2C"/>
    <w:rsid w:val="00975EC7"/>
    <w:rsid w:val="00976407"/>
    <w:rsid w:val="0097654B"/>
    <w:rsid w:val="00976E5C"/>
    <w:rsid w:val="0097707F"/>
    <w:rsid w:val="0097782E"/>
    <w:rsid w:val="00977D5A"/>
    <w:rsid w:val="00977E05"/>
    <w:rsid w:val="00977FE0"/>
    <w:rsid w:val="00980197"/>
    <w:rsid w:val="009804B4"/>
    <w:rsid w:val="00980C34"/>
    <w:rsid w:val="00981585"/>
    <w:rsid w:val="00981655"/>
    <w:rsid w:val="00981BCF"/>
    <w:rsid w:val="00981C73"/>
    <w:rsid w:val="00981D6A"/>
    <w:rsid w:val="009820E1"/>
    <w:rsid w:val="009829D3"/>
    <w:rsid w:val="00983F55"/>
    <w:rsid w:val="00983FD2"/>
    <w:rsid w:val="00984F06"/>
    <w:rsid w:val="009854A0"/>
    <w:rsid w:val="00985A55"/>
    <w:rsid w:val="00985FBC"/>
    <w:rsid w:val="0098668C"/>
    <w:rsid w:val="0098692A"/>
    <w:rsid w:val="009870E4"/>
    <w:rsid w:val="00990A52"/>
    <w:rsid w:val="00991205"/>
    <w:rsid w:val="00991339"/>
    <w:rsid w:val="009915C8"/>
    <w:rsid w:val="0099183C"/>
    <w:rsid w:val="00991C02"/>
    <w:rsid w:val="00991D4E"/>
    <w:rsid w:val="00991D87"/>
    <w:rsid w:val="009929C2"/>
    <w:rsid w:val="00992CE0"/>
    <w:rsid w:val="00992D40"/>
    <w:rsid w:val="00993192"/>
    <w:rsid w:val="009933D6"/>
    <w:rsid w:val="00993B62"/>
    <w:rsid w:val="00993EEC"/>
    <w:rsid w:val="0099464F"/>
    <w:rsid w:val="0099465F"/>
    <w:rsid w:val="00994B38"/>
    <w:rsid w:val="00994B8A"/>
    <w:rsid w:val="00994C28"/>
    <w:rsid w:val="00995D3F"/>
    <w:rsid w:val="0099600B"/>
    <w:rsid w:val="0099629D"/>
    <w:rsid w:val="009972F4"/>
    <w:rsid w:val="009974D1"/>
    <w:rsid w:val="009975B9"/>
    <w:rsid w:val="009975F5"/>
    <w:rsid w:val="0099788A"/>
    <w:rsid w:val="00997C87"/>
    <w:rsid w:val="00997D83"/>
    <w:rsid w:val="009A01D8"/>
    <w:rsid w:val="009A043C"/>
    <w:rsid w:val="009A1391"/>
    <w:rsid w:val="009A13CF"/>
    <w:rsid w:val="009A1792"/>
    <w:rsid w:val="009A1AB1"/>
    <w:rsid w:val="009A1E67"/>
    <w:rsid w:val="009A25F2"/>
    <w:rsid w:val="009A2C68"/>
    <w:rsid w:val="009A3742"/>
    <w:rsid w:val="009A374A"/>
    <w:rsid w:val="009A3B62"/>
    <w:rsid w:val="009A3C92"/>
    <w:rsid w:val="009A3CCF"/>
    <w:rsid w:val="009A4ACA"/>
    <w:rsid w:val="009A52E1"/>
    <w:rsid w:val="009A561A"/>
    <w:rsid w:val="009A61E8"/>
    <w:rsid w:val="009A625F"/>
    <w:rsid w:val="009A648D"/>
    <w:rsid w:val="009A682D"/>
    <w:rsid w:val="009A68AC"/>
    <w:rsid w:val="009A70BD"/>
    <w:rsid w:val="009A73C1"/>
    <w:rsid w:val="009A7795"/>
    <w:rsid w:val="009A7F49"/>
    <w:rsid w:val="009B007F"/>
    <w:rsid w:val="009B038F"/>
    <w:rsid w:val="009B130D"/>
    <w:rsid w:val="009B1A45"/>
    <w:rsid w:val="009B1A57"/>
    <w:rsid w:val="009B1B46"/>
    <w:rsid w:val="009B1CDD"/>
    <w:rsid w:val="009B1E2C"/>
    <w:rsid w:val="009B2137"/>
    <w:rsid w:val="009B2150"/>
    <w:rsid w:val="009B231E"/>
    <w:rsid w:val="009B2349"/>
    <w:rsid w:val="009B2361"/>
    <w:rsid w:val="009B2AFD"/>
    <w:rsid w:val="009B2BDC"/>
    <w:rsid w:val="009B2D8E"/>
    <w:rsid w:val="009B2F2B"/>
    <w:rsid w:val="009B3D2E"/>
    <w:rsid w:val="009B4812"/>
    <w:rsid w:val="009B546F"/>
    <w:rsid w:val="009B565E"/>
    <w:rsid w:val="009B579B"/>
    <w:rsid w:val="009B5907"/>
    <w:rsid w:val="009B5F36"/>
    <w:rsid w:val="009B61C0"/>
    <w:rsid w:val="009B7C00"/>
    <w:rsid w:val="009B7DFA"/>
    <w:rsid w:val="009C02DF"/>
    <w:rsid w:val="009C0B60"/>
    <w:rsid w:val="009C0C43"/>
    <w:rsid w:val="009C0EE3"/>
    <w:rsid w:val="009C19D3"/>
    <w:rsid w:val="009C1A5D"/>
    <w:rsid w:val="009C1B6D"/>
    <w:rsid w:val="009C26AE"/>
    <w:rsid w:val="009C279D"/>
    <w:rsid w:val="009C27E9"/>
    <w:rsid w:val="009C286F"/>
    <w:rsid w:val="009C2900"/>
    <w:rsid w:val="009C3396"/>
    <w:rsid w:val="009C3474"/>
    <w:rsid w:val="009C3481"/>
    <w:rsid w:val="009C41BA"/>
    <w:rsid w:val="009C4BD8"/>
    <w:rsid w:val="009C50DB"/>
    <w:rsid w:val="009C53DA"/>
    <w:rsid w:val="009C54E3"/>
    <w:rsid w:val="009C5A19"/>
    <w:rsid w:val="009C5A71"/>
    <w:rsid w:val="009C604B"/>
    <w:rsid w:val="009C65E0"/>
    <w:rsid w:val="009C66C2"/>
    <w:rsid w:val="009C6B91"/>
    <w:rsid w:val="009C70B0"/>
    <w:rsid w:val="009C71B0"/>
    <w:rsid w:val="009C7DB5"/>
    <w:rsid w:val="009C7DD4"/>
    <w:rsid w:val="009C7E5B"/>
    <w:rsid w:val="009C7EF8"/>
    <w:rsid w:val="009D08E9"/>
    <w:rsid w:val="009D09C0"/>
    <w:rsid w:val="009D0A2E"/>
    <w:rsid w:val="009D0F3F"/>
    <w:rsid w:val="009D16B4"/>
    <w:rsid w:val="009D1B67"/>
    <w:rsid w:val="009D2C42"/>
    <w:rsid w:val="009D2CC5"/>
    <w:rsid w:val="009D38FB"/>
    <w:rsid w:val="009D3C73"/>
    <w:rsid w:val="009D42E8"/>
    <w:rsid w:val="009D4833"/>
    <w:rsid w:val="009D4B97"/>
    <w:rsid w:val="009D4CF5"/>
    <w:rsid w:val="009D4F08"/>
    <w:rsid w:val="009D5016"/>
    <w:rsid w:val="009D533C"/>
    <w:rsid w:val="009D569B"/>
    <w:rsid w:val="009D5E4A"/>
    <w:rsid w:val="009D6405"/>
    <w:rsid w:val="009D6573"/>
    <w:rsid w:val="009D6D85"/>
    <w:rsid w:val="009D74D6"/>
    <w:rsid w:val="009D75DD"/>
    <w:rsid w:val="009D79A2"/>
    <w:rsid w:val="009D7A81"/>
    <w:rsid w:val="009E11FD"/>
    <w:rsid w:val="009E12AE"/>
    <w:rsid w:val="009E19E5"/>
    <w:rsid w:val="009E1CDE"/>
    <w:rsid w:val="009E1DA1"/>
    <w:rsid w:val="009E21FC"/>
    <w:rsid w:val="009E3646"/>
    <w:rsid w:val="009E374E"/>
    <w:rsid w:val="009E3A63"/>
    <w:rsid w:val="009E42BD"/>
    <w:rsid w:val="009E47FC"/>
    <w:rsid w:val="009E4C73"/>
    <w:rsid w:val="009E560E"/>
    <w:rsid w:val="009E5D7A"/>
    <w:rsid w:val="009E63FE"/>
    <w:rsid w:val="009E670D"/>
    <w:rsid w:val="009E6D1B"/>
    <w:rsid w:val="009E6FEE"/>
    <w:rsid w:val="009E70D4"/>
    <w:rsid w:val="009E7811"/>
    <w:rsid w:val="009F0F1C"/>
    <w:rsid w:val="009F1014"/>
    <w:rsid w:val="009F13B5"/>
    <w:rsid w:val="009F1AD2"/>
    <w:rsid w:val="009F2095"/>
    <w:rsid w:val="009F229E"/>
    <w:rsid w:val="009F2328"/>
    <w:rsid w:val="009F279B"/>
    <w:rsid w:val="009F2838"/>
    <w:rsid w:val="009F3492"/>
    <w:rsid w:val="009F3620"/>
    <w:rsid w:val="009F3780"/>
    <w:rsid w:val="009F3BB6"/>
    <w:rsid w:val="009F4330"/>
    <w:rsid w:val="009F4449"/>
    <w:rsid w:val="009F4599"/>
    <w:rsid w:val="009F49FA"/>
    <w:rsid w:val="009F4AB4"/>
    <w:rsid w:val="009F5B34"/>
    <w:rsid w:val="009F5CE3"/>
    <w:rsid w:val="009F616F"/>
    <w:rsid w:val="009F6271"/>
    <w:rsid w:val="009F65E9"/>
    <w:rsid w:val="009F6B01"/>
    <w:rsid w:val="009F7056"/>
    <w:rsid w:val="009F71DC"/>
    <w:rsid w:val="009F7564"/>
    <w:rsid w:val="009F7678"/>
    <w:rsid w:val="009F7922"/>
    <w:rsid w:val="009F7D4A"/>
    <w:rsid w:val="00A005C2"/>
    <w:rsid w:val="00A00742"/>
    <w:rsid w:val="00A0109D"/>
    <w:rsid w:val="00A01B15"/>
    <w:rsid w:val="00A01D51"/>
    <w:rsid w:val="00A01E30"/>
    <w:rsid w:val="00A0321D"/>
    <w:rsid w:val="00A036D5"/>
    <w:rsid w:val="00A0385A"/>
    <w:rsid w:val="00A0423F"/>
    <w:rsid w:val="00A042A4"/>
    <w:rsid w:val="00A0466C"/>
    <w:rsid w:val="00A04C54"/>
    <w:rsid w:val="00A050FC"/>
    <w:rsid w:val="00A053AB"/>
    <w:rsid w:val="00A054F4"/>
    <w:rsid w:val="00A0598B"/>
    <w:rsid w:val="00A05D57"/>
    <w:rsid w:val="00A05F09"/>
    <w:rsid w:val="00A05F31"/>
    <w:rsid w:val="00A061A1"/>
    <w:rsid w:val="00A064A0"/>
    <w:rsid w:val="00A06594"/>
    <w:rsid w:val="00A066DA"/>
    <w:rsid w:val="00A06C97"/>
    <w:rsid w:val="00A06E46"/>
    <w:rsid w:val="00A07086"/>
    <w:rsid w:val="00A0710D"/>
    <w:rsid w:val="00A07196"/>
    <w:rsid w:val="00A0763E"/>
    <w:rsid w:val="00A07A6F"/>
    <w:rsid w:val="00A07CE8"/>
    <w:rsid w:val="00A07EC7"/>
    <w:rsid w:val="00A07F87"/>
    <w:rsid w:val="00A102BD"/>
    <w:rsid w:val="00A1071E"/>
    <w:rsid w:val="00A10BD4"/>
    <w:rsid w:val="00A10D34"/>
    <w:rsid w:val="00A10EF4"/>
    <w:rsid w:val="00A110E1"/>
    <w:rsid w:val="00A111A7"/>
    <w:rsid w:val="00A11510"/>
    <w:rsid w:val="00A1166E"/>
    <w:rsid w:val="00A11919"/>
    <w:rsid w:val="00A11C6D"/>
    <w:rsid w:val="00A1328F"/>
    <w:rsid w:val="00A1342A"/>
    <w:rsid w:val="00A135DC"/>
    <w:rsid w:val="00A1404F"/>
    <w:rsid w:val="00A145E5"/>
    <w:rsid w:val="00A147F8"/>
    <w:rsid w:val="00A1485A"/>
    <w:rsid w:val="00A14AED"/>
    <w:rsid w:val="00A14DBB"/>
    <w:rsid w:val="00A14E52"/>
    <w:rsid w:val="00A1516A"/>
    <w:rsid w:val="00A15173"/>
    <w:rsid w:val="00A15599"/>
    <w:rsid w:val="00A15BF1"/>
    <w:rsid w:val="00A16353"/>
    <w:rsid w:val="00A16421"/>
    <w:rsid w:val="00A17FCB"/>
    <w:rsid w:val="00A20111"/>
    <w:rsid w:val="00A20EEE"/>
    <w:rsid w:val="00A215DA"/>
    <w:rsid w:val="00A21F62"/>
    <w:rsid w:val="00A226D5"/>
    <w:rsid w:val="00A23165"/>
    <w:rsid w:val="00A23394"/>
    <w:rsid w:val="00A2352D"/>
    <w:rsid w:val="00A23B69"/>
    <w:rsid w:val="00A23F82"/>
    <w:rsid w:val="00A24927"/>
    <w:rsid w:val="00A24AD2"/>
    <w:rsid w:val="00A252EF"/>
    <w:rsid w:val="00A257EF"/>
    <w:rsid w:val="00A25BFC"/>
    <w:rsid w:val="00A260DE"/>
    <w:rsid w:val="00A265ED"/>
    <w:rsid w:val="00A266F8"/>
    <w:rsid w:val="00A26F47"/>
    <w:rsid w:val="00A3051B"/>
    <w:rsid w:val="00A30894"/>
    <w:rsid w:val="00A30C57"/>
    <w:rsid w:val="00A3128B"/>
    <w:rsid w:val="00A31B12"/>
    <w:rsid w:val="00A3266D"/>
    <w:rsid w:val="00A32B91"/>
    <w:rsid w:val="00A3305D"/>
    <w:rsid w:val="00A331E6"/>
    <w:rsid w:val="00A33209"/>
    <w:rsid w:val="00A33DEE"/>
    <w:rsid w:val="00A33F1A"/>
    <w:rsid w:val="00A34005"/>
    <w:rsid w:val="00A34319"/>
    <w:rsid w:val="00A34518"/>
    <w:rsid w:val="00A34655"/>
    <w:rsid w:val="00A346CC"/>
    <w:rsid w:val="00A34B52"/>
    <w:rsid w:val="00A35012"/>
    <w:rsid w:val="00A35158"/>
    <w:rsid w:val="00A35287"/>
    <w:rsid w:val="00A36080"/>
    <w:rsid w:val="00A368BE"/>
    <w:rsid w:val="00A36B87"/>
    <w:rsid w:val="00A36EDF"/>
    <w:rsid w:val="00A377E2"/>
    <w:rsid w:val="00A37E66"/>
    <w:rsid w:val="00A405B1"/>
    <w:rsid w:val="00A4146E"/>
    <w:rsid w:val="00A41F12"/>
    <w:rsid w:val="00A4250F"/>
    <w:rsid w:val="00A42EE3"/>
    <w:rsid w:val="00A43205"/>
    <w:rsid w:val="00A4355D"/>
    <w:rsid w:val="00A437E4"/>
    <w:rsid w:val="00A43A7F"/>
    <w:rsid w:val="00A43AC8"/>
    <w:rsid w:val="00A43EDF"/>
    <w:rsid w:val="00A44591"/>
    <w:rsid w:val="00A44A9C"/>
    <w:rsid w:val="00A4512E"/>
    <w:rsid w:val="00A45EA5"/>
    <w:rsid w:val="00A46A16"/>
    <w:rsid w:val="00A46B3C"/>
    <w:rsid w:val="00A46DE1"/>
    <w:rsid w:val="00A47516"/>
    <w:rsid w:val="00A475FE"/>
    <w:rsid w:val="00A50515"/>
    <w:rsid w:val="00A50D8F"/>
    <w:rsid w:val="00A51567"/>
    <w:rsid w:val="00A5176E"/>
    <w:rsid w:val="00A51984"/>
    <w:rsid w:val="00A51FCA"/>
    <w:rsid w:val="00A52060"/>
    <w:rsid w:val="00A52E15"/>
    <w:rsid w:val="00A536DA"/>
    <w:rsid w:val="00A5370F"/>
    <w:rsid w:val="00A53F60"/>
    <w:rsid w:val="00A54463"/>
    <w:rsid w:val="00A546BD"/>
    <w:rsid w:val="00A54C49"/>
    <w:rsid w:val="00A54CBE"/>
    <w:rsid w:val="00A54EA6"/>
    <w:rsid w:val="00A550CA"/>
    <w:rsid w:val="00A55A21"/>
    <w:rsid w:val="00A55A42"/>
    <w:rsid w:val="00A55C04"/>
    <w:rsid w:val="00A56537"/>
    <w:rsid w:val="00A5660D"/>
    <w:rsid w:val="00A56980"/>
    <w:rsid w:val="00A569B4"/>
    <w:rsid w:val="00A56CA4"/>
    <w:rsid w:val="00A57102"/>
    <w:rsid w:val="00A57130"/>
    <w:rsid w:val="00A57958"/>
    <w:rsid w:val="00A5799B"/>
    <w:rsid w:val="00A57BD2"/>
    <w:rsid w:val="00A57FC8"/>
    <w:rsid w:val="00A60070"/>
    <w:rsid w:val="00A602F9"/>
    <w:rsid w:val="00A60681"/>
    <w:rsid w:val="00A606F4"/>
    <w:rsid w:val="00A619CD"/>
    <w:rsid w:val="00A61B83"/>
    <w:rsid w:val="00A61DC0"/>
    <w:rsid w:val="00A61F16"/>
    <w:rsid w:val="00A624DA"/>
    <w:rsid w:val="00A62504"/>
    <w:rsid w:val="00A62BF7"/>
    <w:rsid w:val="00A63259"/>
    <w:rsid w:val="00A642D7"/>
    <w:rsid w:val="00A65141"/>
    <w:rsid w:val="00A65DEF"/>
    <w:rsid w:val="00A66217"/>
    <w:rsid w:val="00A66CCF"/>
    <w:rsid w:val="00A66F0A"/>
    <w:rsid w:val="00A675D5"/>
    <w:rsid w:val="00A67CE0"/>
    <w:rsid w:val="00A7006E"/>
    <w:rsid w:val="00A70775"/>
    <w:rsid w:val="00A70A8E"/>
    <w:rsid w:val="00A70F47"/>
    <w:rsid w:val="00A723D4"/>
    <w:rsid w:val="00A72C45"/>
    <w:rsid w:val="00A72F11"/>
    <w:rsid w:val="00A73548"/>
    <w:rsid w:val="00A7360C"/>
    <w:rsid w:val="00A74041"/>
    <w:rsid w:val="00A74331"/>
    <w:rsid w:val="00A747F6"/>
    <w:rsid w:val="00A74D70"/>
    <w:rsid w:val="00A74E43"/>
    <w:rsid w:val="00A75052"/>
    <w:rsid w:val="00A75324"/>
    <w:rsid w:val="00A75E0A"/>
    <w:rsid w:val="00A761F3"/>
    <w:rsid w:val="00A765E0"/>
    <w:rsid w:val="00A76EE0"/>
    <w:rsid w:val="00A77286"/>
    <w:rsid w:val="00A777B0"/>
    <w:rsid w:val="00A77891"/>
    <w:rsid w:val="00A779E7"/>
    <w:rsid w:val="00A77F48"/>
    <w:rsid w:val="00A77F70"/>
    <w:rsid w:val="00A80336"/>
    <w:rsid w:val="00A81059"/>
    <w:rsid w:val="00A8167A"/>
    <w:rsid w:val="00A81689"/>
    <w:rsid w:val="00A81A91"/>
    <w:rsid w:val="00A81D68"/>
    <w:rsid w:val="00A82743"/>
    <w:rsid w:val="00A82CB7"/>
    <w:rsid w:val="00A82D6A"/>
    <w:rsid w:val="00A83346"/>
    <w:rsid w:val="00A83774"/>
    <w:rsid w:val="00A8397B"/>
    <w:rsid w:val="00A83F43"/>
    <w:rsid w:val="00A84975"/>
    <w:rsid w:val="00A8497D"/>
    <w:rsid w:val="00A84D64"/>
    <w:rsid w:val="00A84E08"/>
    <w:rsid w:val="00A84E2D"/>
    <w:rsid w:val="00A85227"/>
    <w:rsid w:val="00A85257"/>
    <w:rsid w:val="00A852DB"/>
    <w:rsid w:val="00A85361"/>
    <w:rsid w:val="00A85369"/>
    <w:rsid w:val="00A85660"/>
    <w:rsid w:val="00A8623A"/>
    <w:rsid w:val="00A86340"/>
    <w:rsid w:val="00A86BF9"/>
    <w:rsid w:val="00A8722F"/>
    <w:rsid w:val="00A873A0"/>
    <w:rsid w:val="00A902DF"/>
    <w:rsid w:val="00A9062F"/>
    <w:rsid w:val="00A90B24"/>
    <w:rsid w:val="00A91D66"/>
    <w:rsid w:val="00A922B2"/>
    <w:rsid w:val="00A922F8"/>
    <w:rsid w:val="00A92749"/>
    <w:rsid w:val="00A92C11"/>
    <w:rsid w:val="00A93135"/>
    <w:rsid w:val="00A93AFC"/>
    <w:rsid w:val="00A942B2"/>
    <w:rsid w:val="00A94AB6"/>
    <w:rsid w:val="00A94B3A"/>
    <w:rsid w:val="00A94DFB"/>
    <w:rsid w:val="00A951B3"/>
    <w:rsid w:val="00A956C4"/>
    <w:rsid w:val="00A95702"/>
    <w:rsid w:val="00A95789"/>
    <w:rsid w:val="00A958DC"/>
    <w:rsid w:val="00A95BAC"/>
    <w:rsid w:val="00A95E13"/>
    <w:rsid w:val="00A96311"/>
    <w:rsid w:val="00A9631E"/>
    <w:rsid w:val="00A964E3"/>
    <w:rsid w:val="00A97047"/>
    <w:rsid w:val="00A97445"/>
    <w:rsid w:val="00A97620"/>
    <w:rsid w:val="00AA06D2"/>
    <w:rsid w:val="00AA0941"/>
    <w:rsid w:val="00AA15D3"/>
    <w:rsid w:val="00AA174E"/>
    <w:rsid w:val="00AA1B08"/>
    <w:rsid w:val="00AA1CB8"/>
    <w:rsid w:val="00AA1F94"/>
    <w:rsid w:val="00AA20D7"/>
    <w:rsid w:val="00AA2677"/>
    <w:rsid w:val="00AA268F"/>
    <w:rsid w:val="00AA2CD5"/>
    <w:rsid w:val="00AA322C"/>
    <w:rsid w:val="00AA36A2"/>
    <w:rsid w:val="00AA39E3"/>
    <w:rsid w:val="00AA3DD5"/>
    <w:rsid w:val="00AA575D"/>
    <w:rsid w:val="00AA6336"/>
    <w:rsid w:val="00AA6805"/>
    <w:rsid w:val="00AA70E5"/>
    <w:rsid w:val="00AA7388"/>
    <w:rsid w:val="00AA778F"/>
    <w:rsid w:val="00AA7819"/>
    <w:rsid w:val="00AA7AA1"/>
    <w:rsid w:val="00AA7EF6"/>
    <w:rsid w:val="00AB01E3"/>
    <w:rsid w:val="00AB022C"/>
    <w:rsid w:val="00AB0A7B"/>
    <w:rsid w:val="00AB0A99"/>
    <w:rsid w:val="00AB0F18"/>
    <w:rsid w:val="00AB0FA9"/>
    <w:rsid w:val="00AB10DD"/>
    <w:rsid w:val="00AB1726"/>
    <w:rsid w:val="00AB188F"/>
    <w:rsid w:val="00AB1A62"/>
    <w:rsid w:val="00AB1B1F"/>
    <w:rsid w:val="00AB1EEA"/>
    <w:rsid w:val="00AB2069"/>
    <w:rsid w:val="00AB20D8"/>
    <w:rsid w:val="00AB211F"/>
    <w:rsid w:val="00AB2544"/>
    <w:rsid w:val="00AB345B"/>
    <w:rsid w:val="00AB3784"/>
    <w:rsid w:val="00AB39AC"/>
    <w:rsid w:val="00AB39B9"/>
    <w:rsid w:val="00AB3D4E"/>
    <w:rsid w:val="00AB4006"/>
    <w:rsid w:val="00AB4881"/>
    <w:rsid w:val="00AB50AE"/>
    <w:rsid w:val="00AB55C0"/>
    <w:rsid w:val="00AB55CB"/>
    <w:rsid w:val="00AB5689"/>
    <w:rsid w:val="00AB5E19"/>
    <w:rsid w:val="00AB64DF"/>
    <w:rsid w:val="00AB672E"/>
    <w:rsid w:val="00AB7AB9"/>
    <w:rsid w:val="00AC0362"/>
    <w:rsid w:val="00AC09CB"/>
    <w:rsid w:val="00AC0B40"/>
    <w:rsid w:val="00AC0EE2"/>
    <w:rsid w:val="00AC10CA"/>
    <w:rsid w:val="00AC124B"/>
    <w:rsid w:val="00AC12DA"/>
    <w:rsid w:val="00AC1402"/>
    <w:rsid w:val="00AC1447"/>
    <w:rsid w:val="00AC1475"/>
    <w:rsid w:val="00AC1A05"/>
    <w:rsid w:val="00AC1A8B"/>
    <w:rsid w:val="00AC1CB7"/>
    <w:rsid w:val="00AC2139"/>
    <w:rsid w:val="00AC2186"/>
    <w:rsid w:val="00AC22F5"/>
    <w:rsid w:val="00AC275C"/>
    <w:rsid w:val="00AC292A"/>
    <w:rsid w:val="00AC3269"/>
    <w:rsid w:val="00AC35D2"/>
    <w:rsid w:val="00AC3D97"/>
    <w:rsid w:val="00AC479D"/>
    <w:rsid w:val="00AC47E5"/>
    <w:rsid w:val="00AC4C71"/>
    <w:rsid w:val="00AC4CC5"/>
    <w:rsid w:val="00AC509F"/>
    <w:rsid w:val="00AC5662"/>
    <w:rsid w:val="00AC59C8"/>
    <w:rsid w:val="00AC5C11"/>
    <w:rsid w:val="00AC5CAD"/>
    <w:rsid w:val="00AC67D9"/>
    <w:rsid w:val="00AC6DFD"/>
    <w:rsid w:val="00AC7454"/>
    <w:rsid w:val="00AC7480"/>
    <w:rsid w:val="00AC774B"/>
    <w:rsid w:val="00AC7BDA"/>
    <w:rsid w:val="00AD096A"/>
    <w:rsid w:val="00AD09EC"/>
    <w:rsid w:val="00AD0B35"/>
    <w:rsid w:val="00AD0F76"/>
    <w:rsid w:val="00AD16EA"/>
    <w:rsid w:val="00AD1C55"/>
    <w:rsid w:val="00AD1E74"/>
    <w:rsid w:val="00AD2235"/>
    <w:rsid w:val="00AD237C"/>
    <w:rsid w:val="00AD29B4"/>
    <w:rsid w:val="00AD2E57"/>
    <w:rsid w:val="00AD309B"/>
    <w:rsid w:val="00AD3319"/>
    <w:rsid w:val="00AD3D91"/>
    <w:rsid w:val="00AD3F94"/>
    <w:rsid w:val="00AD482A"/>
    <w:rsid w:val="00AD4DC0"/>
    <w:rsid w:val="00AD4F1B"/>
    <w:rsid w:val="00AD5ABF"/>
    <w:rsid w:val="00AD5EEC"/>
    <w:rsid w:val="00AD6045"/>
    <w:rsid w:val="00AD61F1"/>
    <w:rsid w:val="00AD62A7"/>
    <w:rsid w:val="00AD6533"/>
    <w:rsid w:val="00AD6DAC"/>
    <w:rsid w:val="00AD6EB0"/>
    <w:rsid w:val="00AD6ECC"/>
    <w:rsid w:val="00AD75B1"/>
    <w:rsid w:val="00AD7939"/>
    <w:rsid w:val="00AD7DBA"/>
    <w:rsid w:val="00AD7E00"/>
    <w:rsid w:val="00AD7EC0"/>
    <w:rsid w:val="00AE0256"/>
    <w:rsid w:val="00AE0995"/>
    <w:rsid w:val="00AE1ABD"/>
    <w:rsid w:val="00AE1E61"/>
    <w:rsid w:val="00AE2764"/>
    <w:rsid w:val="00AE2CE3"/>
    <w:rsid w:val="00AE2F77"/>
    <w:rsid w:val="00AE3730"/>
    <w:rsid w:val="00AE37BC"/>
    <w:rsid w:val="00AE42ED"/>
    <w:rsid w:val="00AE434B"/>
    <w:rsid w:val="00AE44A0"/>
    <w:rsid w:val="00AE4D8A"/>
    <w:rsid w:val="00AE4F8C"/>
    <w:rsid w:val="00AE5144"/>
    <w:rsid w:val="00AE5809"/>
    <w:rsid w:val="00AE6237"/>
    <w:rsid w:val="00AE64BF"/>
    <w:rsid w:val="00AE68DC"/>
    <w:rsid w:val="00AE6928"/>
    <w:rsid w:val="00AE6F05"/>
    <w:rsid w:val="00AE735E"/>
    <w:rsid w:val="00AE7737"/>
    <w:rsid w:val="00AE7DA7"/>
    <w:rsid w:val="00AF018B"/>
    <w:rsid w:val="00AF01B9"/>
    <w:rsid w:val="00AF01C1"/>
    <w:rsid w:val="00AF062D"/>
    <w:rsid w:val="00AF07F6"/>
    <w:rsid w:val="00AF087B"/>
    <w:rsid w:val="00AF088C"/>
    <w:rsid w:val="00AF1E22"/>
    <w:rsid w:val="00AF3F9A"/>
    <w:rsid w:val="00AF40DC"/>
    <w:rsid w:val="00AF431F"/>
    <w:rsid w:val="00AF4821"/>
    <w:rsid w:val="00AF487C"/>
    <w:rsid w:val="00AF4E0E"/>
    <w:rsid w:val="00AF4F92"/>
    <w:rsid w:val="00AF4F93"/>
    <w:rsid w:val="00AF5F5C"/>
    <w:rsid w:val="00AF6284"/>
    <w:rsid w:val="00AF6951"/>
    <w:rsid w:val="00AF6BE9"/>
    <w:rsid w:val="00AF6D8E"/>
    <w:rsid w:val="00AF6E81"/>
    <w:rsid w:val="00AF6ED9"/>
    <w:rsid w:val="00AF7028"/>
    <w:rsid w:val="00AF7C91"/>
    <w:rsid w:val="00AF7C9D"/>
    <w:rsid w:val="00B00072"/>
    <w:rsid w:val="00B00358"/>
    <w:rsid w:val="00B00482"/>
    <w:rsid w:val="00B00627"/>
    <w:rsid w:val="00B0092C"/>
    <w:rsid w:val="00B00931"/>
    <w:rsid w:val="00B00A4D"/>
    <w:rsid w:val="00B00D01"/>
    <w:rsid w:val="00B0122F"/>
    <w:rsid w:val="00B018B9"/>
    <w:rsid w:val="00B018BF"/>
    <w:rsid w:val="00B01A54"/>
    <w:rsid w:val="00B02B71"/>
    <w:rsid w:val="00B031A4"/>
    <w:rsid w:val="00B03B75"/>
    <w:rsid w:val="00B03D3D"/>
    <w:rsid w:val="00B0473E"/>
    <w:rsid w:val="00B04B8B"/>
    <w:rsid w:val="00B04E01"/>
    <w:rsid w:val="00B056B0"/>
    <w:rsid w:val="00B05C18"/>
    <w:rsid w:val="00B05C99"/>
    <w:rsid w:val="00B06028"/>
    <w:rsid w:val="00B06D7B"/>
    <w:rsid w:val="00B06D8D"/>
    <w:rsid w:val="00B07609"/>
    <w:rsid w:val="00B07789"/>
    <w:rsid w:val="00B07A68"/>
    <w:rsid w:val="00B07AA1"/>
    <w:rsid w:val="00B07FE2"/>
    <w:rsid w:val="00B1005E"/>
    <w:rsid w:val="00B10147"/>
    <w:rsid w:val="00B10551"/>
    <w:rsid w:val="00B117A3"/>
    <w:rsid w:val="00B11A97"/>
    <w:rsid w:val="00B12028"/>
    <w:rsid w:val="00B12565"/>
    <w:rsid w:val="00B1293C"/>
    <w:rsid w:val="00B12AFF"/>
    <w:rsid w:val="00B12CFC"/>
    <w:rsid w:val="00B1306D"/>
    <w:rsid w:val="00B13179"/>
    <w:rsid w:val="00B1347E"/>
    <w:rsid w:val="00B1364F"/>
    <w:rsid w:val="00B13FA4"/>
    <w:rsid w:val="00B14730"/>
    <w:rsid w:val="00B14FAA"/>
    <w:rsid w:val="00B150B6"/>
    <w:rsid w:val="00B1515C"/>
    <w:rsid w:val="00B15186"/>
    <w:rsid w:val="00B1526A"/>
    <w:rsid w:val="00B155F2"/>
    <w:rsid w:val="00B1567A"/>
    <w:rsid w:val="00B158C2"/>
    <w:rsid w:val="00B15E08"/>
    <w:rsid w:val="00B17527"/>
    <w:rsid w:val="00B1799D"/>
    <w:rsid w:val="00B17DF0"/>
    <w:rsid w:val="00B20298"/>
    <w:rsid w:val="00B20871"/>
    <w:rsid w:val="00B20D10"/>
    <w:rsid w:val="00B212C3"/>
    <w:rsid w:val="00B214EB"/>
    <w:rsid w:val="00B21891"/>
    <w:rsid w:val="00B225A4"/>
    <w:rsid w:val="00B231EF"/>
    <w:rsid w:val="00B234FC"/>
    <w:rsid w:val="00B249D3"/>
    <w:rsid w:val="00B25242"/>
    <w:rsid w:val="00B253D0"/>
    <w:rsid w:val="00B2566D"/>
    <w:rsid w:val="00B25A04"/>
    <w:rsid w:val="00B260A3"/>
    <w:rsid w:val="00B26279"/>
    <w:rsid w:val="00B26969"/>
    <w:rsid w:val="00B26B93"/>
    <w:rsid w:val="00B26C71"/>
    <w:rsid w:val="00B26DD7"/>
    <w:rsid w:val="00B2701F"/>
    <w:rsid w:val="00B30081"/>
    <w:rsid w:val="00B303EE"/>
    <w:rsid w:val="00B30946"/>
    <w:rsid w:val="00B30BB9"/>
    <w:rsid w:val="00B31E67"/>
    <w:rsid w:val="00B3254F"/>
    <w:rsid w:val="00B328BF"/>
    <w:rsid w:val="00B32CF3"/>
    <w:rsid w:val="00B32FBB"/>
    <w:rsid w:val="00B33385"/>
    <w:rsid w:val="00B33605"/>
    <w:rsid w:val="00B33628"/>
    <w:rsid w:val="00B337D1"/>
    <w:rsid w:val="00B33F08"/>
    <w:rsid w:val="00B33F3A"/>
    <w:rsid w:val="00B3400D"/>
    <w:rsid w:val="00B34456"/>
    <w:rsid w:val="00B34B24"/>
    <w:rsid w:val="00B34C27"/>
    <w:rsid w:val="00B34EA7"/>
    <w:rsid w:val="00B35A4D"/>
    <w:rsid w:val="00B35F17"/>
    <w:rsid w:val="00B36653"/>
    <w:rsid w:val="00B36B9F"/>
    <w:rsid w:val="00B3741B"/>
    <w:rsid w:val="00B37555"/>
    <w:rsid w:val="00B37689"/>
    <w:rsid w:val="00B378E8"/>
    <w:rsid w:val="00B37D9B"/>
    <w:rsid w:val="00B37EDF"/>
    <w:rsid w:val="00B40085"/>
    <w:rsid w:val="00B405F9"/>
    <w:rsid w:val="00B40AB4"/>
    <w:rsid w:val="00B40B6C"/>
    <w:rsid w:val="00B40B9E"/>
    <w:rsid w:val="00B41253"/>
    <w:rsid w:val="00B415F6"/>
    <w:rsid w:val="00B41F1B"/>
    <w:rsid w:val="00B41F8A"/>
    <w:rsid w:val="00B4223C"/>
    <w:rsid w:val="00B422C4"/>
    <w:rsid w:val="00B428E5"/>
    <w:rsid w:val="00B43999"/>
    <w:rsid w:val="00B43C9F"/>
    <w:rsid w:val="00B43FDA"/>
    <w:rsid w:val="00B4431A"/>
    <w:rsid w:val="00B4448B"/>
    <w:rsid w:val="00B44BF3"/>
    <w:rsid w:val="00B44EC7"/>
    <w:rsid w:val="00B45055"/>
    <w:rsid w:val="00B4513B"/>
    <w:rsid w:val="00B451A1"/>
    <w:rsid w:val="00B45913"/>
    <w:rsid w:val="00B45AE8"/>
    <w:rsid w:val="00B45C2F"/>
    <w:rsid w:val="00B45EE5"/>
    <w:rsid w:val="00B460AF"/>
    <w:rsid w:val="00B460B3"/>
    <w:rsid w:val="00B464B2"/>
    <w:rsid w:val="00B46945"/>
    <w:rsid w:val="00B46F59"/>
    <w:rsid w:val="00B46FB6"/>
    <w:rsid w:val="00B47200"/>
    <w:rsid w:val="00B478BC"/>
    <w:rsid w:val="00B50284"/>
    <w:rsid w:val="00B50739"/>
    <w:rsid w:val="00B50751"/>
    <w:rsid w:val="00B507ED"/>
    <w:rsid w:val="00B515E5"/>
    <w:rsid w:val="00B516D8"/>
    <w:rsid w:val="00B519E7"/>
    <w:rsid w:val="00B51C86"/>
    <w:rsid w:val="00B52112"/>
    <w:rsid w:val="00B52342"/>
    <w:rsid w:val="00B526CC"/>
    <w:rsid w:val="00B5275F"/>
    <w:rsid w:val="00B528FD"/>
    <w:rsid w:val="00B52C54"/>
    <w:rsid w:val="00B52F57"/>
    <w:rsid w:val="00B53706"/>
    <w:rsid w:val="00B53EB5"/>
    <w:rsid w:val="00B53F53"/>
    <w:rsid w:val="00B545A8"/>
    <w:rsid w:val="00B54809"/>
    <w:rsid w:val="00B54B7A"/>
    <w:rsid w:val="00B54F88"/>
    <w:rsid w:val="00B5633C"/>
    <w:rsid w:val="00B57318"/>
    <w:rsid w:val="00B57B2C"/>
    <w:rsid w:val="00B57BDC"/>
    <w:rsid w:val="00B57DAC"/>
    <w:rsid w:val="00B6092E"/>
    <w:rsid w:val="00B60966"/>
    <w:rsid w:val="00B60AD7"/>
    <w:rsid w:val="00B611C4"/>
    <w:rsid w:val="00B617D9"/>
    <w:rsid w:val="00B61BDA"/>
    <w:rsid w:val="00B61BE4"/>
    <w:rsid w:val="00B61E62"/>
    <w:rsid w:val="00B622FA"/>
    <w:rsid w:val="00B62B2F"/>
    <w:rsid w:val="00B62B35"/>
    <w:rsid w:val="00B62D68"/>
    <w:rsid w:val="00B63510"/>
    <w:rsid w:val="00B645D6"/>
    <w:rsid w:val="00B64F35"/>
    <w:rsid w:val="00B6500A"/>
    <w:rsid w:val="00B65558"/>
    <w:rsid w:val="00B656CD"/>
    <w:rsid w:val="00B6585F"/>
    <w:rsid w:val="00B65A86"/>
    <w:rsid w:val="00B66A40"/>
    <w:rsid w:val="00B679FA"/>
    <w:rsid w:val="00B67A19"/>
    <w:rsid w:val="00B67C7C"/>
    <w:rsid w:val="00B67DA0"/>
    <w:rsid w:val="00B67DAE"/>
    <w:rsid w:val="00B701AB"/>
    <w:rsid w:val="00B70772"/>
    <w:rsid w:val="00B71028"/>
    <w:rsid w:val="00B710EA"/>
    <w:rsid w:val="00B71B19"/>
    <w:rsid w:val="00B71D54"/>
    <w:rsid w:val="00B728B7"/>
    <w:rsid w:val="00B72947"/>
    <w:rsid w:val="00B72CF2"/>
    <w:rsid w:val="00B73179"/>
    <w:rsid w:val="00B73624"/>
    <w:rsid w:val="00B73A73"/>
    <w:rsid w:val="00B73C2C"/>
    <w:rsid w:val="00B7418F"/>
    <w:rsid w:val="00B74445"/>
    <w:rsid w:val="00B74B1C"/>
    <w:rsid w:val="00B74D0A"/>
    <w:rsid w:val="00B74FBA"/>
    <w:rsid w:val="00B75595"/>
    <w:rsid w:val="00B757BF"/>
    <w:rsid w:val="00B7586A"/>
    <w:rsid w:val="00B75967"/>
    <w:rsid w:val="00B75A63"/>
    <w:rsid w:val="00B764CE"/>
    <w:rsid w:val="00B765A5"/>
    <w:rsid w:val="00B76641"/>
    <w:rsid w:val="00B7671E"/>
    <w:rsid w:val="00B76E86"/>
    <w:rsid w:val="00B77119"/>
    <w:rsid w:val="00B774C3"/>
    <w:rsid w:val="00B77700"/>
    <w:rsid w:val="00B77703"/>
    <w:rsid w:val="00B77BA9"/>
    <w:rsid w:val="00B806DB"/>
    <w:rsid w:val="00B808BD"/>
    <w:rsid w:val="00B8190A"/>
    <w:rsid w:val="00B81BC5"/>
    <w:rsid w:val="00B81D80"/>
    <w:rsid w:val="00B8227A"/>
    <w:rsid w:val="00B82845"/>
    <w:rsid w:val="00B82F5B"/>
    <w:rsid w:val="00B835C5"/>
    <w:rsid w:val="00B83DFE"/>
    <w:rsid w:val="00B84649"/>
    <w:rsid w:val="00B84713"/>
    <w:rsid w:val="00B847D7"/>
    <w:rsid w:val="00B8529E"/>
    <w:rsid w:val="00B854E7"/>
    <w:rsid w:val="00B855C9"/>
    <w:rsid w:val="00B85AC5"/>
    <w:rsid w:val="00B8639C"/>
    <w:rsid w:val="00B86419"/>
    <w:rsid w:val="00B866F7"/>
    <w:rsid w:val="00B87119"/>
    <w:rsid w:val="00B876D0"/>
    <w:rsid w:val="00B9027A"/>
    <w:rsid w:val="00B90467"/>
    <w:rsid w:val="00B90621"/>
    <w:rsid w:val="00B90F2D"/>
    <w:rsid w:val="00B91447"/>
    <w:rsid w:val="00B91B28"/>
    <w:rsid w:val="00B91F8C"/>
    <w:rsid w:val="00B923F9"/>
    <w:rsid w:val="00B9277E"/>
    <w:rsid w:val="00B93398"/>
    <w:rsid w:val="00B93520"/>
    <w:rsid w:val="00B94085"/>
    <w:rsid w:val="00B94258"/>
    <w:rsid w:val="00B94662"/>
    <w:rsid w:val="00B94C6A"/>
    <w:rsid w:val="00B9545B"/>
    <w:rsid w:val="00B955E4"/>
    <w:rsid w:val="00B95C0D"/>
    <w:rsid w:val="00B95DFA"/>
    <w:rsid w:val="00B9657D"/>
    <w:rsid w:val="00B968C2"/>
    <w:rsid w:val="00B96CC8"/>
    <w:rsid w:val="00B974BB"/>
    <w:rsid w:val="00B9752B"/>
    <w:rsid w:val="00B97707"/>
    <w:rsid w:val="00B97AB1"/>
    <w:rsid w:val="00B97BC8"/>
    <w:rsid w:val="00B97C0E"/>
    <w:rsid w:val="00B97E04"/>
    <w:rsid w:val="00B97FA9"/>
    <w:rsid w:val="00BA0437"/>
    <w:rsid w:val="00BA08D3"/>
    <w:rsid w:val="00BA0919"/>
    <w:rsid w:val="00BA0E64"/>
    <w:rsid w:val="00BA1107"/>
    <w:rsid w:val="00BA1494"/>
    <w:rsid w:val="00BA1C2B"/>
    <w:rsid w:val="00BA1EE6"/>
    <w:rsid w:val="00BA23F3"/>
    <w:rsid w:val="00BA2BF6"/>
    <w:rsid w:val="00BA2E60"/>
    <w:rsid w:val="00BA3005"/>
    <w:rsid w:val="00BA3E18"/>
    <w:rsid w:val="00BA422D"/>
    <w:rsid w:val="00BA4325"/>
    <w:rsid w:val="00BA45FD"/>
    <w:rsid w:val="00BA5598"/>
    <w:rsid w:val="00BA5E7B"/>
    <w:rsid w:val="00BA6177"/>
    <w:rsid w:val="00BA64DF"/>
    <w:rsid w:val="00BA6A22"/>
    <w:rsid w:val="00BA6E74"/>
    <w:rsid w:val="00BA6F59"/>
    <w:rsid w:val="00BB07D3"/>
    <w:rsid w:val="00BB08FF"/>
    <w:rsid w:val="00BB0A14"/>
    <w:rsid w:val="00BB0B1B"/>
    <w:rsid w:val="00BB0D40"/>
    <w:rsid w:val="00BB112A"/>
    <w:rsid w:val="00BB170B"/>
    <w:rsid w:val="00BB1B69"/>
    <w:rsid w:val="00BB1C54"/>
    <w:rsid w:val="00BB2148"/>
    <w:rsid w:val="00BB21D3"/>
    <w:rsid w:val="00BB2962"/>
    <w:rsid w:val="00BB2A12"/>
    <w:rsid w:val="00BB2BCF"/>
    <w:rsid w:val="00BB2EDB"/>
    <w:rsid w:val="00BB308A"/>
    <w:rsid w:val="00BB3457"/>
    <w:rsid w:val="00BB34E3"/>
    <w:rsid w:val="00BB3920"/>
    <w:rsid w:val="00BB3BDF"/>
    <w:rsid w:val="00BB3CAB"/>
    <w:rsid w:val="00BB440E"/>
    <w:rsid w:val="00BB48E9"/>
    <w:rsid w:val="00BB4D5A"/>
    <w:rsid w:val="00BB4DF9"/>
    <w:rsid w:val="00BB4E14"/>
    <w:rsid w:val="00BB4ED1"/>
    <w:rsid w:val="00BB5219"/>
    <w:rsid w:val="00BB57A5"/>
    <w:rsid w:val="00BB6030"/>
    <w:rsid w:val="00BB6100"/>
    <w:rsid w:val="00BB6545"/>
    <w:rsid w:val="00BC0196"/>
    <w:rsid w:val="00BC039D"/>
    <w:rsid w:val="00BC0718"/>
    <w:rsid w:val="00BC085A"/>
    <w:rsid w:val="00BC10DC"/>
    <w:rsid w:val="00BC128F"/>
    <w:rsid w:val="00BC1B93"/>
    <w:rsid w:val="00BC1BED"/>
    <w:rsid w:val="00BC36F7"/>
    <w:rsid w:val="00BC3A89"/>
    <w:rsid w:val="00BC4436"/>
    <w:rsid w:val="00BC51E7"/>
    <w:rsid w:val="00BC530C"/>
    <w:rsid w:val="00BC58F0"/>
    <w:rsid w:val="00BC5A60"/>
    <w:rsid w:val="00BC5E20"/>
    <w:rsid w:val="00BC67D5"/>
    <w:rsid w:val="00BC7020"/>
    <w:rsid w:val="00BC7142"/>
    <w:rsid w:val="00BC72BB"/>
    <w:rsid w:val="00BC7690"/>
    <w:rsid w:val="00BC7894"/>
    <w:rsid w:val="00BC7975"/>
    <w:rsid w:val="00BD0500"/>
    <w:rsid w:val="00BD0A6B"/>
    <w:rsid w:val="00BD0B41"/>
    <w:rsid w:val="00BD0CF3"/>
    <w:rsid w:val="00BD15D4"/>
    <w:rsid w:val="00BD15F0"/>
    <w:rsid w:val="00BD1653"/>
    <w:rsid w:val="00BD18D9"/>
    <w:rsid w:val="00BD1907"/>
    <w:rsid w:val="00BD1D11"/>
    <w:rsid w:val="00BD2629"/>
    <w:rsid w:val="00BD293E"/>
    <w:rsid w:val="00BD3005"/>
    <w:rsid w:val="00BD3605"/>
    <w:rsid w:val="00BD3F66"/>
    <w:rsid w:val="00BD40BD"/>
    <w:rsid w:val="00BD4147"/>
    <w:rsid w:val="00BD444F"/>
    <w:rsid w:val="00BD494C"/>
    <w:rsid w:val="00BD49EF"/>
    <w:rsid w:val="00BD4A95"/>
    <w:rsid w:val="00BD4C1A"/>
    <w:rsid w:val="00BD4F70"/>
    <w:rsid w:val="00BD5494"/>
    <w:rsid w:val="00BD59B3"/>
    <w:rsid w:val="00BD5DA0"/>
    <w:rsid w:val="00BD5E08"/>
    <w:rsid w:val="00BD6624"/>
    <w:rsid w:val="00BD664C"/>
    <w:rsid w:val="00BD66E8"/>
    <w:rsid w:val="00BD69CD"/>
    <w:rsid w:val="00BD71B2"/>
    <w:rsid w:val="00BD7B51"/>
    <w:rsid w:val="00BD7C85"/>
    <w:rsid w:val="00BD7F99"/>
    <w:rsid w:val="00BE0050"/>
    <w:rsid w:val="00BE0354"/>
    <w:rsid w:val="00BE1057"/>
    <w:rsid w:val="00BE145F"/>
    <w:rsid w:val="00BE1C09"/>
    <w:rsid w:val="00BE1C2F"/>
    <w:rsid w:val="00BE2415"/>
    <w:rsid w:val="00BE33D1"/>
    <w:rsid w:val="00BE3AC5"/>
    <w:rsid w:val="00BE3BB0"/>
    <w:rsid w:val="00BE3C4B"/>
    <w:rsid w:val="00BE3CB3"/>
    <w:rsid w:val="00BE415F"/>
    <w:rsid w:val="00BE4173"/>
    <w:rsid w:val="00BE422A"/>
    <w:rsid w:val="00BE46FB"/>
    <w:rsid w:val="00BE48A4"/>
    <w:rsid w:val="00BE48C6"/>
    <w:rsid w:val="00BE4D1B"/>
    <w:rsid w:val="00BE4D48"/>
    <w:rsid w:val="00BE4FA1"/>
    <w:rsid w:val="00BE4FC0"/>
    <w:rsid w:val="00BE515D"/>
    <w:rsid w:val="00BE5E65"/>
    <w:rsid w:val="00BE644D"/>
    <w:rsid w:val="00BE736E"/>
    <w:rsid w:val="00BE750E"/>
    <w:rsid w:val="00BE7514"/>
    <w:rsid w:val="00BE76D8"/>
    <w:rsid w:val="00BE76F2"/>
    <w:rsid w:val="00BE7842"/>
    <w:rsid w:val="00BE79A4"/>
    <w:rsid w:val="00BE7AE7"/>
    <w:rsid w:val="00BE7C94"/>
    <w:rsid w:val="00BF051A"/>
    <w:rsid w:val="00BF05D6"/>
    <w:rsid w:val="00BF0A7F"/>
    <w:rsid w:val="00BF0C8D"/>
    <w:rsid w:val="00BF106B"/>
    <w:rsid w:val="00BF12F4"/>
    <w:rsid w:val="00BF144D"/>
    <w:rsid w:val="00BF191D"/>
    <w:rsid w:val="00BF1977"/>
    <w:rsid w:val="00BF19D4"/>
    <w:rsid w:val="00BF2032"/>
    <w:rsid w:val="00BF2104"/>
    <w:rsid w:val="00BF26C1"/>
    <w:rsid w:val="00BF26D2"/>
    <w:rsid w:val="00BF29E8"/>
    <w:rsid w:val="00BF2B52"/>
    <w:rsid w:val="00BF2D8D"/>
    <w:rsid w:val="00BF3EE2"/>
    <w:rsid w:val="00BF4A03"/>
    <w:rsid w:val="00BF4BAD"/>
    <w:rsid w:val="00BF4C56"/>
    <w:rsid w:val="00BF4C76"/>
    <w:rsid w:val="00BF557C"/>
    <w:rsid w:val="00BF597D"/>
    <w:rsid w:val="00BF5B31"/>
    <w:rsid w:val="00BF616A"/>
    <w:rsid w:val="00BF6EF8"/>
    <w:rsid w:val="00BF7011"/>
    <w:rsid w:val="00BF7D37"/>
    <w:rsid w:val="00BF7D9E"/>
    <w:rsid w:val="00C00395"/>
    <w:rsid w:val="00C009F6"/>
    <w:rsid w:val="00C00A01"/>
    <w:rsid w:val="00C00B0A"/>
    <w:rsid w:val="00C00C1D"/>
    <w:rsid w:val="00C0149D"/>
    <w:rsid w:val="00C01B8E"/>
    <w:rsid w:val="00C01D3D"/>
    <w:rsid w:val="00C0215E"/>
    <w:rsid w:val="00C02473"/>
    <w:rsid w:val="00C025FC"/>
    <w:rsid w:val="00C026D7"/>
    <w:rsid w:val="00C02F00"/>
    <w:rsid w:val="00C03426"/>
    <w:rsid w:val="00C035EB"/>
    <w:rsid w:val="00C03F7E"/>
    <w:rsid w:val="00C040C3"/>
    <w:rsid w:val="00C0487E"/>
    <w:rsid w:val="00C04A62"/>
    <w:rsid w:val="00C05242"/>
    <w:rsid w:val="00C05BEF"/>
    <w:rsid w:val="00C10277"/>
    <w:rsid w:val="00C1080B"/>
    <w:rsid w:val="00C10F06"/>
    <w:rsid w:val="00C110B1"/>
    <w:rsid w:val="00C11515"/>
    <w:rsid w:val="00C1168D"/>
    <w:rsid w:val="00C118A7"/>
    <w:rsid w:val="00C12B30"/>
    <w:rsid w:val="00C13331"/>
    <w:rsid w:val="00C135C1"/>
    <w:rsid w:val="00C13694"/>
    <w:rsid w:val="00C13F8A"/>
    <w:rsid w:val="00C13FE1"/>
    <w:rsid w:val="00C142B2"/>
    <w:rsid w:val="00C14ABB"/>
    <w:rsid w:val="00C14CA1"/>
    <w:rsid w:val="00C150B9"/>
    <w:rsid w:val="00C150E9"/>
    <w:rsid w:val="00C15625"/>
    <w:rsid w:val="00C16C34"/>
    <w:rsid w:val="00C17017"/>
    <w:rsid w:val="00C17108"/>
    <w:rsid w:val="00C17170"/>
    <w:rsid w:val="00C17303"/>
    <w:rsid w:val="00C206C0"/>
    <w:rsid w:val="00C209EA"/>
    <w:rsid w:val="00C20BA6"/>
    <w:rsid w:val="00C20D64"/>
    <w:rsid w:val="00C211B3"/>
    <w:rsid w:val="00C213BE"/>
    <w:rsid w:val="00C2151F"/>
    <w:rsid w:val="00C21A80"/>
    <w:rsid w:val="00C21E0A"/>
    <w:rsid w:val="00C21F3F"/>
    <w:rsid w:val="00C223A3"/>
    <w:rsid w:val="00C2246B"/>
    <w:rsid w:val="00C22710"/>
    <w:rsid w:val="00C238CD"/>
    <w:rsid w:val="00C23DF7"/>
    <w:rsid w:val="00C24237"/>
    <w:rsid w:val="00C245A3"/>
    <w:rsid w:val="00C2495C"/>
    <w:rsid w:val="00C24D4C"/>
    <w:rsid w:val="00C25473"/>
    <w:rsid w:val="00C254E5"/>
    <w:rsid w:val="00C25822"/>
    <w:rsid w:val="00C25E65"/>
    <w:rsid w:val="00C26469"/>
    <w:rsid w:val="00C26776"/>
    <w:rsid w:val="00C26D0F"/>
    <w:rsid w:val="00C2799C"/>
    <w:rsid w:val="00C301FD"/>
    <w:rsid w:val="00C3095F"/>
    <w:rsid w:val="00C30AD1"/>
    <w:rsid w:val="00C30EC1"/>
    <w:rsid w:val="00C311AD"/>
    <w:rsid w:val="00C314E6"/>
    <w:rsid w:val="00C315F0"/>
    <w:rsid w:val="00C31A89"/>
    <w:rsid w:val="00C31E5A"/>
    <w:rsid w:val="00C3212A"/>
    <w:rsid w:val="00C3246C"/>
    <w:rsid w:val="00C3306B"/>
    <w:rsid w:val="00C3310F"/>
    <w:rsid w:val="00C3342E"/>
    <w:rsid w:val="00C339BA"/>
    <w:rsid w:val="00C33BBC"/>
    <w:rsid w:val="00C34C67"/>
    <w:rsid w:val="00C34DC2"/>
    <w:rsid w:val="00C3523D"/>
    <w:rsid w:val="00C353D1"/>
    <w:rsid w:val="00C3547D"/>
    <w:rsid w:val="00C35B56"/>
    <w:rsid w:val="00C35FBB"/>
    <w:rsid w:val="00C3672C"/>
    <w:rsid w:val="00C37327"/>
    <w:rsid w:val="00C375AD"/>
    <w:rsid w:val="00C379AF"/>
    <w:rsid w:val="00C37CC7"/>
    <w:rsid w:val="00C4018F"/>
    <w:rsid w:val="00C40A79"/>
    <w:rsid w:val="00C41350"/>
    <w:rsid w:val="00C41664"/>
    <w:rsid w:val="00C41D96"/>
    <w:rsid w:val="00C42087"/>
    <w:rsid w:val="00C42102"/>
    <w:rsid w:val="00C42408"/>
    <w:rsid w:val="00C42FBE"/>
    <w:rsid w:val="00C435AC"/>
    <w:rsid w:val="00C43954"/>
    <w:rsid w:val="00C446C7"/>
    <w:rsid w:val="00C447B6"/>
    <w:rsid w:val="00C458BC"/>
    <w:rsid w:val="00C4655F"/>
    <w:rsid w:val="00C466AF"/>
    <w:rsid w:val="00C46B7B"/>
    <w:rsid w:val="00C476B0"/>
    <w:rsid w:val="00C4788A"/>
    <w:rsid w:val="00C47B01"/>
    <w:rsid w:val="00C47B2E"/>
    <w:rsid w:val="00C47C66"/>
    <w:rsid w:val="00C47CDB"/>
    <w:rsid w:val="00C47D26"/>
    <w:rsid w:val="00C47DF6"/>
    <w:rsid w:val="00C50C1F"/>
    <w:rsid w:val="00C50DA7"/>
    <w:rsid w:val="00C51245"/>
    <w:rsid w:val="00C515F7"/>
    <w:rsid w:val="00C520F2"/>
    <w:rsid w:val="00C52463"/>
    <w:rsid w:val="00C5251A"/>
    <w:rsid w:val="00C52786"/>
    <w:rsid w:val="00C53882"/>
    <w:rsid w:val="00C53BC5"/>
    <w:rsid w:val="00C53F44"/>
    <w:rsid w:val="00C53FEA"/>
    <w:rsid w:val="00C54B89"/>
    <w:rsid w:val="00C54DC2"/>
    <w:rsid w:val="00C559F5"/>
    <w:rsid w:val="00C55B21"/>
    <w:rsid w:val="00C55D9D"/>
    <w:rsid w:val="00C562C7"/>
    <w:rsid w:val="00C568D4"/>
    <w:rsid w:val="00C57069"/>
    <w:rsid w:val="00C57F2C"/>
    <w:rsid w:val="00C6014D"/>
    <w:rsid w:val="00C604A3"/>
    <w:rsid w:val="00C60AE2"/>
    <w:rsid w:val="00C611F8"/>
    <w:rsid w:val="00C61640"/>
    <w:rsid w:val="00C61867"/>
    <w:rsid w:val="00C61DA3"/>
    <w:rsid w:val="00C61DBE"/>
    <w:rsid w:val="00C621A0"/>
    <w:rsid w:val="00C632BF"/>
    <w:rsid w:val="00C63395"/>
    <w:rsid w:val="00C63FEE"/>
    <w:rsid w:val="00C63FFF"/>
    <w:rsid w:val="00C6462C"/>
    <w:rsid w:val="00C648B9"/>
    <w:rsid w:val="00C6491A"/>
    <w:rsid w:val="00C65730"/>
    <w:rsid w:val="00C65BC5"/>
    <w:rsid w:val="00C65CEC"/>
    <w:rsid w:val="00C65F28"/>
    <w:rsid w:val="00C66172"/>
    <w:rsid w:val="00C66593"/>
    <w:rsid w:val="00C67178"/>
    <w:rsid w:val="00C678E1"/>
    <w:rsid w:val="00C700C2"/>
    <w:rsid w:val="00C7059C"/>
    <w:rsid w:val="00C70D6C"/>
    <w:rsid w:val="00C71589"/>
    <w:rsid w:val="00C71F08"/>
    <w:rsid w:val="00C73A3F"/>
    <w:rsid w:val="00C73B1E"/>
    <w:rsid w:val="00C73C59"/>
    <w:rsid w:val="00C73C85"/>
    <w:rsid w:val="00C73CCB"/>
    <w:rsid w:val="00C7430E"/>
    <w:rsid w:val="00C74BA2"/>
    <w:rsid w:val="00C74BD1"/>
    <w:rsid w:val="00C74D44"/>
    <w:rsid w:val="00C74F17"/>
    <w:rsid w:val="00C767E4"/>
    <w:rsid w:val="00C7763C"/>
    <w:rsid w:val="00C7783C"/>
    <w:rsid w:val="00C8088C"/>
    <w:rsid w:val="00C80ACA"/>
    <w:rsid w:val="00C80FC1"/>
    <w:rsid w:val="00C816ED"/>
    <w:rsid w:val="00C81F2C"/>
    <w:rsid w:val="00C823AC"/>
    <w:rsid w:val="00C830E1"/>
    <w:rsid w:val="00C8338D"/>
    <w:rsid w:val="00C835D8"/>
    <w:rsid w:val="00C83A11"/>
    <w:rsid w:val="00C83AFB"/>
    <w:rsid w:val="00C842B7"/>
    <w:rsid w:val="00C844B6"/>
    <w:rsid w:val="00C84DBD"/>
    <w:rsid w:val="00C84DD1"/>
    <w:rsid w:val="00C856C1"/>
    <w:rsid w:val="00C858A5"/>
    <w:rsid w:val="00C85F0F"/>
    <w:rsid w:val="00C861C1"/>
    <w:rsid w:val="00C868D8"/>
    <w:rsid w:val="00C86B18"/>
    <w:rsid w:val="00C872CC"/>
    <w:rsid w:val="00C87D27"/>
    <w:rsid w:val="00C900C8"/>
    <w:rsid w:val="00C90499"/>
    <w:rsid w:val="00C90941"/>
    <w:rsid w:val="00C90A2E"/>
    <w:rsid w:val="00C90BF8"/>
    <w:rsid w:val="00C91917"/>
    <w:rsid w:val="00C91A68"/>
    <w:rsid w:val="00C91E9D"/>
    <w:rsid w:val="00C91F6D"/>
    <w:rsid w:val="00C9275D"/>
    <w:rsid w:val="00C933AB"/>
    <w:rsid w:val="00C9363C"/>
    <w:rsid w:val="00C936A0"/>
    <w:rsid w:val="00C93826"/>
    <w:rsid w:val="00C93A07"/>
    <w:rsid w:val="00C93EB5"/>
    <w:rsid w:val="00C943AD"/>
    <w:rsid w:val="00C948D8"/>
    <w:rsid w:val="00C950B8"/>
    <w:rsid w:val="00C952BB"/>
    <w:rsid w:val="00C957EF"/>
    <w:rsid w:val="00C95D50"/>
    <w:rsid w:val="00C95E74"/>
    <w:rsid w:val="00C96231"/>
    <w:rsid w:val="00C96543"/>
    <w:rsid w:val="00C966E7"/>
    <w:rsid w:val="00C96A99"/>
    <w:rsid w:val="00C9728E"/>
    <w:rsid w:val="00CA007B"/>
    <w:rsid w:val="00CA0219"/>
    <w:rsid w:val="00CA027F"/>
    <w:rsid w:val="00CA0C2B"/>
    <w:rsid w:val="00CA10B1"/>
    <w:rsid w:val="00CA15DE"/>
    <w:rsid w:val="00CA2475"/>
    <w:rsid w:val="00CA298F"/>
    <w:rsid w:val="00CA2BEF"/>
    <w:rsid w:val="00CA3A66"/>
    <w:rsid w:val="00CA45EF"/>
    <w:rsid w:val="00CA4A4F"/>
    <w:rsid w:val="00CA4EC2"/>
    <w:rsid w:val="00CA4F25"/>
    <w:rsid w:val="00CA4F2F"/>
    <w:rsid w:val="00CA5395"/>
    <w:rsid w:val="00CA53E6"/>
    <w:rsid w:val="00CA582B"/>
    <w:rsid w:val="00CA5D25"/>
    <w:rsid w:val="00CA697F"/>
    <w:rsid w:val="00CA709C"/>
    <w:rsid w:val="00CA710F"/>
    <w:rsid w:val="00CA7E11"/>
    <w:rsid w:val="00CB05D5"/>
    <w:rsid w:val="00CB060D"/>
    <w:rsid w:val="00CB0949"/>
    <w:rsid w:val="00CB10EF"/>
    <w:rsid w:val="00CB145C"/>
    <w:rsid w:val="00CB18B5"/>
    <w:rsid w:val="00CB1AB2"/>
    <w:rsid w:val="00CB1B83"/>
    <w:rsid w:val="00CB208F"/>
    <w:rsid w:val="00CB220C"/>
    <w:rsid w:val="00CB2555"/>
    <w:rsid w:val="00CB267B"/>
    <w:rsid w:val="00CB2871"/>
    <w:rsid w:val="00CB3724"/>
    <w:rsid w:val="00CB37C1"/>
    <w:rsid w:val="00CB38D3"/>
    <w:rsid w:val="00CB3E39"/>
    <w:rsid w:val="00CB40FD"/>
    <w:rsid w:val="00CB4403"/>
    <w:rsid w:val="00CB44F7"/>
    <w:rsid w:val="00CB4C40"/>
    <w:rsid w:val="00CB4D3B"/>
    <w:rsid w:val="00CB503B"/>
    <w:rsid w:val="00CB5143"/>
    <w:rsid w:val="00CB594C"/>
    <w:rsid w:val="00CB61DC"/>
    <w:rsid w:val="00CB639E"/>
    <w:rsid w:val="00CB65DB"/>
    <w:rsid w:val="00CB66B7"/>
    <w:rsid w:val="00CB66E9"/>
    <w:rsid w:val="00CB6A38"/>
    <w:rsid w:val="00CB6FE9"/>
    <w:rsid w:val="00CB7196"/>
    <w:rsid w:val="00CB7A0D"/>
    <w:rsid w:val="00CB7BED"/>
    <w:rsid w:val="00CB7E2A"/>
    <w:rsid w:val="00CC033B"/>
    <w:rsid w:val="00CC04F2"/>
    <w:rsid w:val="00CC060E"/>
    <w:rsid w:val="00CC084C"/>
    <w:rsid w:val="00CC0ABE"/>
    <w:rsid w:val="00CC0D1B"/>
    <w:rsid w:val="00CC0E83"/>
    <w:rsid w:val="00CC11E4"/>
    <w:rsid w:val="00CC11F1"/>
    <w:rsid w:val="00CC1312"/>
    <w:rsid w:val="00CC22D0"/>
    <w:rsid w:val="00CC2E6A"/>
    <w:rsid w:val="00CC2F94"/>
    <w:rsid w:val="00CC301C"/>
    <w:rsid w:val="00CC312A"/>
    <w:rsid w:val="00CC37C7"/>
    <w:rsid w:val="00CC3AFA"/>
    <w:rsid w:val="00CC3DFF"/>
    <w:rsid w:val="00CC4BDF"/>
    <w:rsid w:val="00CC5481"/>
    <w:rsid w:val="00CC563B"/>
    <w:rsid w:val="00CC5B92"/>
    <w:rsid w:val="00CC5BD5"/>
    <w:rsid w:val="00CC64BA"/>
    <w:rsid w:val="00CC67AF"/>
    <w:rsid w:val="00CC7278"/>
    <w:rsid w:val="00CC74B4"/>
    <w:rsid w:val="00CC7E88"/>
    <w:rsid w:val="00CD08A4"/>
    <w:rsid w:val="00CD0D6B"/>
    <w:rsid w:val="00CD10F5"/>
    <w:rsid w:val="00CD1644"/>
    <w:rsid w:val="00CD169D"/>
    <w:rsid w:val="00CD1B24"/>
    <w:rsid w:val="00CD1CA7"/>
    <w:rsid w:val="00CD1DF2"/>
    <w:rsid w:val="00CD2002"/>
    <w:rsid w:val="00CD229D"/>
    <w:rsid w:val="00CD29D8"/>
    <w:rsid w:val="00CD2BCA"/>
    <w:rsid w:val="00CD2EDD"/>
    <w:rsid w:val="00CD31E5"/>
    <w:rsid w:val="00CD33D0"/>
    <w:rsid w:val="00CD363C"/>
    <w:rsid w:val="00CD370E"/>
    <w:rsid w:val="00CD3E90"/>
    <w:rsid w:val="00CD4A25"/>
    <w:rsid w:val="00CD4B7E"/>
    <w:rsid w:val="00CD5086"/>
    <w:rsid w:val="00CD5B6E"/>
    <w:rsid w:val="00CD5C45"/>
    <w:rsid w:val="00CD5DEC"/>
    <w:rsid w:val="00CD6495"/>
    <w:rsid w:val="00CD65BB"/>
    <w:rsid w:val="00CD68A3"/>
    <w:rsid w:val="00CD6A16"/>
    <w:rsid w:val="00CD6C08"/>
    <w:rsid w:val="00CD6F0D"/>
    <w:rsid w:val="00CD6F4C"/>
    <w:rsid w:val="00CD7020"/>
    <w:rsid w:val="00CE0EF2"/>
    <w:rsid w:val="00CE1303"/>
    <w:rsid w:val="00CE1903"/>
    <w:rsid w:val="00CE1E4B"/>
    <w:rsid w:val="00CE1F4D"/>
    <w:rsid w:val="00CE205C"/>
    <w:rsid w:val="00CE282A"/>
    <w:rsid w:val="00CE28B7"/>
    <w:rsid w:val="00CE329D"/>
    <w:rsid w:val="00CE4970"/>
    <w:rsid w:val="00CE4AD7"/>
    <w:rsid w:val="00CE4B7A"/>
    <w:rsid w:val="00CE4D15"/>
    <w:rsid w:val="00CE4DDB"/>
    <w:rsid w:val="00CE4E44"/>
    <w:rsid w:val="00CE4F25"/>
    <w:rsid w:val="00CE4F93"/>
    <w:rsid w:val="00CE55E1"/>
    <w:rsid w:val="00CE574B"/>
    <w:rsid w:val="00CE5960"/>
    <w:rsid w:val="00CE5D73"/>
    <w:rsid w:val="00CE5F04"/>
    <w:rsid w:val="00CE5F84"/>
    <w:rsid w:val="00CE6511"/>
    <w:rsid w:val="00CE67DB"/>
    <w:rsid w:val="00CE68DA"/>
    <w:rsid w:val="00CE6C70"/>
    <w:rsid w:val="00CE6E05"/>
    <w:rsid w:val="00CE7158"/>
    <w:rsid w:val="00CE76FA"/>
    <w:rsid w:val="00CE7804"/>
    <w:rsid w:val="00CE7922"/>
    <w:rsid w:val="00CF0026"/>
    <w:rsid w:val="00CF017A"/>
    <w:rsid w:val="00CF072C"/>
    <w:rsid w:val="00CF0DED"/>
    <w:rsid w:val="00CF0F18"/>
    <w:rsid w:val="00CF0FCD"/>
    <w:rsid w:val="00CF16AD"/>
    <w:rsid w:val="00CF1718"/>
    <w:rsid w:val="00CF1EAD"/>
    <w:rsid w:val="00CF1F32"/>
    <w:rsid w:val="00CF2706"/>
    <w:rsid w:val="00CF27A8"/>
    <w:rsid w:val="00CF2B3F"/>
    <w:rsid w:val="00CF3310"/>
    <w:rsid w:val="00CF3FBB"/>
    <w:rsid w:val="00CF48AC"/>
    <w:rsid w:val="00CF4A7C"/>
    <w:rsid w:val="00CF4F7C"/>
    <w:rsid w:val="00CF50FF"/>
    <w:rsid w:val="00CF520F"/>
    <w:rsid w:val="00CF5538"/>
    <w:rsid w:val="00CF58F2"/>
    <w:rsid w:val="00CF59E6"/>
    <w:rsid w:val="00CF5B9A"/>
    <w:rsid w:val="00CF5EF0"/>
    <w:rsid w:val="00CF60BF"/>
    <w:rsid w:val="00CF6C05"/>
    <w:rsid w:val="00CF6C0A"/>
    <w:rsid w:val="00CF6ECA"/>
    <w:rsid w:val="00CF73BA"/>
    <w:rsid w:val="00CF75D0"/>
    <w:rsid w:val="00CF7637"/>
    <w:rsid w:val="00CF77E4"/>
    <w:rsid w:val="00CF7CEA"/>
    <w:rsid w:val="00CF7E0C"/>
    <w:rsid w:val="00CF7E55"/>
    <w:rsid w:val="00D000F1"/>
    <w:rsid w:val="00D009FB"/>
    <w:rsid w:val="00D00B46"/>
    <w:rsid w:val="00D00DE8"/>
    <w:rsid w:val="00D00E68"/>
    <w:rsid w:val="00D013F6"/>
    <w:rsid w:val="00D016DB"/>
    <w:rsid w:val="00D01767"/>
    <w:rsid w:val="00D0212E"/>
    <w:rsid w:val="00D0235D"/>
    <w:rsid w:val="00D02B66"/>
    <w:rsid w:val="00D02D61"/>
    <w:rsid w:val="00D0300E"/>
    <w:rsid w:val="00D03369"/>
    <w:rsid w:val="00D035F3"/>
    <w:rsid w:val="00D03B0B"/>
    <w:rsid w:val="00D04998"/>
    <w:rsid w:val="00D04C2B"/>
    <w:rsid w:val="00D05194"/>
    <w:rsid w:val="00D05773"/>
    <w:rsid w:val="00D05795"/>
    <w:rsid w:val="00D0610E"/>
    <w:rsid w:val="00D06113"/>
    <w:rsid w:val="00D067C2"/>
    <w:rsid w:val="00D06CD8"/>
    <w:rsid w:val="00D06EC3"/>
    <w:rsid w:val="00D07103"/>
    <w:rsid w:val="00D071CF"/>
    <w:rsid w:val="00D0777C"/>
    <w:rsid w:val="00D11042"/>
    <w:rsid w:val="00D11514"/>
    <w:rsid w:val="00D116DE"/>
    <w:rsid w:val="00D11AE1"/>
    <w:rsid w:val="00D11FF8"/>
    <w:rsid w:val="00D12183"/>
    <w:rsid w:val="00D12962"/>
    <w:rsid w:val="00D12E8A"/>
    <w:rsid w:val="00D13712"/>
    <w:rsid w:val="00D13AF3"/>
    <w:rsid w:val="00D13B5E"/>
    <w:rsid w:val="00D14201"/>
    <w:rsid w:val="00D14298"/>
    <w:rsid w:val="00D145B9"/>
    <w:rsid w:val="00D145C9"/>
    <w:rsid w:val="00D1501E"/>
    <w:rsid w:val="00D1504D"/>
    <w:rsid w:val="00D1509F"/>
    <w:rsid w:val="00D15372"/>
    <w:rsid w:val="00D1621E"/>
    <w:rsid w:val="00D163A5"/>
    <w:rsid w:val="00D163DD"/>
    <w:rsid w:val="00D16E23"/>
    <w:rsid w:val="00D213C2"/>
    <w:rsid w:val="00D21A6D"/>
    <w:rsid w:val="00D225A7"/>
    <w:rsid w:val="00D23599"/>
    <w:rsid w:val="00D23A39"/>
    <w:rsid w:val="00D23D5B"/>
    <w:rsid w:val="00D247CA"/>
    <w:rsid w:val="00D24F94"/>
    <w:rsid w:val="00D25F2E"/>
    <w:rsid w:val="00D26118"/>
    <w:rsid w:val="00D26D4E"/>
    <w:rsid w:val="00D27A06"/>
    <w:rsid w:val="00D27F26"/>
    <w:rsid w:val="00D30388"/>
    <w:rsid w:val="00D306E0"/>
    <w:rsid w:val="00D3086F"/>
    <w:rsid w:val="00D30961"/>
    <w:rsid w:val="00D31167"/>
    <w:rsid w:val="00D320E4"/>
    <w:rsid w:val="00D32748"/>
    <w:rsid w:val="00D32AEA"/>
    <w:rsid w:val="00D333AB"/>
    <w:rsid w:val="00D33436"/>
    <w:rsid w:val="00D33484"/>
    <w:rsid w:val="00D3386D"/>
    <w:rsid w:val="00D33B5F"/>
    <w:rsid w:val="00D33BB9"/>
    <w:rsid w:val="00D33C09"/>
    <w:rsid w:val="00D35256"/>
    <w:rsid w:val="00D361E7"/>
    <w:rsid w:val="00D3675E"/>
    <w:rsid w:val="00D36AF6"/>
    <w:rsid w:val="00D374D5"/>
    <w:rsid w:val="00D379E7"/>
    <w:rsid w:val="00D37DE4"/>
    <w:rsid w:val="00D37E27"/>
    <w:rsid w:val="00D407D9"/>
    <w:rsid w:val="00D40CBD"/>
    <w:rsid w:val="00D40E76"/>
    <w:rsid w:val="00D41303"/>
    <w:rsid w:val="00D41B89"/>
    <w:rsid w:val="00D4296E"/>
    <w:rsid w:val="00D43998"/>
    <w:rsid w:val="00D43E93"/>
    <w:rsid w:val="00D43ED4"/>
    <w:rsid w:val="00D44350"/>
    <w:rsid w:val="00D449E0"/>
    <w:rsid w:val="00D44B45"/>
    <w:rsid w:val="00D44C72"/>
    <w:rsid w:val="00D45DDA"/>
    <w:rsid w:val="00D45EAA"/>
    <w:rsid w:val="00D45FFF"/>
    <w:rsid w:val="00D460A8"/>
    <w:rsid w:val="00D46222"/>
    <w:rsid w:val="00D464F6"/>
    <w:rsid w:val="00D46971"/>
    <w:rsid w:val="00D46DBA"/>
    <w:rsid w:val="00D470E6"/>
    <w:rsid w:val="00D4730C"/>
    <w:rsid w:val="00D47828"/>
    <w:rsid w:val="00D47BEB"/>
    <w:rsid w:val="00D50082"/>
    <w:rsid w:val="00D505C5"/>
    <w:rsid w:val="00D505EF"/>
    <w:rsid w:val="00D508E1"/>
    <w:rsid w:val="00D50AA7"/>
    <w:rsid w:val="00D515EC"/>
    <w:rsid w:val="00D5167B"/>
    <w:rsid w:val="00D51F76"/>
    <w:rsid w:val="00D53115"/>
    <w:rsid w:val="00D53878"/>
    <w:rsid w:val="00D5387C"/>
    <w:rsid w:val="00D53D26"/>
    <w:rsid w:val="00D54425"/>
    <w:rsid w:val="00D54605"/>
    <w:rsid w:val="00D547B3"/>
    <w:rsid w:val="00D5512A"/>
    <w:rsid w:val="00D55432"/>
    <w:rsid w:val="00D55BE1"/>
    <w:rsid w:val="00D567BB"/>
    <w:rsid w:val="00D57623"/>
    <w:rsid w:val="00D57857"/>
    <w:rsid w:val="00D57A03"/>
    <w:rsid w:val="00D57E8E"/>
    <w:rsid w:val="00D60163"/>
    <w:rsid w:val="00D60507"/>
    <w:rsid w:val="00D60EB5"/>
    <w:rsid w:val="00D612ED"/>
    <w:rsid w:val="00D615FF"/>
    <w:rsid w:val="00D6169E"/>
    <w:rsid w:val="00D61B76"/>
    <w:rsid w:val="00D61C74"/>
    <w:rsid w:val="00D62E01"/>
    <w:rsid w:val="00D62EEB"/>
    <w:rsid w:val="00D62FC8"/>
    <w:rsid w:val="00D63A46"/>
    <w:rsid w:val="00D63C82"/>
    <w:rsid w:val="00D63EC0"/>
    <w:rsid w:val="00D645E5"/>
    <w:rsid w:val="00D64EFA"/>
    <w:rsid w:val="00D65B46"/>
    <w:rsid w:val="00D67460"/>
    <w:rsid w:val="00D67693"/>
    <w:rsid w:val="00D67875"/>
    <w:rsid w:val="00D67991"/>
    <w:rsid w:val="00D67FF2"/>
    <w:rsid w:val="00D70310"/>
    <w:rsid w:val="00D70336"/>
    <w:rsid w:val="00D7040D"/>
    <w:rsid w:val="00D70504"/>
    <w:rsid w:val="00D7050E"/>
    <w:rsid w:val="00D706AB"/>
    <w:rsid w:val="00D70891"/>
    <w:rsid w:val="00D70919"/>
    <w:rsid w:val="00D70A01"/>
    <w:rsid w:val="00D70A19"/>
    <w:rsid w:val="00D70D6F"/>
    <w:rsid w:val="00D70D8E"/>
    <w:rsid w:val="00D71755"/>
    <w:rsid w:val="00D7272B"/>
    <w:rsid w:val="00D72A83"/>
    <w:rsid w:val="00D72AA2"/>
    <w:rsid w:val="00D72B5A"/>
    <w:rsid w:val="00D73911"/>
    <w:rsid w:val="00D73FD4"/>
    <w:rsid w:val="00D74B68"/>
    <w:rsid w:val="00D74EE8"/>
    <w:rsid w:val="00D7515F"/>
    <w:rsid w:val="00D75B06"/>
    <w:rsid w:val="00D760F2"/>
    <w:rsid w:val="00D76234"/>
    <w:rsid w:val="00D76825"/>
    <w:rsid w:val="00D76B95"/>
    <w:rsid w:val="00D76E08"/>
    <w:rsid w:val="00D771A8"/>
    <w:rsid w:val="00D77890"/>
    <w:rsid w:val="00D77EDF"/>
    <w:rsid w:val="00D80188"/>
    <w:rsid w:val="00D80783"/>
    <w:rsid w:val="00D80C2E"/>
    <w:rsid w:val="00D81953"/>
    <w:rsid w:val="00D81ADD"/>
    <w:rsid w:val="00D825D9"/>
    <w:rsid w:val="00D82638"/>
    <w:rsid w:val="00D8289F"/>
    <w:rsid w:val="00D82B0D"/>
    <w:rsid w:val="00D82BF0"/>
    <w:rsid w:val="00D83300"/>
    <w:rsid w:val="00D83839"/>
    <w:rsid w:val="00D83CCD"/>
    <w:rsid w:val="00D842CD"/>
    <w:rsid w:val="00D84A02"/>
    <w:rsid w:val="00D84AC1"/>
    <w:rsid w:val="00D85F59"/>
    <w:rsid w:val="00D85F76"/>
    <w:rsid w:val="00D861B5"/>
    <w:rsid w:val="00D86260"/>
    <w:rsid w:val="00D86F46"/>
    <w:rsid w:val="00D8709B"/>
    <w:rsid w:val="00D87476"/>
    <w:rsid w:val="00D87A69"/>
    <w:rsid w:val="00D87C24"/>
    <w:rsid w:val="00D9023C"/>
    <w:rsid w:val="00D906E0"/>
    <w:rsid w:val="00D90990"/>
    <w:rsid w:val="00D90B9D"/>
    <w:rsid w:val="00D90CBF"/>
    <w:rsid w:val="00D90F48"/>
    <w:rsid w:val="00D9166B"/>
    <w:rsid w:val="00D91F4A"/>
    <w:rsid w:val="00D92CB4"/>
    <w:rsid w:val="00D92D6F"/>
    <w:rsid w:val="00D93E95"/>
    <w:rsid w:val="00D94313"/>
    <w:rsid w:val="00D9438C"/>
    <w:rsid w:val="00D947A6"/>
    <w:rsid w:val="00D94E4E"/>
    <w:rsid w:val="00D94E9A"/>
    <w:rsid w:val="00D9597E"/>
    <w:rsid w:val="00D95CAC"/>
    <w:rsid w:val="00D968B8"/>
    <w:rsid w:val="00D96B2D"/>
    <w:rsid w:val="00D9739E"/>
    <w:rsid w:val="00D976D6"/>
    <w:rsid w:val="00D97BCA"/>
    <w:rsid w:val="00D97DC7"/>
    <w:rsid w:val="00DA02EF"/>
    <w:rsid w:val="00DA05B6"/>
    <w:rsid w:val="00DA0717"/>
    <w:rsid w:val="00DA1EAA"/>
    <w:rsid w:val="00DA2048"/>
    <w:rsid w:val="00DA21B5"/>
    <w:rsid w:val="00DA230B"/>
    <w:rsid w:val="00DA2553"/>
    <w:rsid w:val="00DA27BB"/>
    <w:rsid w:val="00DA2FAD"/>
    <w:rsid w:val="00DA3738"/>
    <w:rsid w:val="00DA3928"/>
    <w:rsid w:val="00DA42AC"/>
    <w:rsid w:val="00DA4740"/>
    <w:rsid w:val="00DA4BA6"/>
    <w:rsid w:val="00DA514D"/>
    <w:rsid w:val="00DA535F"/>
    <w:rsid w:val="00DA5E37"/>
    <w:rsid w:val="00DA5E7B"/>
    <w:rsid w:val="00DA6413"/>
    <w:rsid w:val="00DA6947"/>
    <w:rsid w:val="00DA6F3C"/>
    <w:rsid w:val="00DA7542"/>
    <w:rsid w:val="00DA7839"/>
    <w:rsid w:val="00DA79EB"/>
    <w:rsid w:val="00DA7F90"/>
    <w:rsid w:val="00DB0537"/>
    <w:rsid w:val="00DB0AB0"/>
    <w:rsid w:val="00DB0CF9"/>
    <w:rsid w:val="00DB170B"/>
    <w:rsid w:val="00DB1D03"/>
    <w:rsid w:val="00DB1F65"/>
    <w:rsid w:val="00DB2904"/>
    <w:rsid w:val="00DB2D67"/>
    <w:rsid w:val="00DB31A0"/>
    <w:rsid w:val="00DB3953"/>
    <w:rsid w:val="00DB3C14"/>
    <w:rsid w:val="00DB44CE"/>
    <w:rsid w:val="00DB486F"/>
    <w:rsid w:val="00DB512F"/>
    <w:rsid w:val="00DB57C7"/>
    <w:rsid w:val="00DB5A65"/>
    <w:rsid w:val="00DB5BE4"/>
    <w:rsid w:val="00DB5C27"/>
    <w:rsid w:val="00DB6188"/>
    <w:rsid w:val="00DB652A"/>
    <w:rsid w:val="00DB6B6E"/>
    <w:rsid w:val="00DB6E49"/>
    <w:rsid w:val="00DB702E"/>
    <w:rsid w:val="00DB7072"/>
    <w:rsid w:val="00DB708F"/>
    <w:rsid w:val="00DB7328"/>
    <w:rsid w:val="00DB767E"/>
    <w:rsid w:val="00DB7C93"/>
    <w:rsid w:val="00DC0576"/>
    <w:rsid w:val="00DC06F5"/>
    <w:rsid w:val="00DC09DD"/>
    <w:rsid w:val="00DC0CCD"/>
    <w:rsid w:val="00DC0CE2"/>
    <w:rsid w:val="00DC0E75"/>
    <w:rsid w:val="00DC105D"/>
    <w:rsid w:val="00DC13C0"/>
    <w:rsid w:val="00DC1497"/>
    <w:rsid w:val="00DC1526"/>
    <w:rsid w:val="00DC1A89"/>
    <w:rsid w:val="00DC1AEB"/>
    <w:rsid w:val="00DC1C6B"/>
    <w:rsid w:val="00DC1FF0"/>
    <w:rsid w:val="00DC2229"/>
    <w:rsid w:val="00DC2B3A"/>
    <w:rsid w:val="00DC3007"/>
    <w:rsid w:val="00DC307C"/>
    <w:rsid w:val="00DC33F3"/>
    <w:rsid w:val="00DC360A"/>
    <w:rsid w:val="00DC36D5"/>
    <w:rsid w:val="00DC38DA"/>
    <w:rsid w:val="00DC39AD"/>
    <w:rsid w:val="00DC3C86"/>
    <w:rsid w:val="00DC4659"/>
    <w:rsid w:val="00DC55CE"/>
    <w:rsid w:val="00DC5704"/>
    <w:rsid w:val="00DC5923"/>
    <w:rsid w:val="00DC5F03"/>
    <w:rsid w:val="00DC719E"/>
    <w:rsid w:val="00DC75CD"/>
    <w:rsid w:val="00DC7D65"/>
    <w:rsid w:val="00DC7FFC"/>
    <w:rsid w:val="00DD0177"/>
    <w:rsid w:val="00DD024F"/>
    <w:rsid w:val="00DD02E8"/>
    <w:rsid w:val="00DD21F9"/>
    <w:rsid w:val="00DD2811"/>
    <w:rsid w:val="00DD2BFC"/>
    <w:rsid w:val="00DD2D82"/>
    <w:rsid w:val="00DD2DB1"/>
    <w:rsid w:val="00DD34D3"/>
    <w:rsid w:val="00DD3682"/>
    <w:rsid w:val="00DD38F2"/>
    <w:rsid w:val="00DD3B2E"/>
    <w:rsid w:val="00DD3C6C"/>
    <w:rsid w:val="00DD3E84"/>
    <w:rsid w:val="00DD4C37"/>
    <w:rsid w:val="00DD51F1"/>
    <w:rsid w:val="00DD5A32"/>
    <w:rsid w:val="00DD5BC0"/>
    <w:rsid w:val="00DD62C4"/>
    <w:rsid w:val="00DD6AF7"/>
    <w:rsid w:val="00DD6E12"/>
    <w:rsid w:val="00DD6E4B"/>
    <w:rsid w:val="00DD70DC"/>
    <w:rsid w:val="00DD7219"/>
    <w:rsid w:val="00DD7247"/>
    <w:rsid w:val="00DD7452"/>
    <w:rsid w:val="00DD7485"/>
    <w:rsid w:val="00DD7609"/>
    <w:rsid w:val="00DD7A55"/>
    <w:rsid w:val="00DD7B2A"/>
    <w:rsid w:val="00DE02D2"/>
    <w:rsid w:val="00DE0A20"/>
    <w:rsid w:val="00DE0AA2"/>
    <w:rsid w:val="00DE0B6A"/>
    <w:rsid w:val="00DE0CC3"/>
    <w:rsid w:val="00DE1357"/>
    <w:rsid w:val="00DE13E5"/>
    <w:rsid w:val="00DE1B49"/>
    <w:rsid w:val="00DE2237"/>
    <w:rsid w:val="00DE2258"/>
    <w:rsid w:val="00DE26AA"/>
    <w:rsid w:val="00DE28DD"/>
    <w:rsid w:val="00DE29C7"/>
    <w:rsid w:val="00DE2CB4"/>
    <w:rsid w:val="00DE3141"/>
    <w:rsid w:val="00DE3314"/>
    <w:rsid w:val="00DE3469"/>
    <w:rsid w:val="00DE34C8"/>
    <w:rsid w:val="00DE3AA0"/>
    <w:rsid w:val="00DE3E26"/>
    <w:rsid w:val="00DE3EE9"/>
    <w:rsid w:val="00DE59F3"/>
    <w:rsid w:val="00DE5F20"/>
    <w:rsid w:val="00DE5F3C"/>
    <w:rsid w:val="00DE60D5"/>
    <w:rsid w:val="00DE61A6"/>
    <w:rsid w:val="00DE61AF"/>
    <w:rsid w:val="00DE6DF5"/>
    <w:rsid w:val="00DE7156"/>
    <w:rsid w:val="00DE7873"/>
    <w:rsid w:val="00DE7FD1"/>
    <w:rsid w:val="00DF00BD"/>
    <w:rsid w:val="00DF047C"/>
    <w:rsid w:val="00DF054D"/>
    <w:rsid w:val="00DF0712"/>
    <w:rsid w:val="00DF1282"/>
    <w:rsid w:val="00DF25E7"/>
    <w:rsid w:val="00DF281F"/>
    <w:rsid w:val="00DF2AF6"/>
    <w:rsid w:val="00DF2F23"/>
    <w:rsid w:val="00DF32F7"/>
    <w:rsid w:val="00DF3DC8"/>
    <w:rsid w:val="00DF43F4"/>
    <w:rsid w:val="00DF444A"/>
    <w:rsid w:val="00DF47B5"/>
    <w:rsid w:val="00DF4CCF"/>
    <w:rsid w:val="00DF4FBE"/>
    <w:rsid w:val="00DF5494"/>
    <w:rsid w:val="00DF57D1"/>
    <w:rsid w:val="00DF5CEE"/>
    <w:rsid w:val="00DF66BF"/>
    <w:rsid w:val="00DF6715"/>
    <w:rsid w:val="00DF6860"/>
    <w:rsid w:val="00DF78EA"/>
    <w:rsid w:val="00DF7E20"/>
    <w:rsid w:val="00E00923"/>
    <w:rsid w:val="00E00A3E"/>
    <w:rsid w:val="00E01109"/>
    <w:rsid w:val="00E011B1"/>
    <w:rsid w:val="00E01959"/>
    <w:rsid w:val="00E01D89"/>
    <w:rsid w:val="00E02670"/>
    <w:rsid w:val="00E027CE"/>
    <w:rsid w:val="00E035A3"/>
    <w:rsid w:val="00E03BB1"/>
    <w:rsid w:val="00E03FF3"/>
    <w:rsid w:val="00E04110"/>
    <w:rsid w:val="00E04211"/>
    <w:rsid w:val="00E04456"/>
    <w:rsid w:val="00E0468E"/>
    <w:rsid w:val="00E04CCF"/>
    <w:rsid w:val="00E04ECA"/>
    <w:rsid w:val="00E0531D"/>
    <w:rsid w:val="00E05478"/>
    <w:rsid w:val="00E057B0"/>
    <w:rsid w:val="00E05D38"/>
    <w:rsid w:val="00E06155"/>
    <w:rsid w:val="00E0621C"/>
    <w:rsid w:val="00E066E8"/>
    <w:rsid w:val="00E06F0E"/>
    <w:rsid w:val="00E07025"/>
    <w:rsid w:val="00E0745C"/>
    <w:rsid w:val="00E07918"/>
    <w:rsid w:val="00E102DA"/>
    <w:rsid w:val="00E11488"/>
    <w:rsid w:val="00E11C6F"/>
    <w:rsid w:val="00E11D4E"/>
    <w:rsid w:val="00E1250D"/>
    <w:rsid w:val="00E13A06"/>
    <w:rsid w:val="00E13E88"/>
    <w:rsid w:val="00E14040"/>
    <w:rsid w:val="00E1405F"/>
    <w:rsid w:val="00E146C0"/>
    <w:rsid w:val="00E149E8"/>
    <w:rsid w:val="00E14BEF"/>
    <w:rsid w:val="00E157B6"/>
    <w:rsid w:val="00E157D6"/>
    <w:rsid w:val="00E1632C"/>
    <w:rsid w:val="00E16A75"/>
    <w:rsid w:val="00E16DE7"/>
    <w:rsid w:val="00E1700F"/>
    <w:rsid w:val="00E173C5"/>
    <w:rsid w:val="00E1749E"/>
    <w:rsid w:val="00E1792F"/>
    <w:rsid w:val="00E2018C"/>
    <w:rsid w:val="00E20193"/>
    <w:rsid w:val="00E20500"/>
    <w:rsid w:val="00E2052E"/>
    <w:rsid w:val="00E2091C"/>
    <w:rsid w:val="00E20F88"/>
    <w:rsid w:val="00E21416"/>
    <w:rsid w:val="00E21B97"/>
    <w:rsid w:val="00E22309"/>
    <w:rsid w:val="00E233FC"/>
    <w:rsid w:val="00E238B7"/>
    <w:rsid w:val="00E239AC"/>
    <w:rsid w:val="00E2437E"/>
    <w:rsid w:val="00E24795"/>
    <w:rsid w:val="00E24EBC"/>
    <w:rsid w:val="00E2611E"/>
    <w:rsid w:val="00E26152"/>
    <w:rsid w:val="00E26642"/>
    <w:rsid w:val="00E26F5D"/>
    <w:rsid w:val="00E27052"/>
    <w:rsid w:val="00E2736F"/>
    <w:rsid w:val="00E27B98"/>
    <w:rsid w:val="00E27C0F"/>
    <w:rsid w:val="00E305B0"/>
    <w:rsid w:val="00E30AB8"/>
    <w:rsid w:val="00E30C03"/>
    <w:rsid w:val="00E30C68"/>
    <w:rsid w:val="00E30E2F"/>
    <w:rsid w:val="00E3109A"/>
    <w:rsid w:val="00E310B1"/>
    <w:rsid w:val="00E3192F"/>
    <w:rsid w:val="00E331BB"/>
    <w:rsid w:val="00E331F9"/>
    <w:rsid w:val="00E333A3"/>
    <w:rsid w:val="00E33AAD"/>
    <w:rsid w:val="00E33E4C"/>
    <w:rsid w:val="00E340DD"/>
    <w:rsid w:val="00E34155"/>
    <w:rsid w:val="00E34558"/>
    <w:rsid w:val="00E34A73"/>
    <w:rsid w:val="00E34E7D"/>
    <w:rsid w:val="00E3531F"/>
    <w:rsid w:val="00E35C5C"/>
    <w:rsid w:val="00E35E12"/>
    <w:rsid w:val="00E36633"/>
    <w:rsid w:val="00E36982"/>
    <w:rsid w:val="00E36CE5"/>
    <w:rsid w:val="00E37413"/>
    <w:rsid w:val="00E379A4"/>
    <w:rsid w:val="00E37AAF"/>
    <w:rsid w:val="00E4032B"/>
    <w:rsid w:val="00E405A7"/>
    <w:rsid w:val="00E40DF0"/>
    <w:rsid w:val="00E411B8"/>
    <w:rsid w:val="00E41B7F"/>
    <w:rsid w:val="00E41E60"/>
    <w:rsid w:val="00E4230F"/>
    <w:rsid w:val="00E42683"/>
    <w:rsid w:val="00E4270E"/>
    <w:rsid w:val="00E427F4"/>
    <w:rsid w:val="00E429BC"/>
    <w:rsid w:val="00E42E39"/>
    <w:rsid w:val="00E4351C"/>
    <w:rsid w:val="00E43624"/>
    <w:rsid w:val="00E436DC"/>
    <w:rsid w:val="00E43FF3"/>
    <w:rsid w:val="00E43FFA"/>
    <w:rsid w:val="00E442AD"/>
    <w:rsid w:val="00E4468C"/>
    <w:rsid w:val="00E45C88"/>
    <w:rsid w:val="00E46714"/>
    <w:rsid w:val="00E469AD"/>
    <w:rsid w:val="00E46AEA"/>
    <w:rsid w:val="00E46F70"/>
    <w:rsid w:val="00E47272"/>
    <w:rsid w:val="00E472F9"/>
    <w:rsid w:val="00E4740F"/>
    <w:rsid w:val="00E475DC"/>
    <w:rsid w:val="00E47BE2"/>
    <w:rsid w:val="00E502E1"/>
    <w:rsid w:val="00E50E3B"/>
    <w:rsid w:val="00E51865"/>
    <w:rsid w:val="00E51DCB"/>
    <w:rsid w:val="00E52021"/>
    <w:rsid w:val="00E521EB"/>
    <w:rsid w:val="00E52275"/>
    <w:rsid w:val="00E5238E"/>
    <w:rsid w:val="00E52FA6"/>
    <w:rsid w:val="00E53037"/>
    <w:rsid w:val="00E5377B"/>
    <w:rsid w:val="00E537E1"/>
    <w:rsid w:val="00E538D9"/>
    <w:rsid w:val="00E539D2"/>
    <w:rsid w:val="00E54128"/>
    <w:rsid w:val="00E5432F"/>
    <w:rsid w:val="00E556F9"/>
    <w:rsid w:val="00E56357"/>
    <w:rsid w:val="00E56F06"/>
    <w:rsid w:val="00E5702E"/>
    <w:rsid w:val="00E571EF"/>
    <w:rsid w:val="00E5720C"/>
    <w:rsid w:val="00E573E6"/>
    <w:rsid w:val="00E57979"/>
    <w:rsid w:val="00E57986"/>
    <w:rsid w:val="00E57CF3"/>
    <w:rsid w:val="00E57F5B"/>
    <w:rsid w:val="00E6021F"/>
    <w:rsid w:val="00E60318"/>
    <w:rsid w:val="00E6055E"/>
    <w:rsid w:val="00E605BF"/>
    <w:rsid w:val="00E607DF"/>
    <w:rsid w:val="00E61172"/>
    <w:rsid w:val="00E613BF"/>
    <w:rsid w:val="00E61691"/>
    <w:rsid w:val="00E61B52"/>
    <w:rsid w:val="00E61D8C"/>
    <w:rsid w:val="00E62010"/>
    <w:rsid w:val="00E626C0"/>
    <w:rsid w:val="00E62C82"/>
    <w:rsid w:val="00E62D27"/>
    <w:rsid w:val="00E630C8"/>
    <w:rsid w:val="00E63205"/>
    <w:rsid w:val="00E63728"/>
    <w:rsid w:val="00E63CFD"/>
    <w:rsid w:val="00E6445A"/>
    <w:rsid w:val="00E6468C"/>
    <w:rsid w:val="00E64836"/>
    <w:rsid w:val="00E6492B"/>
    <w:rsid w:val="00E6499C"/>
    <w:rsid w:val="00E64A91"/>
    <w:rsid w:val="00E6573E"/>
    <w:rsid w:val="00E65E1A"/>
    <w:rsid w:val="00E65EAB"/>
    <w:rsid w:val="00E65F4A"/>
    <w:rsid w:val="00E67121"/>
    <w:rsid w:val="00E7013E"/>
    <w:rsid w:val="00E70B84"/>
    <w:rsid w:val="00E7100A"/>
    <w:rsid w:val="00E710F3"/>
    <w:rsid w:val="00E714EF"/>
    <w:rsid w:val="00E71953"/>
    <w:rsid w:val="00E71BA4"/>
    <w:rsid w:val="00E720C3"/>
    <w:rsid w:val="00E729F7"/>
    <w:rsid w:val="00E72C5A"/>
    <w:rsid w:val="00E72DC0"/>
    <w:rsid w:val="00E730CD"/>
    <w:rsid w:val="00E73DD8"/>
    <w:rsid w:val="00E73F76"/>
    <w:rsid w:val="00E742DA"/>
    <w:rsid w:val="00E7448B"/>
    <w:rsid w:val="00E74741"/>
    <w:rsid w:val="00E74782"/>
    <w:rsid w:val="00E74AD4"/>
    <w:rsid w:val="00E74CDD"/>
    <w:rsid w:val="00E74F2A"/>
    <w:rsid w:val="00E75221"/>
    <w:rsid w:val="00E75BA1"/>
    <w:rsid w:val="00E761D9"/>
    <w:rsid w:val="00E76B24"/>
    <w:rsid w:val="00E7712D"/>
    <w:rsid w:val="00E77BC1"/>
    <w:rsid w:val="00E77D97"/>
    <w:rsid w:val="00E80091"/>
    <w:rsid w:val="00E80302"/>
    <w:rsid w:val="00E80AE1"/>
    <w:rsid w:val="00E81584"/>
    <w:rsid w:val="00E81B26"/>
    <w:rsid w:val="00E81C98"/>
    <w:rsid w:val="00E821F3"/>
    <w:rsid w:val="00E82490"/>
    <w:rsid w:val="00E8366D"/>
    <w:rsid w:val="00E83F7E"/>
    <w:rsid w:val="00E84C37"/>
    <w:rsid w:val="00E851ED"/>
    <w:rsid w:val="00E85CA3"/>
    <w:rsid w:val="00E8619C"/>
    <w:rsid w:val="00E86746"/>
    <w:rsid w:val="00E867EB"/>
    <w:rsid w:val="00E86804"/>
    <w:rsid w:val="00E86CBA"/>
    <w:rsid w:val="00E8767A"/>
    <w:rsid w:val="00E8768E"/>
    <w:rsid w:val="00E87887"/>
    <w:rsid w:val="00E905F4"/>
    <w:rsid w:val="00E9070F"/>
    <w:rsid w:val="00E90D14"/>
    <w:rsid w:val="00E9120D"/>
    <w:rsid w:val="00E915F9"/>
    <w:rsid w:val="00E9164C"/>
    <w:rsid w:val="00E921F4"/>
    <w:rsid w:val="00E925B7"/>
    <w:rsid w:val="00E92A86"/>
    <w:rsid w:val="00E92ACF"/>
    <w:rsid w:val="00E92D53"/>
    <w:rsid w:val="00E92FDB"/>
    <w:rsid w:val="00E9337E"/>
    <w:rsid w:val="00E934FA"/>
    <w:rsid w:val="00E93732"/>
    <w:rsid w:val="00E93C7E"/>
    <w:rsid w:val="00E94085"/>
    <w:rsid w:val="00E94173"/>
    <w:rsid w:val="00E941C3"/>
    <w:rsid w:val="00E9452E"/>
    <w:rsid w:val="00E950E3"/>
    <w:rsid w:val="00E951EA"/>
    <w:rsid w:val="00E952E4"/>
    <w:rsid w:val="00E954B1"/>
    <w:rsid w:val="00E95838"/>
    <w:rsid w:val="00E959AC"/>
    <w:rsid w:val="00E96288"/>
    <w:rsid w:val="00E966B2"/>
    <w:rsid w:val="00E96BB8"/>
    <w:rsid w:val="00E96D9F"/>
    <w:rsid w:val="00E9701C"/>
    <w:rsid w:val="00E97079"/>
    <w:rsid w:val="00E970A7"/>
    <w:rsid w:val="00E9722D"/>
    <w:rsid w:val="00E97C0A"/>
    <w:rsid w:val="00E97E65"/>
    <w:rsid w:val="00EA0000"/>
    <w:rsid w:val="00EA0213"/>
    <w:rsid w:val="00EA02C1"/>
    <w:rsid w:val="00EA05AA"/>
    <w:rsid w:val="00EA07A3"/>
    <w:rsid w:val="00EA0ED9"/>
    <w:rsid w:val="00EA1A34"/>
    <w:rsid w:val="00EA1C80"/>
    <w:rsid w:val="00EA26F9"/>
    <w:rsid w:val="00EA32F7"/>
    <w:rsid w:val="00EA360F"/>
    <w:rsid w:val="00EA3919"/>
    <w:rsid w:val="00EA4715"/>
    <w:rsid w:val="00EA4873"/>
    <w:rsid w:val="00EA4B74"/>
    <w:rsid w:val="00EA4D15"/>
    <w:rsid w:val="00EA544E"/>
    <w:rsid w:val="00EA5739"/>
    <w:rsid w:val="00EA5B10"/>
    <w:rsid w:val="00EA5D75"/>
    <w:rsid w:val="00EA6693"/>
    <w:rsid w:val="00EA6739"/>
    <w:rsid w:val="00EA6C3C"/>
    <w:rsid w:val="00EA705B"/>
    <w:rsid w:val="00EA740E"/>
    <w:rsid w:val="00EA7961"/>
    <w:rsid w:val="00EA7FA0"/>
    <w:rsid w:val="00EB0120"/>
    <w:rsid w:val="00EB01C1"/>
    <w:rsid w:val="00EB0395"/>
    <w:rsid w:val="00EB06C8"/>
    <w:rsid w:val="00EB09FD"/>
    <w:rsid w:val="00EB1301"/>
    <w:rsid w:val="00EB156B"/>
    <w:rsid w:val="00EB168F"/>
    <w:rsid w:val="00EB1C21"/>
    <w:rsid w:val="00EB220D"/>
    <w:rsid w:val="00EB2359"/>
    <w:rsid w:val="00EB267A"/>
    <w:rsid w:val="00EB2807"/>
    <w:rsid w:val="00EB2856"/>
    <w:rsid w:val="00EB2DE2"/>
    <w:rsid w:val="00EB2E56"/>
    <w:rsid w:val="00EB3EE1"/>
    <w:rsid w:val="00EB3F9B"/>
    <w:rsid w:val="00EB436F"/>
    <w:rsid w:val="00EB46DA"/>
    <w:rsid w:val="00EB4705"/>
    <w:rsid w:val="00EB49F7"/>
    <w:rsid w:val="00EB4B63"/>
    <w:rsid w:val="00EB4DE8"/>
    <w:rsid w:val="00EB612F"/>
    <w:rsid w:val="00EB67D7"/>
    <w:rsid w:val="00EB6EE6"/>
    <w:rsid w:val="00EB70A2"/>
    <w:rsid w:val="00EB7FC7"/>
    <w:rsid w:val="00EC03C7"/>
    <w:rsid w:val="00EC05BB"/>
    <w:rsid w:val="00EC0E2B"/>
    <w:rsid w:val="00EC0FB3"/>
    <w:rsid w:val="00EC12E2"/>
    <w:rsid w:val="00EC1465"/>
    <w:rsid w:val="00EC1A56"/>
    <w:rsid w:val="00EC1F67"/>
    <w:rsid w:val="00EC218B"/>
    <w:rsid w:val="00EC23A1"/>
    <w:rsid w:val="00EC291B"/>
    <w:rsid w:val="00EC29D4"/>
    <w:rsid w:val="00EC2AF4"/>
    <w:rsid w:val="00EC2F51"/>
    <w:rsid w:val="00EC2F52"/>
    <w:rsid w:val="00EC3014"/>
    <w:rsid w:val="00EC3260"/>
    <w:rsid w:val="00EC34C4"/>
    <w:rsid w:val="00EC42D9"/>
    <w:rsid w:val="00EC4610"/>
    <w:rsid w:val="00EC4B8F"/>
    <w:rsid w:val="00EC500B"/>
    <w:rsid w:val="00EC58CF"/>
    <w:rsid w:val="00EC5A0E"/>
    <w:rsid w:val="00EC5C24"/>
    <w:rsid w:val="00EC5FED"/>
    <w:rsid w:val="00EC609E"/>
    <w:rsid w:val="00EC6121"/>
    <w:rsid w:val="00EC648C"/>
    <w:rsid w:val="00EC6518"/>
    <w:rsid w:val="00EC6762"/>
    <w:rsid w:val="00EC6B4F"/>
    <w:rsid w:val="00EC7372"/>
    <w:rsid w:val="00EC75FB"/>
    <w:rsid w:val="00EC77CD"/>
    <w:rsid w:val="00EC7BC5"/>
    <w:rsid w:val="00EC7D3B"/>
    <w:rsid w:val="00ED0C4E"/>
    <w:rsid w:val="00ED0D68"/>
    <w:rsid w:val="00ED0EAE"/>
    <w:rsid w:val="00ED1433"/>
    <w:rsid w:val="00ED1593"/>
    <w:rsid w:val="00ED1DEC"/>
    <w:rsid w:val="00ED318D"/>
    <w:rsid w:val="00ED31C1"/>
    <w:rsid w:val="00ED3C99"/>
    <w:rsid w:val="00ED3E13"/>
    <w:rsid w:val="00ED40CD"/>
    <w:rsid w:val="00ED4362"/>
    <w:rsid w:val="00ED4433"/>
    <w:rsid w:val="00ED4792"/>
    <w:rsid w:val="00ED487C"/>
    <w:rsid w:val="00ED565B"/>
    <w:rsid w:val="00ED5BDA"/>
    <w:rsid w:val="00ED5F6B"/>
    <w:rsid w:val="00ED5FD4"/>
    <w:rsid w:val="00ED5FF7"/>
    <w:rsid w:val="00ED6382"/>
    <w:rsid w:val="00ED6606"/>
    <w:rsid w:val="00ED68B0"/>
    <w:rsid w:val="00ED68EB"/>
    <w:rsid w:val="00ED6FC5"/>
    <w:rsid w:val="00ED72A5"/>
    <w:rsid w:val="00ED7412"/>
    <w:rsid w:val="00ED74B6"/>
    <w:rsid w:val="00ED7A79"/>
    <w:rsid w:val="00ED7B27"/>
    <w:rsid w:val="00EE0020"/>
    <w:rsid w:val="00EE0057"/>
    <w:rsid w:val="00EE026D"/>
    <w:rsid w:val="00EE0531"/>
    <w:rsid w:val="00EE11F6"/>
    <w:rsid w:val="00EE17F1"/>
    <w:rsid w:val="00EE19F3"/>
    <w:rsid w:val="00EE1E4E"/>
    <w:rsid w:val="00EE2180"/>
    <w:rsid w:val="00EE2256"/>
    <w:rsid w:val="00EE2BAC"/>
    <w:rsid w:val="00EE2BFC"/>
    <w:rsid w:val="00EE2E20"/>
    <w:rsid w:val="00EE3603"/>
    <w:rsid w:val="00EE41ED"/>
    <w:rsid w:val="00EE4346"/>
    <w:rsid w:val="00EE4F64"/>
    <w:rsid w:val="00EE5634"/>
    <w:rsid w:val="00EE56B7"/>
    <w:rsid w:val="00EE5792"/>
    <w:rsid w:val="00EE5DEB"/>
    <w:rsid w:val="00EE5EAF"/>
    <w:rsid w:val="00EE5F32"/>
    <w:rsid w:val="00EE62FE"/>
    <w:rsid w:val="00EE6B0A"/>
    <w:rsid w:val="00EE702B"/>
    <w:rsid w:val="00EE726C"/>
    <w:rsid w:val="00EE7315"/>
    <w:rsid w:val="00EE73AC"/>
    <w:rsid w:val="00EE7453"/>
    <w:rsid w:val="00EE7D7D"/>
    <w:rsid w:val="00EF010C"/>
    <w:rsid w:val="00EF0394"/>
    <w:rsid w:val="00EF1358"/>
    <w:rsid w:val="00EF15D4"/>
    <w:rsid w:val="00EF1AC9"/>
    <w:rsid w:val="00EF2028"/>
    <w:rsid w:val="00EF20AC"/>
    <w:rsid w:val="00EF28F0"/>
    <w:rsid w:val="00EF3217"/>
    <w:rsid w:val="00EF37C3"/>
    <w:rsid w:val="00EF39BF"/>
    <w:rsid w:val="00EF3A14"/>
    <w:rsid w:val="00EF3A6C"/>
    <w:rsid w:val="00EF3E74"/>
    <w:rsid w:val="00EF41B5"/>
    <w:rsid w:val="00EF4595"/>
    <w:rsid w:val="00EF493A"/>
    <w:rsid w:val="00EF4DB8"/>
    <w:rsid w:val="00EF6161"/>
    <w:rsid w:val="00EF6B78"/>
    <w:rsid w:val="00EF6F03"/>
    <w:rsid w:val="00EF74C8"/>
    <w:rsid w:val="00EF76AB"/>
    <w:rsid w:val="00EF7C2E"/>
    <w:rsid w:val="00F000F5"/>
    <w:rsid w:val="00F00F76"/>
    <w:rsid w:val="00F01B71"/>
    <w:rsid w:val="00F01B8C"/>
    <w:rsid w:val="00F01FA6"/>
    <w:rsid w:val="00F0272E"/>
    <w:rsid w:val="00F028BF"/>
    <w:rsid w:val="00F02B46"/>
    <w:rsid w:val="00F02BBD"/>
    <w:rsid w:val="00F02D18"/>
    <w:rsid w:val="00F032D6"/>
    <w:rsid w:val="00F03D1B"/>
    <w:rsid w:val="00F045F0"/>
    <w:rsid w:val="00F04639"/>
    <w:rsid w:val="00F047E0"/>
    <w:rsid w:val="00F04836"/>
    <w:rsid w:val="00F048AA"/>
    <w:rsid w:val="00F04B03"/>
    <w:rsid w:val="00F04C15"/>
    <w:rsid w:val="00F04F98"/>
    <w:rsid w:val="00F05061"/>
    <w:rsid w:val="00F0507B"/>
    <w:rsid w:val="00F0541B"/>
    <w:rsid w:val="00F058C7"/>
    <w:rsid w:val="00F05DC7"/>
    <w:rsid w:val="00F061FB"/>
    <w:rsid w:val="00F06459"/>
    <w:rsid w:val="00F06511"/>
    <w:rsid w:val="00F06673"/>
    <w:rsid w:val="00F06833"/>
    <w:rsid w:val="00F06909"/>
    <w:rsid w:val="00F06F96"/>
    <w:rsid w:val="00F10095"/>
    <w:rsid w:val="00F1014D"/>
    <w:rsid w:val="00F102AF"/>
    <w:rsid w:val="00F104D4"/>
    <w:rsid w:val="00F109F0"/>
    <w:rsid w:val="00F10AFA"/>
    <w:rsid w:val="00F11109"/>
    <w:rsid w:val="00F1259B"/>
    <w:rsid w:val="00F13BB3"/>
    <w:rsid w:val="00F13E3C"/>
    <w:rsid w:val="00F13F12"/>
    <w:rsid w:val="00F14124"/>
    <w:rsid w:val="00F14161"/>
    <w:rsid w:val="00F1420D"/>
    <w:rsid w:val="00F159EE"/>
    <w:rsid w:val="00F15CE3"/>
    <w:rsid w:val="00F15E3A"/>
    <w:rsid w:val="00F15EB8"/>
    <w:rsid w:val="00F163B5"/>
    <w:rsid w:val="00F171BB"/>
    <w:rsid w:val="00F17454"/>
    <w:rsid w:val="00F17981"/>
    <w:rsid w:val="00F17B12"/>
    <w:rsid w:val="00F17D46"/>
    <w:rsid w:val="00F17DCA"/>
    <w:rsid w:val="00F203D4"/>
    <w:rsid w:val="00F20612"/>
    <w:rsid w:val="00F21041"/>
    <w:rsid w:val="00F2108A"/>
    <w:rsid w:val="00F2127C"/>
    <w:rsid w:val="00F212A1"/>
    <w:rsid w:val="00F21721"/>
    <w:rsid w:val="00F2172A"/>
    <w:rsid w:val="00F217B0"/>
    <w:rsid w:val="00F217F6"/>
    <w:rsid w:val="00F222C7"/>
    <w:rsid w:val="00F2245F"/>
    <w:rsid w:val="00F2283B"/>
    <w:rsid w:val="00F228BD"/>
    <w:rsid w:val="00F229A4"/>
    <w:rsid w:val="00F22A87"/>
    <w:rsid w:val="00F22C03"/>
    <w:rsid w:val="00F23708"/>
    <w:rsid w:val="00F23963"/>
    <w:rsid w:val="00F239CB"/>
    <w:rsid w:val="00F241B8"/>
    <w:rsid w:val="00F242E6"/>
    <w:rsid w:val="00F2452D"/>
    <w:rsid w:val="00F2479D"/>
    <w:rsid w:val="00F24BDB"/>
    <w:rsid w:val="00F252DC"/>
    <w:rsid w:val="00F2570E"/>
    <w:rsid w:val="00F25899"/>
    <w:rsid w:val="00F25974"/>
    <w:rsid w:val="00F25A90"/>
    <w:rsid w:val="00F2653E"/>
    <w:rsid w:val="00F266C5"/>
    <w:rsid w:val="00F2699B"/>
    <w:rsid w:val="00F27A94"/>
    <w:rsid w:val="00F27F14"/>
    <w:rsid w:val="00F30FDA"/>
    <w:rsid w:val="00F31041"/>
    <w:rsid w:val="00F31184"/>
    <w:rsid w:val="00F3121D"/>
    <w:rsid w:val="00F31331"/>
    <w:rsid w:val="00F31412"/>
    <w:rsid w:val="00F319BE"/>
    <w:rsid w:val="00F31B0F"/>
    <w:rsid w:val="00F31E08"/>
    <w:rsid w:val="00F324D5"/>
    <w:rsid w:val="00F332F5"/>
    <w:rsid w:val="00F33CC9"/>
    <w:rsid w:val="00F33E94"/>
    <w:rsid w:val="00F34211"/>
    <w:rsid w:val="00F342DB"/>
    <w:rsid w:val="00F3446E"/>
    <w:rsid w:val="00F344E8"/>
    <w:rsid w:val="00F34590"/>
    <w:rsid w:val="00F34DD1"/>
    <w:rsid w:val="00F3518A"/>
    <w:rsid w:val="00F357AC"/>
    <w:rsid w:val="00F35BD6"/>
    <w:rsid w:val="00F369C2"/>
    <w:rsid w:val="00F36D86"/>
    <w:rsid w:val="00F371C6"/>
    <w:rsid w:val="00F372E5"/>
    <w:rsid w:val="00F40498"/>
    <w:rsid w:val="00F406F9"/>
    <w:rsid w:val="00F408B7"/>
    <w:rsid w:val="00F40F06"/>
    <w:rsid w:val="00F4144C"/>
    <w:rsid w:val="00F4175E"/>
    <w:rsid w:val="00F41A70"/>
    <w:rsid w:val="00F41B3C"/>
    <w:rsid w:val="00F41F82"/>
    <w:rsid w:val="00F41F9B"/>
    <w:rsid w:val="00F4212C"/>
    <w:rsid w:val="00F421C1"/>
    <w:rsid w:val="00F42A15"/>
    <w:rsid w:val="00F42B05"/>
    <w:rsid w:val="00F43427"/>
    <w:rsid w:val="00F43555"/>
    <w:rsid w:val="00F43860"/>
    <w:rsid w:val="00F43F56"/>
    <w:rsid w:val="00F4441C"/>
    <w:rsid w:val="00F4450E"/>
    <w:rsid w:val="00F451CD"/>
    <w:rsid w:val="00F45381"/>
    <w:rsid w:val="00F45517"/>
    <w:rsid w:val="00F455E4"/>
    <w:rsid w:val="00F457F0"/>
    <w:rsid w:val="00F458E6"/>
    <w:rsid w:val="00F46285"/>
    <w:rsid w:val="00F47488"/>
    <w:rsid w:val="00F47E11"/>
    <w:rsid w:val="00F47FD3"/>
    <w:rsid w:val="00F500B7"/>
    <w:rsid w:val="00F50276"/>
    <w:rsid w:val="00F505CB"/>
    <w:rsid w:val="00F509AB"/>
    <w:rsid w:val="00F5163E"/>
    <w:rsid w:val="00F517D5"/>
    <w:rsid w:val="00F51806"/>
    <w:rsid w:val="00F525F7"/>
    <w:rsid w:val="00F52612"/>
    <w:rsid w:val="00F52EC2"/>
    <w:rsid w:val="00F53CD9"/>
    <w:rsid w:val="00F53F4C"/>
    <w:rsid w:val="00F542D0"/>
    <w:rsid w:val="00F54662"/>
    <w:rsid w:val="00F55207"/>
    <w:rsid w:val="00F55350"/>
    <w:rsid w:val="00F554FB"/>
    <w:rsid w:val="00F55933"/>
    <w:rsid w:val="00F55CD1"/>
    <w:rsid w:val="00F5605B"/>
    <w:rsid w:val="00F56291"/>
    <w:rsid w:val="00F564F8"/>
    <w:rsid w:val="00F566EC"/>
    <w:rsid w:val="00F56701"/>
    <w:rsid w:val="00F567F0"/>
    <w:rsid w:val="00F56FA0"/>
    <w:rsid w:val="00F57213"/>
    <w:rsid w:val="00F57E31"/>
    <w:rsid w:val="00F605C7"/>
    <w:rsid w:val="00F606F8"/>
    <w:rsid w:val="00F60F89"/>
    <w:rsid w:val="00F60FC3"/>
    <w:rsid w:val="00F61198"/>
    <w:rsid w:val="00F61332"/>
    <w:rsid w:val="00F615DA"/>
    <w:rsid w:val="00F619B0"/>
    <w:rsid w:val="00F62933"/>
    <w:rsid w:val="00F62B18"/>
    <w:rsid w:val="00F62C6E"/>
    <w:rsid w:val="00F63323"/>
    <w:rsid w:val="00F633D9"/>
    <w:rsid w:val="00F6359D"/>
    <w:rsid w:val="00F63C6E"/>
    <w:rsid w:val="00F63F4C"/>
    <w:rsid w:val="00F64108"/>
    <w:rsid w:val="00F6443F"/>
    <w:rsid w:val="00F64C34"/>
    <w:rsid w:val="00F658E0"/>
    <w:rsid w:val="00F658E3"/>
    <w:rsid w:val="00F65C8B"/>
    <w:rsid w:val="00F66070"/>
    <w:rsid w:val="00F66311"/>
    <w:rsid w:val="00F66695"/>
    <w:rsid w:val="00F66E4C"/>
    <w:rsid w:val="00F66E65"/>
    <w:rsid w:val="00F67407"/>
    <w:rsid w:val="00F676E7"/>
    <w:rsid w:val="00F67EB4"/>
    <w:rsid w:val="00F7077B"/>
    <w:rsid w:val="00F70AFA"/>
    <w:rsid w:val="00F70B99"/>
    <w:rsid w:val="00F7107B"/>
    <w:rsid w:val="00F71706"/>
    <w:rsid w:val="00F717C5"/>
    <w:rsid w:val="00F71A3E"/>
    <w:rsid w:val="00F71BEE"/>
    <w:rsid w:val="00F71DCF"/>
    <w:rsid w:val="00F7231B"/>
    <w:rsid w:val="00F723CF"/>
    <w:rsid w:val="00F72A15"/>
    <w:rsid w:val="00F72ED5"/>
    <w:rsid w:val="00F730F8"/>
    <w:rsid w:val="00F734B2"/>
    <w:rsid w:val="00F73ADF"/>
    <w:rsid w:val="00F73B5F"/>
    <w:rsid w:val="00F74468"/>
    <w:rsid w:val="00F74871"/>
    <w:rsid w:val="00F749E2"/>
    <w:rsid w:val="00F75289"/>
    <w:rsid w:val="00F774E0"/>
    <w:rsid w:val="00F777B4"/>
    <w:rsid w:val="00F77FA9"/>
    <w:rsid w:val="00F80272"/>
    <w:rsid w:val="00F80349"/>
    <w:rsid w:val="00F80718"/>
    <w:rsid w:val="00F80918"/>
    <w:rsid w:val="00F80E47"/>
    <w:rsid w:val="00F80F83"/>
    <w:rsid w:val="00F81184"/>
    <w:rsid w:val="00F816EF"/>
    <w:rsid w:val="00F81E5D"/>
    <w:rsid w:val="00F82238"/>
    <w:rsid w:val="00F8333A"/>
    <w:rsid w:val="00F8348A"/>
    <w:rsid w:val="00F8361D"/>
    <w:rsid w:val="00F84407"/>
    <w:rsid w:val="00F85F8F"/>
    <w:rsid w:val="00F86452"/>
    <w:rsid w:val="00F86A8E"/>
    <w:rsid w:val="00F86D76"/>
    <w:rsid w:val="00F87570"/>
    <w:rsid w:val="00F877A4"/>
    <w:rsid w:val="00F87869"/>
    <w:rsid w:val="00F879FF"/>
    <w:rsid w:val="00F87C36"/>
    <w:rsid w:val="00F87F30"/>
    <w:rsid w:val="00F9009F"/>
    <w:rsid w:val="00F904D3"/>
    <w:rsid w:val="00F90F11"/>
    <w:rsid w:val="00F91054"/>
    <w:rsid w:val="00F91782"/>
    <w:rsid w:val="00F918D2"/>
    <w:rsid w:val="00F92020"/>
    <w:rsid w:val="00F92063"/>
    <w:rsid w:val="00F92B18"/>
    <w:rsid w:val="00F92BEA"/>
    <w:rsid w:val="00F93363"/>
    <w:rsid w:val="00F93605"/>
    <w:rsid w:val="00F93624"/>
    <w:rsid w:val="00F93EF2"/>
    <w:rsid w:val="00F9499F"/>
    <w:rsid w:val="00F94B4A"/>
    <w:rsid w:val="00F95059"/>
    <w:rsid w:val="00F950A0"/>
    <w:rsid w:val="00F953EE"/>
    <w:rsid w:val="00F95E53"/>
    <w:rsid w:val="00F95F47"/>
    <w:rsid w:val="00F96F5D"/>
    <w:rsid w:val="00F971FE"/>
    <w:rsid w:val="00F97A62"/>
    <w:rsid w:val="00FA1052"/>
    <w:rsid w:val="00FA1138"/>
    <w:rsid w:val="00FA14C2"/>
    <w:rsid w:val="00FA1560"/>
    <w:rsid w:val="00FA18BF"/>
    <w:rsid w:val="00FA19E9"/>
    <w:rsid w:val="00FA1CA0"/>
    <w:rsid w:val="00FA2253"/>
    <w:rsid w:val="00FA22A0"/>
    <w:rsid w:val="00FA2A52"/>
    <w:rsid w:val="00FA2C9F"/>
    <w:rsid w:val="00FA4225"/>
    <w:rsid w:val="00FA4495"/>
    <w:rsid w:val="00FA48E8"/>
    <w:rsid w:val="00FA4945"/>
    <w:rsid w:val="00FA4B2F"/>
    <w:rsid w:val="00FA4CE2"/>
    <w:rsid w:val="00FA4D17"/>
    <w:rsid w:val="00FA509D"/>
    <w:rsid w:val="00FA537C"/>
    <w:rsid w:val="00FA5453"/>
    <w:rsid w:val="00FA5B21"/>
    <w:rsid w:val="00FA6151"/>
    <w:rsid w:val="00FA631D"/>
    <w:rsid w:val="00FA6510"/>
    <w:rsid w:val="00FA6795"/>
    <w:rsid w:val="00FA67BF"/>
    <w:rsid w:val="00FA6C17"/>
    <w:rsid w:val="00FA6E47"/>
    <w:rsid w:val="00FA6E92"/>
    <w:rsid w:val="00FA6FC7"/>
    <w:rsid w:val="00FA7272"/>
    <w:rsid w:val="00FA755B"/>
    <w:rsid w:val="00FA768D"/>
    <w:rsid w:val="00FB0330"/>
    <w:rsid w:val="00FB09F1"/>
    <w:rsid w:val="00FB1140"/>
    <w:rsid w:val="00FB17D8"/>
    <w:rsid w:val="00FB1C10"/>
    <w:rsid w:val="00FB2413"/>
    <w:rsid w:val="00FB24B3"/>
    <w:rsid w:val="00FB2588"/>
    <w:rsid w:val="00FB2E47"/>
    <w:rsid w:val="00FB32D0"/>
    <w:rsid w:val="00FB3437"/>
    <w:rsid w:val="00FB389C"/>
    <w:rsid w:val="00FB3911"/>
    <w:rsid w:val="00FB3B25"/>
    <w:rsid w:val="00FB4415"/>
    <w:rsid w:val="00FB44C1"/>
    <w:rsid w:val="00FB4746"/>
    <w:rsid w:val="00FB47D3"/>
    <w:rsid w:val="00FB5088"/>
    <w:rsid w:val="00FB528C"/>
    <w:rsid w:val="00FB5482"/>
    <w:rsid w:val="00FB5547"/>
    <w:rsid w:val="00FB57A4"/>
    <w:rsid w:val="00FB59BB"/>
    <w:rsid w:val="00FB6354"/>
    <w:rsid w:val="00FB6EA2"/>
    <w:rsid w:val="00FB72E3"/>
    <w:rsid w:val="00FB73B1"/>
    <w:rsid w:val="00FB76A6"/>
    <w:rsid w:val="00FC1CA0"/>
    <w:rsid w:val="00FC1EF9"/>
    <w:rsid w:val="00FC1F77"/>
    <w:rsid w:val="00FC2067"/>
    <w:rsid w:val="00FC33A7"/>
    <w:rsid w:val="00FC3BC0"/>
    <w:rsid w:val="00FC40B6"/>
    <w:rsid w:val="00FC46E8"/>
    <w:rsid w:val="00FC5BD2"/>
    <w:rsid w:val="00FC5E3E"/>
    <w:rsid w:val="00FC6487"/>
    <w:rsid w:val="00FC68A0"/>
    <w:rsid w:val="00FC6C9E"/>
    <w:rsid w:val="00FC6CA8"/>
    <w:rsid w:val="00FC714D"/>
    <w:rsid w:val="00FC77B6"/>
    <w:rsid w:val="00FC78CB"/>
    <w:rsid w:val="00FD00C8"/>
    <w:rsid w:val="00FD0307"/>
    <w:rsid w:val="00FD08E8"/>
    <w:rsid w:val="00FD0C2F"/>
    <w:rsid w:val="00FD15D0"/>
    <w:rsid w:val="00FD1E46"/>
    <w:rsid w:val="00FD2298"/>
    <w:rsid w:val="00FD237D"/>
    <w:rsid w:val="00FD241A"/>
    <w:rsid w:val="00FD2A63"/>
    <w:rsid w:val="00FD2F56"/>
    <w:rsid w:val="00FD30FA"/>
    <w:rsid w:val="00FD3919"/>
    <w:rsid w:val="00FD3CC2"/>
    <w:rsid w:val="00FD3EC9"/>
    <w:rsid w:val="00FD3F7E"/>
    <w:rsid w:val="00FD4AA2"/>
    <w:rsid w:val="00FD5101"/>
    <w:rsid w:val="00FD530F"/>
    <w:rsid w:val="00FD5369"/>
    <w:rsid w:val="00FD53FF"/>
    <w:rsid w:val="00FD58B1"/>
    <w:rsid w:val="00FD5A2C"/>
    <w:rsid w:val="00FD60A6"/>
    <w:rsid w:val="00FD616F"/>
    <w:rsid w:val="00FD6306"/>
    <w:rsid w:val="00FD6CD0"/>
    <w:rsid w:val="00FD72B8"/>
    <w:rsid w:val="00FD72D0"/>
    <w:rsid w:val="00FD7366"/>
    <w:rsid w:val="00FD7370"/>
    <w:rsid w:val="00FD754C"/>
    <w:rsid w:val="00FE01DD"/>
    <w:rsid w:val="00FE03C1"/>
    <w:rsid w:val="00FE0A35"/>
    <w:rsid w:val="00FE0EBE"/>
    <w:rsid w:val="00FE0EE8"/>
    <w:rsid w:val="00FE1468"/>
    <w:rsid w:val="00FE16C3"/>
    <w:rsid w:val="00FE1B34"/>
    <w:rsid w:val="00FE1E2A"/>
    <w:rsid w:val="00FE1EB8"/>
    <w:rsid w:val="00FE215A"/>
    <w:rsid w:val="00FE29E8"/>
    <w:rsid w:val="00FE2AA2"/>
    <w:rsid w:val="00FE2CB9"/>
    <w:rsid w:val="00FE2CBF"/>
    <w:rsid w:val="00FE2E4B"/>
    <w:rsid w:val="00FE33C9"/>
    <w:rsid w:val="00FE39F4"/>
    <w:rsid w:val="00FE3F46"/>
    <w:rsid w:val="00FE469F"/>
    <w:rsid w:val="00FE4B30"/>
    <w:rsid w:val="00FE4B31"/>
    <w:rsid w:val="00FE5680"/>
    <w:rsid w:val="00FE58E2"/>
    <w:rsid w:val="00FE5A22"/>
    <w:rsid w:val="00FE5CC1"/>
    <w:rsid w:val="00FE5D6F"/>
    <w:rsid w:val="00FE5E50"/>
    <w:rsid w:val="00FE5F2C"/>
    <w:rsid w:val="00FE61ED"/>
    <w:rsid w:val="00FE669B"/>
    <w:rsid w:val="00FE698B"/>
    <w:rsid w:val="00FE6CEE"/>
    <w:rsid w:val="00FE6D6A"/>
    <w:rsid w:val="00FE736C"/>
    <w:rsid w:val="00FE7600"/>
    <w:rsid w:val="00FE7D53"/>
    <w:rsid w:val="00FF04C6"/>
    <w:rsid w:val="00FF04F0"/>
    <w:rsid w:val="00FF0531"/>
    <w:rsid w:val="00FF05F4"/>
    <w:rsid w:val="00FF077E"/>
    <w:rsid w:val="00FF0C95"/>
    <w:rsid w:val="00FF10C4"/>
    <w:rsid w:val="00FF11B0"/>
    <w:rsid w:val="00FF1815"/>
    <w:rsid w:val="00FF1DE0"/>
    <w:rsid w:val="00FF1E8A"/>
    <w:rsid w:val="00FF25D8"/>
    <w:rsid w:val="00FF2778"/>
    <w:rsid w:val="00FF2DA1"/>
    <w:rsid w:val="00FF2DDD"/>
    <w:rsid w:val="00FF33D8"/>
    <w:rsid w:val="00FF3966"/>
    <w:rsid w:val="00FF3DFC"/>
    <w:rsid w:val="00FF3E92"/>
    <w:rsid w:val="00FF4147"/>
    <w:rsid w:val="00FF4C9A"/>
    <w:rsid w:val="00FF5678"/>
    <w:rsid w:val="00FF57B7"/>
    <w:rsid w:val="00FF5E3D"/>
    <w:rsid w:val="00FF61D1"/>
    <w:rsid w:val="00FF6343"/>
    <w:rsid w:val="00FF671A"/>
    <w:rsid w:val="00FF6AF2"/>
    <w:rsid w:val="00FF7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76B6"/>
    <w:pPr>
      <w:widowControl w:val="0"/>
      <w:autoSpaceDE w:val="0"/>
      <w:autoSpaceDN w:val="0"/>
      <w:adjustRightInd w:val="0"/>
    </w:pPr>
    <w:rPr>
      <w:sz w:val="26"/>
      <w:szCs w:val="24"/>
    </w:rPr>
  </w:style>
  <w:style w:type="paragraph" w:styleId="Heading1">
    <w:name w:val="heading 1"/>
    <w:basedOn w:val="Normal"/>
    <w:next w:val="FERCparanumber"/>
    <w:link w:val="Heading1Char"/>
    <w:qFormat/>
    <w:rsid w:val="007276B6"/>
    <w:pPr>
      <w:keepNext/>
      <w:keepLines/>
      <w:widowControl/>
      <w:numPr>
        <w:numId w:val="2"/>
      </w:numPr>
      <w:spacing w:after="260"/>
      <w:outlineLvl w:val="0"/>
    </w:pPr>
    <w:rPr>
      <w:b/>
      <w:bCs/>
      <w:kern w:val="32"/>
      <w:szCs w:val="32"/>
      <w:u w:val="single"/>
    </w:rPr>
  </w:style>
  <w:style w:type="paragraph" w:styleId="Heading2">
    <w:name w:val="heading 2"/>
    <w:basedOn w:val="Normal"/>
    <w:next w:val="FERCparanumber"/>
    <w:link w:val="Heading2Char"/>
    <w:semiHidden/>
    <w:unhideWhenUsed/>
    <w:qFormat/>
    <w:rsid w:val="007276B6"/>
    <w:pPr>
      <w:keepNext/>
      <w:keepLines/>
      <w:widowControl/>
      <w:numPr>
        <w:ilvl w:val="1"/>
        <w:numId w:val="2"/>
      </w:numPr>
      <w:spacing w:after="260"/>
      <w:outlineLvl w:val="1"/>
    </w:pPr>
    <w:rPr>
      <w:b/>
      <w:bCs/>
      <w:iCs/>
      <w:kern w:val="32"/>
      <w:szCs w:val="28"/>
      <w:u w:val="single"/>
    </w:rPr>
  </w:style>
  <w:style w:type="paragraph" w:styleId="Heading3">
    <w:name w:val="heading 3"/>
    <w:basedOn w:val="Normal"/>
    <w:next w:val="FERCparanumber"/>
    <w:link w:val="Heading3Char"/>
    <w:semiHidden/>
    <w:unhideWhenUsed/>
    <w:qFormat/>
    <w:rsid w:val="007276B6"/>
    <w:pPr>
      <w:keepNext/>
      <w:keepLines/>
      <w:widowControl/>
      <w:numPr>
        <w:ilvl w:val="2"/>
        <w:numId w:val="2"/>
      </w:numPr>
      <w:spacing w:after="260"/>
      <w:outlineLvl w:val="2"/>
    </w:pPr>
    <w:rPr>
      <w:b/>
      <w:bCs/>
      <w:kern w:val="32"/>
      <w:szCs w:val="26"/>
      <w:u w:val="single"/>
    </w:rPr>
  </w:style>
  <w:style w:type="paragraph" w:styleId="Heading4">
    <w:name w:val="heading 4"/>
    <w:basedOn w:val="Normal"/>
    <w:next w:val="FERCparanumber"/>
    <w:link w:val="Heading4Char"/>
    <w:semiHidden/>
    <w:unhideWhenUsed/>
    <w:qFormat/>
    <w:rsid w:val="007276B6"/>
    <w:pPr>
      <w:keepNext/>
      <w:keepLines/>
      <w:widowControl/>
      <w:numPr>
        <w:ilvl w:val="3"/>
        <w:numId w:val="2"/>
      </w:numPr>
      <w:spacing w:after="260"/>
      <w:outlineLvl w:val="3"/>
    </w:pPr>
    <w:rPr>
      <w:b/>
      <w:bCs/>
      <w:kern w:val="32"/>
      <w:szCs w:val="28"/>
      <w:u w:val="single"/>
    </w:rPr>
  </w:style>
  <w:style w:type="paragraph" w:styleId="Heading5">
    <w:name w:val="heading 5"/>
    <w:basedOn w:val="Normal"/>
    <w:next w:val="FERCparanumber"/>
    <w:link w:val="Heading5Char"/>
    <w:semiHidden/>
    <w:unhideWhenUsed/>
    <w:qFormat/>
    <w:rsid w:val="007276B6"/>
    <w:pPr>
      <w:keepNext/>
      <w:keepLines/>
      <w:widowControl/>
      <w:numPr>
        <w:ilvl w:val="4"/>
        <w:numId w:val="2"/>
      </w:numPr>
      <w:spacing w:after="260"/>
      <w:outlineLvl w:val="4"/>
    </w:pPr>
    <w:rPr>
      <w:b/>
      <w:bCs/>
      <w:iCs/>
      <w:kern w:val="32"/>
      <w:szCs w:val="26"/>
      <w:u w:val="single"/>
    </w:rPr>
  </w:style>
  <w:style w:type="paragraph" w:styleId="Heading6">
    <w:name w:val="heading 6"/>
    <w:basedOn w:val="Normal"/>
    <w:next w:val="FERCparanumber"/>
    <w:link w:val="Heading6Char"/>
    <w:semiHidden/>
    <w:unhideWhenUsed/>
    <w:qFormat/>
    <w:rsid w:val="007276B6"/>
    <w:pPr>
      <w:keepNext/>
      <w:keepLines/>
      <w:widowControl/>
      <w:numPr>
        <w:ilvl w:val="5"/>
        <w:numId w:val="2"/>
      </w:numPr>
      <w:spacing w:after="260"/>
      <w:outlineLvl w:val="5"/>
    </w:pPr>
    <w:rPr>
      <w:b/>
      <w:bCs/>
      <w:kern w:val="32"/>
      <w:szCs w:val="22"/>
      <w:u w:val="single"/>
    </w:rPr>
  </w:style>
  <w:style w:type="paragraph" w:styleId="Heading7">
    <w:name w:val="heading 7"/>
    <w:basedOn w:val="Normal"/>
    <w:next w:val="FERCparanumber"/>
    <w:link w:val="Heading7Char"/>
    <w:semiHidden/>
    <w:unhideWhenUsed/>
    <w:qFormat/>
    <w:rsid w:val="007276B6"/>
    <w:pPr>
      <w:numPr>
        <w:ilvl w:val="6"/>
        <w:numId w:val="2"/>
      </w:numPr>
      <w:spacing w:after="260"/>
      <w:outlineLvl w:val="6"/>
    </w:pPr>
    <w:rPr>
      <w:b/>
      <w:kern w:val="32"/>
      <w:u w:val="single"/>
    </w:rPr>
  </w:style>
  <w:style w:type="paragraph" w:styleId="Heading8">
    <w:name w:val="heading 8"/>
    <w:basedOn w:val="Normal"/>
    <w:next w:val="FERCparanumber"/>
    <w:link w:val="Heading8Char"/>
    <w:semiHidden/>
    <w:unhideWhenUsed/>
    <w:qFormat/>
    <w:rsid w:val="007276B6"/>
    <w:pPr>
      <w:keepNext/>
      <w:keepLines/>
      <w:widowControl/>
      <w:numPr>
        <w:ilvl w:val="7"/>
        <w:numId w:val="2"/>
      </w:numPr>
      <w:spacing w:after="260"/>
      <w:outlineLvl w:val="7"/>
    </w:pPr>
    <w:rPr>
      <w:b/>
      <w:iCs/>
      <w:kern w:val="32"/>
      <w:u w:val="single"/>
    </w:rPr>
  </w:style>
  <w:style w:type="paragraph" w:styleId="Heading9">
    <w:name w:val="heading 9"/>
    <w:basedOn w:val="Normal"/>
    <w:next w:val="FERCparanumber"/>
    <w:link w:val="Heading9Char"/>
    <w:semiHidden/>
    <w:unhideWhenUsed/>
    <w:qFormat/>
    <w:rsid w:val="007276B6"/>
    <w:pPr>
      <w:keepNext/>
      <w:keepLines/>
      <w:widowControl/>
      <w:numPr>
        <w:ilvl w:val="8"/>
        <w:numId w:val="2"/>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link w:val="FERCparanumberChar"/>
    <w:qFormat/>
    <w:rsid w:val="00487256"/>
    <w:pPr>
      <w:numPr>
        <w:numId w:val="1"/>
      </w:numPr>
    </w:pPr>
  </w:style>
  <w:style w:type="character" w:styleId="FootnoteReference">
    <w:name w:val="footnote reference"/>
    <w:basedOn w:val="DefaultParagraphFont"/>
    <w:rsid w:val="00487256"/>
    <w:rPr>
      <w:rFonts w:ascii="Times New Roman" w:hAnsi="Times New Roman"/>
      <w:b/>
      <w:sz w:val="26"/>
      <w:szCs w:val="26"/>
      <w:vertAlign w:val="superscript"/>
    </w:rPr>
  </w:style>
  <w:style w:type="paragraph" w:styleId="FootnoteText">
    <w:name w:val="footnote text"/>
    <w:basedOn w:val="Normal"/>
    <w:link w:val="FootnoteTextChar"/>
    <w:uiPriority w:val="99"/>
    <w:rsid w:val="00487256"/>
    <w:pPr>
      <w:spacing w:after="260"/>
      <w:ind w:firstLine="720"/>
    </w:pPr>
    <w:rPr>
      <w:szCs w:val="20"/>
    </w:rPr>
  </w:style>
  <w:style w:type="character" w:customStyle="1" w:styleId="Heading1Char">
    <w:name w:val="Heading 1 Char"/>
    <w:basedOn w:val="DefaultParagraphFont"/>
    <w:link w:val="Heading1"/>
    <w:rsid w:val="007276B6"/>
    <w:rPr>
      <w:b/>
      <w:bCs/>
      <w:kern w:val="32"/>
      <w:sz w:val="26"/>
      <w:szCs w:val="32"/>
      <w:u w:val="single"/>
    </w:rPr>
  </w:style>
  <w:style w:type="character" w:customStyle="1" w:styleId="Heading2Char">
    <w:name w:val="Heading 2 Char"/>
    <w:basedOn w:val="DefaultParagraphFont"/>
    <w:link w:val="Heading2"/>
    <w:semiHidden/>
    <w:rsid w:val="007276B6"/>
    <w:rPr>
      <w:b/>
      <w:bCs/>
      <w:iCs/>
      <w:kern w:val="32"/>
      <w:sz w:val="26"/>
      <w:szCs w:val="28"/>
      <w:u w:val="single"/>
    </w:rPr>
  </w:style>
  <w:style w:type="character" w:customStyle="1" w:styleId="Heading3Char">
    <w:name w:val="Heading 3 Char"/>
    <w:basedOn w:val="DefaultParagraphFont"/>
    <w:link w:val="Heading3"/>
    <w:semiHidden/>
    <w:rsid w:val="007276B6"/>
    <w:rPr>
      <w:b/>
      <w:bCs/>
      <w:kern w:val="32"/>
      <w:sz w:val="26"/>
      <w:szCs w:val="26"/>
      <w:u w:val="single"/>
    </w:rPr>
  </w:style>
  <w:style w:type="character" w:customStyle="1" w:styleId="Heading4Char">
    <w:name w:val="Heading 4 Char"/>
    <w:basedOn w:val="DefaultParagraphFont"/>
    <w:link w:val="Heading4"/>
    <w:semiHidden/>
    <w:rsid w:val="007276B6"/>
    <w:rPr>
      <w:b/>
      <w:bCs/>
      <w:kern w:val="32"/>
      <w:sz w:val="26"/>
      <w:szCs w:val="28"/>
      <w:u w:val="single"/>
    </w:rPr>
  </w:style>
  <w:style w:type="character" w:customStyle="1" w:styleId="Heading5Char">
    <w:name w:val="Heading 5 Char"/>
    <w:basedOn w:val="DefaultParagraphFont"/>
    <w:link w:val="Heading5"/>
    <w:semiHidden/>
    <w:rsid w:val="007276B6"/>
    <w:rPr>
      <w:b/>
      <w:bCs/>
      <w:iCs/>
      <w:kern w:val="32"/>
      <w:sz w:val="26"/>
      <w:szCs w:val="26"/>
      <w:u w:val="single"/>
    </w:rPr>
  </w:style>
  <w:style w:type="character" w:customStyle="1" w:styleId="Heading6Char">
    <w:name w:val="Heading 6 Char"/>
    <w:basedOn w:val="DefaultParagraphFont"/>
    <w:link w:val="Heading6"/>
    <w:semiHidden/>
    <w:rsid w:val="007276B6"/>
    <w:rPr>
      <w:b/>
      <w:bCs/>
      <w:kern w:val="32"/>
      <w:sz w:val="26"/>
      <w:szCs w:val="22"/>
      <w:u w:val="single"/>
    </w:rPr>
  </w:style>
  <w:style w:type="character" w:customStyle="1" w:styleId="Heading7Char">
    <w:name w:val="Heading 7 Char"/>
    <w:basedOn w:val="DefaultParagraphFont"/>
    <w:link w:val="Heading7"/>
    <w:semiHidden/>
    <w:rsid w:val="007276B6"/>
    <w:rPr>
      <w:b/>
      <w:kern w:val="32"/>
      <w:sz w:val="26"/>
      <w:szCs w:val="24"/>
      <w:u w:val="single"/>
    </w:rPr>
  </w:style>
  <w:style w:type="character" w:customStyle="1" w:styleId="Heading8Char">
    <w:name w:val="Heading 8 Char"/>
    <w:basedOn w:val="DefaultParagraphFont"/>
    <w:link w:val="Heading8"/>
    <w:semiHidden/>
    <w:rsid w:val="007276B6"/>
    <w:rPr>
      <w:b/>
      <w:iCs/>
      <w:kern w:val="32"/>
      <w:sz w:val="26"/>
      <w:szCs w:val="24"/>
      <w:u w:val="single"/>
    </w:rPr>
  </w:style>
  <w:style w:type="character" w:customStyle="1" w:styleId="Heading9Char">
    <w:name w:val="Heading 9 Char"/>
    <w:basedOn w:val="DefaultParagraphFont"/>
    <w:link w:val="Heading9"/>
    <w:semiHidden/>
    <w:rsid w:val="007276B6"/>
    <w:rPr>
      <w:b/>
      <w:kern w:val="32"/>
      <w:sz w:val="26"/>
      <w:szCs w:val="22"/>
      <w:u w:val="single"/>
    </w:rPr>
  </w:style>
  <w:style w:type="character" w:styleId="Hyperlink">
    <w:name w:val="Hyperlink"/>
    <w:basedOn w:val="DefaultParagraphFont"/>
    <w:unhideWhenUsed/>
    <w:rsid w:val="007276B6"/>
    <w:rPr>
      <w:color w:val="0000FF"/>
      <w:u w:val="single"/>
    </w:rPr>
  </w:style>
  <w:style w:type="character" w:customStyle="1" w:styleId="FootnoteTextChar">
    <w:name w:val="Footnote Text Char"/>
    <w:basedOn w:val="DefaultParagraphFont"/>
    <w:link w:val="FootnoteText"/>
    <w:uiPriority w:val="99"/>
    <w:rsid w:val="007276B6"/>
    <w:rPr>
      <w:sz w:val="26"/>
    </w:rPr>
  </w:style>
  <w:style w:type="character" w:customStyle="1" w:styleId="FERCparanumberChar">
    <w:name w:val="FERC paranumber Char"/>
    <w:link w:val="FERCparanumber"/>
    <w:locked/>
    <w:rsid w:val="007276B6"/>
    <w:rPr>
      <w:sz w:val="26"/>
      <w:szCs w:val="24"/>
    </w:rPr>
  </w:style>
  <w:style w:type="character" w:styleId="Emphasis">
    <w:name w:val="Emphasis"/>
    <w:basedOn w:val="DefaultParagraphFont"/>
    <w:qFormat/>
    <w:rsid w:val="007276B6"/>
    <w:rPr>
      <w:i/>
      <w:iCs/>
    </w:rPr>
  </w:style>
  <w:style w:type="paragraph" w:styleId="Header">
    <w:name w:val="header"/>
    <w:basedOn w:val="Normal"/>
    <w:link w:val="HeaderChar"/>
    <w:rsid w:val="007276B6"/>
    <w:pPr>
      <w:tabs>
        <w:tab w:val="center" w:pos="4680"/>
        <w:tab w:val="right" w:pos="9360"/>
      </w:tabs>
    </w:pPr>
  </w:style>
  <w:style w:type="character" w:customStyle="1" w:styleId="HeaderChar">
    <w:name w:val="Header Char"/>
    <w:basedOn w:val="DefaultParagraphFont"/>
    <w:link w:val="Header"/>
    <w:rsid w:val="007276B6"/>
    <w:rPr>
      <w:sz w:val="26"/>
      <w:szCs w:val="24"/>
    </w:rPr>
  </w:style>
  <w:style w:type="paragraph" w:styleId="Footer">
    <w:name w:val="footer"/>
    <w:basedOn w:val="Normal"/>
    <w:link w:val="FooterChar"/>
    <w:rsid w:val="007276B6"/>
    <w:pPr>
      <w:tabs>
        <w:tab w:val="center" w:pos="4680"/>
        <w:tab w:val="right" w:pos="9360"/>
      </w:tabs>
    </w:pPr>
  </w:style>
  <w:style w:type="character" w:customStyle="1" w:styleId="FooterChar">
    <w:name w:val="Footer Char"/>
    <w:basedOn w:val="DefaultParagraphFont"/>
    <w:link w:val="Footer"/>
    <w:rsid w:val="007276B6"/>
    <w:rPr>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76B6"/>
    <w:pPr>
      <w:widowControl w:val="0"/>
      <w:autoSpaceDE w:val="0"/>
      <w:autoSpaceDN w:val="0"/>
      <w:adjustRightInd w:val="0"/>
    </w:pPr>
    <w:rPr>
      <w:sz w:val="26"/>
      <w:szCs w:val="24"/>
    </w:rPr>
  </w:style>
  <w:style w:type="paragraph" w:styleId="Heading1">
    <w:name w:val="heading 1"/>
    <w:basedOn w:val="Normal"/>
    <w:next w:val="FERCparanumber"/>
    <w:link w:val="Heading1Char"/>
    <w:qFormat/>
    <w:rsid w:val="007276B6"/>
    <w:pPr>
      <w:keepNext/>
      <w:keepLines/>
      <w:widowControl/>
      <w:numPr>
        <w:numId w:val="2"/>
      </w:numPr>
      <w:spacing w:after="260"/>
      <w:outlineLvl w:val="0"/>
    </w:pPr>
    <w:rPr>
      <w:b/>
      <w:bCs/>
      <w:kern w:val="32"/>
      <w:szCs w:val="32"/>
      <w:u w:val="single"/>
    </w:rPr>
  </w:style>
  <w:style w:type="paragraph" w:styleId="Heading2">
    <w:name w:val="heading 2"/>
    <w:basedOn w:val="Normal"/>
    <w:next w:val="FERCparanumber"/>
    <w:link w:val="Heading2Char"/>
    <w:semiHidden/>
    <w:unhideWhenUsed/>
    <w:qFormat/>
    <w:rsid w:val="007276B6"/>
    <w:pPr>
      <w:keepNext/>
      <w:keepLines/>
      <w:widowControl/>
      <w:numPr>
        <w:ilvl w:val="1"/>
        <w:numId w:val="2"/>
      </w:numPr>
      <w:spacing w:after="260"/>
      <w:outlineLvl w:val="1"/>
    </w:pPr>
    <w:rPr>
      <w:b/>
      <w:bCs/>
      <w:iCs/>
      <w:kern w:val="32"/>
      <w:szCs w:val="28"/>
      <w:u w:val="single"/>
    </w:rPr>
  </w:style>
  <w:style w:type="paragraph" w:styleId="Heading3">
    <w:name w:val="heading 3"/>
    <w:basedOn w:val="Normal"/>
    <w:next w:val="FERCparanumber"/>
    <w:link w:val="Heading3Char"/>
    <w:semiHidden/>
    <w:unhideWhenUsed/>
    <w:qFormat/>
    <w:rsid w:val="007276B6"/>
    <w:pPr>
      <w:keepNext/>
      <w:keepLines/>
      <w:widowControl/>
      <w:numPr>
        <w:ilvl w:val="2"/>
        <w:numId w:val="2"/>
      </w:numPr>
      <w:spacing w:after="260"/>
      <w:outlineLvl w:val="2"/>
    </w:pPr>
    <w:rPr>
      <w:b/>
      <w:bCs/>
      <w:kern w:val="32"/>
      <w:szCs w:val="26"/>
      <w:u w:val="single"/>
    </w:rPr>
  </w:style>
  <w:style w:type="paragraph" w:styleId="Heading4">
    <w:name w:val="heading 4"/>
    <w:basedOn w:val="Normal"/>
    <w:next w:val="FERCparanumber"/>
    <w:link w:val="Heading4Char"/>
    <w:semiHidden/>
    <w:unhideWhenUsed/>
    <w:qFormat/>
    <w:rsid w:val="007276B6"/>
    <w:pPr>
      <w:keepNext/>
      <w:keepLines/>
      <w:widowControl/>
      <w:numPr>
        <w:ilvl w:val="3"/>
        <w:numId w:val="2"/>
      </w:numPr>
      <w:spacing w:after="260"/>
      <w:outlineLvl w:val="3"/>
    </w:pPr>
    <w:rPr>
      <w:b/>
      <w:bCs/>
      <w:kern w:val="32"/>
      <w:szCs w:val="28"/>
      <w:u w:val="single"/>
    </w:rPr>
  </w:style>
  <w:style w:type="paragraph" w:styleId="Heading5">
    <w:name w:val="heading 5"/>
    <w:basedOn w:val="Normal"/>
    <w:next w:val="FERCparanumber"/>
    <w:link w:val="Heading5Char"/>
    <w:semiHidden/>
    <w:unhideWhenUsed/>
    <w:qFormat/>
    <w:rsid w:val="007276B6"/>
    <w:pPr>
      <w:keepNext/>
      <w:keepLines/>
      <w:widowControl/>
      <w:numPr>
        <w:ilvl w:val="4"/>
        <w:numId w:val="2"/>
      </w:numPr>
      <w:spacing w:after="260"/>
      <w:outlineLvl w:val="4"/>
    </w:pPr>
    <w:rPr>
      <w:b/>
      <w:bCs/>
      <w:iCs/>
      <w:kern w:val="32"/>
      <w:szCs w:val="26"/>
      <w:u w:val="single"/>
    </w:rPr>
  </w:style>
  <w:style w:type="paragraph" w:styleId="Heading6">
    <w:name w:val="heading 6"/>
    <w:basedOn w:val="Normal"/>
    <w:next w:val="FERCparanumber"/>
    <w:link w:val="Heading6Char"/>
    <w:semiHidden/>
    <w:unhideWhenUsed/>
    <w:qFormat/>
    <w:rsid w:val="007276B6"/>
    <w:pPr>
      <w:keepNext/>
      <w:keepLines/>
      <w:widowControl/>
      <w:numPr>
        <w:ilvl w:val="5"/>
        <w:numId w:val="2"/>
      </w:numPr>
      <w:spacing w:after="260"/>
      <w:outlineLvl w:val="5"/>
    </w:pPr>
    <w:rPr>
      <w:b/>
      <w:bCs/>
      <w:kern w:val="32"/>
      <w:szCs w:val="22"/>
      <w:u w:val="single"/>
    </w:rPr>
  </w:style>
  <w:style w:type="paragraph" w:styleId="Heading7">
    <w:name w:val="heading 7"/>
    <w:basedOn w:val="Normal"/>
    <w:next w:val="FERCparanumber"/>
    <w:link w:val="Heading7Char"/>
    <w:semiHidden/>
    <w:unhideWhenUsed/>
    <w:qFormat/>
    <w:rsid w:val="007276B6"/>
    <w:pPr>
      <w:numPr>
        <w:ilvl w:val="6"/>
        <w:numId w:val="2"/>
      </w:numPr>
      <w:spacing w:after="260"/>
      <w:outlineLvl w:val="6"/>
    </w:pPr>
    <w:rPr>
      <w:b/>
      <w:kern w:val="32"/>
      <w:u w:val="single"/>
    </w:rPr>
  </w:style>
  <w:style w:type="paragraph" w:styleId="Heading8">
    <w:name w:val="heading 8"/>
    <w:basedOn w:val="Normal"/>
    <w:next w:val="FERCparanumber"/>
    <w:link w:val="Heading8Char"/>
    <w:semiHidden/>
    <w:unhideWhenUsed/>
    <w:qFormat/>
    <w:rsid w:val="007276B6"/>
    <w:pPr>
      <w:keepNext/>
      <w:keepLines/>
      <w:widowControl/>
      <w:numPr>
        <w:ilvl w:val="7"/>
        <w:numId w:val="2"/>
      </w:numPr>
      <w:spacing w:after="260"/>
      <w:outlineLvl w:val="7"/>
    </w:pPr>
    <w:rPr>
      <w:b/>
      <w:iCs/>
      <w:kern w:val="32"/>
      <w:u w:val="single"/>
    </w:rPr>
  </w:style>
  <w:style w:type="paragraph" w:styleId="Heading9">
    <w:name w:val="heading 9"/>
    <w:basedOn w:val="Normal"/>
    <w:next w:val="FERCparanumber"/>
    <w:link w:val="Heading9Char"/>
    <w:semiHidden/>
    <w:unhideWhenUsed/>
    <w:qFormat/>
    <w:rsid w:val="007276B6"/>
    <w:pPr>
      <w:keepNext/>
      <w:keepLines/>
      <w:widowControl/>
      <w:numPr>
        <w:ilvl w:val="8"/>
        <w:numId w:val="2"/>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link w:val="FERCparanumberChar"/>
    <w:qFormat/>
    <w:rsid w:val="00487256"/>
    <w:pPr>
      <w:numPr>
        <w:numId w:val="1"/>
      </w:numPr>
    </w:pPr>
  </w:style>
  <w:style w:type="character" w:styleId="FootnoteReference">
    <w:name w:val="footnote reference"/>
    <w:basedOn w:val="DefaultParagraphFont"/>
    <w:rsid w:val="00487256"/>
    <w:rPr>
      <w:rFonts w:ascii="Times New Roman" w:hAnsi="Times New Roman"/>
      <w:b/>
      <w:sz w:val="26"/>
      <w:szCs w:val="26"/>
      <w:vertAlign w:val="superscript"/>
    </w:rPr>
  </w:style>
  <w:style w:type="paragraph" w:styleId="FootnoteText">
    <w:name w:val="footnote text"/>
    <w:basedOn w:val="Normal"/>
    <w:link w:val="FootnoteTextChar"/>
    <w:uiPriority w:val="99"/>
    <w:rsid w:val="00487256"/>
    <w:pPr>
      <w:spacing w:after="260"/>
      <w:ind w:firstLine="720"/>
    </w:pPr>
    <w:rPr>
      <w:szCs w:val="20"/>
    </w:rPr>
  </w:style>
  <w:style w:type="character" w:customStyle="1" w:styleId="Heading1Char">
    <w:name w:val="Heading 1 Char"/>
    <w:basedOn w:val="DefaultParagraphFont"/>
    <w:link w:val="Heading1"/>
    <w:rsid w:val="007276B6"/>
    <w:rPr>
      <w:b/>
      <w:bCs/>
      <w:kern w:val="32"/>
      <w:sz w:val="26"/>
      <w:szCs w:val="32"/>
      <w:u w:val="single"/>
    </w:rPr>
  </w:style>
  <w:style w:type="character" w:customStyle="1" w:styleId="Heading2Char">
    <w:name w:val="Heading 2 Char"/>
    <w:basedOn w:val="DefaultParagraphFont"/>
    <w:link w:val="Heading2"/>
    <w:semiHidden/>
    <w:rsid w:val="007276B6"/>
    <w:rPr>
      <w:b/>
      <w:bCs/>
      <w:iCs/>
      <w:kern w:val="32"/>
      <w:sz w:val="26"/>
      <w:szCs w:val="28"/>
      <w:u w:val="single"/>
    </w:rPr>
  </w:style>
  <w:style w:type="character" w:customStyle="1" w:styleId="Heading3Char">
    <w:name w:val="Heading 3 Char"/>
    <w:basedOn w:val="DefaultParagraphFont"/>
    <w:link w:val="Heading3"/>
    <w:semiHidden/>
    <w:rsid w:val="007276B6"/>
    <w:rPr>
      <w:b/>
      <w:bCs/>
      <w:kern w:val="32"/>
      <w:sz w:val="26"/>
      <w:szCs w:val="26"/>
      <w:u w:val="single"/>
    </w:rPr>
  </w:style>
  <w:style w:type="character" w:customStyle="1" w:styleId="Heading4Char">
    <w:name w:val="Heading 4 Char"/>
    <w:basedOn w:val="DefaultParagraphFont"/>
    <w:link w:val="Heading4"/>
    <w:semiHidden/>
    <w:rsid w:val="007276B6"/>
    <w:rPr>
      <w:b/>
      <w:bCs/>
      <w:kern w:val="32"/>
      <w:sz w:val="26"/>
      <w:szCs w:val="28"/>
      <w:u w:val="single"/>
    </w:rPr>
  </w:style>
  <w:style w:type="character" w:customStyle="1" w:styleId="Heading5Char">
    <w:name w:val="Heading 5 Char"/>
    <w:basedOn w:val="DefaultParagraphFont"/>
    <w:link w:val="Heading5"/>
    <w:semiHidden/>
    <w:rsid w:val="007276B6"/>
    <w:rPr>
      <w:b/>
      <w:bCs/>
      <w:iCs/>
      <w:kern w:val="32"/>
      <w:sz w:val="26"/>
      <w:szCs w:val="26"/>
      <w:u w:val="single"/>
    </w:rPr>
  </w:style>
  <w:style w:type="character" w:customStyle="1" w:styleId="Heading6Char">
    <w:name w:val="Heading 6 Char"/>
    <w:basedOn w:val="DefaultParagraphFont"/>
    <w:link w:val="Heading6"/>
    <w:semiHidden/>
    <w:rsid w:val="007276B6"/>
    <w:rPr>
      <w:b/>
      <w:bCs/>
      <w:kern w:val="32"/>
      <w:sz w:val="26"/>
      <w:szCs w:val="22"/>
      <w:u w:val="single"/>
    </w:rPr>
  </w:style>
  <w:style w:type="character" w:customStyle="1" w:styleId="Heading7Char">
    <w:name w:val="Heading 7 Char"/>
    <w:basedOn w:val="DefaultParagraphFont"/>
    <w:link w:val="Heading7"/>
    <w:semiHidden/>
    <w:rsid w:val="007276B6"/>
    <w:rPr>
      <w:b/>
      <w:kern w:val="32"/>
      <w:sz w:val="26"/>
      <w:szCs w:val="24"/>
      <w:u w:val="single"/>
    </w:rPr>
  </w:style>
  <w:style w:type="character" w:customStyle="1" w:styleId="Heading8Char">
    <w:name w:val="Heading 8 Char"/>
    <w:basedOn w:val="DefaultParagraphFont"/>
    <w:link w:val="Heading8"/>
    <w:semiHidden/>
    <w:rsid w:val="007276B6"/>
    <w:rPr>
      <w:b/>
      <w:iCs/>
      <w:kern w:val="32"/>
      <w:sz w:val="26"/>
      <w:szCs w:val="24"/>
      <w:u w:val="single"/>
    </w:rPr>
  </w:style>
  <w:style w:type="character" w:customStyle="1" w:styleId="Heading9Char">
    <w:name w:val="Heading 9 Char"/>
    <w:basedOn w:val="DefaultParagraphFont"/>
    <w:link w:val="Heading9"/>
    <w:semiHidden/>
    <w:rsid w:val="007276B6"/>
    <w:rPr>
      <w:b/>
      <w:kern w:val="32"/>
      <w:sz w:val="26"/>
      <w:szCs w:val="22"/>
      <w:u w:val="single"/>
    </w:rPr>
  </w:style>
  <w:style w:type="character" w:styleId="Hyperlink">
    <w:name w:val="Hyperlink"/>
    <w:basedOn w:val="DefaultParagraphFont"/>
    <w:unhideWhenUsed/>
    <w:rsid w:val="007276B6"/>
    <w:rPr>
      <w:color w:val="0000FF"/>
      <w:u w:val="single"/>
    </w:rPr>
  </w:style>
  <w:style w:type="character" w:customStyle="1" w:styleId="FootnoteTextChar">
    <w:name w:val="Footnote Text Char"/>
    <w:basedOn w:val="DefaultParagraphFont"/>
    <w:link w:val="FootnoteText"/>
    <w:uiPriority w:val="99"/>
    <w:rsid w:val="007276B6"/>
    <w:rPr>
      <w:sz w:val="26"/>
    </w:rPr>
  </w:style>
  <w:style w:type="character" w:customStyle="1" w:styleId="FERCparanumberChar">
    <w:name w:val="FERC paranumber Char"/>
    <w:link w:val="FERCparanumber"/>
    <w:locked/>
    <w:rsid w:val="007276B6"/>
    <w:rPr>
      <w:sz w:val="26"/>
      <w:szCs w:val="24"/>
    </w:rPr>
  </w:style>
  <w:style w:type="character" w:styleId="Emphasis">
    <w:name w:val="Emphasis"/>
    <w:basedOn w:val="DefaultParagraphFont"/>
    <w:qFormat/>
    <w:rsid w:val="007276B6"/>
    <w:rPr>
      <w:i/>
      <w:iCs/>
    </w:rPr>
  </w:style>
  <w:style w:type="paragraph" w:styleId="Header">
    <w:name w:val="header"/>
    <w:basedOn w:val="Normal"/>
    <w:link w:val="HeaderChar"/>
    <w:rsid w:val="007276B6"/>
    <w:pPr>
      <w:tabs>
        <w:tab w:val="center" w:pos="4680"/>
        <w:tab w:val="right" w:pos="9360"/>
      </w:tabs>
    </w:pPr>
  </w:style>
  <w:style w:type="character" w:customStyle="1" w:styleId="HeaderChar">
    <w:name w:val="Header Char"/>
    <w:basedOn w:val="DefaultParagraphFont"/>
    <w:link w:val="Header"/>
    <w:rsid w:val="007276B6"/>
    <w:rPr>
      <w:sz w:val="26"/>
      <w:szCs w:val="24"/>
    </w:rPr>
  </w:style>
  <w:style w:type="paragraph" w:styleId="Footer">
    <w:name w:val="footer"/>
    <w:basedOn w:val="Normal"/>
    <w:link w:val="FooterChar"/>
    <w:rsid w:val="007276B6"/>
    <w:pPr>
      <w:tabs>
        <w:tab w:val="center" w:pos="4680"/>
        <w:tab w:val="right" w:pos="9360"/>
      </w:tabs>
    </w:pPr>
  </w:style>
  <w:style w:type="character" w:customStyle="1" w:styleId="FooterChar">
    <w:name w:val="Footer Char"/>
    <w:basedOn w:val="DefaultParagraphFont"/>
    <w:link w:val="Footer"/>
    <w:rsid w:val="007276B6"/>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84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ba.gov/sites/default/files/files/Size_Standards_Tab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3650</Words>
  <Characters>20808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Federal Energy Regulatory Commission</Company>
  <LinksUpToDate>false</LinksUpToDate>
  <CharactersWithSpaces>24410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Palmer</dc:creator>
  <cp:lastModifiedBy>Richard Palmer</cp:lastModifiedBy>
  <cp:revision>1</cp:revision>
  <dcterms:created xsi:type="dcterms:W3CDTF">2013-12-02T20:36:00Z</dcterms:created>
  <dcterms:modified xsi:type="dcterms:W3CDTF">2013-12-02T20:37:00Z</dcterms:modified>
</cp:coreProperties>
</file>