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2A" w:rsidRPr="00313C2A" w:rsidRDefault="00313C2A" w:rsidP="00313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C2A">
        <w:rPr>
          <w:rFonts w:ascii="Times New Roman" w:hAnsi="Times New Roman" w:cs="Times New Roman"/>
          <w:b/>
          <w:bCs/>
          <w:sz w:val="24"/>
          <w:szCs w:val="24"/>
        </w:rPr>
        <w:t>Justification for Nonmaterial/</w:t>
      </w:r>
      <w:proofErr w:type="spellStart"/>
      <w:r w:rsidRPr="00313C2A">
        <w:rPr>
          <w:rFonts w:ascii="Times New Roman" w:hAnsi="Times New Roman" w:cs="Times New Roman"/>
          <w:b/>
          <w:bCs/>
          <w:sz w:val="24"/>
          <w:szCs w:val="24"/>
        </w:rPr>
        <w:t>Nonsubstantive</w:t>
      </w:r>
      <w:proofErr w:type="spellEnd"/>
      <w:r w:rsidRPr="00313C2A">
        <w:rPr>
          <w:rFonts w:ascii="Times New Roman" w:hAnsi="Times New Roman" w:cs="Times New Roman"/>
          <w:b/>
          <w:bCs/>
          <w:sz w:val="24"/>
          <w:szCs w:val="24"/>
        </w:rPr>
        <w:t xml:space="preserve"> Change for</w:t>
      </w:r>
    </w:p>
    <w:p w:rsidR="00313C2A" w:rsidRPr="00313C2A" w:rsidRDefault="00313C2A" w:rsidP="00313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C2A">
        <w:rPr>
          <w:rFonts w:ascii="Times New Roman" w:hAnsi="Times New Roman" w:cs="Times New Roman"/>
          <w:b/>
          <w:bCs/>
          <w:sz w:val="24"/>
          <w:szCs w:val="24"/>
        </w:rPr>
        <w:t>OMB Control Number 2126-0017 ICR</w:t>
      </w:r>
    </w:p>
    <w:p w:rsidR="00313C2A" w:rsidRPr="00313C2A" w:rsidRDefault="00313C2A" w:rsidP="00313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C2A" w:rsidRPr="00313C2A" w:rsidRDefault="00313C2A" w:rsidP="00313C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C2A">
        <w:rPr>
          <w:rFonts w:ascii="Times New Roman" w:hAnsi="Times New Roman" w:cs="Times New Roman"/>
          <w:b/>
          <w:bCs/>
          <w:sz w:val="24"/>
          <w:szCs w:val="24"/>
        </w:rPr>
        <w:t>Financial Responsibility, Trucking and Freight Forwarding</w:t>
      </w:r>
    </w:p>
    <w:p w:rsidR="00313C2A" w:rsidRPr="00313C2A" w:rsidRDefault="00313C2A" w:rsidP="00313C2A">
      <w:pPr>
        <w:rPr>
          <w:rFonts w:ascii="Times New Roman" w:hAnsi="Times New Roman" w:cs="Times New Roman"/>
          <w:sz w:val="24"/>
          <w:szCs w:val="24"/>
        </w:rPr>
      </w:pPr>
    </w:p>
    <w:p w:rsidR="00767D28" w:rsidRDefault="00313C2A" w:rsidP="00313C2A">
      <w:pPr>
        <w:rPr>
          <w:rFonts w:ascii="Times New Roman" w:hAnsi="Times New Roman" w:cs="Times New Roman"/>
          <w:sz w:val="24"/>
          <w:szCs w:val="24"/>
        </w:rPr>
      </w:pPr>
      <w:r w:rsidRPr="00313C2A">
        <w:rPr>
          <w:rFonts w:ascii="Times New Roman" w:hAnsi="Times New Roman" w:cs="Times New Roman"/>
          <w:sz w:val="24"/>
          <w:szCs w:val="24"/>
        </w:rPr>
        <w:t>This Justification for a Nonmaterial/</w:t>
      </w:r>
      <w:proofErr w:type="spellStart"/>
      <w:r w:rsidRPr="00313C2A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Pr="00313C2A">
        <w:rPr>
          <w:rFonts w:ascii="Times New Roman" w:hAnsi="Times New Roman" w:cs="Times New Roman"/>
          <w:sz w:val="24"/>
          <w:szCs w:val="24"/>
        </w:rPr>
        <w:t xml:space="preserve"> Change is to request the Office of Management and Budget’s (OMB) approval of </w:t>
      </w:r>
      <w:proofErr w:type="spellStart"/>
      <w:r w:rsidRPr="00313C2A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Pr="00313C2A">
        <w:rPr>
          <w:rFonts w:ascii="Times New Roman" w:hAnsi="Times New Roman" w:cs="Times New Roman"/>
          <w:sz w:val="24"/>
          <w:szCs w:val="24"/>
        </w:rPr>
        <w:t xml:space="preserve"> changes to Forms BMC-84 and BMC-85 in the OMB Control Number 2126-0017, “Financial Responsibility, Trucking and Freight Forwarding” information collection request</w:t>
      </w:r>
      <w:r w:rsidR="0088245E">
        <w:rPr>
          <w:rFonts w:ascii="Times New Roman" w:hAnsi="Times New Roman" w:cs="Times New Roman"/>
          <w:sz w:val="24"/>
          <w:szCs w:val="24"/>
        </w:rPr>
        <w:t xml:space="preserve"> </w:t>
      </w:r>
      <w:r w:rsidRPr="00313C2A">
        <w:rPr>
          <w:rFonts w:ascii="Times New Roman" w:hAnsi="Times New Roman" w:cs="Times New Roman"/>
          <w:sz w:val="24"/>
          <w:szCs w:val="24"/>
        </w:rPr>
        <w:t>(ICR).</w:t>
      </w:r>
    </w:p>
    <w:p w:rsidR="00767D28" w:rsidRDefault="00767D28" w:rsidP="00313C2A">
      <w:pPr>
        <w:rPr>
          <w:rFonts w:ascii="Times New Roman" w:hAnsi="Times New Roman" w:cs="Times New Roman"/>
          <w:sz w:val="24"/>
          <w:szCs w:val="24"/>
        </w:rPr>
      </w:pPr>
    </w:p>
    <w:p w:rsidR="00EA23AF" w:rsidRPr="00992F79" w:rsidRDefault="009B04CF" w:rsidP="00313C2A">
      <w:pPr>
        <w:rPr>
          <w:rFonts w:ascii="Times New Roman" w:hAnsi="Times New Roman" w:cs="Times New Roman"/>
          <w:sz w:val="24"/>
          <w:szCs w:val="24"/>
        </w:rPr>
      </w:pPr>
      <w:r w:rsidRPr="00543B07">
        <w:rPr>
          <w:rFonts w:ascii="Times New Roman" w:hAnsi="Times New Roman" w:cs="Times New Roman"/>
          <w:sz w:val="24"/>
          <w:szCs w:val="24"/>
        </w:rPr>
        <w:t>Currently, all brokers</w:t>
      </w:r>
      <w:r w:rsidR="003B2CD6" w:rsidRPr="00543B07">
        <w:rPr>
          <w:rFonts w:ascii="Times New Roman" w:hAnsi="Times New Roman" w:cs="Times New Roman"/>
          <w:sz w:val="24"/>
          <w:szCs w:val="24"/>
        </w:rPr>
        <w:t xml:space="preserve"> </w:t>
      </w:r>
      <w:r w:rsidR="003B2CD6" w:rsidRPr="00992F79">
        <w:rPr>
          <w:rFonts w:ascii="Times New Roman" w:hAnsi="Times New Roman" w:cs="Times New Roman"/>
          <w:sz w:val="24"/>
          <w:szCs w:val="24"/>
        </w:rPr>
        <w:t xml:space="preserve">of interstate </w:t>
      </w:r>
      <w:r w:rsidR="00A340EE" w:rsidRPr="00992F79">
        <w:rPr>
          <w:rFonts w:ascii="Times New Roman" w:hAnsi="Times New Roman" w:cs="Times New Roman"/>
          <w:sz w:val="24"/>
          <w:szCs w:val="24"/>
        </w:rPr>
        <w:t>transportation</w:t>
      </w:r>
      <w:r w:rsidRPr="00987167">
        <w:rPr>
          <w:rFonts w:ascii="Times New Roman" w:hAnsi="Times New Roman" w:cs="Times New Roman"/>
          <w:sz w:val="24"/>
          <w:szCs w:val="24"/>
        </w:rPr>
        <w:t xml:space="preserve"> </w:t>
      </w:r>
      <w:r w:rsidRPr="007F0C2A">
        <w:rPr>
          <w:rFonts w:ascii="Times New Roman" w:hAnsi="Times New Roman" w:cs="Times New Roman"/>
          <w:sz w:val="24"/>
          <w:szCs w:val="24"/>
        </w:rPr>
        <w:t xml:space="preserve">must have a surety bond or trust fund in effect and on file with the Federal Motor Carrier Safety Administration (FMCSA) in the amount of </w:t>
      </w:r>
      <w:r w:rsidR="003B2CD6" w:rsidRPr="00992F79">
        <w:rPr>
          <w:rFonts w:ascii="Times New Roman" w:hAnsi="Times New Roman" w:cs="Times New Roman"/>
          <w:sz w:val="24"/>
          <w:szCs w:val="24"/>
        </w:rPr>
        <w:t xml:space="preserve">either </w:t>
      </w:r>
      <w:r w:rsidRPr="00992F79">
        <w:rPr>
          <w:rFonts w:ascii="Times New Roman" w:hAnsi="Times New Roman" w:cs="Times New Roman"/>
          <w:sz w:val="24"/>
          <w:szCs w:val="24"/>
        </w:rPr>
        <w:t>$10,000</w:t>
      </w:r>
      <w:r w:rsidR="009E6F45" w:rsidRPr="00992F79">
        <w:rPr>
          <w:rFonts w:ascii="Times New Roman" w:hAnsi="Times New Roman" w:cs="Times New Roman"/>
          <w:sz w:val="24"/>
          <w:szCs w:val="24"/>
        </w:rPr>
        <w:t xml:space="preserve"> or $25,000</w:t>
      </w:r>
      <w:r w:rsidR="003B2CD6" w:rsidRPr="00992F79">
        <w:rPr>
          <w:rFonts w:ascii="Times New Roman" w:hAnsi="Times New Roman" w:cs="Times New Roman"/>
          <w:sz w:val="24"/>
          <w:szCs w:val="24"/>
        </w:rPr>
        <w:t xml:space="preserve"> in the case of </w:t>
      </w:r>
      <w:r w:rsidR="009E6F45" w:rsidRPr="00992F79">
        <w:rPr>
          <w:rFonts w:ascii="Times New Roman" w:hAnsi="Times New Roman" w:cs="Times New Roman"/>
          <w:sz w:val="24"/>
          <w:szCs w:val="24"/>
        </w:rPr>
        <w:t>Household Goods Brokers</w:t>
      </w:r>
      <w:r w:rsidRPr="00992F79">
        <w:rPr>
          <w:rFonts w:ascii="Times New Roman" w:hAnsi="Times New Roman" w:cs="Times New Roman"/>
          <w:sz w:val="24"/>
          <w:szCs w:val="24"/>
        </w:rPr>
        <w:t xml:space="preserve">.  </w:t>
      </w:r>
      <w:r w:rsidR="007B579D" w:rsidRPr="00992F79">
        <w:rPr>
          <w:rFonts w:ascii="Times New Roman" w:hAnsi="Times New Roman" w:cs="Times New Roman"/>
          <w:sz w:val="24"/>
          <w:szCs w:val="24"/>
        </w:rPr>
        <w:t>All brokers must file e</w:t>
      </w:r>
      <w:r w:rsidR="0067377E" w:rsidRPr="00992F79">
        <w:rPr>
          <w:rFonts w:ascii="Times New Roman" w:hAnsi="Times New Roman" w:cs="Times New Roman"/>
          <w:sz w:val="24"/>
          <w:szCs w:val="24"/>
        </w:rPr>
        <w:t xml:space="preserve">vidence of compliance with this requirement </w:t>
      </w:r>
      <w:r w:rsidR="007B579D" w:rsidRPr="00992F79">
        <w:rPr>
          <w:rFonts w:ascii="Times New Roman" w:hAnsi="Times New Roman" w:cs="Times New Roman"/>
          <w:sz w:val="24"/>
          <w:szCs w:val="24"/>
        </w:rPr>
        <w:t>using either</w:t>
      </w:r>
      <w:r w:rsidR="0067377E" w:rsidRPr="00992F79">
        <w:rPr>
          <w:rFonts w:ascii="Times New Roman" w:hAnsi="Times New Roman" w:cs="Times New Roman"/>
          <w:sz w:val="24"/>
          <w:szCs w:val="24"/>
        </w:rPr>
        <w:t xml:space="preserve"> Form BMC-84 (Surety Bond) or Form BMC-85 (Trust Fund).  </w:t>
      </w:r>
      <w:r w:rsidR="00DF0C15" w:rsidRPr="00992F79">
        <w:rPr>
          <w:rFonts w:ascii="Times New Roman" w:hAnsi="Times New Roman" w:cs="Times New Roman"/>
          <w:sz w:val="24"/>
          <w:szCs w:val="24"/>
        </w:rPr>
        <w:t xml:space="preserve">Last year, </w:t>
      </w:r>
      <w:r w:rsidR="003B2CD6" w:rsidRPr="00992F79">
        <w:rPr>
          <w:rFonts w:ascii="Times New Roman" w:hAnsi="Times New Roman" w:cs="Times New Roman"/>
          <w:sz w:val="24"/>
          <w:szCs w:val="24"/>
        </w:rPr>
        <w:t xml:space="preserve">Congress enacted, </w:t>
      </w:r>
      <w:hyperlink r:id="rId9" w:tgtFrame="_blank" w:history="1">
        <w:r w:rsidR="003B2CD6" w:rsidRPr="00992F79">
          <w:rPr>
            <w:rFonts w:ascii="Times New Roman" w:eastAsia="Times New Roman" w:hAnsi="Times New Roman" w:cs="Times New Roman"/>
            <w:sz w:val="24"/>
            <w:szCs w:val="24"/>
          </w:rPr>
          <w:t>Moving Ahead for Progress in the 21st Century Act (MAP-21); P.L. 112-141</w:t>
        </w:r>
      </w:hyperlink>
      <w:r w:rsidR="00A340EE">
        <w:rPr>
          <w:rFonts w:ascii="Times New Roman" w:eastAsia="Times New Roman" w:hAnsi="Times New Roman" w:cs="Times New Roman"/>
          <w:sz w:val="24"/>
          <w:szCs w:val="24"/>
        </w:rPr>
        <w:t>, 126 Stat. 405, Section 32918, July 6, 2012.</w:t>
      </w:r>
      <w:r w:rsidR="00CC3015" w:rsidRPr="00992F79">
        <w:rPr>
          <w:rFonts w:ascii="Times New Roman" w:eastAsia="Times New Roman" w:hAnsi="Times New Roman" w:cs="Times New Roman"/>
          <w:sz w:val="24"/>
          <w:szCs w:val="24"/>
        </w:rPr>
        <w:t>(See Attachment 1)</w:t>
      </w:r>
      <w:r w:rsidR="003B2CD6" w:rsidRPr="00992F79">
        <w:rPr>
          <w:rFonts w:ascii="Times New Roman" w:hAnsi="Times New Roman" w:cs="Times New Roman"/>
          <w:sz w:val="24"/>
          <w:szCs w:val="24"/>
        </w:rPr>
        <w:t xml:space="preserve">, which included a requirement that FMCSA increase the current surety bond levels applicable to brokers to $75,000 and extended this requirement to freight forwarders of interstate transportation. Congress directed FMCSA to make these non-discretionary changes effective on October 1, 2013.  To effectuate these statutory requirements, FMCSA must amend </w:t>
      </w:r>
      <w:r w:rsidRPr="00992F79">
        <w:rPr>
          <w:rFonts w:ascii="Times New Roman" w:hAnsi="Times New Roman" w:cs="Times New Roman"/>
          <w:sz w:val="24"/>
          <w:szCs w:val="24"/>
        </w:rPr>
        <w:t>Form</w:t>
      </w:r>
      <w:r w:rsidR="003B2CD6" w:rsidRPr="00992F79">
        <w:rPr>
          <w:rFonts w:ascii="Times New Roman" w:hAnsi="Times New Roman" w:cs="Times New Roman"/>
          <w:sz w:val="24"/>
          <w:szCs w:val="24"/>
        </w:rPr>
        <w:t>s</w:t>
      </w:r>
      <w:r w:rsidRPr="00992F79">
        <w:rPr>
          <w:rFonts w:ascii="Times New Roman" w:hAnsi="Times New Roman" w:cs="Times New Roman"/>
          <w:sz w:val="24"/>
          <w:szCs w:val="24"/>
        </w:rPr>
        <w:t xml:space="preserve"> BMC-84 and BMC-85.</w:t>
      </w:r>
    </w:p>
    <w:p w:rsidR="00EA23AF" w:rsidRPr="00992F79" w:rsidRDefault="00EA23AF" w:rsidP="00313C2A">
      <w:pPr>
        <w:rPr>
          <w:rFonts w:ascii="Times New Roman" w:hAnsi="Times New Roman" w:cs="Times New Roman"/>
          <w:sz w:val="24"/>
          <w:szCs w:val="24"/>
        </w:rPr>
      </w:pPr>
    </w:p>
    <w:p w:rsidR="00EA23AF" w:rsidRPr="007F0C2A" w:rsidRDefault="00183221" w:rsidP="00313C2A">
      <w:pPr>
        <w:rPr>
          <w:rFonts w:ascii="Times New Roman" w:hAnsi="Times New Roman" w:cs="Times New Roman"/>
          <w:sz w:val="24"/>
          <w:szCs w:val="24"/>
        </w:rPr>
      </w:pPr>
      <w:r w:rsidRPr="00992F79">
        <w:rPr>
          <w:rFonts w:ascii="Times New Roman" w:hAnsi="Times New Roman" w:cs="Times New Roman"/>
          <w:sz w:val="24"/>
          <w:szCs w:val="24"/>
        </w:rPr>
        <w:t xml:space="preserve">The information collected on the forms will </w:t>
      </w:r>
      <w:r w:rsidR="00DF0C15" w:rsidRPr="00992F79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992F79">
        <w:rPr>
          <w:rFonts w:ascii="Times New Roman" w:hAnsi="Times New Roman" w:cs="Times New Roman"/>
          <w:sz w:val="24"/>
          <w:szCs w:val="24"/>
        </w:rPr>
        <w:t xml:space="preserve">be used to ensure </w:t>
      </w:r>
      <w:r w:rsidR="007B579D" w:rsidRPr="00992F79">
        <w:rPr>
          <w:rFonts w:ascii="Times New Roman" w:hAnsi="Times New Roman" w:cs="Times New Roman"/>
          <w:sz w:val="24"/>
          <w:szCs w:val="24"/>
        </w:rPr>
        <w:t>brokers</w:t>
      </w:r>
      <w:r w:rsidR="00470528" w:rsidRPr="00992F79">
        <w:rPr>
          <w:rFonts w:ascii="Times New Roman" w:hAnsi="Times New Roman" w:cs="Times New Roman"/>
          <w:sz w:val="24"/>
          <w:szCs w:val="24"/>
        </w:rPr>
        <w:t xml:space="preserve"> and freight forwarders</w:t>
      </w:r>
      <w:r w:rsidR="007B579D" w:rsidRPr="00992F79">
        <w:rPr>
          <w:rFonts w:ascii="Times New Roman" w:hAnsi="Times New Roman" w:cs="Times New Roman"/>
          <w:sz w:val="24"/>
          <w:szCs w:val="24"/>
        </w:rPr>
        <w:t xml:space="preserve"> </w:t>
      </w:r>
      <w:r w:rsidR="000237C8" w:rsidRPr="00992F79">
        <w:rPr>
          <w:rFonts w:ascii="Times New Roman" w:hAnsi="Times New Roman" w:cs="Times New Roman"/>
          <w:sz w:val="24"/>
          <w:szCs w:val="24"/>
        </w:rPr>
        <w:t xml:space="preserve">comply </w:t>
      </w:r>
      <w:r w:rsidRPr="00992F79">
        <w:rPr>
          <w:rFonts w:ascii="Times New Roman" w:hAnsi="Times New Roman" w:cs="Times New Roman"/>
          <w:sz w:val="24"/>
          <w:szCs w:val="24"/>
        </w:rPr>
        <w:t xml:space="preserve">with </w:t>
      </w:r>
      <w:r w:rsidR="009A4EC4" w:rsidRPr="00992F79">
        <w:rPr>
          <w:rFonts w:ascii="Times New Roman" w:hAnsi="Times New Roman" w:cs="Times New Roman"/>
          <w:sz w:val="24"/>
          <w:szCs w:val="24"/>
        </w:rPr>
        <w:t>financial responsibility r</w:t>
      </w:r>
      <w:r w:rsidRPr="00992F79">
        <w:rPr>
          <w:rFonts w:ascii="Times New Roman" w:hAnsi="Times New Roman" w:cs="Times New Roman"/>
          <w:sz w:val="24"/>
          <w:szCs w:val="24"/>
        </w:rPr>
        <w:t>equirement</w:t>
      </w:r>
      <w:r w:rsidR="007B579D" w:rsidRPr="00992F79">
        <w:rPr>
          <w:rFonts w:ascii="Times New Roman" w:hAnsi="Times New Roman" w:cs="Times New Roman"/>
          <w:sz w:val="24"/>
          <w:szCs w:val="24"/>
        </w:rPr>
        <w:t>s</w:t>
      </w:r>
      <w:r w:rsidR="009A4EC4" w:rsidRPr="00992F79">
        <w:rPr>
          <w:rFonts w:ascii="Times New Roman" w:hAnsi="Times New Roman" w:cs="Times New Roman"/>
          <w:sz w:val="24"/>
          <w:szCs w:val="24"/>
        </w:rPr>
        <w:t>.</w:t>
      </w:r>
      <w:r w:rsidRPr="00992F79">
        <w:rPr>
          <w:rFonts w:ascii="Times New Roman" w:hAnsi="Times New Roman" w:cs="Times New Roman"/>
          <w:sz w:val="24"/>
          <w:szCs w:val="24"/>
        </w:rPr>
        <w:t xml:space="preserve">  </w:t>
      </w:r>
      <w:r w:rsidR="00DF0C15" w:rsidRPr="00992F79">
        <w:rPr>
          <w:rFonts w:ascii="Times New Roman" w:hAnsi="Times New Roman" w:cs="Times New Roman"/>
          <w:sz w:val="24"/>
          <w:szCs w:val="24"/>
        </w:rPr>
        <w:t xml:space="preserve">The changes to the form </w:t>
      </w:r>
      <w:r w:rsidR="007B579D" w:rsidRPr="00992F79">
        <w:rPr>
          <w:rFonts w:ascii="Times New Roman" w:hAnsi="Times New Roman" w:cs="Times New Roman"/>
          <w:sz w:val="24"/>
          <w:szCs w:val="24"/>
        </w:rPr>
        <w:t>merely acknowledge the new</w:t>
      </w:r>
      <w:r w:rsidR="00DF0C15" w:rsidRPr="00992F79">
        <w:rPr>
          <w:rFonts w:ascii="Times New Roman" w:hAnsi="Times New Roman" w:cs="Times New Roman"/>
          <w:sz w:val="24"/>
          <w:szCs w:val="24"/>
        </w:rPr>
        <w:t xml:space="preserve"> minimum levels of financial responsibility </w:t>
      </w:r>
      <w:r w:rsidR="007F0C2A">
        <w:rPr>
          <w:rFonts w:ascii="Times New Roman" w:hAnsi="Times New Roman" w:cs="Times New Roman"/>
          <w:sz w:val="24"/>
          <w:szCs w:val="24"/>
        </w:rPr>
        <w:t xml:space="preserve">for all brokers and reflect that </w:t>
      </w:r>
      <w:r w:rsidR="000237C8" w:rsidRPr="007F0C2A">
        <w:rPr>
          <w:rFonts w:ascii="Times New Roman" w:hAnsi="Times New Roman" w:cs="Times New Roman"/>
          <w:sz w:val="24"/>
          <w:szCs w:val="24"/>
        </w:rPr>
        <w:t xml:space="preserve">Congress </w:t>
      </w:r>
      <w:r w:rsidR="007F0C2A">
        <w:rPr>
          <w:rFonts w:ascii="Times New Roman" w:hAnsi="Times New Roman" w:cs="Times New Roman"/>
          <w:sz w:val="24"/>
          <w:szCs w:val="24"/>
        </w:rPr>
        <w:t>extended the mandate to</w:t>
      </w:r>
      <w:r w:rsidR="000237C8" w:rsidRPr="007F0C2A">
        <w:rPr>
          <w:rFonts w:ascii="Times New Roman" w:hAnsi="Times New Roman" w:cs="Times New Roman"/>
          <w:sz w:val="24"/>
          <w:szCs w:val="24"/>
        </w:rPr>
        <w:t xml:space="preserve"> </w:t>
      </w:r>
      <w:r w:rsidR="00470528" w:rsidRPr="007F0C2A">
        <w:rPr>
          <w:rFonts w:ascii="Times New Roman" w:hAnsi="Times New Roman" w:cs="Times New Roman"/>
          <w:sz w:val="24"/>
          <w:szCs w:val="24"/>
        </w:rPr>
        <w:t>freight forwarder</w:t>
      </w:r>
      <w:r w:rsidR="007F0C2A">
        <w:rPr>
          <w:rFonts w:ascii="Times New Roman" w:hAnsi="Times New Roman" w:cs="Times New Roman"/>
          <w:sz w:val="24"/>
          <w:szCs w:val="24"/>
        </w:rPr>
        <w:t xml:space="preserve"> as well</w:t>
      </w:r>
      <w:r w:rsidR="00470528" w:rsidRPr="007F0C2A">
        <w:rPr>
          <w:rFonts w:ascii="Times New Roman" w:hAnsi="Times New Roman" w:cs="Times New Roman"/>
          <w:sz w:val="24"/>
          <w:szCs w:val="24"/>
        </w:rPr>
        <w:t>s</w:t>
      </w:r>
      <w:r w:rsidR="00DF0C15" w:rsidRPr="007F0C2A">
        <w:rPr>
          <w:rFonts w:ascii="Times New Roman" w:hAnsi="Times New Roman" w:cs="Times New Roman"/>
          <w:sz w:val="24"/>
          <w:szCs w:val="24"/>
        </w:rPr>
        <w:t xml:space="preserve">.  </w:t>
      </w:r>
      <w:r w:rsidR="007B579D" w:rsidRPr="007F0C2A">
        <w:rPr>
          <w:rFonts w:ascii="Times New Roman" w:hAnsi="Times New Roman" w:cs="Times New Roman"/>
          <w:sz w:val="24"/>
          <w:szCs w:val="24"/>
        </w:rPr>
        <w:t xml:space="preserve">No other changes to the form will be made and no new or additional information will be collected.  </w:t>
      </w:r>
      <w:r w:rsidR="000237C8" w:rsidRPr="007F0C2A">
        <w:rPr>
          <w:rFonts w:ascii="Times New Roman" w:hAnsi="Times New Roman" w:cs="Times New Roman"/>
          <w:sz w:val="24"/>
          <w:szCs w:val="24"/>
        </w:rPr>
        <w:t xml:space="preserve">The changes to this form are solely limited to making those nondiscretionary changes Congress mandated that the Agency implement by October 1, 2013.  </w:t>
      </w:r>
      <w:r w:rsidR="00313C2A" w:rsidRPr="007F0C2A">
        <w:rPr>
          <w:rFonts w:ascii="Times New Roman" w:hAnsi="Times New Roman" w:cs="Times New Roman"/>
          <w:sz w:val="24"/>
          <w:szCs w:val="24"/>
        </w:rPr>
        <w:t>This nonmaterial/</w:t>
      </w:r>
      <w:proofErr w:type="spellStart"/>
      <w:r w:rsidR="00313C2A" w:rsidRPr="007F0C2A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="00313C2A" w:rsidRPr="007F0C2A">
        <w:rPr>
          <w:rFonts w:ascii="Times New Roman" w:hAnsi="Times New Roman" w:cs="Times New Roman"/>
          <w:sz w:val="24"/>
          <w:szCs w:val="24"/>
        </w:rPr>
        <w:t xml:space="preserve"> change </w:t>
      </w:r>
      <w:r w:rsidRPr="007F0C2A">
        <w:rPr>
          <w:rFonts w:ascii="Times New Roman" w:hAnsi="Times New Roman" w:cs="Times New Roman"/>
          <w:sz w:val="24"/>
          <w:szCs w:val="24"/>
        </w:rPr>
        <w:t xml:space="preserve">to each form </w:t>
      </w:r>
      <w:r w:rsidR="00313C2A" w:rsidRPr="007F0C2A">
        <w:rPr>
          <w:rFonts w:ascii="Times New Roman" w:hAnsi="Times New Roman" w:cs="Times New Roman"/>
          <w:sz w:val="24"/>
          <w:szCs w:val="24"/>
        </w:rPr>
        <w:t>is being requested in accordance with</w:t>
      </w:r>
      <w:r w:rsidR="006D357A">
        <w:rPr>
          <w:rFonts w:ascii="Times New Roman" w:hAnsi="Times New Roman" w:cs="Times New Roman"/>
          <w:sz w:val="24"/>
          <w:szCs w:val="24"/>
        </w:rPr>
        <w:t xml:space="preserve"> changes to</w:t>
      </w:r>
      <w:r w:rsidR="00EA23AF" w:rsidRPr="007F0C2A">
        <w:rPr>
          <w:rFonts w:ascii="Times New Roman" w:hAnsi="Times New Roman" w:cs="Times New Roman"/>
          <w:sz w:val="24"/>
          <w:szCs w:val="24"/>
        </w:rPr>
        <w:t xml:space="preserve"> Title 49, Code of Federal Regulations, revised Part 387, Minimum Levels of Financial Responsibility for Motor Carriers, at </w:t>
      </w:r>
      <w:r w:rsidR="00B91B01" w:rsidRPr="007F0C2A">
        <w:rPr>
          <w:rFonts w:ascii="Times New Roman" w:hAnsi="Times New Roman" w:cs="Times New Roman"/>
          <w:sz w:val="24"/>
          <w:szCs w:val="24"/>
        </w:rPr>
        <w:t xml:space="preserve">§ </w:t>
      </w:r>
      <w:r w:rsidR="00EA23AF" w:rsidRPr="007F0C2A">
        <w:rPr>
          <w:rFonts w:ascii="Times New Roman" w:hAnsi="Times New Roman" w:cs="Times New Roman"/>
          <w:sz w:val="24"/>
          <w:szCs w:val="24"/>
        </w:rPr>
        <w:t>387.307</w:t>
      </w:r>
      <w:r w:rsidR="002262E8" w:rsidRPr="007F0C2A">
        <w:rPr>
          <w:rFonts w:ascii="Times New Roman" w:hAnsi="Times New Roman" w:cs="Times New Roman"/>
          <w:sz w:val="24"/>
          <w:szCs w:val="24"/>
        </w:rPr>
        <w:t>(a)(2).</w:t>
      </w:r>
      <w:r w:rsidR="00EA23AF" w:rsidRPr="007F0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2A" w:rsidRPr="00992F79" w:rsidRDefault="00EA23AF" w:rsidP="00313C2A">
      <w:pPr>
        <w:rPr>
          <w:rFonts w:ascii="Times New Roman" w:hAnsi="Times New Roman" w:cs="Times New Roman"/>
          <w:sz w:val="24"/>
          <w:szCs w:val="24"/>
        </w:rPr>
      </w:pPr>
      <w:r w:rsidRPr="00992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2A" w:rsidRPr="00992F79" w:rsidRDefault="00144575" w:rsidP="00313C2A">
      <w:pPr>
        <w:rPr>
          <w:rFonts w:ascii="Times New Roman" w:hAnsi="Times New Roman" w:cs="Times New Roman"/>
          <w:sz w:val="24"/>
          <w:szCs w:val="24"/>
        </w:rPr>
      </w:pPr>
      <w:r w:rsidRPr="00992F79">
        <w:rPr>
          <w:rFonts w:ascii="Times New Roman" w:hAnsi="Times New Roman" w:cs="Times New Roman"/>
          <w:sz w:val="24"/>
          <w:szCs w:val="24"/>
        </w:rPr>
        <w:t xml:space="preserve">We estimate </w:t>
      </w:r>
      <w:r w:rsidR="00766AB2">
        <w:rPr>
          <w:rFonts w:ascii="Times New Roman" w:hAnsi="Times New Roman" w:cs="Times New Roman"/>
          <w:sz w:val="24"/>
          <w:szCs w:val="24"/>
        </w:rPr>
        <w:t>only a slight</w:t>
      </w:r>
      <w:r w:rsidR="00C410DA" w:rsidRPr="00987167">
        <w:rPr>
          <w:rFonts w:ascii="Times New Roman" w:hAnsi="Times New Roman" w:cs="Times New Roman"/>
          <w:sz w:val="24"/>
          <w:szCs w:val="24"/>
        </w:rPr>
        <w:t xml:space="preserve"> </w:t>
      </w:r>
      <w:r w:rsidR="00BD5258" w:rsidRPr="00987167">
        <w:rPr>
          <w:rFonts w:ascii="Times New Roman" w:hAnsi="Times New Roman" w:cs="Times New Roman"/>
          <w:sz w:val="24"/>
          <w:szCs w:val="24"/>
        </w:rPr>
        <w:t xml:space="preserve">change </w:t>
      </w:r>
      <w:r w:rsidRPr="007F0C2A">
        <w:rPr>
          <w:rFonts w:ascii="Times New Roman" w:hAnsi="Times New Roman" w:cs="Times New Roman"/>
          <w:sz w:val="24"/>
          <w:szCs w:val="24"/>
        </w:rPr>
        <w:t xml:space="preserve">in 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annual burden hours for </w:t>
      </w:r>
      <w:r w:rsidR="001A02F2" w:rsidRPr="007F0C2A">
        <w:rPr>
          <w:rFonts w:ascii="Times New Roman" w:hAnsi="Times New Roman" w:cs="Times New Roman"/>
          <w:sz w:val="24"/>
          <w:szCs w:val="24"/>
        </w:rPr>
        <w:t xml:space="preserve">the </w:t>
      </w:r>
      <w:r w:rsidR="00313C2A" w:rsidRPr="007F0C2A">
        <w:rPr>
          <w:rFonts w:ascii="Times New Roman" w:hAnsi="Times New Roman" w:cs="Times New Roman"/>
          <w:sz w:val="24"/>
          <w:szCs w:val="24"/>
        </w:rPr>
        <w:t>information requested</w:t>
      </w:r>
      <w:r w:rsidR="00BD5258" w:rsidRPr="007F0C2A">
        <w:rPr>
          <w:rFonts w:ascii="Times New Roman" w:hAnsi="Times New Roman" w:cs="Times New Roman"/>
          <w:sz w:val="24"/>
          <w:szCs w:val="24"/>
        </w:rPr>
        <w:t xml:space="preserve">. 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 The </w:t>
      </w:r>
      <w:r w:rsidR="00987167">
        <w:rPr>
          <w:rFonts w:ascii="Times New Roman" w:hAnsi="Times New Roman" w:cs="Times New Roman"/>
          <w:sz w:val="24"/>
          <w:szCs w:val="24"/>
        </w:rPr>
        <w:t>updated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 total annual burden of the information collection </w:t>
      </w:r>
      <w:r w:rsidR="00BD5258" w:rsidRPr="007F0C2A">
        <w:rPr>
          <w:rFonts w:ascii="Times New Roman" w:hAnsi="Times New Roman" w:cs="Times New Roman"/>
          <w:sz w:val="24"/>
          <w:szCs w:val="24"/>
        </w:rPr>
        <w:t xml:space="preserve">is </w:t>
      </w:r>
      <w:r w:rsidR="00987167">
        <w:rPr>
          <w:rFonts w:ascii="Times New Roman" w:hAnsi="Times New Roman" w:cs="Times New Roman"/>
          <w:sz w:val="24"/>
          <w:szCs w:val="24"/>
        </w:rPr>
        <w:t>458</w:t>
      </w:r>
      <w:r w:rsidR="00BD5258" w:rsidRPr="007F0C2A">
        <w:rPr>
          <w:rFonts w:ascii="Times New Roman" w:hAnsi="Times New Roman" w:cs="Times New Roman"/>
          <w:sz w:val="24"/>
          <w:szCs w:val="24"/>
        </w:rPr>
        <w:t xml:space="preserve"> hours 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associated with Form </w:t>
      </w:r>
      <w:r w:rsidR="00313C2A" w:rsidRPr="00992F79">
        <w:rPr>
          <w:rFonts w:ascii="Times New Roman" w:hAnsi="Times New Roman" w:cs="Times New Roman"/>
          <w:sz w:val="24"/>
          <w:szCs w:val="24"/>
        </w:rPr>
        <w:t xml:space="preserve">BMC-84 </w:t>
      </w:r>
      <w:r w:rsidR="00BD5258" w:rsidRPr="00992F79">
        <w:rPr>
          <w:rFonts w:ascii="Times New Roman" w:hAnsi="Times New Roman" w:cs="Times New Roman"/>
          <w:sz w:val="24"/>
          <w:szCs w:val="24"/>
        </w:rPr>
        <w:t xml:space="preserve">and </w:t>
      </w:r>
      <w:r w:rsidR="00987167">
        <w:rPr>
          <w:rFonts w:ascii="Times New Roman" w:hAnsi="Times New Roman" w:cs="Times New Roman"/>
          <w:sz w:val="24"/>
          <w:szCs w:val="24"/>
        </w:rPr>
        <w:t>730</w:t>
      </w:r>
      <w:r w:rsidR="00BD5258" w:rsidRPr="00992F79">
        <w:rPr>
          <w:rFonts w:ascii="Times New Roman" w:hAnsi="Times New Roman" w:cs="Times New Roman"/>
          <w:sz w:val="24"/>
          <w:szCs w:val="24"/>
        </w:rPr>
        <w:t xml:space="preserve"> hours with Form</w:t>
      </w:r>
      <w:r w:rsidR="00313C2A" w:rsidRPr="00992F79">
        <w:rPr>
          <w:rFonts w:ascii="Times New Roman" w:hAnsi="Times New Roman" w:cs="Times New Roman"/>
          <w:sz w:val="24"/>
          <w:szCs w:val="24"/>
        </w:rPr>
        <w:t xml:space="preserve"> BMC-85</w:t>
      </w:r>
      <w:r w:rsidR="00BD5258" w:rsidRPr="00992F79">
        <w:rPr>
          <w:rFonts w:ascii="Times New Roman" w:hAnsi="Times New Roman" w:cs="Times New Roman"/>
          <w:sz w:val="24"/>
          <w:szCs w:val="24"/>
        </w:rPr>
        <w:t>.</w:t>
      </w:r>
      <w:r w:rsidR="00313C2A" w:rsidRPr="00987167">
        <w:rPr>
          <w:rFonts w:ascii="Times New Roman" w:hAnsi="Times New Roman" w:cs="Times New Roman"/>
          <w:sz w:val="24"/>
          <w:szCs w:val="24"/>
        </w:rPr>
        <w:t xml:space="preserve">  The Agency estimates that the changes to the Forms BMC-84 and BMC-85 would result in </w:t>
      </w:r>
      <w:r w:rsidR="00766AB2">
        <w:rPr>
          <w:rFonts w:ascii="Times New Roman" w:hAnsi="Times New Roman" w:cs="Times New Roman"/>
          <w:sz w:val="24"/>
          <w:szCs w:val="24"/>
        </w:rPr>
        <w:t>a small</w:t>
      </w:r>
      <w:r w:rsidR="00313C2A" w:rsidRPr="00987167">
        <w:rPr>
          <w:rFonts w:ascii="Times New Roman" w:hAnsi="Times New Roman" w:cs="Times New Roman"/>
          <w:sz w:val="24"/>
          <w:szCs w:val="24"/>
        </w:rPr>
        <w:t xml:space="preserve"> change in the number of respondents </w:t>
      </w:r>
      <w:bookmarkStart w:id="0" w:name="_GoBack"/>
      <w:bookmarkEnd w:id="0"/>
      <w:r w:rsidR="00313C2A" w:rsidRPr="00987167">
        <w:rPr>
          <w:rFonts w:ascii="Times New Roman" w:hAnsi="Times New Roman" w:cs="Times New Roman"/>
          <w:sz w:val="24"/>
          <w:szCs w:val="24"/>
        </w:rPr>
        <w:t>to th</w:t>
      </w:r>
      <w:r w:rsidR="00BD5258" w:rsidRPr="007F0C2A">
        <w:rPr>
          <w:rFonts w:ascii="Times New Roman" w:hAnsi="Times New Roman" w:cs="Times New Roman"/>
          <w:sz w:val="24"/>
          <w:szCs w:val="24"/>
        </w:rPr>
        <w:t>e forms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 and would have no</w:t>
      </w:r>
      <w:r w:rsidR="00766AB2">
        <w:rPr>
          <w:rFonts w:ascii="Times New Roman" w:hAnsi="Times New Roman" w:cs="Times New Roman"/>
          <w:sz w:val="24"/>
          <w:szCs w:val="24"/>
        </w:rPr>
        <w:t xml:space="preserve"> </w:t>
      </w:r>
      <w:r w:rsidR="00313C2A" w:rsidRPr="00987167">
        <w:rPr>
          <w:rFonts w:ascii="Times New Roman" w:hAnsi="Times New Roman" w:cs="Times New Roman"/>
          <w:sz w:val="24"/>
          <w:szCs w:val="24"/>
        </w:rPr>
        <w:t>impact on the currently</w:t>
      </w:r>
      <w:r w:rsidR="00BD5258" w:rsidRPr="007F0C2A">
        <w:rPr>
          <w:rFonts w:ascii="Times New Roman" w:hAnsi="Times New Roman" w:cs="Times New Roman"/>
          <w:sz w:val="24"/>
          <w:szCs w:val="24"/>
        </w:rPr>
        <w:t>-</w:t>
      </w:r>
      <w:r w:rsidR="00313C2A" w:rsidRPr="007F0C2A">
        <w:rPr>
          <w:rFonts w:ascii="Times New Roman" w:hAnsi="Times New Roman" w:cs="Times New Roman"/>
          <w:sz w:val="24"/>
          <w:szCs w:val="24"/>
        </w:rPr>
        <w:t xml:space="preserve">approved 10 minutes for the average number of minutes </w:t>
      </w:r>
      <w:r w:rsidR="00BD5258" w:rsidRPr="00992F79">
        <w:rPr>
          <w:rFonts w:ascii="Times New Roman" w:hAnsi="Times New Roman" w:cs="Times New Roman"/>
          <w:sz w:val="24"/>
          <w:szCs w:val="24"/>
        </w:rPr>
        <w:t xml:space="preserve">a </w:t>
      </w:r>
      <w:r w:rsidR="00313C2A" w:rsidRPr="00992F79">
        <w:rPr>
          <w:rFonts w:ascii="Times New Roman" w:hAnsi="Times New Roman" w:cs="Times New Roman"/>
          <w:sz w:val="24"/>
          <w:szCs w:val="24"/>
        </w:rPr>
        <w:t>respondent spend</w:t>
      </w:r>
      <w:r w:rsidR="00BD5258" w:rsidRPr="00992F79">
        <w:rPr>
          <w:rFonts w:ascii="Times New Roman" w:hAnsi="Times New Roman" w:cs="Times New Roman"/>
          <w:sz w:val="24"/>
          <w:szCs w:val="24"/>
        </w:rPr>
        <w:t>s</w:t>
      </w:r>
      <w:r w:rsidR="00313C2A" w:rsidRPr="00992F79">
        <w:rPr>
          <w:rFonts w:ascii="Times New Roman" w:hAnsi="Times New Roman" w:cs="Times New Roman"/>
          <w:sz w:val="24"/>
          <w:szCs w:val="24"/>
        </w:rPr>
        <w:t xml:space="preserve"> completing </w:t>
      </w:r>
      <w:r w:rsidR="00BD5258" w:rsidRPr="00992F79">
        <w:rPr>
          <w:rFonts w:ascii="Times New Roman" w:hAnsi="Times New Roman" w:cs="Times New Roman"/>
          <w:sz w:val="24"/>
          <w:szCs w:val="24"/>
        </w:rPr>
        <w:t>either form.</w:t>
      </w:r>
      <w:r w:rsidR="00313C2A" w:rsidRPr="00992F79">
        <w:rPr>
          <w:rFonts w:ascii="Times New Roman" w:hAnsi="Times New Roman" w:cs="Times New Roman"/>
          <w:sz w:val="24"/>
          <w:szCs w:val="24"/>
        </w:rPr>
        <w:t xml:space="preserve">  </w:t>
      </w:r>
      <w:r w:rsidR="005C408B">
        <w:rPr>
          <w:rFonts w:ascii="Times New Roman" w:hAnsi="Times New Roman" w:cs="Times New Roman"/>
          <w:sz w:val="24"/>
          <w:szCs w:val="24"/>
        </w:rPr>
        <w:t>This Nonmaterial/</w:t>
      </w:r>
      <w:proofErr w:type="spellStart"/>
      <w:r w:rsidR="005C408B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="005C408B">
        <w:rPr>
          <w:rFonts w:ascii="Times New Roman" w:hAnsi="Times New Roman" w:cs="Times New Roman"/>
          <w:sz w:val="24"/>
          <w:szCs w:val="24"/>
        </w:rPr>
        <w:t xml:space="preserve"> Change would result in a total increase of 146 burden hours, 880 responses, and 880 respondents to Forms BMC-84 and BMC-85.</w:t>
      </w:r>
    </w:p>
    <w:p w:rsidR="000B0820" w:rsidRDefault="000B0820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 w:rsidP="00E4466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6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Estimate of ICR Applications and Responses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4665" w:rsidRPr="00E44665" w:rsidRDefault="00E44665" w:rsidP="00E4466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Including Addition of Freight Forwarders </w:t>
      </w:r>
      <w:r w:rsidR="00A340EE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Forms BMC-84 and BMC-85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002"/>
        <w:gridCol w:w="1540"/>
        <w:gridCol w:w="1510"/>
        <w:gridCol w:w="1553"/>
        <w:gridCol w:w="1523"/>
      </w:tblGrid>
      <w:tr w:rsidR="00E44665" w:rsidRPr="00E44665" w:rsidTr="002F1A83">
        <w:trPr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IC/Form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Annual Burden Hours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Annual Burden Hours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Number of Applications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Number of Applications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Number of Respondents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Number of Respondents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IC-1, BMC-91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315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IC-2, BMC-91X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28,588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28,588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171,530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171,530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107,235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107,235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IC-3, BMC-34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4,038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4,038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150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0AE7">
              <w:rPr>
                <w:rFonts w:ascii="Times New Roman" w:eastAsia="Times New Roman" w:hAnsi="Times New Roman" w:cs="Times New Roman"/>
                <w:sz w:val="24"/>
                <w:szCs w:val="24"/>
              </w:rPr>
              <w:t>2,818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2,818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IC-4, BMC-82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IC-5, BMC-83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150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150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IC-6- BMC-84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2,430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2,750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2,115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2,435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IC-7, BMC-85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3,820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4,380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3,180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3,740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IC-8, BMC-35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23,345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23,345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140,070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140,070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80,760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80,760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IC-9, BMC-36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1,385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1,385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1,330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1,330</w:t>
            </w:r>
          </w:p>
        </w:tc>
      </w:tr>
      <w:tr w:rsidR="00E44665" w:rsidRPr="00E44665" w:rsidTr="002F1A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IC-10, BMC-40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</w:tr>
      <w:tr w:rsidR="00E44665" w:rsidRPr="00E44665" w:rsidTr="002F1A8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54,158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5" w:rsidRPr="00E44665" w:rsidRDefault="00741E02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54,304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323,753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741E02" w:rsidP="00E446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324,633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E44665" w:rsidP="00E44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665">
              <w:rPr>
                <w:rFonts w:ascii="Times New Roman" w:eastAsia="Times New Roman" w:hAnsi="Times New Roman" w:cs="Times New Roman"/>
                <w:sz w:val="24"/>
                <w:szCs w:val="24"/>
              </w:rPr>
              <w:t>197,792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5" w:rsidRPr="00E44665" w:rsidRDefault="00741E02" w:rsidP="00150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198,</w:t>
            </w:r>
            <w:r w:rsidR="00150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IC-6: Form BMC 84, Property Broker’s Surety Bond</w:t>
      </w:r>
    </w:p>
    <w:p w:rsidR="0011796A" w:rsidRPr="0011796A" w:rsidRDefault="0011796A" w:rsidP="0011796A">
      <w:pPr>
        <w:keepNext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p w:rsidR="0011796A" w:rsidRPr="0011796A" w:rsidRDefault="0011796A" w:rsidP="0011796A">
      <w:pPr>
        <w:keepNext/>
        <w:rPr>
          <w:rFonts w:ascii="Times New Roman" w:eastAsia="Times New Roman" w:hAnsi="Times New Roman" w:cs="Times New Roman"/>
          <w:sz w:val="24"/>
          <w:szCs w:val="24"/>
        </w:rPr>
      </w:pP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The FMCSA estimates that Form BMC-84 takes approximately 10 minutes to complete for a new application and 2 minutes for the government to process the paper form.  </w:t>
      </w:r>
    </w:p>
    <w:p w:rsidR="0011796A" w:rsidRPr="0011796A" w:rsidRDefault="0011796A" w:rsidP="0011796A">
      <w:pPr>
        <w:keepNext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p w:rsidR="0011796A" w:rsidRPr="0011796A" w:rsidRDefault="0011796A" w:rsidP="0011796A">
      <w:pPr>
        <w:keepNext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Burden to Respondents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458 Hours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 [2,750 x 10 minutes/60 minutes = 458].</w:t>
      </w:r>
      <w:proofErr w:type="gramEnd"/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Number of Respondents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2,435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Number of Responses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2,750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796A" w:rsidRPr="0011796A" w:rsidRDefault="0011796A" w:rsidP="001179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IC-7: Form BMC 85, Property Broker’s Trust Fund Agreement </w:t>
      </w:r>
    </w:p>
    <w:p w:rsidR="0011796A" w:rsidRPr="0011796A" w:rsidRDefault="0011796A" w:rsidP="0011796A">
      <w:pPr>
        <w:keepNext/>
        <w:ind w:left="6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796A" w:rsidRPr="0011796A" w:rsidRDefault="0011796A" w:rsidP="0011796A">
      <w:pPr>
        <w:keepNext/>
        <w:rPr>
          <w:rFonts w:ascii="Times New Roman" w:eastAsia="Times New Roman" w:hAnsi="Times New Roman" w:cs="Times New Roman"/>
          <w:sz w:val="24"/>
          <w:szCs w:val="24"/>
        </w:rPr>
      </w:pP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The FMCSA estimates that Form BMC-85 takes approximately 10 minutes to complete for a new application and 2 minutes for the government to process the paper form.  </w:t>
      </w:r>
    </w:p>
    <w:p w:rsidR="0011796A" w:rsidRPr="0011796A" w:rsidRDefault="0011796A" w:rsidP="0011796A">
      <w:pPr>
        <w:keepNext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p w:rsidR="0011796A" w:rsidRPr="0011796A" w:rsidRDefault="0011796A" w:rsidP="0011796A">
      <w:pPr>
        <w:keepNext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Burden to Respondents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730 Hours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>[4,380 x 10 minutes/60 minutes = 730].</w:t>
      </w:r>
      <w:proofErr w:type="gramEnd"/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Number of Respondents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3,740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11796A" w:rsidRPr="0011796A" w:rsidRDefault="0011796A" w:rsidP="0011796A">
      <w:pPr>
        <w:keepNext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Estimated Annual Number of Responses</w:t>
      </w:r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4,380</w:t>
      </w:r>
      <w:r w:rsidRPr="001179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117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E44665" w:rsidRDefault="00E44665">
      <w:pPr>
        <w:rPr>
          <w:rFonts w:ascii="Times New Roman" w:hAnsi="Times New Roman" w:cs="Times New Roman"/>
          <w:sz w:val="24"/>
          <w:szCs w:val="24"/>
        </w:rPr>
      </w:pPr>
    </w:p>
    <w:p w:rsidR="00C20ABF" w:rsidRDefault="00C20ABF" w:rsidP="00C20ABF">
      <w:pPr>
        <w:rPr>
          <w:rFonts w:ascii="Times New Roman" w:hAnsi="Times New Roman" w:cs="Times New Roman"/>
          <w:sz w:val="24"/>
          <w:szCs w:val="24"/>
        </w:rPr>
      </w:pPr>
      <w:r w:rsidRPr="00A340EE">
        <w:rPr>
          <w:rFonts w:ascii="Times New Roman" w:hAnsi="Times New Roman" w:cs="Times New Roman"/>
          <w:b/>
          <w:sz w:val="24"/>
          <w:szCs w:val="24"/>
        </w:rPr>
        <w:t>Estimated Total Annual Burden Hours</w:t>
      </w:r>
      <w:r>
        <w:rPr>
          <w:rFonts w:ascii="Times New Roman" w:hAnsi="Times New Roman" w:cs="Times New Roman"/>
          <w:sz w:val="24"/>
          <w:szCs w:val="24"/>
        </w:rPr>
        <w:t>:</w:t>
      </w:r>
      <w:r w:rsidR="00667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54,304 </w:t>
      </w:r>
      <w:r>
        <w:rPr>
          <w:rFonts w:ascii="Times New Roman" w:hAnsi="Times New Roman" w:cs="Times New Roman"/>
          <w:sz w:val="24"/>
          <w:szCs w:val="24"/>
        </w:rPr>
        <w:t>(69 IC-1 BMC-91 applications + 28,588 IC-2 BMC-91X applications + 673 IC-3 BMC-34 applications + 9 IC-4 BMC-82 applications + 1 IC-5 BMC-83 applications + 458 IC-6 BMC-84 applications + 730 IC-7 BMC-85 applications + 23,345 IC-8 BMC-35 applications + 231 IC-9 BMC-36 applications + 200 IC-10 BMC-40 applications).</w:t>
      </w:r>
    </w:p>
    <w:p w:rsidR="00C20ABF" w:rsidRDefault="00C20ABF">
      <w:pPr>
        <w:rPr>
          <w:rFonts w:ascii="Times New Roman" w:hAnsi="Times New Roman" w:cs="Times New Roman"/>
          <w:b/>
          <w:sz w:val="24"/>
          <w:szCs w:val="24"/>
        </w:rPr>
      </w:pPr>
    </w:p>
    <w:p w:rsidR="00C20ABF" w:rsidRDefault="00C20ABF">
      <w:pPr>
        <w:rPr>
          <w:rFonts w:ascii="Times New Roman" w:hAnsi="Times New Roman" w:cs="Times New Roman"/>
          <w:sz w:val="24"/>
          <w:szCs w:val="24"/>
        </w:rPr>
      </w:pPr>
      <w:r w:rsidRPr="00A340EE">
        <w:rPr>
          <w:rFonts w:ascii="Times New Roman" w:hAnsi="Times New Roman" w:cs="Times New Roman"/>
          <w:b/>
          <w:sz w:val="24"/>
          <w:szCs w:val="24"/>
        </w:rPr>
        <w:t>Estimated Number of Annual Respon</w:t>
      </w:r>
      <w:r>
        <w:rPr>
          <w:rFonts w:ascii="Times New Roman" w:hAnsi="Times New Roman" w:cs="Times New Roman"/>
          <w:b/>
          <w:sz w:val="24"/>
          <w:szCs w:val="24"/>
        </w:rPr>
        <w:t>ses</w:t>
      </w:r>
      <w:r w:rsidRPr="00A340EE">
        <w:rPr>
          <w:rFonts w:ascii="Times New Roman" w:hAnsi="Times New Roman" w:cs="Times New Roman"/>
          <w:b/>
          <w:sz w:val="24"/>
          <w:szCs w:val="24"/>
        </w:rPr>
        <w:t>:</w:t>
      </w:r>
      <w:r w:rsidRPr="00A340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324,633 </w:t>
      </w:r>
      <w:r>
        <w:rPr>
          <w:rFonts w:ascii="Times New Roman" w:hAnsi="Times New Roman" w:cs="Times New Roman"/>
          <w:sz w:val="24"/>
          <w:szCs w:val="24"/>
        </w:rPr>
        <w:t>(415 IC-1 BMC-91 applications + 171,530 IC-2 BMC-91X applications + 4,038 IC-3 BMC-34 applications + 55 IC-4 BMC-82 applications + 5 IC-5 BMC-83 applications + 2,750 IC-6 BMC-84 applications + 4,380 IC-7 BMC-85 applications + 140,070 IC-8 BMC-35 applications + 1,385 IC-9 BMC-36 applications + 5 IC-10 BMC-40 applications).</w:t>
      </w:r>
    </w:p>
    <w:p w:rsidR="00C20ABF" w:rsidRDefault="00C20ABF">
      <w:pPr>
        <w:rPr>
          <w:rFonts w:ascii="Times New Roman" w:hAnsi="Times New Roman" w:cs="Times New Roman"/>
          <w:b/>
          <w:sz w:val="24"/>
          <w:szCs w:val="24"/>
        </w:rPr>
      </w:pPr>
    </w:p>
    <w:p w:rsidR="00C20ABF" w:rsidRDefault="000A0413">
      <w:pPr>
        <w:rPr>
          <w:rFonts w:ascii="Times New Roman" w:hAnsi="Times New Roman" w:cs="Times New Roman"/>
          <w:sz w:val="24"/>
          <w:szCs w:val="24"/>
        </w:rPr>
      </w:pPr>
      <w:r w:rsidRPr="00A340EE">
        <w:rPr>
          <w:rFonts w:ascii="Times New Roman" w:hAnsi="Times New Roman" w:cs="Times New Roman"/>
          <w:b/>
          <w:sz w:val="24"/>
          <w:szCs w:val="24"/>
        </w:rPr>
        <w:t>Estimated Number of Annual Respondents:</w:t>
      </w:r>
      <w:r w:rsidR="00543B07">
        <w:rPr>
          <w:rFonts w:ascii="Times New Roman" w:hAnsi="Times New Roman" w:cs="Times New Roman"/>
          <w:sz w:val="24"/>
          <w:szCs w:val="24"/>
        </w:rPr>
        <w:t xml:space="preserve">  </w:t>
      </w:r>
      <w:r w:rsidR="00DA0530">
        <w:rPr>
          <w:rFonts w:ascii="Times New Roman" w:hAnsi="Times New Roman" w:cs="Times New Roman"/>
          <w:sz w:val="24"/>
          <w:szCs w:val="24"/>
        </w:rPr>
        <w:t xml:space="preserve"> </w:t>
      </w:r>
      <w:r w:rsidR="00DA0530">
        <w:rPr>
          <w:rFonts w:ascii="Times New Roman" w:hAnsi="Times New Roman" w:cs="Times New Roman"/>
          <w:b/>
          <w:sz w:val="24"/>
          <w:szCs w:val="24"/>
        </w:rPr>
        <w:t>198,</w:t>
      </w:r>
      <w:r w:rsidR="00883B31">
        <w:rPr>
          <w:rFonts w:ascii="Times New Roman" w:hAnsi="Times New Roman" w:cs="Times New Roman"/>
          <w:b/>
          <w:sz w:val="24"/>
          <w:szCs w:val="24"/>
        </w:rPr>
        <w:t>6</w:t>
      </w:r>
      <w:r w:rsidR="00DA0530">
        <w:rPr>
          <w:rFonts w:ascii="Times New Roman" w:hAnsi="Times New Roman" w:cs="Times New Roman"/>
          <w:b/>
          <w:sz w:val="24"/>
          <w:szCs w:val="24"/>
        </w:rPr>
        <w:t xml:space="preserve">72 </w:t>
      </w:r>
      <w:r w:rsidR="00DA0530">
        <w:rPr>
          <w:rFonts w:ascii="Times New Roman" w:hAnsi="Times New Roman" w:cs="Times New Roman"/>
          <w:sz w:val="24"/>
          <w:szCs w:val="24"/>
        </w:rPr>
        <w:t xml:space="preserve">(315 IC-1 BMC-91 responses + 107,235 IC-2 BMC-91X responses + </w:t>
      </w:r>
      <w:r w:rsidR="001A74F8">
        <w:rPr>
          <w:rFonts w:ascii="Times New Roman" w:hAnsi="Times New Roman" w:cs="Times New Roman"/>
          <w:sz w:val="24"/>
          <w:szCs w:val="24"/>
        </w:rPr>
        <w:t>2,818 IC-3 BMC-34 responses + 30 IC-4 BMC-82 responses + 4 IC-5 BMC-83 responses + 2,435 IC-6 BMC-84 responses + 3,740 IC-7 BMC-85 responses + 80,760 IC-8 BMC-35 responses + 1,330 IC-9 BMC-36 responses + 5 IC-10 BMC-40 responses).</w:t>
      </w:r>
    </w:p>
    <w:p w:rsidR="004F298D" w:rsidRPr="001A74F8" w:rsidRDefault="004F298D">
      <w:pPr>
        <w:rPr>
          <w:rFonts w:ascii="Times New Roman" w:hAnsi="Times New Roman" w:cs="Times New Roman"/>
          <w:sz w:val="24"/>
          <w:szCs w:val="24"/>
        </w:rPr>
      </w:pPr>
    </w:p>
    <w:sectPr w:rsidR="004F298D" w:rsidRPr="001A74F8" w:rsidSect="000B0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69" w:rsidRDefault="00E30769" w:rsidP="00E30769">
      <w:r>
        <w:separator/>
      </w:r>
    </w:p>
  </w:endnote>
  <w:endnote w:type="continuationSeparator" w:id="0">
    <w:p w:rsidR="00E30769" w:rsidRDefault="00E30769" w:rsidP="00E3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69" w:rsidRDefault="00E30769" w:rsidP="00E30769">
      <w:r>
        <w:separator/>
      </w:r>
    </w:p>
  </w:footnote>
  <w:footnote w:type="continuationSeparator" w:id="0">
    <w:p w:rsidR="00E30769" w:rsidRDefault="00E30769" w:rsidP="00E3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5DFD"/>
    <w:multiLevelType w:val="hybridMultilevel"/>
    <w:tmpl w:val="5774803C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2A"/>
    <w:rsid w:val="000237C8"/>
    <w:rsid w:val="00044D57"/>
    <w:rsid w:val="000A0413"/>
    <w:rsid w:val="000B0820"/>
    <w:rsid w:val="0011796A"/>
    <w:rsid w:val="00144575"/>
    <w:rsid w:val="00150AE7"/>
    <w:rsid w:val="0016064D"/>
    <w:rsid w:val="00183221"/>
    <w:rsid w:val="001A02F2"/>
    <w:rsid w:val="001A302C"/>
    <w:rsid w:val="001A74F8"/>
    <w:rsid w:val="00221C36"/>
    <w:rsid w:val="002262E8"/>
    <w:rsid w:val="002931A5"/>
    <w:rsid w:val="00313C2A"/>
    <w:rsid w:val="003B2CD6"/>
    <w:rsid w:val="00460685"/>
    <w:rsid w:val="0046743B"/>
    <w:rsid w:val="00470528"/>
    <w:rsid w:val="0049090F"/>
    <w:rsid w:val="004C2891"/>
    <w:rsid w:val="004C329C"/>
    <w:rsid w:val="004D5D86"/>
    <w:rsid w:val="004F298D"/>
    <w:rsid w:val="00541F0C"/>
    <w:rsid w:val="00543B07"/>
    <w:rsid w:val="005A638B"/>
    <w:rsid w:val="005C408B"/>
    <w:rsid w:val="005D79D5"/>
    <w:rsid w:val="005E65AA"/>
    <w:rsid w:val="00622A14"/>
    <w:rsid w:val="00667314"/>
    <w:rsid w:val="0067377E"/>
    <w:rsid w:val="00676C67"/>
    <w:rsid w:val="006965B3"/>
    <w:rsid w:val="006D357A"/>
    <w:rsid w:val="00741E02"/>
    <w:rsid w:val="00766AB2"/>
    <w:rsid w:val="00767D28"/>
    <w:rsid w:val="007B579D"/>
    <w:rsid w:val="007B7778"/>
    <w:rsid w:val="007F0C2A"/>
    <w:rsid w:val="008305A9"/>
    <w:rsid w:val="008515DE"/>
    <w:rsid w:val="0088245E"/>
    <w:rsid w:val="00883B31"/>
    <w:rsid w:val="00886E98"/>
    <w:rsid w:val="00942021"/>
    <w:rsid w:val="00980D91"/>
    <w:rsid w:val="00987167"/>
    <w:rsid w:val="00992F79"/>
    <w:rsid w:val="009974DE"/>
    <w:rsid w:val="009A4EC4"/>
    <w:rsid w:val="009B04CF"/>
    <w:rsid w:val="009E6F45"/>
    <w:rsid w:val="00A340EE"/>
    <w:rsid w:val="00A56D23"/>
    <w:rsid w:val="00AC040B"/>
    <w:rsid w:val="00B361AD"/>
    <w:rsid w:val="00B5188F"/>
    <w:rsid w:val="00B7272A"/>
    <w:rsid w:val="00B91B01"/>
    <w:rsid w:val="00BD5258"/>
    <w:rsid w:val="00C20ABF"/>
    <w:rsid w:val="00C410DA"/>
    <w:rsid w:val="00C72D63"/>
    <w:rsid w:val="00CC3015"/>
    <w:rsid w:val="00D00E5C"/>
    <w:rsid w:val="00D7769F"/>
    <w:rsid w:val="00D8347F"/>
    <w:rsid w:val="00DA0530"/>
    <w:rsid w:val="00DB1168"/>
    <w:rsid w:val="00DF0C15"/>
    <w:rsid w:val="00E30769"/>
    <w:rsid w:val="00E44665"/>
    <w:rsid w:val="00E614AA"/>
    <w:rsid w:val="00EA23AF"/>
    <w:rsid w:val="00EC1620"/>
    <w:rsid w:val="00EC7C98"/>
    <w:rsid w:val="00EE2FA5"/>
    <w:rsid w:val="00F17F5A"/>
    <w:rsid w:val="00F35EBD"/>
    <w:rsid w:val="00F41FF3"/>
    <w:rsid w:val="00F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2A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E5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7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37C8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7C8"/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E30769"/>
    <w:rPr>
      <w:color w:val="0000FF"/>
      <w:u w:val="single"/>
    </w:rPr>
  </w:style>
  <w:style w:type="table" w:styleId="TableGrid">
    <w:name w:val="Table Grid"/>
    <w:basedOn w:val="TableNormal"/>
    <w:uiPriority w:val="59"/>
    <w:rsid w:val="00E30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07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769"/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E307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2A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E5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7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37C8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7C8"/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E30769"/>
    <w:rPr>
      <w:color w:val="0000FF"/>
      <w:u w:val="single"/>
    </w:rPr>
  </w:style>
  <w:style w:type="table" w:styleId="TableGrid">
    <w:name w:val="Table Grid"/>
    <w:basedOn w:val="TableNormal"/>
    <w:uiPriority w:val="59"/>
    <w:rsid w:val="00E30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07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769"/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E30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aging-www.fmcsa.dot.gov/redirect.aspx?page=http://www.gpo.gov/fdsys/pkg/BILLS-112hr4348enr/pdf/BILLS-112hr4348en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99A855-7424-47AA-AEBB-29C0F667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6048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http://staging-www.fmcsa.dot.gov/redirect.aspx?page=http://www.gpo.gov/fdsys/pkg/BILLS-112hr4348enr/pdf/BILLS-112hr4348enr.pdf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james.boyd</dc:creator>
  <cp:lastModifiedBy>herman.dogan</cp:lastModifiedBy>
  <cp:revision>2</cp:revision>
  <cp:lastPrinted>2013-07-08T18:49:00Z</cp:lastPrinted>
  <dcterms:created xsi:type="dcterms:W3CDTF">2013-07-08T18:53:00Z</dcterms:created>
  <dcterms:modified xsi:type="dcterms:W3CDTF">2013-07-08T18:53:00Z</dcterms:modified>
</cp:coreProperties>
</file>