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B6A" w:rsidRPr="00642B6A" w:rsidRDefault="00642B6A" w:rsidP="00642B6A">
      <w:pPr>
        <w:suppressAutoHyphens/>
        <w:jc w:val="center"/>
        <w:rPr>
          <w:rFonts w:eastAsia="Times New Roman" w:cs="Times New Roman"/>
          <w:b/>
          <w:szCs w:val="24"/>
        </w:rPr>
      </w:pPr>
      <w:r w:rsidRPr="00642B6A">
        <w:rPr>
          <w:rFonts w:eastAsia="Times New Roman" w:cs="Times New Roman"/>
          <w:b/>
          <w:szCs w:val="24"/>
        </w:rPr>
        <w:t>SUPPORTING STATEMENT FOR NEW AND</w:t>
      </w:r>
    </w:p>
    <w:p w:rsidR="00642B6A" w:rsidRPr="00642B6A" w:rsidRDefault="00642B6A" w:rsidP="00642B6A">
      <w:pPr>
        <w:suppressAutoHyphens/>
        <w:spacing w:after="240"/>
        <w:jc w:val="center"/>
        <w:rPr>
          <w:rFonts w:eastAsia="Times New Roman" w:cs="Times New Roman"/>
          <w:b/>
          <w:szCs w:val="24"/>
        </w:rPr>
      </w:pPr>
      <w:r w:rsidRPr="00642B6A">
        <w:rPr>
          <w:rFonts w:eastAsia="Times New Roman" w:cs="Times New Roman"/>
          <w:b/>
          <w:szCs w:val="24"/>
        </w:rPr>
        <w:t>REVISED INFORMATION COLLECTIONS</w:t>
      </w:r>
    </w:p>
    <w:p w:rsidR="00642B6A" w:rsidRPr="00642B6A" w:rsidRDefault="00642B6A" w:rsidP="00642B6A">
      <w:pPr>
        <w:tabs>
          <w:tab w:val="center" w:pos="4680"/>
        </w:tabs>
        <w:suppressAutoHyphens/>
        <w:spacing w:after="240"/>
        <w:jc w:val="center"/>
        <w:rPr>
          <w:rFonts w:eastAsia="Times New Roman" w:cs="Times New Roman"/>
          <w:b/>
          <w:szCs w:val="24"/>
        </w:rPr>
      </w:pPr>
      <w:r w:rsidRPr="00642B6A">
        <w:rPr>
          <w:rFonts w:eastAsia="Times New Roman" w:cs="Times New Roman"/>
          <w:b/>
          <w:szCs w:val="24"/>
        </w:rPr>
        <w:t>OMB CONTROL NUMBER 3038-0091</w:t>
      </w:r>
    </w:p>
    <w:p w:rsidR="00642B6A" w:rsidRPr="00642B6A" w:rsidRDefault="00642B6A" w:rsidP="00642B6A">
      <w:pPr>
        <w:spacing w:after="240"/>
        <w:outlineLvl w:val="0"/>
        <w:rPr>
          <w:rFonts w:eastAsia="Times New Roman" w:cs="Times New Roman"/>
          <w:b/>
          <w:szCs w:val="24"/>
        </w:rPr>
      </w:pPr>
      <w:r w:rsidRPr="00642B6A">
        <w:rPr>
          <w:rFonts w:eastAsia="Times New Roman" w:cs="Times New Roman"/>
          <w:b/>
          <w:szCs w:val="24"/>
        </w:rPr>
        <w:t>Justification</w:t>
      </w:r>
    </w:p>
    <w:p w:rsidR="00642B6A" w:rsidRPr="00642B6A" w:rsidRDefault="00642B6A" w:rsidP="00642B6A">
      <w:pPr>
        <w:tabs>
          <w:tab w:val="left" w:pos="-720"/>
          <w:tab w:val="left" w:pos="0"/>
        </w:tabs>
        <w:spacing w:after="240"/>
        <w:rPr>
          <w:rFonts w:eastAsia="Times New Roman" w:cs="Times New Roman"/>
          <w:szCs w:val="24"/>
        </w:rPr>
      </w:pPr>
      <w:r w:rsidRPr="00642B6A">
        <w:rPr>
          <w:rFonts w:eastAsia="Times New Roman" w:cs="Times New Roman"/>
          <w:b/>
          <w:szCs w:val="24"/>
        </w:rPr>
        <w:t>1.</w:t>
      </w:r>
      <w:r w:rsidRPr="00642B6A">
        <w:rPr>
          <w:rFonts w:eastAsia="Times New Roman" w:cs="Times New Roman"/>
          <w:b/>
          <w:szCs w:val="24"/>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642B6A" w:rsidRPr="00642B6A" w:rsidRDefault="00642B6A" w:rsidP="00642B6A">
      <w:pPr>
        <w:autoSpaceDE w:val="0"/>
        <w:autoSpaceDN w:val="0"/>
        <w:adjustRightInd w:val="0"/>
        <w:rPr>
          <w:rFonts w:eastAsia="Times New Roman" w:cs="Times New Roman"/>
          <w:color w:val="000000"/>
          <w:szCs w:val="24"/>
        </w:rPr>
      </w:pPr>
      <w:r w:rsidRPr="00642B6A">
        <w:rPr>
          <w:rFonts w:eastAsia="Times New Roman" w:cs="Times New Roman"/>
          <w:color w:val="000000"/>
          <w:szCs w:val="24"/>
        </w:rPr>
        <w:tab/>
        <w:t xml:space="preserve">Section 724(a) of the Dodd-Frank Wall Street Reform and Consumer Protection Act, P.L. 111-023, 124 stat. 1376, amends the Commodity Exchange Act (“CEA”), 7 U.S.C. §§ 1 </w:t>
      </w:r>
      <w:r w:rsidRPr="00642B6A">
        <w:rPr>
          <w:rFonts w:eastAsia="Times New Roman" w:cs="Times New Roman"/>
          <w:i/>
          <w:color w:val="000000"/>
          <w:szCs w:val="24"/>
        </w:rPr>
        <w:t>et seq</w:t>
      </w:r>
      <w:r w:rsidRPr="00642B6A">
        <w:rPr>
          <w:rFonts w:eastAsia="Times New Roman" w:cs="Times New Roman"/>
          <w:color w:val="000000"/>
          <w:szCs w:val="24"/>
        </w:rPr>
        <w:t xml:space="preserve">., to add, as section </w:t>
      </w:r>
      <w:proofErr w:type="gramStart"/>
      <w:r w:rsidRPr="00642B6A">
        <w:rPr>
          <w:rFonts w:eastAsia="Times New Roman" w:cs="Times New Roman"/>
          <w:color w:val="000000"/>
          <w:szCs w:val="24"/>
        </w:rPr>
        <w:t>4d(</w:t>
      </w:r>
      <w:proofErr w:type="gramEnd"/>
      <w:r w:rsidRPr="00642B6A">
        <w:rPr>
          <w:rFonts w:eastAsia="Times New Roman" w:cs="Times New Roman"/>
          <w:color w:val="000000"/>
          <w:szCs w:val="24"/>
        </w:rPr>
        <w:t xml:space="preserve">f) thereof, provisions concerning the protection of collateral provided by a cleared swaps customer to margin, guaranty, or secure a swap cleared by or through a derivatives clearing organization (“DCO”).  The Commission implemented customer collateral rules in February 2012 as part 22 of its regulations, which contained collections of information for which an information collection request was submitted.  </w:t>
      </w:r>
    </w:p>
    <w:p w:rsidR="00642B6A" w:rsidRPr="00642B6A" w:rsidRDefault="00642B6A" w:rsidP="00642B6A">
      <w:pPr>
        <w:autoSpaceDE w:val="0"/>
        <w:autoSpaceDN w:val="0"/>
        <w:adjustRightInd w:val="0"/>
        <w:rPr>
          <w:rFonts w:eastAsia="Times New Roman" w:cs="Times New Roman"/>
          <w:color w:val="000000"/>
          <w:szCs w:val="24"/>
        </w:rPr>
      </w:pPr>
    </w:p>
    <w:p w:rsidR="00642B6A" w:rsidRPr="00642B6A" w:rsidRDefault="00642B6A" w:rsidP="00642B6A">
      <w:pPr>
        <w:autoSpaceDE w:val="0"/>
        <w:autoSpaceDN w:val="0"/>
        <w:adjustRightInd w:val="0"/>
        <w:rPr>
          <w:rFonts w:eastAsia="Times New Roman" w:cs="Times New Roman"/>
          <w:color w:val="000000"/>
          <w:szCs w:val="24"/>
        </w:rPr>
      </w:pPr>
      <w:r w:rsidRPr="00642B6A">
        <w:rPr>
          <w:rFonts w:eastAsia="Times New Roman" w:cs="Times New Roman"/>
          <w:color w:val="000000"/>
          <w:szCs w:val="24"/>
        </w:rPr>
        <w:tab/>
        <w:t>The Commission now is proposing rules to enhance certain provisions of its regulations to strengthen the protection of customer collateral held by its registrants, significantly to prevent unauthorized usage of customer funds by FCMs.  This includes proposed modifications to existing rules respecting the collateral of cleared swaps customers.  In particular, the Commission is newly proposing § 22.17 and revising § 22.2(g) of its regulations, which require additions and revisions to this collection with respect to the recordkeeping and reporting associated with each of these rules.  The Commission estimates that the proposal, which builds upon the already existing framework adopted in Part 22, will increase burden hours by approximately 10 minutes per day for an anticipated 100 entities.</w:t>
      </w:r>
    </w:p>
    <w:p w:rsidR="00642B6A" w:rsidRPr="00642B6A" w:rsidRDefault="00642B6A" w:rsidP="00642B6A">
      <w:pPr>
        <w:autoSpaceDE w:val="0"/>
        <w:autoSpaceDN w:val="0"/>
        <w:adjustRightInd w:val="0"/>
        <w:rPr>
          <w:rFonts w:eastAsia="Times New Roman" w:cs="Times New Roman"/>
          <w:color w:val="000000"/>
          <w:szCs w:val="24"/>
        </w:rPr>
      </w:pPr>
    </w:p>
    <w:p w:rsidR="00642B6A" w:rsidRPr="00642B6A" w:rsidRDefault="00642B6A" w:rsidP="00642B6A">
      <w:pPr>
        <w:tabs>
          <w:tab w:val="left" w:pos="-720"/>
        </w:tabs>
        <w:spacing w:after="240"/>
        <w:rPr>
          <w:rFonts w:eastAsia="Times New Roman" w:cs="Times New Roman"/>
          <w:b/>
          <w:szCs w:val="24"/>
        </w:rPr>
      </w:pPr>
      <w:r w:rsidRPr="00642B6A">
        <w:rPr>
          <w:rFonts w:eastAsia="Times New Roman" w:cs="Times New Roman"/>
          <w:b/>
          <w:szCs w:val="24"/>
        </w:rPr>
        <w:t>2.</w:t>
      </w:r>
      <w:r w:rsidRPr="00642B6A">
        <w:rPr>
          <w:rFonts w:eastAsia="Times New Roman" w:cs="Times New Roman"/>
          <w:b/>
          <w:szCs w:val="24"/>
        </w:rPr>
        <w:tab/>
        <w:t>Indicate how, by whom, and for what purpose the data would be used.  Except for a new collection, indicate the actual use the agency has made of the information received from the current collection.</w:t>
      </w:r>
    </w:p>
    <w:p w:rsidR="00642B6A" w:rsidRPr="00642B6A" w:rsidRDefault="00642B6A" w:rsidP="00642B6A">
      <w:pPr>
        <w:ind w:firstLine="720"/>
        <w:rPr>
          <w:rFonts w:eastAsia="Times New Roman" w:cs="Times New Roman"/>
          <w:color w:val="000000"/>
          <w:szCs w:val="24"/>
        </w:rPr>
      </w:pPr>
      <w:r w:rsidRPr="00642B6A">
        <w:rPr>
          <w:rFonts w:eastAsia="Times New Roman" w:cs="Times New Roman"/>
          <w:szCs w:val="24"/>
        </w:rPr>
        <w:t xml:space="preserve">The collection as it was initially proposed required data to be compiled, maintained, and submitted to third parties and the Commission </w:t>
      </w:r>
      <w:r w:rsidRPr="00642B6A" w:rsidDel="005A0340">
        <w:rPr>
          <w:rFonts w:eastAsia="Times New Roman" w:cs="Times New Roman"/>
          <w:szCs w:val="24"/>
        </w:rPr>
        <w:t xml:space="preserve"> </w:t>
      </w:r>
      <w:r w:rsidRPr="00642B6A">
        <w:rPr>
          <w:rFonts w:eastAsia="Times New Roman" w:cs="Times New Roman"/>
          <w:color w:val="000000"/>
          <w:szCs w:val="24"/>
        </w:rPr>
        <w:t>to help ensure that FCMs’ Cleared Swaps Customer Accounts are in compliance at all times with statutory and regulatory requirements for such accounts; to confirm that depositories of cleared swaps customer funds understand their  responsibilities with respect to the protection of such funds; to facilitate risk management, and, in the event of default by an FCM, to enable DCOs and Collecting FCMs to perform their duty, to treat the collateral attributed to each customer of the FCM on an individual basis; and to ensure that customers are informed of the procedures to which accounts containing their swaps collateral may be subject in the event of a default by their FCM.</w:t>
      </w:r>
    </w:p>
    <w:p w:rsidR="00642B6A" w:rsidRPr="00642B6A" w:rsidRDefault="00642B6A" w:rsidP="00642B6A">
      <w:pPr>
        <w:ind w:firstLine="720"/>
        <w:rPr>
          <w:rFonts w:eastAsia="Times New Roman" w:cs="Times New Roman"/>
          <w:color w:val="000000"/>
          <w:szCs w:val="24"/>
        </w:rPr>
      </w:pPr>
    </w:p>
    <w:p w:rsidR="00642B6A" w:rsidRPr="00642B6A" w:rsidRDefault="00642B6A" w:rsidP="00642B6A">
      <w:pPr>
        <w:ind w:firstLine="720"/>
        <w:rPr>
          <w:rFonts w:eastAsia="Times New Roman" w:cs="Times New Roman"/>
          <w:color w:val="000000"/>
          <w:szCs w:val="24"/>
        </w:rPr>
      </w:pPr>
      <w:r w:rsidRPr="00642B6A">
        <w:rPr>
          <w:rFonts w:eastAsia="Times New Roman" w:cs="Times New Roman"/>
          <w:color w:val="000000"/>
          <w:szCs w:val="24"/>
        </w:rPr>
        <w:t xml:space="preserve">The collection as it will be revised will add reporting and recordkeeping requirements, building upon the information already required to be collected, retained, and reported to </w:t>
      </w:r>
      <w:r w:rsidRPr="00642B6A">
        <w:rPr>
          <w:rFonts w:eastAsia="Times New Roman" w:cs="Times New Roman"/>
          <w:szCs w:val="24"/>
        </w:rPr>
        <w:t xml:space="preserve">enhance the ability of the Commission and the designated self-regulatory organization of an FCM to </w:t>
      </w:r>
      <w:r w:rsidRPr="00642B6A">
        <w:rPr>
          <w:rFonts w:eastAsia="Times New Roman" w:cs="Times New Roman"/>
          <w:szCs w:val="24"/>
        </w:rPr>
        <w:lastRenderedPageBreak/>
        <w:t>identify problematic financial matters in time to avoid market disruptions when an FCM may fail, particularly with respect to the tie-up of customer funds that may result.</w:t>
      </w:r>
    </w:p>
    <w:p w:rsidR="00642B6A" w:rsidRPr="00642B6A" w:rsidRDefault="00642B6A" w:rsidP="00642B6A">
      <w:pPr>
        <w:ind w:firstLine="720"/>
        <w:rPr>
          <w:rFonts w:eastAsia="Times New Roman" w:cs="Times New Roman"/>
          <w:color w:val="000000"/>
          <w:szCs w:val="24"/>
        </w:rPr>
      </w:pPr>
      <w:r w:rsidRPr="00642B6A">
        <w:rPr>
          <w:rFonts w:eastAsia="Times New Roman" w:cs="Times New Roman"/>
          <w:color w:val="000000"/>
          <w:szCs w:val="24"/>
        </w:rPr>
        <w:t xml:space="preserve"> </w:t>
      </w:r>
      <w:r w:rsidRPr="00642B6A">
        <w:rPr>
          <w:rFonts w:eastAsia="Times New Roman" w:cs="Times New Roman"/>
          <w:color w:val="000000"/>
          <w:szCs w:val="24"/>
        </w:rPr>
        <w:tab/>
      </w:r>
    </w:p>
    <w:p w:rsidR="00642B6A" w:rsidRPr="00642B6A" w:rsidRDefault="00642B6A" w:rsidP="00642B6A">
      <w:pPr>
        <w:keepNext/>
        <w:tabs>
          <w:tab w:val="left" w:pos="-720"/>
          <w:tab w:val="left" w:pos="0"/>
        </w:tabs>
        <w:spacing w:after="240"/>
        <w:rPr>
          <w:rFonts w:eastAsia="Times New Roman" w:cs="Times New Roman"/>
          <w:b/>
          <w:szCs w:val="24"/>
        </w:rPr>
      </w:pPr>
      <w:r w:rsidRPr="00642B6A">
        <w:rPr>
          <w:rFonts w:eastAsia="Times New Roman" w:cs="Times New Roman"/>
          <w:b/>
          <w:szCs w:val="24"/>
        </w:rPr>
        <w:t>3.</w:t>
      </w:r>
      <w:r w:rsidRPr="00642B6A">
        <w:rPr>
          <w:rFonts w:eastAsia="Times New Roman" w:cs="Times New Roman"/>
          <w:b/>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642B6A" w:rsidRPr="00642B6A" w:rsidRDefault="00642B6A" w:rsidP="00642B6A">
      <w:pPr>
        <w:tabs>
          <w:tab w:val="left" w:pos="-720"/>
          <w:tab w:val="left" w:pos="0"/>
        </w:tabs>
        <w:spacing w:after="240"/>
        <w:rPr>
          <w:rFonts w:eastAsia="Times New Roman" w:cs="Times New Roman"/>
          <w:szCs w:val="24"/>
        </w:rPr>
      </w:pPr>
      <w:r w:rsidRPr="00642B6A">
        <w:rPr>
          <w:rFonts w:eastAsia="Times New Roman" w:cs="Times New Roman"/>
          <w:szCs w:val="24"/>
        </w:rPr>
        <w:tab/>
        <w:t xml:space="preserve">The collections of information in the proposal may be reported and maintained electronically.  It is expected modest modifications to software, information technology and systems already used by the relevant businesses would be necessary, which are built into the daily burden number estimated by the Commission associated with the newly proposed rules. </w:t>
      </w:r>
      <w:r w:rsidRPr="00642B6A">
        <w:rPr>
          <w:rFonts w:eastAsia="Times New Roman" w:cs="Times New Roman"/>
          <w:szCs w:val="24"/>
        </w:rPr>
        <w:tab/>
      </w:r>
    </w:p>
    <w:p w:rsidR="00642B6A" w:rsidRPr="00642B6A" w:rsidRDefault="00642B6A" w:rsidP="00642B6A">
      <w:pPr>
        <w:tabs>
          <w:tab w:val="left" w:pos="-720"/>
          <w:tab w:val="left" w:pos="0"/>
        </w:tabs>
        <w:spacing w:after="240"/>
        <w:rPr>
          <w:rFonts w:eastAsia="Times New Roman" w:cs="Times New Roman"/>
          <w:b/>
          <w:szCs w:val="24"/>
        </w:rPr>
      </w:pPr>
      <w:r w:rsidRPr="00642B6A">
        <w:rPr>
          <w:rFonts w:eastAsia="Times New Roman" w:cs="Times New Roman"/>
          <w:b/>
          <w:szCs w:val="24"/>
        </w:rPr>
        <w:t>4.</w:t>
      </w:r>
      <w:r w:rsidRPr="00642B6A">
        <w:rPr>
          <w:rFonts w:eastAsia="Times New Roman" w:cs="Times New Roman"/>
          <w:b/>
          <w:szCs w:val="24"/>
        </w:rPr>
        <w:tab/>
        <w:t>Describe efforts to identify duplication.  Show specifically why any similar information already available cannot be used or modified for use for the purposes described in Item 2 above.</w:t>
      </w:r>
    </w:p>
    <w:p w:rsidR="00642B6A" w:rsidRPr="00642B6A" w:rsidRDefault="00642B6A" w:rsidP="00642B6A">
      <w:pPr>
        <w:tabs>
          <w:tab w:val="left" w:pos="-720"/>
        </w:tabs>
        <w:spacing w:after="240"/>
        <w:rPr>
          <w:rFonts w:eastAsia="Times New Roman" w:cs="Times New Roman"/>
          <w:szCs w:val="24"/>
        </w:rPr>
      </w:pPr>
      <w:r w:rsidRPr="00642B6A">
        <w:rPr>
          <w:rFonts w:eastAsia="Times New Roman" w:cs="Times New Roman"/>
          <w:szCs w:val="24"/>
        </w:rPr>
        <w:tab/>
        <w:t xml:space="preserve">The proposed collections of information do not duplicate any existing collection of information, but rather build upon business and regulatory compliance practices already in place at an FCM.  </w:t>
      </w:r>
    </w:p>
    <w:p w:rsidR="00642B6A" w:rsidRPr="00642B6A" w:rsidRDefault="00642B6A" w:rsidP="00642B6A">
      <w:pPr>
        <w:tabs>
          <w:tab w:val="left" w:pos="-720"/>
          <w:tab w:val="left" w:pos="0"/>
        </w:tabs>
        <w:spacing w:after="240"/>
        <w:rPr>
          <w:rFonts w:eastAsia="Times New Roman" w:cs="Times New Roman"/>
          <w:b/>
          <w:szCs w:val="24"/>
        </w:rPr>
      </w:pPr>
      <w:r w:rsidRPr="00642B6A">
        <w:rPr>
          <w:rFonts w:eastAsia="Times New Roman" w:cs="Times New Roman"/>
          <w:b/>
          <w:szCs w:val="24"/>
        </w:rPr>
        <w:t>5.</w:t>
      </w:r>
      <w:r w:rsidRPr="00642B6A">
        <w:rPr>
          <w:rFonts w:eastAsia="Times New Roman" w:cs="Times New Roman"/>
          <w:b/>
          <w:szCs w:val="24"/>
        </w:rPr>
        <w:tab/>
        <w:t>If the collection of information involves small business or other small entities (Item 5 of OMB From 83-I), describe the methods used to minimize burden.</w:t>
      </w:r>
    </w:p>
    <w:p w:rsidR="00642B6A" w:rsidRPr="00642B6A" w:rsidRDefault="00642B6A" w:rsidP="00642B6A">
      <w:pPr>
        <w:tabs>
          <w:tab w:val="left" w:pos="-720"/>
        </w:tabs>
        <w:spacing w:after="240"/>
        <w:rPr>
          <w:rFonts w:eastAsia="Times New Roman" w:cs="Times New Roman"/>
          <w:szCs w:val="24"/>
        </w:rPr>
      </w:pPr>
      <w:r w:rsidRPr="00642B6A">
        <w:rPr>
          <w:rFonts w:eastAsia="Times New Roman" w:cs="Times New Roman"/>
          <w:szCs w:val="24"/>
        </w:rPr>
        <w:tab/>
        <w:t>This collection of information will not have a significant impact on a substantial number of small entities.  In fact, because of the minimum net capital required to be maintained by an FCM, the Commission has determined that an FCM cannot be a small entity for purposes of the Regulatory Flexibility Act.</w:t>
      </w:r>
    </w:p>
    <w:p w:rsidR="00642B6A" w:rsidRPr="00642B6A" w:rsidRDefault="00642B6A" w:rsidP="00642B6A">
      <w:pPr>
        <w:tabs>
          <w:tab w:val="left" w:pos="-720"/>
          <w:tab w:val="left" w:pos="0"/>
        </w:tabs>
        <w:spacing w:after="240"/>
        <w:rPr>
          <w:rFonts w:eastAsia="Times New Roman" w:cs="Times New Roman"/>
          <w:b/>
          <w:szCs w:val="24"/>
        </w:rPr>
      </w:pPr>
      <w:r w:rsidRPr="00642B6A">
        <w:rPr>
          <w:rFonts w:eastAsia="Times New Roman" w:cs="Times New Roman"/>
          <w:b/>
          <w:szCs w:val="24"/>
        </w:rPr>
        <w:t>6.</w:t>
      </w:r>
      <w:r w:rsidRPr="00642B6A">
        <w:rPr>
          <w:rFonts w:eastAsia="Times New Roman" w:cs="Times New Roman"/>
          <w:b/>
          <w:szCs w:val="24"/>
        </w:rPr>
        <w:tab/>
        <w:t>Describe the consequence to the Federal Program or policy activities if the collection were conducted less frequently as well as any technical or legal obstacles to reducing burden.</w:t>
      </w:r>
    </w:p>
    <w:p w:rsidR="00642B6A" w:rsidRPr="00642B6A" w:rsidRDefault="00642B6A" w:rsidP="00642B6A">
      <w:pPr>
        <w:ind w:firstLine="720"/>
        <w:rPr>
          <w:rFonts w:eastAsia="Times New Roman" w:cs="Times New Roman"/>
          <w:color w:val="000000"/>
          <w:szCs w:val="24"/>
        </w:rPr>
      </w:pPr>
      <w:r w:rsidRPr="00642B6A">
        <w:rPr>
          <w:rFonts w:eastAsia="Times New Roman" w:cs="Times New Roman"/>
          <w:szCs w:val="24"/>
        </w:rPr>
        <w:t>If the collection of information was performed less frequently it would not effectively permit the Commission or an FCM’s designated self-regulatory organization to monitor compliance with the FCM’s obligations to maintain customer collateral separately from its own collateral, which could result in market disruptions, particularly in the event of a tie-up of customer collateral, which has occurred in recent FCM failures.</w:t>
      </w:r>
      <w:r w:rsidRPr="00642B6A" w:rsidDel="00F86753">
        <w:rPr>
          <w:rFonts w:eastAsia="Times New Roman" w:cs="Times New Roman"/>
          <w:color w:val="000000"/>
          <w:szCs w:val="24"/>
        </w:rPr>
        <w:t xml:space="preserve"> </w:t>
      </w:r>
    </w:p>
    <w:p w:rsidR="00642B6A" w:rsidRPr="00642B6A" w:rsidRDefault="00642B6A" w:rsidP="00642B6A">
      <w:pPr>
        <w:ind w:firstLine="720"/>
        <w:rPr>
          <w:rFonts w:eastAsia="Times New Roman" w:cs="Times New Roman"/>
          <w:color w:val="000000"/>
          <w:szCs w:val="24"/>
        </w:rPr>
      </w:pPr>
    </w:p>
    <w:p w:rsidR="00642B6A" w:rsidRPr="00642B6A" w:rsidRDefault="00642B6A" w:rsidP="00642B6A">
      <w:pPr>
        <w:tabs>
          <w:tab w:val="left" w:pos="-720"/>
          <w:tab w:val="left" w:pos="0"/>
        </w:tabs>
        <w:spacing w:after="240"/>
        <w:rPr>
          <w:rFonts w:eastAsia="Times New Roman" w:cs="Times New Roman"/>
          <w:b/>
          <w:szCs w:val="24"/>
        </w:rPr>
      </w:pPr>
      <w:r w:rsidRPr="00642B6A">
        <w:rPr>
          <w:rFonts w:eastAsia="Times New Roman" w:cs="Times New Roman"/>
          <w:b/>
          <w:szCs w:val="24"/>
        </w:rPr>
        <w:t>7.</w:t>
      </w:r>
      <w:r w:rsidRPr="00642B6A">
        <w:rPr>
          <w:rFonts w:eastAsia="Times New Roman" w:cs="Times New Roman"/>
          <w:b/>
          <w:szCs w:val="24"/>
        </w:rPr>
        <w:tab/>
        <w:t>Explain any special circumstances that require the collection to be conducted in a manner:</w:t>
      </w:r>
    </w:p>
    <w:p w:rsidR="00642B6A" w:rsidRPr="00642B6A" w:rsidRDefault="00642B6A" w:rsidP="00642B6A">
      <w:pPr>
        <w:numPr>
          <w:ilvl w:val="0"/>
          <w:numId w:val="1"/>
        </w:numPr>
        <w:tabs>
          <w:tab w:val="left" w:pos="-720"/>
          <w:tab w:val="left" w:pos="0"/>
          <w:tab w:val="left" w:pos="720"/>
          <w:tab w:val="num" w:pos="1080"/>
        </w:tabs>
        <w:spacing w:after="240"/>
        <w:ind w:left="1080" w:hanging="360"/>
        <w:rPr>
          <w:rFonts w:eastAsia="Times New Roman" w:cs="Times New Roman"/>
          <w:b/>
          <w:szCs w:val="24"/>
        </w:rPr>
      </w:pPr>
      <w:r w:rsidRPr="00642B6A">
        <w:rPr>
          <w:rFonts w:eastAsia="Times New Roman" w:cs="Times New Roman"/>
          <w:b/>
          <w:szCs w:val="24"/>
        </w:rPr>
        <w:t>requiring respondents to report information to the agency more often than quarterly;</w:t>
      </w:r>
    </w:p>
    <w:p w:rsidR="00642B6A" w:rsidRPr="00642B6A" w:rsidRDefault="00642B6A" w:rsidP="00642B6A">
      <w:pPr>
        <w:tabs>
          <w:tab w:val="left" w:pos="-720"/>
        </w:tabs>
        <w:spacing w:after="240"/>
        <w:rPr>
          <w:rFonts w:eastAsia="Times New Roman" w:cs="Times New Roman"/>
          <w:szCs w:val="24"/>
        </w:rPr>
      </w:pPr>
      <w:r w:rsidRPr="00642B6A">
        <w:rPr>
          <w:rFonts w:eastAsia="Times New Roman" w:cs="Times New Roman"/>
          <w:szCs w:val="24"/>
        </w:rPr>
        <w:tab/>
        <w:t xml:space="preserve">Less frequent reporting and recordkeeping would not permit the Commission, or the self-regulatory organizations subject to its oversight, to adequately administer the newly proposed </w:t>
      </w:r>
      <w:r w:rsidRPr="00642B6A">
        <w:rPr>
          <w:rFonts w:eastAsia="Times New Roman" w:cs="Times New Roman"/>
          <w:szCs w:val="24"/>
        </w:rPr>
        <w:lastRenderedPageBreak/>
        <w:t xml:space="preserve">customer protection rules consistently with their purpose, which is supported fully by the CEA as amended, and monitor for compliance with the part 22 regulations that have been implemented consistently with the CEA, as amended.  </w:t>
      </w:r>
    </w:p>
    <w:p w:rsidR="00642B6A" w:rsidRPr="00642B6A" w:rsidRDefault="00642B6A" w:rsidP="00642B6A">
      <w:pPr>
        <w:numPr>
          <w:ilvl w:val="0"/>
          <w:numId w:val="1"/>
        </w:numPr>
        <w:tabs>
          <w:tab w:val="left" w:pos="-720"/>
          <w:tab w:val="left" w:pos="0"/>
          <w:tab w:val="left" w:pos="720"/>
          <w:tab w:val="num" w:pos="1080"/>
        </w:tabs>
        <w:spacing w:after="240"/>
        <w:ind w:left="1080" w:hanging="360"/>
        <w:rPr>
          <w:rFonts w:eastAsia="Times New Roman" w:cs="Times New Roman"/>
          <w:szCs w:val="24"/>
        </w:rPr>
      </w:pPr>
      <w:r w:rsidRPr="00642B6A">
        <w:rPr>
          <w:rFonts w:eastAsia="Times New Roman" w:cs="Times New Roman"/>
          <w:b/>
          <w:szCs w:val="24"/>
        </w:rPr>
        <w:t xml:space="preserve">requiring respondents to prepare a written response to a collection of </w:t>
      </w:r>
      <w:r w:rsidRPr="00642B6A">
        <w:rPr>
          <w:rFonts w:eastAsia="Times New Roman" w:cs="Times New Roman"/>
          <w:szCs w:val="24"/>
        </w:rPr>
        <w:t>information in fewer than 30 days after receipt of it:</w:t>
      </w:r>
    </w:p>
    <w:p w:rsidR="00642B6A" w:rsidRPr="00642B6A" w:rsidRDefault="00642B6A" w:rsidP="00642B6A">
      <w:pPr>
        <w:tabs>
          <w:tab w:val="left" w:pos="-720"/>
          <w:tab w:val="left" w:pos="0"/>
          <w:tab w:val="left" w:pos="720"/>
        </w:tabs>
        <w:spacing w:after="240"/>
        <w:rPr>
          <w:rFonts w:eastAsia="Times New Roman" w:cs="Times New Roman"/>
          <w:szCs w:val="24"/>
        </w:rPr>
      </w:pPr>
      <w:r w:rsidRPr="00642B6A">
        <w:rPr>
          <w:rFonts w:eastAsia="Times New Roman" w:cs="Times New Roman"/>
          <w:szCs w:val="24"/>
        </w:rPr>
        <w:tab/>
        <w:t>Not applicable with respect to the revisions to the part 22 regulations contained in the Commission’s new proposal.</w:t>
      </w:r>
    </w:p>
    <w:p w:rsidR="00642B6A" w:rsidRPr="00642B6A" w:rsidRDefault="00642B6A" w:rsidP="00642B6A">
      <w:pPr>
        <w:numPr>
          <w:ilvl w:val="0"/>
          <w:numId w:val="1"/>
        </w:numPr>
        <w:tabs>
          <w:tab w:val="left" w:pos="-720"/>
          <w:tab w:val="left" w:pos="0"/>
          <w:tab w:val="left" w:pos="720"/>
          <w:tab w:val="num" w:pos="1080"/>
        </w:tabs>
        <w:spacing w:after="240"/>
        <w:ind w:left="1080" w:hanging="360"/>
        <w:rPr>
          <w:rFonts w:eastAsia="Times New Roman" w:cs="Times New Roman"/>
          <w:b/>
          <w:szCs w:val="24"/>
        </w:rPr>
      </w:pPr>
      <w:r w:rsidRPr="00642B6A">
        <w:rPr>
          <w:rFonts w:eastAsia="Times New Roman" w:cs="Times New Roman"/>
          <w:b/>
          <w:szCs w:val="24"/>
        </w:rPr>
        <w:t>requiring respondents to submit more that an original and two copies of any document;</w:t>
      </w:r>
    </w:p>
    <w:p w:rsidR="00642B6A" w:rsidRPr="00642B6A" w:rsidRDefault="00642B6A" w:rsidP="00642B6A">
      <w:pPr>
        <w:tabs>
          <w:tab w:val="left" w:pos="-720"/>
          <w:tab w:val="left" w:pos="0"/>
          <w:tab w:val="left" w:pos="720"/>
        </w:tabs>
        <w:spacing w:after="240"/>
        <w:rPr>
          <w:rFonts w:eastAsia="Times New Roman" w:cs="Times New Roman"/>
          <w:b/>
          <w:szCs w:val="24"/>
        </w:rPr>
      </w:pPr>
      <w:r w:rsidRPr="00642B6A">
        <w:rPr>
          <w:rFonts w:eastAsia="Times New Roman" w:cs="Times New Roman"/>
          <w:szCs w:val="24"/>
        </w:rPr>
        <w:t>Respondents are not required to submit more than an original and two copies of any documents to the Commission or third parties.</w:t>
      </w:r>
    </w:p>
    <w:p w:rsidR="00642B6A" w:rsidRPr="00642B6A" w:rsidRDefault="00642B6A" w:rsidP="00642B6A">
      <w:pPr>
        <w:numPr>
          <w:ilvl w:val="0"/>
          <w:numId w:val="1"/>
        </w:numPr>
        <w:tabs>
          <w:tab w:val="left" w:pos="-720"/>
          <w:tab w:val="left" w:pos="0"/>
          <w:tab w:val="left" w:pos="720"/>
          <w:tab w:val="num" w:pos="1080"/>
        </w:tabs>
        <w:spacing w:after="240"/>
        <w:ind w:left="1080" w:hanging="360"/>
        <w:rPr>
          <w:rFonts w:eastAsia="Times New Roman" w:cs="Times New Roman"/>
          <w:b/>
          <w:szCs w:val="24"/>
        </w:rPr>
      </w:pPr>
      <w:r w:rsidRPr="00642B6A">
        <w:rPr>
          <w:rFonts w:eastAsia="Times New Roman" w:cs="Times New Roman"/>
          <w:b/>
          <w:szCs w:val="24"/>
        </w:rPr>
        <w:t>requiring respondents to retain records other than health, medical, government contract, grant-in-aid, or tax records, for more than three years;</w:t>
      </w:r>
    </w:p>
    <w:p w:rsidR="00642B6A" w:rsidRPr="00642B6A" w:rsidRDefault="00642B6A" w:rsidP="00642B6A">
      <w:pPr>
        <w:tabs>
          <w:tab w:val="left" w:pos="-720"/>
          <w:tab w:val="left" w:pos="0"/>
          <w:tab w:val="left" w:pos="720"/>
        </w:tabs>
        <w:spacing w:after="240"/>
        <w:rPr>
          <w:rFonts w:eastAsia="Times New Roman" w:cs="Times New Roman"/>
          <w:szCs w:val="24"/>
        </w:rPr>
      </w:pPr>
      <w:r w:rsidRPr="00642B6A">
        <w:rPr>
          <w:rFonts w:eastAsia="Times New Roman" w:cs="Times New Roman"/>
          <w:szCs w:val="24"/>
        </w:rPr>
        <w:tab/>
        <w:t>Not applicable.</w:t>
      </w:r>
    </w:p>
    <w:p w:rsidR="00642B6A" w:rsidRPr="00642B6A" w:rsidRDefault="00642B6A" w:rsidP="00642B6A">
      <w:pPr>
        <w:numPr>
          <w:ilvl w:val="0"/>
          <w:numId w:val="1"/>
        </w:numPr>
        <w:tabs>
          <w:tab w:val="left" w:pos="-720"/>
          <w:tab w:val="left" w:pos="0"/>
          <w:tab w:val="left" w:pos="720"/>
          <w:tab w:val="num" w:pos="1080"/>
        </w:tabs>
        <w:spacing w:after="240"/>
        <w:ind w:left="1080" w:hanging="360"/>
        <w:rPr>
          <w:rFonts w:eastAsia="Times New Roman" w:cs="Times New Roman"/>
          <w:b/>
          <w:szCs w:val="24"/>
        </w:rPr>
      </w:pPr>
      <w:r w:rsidRPr="00642B6A">
        <w:rPr>
          <w:rFonts w:eastAsia="Times New Roman" w:cs="Times New Roman"/>
          <w:b/>
          <w:szCs w:val="24"/>
        </w:rPr>
        <w:t xml:space="preserve">in connection with a statistical survey, that is not designed to produce valid and reliable results that can be generalized to the universe of study; </w:t>
      </w:r>
    </w:p>
    <w:p w:rsidR="00642B6A" w:rsidRPr="00642B6A" w:rsidRDefault="00642B6A" w:rsidP="00642B6A">
      <w:pPr>
        <w:numPr>
          <w:ilvl w:val="0"/>
          <w:numId w:val="1"/>
        </w:numPr>
        <w:tabs>
          <w:tab w:val="left" w:pos="-720"/>
          <w:tab w:val="left" w:pos="0"/>
          <w:tab w:val="left" w:pos="720"/>
        </w:tabs>
        <w:spacing w:after="240"/>
        <w:contextualSpacing/>
        <w:rPr>
          <w:rFonts w:eastAsia="Times New Roman" w:cs="Times New Roman"/>
        </w:rPr>
      </w:pPr>
      <w:r w:rsidRPr="00642B6A">
        <w:rPr>
          <w:rFonts w:eastAsia="Times New Roman" w:cs="Times New Roman"/>
        </w:rPr>
        <w:tab/>
        <w:t>Not applicable.</w:t>
      </w:r>
    </w:p>
    <w:p w:rsidR="00642B6A" w:rsidRPr="00642B6A" w:rsidRDefault="00642B6A" w:rsidP="00642B6A">
      <w:pPr>
        <w:numPr>
          <w:ilvl w:val="0"/>
          <w:numId w:val="1"/>
        </w:numPr>
        <w:tabs>
          <w:tab w:val="left" w:pos="-720"/>
          <w:tab w:val="left" w:pos="0"/>
          <w:tab w:val="left" w:pos="720"/>
          <w:tab w:val="num" w:pos="1080"/>
        </w:tabs>
        <w:spacing w:after="240"/>
        <w:ind w:left="1080" w:hanging="360"/>
        <w:rPr>
          <w:rFonts w:eastAsia="Times New Roman" w:cs="Times New Roman"/>
          <w:b/>
          <w:szCs w:val="24"/>
        </w:rPr>
      </w:pPr>
      <w:r w:rsidRPr="00642B6A">
        <w:rPr>
          <w:rFonts w:eastAsia="Times New Roman" w:cs="Times New Roman"/>
          <w:b/>
          <w:szCs w:val="24"/>
        </w:rPr>
        <w:t>requiring the use of a statistical data classification that has not been reviewed and approved by OMB;</w:t>
      </w:r>
    </w:p>
    <w:p w:rsidR="00642B6A" w:rsidRPr="00642B6A" w:rsidRDefault="00642B6A" w:rsidP="00642B6A">
      <w:pPr>
        <w:tabs>
          <w:tab w:val="left" w:pos="-720"/>
          <w:tab w:val="left" w:pos="0"/>
          <w:tab w:val="left" w:pos="720"/>
        </w:tabs>
        <w:spacing w:after="240"/>
        <w:rPr>
          <w:rFonts w:eastAsia="Times New Roman" w:cs="Times New Roman"/>
          <w:szCs w:val="24"/>
        </w:rPr>
      </w:pPr>
      <w:r w:rsidRPr="00642B6A">
        <w:rPr>
          <w:rFonts w:eastAsia="Times New Roman" w:cs="Times New Roman"/>
          <w:szCs w:val="24"/>
        </w:rPr>
        <w:tab/>
        <w:t>Not applicable.</w:t>
      </w:r>
    </w:p>
    <w:p w:rsidR="00642B6A" w:rsidRPr="00642B6A" w:rsidRDefault="00642B6A" w:rsidP="00642B6A">
      <w:pPr>
        <w:numPr>
          <w:ilvl w:val="0"/>
          <w:numId w:val="1"/>
        </w:numPr>
        <w:tabs>
          <w:tab w:val="left" w:pos="-720"/>
          <w:tab w:val="left" w:pos="0"/>
          <w:tab w:val="left" w:pos="720"/>
          <w:tab w:val="num" w:pos="1080"/>
        </w:tabs>
        <w:spacing w:after="240"/>
        <w:ind w:left="1080" w:hanging="360"/>
        <w:rPr>
          <w:rFonts w:eastAsia="Times New Roman" w:cs="Times New Roman"/>
          <w:b/>
          <w:szCs w:val="24"/>
        </w:rPr>
      </w:pPr>
      <w:r w:rsidRPr="00642B6A">
        <w:rPr>
          <w:rFonts w:eastAsia="Times New Roman" w:cs="Times New Roman"/>
          <w:b/>
          <w:szCs w:val="24"/>
        </w:rPr>
        <w:t>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or</w:t>
      </w:r>
    </w:p>
    <w:p w:rsidR="00642B6A" w:rsidRPr="00642B6A" w:rsidRDefault="00642B6A" w:rsidP="00642B6A">
      <w:pPr>
        <w:numPr>
          <w:ilvl w:val="0"/>
          <w:numId w:val="1"/>
        </w:numPr>
        <w:tabs>
          <w:tab w:val="left" w:pos="-720"/>
          <w:tab w:val="left" w:pos="0"/>
          <w:tab w:val="left" w:pos="720"/>
          <w:tab w:val="num" w:pos="1080"/>
        </w:tabs>
        <w:spacing w:after="240"/>
        <w:ind w:left="1080" w:hanging="360"/>
        <w:rPr>
          <w:rFonts w:eastAsia="Times New Roman" w:cs="Times New Roman"/>
          <w:b/>
          <w:szCs w:val="24"/>
        </w:rPr>
      </w:pPr>
      <w:r w:rsidRPr="00642B6A">
        <w:rPr>
          <w:rFonts w:eastAsia="Times New Roman" w:cs="Times New Roman"/>
          <w:b/>
          <w:szCs w:val="24"/>
        </w:rPr>
        <w:tab/>
      </w:r>
      <w:r w:rsidRPr="00642B6A">
        <w:rPr>
          <w:rFonts w:eastAsia="Times New Roman" w:cs="Times New Roman"/>
          <w:szCs w:val="24"/>
        </w:rPr>
        <w:tab/>
        <w:t xml:space="preserve">The collection does not involve any pledge of </w:t>
      </w:r>
      <w:proofErr w:type="spellStart"/>
      <w:r w:rsidRPr="00642B6A">
        <w:rPr>
          <w:rFonts w:eastAsia="Times New Roman" w:cs="Times New Roman"/>
          <w:szCs w:val="24"/>
        </w:rPr>
        <w:t>confidentiality.</w:t>
      </w:r>
      <w:r w:rsidRPr="00642B6A">
        <w:rPr>
          <w:rFonts w:eastAsia="Times New Roman" w:cs="Times New Roman"/>
          <w:b/>
          <w:szCs w:val="24"/>
        </w:rPr>
        <w:t>requiring</w:t>
      </w:r>
      <w:proofErr w:type="spellEnd"/>
      <w:r w:rsidRPr="00642B6A">
        <w:rPr>
          <w:rFonts w:eastAsia="Times New Roman" w:cs="Times New Roman"/>
          <w:b/>
          <w:szCs w:val="24"/>
        </w:rPr>
        <w:t xml:space="preserve"> respondents to submit proprietary trade secrets, or other confidential information unless the agency can demonstrate that it has instituted procedures to protect the information's confidentiality to the extent permitted by law.</w:t>
      </w:r>
    </w:p>
    <w:p w:rsidR="00642B6A" w:rsidRPr="00642B6A" w:rsidRDefault="00642B6A" w:rsidP="00642B6A">
      <w:pPr>
        <w:tabs>
          <w:tab w:val="left" w:pos="-720"/>
          <w:tab w:val="left" w:pos="0"/>
          <w:tab w:val="left" w:pos="720"/>
        </w:tabs>
        <w:spacing w:after="240"/>
        <w:rPr>
          <w:rFonts w:eastAsia="Times New Roman" w:cs="Times New Roman"/>
          <w:b/>
          <w:szCs w:val="24"/>
        </w:rPr>
      </w:pPr>
      <w:r w:rsidRPr="00642B6A">
        <w:rPr>
          <w:rFonts w:eastAsia="Times New Roman" w:cs="Times New Roman"/>
          <w:szCs w:val="24"/>
        </w:rPr>
        <w:tab/>
        <w:t>The Commission has procedures to protect the confidentiality of an applicant’s or registrant’s data.  These are set forth in the Commission’s regulations at parts 145 and 147 of title 17 of the Code of Federal Regulations.</w:t>
      </w:r>
    </w:p>
    <w:p w:rsidR="00642B6A" w:rsidRPr="00642B6A" w:rsidRDefault="00642B6A" w:rsidP="00642B6A">
      <w:pPr>
        <w:tabs>
          <w:tab w:val="left" w:pos="-720"/>
        </w:tabs>
        <w:spacing w:after="240"/>
        <w:rPr>
          <w:rFonts w:eastAsia="Times New Roman" w:cs="Times New Roman"/>
          <w:szCs w:val="24"/>
        </w:rPr>
      </w:pPr>
      <w:r w:rsidRPr="00642B6A">
        <w:rPr>
          <w:rFonts w:eastAsia="Times New Roman" w:cs="Times New Roman"/>
          <w:szCs w:val="24"/>
        </w:rPr>
        <w:tab/>
        <w:t>Finally, for civil and criminal law enforcement purposes, Commission rule 1.31, 17 C.F.R. § 1.31, requires that:</w:t>
      </w:r>
    </w:p>
    <w:p w:rsidR="00642B6A" w:rsidRPr="00642B6A" w:rsidRDefault="00642B6A" w:rsidP="00642B6A">
      <w:pPr>
        <w:tabs>
          <w:tab w:val="left" w:pos="-720"/>
          <w:tab w:val="left" w:pos="0"/>
          <w:tab w:val="left" w:pos="720"/>
        </w:tabs>
        <w:spacing w:after="240"/>
        <w:ind w:left="1440" w:right="1440"/>
        <w:rPr>
          <w:rFonts w:eastAsia="Times New Roman" w:cs="Times New Roman"/>
          <w:szCs w:val="24"/>
        </w:rPr>
      </w:pPr>
      <w:r w:rsidRPr="00642B6A">
        <w:rPr>
          <w:rFonts w:eastAsia="Times New Roman" w:cs="Times New Roman"/>
          <w:szCs w:val="24"/>
        </w:rPr>
        <w:lastRenderedPageBreak/>
        <w:t>"All books and records required to be kept by the (Commodity Exchange) Act or by these regulations shall be kept for a period of five years from the date thereof and shall be readily accessible during the first 2 years of the 5-year period.  All such books and records shall be open to inspection by any representative of the Commission or the U.S. Department of Justice."</w:t>
      </w:r>
    </w:p>
    <w:p w:rsidR="00642B6A" w:rsidRPr="00642B6A" w:rsidRDefault="00642B6A" w:rsidP="00642B6A">
      <w:pPr>
        <w:tabs>
          <w:tab w:val="left" w:pos="-720"/>
          <w:tab w:val="left" w:pos="0"/>
        </w:tabs>
        <w:spacing w:after="240"/>
        <w:rPr>
          <w:rFonts w:eastAsia="Times New Roman" w:cs="Times New Roman"/>
          <w:b/>
          <w:szCs w:val="24"/>
        </w:rPr>
      </w:pPr>
      <w:r w:rsidRPr="00642B6A">
        <w:rPr>
          <w:rFonts w:eastAsia="Times New Roman" w:cs="Times New Roman"/>
          <w:b/>
          <w:szCs w:val="24"/>
        </w:rPr>
        <w:t>8.</w:t>
      </w:r>
      <w:r w:rsidRPr="00642B6A">
        <w:rPr>
          <w:rFonts w:eastAsia="Times New Roman" w:cs="Times New Roman"/>
          <w:b/>
          <w:szCs w:val="24"/>
        </w:rPr>
        <w:tab/>
        <w:t xml:space="preserve">If applicable, provide a copy and identify the date and page number of publication in the </w:t>
      </w:r>
      <w:r w:rsidRPr="00642B6A">
        <w:rPr>
          <w:rFonts w:eastAsia="Times New Roman" w:cs="Times New Roman"/>
          <w:b/>
          <w:i/>
          <w:szCs w:val="24"/>
        </w:rPr>
        <w:t>Federal Register</w:t>
      </w:r>
      <w:r w:rsidRPr="00642B6A">
        <w:rPr>
          <w:rFonts w:eastAsia="Times New Roman" w:cs="Times New Roman"/>
          <w:b/>
          <w:szCs w:val="24"/>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642B6A" w:rsidRPr="00642B6A" w:rsidRDefault="00642B6A" w:rsidP="0027708A">
      <w:pPr>
        <w:tabs>
          <w:tab w:val="left" w:pos="-720"/>
          <w:tab w:val="left" w:pos="0"/>
        </w:tabs>
        <w:overflowPunct w:val="0"/>
        <w:autoSpaceDE w:val="0"/>
        <w:autoSpaceDN w:val="0"/>
        <w:adjustRightInd w:val="0"/>
        <w:spacing w:after="240"/>
        <w:textAlignment w:val="baseline"/>
        <w:rPr>
          <w:rFonts w:eastAsia="Times New Roman" w:cs="Times New Roman"/>
          <w:szCs w:val="24"/>
        </w:rPr>
      </w:pPr>
      <w:r w:rsidRPr="00642B6A">
        <w:rPr>
          <w:rFonts w:eastAsia="Times New Roman" w:cs="Times New Roman"/>
          <w:szCs w:val="24"/>
        </w:rPr>
        <w:tab/>
      </w:r>
      <w:r w:rsidRPr="00642B6A">
        <w:rPr>
          <w:rFonts w:eastAsia="Times New Roman" w:cs="Times New Roman"/>
          <w:szCs w:val="24"/>
        </w:rPr>
        <w:tab/>
        <w:t>No such circumstances are anticipated.</w:t>
      </w:r>
    </w:p>
    <w:p w:rsidR="00642B6A" w:rsidRPr="00642B6A" w:rsidRDefault="00642B6A" w:rsidP="00642B6A">
      <w:pPr>
        <w:tabs>
          <w:tab w:val="left" w:pos="-720"/>
          <w:tab w:val="left" w:pos="0"/>
        </w:tabs>
        <w:spacing w:after="240"/>
        <w:rPr>
          <w:rFonts w:eastAsia="Times New Roman" w:cs="Times New Roman"/>
          <w:b/>
          <w:szCs w:val="24"/>
        </w:rPr>
      </w:pPr>
      <w:r w:rsidRPr="00642B6A">
        <w:rPr>
          <w:rFonts w:eastAsia="Times New Roman" w:cs="Times New Roman"/>
          <w:b/>
          <w:szCs w:val="24"/>
        </w:rPr>
        <w:t>9.</w:t>
      </w:r>
      <w:r w:rsidRPr="00642B6A">
        <w:rPr>
          <w:rFonts w:eastAsia="Times New Roman" w:cs="Times New Roman"/>
          <w:b/>
          <w:szCs w:val="24"/>
        </w:rPr>
        <w:tab/>
        <w:t>Explain any decision to provide any payment or gift to respondents, other than remuneration of contractors or grantees.</w:t>
      </w:r>
    </w:p>
    <w:p w:rsidR="0027708A" w:rsidRDefault="0027708A" w:rsidP="00642B6A">
      <w:pPr>
        <w:tabs>
          <w:tab w:val="left" w:pos="-720"/>
        </w:tabs>
        <w:spacing w:after="240"/>
        <w:rPr>
          <w:rFonts w:eastAsia="Times New Roman" w:cs="Times New Roman"/>
          <w:szCs w:val="24"/>
        </w:rPr>
      </w:pPr>
      <w:r>
        <w:rPr>
          <w:rFonts w:eastAsia="Times New Roman" w:cs="Times New Roman"/>
          <w:szCs w:val="24"/>
        </w:rPr>
        <w:tab/>
        <w:t>Not applicable.</w:t>
      </w:r>
    </w:p>
    <w:p w:rsidR="00642B6A" w:rsidRPr="00642B6A" w:rsidRDefault="00642B6A" w:rsidP="00642B6A">
      <w:pPr>
        <w:tabs>
          <w:tab w:val="left" w:pos="-720"/>
        </w:tabs>
        <w:spacing w:after="240"/>
        <w:rPr>
          <w:rFonts w:eastAsia="Times New Roman" w:cs="Times New Roman"/>
          <w:b/>
          <w:szCs w:val="24"/>
        </w:rPr>
      </w:pPr>
      <w:r w:rsidRPr="00642B6A">
        <w:rPr>
          <w:rFonts w:eastAsia="Times New Roman" w:cs="Times New Roman"/>
          <w:b/>
          <w:szCs w:val="24"/>
        </w:rPr>
        <w:t>10.</w:t>
      </w:r>
      <w:r w:rsidRPr="00642B6A">
        <w:rPr>
          <w:rFonts w:eastAsia="Times New Roman" w:cs="Times New Roman"/>
          <w:b/>
          <w:szCs w:val="24"/>
        </w:rPr>
        <w:tab/>
        <w:t>Describe any assurance of confidentiality provided to respondents and the basis for the assurance in statute, regulations, or agency policy.</w:t>
      </w:r>
    </w:p>
    <w:p w:rsidR="00642B6A" w:rsidRPr="00642B6A" w:rsidRDefault="00642B6A" w:rsidP="00642B6A">
      <w:pPr>
        <w:ind w:left="720" w:firstLine="720"/>
        <w:rPr>
          <w:rFonts w:eastAsia="Times New Roman" w:cs="Times New Roman"/>
          <w:szCs w:val="24"/>
        </w:rPr>
      </w:pPr>
      <w:r w:rsidRPr="00642B6A">
        <w:rPr>
          <w:rFonts w:eastAsia="Times New Roman" w:cs="Times New Roman"/>
          <w:b/>
          <w:szCs w:val="24"/>
        </w:rPr>
        <w:tab/>
      </w:r>
    </w:p>
    <w:p w:rsidR="00642B6A" w:rsidRPr="00642B6A" w:rsidRDefault="00642B6A" w:rsidP="00642B6A">
      <w:pPr>
        <w:ind w:firstLine="720"/>
        <w:rPr>
          <w:rFonts w:eastAsia="Times New Roman" w:cs="Times New Roman"/>
          <w:szCs w:val="24"/>
        </w:rPr>
      </w:pPr>
      <w:r w:rsidRPr="00642B6A">
        <w:rPr>
          <w:rFonts w:eastAsia="Times New Roman" w:cs="Times New Roman"/>
          <w:szCs w:val="24"/>
        </w:rPr>
        <w:t>The Commission does not provide respondents with an assurance of confidentiality beyond that provided by applicable law.  The Commission fully complies with section 8(a)(1) of the Commodity Exchange Act, which strictly prohibits the Commission, unless specifically authorized by the Commodity Exchange Act, from making public “data and information that would separately disclose the business transactions or market positions of any person and trade secrets or names of customers.”  Moreover, the Commission complies with the Freedom of Information Act regulations it has established, set forth at 17 CFR Part 145, and its Government in the Sunshine Act regulations, set forth at 17 CFR Part 147.</w:t>
      </w:r>
    </w:p>
    <w:p w:rsidR="00642B6A" w:rsidRPr="00642B6A" w:rsidRDefault="00642B6A" w:rsidP="00642B6A">
      <w:pPr>
        <w:tabs>
          <w:tab w:val="left" w:pos="-720"/>
        </w:tabs>
        <w:spacing w:after="240"/>
        <w:rPr>
          <w:rFonts w:eastAsia="Times New Roman" w:cs="Times New Roman"/>
          <w:szCs w:val="24"/>
        </w:rPr>
      </w:pPr>
    </w:p>
    <w:p w:rsidR="00642B6A" w:rsidRPr="00642B6A" w:rsidRDefault="00642B6A" w:rsidP="00642B6A">
      <w:pPr>
        <w:tabs>
          <w:tab w:val="left" w:pos="-720"/>
        </w:tabs>
        <w:spacing w:after="240"/>
        <w:rPr>
          <w:rFonts w:eastAsia="Times New Roman" w:cs="Times New Roman"/>
          <w:b/>
          <w:szCs w:val="24"/>
        </w:rPr>
      </w:pPr>
      <w:r w:rsidRPr="00642B6A">
        <w:rPr>
          <w:rFonts w:eastAsia="Times New Roman" w:cs="Times New Roman"/>
          <w:b/>
          <w:szCs w:val="24"/>
        </w:rPr>
        <w:t>11.</w:t>
      </w:r>
      <w:r w:rsidRPr="00642B6A">
        <w:rPr>
          <w:rFonts w:eastAsia="Times New Roman" w:cs="Times New Roman"/>
          <w:b/>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642B6A" w:rsidRDefault="00642B6A" w:rsidP="00642B6A">
      <w:pPr>
        <w:tabs>
          <w:tab w:val="left" w:pos="-720"/>
        </w:tabs>
        <w:suppressAutoHyphens/>
        <w:ind w:firstLine="720"/>
        <w:rPr>
          <w:rFonts w:eastAsia="Times New Roman" w:cs="Times New Roman"/>
          <w:szCs w:val="24"/>
        </w:rPr>
      </w:pPr>
      <w:r w:rsidRPr="00642B6A">
        <w:rPr>
          <w:rFonts w:eastAsia="Times New Roman" w:cs="Times New Roman"/>
          <w:szCs w:val="24"/>
        </w:rPr>
        <w:t>The regulations covered by this collection do not require the giving of sensitive information, as that term is used in Question 11.</w:t>
      </w:r>
    </w:p>
    <w:p w:rsidR="0027708A" w:rsidRPr="00642B6A" w:rsidRDefault="0027708A" w:rsidP="00642B6A">
      <w:pPr>
        <w:tabs>
          <w:tab w:val="left" w:pos="-720"/>
        </w:tabs>
        <w:suppressAutoHyphens/>
        <w:ind w:firstLine="720"/>
        <w:rPr>
          <w:rFonts w:eastAsia="Times New Roman" w:cs="Times New Roman"/>
          <w:szCs w:val="24"/>
        </w:rPr>
      </w:pPr>
      <w:bookmarkStart w:id="0" w:name="_GoBack"/>
      <w:bookmarkEnd w:id="0"/>
    </w:p>
    <w:p w:rsidR="00642B6A" w:rsidRPr="00642B6A" w:rsidRDefault="00642B6A" w:rsidP="00642B6A">
      <w:pPr>
        <w:tabs>
          <w:tab w:val="left" w:pos="-720"/>
          <w:tab w:val="left" w:pos="0"/>
        </w:tabs>
        <w:spacing w:after="240"/>
        <w:rPr>
          <w:rFonts w:eastAsia="Times New Roman" w:cs="Times New Roman"/>
          <w:b/>
          <w:szCs w:val="24"/>
        </w:rPr>
      </w:pPr>
      <w:r w:rsidRPr="00642B6A">
        <w:rPr>
          <w:rFonts w:eastAsia="Times New Roman" w:cs="Times New Roman"/>
          <w:b/>
          <w:szCs w:val="24"/>
        </w:rPr>
        <w:t>12.</w:t>
      </w:r>
      <w:r w:rsidRPr="00642B6A">
        <w:rPr>
          <w:rFonts w:eastAsia="Times New Roman" w:cs="Times New Roman"/>
          <w:b/>
          <w:szCs w:val="24"/>
        </w:rPr>
        <w:tab/>
        <w:t>Provide estimates of the hour burden of the collection of information.  The Statement should:</w:t>
      </w:r>
    </w:p>
    <w:p w:rsidR="00642B6A" w:rsidRPr="00642B6A" w:rsidRDefault="00642B6A" w:rsidP="00642B6A">
      <w:pPr>
        <w:numPr>
          <w:ilvl w:val="0"/>
          <w:numId w:val="1"/>
        </w:numPr>
        <w:tabs>
          <w:tab w:val="left" w:pos="-720"/>
          <w:tab w:val="left" w:pos="0"/>
          <w:tab w:val="left" w:pos="720"/>
          <w:tab w:val="num" w:pos="1080"/>
        </w:tabs>
        <w:spacing w:after="240"/>
        <w:ind w:left="1080" w:hanging="360"/>
        <w:rPr>
          <w:rFonts w:eastAsia="Times New Roman" w:cs="Times New Roman"/>
          <w:b/>
          <w:szCs w:val="24"/>
        </w:rPr>
      </w:pPr>
      <w:r w:rsidRPr="00642B6A">
        <w:rPr>
          <w:rFonts w:eastAsia="Times New Roman" w:cs="Times New Roman"/>
          <w:b/>
          <w:szCs w:val="24"/>
        </w:rPr>
        <w:lastRenderedPageBreak/>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ten)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642B6A" w:rsidRPr="00642B6A" w:rsidRDefault="00642B6A" w:rsidP="00642B6A">
      <w:pPr>
        <w:numPr>
          <w:ilvl w:val="0"/>
          <w:numId w:val="1"/>
        </w:numPr>
        <w:tabs>
          <w:tab w:val="left" w:pos="-720"/>
          <w:tab w:val="left" w:pos="0"/>
          <w:tab w:val="left" w:pos="720"/>
          <w:tab w:val="num" w:pos="1080"/>
        </w:tabs>
        <w:spacing w:after="240"/>
        <w:ind w:left="1080" w:hanging="360"/>
        <w:rPr>
          <w:rFonts w:eastAsia="Times New Roman" w:cs="Times New Roman"/>
          <w:b/>
          <w:szCs w:val="24"/>
        </w:rPr>
      </w:pPr>
      <w:r w:rsidRPr="00642B6A">
        <w:rPr>
          <w:rFonts w:eastAsia="Times New Roman" w:cs="Times New Roman"/>
          <w:b/>
          <w:szCs w:val="24"/>
        </w:rPr>
        <w:t>If the request for approval covers more than one form, provide separate hour burden estimates for each form and aggregate the hour burdens in Item 13 of OMB Form 83-I.</w:t>
      </w:r>
    </w:p>
    <w:p w:rsidR="00642B6A" w:rsidRPr="00642B6A" w:rsidRDefault="00642B6A" w:rsidP="00642B6A">
      <w:pPr>
        <w:numPr>
          <w:ilvl w:val="0"/>
          <w:numId w:val="1"/>
        </w:numPr>
        <w:tabs>
          <w:tab w:val="left" w:pos="-720"/>
          <w:tab w:val="left" w:pos="0"/>
          <w:tab w:val="left" w:pos="720"/>
          <w:tab w:val="num" w:pos="1080"/>
        </w:tabs>
        <w:spacing w:after="240"/>
        <w:ind w:left="1080" w:hanging="360"/>
        <w:rPr>
          <w:rFonts w:eastAsia="Times New Roman" w:cs="Times New Roman"/>
          <w:b/>
          <w:szCs w:val="24"/>
        </w:rPr>
      </w:pPr>
      <w:r w:rsidRPr="00642B6A">
        <w:rPr>
          <w:rFonts w:eastAsia="Times New Roman" w:cs="Times New Roman"/>
          <w:b/>
          <w:szCs w:val="24"/>
        </w:rPr>
        <w:t>Provide estimates of annualized cost to respondents for the hours burdens for collections of information, identifying and using appropriate wage rate categories.  The cost of contracting out or paying outside parties for information collection activities should not be included here.  Instead, this cost should be included in Item 13.</w:t>
      </w:r>
    </w:p>
    <w:p w:rsidR="00642B6A" w:rsidRPr="00642B6A" w:rsidRDefault="00642B6A" w:rsidP="00642B6A">
      <w:pPr>
        <w:ind w:firstLine="720"/>
        <w:rPr>
          <w:rFonts w:eastAsia="Times New Roman" w:cs="Times New Roman"/>
          <w:color w:val="000000"/>
          <w:szCs w:val="24"/>
        </w:rPr>
      </w:pPr>
      <w:r w:rsidRPr="00642B6A">
        <w:rPr>
          <w:rFonts w:eastAsia="Times New Roman" w:cs="Times New Roman"/>
          <w:color w:val="000000"/>
          <w:szCs w:val="24"/>
        </w:rPr>
        <w:t>See Attachment A.</w:t>
      </w:r>
    </w:p>
    <w:p w:rsidR="00642B6A" w:rsidRPr="00642B6A" w:rsidRDefault="00642B6A" w:rsidP="00642B6A">
      <w:pPr>
        <w:ind w:firstLine="720"/>
        <w:rPr>
          <w:rFonts w:eastAsia="Times New Roman" w:cs="Times New Roman"/>
          <w:color w:val="000000"/>
          <w:szCs w:val="24"/>
        </w:rPr>
      </w:pPr>
    </w:p>
    <w:p w:rsidR="00642B6A" w:rsidRPr="00642B6A" w:rsidRDefault="00642B6A" w:rsidP="00642B6A">
      <w:pPr>
        <w:keepNext/>
        <w:tabs>
          <w:tab w:val="left" w:pos="-720"/>
          <w:tab w:val="left" w:pos="0"/>
        </w:tabs>
        <w:spacing w:after="240"/>
        <w:rPr>
          <w:rFonts w:eastAsia="Times New Roman" w:cs="Times New Roman"/>
          <w:b/>
          <w:szCs w:val="24"/>
        </w:rPr>
      </w:pPr>
      <w:r w:rsidRPr="00642B6A">
        <w:rPr>
          <w:rFonts w:eastAsia="Times New Roman" w:cs="Times New Roman"/>
          <w:b/>
          <w:szCs w:val="24"/>
        </w:rPr>
        <w:t>13.</w:t>
      </w:r>
      <w:r w:rsidRPr="00642B6A">
        <w:rPr>
          <w:rFonts w:eastAsia="Times New Roman" w:cs="Times New Roman"/>
          <w:b/>
          <w:szCs w:val="24"/>
        </w:rPr>
        <w:tab/>
        <w:t xml:space="preserve">Provide an estimate of the total annual cost burden to respondents or </w:t>
      </w:r>
      <w:proofErr w:type="spellStart"/>
      <w:r w:rsidRPr="00642B6A">
        <w:rPr>
          <w:rFonts w:eastAsia="Times New Roman" w:cs="Times New Roman"/>
          <w:b/>
          <w:szCs w:val="24"/>
        </w:rPr>
        <w:t>recordkeepers</w:t>
      </w:r>
      <w:proofErr w:type="spellEnd"/>
      <w:r w:rsidRPr="00642B6A">
        <w:rPr>
          <w:rFonts w:eastAsia="Times New Roman" w:cs="Times New Roman"/>
          <w:b/>
          <w:szCs w:val="24"/>
        </w:rPr>
        <w:t xml:space="preserve"> resulting from the collection of information.  (Do not include the cost of any hour burden shown in Items 12 and 14).</w:t>
      </w:r>
    </w:p>
    <w:p w:rsidR="00642B6A" w:rsidRPr="00642B6A" w:rsidRDefault="00642B6A" w:rsidP="00642B6A">
      <w:pPr>
        <w:numPr>
          <w:ilvl w:val="0"/>
          <w:numId w:val="1"/>
        </w:numPr>
        <w:tabs>
          <w:tab w:val="left" w:pos="-720"/>
          <w:tab w:val="left" w:pos="0"/>
          <w:tab w:val="left" w:pos="720"/>
          <w:tab w:val="num" w:pos="1080"/>
        </w:tabs>
        <w:spacing w:after="240"/>
        <w:ind w:left="1080" w:hanging="360"/>
        <w:rPr>
          <w:rFonts w:eastAsia="Times New Roman" w:cs="Times New Roman"/>
          <w:b/>
          <w:szCs w:val="24"/>
        </w:rPr>
      </w:pPr>
      <w:r w:rsidRPr="00642B6A">
        <w:rPr>
          <w:rFonts w:eastAsia="Times New Roman" w:cs="Times New Roman"/>
          <w:b/>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costs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642B6A" w:rsidRPr="00642B6A" w:rsidRDefault="00642B6A" w:rsidP="00642B6A">
      <w:pPr>
        <w:numPr>
          <w:ilvl w:val="0"/>
          <w:numId w:val="1"/>
        </w:numPr>
        <w:tabs>
          <w:tab w:val="left" w:pos="-720"/>
          <w:tab w:val="left" w:pos="0"/>
          <w:tab w:val="left" w:pos="720"/>
          <w:tab w:val="num" w:pos="1080"/>
        </w:tabs>
        <w:spacing w:after="240"/>
        <w:ind w:left="1080" w:hanging="360"/>
        <w:rPr>
          <w:rFonts w:eastAsia="Times New Roman" w:cs="Times New Roman"/>
          <w:b/>
          <w:szCs w:val="24"/>
        </w:rPr>
      </w:pPr>
      <w:r w:rsidRPr="00642B6A">
        <w:rPr>
          <w:rFonts w:eastAsia="Times New Roman" w:cs="Times New Roman"/>
          <w:b/>
          <w:szCs w:val="24"/>
        </w:rPr>
        <w:t>If cost estimates are expected to vary widely, agencies should present ranges of cost burdens and explain the reasons for the variance.  The cost of purchasing or contracting out information collection services should be a part of this cost burden estimate, agencies may consult with a sample of respondents (fewer than ten), utilize the 60-day pre-OMB submission public comment process and use existing economic or regulatory impact analysis associated with the rulemaking containing the information collection, as appropriate.</w:t>
      </w:r>
    </w:p>
    <w:p w:rsidR="00642B6A" w:rsidRPr="00642B6A" w:rsidRDefault="00642B6A" w:rsidP="00642B6A">
      <w:pPr>
        <w:numPr>
          <w:ilvl w:val="0"/>
          <w:numId w:val="1"/>
        </w:numPr>
        <w:tabs>
          <w:tab w:val="left" w:pos="-720"/>
          <w:tab w:val="left" w:pos="0"/>
          <w:tab w:val="left" w:pos="720"/>
          <w:tab w:val="num" w:pos="1080"/>
        </w:tabs>
        <w:spacing w:after="240"/>
        <w:ind w:left="1080" w:hanging="360"/>
        <w:rPr>
          <w:rFonts w:eastAsia="Times New Roman" w:cs="Times New Roman"/>
          <w:b/>
          <w:szCs w:val="24"/>
        </w:rPr>
      </w:pPr>
      <w:r w:rsidRPr="00642B6A">
        <w:rPr>
          <w:rFonts w:eastAsia="Times New Roman" w:cs="Times New Roman"/>
          <w:b/>
          <w:szCs w:val="24"/>
        </w:rPr>
        <w:lastRenderedPageBreak/>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proofErr w:type="gramStart"/>
      <w:r w:rsidRPr="00642B6A">
        <w:rPr>
          <w:rFonts w:eastAsia="Times New Roman" w:cs="Times New Roman"/>
          <w:b/>
          <w:szCs w:val="24"/>
        </w:rPr>
        <w:t>government,</w:t>
      </w:r>
      <w:proofErr w:type="gramEnd"/>
      <w:r w:rsidRPr="00642B6A">
        <w:rPr>
          <w:rFonts w:eastAsia="Times New Roman" w:cs="Times New Roman"/>
          <w:b/>
          <w:szCs w:val="24"/>
        </w:rPr>
        <w:t xml:space="preserve"> or (4) as part of customary and usual business or private practices.</w:t>
      </w:r>
    </w:p>
    <w:p w:rsidR="00642B6A" w:rsidRPr="00642B6A" w:rsidRDefault="00642B6A" w:rsidP="00642B6A">
      <w:pPr>
        <w:ind w:firstLine="720"/>
        <w:rPr>
          <w:rFonts w:eastAsia="Times New Roman" w:cs="Times New Roman"/>
          <w:color w:val="000000"/>
          <w:szCs w:val="24"/>
        </w:rPr>
      </w:pPr>
      <w:r w:rsidRPr="00642B6A">
        <w:rPr>
          <w:rFonts w:eastAsia="Times New Roman" w:cs="Times New Roman"/>
          <w:szCs w:val="24"/>
        </w:rPr>
        <w:tab/>
      </w:r>
    </w:p>
    <w:p w:rsidR="00642B6A" w:rsidRPr="00642B6A" w:rsidRDefault="00642B6A" w:rsidP="00642B6A">
      <w:pPr>
        <w:ind w:firstLine="720"/>
        <w:rPr>
          <w:rFonts w:eastAsia="Times New Roman" w:cs="Times New Roman"/>
          <w:color w:val="000000"/>
          <w:szCs w:val="24"/>
        </w:rPr>
      </w:pPr>
      <w:r w:rsidRPr="00642B6A">
        <w:rPr>
          <w:rFonts w:eastAsia="Times New Roman" w:cs="Times New Roman"/>
          <w:color w:val="000000"/>
          <w:szCs w:val="24"/>
        </w:rPr>
        <w:t>See Attachment A.</w:t>
      </w:r>
    </w:p>
    <w:p w:rsidR="00642B6A" w:rsidRPr="00642B6A" w:rsidRDefault="00642B6A" w:rsidP="00642B6A">
      <w:pPr>
        <w:tabs>
          <w:tab w:val="left" w:pos="-720"/>
        </w:tabs>
        <w:spacing w:after="240"/>
        <w:rPr>
          <w:rFonts w:eastAsia="Times New Roman" w:cs="Times New Roman"/>
          <w:b/>
          <w:szCs w:val="24"/>
        </w:rPr>
      </w:pPr>
      <w:r w:rsidRPr="00642B6A">
        <w:rPr>
          <w:rFonts w:eastAsia="Times New Roman" w:cs="Times New Roman"/>
          <w:b/>
          <w:szCs w:val="24"/>
        </w:rPr>
        <w:t>14.</w:t>
      </w:r>
      <w:r w:rsidRPr="00642B6A">
        <w:rPr>
          <w:rFonts w:eastAsia="Times New Roman" w:cs="Times New Roman"/>
          <w:b/>
          <w:szCs w:val="24"/>
        </w:rPr>
        <w:tab/>
        <w:t xml:space="preserve">Provide estimates of the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  </w:t>
      </w:r>
    </w:p>
    <w:p w:rsidR="00642B6A" w:rsidRPr="00642B6A" w:rsidRDefault="00642B6A" w:rsidP="00642B6A">
      <w:pPr>
        <w:tabs>
          <w:tab w:val="left" w:pos="-720"/>
        </w:tabs>
        <w:spacing w:after="240"/>
        <w:rPr>
          <w:rFonts w:eastAsia="Times New Roman" w:cs="Times New Roman"/>
          <w:szCs w:val="24"/>
        </w:rPr>
      </w:pPr>
      <w:r w:rsidRPr="00642B6A">
        <w:rPr>
          <w:rFonts w:eastAsia="Times New Roman" w:cs="Times New Roman"/>
          <w:szCs w:val="24"/>
        </w:rPr>
        <w:tab/>
        <w:t>The primary costs for requesting and reviewing documents under the existing OMB Collection 3038-0024 and this amendment are the salaries and benefits for attorneys and auditors to analyze the information collected. The proposed amendment will add to existing costs, however, the information collected is of the same type and amount as the existing collection.</w:t>
      </w:r>
    </w:p>
    <w:p w:rsidR="00642B6A" w:rsidRPr="00642B6A" w:rsidRDefault="00642B6A" w:rsidP="00642B6A">
      <w:pPr>
        <w:tabs>
          <w:tab w:val="left" w:pos="-720"/>
          <w:tab w:val="left" w:pos="0"/>
        </w:tabs>
        <w:spacing w:after="240"/>
        <w:rPr>
          <w:rFonts w:eastAsia="Times New Roman" w:cs="Times New Roman"/>
          <w:b/>
          <w:szCs w:val="24"/>
        </w:rPr>
      </w:pPr>
      <w:r w:rsidRPr="00642B6A">
        <w:rPr>
          <w:rFonts w:eastAsia="Times New Roman" w:cs="Times New Roman"/>
          <w:b/>
          <w:szCs w:val="24"/>
        </w:rPr>
        <w:t>15.</w:t>
      </w:r>
      <w:r w:rsidRPr="00642B6A">
        <w:rPr>
          <w:rFonts w:eastAsia="Times New Roman" w:cs="Times New Roman"/>
          <w:b/>
          <w:szCs w:val="24"/>
        </w:rPr>
        <w:tab/>
        <w:t>Explain the reasons for any program changes or adjustments reported in Items 13 or 14 of the OMB Form 83-I.</w:t>
      </w:r>
    </w:p>
    <w:p w:rsidR="00642B6A" w:rsidRPr="00642B6A" w:rsidRDefault="00642B6A" w:rsidP="00642B6A">
      <w:pPr>
        <w:tabs>
          <w:tab w:val="left" w:pos="-720"/>
        </w:tabs>
        <w:spacing w:after="240"/>
        <w:rPr>
          <w:rFonts w:eastAsia="Times New Roman" w:cs="Times New Roman"/>
          <w:szCs w:val="24"/>
        </w:rPr>
      </w:pPr>
      <w:r w:rsidRPr="00642B6A">
        <w:rPr>
          <w:rFonts w:eastAsia="Times New Roman" w:cs="Times New Roman"/>
          <w:szCs w:val="24"/>
        </w:rPr>
        <w:tab/>
        <w:t>The proposed regulations are designed to enhance the monitoring and security of customer funds that are held by an FCM, to enable the Commission and the self-regulatory organizations subject to its oversight to monitor for compliance with provisions of the CEA and its implementing regulations that provide for the protection of customer collateral.</w:t>
      </w:r>
    </w:p>
    <w:p w:rsidR="00642B6A" w:rsidRPr="00642B6A" w:rsidRDefault="00642B6A" w:rsidP="00642B6A">
      <w:pPr>
        <w:tabs>
          <w:tab w:val="left" w:pos="-720"/>
          <w:tab w:val="left" w:pos="0"/>
        </w:tabs>
        <w:spacing w:after="240"/>
        <w:rPr>
          <w:rFonts w:eastAsia="Times New Roman" w:cs="Times New Roman"/>
          <w:b/>
          <w:szCs w:val="24"/>
        </w:rPr>
      </w:pPr>
      <w:r w:rsidRPr="00642B6A">
        <w:rPr>
          <w:rFonts w:eastAsia="Times New Roman" w:cs="Times New Roman"/>
          <w:b/>
          <w:szCs w:val="24"/>
        </w:rPr>
        <w:t>16.</w:t>
      </w:r>
      <w:r w:rsidRPr="00642B6A">
        <w:rPr>
          <w:rFonts w:eastAsia="Times New Roman" w:cs="Times New Roman"/>
          <w:b/>
          <w:szCs w:val="24"/>
        </w:rPr>
        <w:tab/>
        <w:t>For collection of information whose results are planned to be published for statistical use, outline plans for tabulation, statistical analysis, and publication.  Provide the time schedule for the entire project, including beginning and ending dates of the collection of information, completion of report, publication dates, and other actions.</w:t>
      </w:r>
    </w:p>
    <w:p w:rsidR="00642B6A" w:rsidRPr="00642B6A" w:rsidRDefault="00642B6A" w:rsidP="00642B6A">
      <w:pPr>
        <w:tabs>
          <w:tab w:val="left" w:pos="-720"/>
        </w:tabs>
        <w:spacing w:after="240"/>
        <w:rPr>
          <w:rFonts w:eastAsia="Times New Roman" w:cs="Times New Roman"/>
          <w:szCs w:val="24"/>
        </w:rPr>
      </w:pPr>
      <w:r w:rsidRPr="00642B6A">
        <w:rPr>
          <w:rFonts w:eastAsia="Times New Roman" w:cs="Times New Roman"/>
          <w:szCs w:val="24"/>
        </w:rPr>
        <w:tab/>
      </w:r>
      <w:proofErr w:type="gramStart"/>
      <w:r w:rsidRPr="00642B6A">
        <w:rPr>
          <w:rFonts w:eastAsia="Times New Roman" w:cs="Times New Roman"/>
          <w:szCs w:val="24"/>
        </w:rPr>
        <w:t>Does not apply.</w:t>
      </w:r>
      <w:proofErr w:type="gramEnd"/>
    </w:p>
    <w:p w:rsidR="00642B6A" w:rsidRPr="00642B6A" w:rsidRDefault="00642B6A" w:rsidP="00642B6A">
      <w:pPr>
        <w:tabs>
          <w:tab w:val="left" w:pos="-720"/>
          <w:tab w:val="left" w:pos="0"/>
        </w:tabs>
        <w:spacing w:after="240"/>
        <w:rPr>
          <w:rFonts w:eastAsia="Times New Roman" w:cs="Times New Roman"/>
          <w:b/>
          <w:szCs w:val="24"/>
        </w:rPr>
      </w:pPr>
      <w:r w:rsidRPr="00642B6A">
        <w:rPr>
          <w:rFonts w:eastAsia="Times New Roman" w:cs="Times New Roman"/>
          <w:b/>
          <w:szCs w:val="24"/>
        </w:rPr>
        <w:t>17.</w:t>
      </w:r>
      <w:r w:rsidRPr="00642B6A">
        <w:rPr>
          <w:rFonts w:eastAsia="Times New Roman" w:cs="Times New Roman"/>
          <w:b/>
          <w:szCs w:val="24"/>
        </w:rPr>
        <w:tab/>
        <w:t>If seeking approval to not display the expiration date for OMB approval of the information collection, explain the reasons that display would be inappropriate.</w:t>
      </w:r>
    </w:p>
    <w:p w:rsidR="00642B6A" w:rsidRPr="00642B6A" w:rsidRDefault="00642B6A" w:rsidP="00642B6A">
      <w:pPr>
        <w:tabs>
          <w:tab w:val="left" w:pos="-720"/>
        </w:tabs>
        <w:spacing w:after="240"/>
        <w:rPr>
          <w:rFonts w:eastAsia="Times New Roman" w:cs="Times New Roman"/>
          <w:szCs w:val="24"/>
        </w:rPr>
      </w:pPr>
      <w:r w:rsidRPr="00642B6A">
        <w:rPr>
          <w:rFonts w:eastAsia="Times New Roman" w:cs="Times New Roman"/>
          <w:szCs w:val="24"/>
        </w:rPr>
        <w:tab/>
      </w:r>
      <w:proofErr w:type="gramStart"/>
      <w:r w:rsidRPr="00642B6A">
        <w:rPr>
          <w:rFonts w:eastAsia="Times New Roman" w:cs="Times New Roman"/>
          <w:szCs w:val="24"/>
        </w:rPr>
        <w:t>Does not apply.</w:t>
      </w:r>
      <w:proofErr w:type="gramEnd"/>
    </w:p>
    <w:p w:rsidR="00642B6A" w:rsidRPr="00642B6A" w:rsidRDefault="00642B6A" w:rsidP="00642B6A">
      <w:pPr>
        <w:keepNext/>
        <w:tabs>
          <w:tab w:val="left" w:pos="-720"/>
          <w:tab w:val="left" w:pos="0"/>
        </w:tabs>
        <w:spacing w:after="240"/>
        <w:rPr>
          <w:rFonts w:eastAsia="Times New Roman" w:cs="Times New Roman"/>
          <w:b/>
          <w:szCs w:val="24"/>
        </w:rPr>
      </w:pPr>
      <w:r w:rsidRPr="00642B6A">
        <w:rPr>
          <w:rFonts w:eastAsia="Times New Roman" w:cs="Times New Roman"/>
          <w:b/>
          <w:szCs w:val="24"/>
        </w:rPr>
        <w:t>18.</w:t>
      </w:r>
      <w:r w:rsidRPr="00642B6A">
        <w:rPr>
          <w:rFonts w:eastAsia="Times New Roman" w:cs="Times New Roman"/>
          <w:b/>
          <w:szCs w:val="24"/>
        </w:rPr>
        <w:tab/>
        <w:t>Explain each exception to the certification statement identified in Item 19, "Certification for Paperwork Reduction Act Submissions," of OMB Form 83-I.</w:t>
      </w:r>
    </w:p>
    <w:p w:rsidR="00642B6A" w:rsidRPr="00642B6A" w:rsidRDefault="00642B6A" w:rsidP="00642B6A">
      <w:pPr>
        <w:tabs>
          <w:tab w:val="left" w:pos="-720"/>
        </w:tabs>
        <w:spacing w:after="240"/>
        <w:rPr>
          <w:rFonts w:eastAsia="Times New Roman" w:cs="Times New Roman"/>
          <w:szCs w:val="24"/>
        </w:rPr>
      </w:pPr>
      <w:r w:rsidRPr="00642B6A">
        <w:rPr>
          <w:rFonts w:eastAsia="Times New Roman" w:cs="Times New Roman"/>
          <w:szCs w:val="24"/>
        </w:rPr>
        <w:tab/>
      </w:r>
      <w:proofErr w:type="gramStart"/>
      <w:r w:rsidRPr="00642B6A">
        <w:rPr>
          <w:rFonts w:eastAsia="Times New Roman" w:cs="Times New Roman"/>
          <w:szCs w:val="24"/>
        </w:rPr>
        <w:t>Does not apply.</w:t>
      </w:r>
      <w:proofErr w:type="gramEnd"/>
    </w:p>
    <w:p w:rsidR="00642B6A" w:rsidRPr="00642B6A" w:rsidRDefault="00642B6A" w:rsidP="00642B6A">
      <w:pPr>
        <w:rPr>
          <w:rFonts w:eastAsia="Times New Roman" w:cs="Times New Roman"/>
          <w:szCs w:val="24"/>
        </w:rPr>
      </w:pPr>
      <w:r w:rsidRPr="00642B6A">
        <w:rPr>
          <w:rFonts w:eastAsia="Times New Roman" w:cs="Times New Roman"/>
          <w:szCs w:val="24"/>
        </w:rPr>
        <w:br w:type="page"/>
      </w:r>
    </w:p>
    <w:p w:rsidR="00642B6A" w:rsidRPr="00642B6A" w:rsidRDefault="00642B6A" w:rsidP="00642B6A">
      <w:pPr>
        <w:jc w:val="center"/>
        <w:rPr>
          <w:rFonts w:eastAsia="Times New Roman" w:cs="Times New Roman"/>
          <w:b/>
          <w:szCs w:val="24"/>
        </w:rPr>
      </w:pPr>
      <w:r w:rsidRPr="00642B6A">
        <w:rPr>
          <w:rFonts w:eastAsia="Times New Roman" w:cs="Times New Roman"/>
          <w:b/>
          <w:szCs w:val="24"/>
        </w:rPr>
        <w:lastRenderedPageBreak/>
        <w:t>Attachment A</w:t>
      </w:r>
    </w:p>
    <w:p w:rsidR="00642B6A" w:rsidRPr="00642B6A" w:rsidRDefault="00642B6A" w:rsidP="00642B6A">
      <w:pPr>
        <w:jc w:val="center"/>
        <w:rPr>
          <w:rFonts w:eastAsia="Times New Roman" w:cs="Times New Roman"/>
          <w:b/>
          <w:szCs w:val="24"/>
        </w:rPr>
      </w:pPr>
    </w:p>
    <w:p w:rsidR="00642B6A" w:rsidRPr="00642B6A" w:rsidRDefault="00642B6A" w:rsidP="00642B6A">
      <w:pPr>
        <w:jc w:val="center"/>
        <w:rPr>
          <w:rFonts w:eastAsia="Times New Roman" w:cs="Times New Roman"/>
          <w:b/>
          <w:szCs w:val="24"/>
        </w:rPr>
      </w:pPr>
      <w:r w:rsidRPr="00642B6A">
        <w:rPr>
          <w:rFonts w:eastAsia="Times New Roman" w:cs="Times New Roman"/>
          <w:b/>
          <w:szCs w:val="24"/>
        </w:rPr>
        <w:t>Part 22 – Disclosure and Retention of Certain Information Relating to</w:t>
      </w:r>
    </w:p>
    <w:p w:rsidR="00642B6A" w:rsidRPr="00642B6A" w:rsidRDefault="00642B6A" w:rsidP="00642B6A">
      <w:pPr>
        <w:jc w:val="center"/>
        <w:rPr>
          <w:rFonts w:eastAsia="Times New Roman" w:cs="Times New Roman"/>
          <w:b/>
          <w:szCs w:val="24"/>
        </w:rPr>
      </w:pPr>
      <w:r w:rsidRPr="00642B6A">
        <w:rPr>
          <w:rFonts w:eastAsia="Times New Roman" w:cs="Times New Roman"/>
          <w:b/>
          <w:szCs w:val="24"/>
        </w:rPr>
        <w:t>Cleared Swaps Customer Collateral</w:t>
      </w:r>
    </w:p>
    <w:p w:rsidR="00642B6A" w:rsidRPr="00642B6A" w:rsidRDefault="00642B6A" w:rsidP="00642B6A">
      <w:pPr>
        <w:jc w:val="center"/>
        <w:rPr>
          <w:rFonts w:eastAsia="Times New Roman" w:cs="Times New Roman"/>
          <w:b/>
          <w:szCs w:val="24"/>
        </w:rPr>
      </w:pPr>
    </w:p>
    <w:p w:rsidR="00642B6A" w:rsidRPr="00642B6A" w:rsidRDefault="00642B6A" w:rsidP="00642B6A">
      <w:pPr>
        <w:spacing w:after="480"/>
        <w:jc w:val="center"/>
        <w:rPr>
          <w:rFonts w:eastAsia="Times New Roman" w:cs="Times New Roman"/>
          <w:b/>
          <w:szCs w:val="24"/>
        </w:rPr>
      </w:pPr>
      <w:r w:rsidRPr="00642B6A">
        <w:rPr>
          <w:rFonts w:eastAsia="Times New Roman" w:cs="Times New Roman"/>
          <w:b/>
          <w:szCs w:val="24"/>
        </w:rPr>
        <w:t>OMB Collection File 3038-0091</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50"/>
      </w:tblGrid>
      <w:tr w:rsidR="00642B6A" w:rsidRPr="00642B6A" w:rsidTr="00D032BE">
        <w:trPr>
          <w:tblCellSpacing w:w="15" w:type="dxa"/>
        </w:trPr>
        <w:tc>
          <w:tcPr>
            <w:tcW w:w="0" w:type="auto"/>
            <w:vAlign w:val="center"/>
            <w:hideMark/>
          </w:tcPr>
          <w:p w:rsidR="00642B6A" w:rsidRPr="00642B6A" w:rsidRDefault="00642B6A" w:rsidP="00642B6A">
            <w:pPr>
              <w:tabs>
                <w:tab w:val="left" w:pos="-720"/>
                <w:tab w:val="left" w:pos="0"/>
              </w:tabs>
              <w:suppressAutoHyphens/>
              <w:ind w:left="720" w:hanging="720"/>
              <w:rPr>
                <w:rFonts w:eastAsia="Times New Roman" w:cs="Times New Roman"/>
                <w:b/>
                <w:szCs w:val="24"/>
              </w:rPr>
            </w:pPr>
          </w:p>
          <w:p w:rsidR="00642B6A" w:rsidRPr="00642B6A" w:rsidRDefault="00642B6A" w:rsidP="00642B6A">
            <w:pPr>
              <w:tabs>
                <w:tab w:val="left" w:pos="-720"/>
                <w:tab w:val="left" w:pos="0"/>
              </w:tabs>
              <w:suppressAutoHyphens/>
              <w:ind w:left="720" w:hanging="720"/>
              <w:rPr>
                <w:rFonts w:eastAsia="Times New Roman" w:cs="Times New Roman"/>
                <w:b/>
                <w:szCs w:val="24"/>
              </w:rPr>
            </w:pPr>
            <w:r w:rsidRPr="00642B6A">
              <w:rPr>
                <w:rFonts w:eastAsia="Times New Roman" w:cs="Times New Roman"/>
                <w:b/>
                <w:szCs w:val="24"/>
              </w:rPr>
              <w:t xml:space="preserve">Previous Estimated Burden </w:t>
            </w:r>
          </w:p>
          <w:p w:rsidR="00642B6A" w:rsidRPr="00642B6A" w:rsidRDefault="00642B6A" w:rsidP="00642B6A">
            <w:pPr>
              <w:rPr>
                <w:rFonts w:ascii="Arial" w:eastAsia="Times New Roman" w:hAnsi="Arial" w:cs="Arial"/>
                <w:sz w:val="18"/>
                <w:szCs w:val="18"/>
              </w:rPr>
            </w:pPr>
          </w:p>
        </w:tc>
      </w:tr>
    </w:tbl>
    <w:p w:rsidR="00642B6A" w:rsidRPr="00642B6A" w:rsidRDefault="00642B6A" w:rsidP="00642B6A">
      <w:pPr>
        <w:rPr>
          <w:rFonts w:ascii="Arial" w:eastAsia="Times New Roman" w:hAnsi="Arial" w:cs="Arial"/>
          <w:vanish/>
          <w:sz w:val="18"/>
          <w:szCs w:val="18"/>
        </w:rPr>
      </w:pPr>
    </w:p>
    <w:tbl>
      <w:tblPr>
        <w:tblW w:w="9000" w:type="dxa"/>
        <w:tblCellSpacing w:w="7" w:type="dxa"/>
        <w:shd w:val="clear" w:color="auto" w:fill="A9A9A9"/>
        <w:tblCellMar>
          <w:top w:w="15" w:type="dxa"/>
          <w:left w:w="15" w:type="dxa"/>
          <w:bottom w:w="15" w:type="dxa"/>
          <w:right w:w="15" w:type="dxa"/>
        </w:tblCellMar>
        <w:tblLook w:val="04A0" w:firstRow="1" w:lastRow="0" w:firstColumn="1" w:lastColumn="0" w:noHBand="0" w:noVBand="1"/>
      </w:tblPr>
      <w:tblGrid>
        <w:gridCol w:w="2253"/>
        <w:gridCol w:w="2246"/>
        <w:gridCol w:w="2247"/>
        <w:gridCol w:w="2254"/>
      </w:tblGrid>
      <w:tr w:rsidR="00642B6A" w:rsidRPr="00642B6A" w:rsidTr="00D032BE">
        <w:trPr>
          <w:tblCellSpacing w:w="7" w:type="dxa"/>
        </w:trPr>
        <w:tc>
          <w:tcPr>
            <w:tcW w:w="1250" w:type="pct"/>
            <w:shd w:val="clear" w:color="auto" w:fill="CCCCCC"/>
            <w:vAlign w:val="center"/>
            <w:hideMark/>
          </w:tcPr>
          <w:p w:rsidR="00642B6A" w:rsidRPr="00642B6A" w:rsidRDefault="00642B6A" w:rsidP="00642B6A">
            <w:pPr>
              <w:jc w:val="center"/>
              <w:rPr>
                <w:rFonts w:ascii="Arial" w:eastAsia="Times New Roman" w:hAnsi="Arial" w:cs="Arial"/>
                <w:b/>
                <w:bCs/>
                <w:color w:val="000000"/>
                <w:sz w:val="18"/>
                <w:szCs w:val="18"/>
              </w:rPr>
            </w:pPr>
            <w:r w:rsidRPr="00642B6A">
              <w:rPr>
                <w:rFonts w:ascii="Arial" w:eastAsia="Times New Roman" w:hAnsi="Arial" w:cs="Arial"/>
                <w:b/>
                <w:bCs/>
                <w:color w:val="000000"/>
                <w:sz w:val="18"/>
                <w:szCs w:val="18"/>
              </w:rPr>
              <w:t> </w:t>
            </w:r>
          </w:p>
        </w:tc>
        <w:tc>
          <w:tcPr>
            <w:tcW w:w="1250" w:type="pct"/>
            <w:shd w:val="clear" w:color="auto" w:fill="CCCCCC"/>
            <w:vAlign w:val="center"/>
            <w:hideMark/>
          </w:tcPr>
          <w:p w:rsidR="00642B6A" w:rsidRPr="00642B6A" w:rsidRDefault="00642B6A" w:rsidP="00642B6A">
            <w:pPr>
              <w:jc w:val="center"/>
              <w:rPr>
                <w:rFonts w:ascii="Arial" w:eastAsia="Times New Roman" w:hAnsi="Arial" w:cs="Arial"/>
                <w:b/>
                <w:bCs/>
                <w:color w:val="000000"/>
                <w:sz w:val="18"/>
                <w:szCs w:val="18"/>
              </w:rPr>
            </w:pPr>
            <w:r w:rsidRPr="00642B6A">
              <w:rPr>
                <w:rFonts w:ascii="Arial" w:eastAsia="Times New Roman" w:hAnsi="Arial" w:cs="Arial"/>
                <w:b/>
                <w:bCs/>
                <w:color w:val="000000"/>
                <w:sz w:val="18"/>
                <w:szCs w:val="18"/>
              </w:rPr>
              <w:t>Inventory as of this Action</w:t>
            </w:r>
          </w:p>
        </w:tc>
        <w:tc>
          <w:tcPr>
            <w:tcW w:w="1250" w:type="pct"/>
            <w:shd w:val="clear" w:color="auto" w:fill="CCCCCC"/>
            <w:vAlign w:val="center"/>
            <w:hideMark/>
          </w:tcPr>
          <w:p w:rsidR="00642B6A" w:rsidRPr="00642B6A" w:rsidRDefault="00642B6A" w:rsidP="00642B6A">
            <w:pPr>
              <w:jc w:val="center"/>
              <w:rPr>
                <w:rFonts w:ascii="Arial" w:eastAsia="Times New Roman" w:hAnsi="Arial" w:cs="Arial"/>
                <w:b/>
                <w:bCs/>
                <w:color w:val="000000"/>
                <w:sz w:val="18"/>
                <w:szCs w:val="18"/>
              </w:rPr>
            </w:pPr>
            <w:r w:rsidRPr="00642B6A">
              <w:rPr>
                <w:rFonts w:ascii="Arial" w:eastAsia="Times New Roman" w:hAnsi="Arial" w:cs="Arial"/>
                <w:b/>
                <w:bCs/>
                <w:color w:val="000000"/>
                <w:sz w:val="18"/>
                <w:szCs w:val="18"/>
              </w:rPr>
              <w:t>Requested</w:t>
            </w:r>
          </w:p>
        </w:tc>
        <w:tc>
          <w:tcPr>
            <w:tcW w:w="1250" w:type="pct"/>
            <w:shd w:val="clear" w:color="auto" w:fill="CCCCCC"/>
            <w:vAlign w:val="center"/>
            <w:hideMark/>
          </w:tcPr>
          <w:p w:rsidR="00642B6A" w:rsidRPr="00642B6A" w:rsidRDefault="00642B6A" w:rsidP="00642B6A">
            <w:pPr>
              <w:jc w:val="center"/>
              <w:rPr>
                <w:rFonts w:ascii="Arial" w:eastAsia="Times New Roman" w:hAnsi="Arial" w:cs="Arial"/>
                <w:b/>
                <w:bCs/>
                <w:color w:val="000000"/>
                <w:sz w:val="18"/>
                <w:szCs w:val="18"/>
              </w:rPr>
            </w:pPr>
            <w:r w:rsidRPr="00642B6A">
              <w:rPr>
                <w:rFonts w:ascii="Arial" w:eastAsia="Times New Roman" w:hAnsi="Arial" w:cs="Arial"/>
                <w:b/>
                <w:bCs/>
                <w:color w:val="000000"/>
                <w:sz w:val="18"/>
                <w:szCs w:val="18"/>
              </w:rPr>
              <w:t>Previously Approved</w:t>
            </w:r>
          </w:p>
        </w:tc>
      </w:tr>
      <w:tr w:rsidR="00642B6A" w:rsidRPr="00642B6A" w:rsidTr="00D032BE">
        <w:trPr>
          <w:tblCellSpacing w:w="7" w:type="dxa"/>
        </w:trPr>
        <w:tc>
          <w:tcPr>
            <w:tcW w:w="0" w:type="auto"/>
            <w:shd w:val="clear" w:color="auto" w:fill="EFEFEF"/>
            <w:tcMar>
              <w:top w:w="30" w:type="dxa"/>
              <w:left w:w="30" w:type="dxa"/>
              <w:bottom w:w="30" w:type="dxa"/>
              <w:right w:w="30" w:type="dxa"/>
            </w:tcMar>
            <w:vAlign w:val="center"/>
            <w:hideMark/>
          </w:tcPr>
          <w:p w:rsidR="00642B6A" w:rsidRPr="00642B6A" w:rsidRDefault="00642B6A" w:rsidP="00642B6A">
            <w:pPr>
              <w:rPr>
                <w:rFonts w:ascii="Arial" w:eastAsia="Times New Roman" w:hAnsi="Arial" w:cs="Arial"/>
                <w:color w:val="000000"/>
                <w:sz w:val="18"/>
                <w:szCs w:val="18"/>
              </w:rPr>
            </w:pPr>
            <w:r w:rsidRPr="00642B6A">
              <w:rPr>
                <w:rFonts w:ascii="Arial" w:eastAsia="Times New Roman" w:hAnsi="Arial" w:cs="Arial"/>
                <w:color w:val="000000"/>
                <w:sz w:val="18"/>
                <w:szCs w:val="18"/>
              </w:rPr>
              <w:t>Expiration Date</w:t>
            </w:r>
          </w:p>
        </w:tc>
        <w:tc>
          <w:tcPr>
            <w:tcW w:w="0" w:type="auto"/>
            <w:shd w:val="clear" w:color="auto" w:fill="EFEFEF"/>
            <w:tcMar>
              <w:top w:w="30" w:type="dxa"/>
              <w:left w:w="30" w:type="dxa"/>
              <w:bottom w:w="30" w:type="dxa"/>
              <w:right w:w="30" w:type="dxa"/>
            </w:tcMar>
            <w:vAlign w:val="center"/>
            <w:hideMark/>
          </w:tcPr>
          <w:p w:rsidR="00642B6A" w:rsidRPr="00642B6A" w:rsidRDefault="00642B6A" w:rsidP="00642B6A">
            <w:pPr>
              <w:jc w:val="right"/>
              <w:rPr>
                <w:rFonts w:ascii="Arial" w:eastAsia="Times New Roman" w:hAnsi="Arial" w:cs="Arial"/>
                <w:color w:val="000000"/>
                <w:sz w:val="18"/>
                <w:szCs w:val="18"/>
              </w:rPr>
            </w:pPr>
            <w:r w:rsidRPr="00642B6A">
              <w:rPr>
                <w:rFonts w:ascii="Arial" w:eastAsia="Times New Roman" w:hAnsi="Arial" w:cs="Arial"/>
                <w:color w:val="000000"/>
                <w:sz w:val="18"/>
                <w:szCs w:val="18"/>
              </w:rPr>
              <w:t>09/30/2012</w:t>
            </w:r>
          </w:p>
        </w:tc>
        <w:tc>
          <w:tcPr>
            <w:tcW w:w="0" w:type="auto"/>
            <w:shd w:val="clear" w:color="auto" w:fill="EFEFEF"/>
            <w:tcMar>
              <w:top w:w="30" w:type="dxa"/>
              <w:left w:w="30" w:type="dxa"/>
              <w:bottom w:w="30" w:type="dxa"/>
              <w:right w:w="30" w:type="dxa"/>
            </w:tcMar>
            <w:vAlign w:val="center"/>
            <w:hideMark/>
          </w:tcPr>
          <w:p w:rsidR="00642B6A" w:rsidRPr="00642B6A" w:rsidRDefault="00642B6A" w:rsidP="00642B6A">
            <w:pPr>
              <w:jc w:val="right"/>
              <w:rPr>
                <w:rFonts w:ascii="Arial" w:eastAsia="Times New Roman" w:hAnsi="Arial" w:cs="Arial"/>
                <w:color w:val="000000"/>
                <w:sz w:val="18"/>
                <w:szCs w:val="18"/>
              </w:rPr>
            </w:pPr>
            <w:r w:rsidRPr="00642B6A">
              <w:rPr>
                <w:rFonts w:ascii="Arial" w:eastAsia="Times New Roman" w:hAnsi="Arial" w:cs="Arial"/>
                <w:color w:val="000000"/>
                <w:sz w:val="18"/>
                <w:szCs w:val="18"/>
              </w:rPr>
              <w:t>36 Months From Approved</w:t>
            </w:r>
          </w:p>
        </w:tc>
        <w:tc>
          <w:tcPr>
            <w:tcW w:w="0" w:type="auto"/>
            <w:shd w:val="clear" w:color="auto" w:fill="EFEFEF"/>
            <w:tcMar>
              <w:top w:w="30" w:type="dxa"/>
              <w:left w:w="30" w:type="dxa"/>
              <w:bottom w:w="30" w:type="dxa"/>
              <w:right w:w="30" w:type="dxa"/>
            </w:tcMar>
            <w:vAlign w:val="center"/>
            <w:hideMark/>
          </w:tcPr>
          <w:p w:rsidR="00642B6A" w:rsidRPr="00642B6A" w:rsidRDefault="00642B6A" w:rsidP="00642B6A">
            <w:pPr>
              <w:jc w:val="right"/>
              <w:rPr>
                <w:rFonts w:ascii="Arial" w:eastAsia="Times New Roman" w:hAnsi="Arial" w:cs="Arial"/>
                <w:color w:val="000000"/>
                <w:sz w:val="18"/>
                <w:szCs w:val="18"/>
              </w:rPr>
            </w:pPr>
          </w:p>
        </w:tc>
      </w:tr>
      <w:tr w:rsidR="00642B6A" w:rsidRPr="00642B6A" w:rsidTr="00D032BE">
        <w:trPr>
          <w:tblCellSpacing w:w="7" w:type="dxa"/>
        </w:trPr>
        <w:tc>
          <w:tcPr>
            <w:tcW w:w="0" w:type="auto"/>
            <w:shd w:val="clear" w:color="auto" w:fill="EFEFEF"/>
            <w:tcMar>
              <w:top w:w="30" w:type="dxa"/>
              <w:left w:w="30" w:type="dxa"/>
              <w:bottom w:w="30" w:type="dxa"/>
              <w:right w:w="30" w:type="dxa"/>
            </w:tcMar>
            <w:vAlign w:val="center"/>
            <w:hideMark/>
          </w:tcPr>
          <w:p w:rsidR="00642B6A" w:rsidRPr="00642B6A" w:rsidRDefault="00642B6A" w:rsidP="00642B6A">
            <w:pPr>
              <w:rPr>
                <w:rFonts w:ascii="Arial" w:eastAsia="Times New Roman" w:hAnsi="Arial" w:cs="Arial"/>
                <w:color w:val="000000"/>
                <w:sz w:val="18"/>
                <w:szCs w:val="18"/>
              </w:rPr>
            </w:pPr>
            <w:r w:rsidRPr="00642B6A">
              <w:rPr>
                <w:rFonts w:ascii="Arial" w:eastAsia="Times New Roman" w:hAnsi="Arial" w:cs="Arial"/>
                <w:color w:val="000000"/>
                <w:sz w:val="18"/>
                <w:szCs w:val="18"/>
              </w:rPr>
              <w:t>Responses</w:t>
            </w:r>
          </w:p>
        </w:tc>
        <w:tc>
          <w:tcPr>
            <w:tcW w:w="0" w:type="auto"/>
            <w:shd w:val="clear" w:color="auto" w:fill="EFEFEF"/>
            <w:tcMar>
              <w:top w:w="30" w:type="dxa"/>
              <w:left w:w="30" w:type="dxa"/>
              <w:bottom w:w="30" w:type="dxa"/>
              <w:right w:w="30" w:type="dxa"/>
            </w:tcMar>
            <w:vAlign w:val="center"/>
            <w:hideMark/>
          </w:tcPr>
          <w:p w:rsidR="00642B6A" w:rsidRPr="00642B6A" w:rsidRDefault="00642B6A" w:rsidP="00642B6A">
            <w:pPr>
              <w:jc w:val="right"/>
              <w:rPr>
                <w:rFonts w:ascii="Arial" w:eastAsia="Times New Roman" w:hAnsi="Arial" w:cs="Arial"/>
                <w:color w:val="000000"/>
                <w:sz w:val="18"/>
                <w:szCs w:val="18"/>
              </w:rPr>
            </w:pPr>
            <w:r w:rsidRPr="00642B6A">
              <w:rPr>
                <w:rFonts w:ascii="Arial" w:eastAsia="Times New Roman" w:hAnsi="Arial" w:cs="Arial"/>
                <w:color w:val="000000"/>
                <w:sz w:val="18"/>
                <w:szCs w:val="18"/>
              </w:rPr>
              <w:t>112</w:t>
            </w:r>
          </w:p>
        </w:tc>
        <w:tc>
          <w:tcPr>
            <w:tcW w:w="0" w:type="auto"/>
            <w:shd w:val="clear" w:color="auto" w:fill="EFEFEF"/>
            <w:tcMar>
              <w:top w:w="30" w:type="dxa"/>
              <w:left w:w="30" w:type="dxa"/>
              <w:bottom w:w="30" w:type="dxa"/>
              <w:right w:w="30" w:type="dxa"/>
            </w:tcMar>
            <w:vAlign w:val="center"/>
            <w:hideMark/>
          </w:tcPr>
          <w:p w:rsidR="00642B6A" w:rsidRPr="00642B6A" w:rsidRDefault="00642B6A" w:rsidP="00642B6A">
            <w:pPr>
              <w:jc w:val="right"/>
              <w:rPr>
                <w:rFonts w:ascii="Arial" w:eastAsia="Times New Roman" w:hAnsi="Arial" w:cs="Arial"/>
                <w:color w:val="000000"/>
                <w:sz w:val="18"/>
                <w:szCs w:val="18"/>
              </w:rPr>
            </w:pPr>
            <w:r w:rsidRPr="00642B6A">
              <w:rPr>
                <w:rFonts w:ascii="Arial" w:eastAsia="Times New Roman" w:hAnsi="Arial" w:cs="Arial"/>
                <w:color w:val="000000"/>
                <w:sz w:val="18"/>
                <w:szCs w:val="18"/>
              </w:rPr>
              <w:t>112</w:t>
            </w:r>
          </w:p>
        </w:tc>
        <w:tc>
          <w:tcPr>
            <w:tcW w:w="0" w:type="auto"/>
            <w:shd w:val="clear" w:color="auto" w:fill="EFEFEF"/>
            <w:tcMar>
              <w:top w:w="30" w:type="dxa"/>
              <w:left w:w="30" w:type="dxa"/>
              <w:bottom w:w="30" w:type="dxa"/>
              <w:right w:w="30" w:type="dxa"/>
            </w:tcMar>
            <w:vAlign w:val="center"/>
            <w:hideMark/>
          </w:tcPr>
          <w:p w:rsidR="00642B6A" w:rsidRPr="00642B6A" w:rsidRDefault="00642B6A" w:rsidP="00642B6A">
            <w:pPr>
              <w:jc w:val="right"/>
              <w:rPr>
                <w:rFonts w:ascii="Arial" w:eastAsia="Times New Roman" w:hAnsi="Arial" w:cs="Arial"/>
                <w:color w:val="000000"/>
                <w:sz w:val="18"/>
                <w:szCs w:val="18"/>
              </w:rPr>
            </w:pPr>
            <w:r w:rsidRPr="00642B6A">
              <w:rPr>
                <w:rFonts w:ascii="Arial" w:eastAsia="Times New Roman" w:hAnsi="Arial" w:cs="Arial"/>
                <w:color w:val="000000"/>
                <w:sz w:val="18"/>
                <w:szCs w:val="18"/>
              </w:rPr>
              <w:t>0</w:t>
            </w:r>
          </w:p>
        </w:tc>
      </w:tr>
      <w:tr w:rsidR="00642B6A" w:rsidRPr="00642B6A" w:rsidTr="00D032BE">
        <w:trPr>
          <w:tblCellSpacing w:w="7" w:type="dxa"/>
        </w:trPr>
        <w:tc>
          <w:tcPr>
            <w:tcW w:w="0" w:type="auto"/>
            <w:shd w:val="clear" w:color="auto" w:fill="EFEFEF"/>
            <w:tcMar>
              <w:top w:w="30" w:type="dxa"/>
              <w:left w:w="30" w:type="dxa"/>
              <w:bottom w:w="30" w:type="dxa"/>
              <w:right w:w="30" w:type="dxa"/>
            </w:tcMar>
            <w:vAlign w:val="center"/>
            <w:hideMark/>
          </w:tcPr>
          <w:p w:rsidR="00642B6A" w:rsidRPr="00642B6A" w:rsidRDefault="00642B6A" w:rsidP="00642B6A">
            <w:pPr>
              <w:rPr>
                <w:rFonts w:ascii="Arial" w:eastAsia="Times New Roman" w:hAnsi="Arial" w:cs="Arial"/>
                <w:color w:val="000000"/>
                <w:sz w:val="18"/>
                <w:szCs w:val="18"/>
              </w:rPr>
            </w:pPr>
            <w:r w:rsidRPr="00642B6A">
              <w:rPr>
                <w:rFonts w:ascii="Arial" w:eastAsia="Times New Roman" w:hAnsi="Arial" w:cs="Arial"/>
                <w:color w:val="000000"/>
                <w:sz w:val="18"/>
                <w:szCs w:val="18"/>
              </w:rPr>
              <w:t>Time Burden (Hours)</w:t>
            </w:r>
          </w:p>
        </w:tc>
        <w:tc>
          <w:tcPr>
            <w:tcW w:w="0" w:type="auto"/>
            <w:shd w:val="clear" w:color="auto" w:fill="EFEFEF"/>
            <w:tcMar>
              <w:top w:w="30" w:type="dxa"/>
              <w:left w:w="30" w:type="dxa"/>
              <w:bottom w:w="30" w:type="dxa"/>
              <w:right w:w="30" w:type="dxa"/>
            </w:tcMar>
            <w:vAlign w:val="center"/>
            <w:hideMark/>
          </w:tcPr>
          <w:p w:rsidR="00642B6A" w:rsidRPr="00642B6A" w:rsidRDefault="00642B6A" w:rsidP="00642B6A">
            <w:pPr>
              <w:jc w:val="right"/>
              <w:rPr>
                <w:rFonts w:ascii="Arial" w:eastAsia="Times New Roman" w:hAnsi="Arial" w:cs="Arial"/>
                <w:color w:val="000000"/>
                <w:sz w:val="18"/>
                <w:szCs w:val="18"/>
              </w:rPr>
            </w:pPr>
            <w:r w:rsidRPr="00642B6A">
              <w:rPr>
                <w:rFonts w:ascii="Arial" w:eastAsia="Times New Roman" w:hAnsi="Arial" w:cs="Arial"/>
                <w:color w:val="000000"/>
                <w:sz w:val="18"/>
                <w:szCs w:val="18"/>
              </w:rPr>
              <w:t>36,500</w:t>
            </w:r>
          </w:p>
        </w:tc>
        <w:tc>
          <w:tcPr>
            <w:tcW w:w="0" w:type="auto"/>
            <w:shd w:val="clear" w:color="auto" w:fill="EFEFEF"/>
            <w:tcMar>
              <w:top w:w="30" w:type="dxa"/>
              <w:left w:w="30" w:type="dxa"/>
              <w:bottom w:w="30" w:type="dxa"/>
              <w:right w:w="30" w:type="dxa"/>
            </w:tcMar>
            <w:vAlign w:val="center"/>
            <w:hideMark/>
          </w:tcPr>
          <w:p w:rsidR="00642B6A" w:rsidRPr="00642B6A" w:rsidRDefault="00642B6A" w:rsidP="00642B6A">
            <w:pPr>
              <w:jc w:val="right"/>
              <w:rPr>
                <w:rFonts w:ascii="Arial" w:eastAsia="Times New Roman" w:hAnsi="Arial" w:cs="Arial"/>
                <w:color w:val="000000"/>
                <w:sz w:val="18"/>
                <w:szCs w:val="18"/>
              </w:rPr>
            </w:pPr>
            <w:r w:rsidRPr="00642B6A">
              <w:rPr>
                <w:rFonts w:ascii="Arial" w:eastAsia="Times New Roman" w:hAnsi="Arial" w:cs="Arial"/>
                <w:color w:val="000000"/>
                <w:sz w:val="18"/>
                <w:szCs w:val="18"/>
              </w:rPr>
              <w:t>36,500</w:t>
            </w:r>
          </w:p>
        </w:tc>
        <w:tc>
          <w:tcPr>
            <w:tcW w:w="0" w:type="auto"/>
            <w:shd w:val="clear" w:color="auto" w:fill="EFEFEF"/>
            <w:tcMar>
              <w:top w:w="30" w:type="dxa"/>
              <w:left w:w="30" w:type="dxa"/>
              <w:bottom w:w="30" w:type="dxa"/>
              <w:right w:w="30" w:type="dxa"/>
            </w:tcMar>
            <w:vAlign w:val="center"/>
            <w:hideMark/>
          </w:tcPr>
          <w:p w:rsidR="00642B6A" w:rsidRPr="00642B6A" w:rsidRDefault="00642B6A" w:rsidP="00642B6A">
            <w:pPr>
              <w:jc w:val="right"/>
              <w:rPr>
                <w:rFonts w:ascii="Arial" w:eastAsia="Times New Roman" w:hAnsi="Arial" w:cs="Arial"/>
                <w:color w:val="000000"/>
                <w:sz w:val="18"/>
                <w:szCs w:val="18"/>
              </w:rPr>
            </w:pPr>
            <w:r w:rsidRPr="00642B6A">
              <w:rPr>
                <w:rFonts w:ascii="Arial" w:eastAsia="Times New Roman" w:hAnsi="Arial" w:cs="Arial"/>
                <w:color w:val="000000"/>
                <w:sz w:val="18"/>
                <w:szCs w:val="18"/>
              </w:rPr>
              <w:t>0</w:t>
            </w:r>
          </w:p>
        </w:tc>
      </w:tr>
      <w:tr w:rsidR="00642B6A" w:rsidRPr="00642B6A" w:rsidTr="00D032BE">
        <w:trPr>
          <w:tblCellSpacing w:w="7" w:type="dxa"/>
        </w:trPr>
        <w:tc>
          <w:tcPr>
            <w:tcW w:w="0" w:type="auto"/>
            <w:shd w:val="clear" w:color="auto" w:fill="EFEFEF"/>
            <w:tcMar>
              <w:top w:w="30" w:type="dxa"/>
              <w:left w:w="30" w:type="dxa"/>
              <w:bottom w:w="30" w:type="dxa"/>
              <w:right w:w="30" w:type="dxa"/>
            </w:tcMar>
            <w:vAlign w:val="center"/>
            <w:hideMark/>
          </w:tcPr>
          <w:p w:rsidR="00642B6A" w:rsidRPr="00642B6A" w:rsidRDefault="00642B6A" w:rsidP="00642B6A">
            <w:pPr>
              <w:rPr>
                <w:rFonts w:ascii="Arial" w:eastAsia="Times New Roman" w:hAnsi="Arial" w:cs="Arial"/>
                <w:color w:val="000000"/>
                <w:sz w:val="18"/>
                <w:szCs w:val="18"/>
              </w:rPr>
            </w:pPr>
            <w:r w:rsidRPr="00642B6A">
              <w:rPr>
                <w:rFonts w:ascii="Arial" w:eastAsia="Times New Roman" w:hAnsi="Arial" w:cs="Arial"/>
                <w:color w:val="000000"/>
                <w:sz w:val="18"/>
                <w:szCs w:val="18"/>
              </w:rPr>
              <w:t>Cost Burden (Dollars)</w:t>
            </w:r>
          </w:p>
        </w:tc>
        <w:tc>
          <w:tcPr>
            <w:tcW w:w="0" w:type="auto"/>
            <w:shd w:val="clear" w:color="auto" w:fill="EFEFEF"/>
            <w:tcMar>
              <w:top w:w="30" w:type="dxa"/>
              <w:left w:w="30" w:type="dxa"/>
              <w:bottom w:w="30" w:type="dxa"/>
              <w:right w:w="30" w:type="dxa"/>
            </w:tcMar>
            <w:vAlign w:val="center"/>
            <w:hideMark/>
          </w:tcPr>
          <w:p w:rsidR="00642B6A" w:rsidRPr="00642B6A" w:rsidRDefault="00642B6A" w:rsidP="00642B6A">
            <w:pPr>
              <w:jc w:val="right"/>
              <w:rPr>
                <w:rFonts w:ascii="Arial" w:eastAsia="Times New Roman" w:hAnsi="Arial" w:cs="Arial"/>
                <w:color w:val="000000"/>
                <w:sz w:val="18"/>
                <w:szCs w:val="18"/>
              </w:rPr>
            </w:pPr>
            <w:r w:rsidRPr="00642B6A">
              <w:rPr>
                <w:rFonts w:ascii="Arial" w:eastAsia="Times New Roman" w:hAnsi="Arial" w:cs="Arial"/>
                <w:color w:val="000000"/>
                <w:sz w:val="18"/>
                <w:szCs w:val="18"/>
              </w:rPr>
              <w:t>1,212</w:t>
            </w:r>
          </w:p>
        </w:tc>
        <w:tc>
          <w:tcPr>
            <w:tcW w:w="0" w:type="auto"/>
            <w:shd w:val="clear" w:color="auto" w:fill="EFEFEF"/>
            <w:tcMar>
              <w:top w:w="30" w:type="dxa"/>
              <w:left w:w="30" w:type="dxa"/>
              <w:bottom w:w="30" w:type="dxa"/>
              <w:right w:w="30" w:type="dxa"/>
            </w:tcMar>
            <w:vAlign w:val="center"/>
            <w:hideMark/>
          </w:tcPr>
          <w:p w:rsidR="00642B6A" w:rsidRPr="00642B6A" w:rsidRDefault="00642B6A" w:rsidP="00642B6A">
            <w:pPr>
              <w:jc w:val="right"/>
              <w:rPr>
                <w:rFonts w:ascii="Arial" w:eastAsia="Times New Roman" w:hAnsi="Arial" w:cs="Arial"/>
                <w:color w:val="000000"/>
                <w:sz w:val="18"/>
                <w:szCs w:val="18"/>
              </w:rPr>
            </w:pPr>
            <w:r w:rsidRPr="00642B6A">
              <w:rPr>
                <w:rFonts w:ascii="Arial" w:eastAsia="Times New Roman" w:hAnsi="Arial" w:cs="Arial"/>
                <w:color w:val="000000"/>
                <w:sz w:val="18"/>
                <w:szCs w:val="18"/>
              </w:rPr>
              <w:t>1,212</w:t>
            </w:r>
          </w:p>
        </w:tc>
        <w:tc>
          <w:tcPr>
            <w:tcW w:w="0" w:type="auto"/>
            <w:shd w:val="clear" w:color="auto" w:fill="EFEFEF"/>
            <w:tcMar>
              <w:top w:w="30" w:type="dxa"/>
              <w:left w:w="30" w:type="dxa"/>
              <w:bottom w:w="30" w:type="dxa"/>
              <w:right w:w="30" w:type="dxa"/>
            </w:tcMar>
            <w:vAlign w:val="center"/>
            <w:hideMark/>
          </w:tcPr>
          <w:p w:rsidR="00642B6A" w:rsidRPr="00642B6A" w:rsidRDefault="00642B6A" w:rsidP="00642B6A">
            <w:pPr>
              <w:jc w:val="right"/>
              <w:rPr>
                <w:rFonts w:ascii="Arial" w:eastAsia="Times New Roman" w:hAnsi="Arial" w:cs="Arial"/>
                <w:color w:val="000000"/>
                <w:sz w:val="18"/>
                <w:szCs w:val="18"/>
              </w:rPr>
            </w:pPr>
            <w:r w:rsidRPr="00642B6A">
              <w:rPr>
                <w:rFonts w:ascii="Arial" w:eastAsia="Times New Roman" w:hAnsi="Arial" w:cs="Arial"/>
                <w:color w:val="000000"/>
                <w:sz w:val="18"/>
                <w:szCs w:val="18"/>
              </w:rPr>
              <w:t>0</w:t>
            </w:r>
          </w:p>
        </w:tc>
      </w:tr>
    </w:tbl>
    <w:p w:rsidR="00642B6A" w:rsidRPr="00642B6A" w:rsidRDefault="00642B6A" w:rsidP="00642B6A">
      <w:pPr>
        <w:tabs>
          <w:tab w:val="left" w:pos="-720"/>
          <w:tab w:val="left" w:pos="0"/>
        </w:tabs>
        <w:suppressAutoHyphens/>
        <w:ind w:left="720" w:hanging="720"/>
        <w:jc w:val="center"/>
        <w:rPr>
          <w:rFonts w:ascii="Arial" w:eastAsia="Times New Roman" w:hAnsi="Arial" w:cs="Times New Roman"/>
          <w:b/>
          <w:szCs w:val="24"/>
        </w:rPr>
      </w:pPr>
    </w:p>
    <w:p w:rsidR="00642B6A" w:rsidRPr="00642B6A" w:rsidRDefault="00642B6A" w:rsidP="00642B6A">
      <w:pPr>
        <w:tabs>
          <w:tab w:val="left" w:pos="-720"/>
          <w:tab w:val="left" w:pos="0"/>
        </w:tabs>
        <w:suppressAutoHyphens/>
        <w:ind w:left="720" w:hanging="720"/>
        <w:jc w:val="center"/>
        <w:rPr>
          <w:rFonts w:ascii="Arial" w:eastAsia="Times New Roman" w:hAnsi="Arial" w:cs="Times New Roman"/>
          <w:b/>
          <w:szCs w:val="24"/>
        </w:rPr>
      </w:pPr>
    </w:p>
    <w:p w:rsidR="00642B6A" w:rsidRPr="00642B6A" w:rsidRDefault="00642B6A" w:rsidP="00642B6A">
      <w:pPr>
        <w:tabs>
          <w:tab w:val="left" w:pos="-720"/>
          <w:tab w:val="left" w:pos="0"/>
        </w:tabs>
        <w:suppressAutoHyphens/>
        <w:ind w:left="720" w:hanging="720"/>
        <w:rPr>
          <w:rFonts w:eastAsia="Times New Roman" w:cs="Times New Roman"/>
          <w:b/>
          <w:szCs w:val="24"/>
        </w:rPr>
      </w:pPr>
      <w:r w:rsidRPr="00642B6A">
        <w:rPr>
          <w:rFonts w:eastAsia="Times New Roman" w:cs="Times New Roman"/>
          <w:b/>
          <w:szCs w:val="24"/>
        </w:rPr>
        <w:t>Amended Estimated Hourly Burden</w:t>
      </w:r>
    </w:p>
    <w:p w:rsidR="00642B6A" w:rsidRPr="00642B6A" w:rsidRDefault="00642B6A" w:rsidP="00642B6A">
      <w:pPr>
        <w:tabs>
          <w:tab w:val="left" w:pos="-720"/>
          <w:tab w:val="left" w:pos="0"/>
        </w:tabs>
        <w:suppressAutoHyphens/>
        <w:ind w:left="720" w:hanging="720"/>
        <w:rPr>
          <w:rFonts w:ascii="Arial" w:eastAsia="Times New Roman" w:hAnsi="Arial" w:cs="Times New Roman"/>
          <w:b/>
          <w:szCs w:val="24"/>
        </w:rPr>
      </w:pPr>
    </w:p>
    <w:tbl>
      <w:tblPr>
        <w:tblW w:w="100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0"/>
        <w:gridCol w:w="1808"/>
        <w:gridCol w:w="1229"/>
        <w:gridCol w:w="1518"/>
        <w:gridCol w:w="1518"/>
        <w:gridCol w:w="1518"/>
      </w:tblGrid>
      <w:tr w:rsidR="00642B6A" w:rsidRPr="00642B6A" w:rsidTr="00D032BE">
        <w:tc>
          <w:tcPr>
            <w:tcW w:w="2420" w:type="dxa"/>
          </w:tcPr>
          <w:p w:rsidR="00642B6A" w:rsidRPr="00642B6A" w:rsidRDefault="00642B6A" w:rsidP="00642B6A">
            <w:pPr>
              <w:tabs>
                <w:tab w:val="left" w:pos="-720"/>
                <w:tab w:val="left" w:pos="0"/>
              </w:tabs>
              <w:suppressAutoHyphens/>
              <w:jc w:val="center"/>
              <w:rPr>
                <w:rFonts w:ascii="Arial" w:eastAsia="Times New Roman" w:hAnsi="Arial" w:cs="Times New Roman"/>
                <w:b/>
                <w:szCs w:val="24"/>
              </w:rPr>
            </w:pPr>
            <w:r w:rsidRPr="00642B6A">
              <w:rPr>
                <w:rFonts w:ascii="Arial" w:eastAsia="Times New Roman" w:hAnsi="Arial" w:cs="Times New Roman"/>
                <w:b/>
                <w:szCs w:val="24"/>
              </w:rPr>
              <w:t>Report</w:t>
            </w:r>
          </w:p>
        </w:tc>
        <w:tc>
          <w:tcPr>
            <w:tcW w:w="1808" w:type="dxa"/>
          </w:tcPr>
          <w:p w:rsidR="00642B6A" w:rsidRPr="00642B6A" w:rsidRDefault="00642B6A" w:rsidP="00642B6A">
            <w:pPr>
              <w:tabs>
                <w:tab w:val="left" w:pos="-720"/>
                <w:tab w:val="left" w:pos="0"/>
              </w:tabs>
              <w:suppressAutoHyphens/>
              <w:jc w:val="center"/>
              <w:rPr>
                <w:rFonts w:ascii="Arial" w:eastAsia="Times New Roman" w:hAnsi="Arial" w:cs="Times New Roman"/>
                <w:b/>
                <w:szCs w:val="24"/>
              </w:rPr>
            </w:pPr>
            <w:r w:rsidRPr="00642B6A">
              <w:rPr>
                <w:rFonts w:ascii="Arial" w:eastAsia="Times New Roman" w:hAnsi="Arial" w:cs="Times New Roman"/>
                <w:b/>
                <w:szCs w:val="24"/>
              </w:rPr>
              <w:t xml:space="preserve">Estimated Number of Respondents </w:t>
            </w:r>
          </w:p>
        </w:tc>
        <w:tc>
          <w:tcPr>
            <w:tcW w:w="1229" w:type="dxa"/>
          </w:tcPr>
          <w:p w:rsidR="00642B6A" w:rsidRPr="00642B6A" w:rsidRDefault="00642B6A" w:rsidP="00642B6A">
            <w:pPr>
              <w:tabs>
                <w:tab w:val="left" w:pos="-720"/>
                <w:tab w:val="left" w:pos="0"/>
              </w:tabs>
              <w:suppressAutoHyphens/>
              <w:jc w:val="center"/>
              <w:rPr>
                <w:rFonts w:ascii="Arial" w:eastAsia="Times New Roman" w:hAnsi="Arial" w:cs="Times New Roman"/>
                <w:b/>
                <w:szCs w:val="24"/>
              </w:rPr>
            </w:pPr>
            <w:r w:rsidRPr="00642B6A">
              <w:rPr>
                <w:rFonts w:ascii="Arial" w:eastAsia="Times New Roman" w:hAnsi="Arial" w:cs="Times New Roman"/>
                <w:b/>
                <w:szCs w:val="24"/>
              </w:rPr>
              <w:t>Reports</w:t>
            </w:r>
          </w:p>
          <w:p w:rsidR="00642B6A" w:rsidRPr="00642B6A" w:rsidRDefault="00642B6A" w:rsidP="00642B6A">
            <w:pPr>
              <w:tabs>
                <w:tab w:val="left" w:pos="-720"/>
                <w:tab w:val="left" w:pos="0"/>
              </w:tabs>
              <w:suppressAutoHyphens/>
              <w:jc w:val="center"/>
              <w:rPr>
                <w:rFonts w:ascii="Arial" w:eastAsia="Times New Roman" w:hAnsi="Arial" w:cs="Times New Roman"/>
                <w:b/>
                <w:szCs w:val="24"/>
              </w:rPr>
            </w:pPr>
            <w:r w:rsidRPr="00642B6A">
              <w:rPr>
                <w:rFonts w:ascii="Arial" w:eastAsia="Times New Roman" w:hAnsi="Arial" w:cs="Times New Roman"/>
                <w:b/>
                <w:szCs w:val="24"/>
              </w:rPr>
              <w:t>Per period by Each</w:t>
            </w:r>
          </w:p>
        </w:tc>
        <w:tc>
          <w:tcPr>
            <w:tcW w:w="1518" w:type="dxa"/>
          </w:tcPr>
          <w:p w:rsidR="00642B6A" w:rsidRPr="00642B6A" w:rsidRDefault="00642B6A" w:rsidP="00642B6A">
            <w:pPr>
              <w:tabs>
                <w:tab w:val="left" w:pos="-720"/>
                <w:tab w:val="left" w:pos="0"/>
              </w:tabs>
              <w:suppressAutoHyphens/>
              <w:jc w:val="center"/>
              <w:rPr>
                <w:rFonts w:ascii="Arial" w:eastAsia="Times New Roman" w:hAnsi="Arial" w:cs="Times New Roman"/>
                <w:b/>
                <w:szCs w:val="24"/>
              </w:rPr>
            </w:pPr>
            <w:r w:rsidRPr="00642B6A">
              <w:rPr>
                <w:rFonts w:ascii="Arial" w:eastAsia="Times New Roman" w:hAnsi="Arial" w:cs="Times New Roman"/>
                <w:b/>
                <w:szCs w:val="24"/>
              </w:rPr>
              <w:t xml:space="preserve">Total </w:t>
            </w:r>
          </w:p>
          <w:p w:rsidR="00642B6A" w:rsidRPr="00642B6A" w:rsidRDefault="00642B6A" w:rsidP="00642B6A">
            <w:pPr>
              <w:tabs>
                <w:tab w:val="left" w:pos="-720"/>
                <w:tab w:val="left" w:pos="0"/>
              </w:tabs>
              <w:suppressAutoHyphens/>
              <w:jc w:val="center"/>
              <w:rPr>
                <w:rFonts w:ascii="Arial" w:eastAsia="Times New Roman" w:hAnsi="Arial" w:cs="Times New Roman"/>
                <w:b/>
                <w:szCs w:val="24"/>
              </w:rPr>
            </w:pPr>
            <w:r w:rsidRPr="00642B6A">
              <w:rPr>
                <w:rFonts w:ascii="Arial" w:eastAsia="Times New Roman" w:hAnsi="Arial" w:cs="Times New Roman"/>
                <w:b/>
                <w:szCs w:val="24"/>
              </w:rPr>
              <w:t>Responses</w:t>
            </w:r>
          </w:p>
        </w:tc>
        <w:tc>
          <w:tcPr>
            <w:tcW w:w="1518" w:type="dxa"/>
          </w:tcPr>
          <w:p w:rsidR="00642B6A" w:rsidRPr="00642B6A" w:rsidRDefault="00642B6A" w:rsidP="00642B6A">
            <w:pPr>
              <w:tabs>
                <w:tab w:val="left" w:pos="-720"/>
                <w:tab w:val="left" w:pos="0"/>
              </w:tabs>
              <w:suppressAutoHyphens/>
              <w:jc w:val="center"/>
              <w:rPr>
                <w:rFonts w:ascii="Arial" w:eastAsia="Times New Roman" w:hAnsi="Arial" w:cs="Times New Roman"/>
                <w:b/>
                <w:szCs w:val="24"/>
              </w:rPr>
            </w:pPr>
            <w:r w:rsidRPr="00642B6A">
              <w:rPr>
                <w:rFonts w:ascii="Arial" w:eastAsia="Times New Roman" w:hAnsi="Arial" w:cs="Times New Roman"/>
                <w:b/>
                <w:szCs w:val="24"/>
              </w:rPr>
              <w:t>Estimated Average Number of Hours per year</w:t>
            </w:r>
          </w:p>
        </w:tc>
        <w:tc>
          <w:tcPr>
            <w:tcW w:w="1518" w:type="dxa"/>
          </w:tcPr>
          <w:p w:rsidR="00642B6A" w:rsidRPr="00642B6A" w:rsidRDefault="00642B6A" w:rsidP="00642B6A">
            <w:pPr>
              <w:tabs>
                <w:tab w:val="left" w:pos="-720"/>
                <w:tab w:val="left" w:pos="0"/>
              </w:tabs>
              <w:suppressAutoHyphens/>
              <w:jc w:val="center"/>
              <w:rPr>
                <w:rFonts w:ascii="Arial" w:eastAsia="Times New Roman" w:hAnsi="Arial" w:cs="Times New Roman"/>
                <w:b/>
                <w:szCs w:val="24"/>
              </w:rPr>
            </w:pPr>
            <w:r w:rsidRPr="00642B6A">
              <w:rPr>
                <w:rFonts w:ascii="Arial" w:eastAsia="Times New Roman" w:hAnsi="Arial" w:cs="Times New Roman"/>
                <w:b/>
                <w:szCs w:val="24"/>
              </w:rPr>
              <w:t>Annual Reporting Burden</w:t>
            </w:r>
          </w:p>
        </w:tc>
      </w:tr>
      <w:tr w:rsidR="00642B6A" w:rsidRPr="00642B6A" w:rsidTr="00D032BE">
        <w:trPr>
          <w:trHeight w:val="998"/>
        </w:trPr>
        <w:tc>
          <w:tcPr>
            <w:tcW w:w="2420" w:type="dxa"/>
          </w:tcPr>
          <w:p w:rsidR="00642B6A" w:rsidRPr="00642B6A" w:rsidRDefault="00642B6A" w:rsidP="00642B6A">
            <w:pPr>
              <w:tabs>
                <w:tab w:val="left" w:pos="-720"/>
                <w:tab w:val="left" w:pos="0"/>
              </w:tabs>
              <w:suppressAutoHyphens/>
              <w:jc w:val="center"/>
              <w:rPr>
                <w:rFonts w:ascii="Arial" w:eastAsia="Times New Roman" w:hAnsi="Arial" w:cs="Times New Roman"/>
                <w:b/>
                <w:szCs w:val="24"/>
              </w:rPr>
            </w:pPr>
            <w:r w:rsidRPr="00642B6A">
              <w:rPr>
                <w:rFonts w:ascii="Arial" w:eastAsia="Times New Roman" w:hAnsi="Arial" w:cs="Times New Roman"/>
                <w:b/>
                <w:szCs w:val="24"/>
              </w:rPr>
              <w:t>Existing</w:t>
            </w:r>
          </w:p>
        </w:tc>
        <w:tc>
          <w:tcPr>
            <w:tcW w:w="1808" w:type="dxa"/>
          </w:tcPr>
          <w:p w:rsidR="00642B6A" w:rsidRPr="00642B6A" w:rsidRDefault="00642B6A" w:rsidP="00642B6A">
            <w:pPr>
              <w:tabs>
                <w:tab w:val="left" w:pos="-720"/>
                <w:tab w:val="left" w:pos="0"/>
              </w:tabs>
              <w:suppressAutoHyphens/>
              <w:jc w:val="center"/>
              <w:rPr>
                <w:rFonts w:ascii="Arial" w:eastAsia="Times New Roman" w:hAnsi="Arial" w:cs="Times New Roman"/>
                <w:b/>
                <w:szCs w:val="24"/>
              </w:rPr>
            </w:pPr>
          </w:p>
        </w:tc>
        <w:tc>
          <w:tcPr>
            <w:tcW w:w="1229" w:type="dxa"/>
          </w:tcPr>
          <w:p w:rsidR="00642B6A" w:rsidRPr="00642B6A" w:rsidRDefault="00642B6A" w:rsidP="00642B6A">
            <w:pPr>
              <w:tabs>
                <w:tab w:val="left" w:pos="-720"/>
                <w:tab w:val="left" w:pos="0"/>
              </w:tabs>
              <w:suppressAutoHyphens/>
              <w:jc w:val="center"/>
              <w:rPr>
                <w:rFonts w:ascii="Arial" w:eastAsia="Times New Roman" w:hAnsi="Arial" w:cs="Times New Roman"/>
                <w:b/>
                <w:szCs w:val="24"/>
              </w:rPr>
            </w:pPr>
          </w:p>
        </w:tc>
        <w:tc>
          <w:tcPr>
            <w:tcW w:w="1518" w:type="dxa"/>
          </w:tcPr>
          <w:p w:rsidR="00642B6A" w:rsidRPr="00642B6A" w:rsidRDefault="00642B6A" w:rsidP="00642B6A">
            <w:pPr>
              <w:tabs>
                <w:tab w:val="left" w:pos="-720"/>
                <w:tab w:val="left" w:pos="0"/>
              </w:tabs>
              <w:suppressAutoHyphens/>
              <w:jc w:val="center"/>
              <w:rPr>
                <w:rFonts w:ascii="Arial" w:eastAsia="Times New Roman" w:hAnsi="Arial" w:cs="Times New Roman"/>
                <w:b/>
                <w:szCs w:val="24"/>
              </w:rPr>
            </w:pPr>
            <w:r w:rsidRPr="00642B6A">
              <w:rPr>
                <w:rFonts w:ascii="Arial" w:eastAsia="Times New Roman" w:hAnsi="Arial" w:cs="Times New Roman"/>
                <w:b/>
                <w:szCs w:val="24"/>
              </w:rPr>
              <w:t>112</w:t>
            </w:r>
          </w:p>
        </w:tc>
        <w:tc>
          <w:tcPr>
            <w:tcW w:w="1518" w:type="dxa"/>
          </w:tcPr>
          <w:p w:rsidR="00642B6A" w:rsidRPr="00642B6A" w:rsidRDefault="00642B6A" w:rsidP="00642B6A">
            <w:pPr>
              <w:tabs>
                <w:tab w:val="left" w:pos="-720"/>
                <w:tab w:val="left" w:pos="0"/>
              </w:tabs>
              <w:suppressAutoHyphens/>
              <w:jc w:val="center"/>
              <w:rPr>
                <w:rFonts w:ascii="Arial" w:eastAsia="Times New Roman" w:hAnsi="Arial" w:cs="Times New Roman"/>
                <w:b/>
                <w:szCs w:val="24"/>
              </w:rPr>
            </w:pPr>
            <w:r w:rsidRPr="00642B6A">
              <w:rPr>
                <w:rFonts w:ascii="Arial" w:eastAsia="Times New Roman" w:hAnsi="Arial" w:cs="Times New Roman"/>
                <w:b/>
                <w:szCs w:val="24"/>
              </w:rPr>
              <w:t>36,500</w:t>
            </w:r>
          </w:p>
        </w:tc>
        <w:tc>
          <w:tcPr>
            <w:tcW w:w="1518" w:type="dxa"/>
          </w:tcPr>
          <w:p w:rsidR="00642B6A" w:rsidRPr="00642B6A" w:rsidRDefault="00642B6A" w:rsidP="00642B6A">
            <w:pPr>
              <w:tabs>
                <w:tab w:val="left" w:pos="-720"/>
                <w:tab w:val="left" w:pos="0"/>
              </w:tabs>
              <w:suppressAutoHyphens/>
              <w:jc w:val="center"/>
              <w:rPr>
                <w:rFonts w:ascii="Arial" w:eastAsia="Times New Roman" w:hAnsi="Arial" w:cs="Times New Roman"/>
                <w:b/>
                <w:szCs w:val="24"/>
              </w:rPr>
            </w:pPr>
            <w:r w:rsidRPr="00642B6A">
              <w:rPr>
                <w:rFonts w:ascii="Arial" w:eastAsia="Times New Roman" w:hAnsi="Arial" w:cs="Times New Roman"/>
                <w:b/>
                <w:szCs w:val="24"/>
              </w:rPr>
              <w:t>36,500</w:t>
            </w:r>
          </w:p>
        </w:tc>
      </w:tr>
      <w:tr w:rsidR="00642B6A" w:rsidRPr="00642B6A" w:rsidTr="00D032BE">
        <w:trPr>
          <w:trHeight w:val="395"/>
        </w:trPr>
        <w:tc>
          <w:tcPr>
            <w:tcW w:w="2420" w:type="dxa"/>
          </w:tcPr>
          <w:p w:rsidR="00642B6A" w:rsidRPr="00642B6A" w:rsidRDefault="00642B6A" w:rsidP="00642B6A">
            <w:pPr>
              <w:tabs>
                <w:tab w:val="left" w:pos="-720"/>
                <w:tab w:val="left" w:pos="0"/>
              </w:tabs>
              <w:suppressAutoHyphens/>
              <w:jc w:val="center"/>
              <w:rPr>
                <w:rFonts w:ascii="Arial" w:eastAsia="Times New Roman" w:hAnsi="Arial" w:cs="Times New Roman"/>
                <w:b/>
                <w:szCs w:val="24"/>
              </w:rPr>
            </w:pPr>
            <w:r w:rsidRPr="00642B6A">
              <w:rPr>
                <w:rFonts w:ascii="Arial" w:eastAsia="Times New Roman" w:hAnsi="Arial" w:cs="Times New Roman"/>
                <w:b/>
                <w:szCs w:val="24"/>
              </w:rPr>
              <w:t>§§ 22.17and 22.2(g)</w:t>
            </w:r>
          </w:p>
        </w:tc>
        <w:tc>
          <w:tcPr>
            <w:tcW w:w="1808" w:type="dxa"/>
          </w:tcPr>
          <w:p w:rsidR="00642B6A" w:rsidRPr="00642B6A" w:rsidRDefault="00642B6A" w:rsidP="00642B6A">
            <w:pPr>
              <w:tabs>
                <w:tab w:val="left" w:pos="-720"/>
                <w:tab w:val="left" w:pos="0"/>
              </w:tabs>
              <w:suppressAutoHyphens/>
              <w:jc w:val="center"/>
              <w:rPr>
                <w:rFonts w:ascii="Arial" w:eastAsia="Times New Roman" w:hAnsi="Arial" w:cs="Times New Roman"/>
                <w:b/>
                <w:szCs w:val="24"/>
              </w:rPr>
            </w:pPr>
            <w:r w:rsidRPr="00642B6A">
              <w:rPr>
                <w:rFonts w:ascii="Arial" w:eastAsia="Times New Roman" w:hAnsi="Arial" w:cs="Times New Roman"/>
                <w:b/>
                <w:szCs w:val="24"/>
              </w:rPr>
              <w:t>100</w:t>
            </w:r>
          </w:p>
        </w:tc>
        <w:tc>
          <w:tcPr>
            <w:tcW w:w="1229" w:type="dxa"/>
          </w:tcPr>
          <w:p w:rsidR="00642B6A" w:rsidRPr="00642B6A" w:rsidRDefault="00642B6A" w:rsidP="00642B6A">
            <w:pPr>
              <w:tabs>
                <w:tab w:val="left" w:pos="-720"/>
                <w:tab w:val="left" w:pos="0"/>
              </w:tabs>
              <w:suppressAutoHyphens/>
              <w:jc w:val="center"/>
              <w:rPr>
                <w:rFonts w:ascii="Arial" w:eastAsia="Times New Roman" w:hAnsi="Arial" w:cs="Times New Roman"/>
                <w:b/>
                <w:sz w:val="16"/>
                <w:szCs w:val="16"/>
              </w:rPr>
            </w:pPr>
            <w:r w:rsidRPr="00642B6A">
              <w:rPr>
                <w:rFonts w:ascii="Arial" w:eastAsia="Times New Roman" w:hAnsi="Arial" w:cs="Times New Roman"/>
                <w:b/>
                <w:szCs w:val="24"/>
              </w:rPr>
              <w:t>261</w:t>
            </w:r>
          </w:p>
        </w:tc>
        <w:tc>
          <w:tcPr>
            <w:tcW w:w="1518" w:type="dxa"/>
          </w:tcPr>
          <w:p w:rsidR="00642B6A" w:rsidRPr="00642B6A" w:rsidRDefault="00642B6A" w:rsidP="00642B6A">
            <w:pPr>
              <w:tabs>
                <w:tab w:val="left" w:pos="-720"/>
                <w:tab w:val="left" w:pos="0"/>
              </w:tabs>
              <w:suppressAutoHyphens/>
              <w:jc w:val="center"/>
              <w:rPr>
                <w:rFonts w:ascii="Arial" w:eastAsia="Times New Roman" w:hAnsi="Arial" w:cs="Times New Roman"/>
                <w:b/>
                <w:szCs w:val="24"/>
              </w:rPr>
            </w:pPr>
            <w:r w:rsidRPr="00642B6A">
              <w:rPr>
                <w:rFonts w:ascii="Arial" w:eastAsia="Times New Roman" w:hAnsi="Arial" w:cs="Times New Roman"/>
                <w:b/>
                <w:szCs w:val="24"/>
              </w:rPr>
              <w:t>26,100</w:t>
            </w:r>
          </w:p>
        </w:tc>
        <w:tc>
          <w:tcPr>
            <w:tcW w:w="1518" w:type="dxa"/>
          </w:tcPr>
          <w:p w:rsidR="00642B6A" w:rsidRPr="00642B6A" w:rsidRDefault="00642B6A" w:rsidP="00642B6A">
            <w:pPr>
              <w:tabs>
                <w:tab w:val="left" w:pos="-720"/>
                <w:tab w:val="left" w:pos="0"/>
              </w:tabs>
              <w:suppressAutoHyphens/>
              <w:jc w:val="center"/>
              <w:rPr>
                <w:rFonts w:ascii="Arial" w:eastAsia="Times New Roman" w:hAnsi="Arial" w:cs="Times New Roman"/>
                <w:b/>
                <w:szCs w:val="24"/>
              </w:rPr>
            </w:pPr>
            <w:r w:rsidRPr="00642B6A">
              <w:rPr>
                <w:rFonts w:ascii="Arial" w:eastAsia="Times New Roman" w:hAnsi="Arial" w:cs="Times New Roman"/>
                <w:b/>
                <w:szCs w:val="24"/>
              </w:rPr>
              <w:t>26,100</w:t>
            </w:r>
          </w:p>
        </w:tc>
        <w:tc>
          <w:tcPr>
            <w:tcW w:w="1518" w:type="dxa"/>
          </w:tcPr>
          <w:p w:rsidR="00642B6A" w:rsidRPr="00642B6A" w:rsidRDefault="00642B6A" w:rsidP="00642B6A">
            <w:pPr>
              <w:tabs>
                <w:tab w:val="left" w:pos="-720"/>
                <w:tab w:val="left" w:pos="0"/>
              </w:tabs>
              <w:suppressAutoHyphens/>
              <w:jc w:val="center"/>
              <w:rPr>
                <w:rFonts w:ascii="Arial" w:eastAsia="Times New Roman" w:hAnsi="Arial" w:cs="Times New Roman"/>
                <w:b/>
                <w:szCs w:val="24"/>
              </w:rPr>
            </w:pPr>
            <w:r w:rsidRPr="00642B6A">
              <w:rPr>
                <w:rFonts w:ascii="Arial" w:eastAsia="Times New Roman" w:hAnsi="Arial" w:cs="Times New Roman"/>
                <w:b/>
                <w:szCs w:val="24"/>
              </w:rPr>
              <w:t>26,100</w:t>
            </w:r>
          </w:p>
        </w:tc>
      </w:tr>
      <w:tr w:rsidR="00642B6A" w:rsidRPr="00642B6A" w:rsidTr="00D032BE">
        <w:tc>
          <w:tcPr>
            <w:tcW w:w="2420" w:type="dxa"/>
          </w:tcPr>
          <w:p w:rsidR="00642B6A" w:rsidRPr="00642B6A" w:rsidRDefault="00642B6A" w:rsidP="00642B6A">
            <w:pPr>
              <w:tabs>
                <w:tab w:val="left" w:pos="-720"/>
                <w:tab w:val="left" w:pos="0"/>
              </w:tabs>
              <w:suppressAutoHyphens/>
              <w:jc w:val="center"/>
              <w:rPr>
                <w:rFonts w:ascii="Arial" w:eastAsia="Times New Roman" w:hAnsi="Arial" w:cs="Times New Roman"/>
                <w:b/>
                <w:szCs w:val="24"/>
              </w:rPr>
            </w:pPr>
          </w:p>
        </w:tc>
        <w:tc>
          <w:tcPr>
            <w:tcW w:w="1808" w:type="dxa"/>
          </w:tcPr>
          <w:p w:rsidR="00642B6A" w:rsidRPr="00642B6A" w:rsidRDefault="00642B6A" w:rsidP="00642B6A">
            <w:pPr>
              <w:tabs>
                <w:tab w:val="left" w:pos="-720"/>
                <w:tab w:val="left" w:pos="0"/>
              </w:tabs>
              <w:suppressAutoHyphens/>
              <w:jc w:val="center"/>
              <w:rPr>
                <w:rFonts w:ascii="Arial" w:eastAsia="Times New Roman" w:hAnsi="Arial" w:cs="Times New Roman"/>
                <w:b/>
                <w:szCs w:val="24"/>
              </w:rPr>
            </w:pPr>
          </w:p>
        </w:tc>
        <w:tc>
          <w:tcPr>
            <w:tcW w:w="1229" w:type="dxa"/>
          </w:tcPr>
          <w:p w:rsidR="00642B6A" w:rsidRPr="00642B6A" w:rsidRDefault="00642B6A" w:rsidP="00642B6A">
            <w:pPr>
              <w:tabs>
                <w:tab w:val="left" w:pos="-720"/>
                <w:tab w:val="left" w:pos="0"/>
              </w:tabs>
              <w:suppressAutoHyphens/>
              <w:jc w:val="center"/>
              <w:rPr>
                <w:rFonts w:ascii="Arial" w:eastAsia="Times New Roman" w:hAnsi="Arial" w:cs="Times New Roman"/>
                <w:b/>
                <w:szCs w:val="24"/>
              </w:rPr>
            </w:pPr>
          </w:p>
        </w:tc>
        <w:tc>
          <w:tcPr>
            <w:tcW w:w="1518" w:type="dxa"/>
          </w:tcPr>
          <w:p w:rsidR="00642B6A" w:rsidRPr="00642B6A" w:rsidRDefault="00642B6A" w:rsidP="00642B6A">
            <w:pPr>
              <w:tabs>
                <w:tab w:val="left" w:pos="-720"/>
                <w:tab w:val="left" w:pos="0"/>
              </w:tabs>
              <w:suppressAutoHyphens/>
              <w:jc w:val="center"/>
              <w:rPr>
                <w:rFonts w:ascii="Arial" w:eastAsia="Times New Roman" w:hAnsi="Arial" w:cs="Times New Roman"/>
                <w:b/>
                <w:szCs w:val="24"/>
              </w:rPr>
            </w:pPr>
          </w:p>
        </w:tc>
        <w:tc>
          <w:tcPr>
            <w:tcW w:w="1518" w:type="dxa"/>
          </w:tcPr>
          <w:p w:rsidR="00642B6A" w:rsidRPr="00642B6A" w:rsidRDefault="00642B6A" w:rsidP="00642B6A">
            <w:pPr>
              <w:tabs>
                <w:tab w:val="left" w:pos="-720"/>
                <w:tab w:val="left" w:pos="0"/>
              </w:tabs>
              <w:suppressAutoHyphens/>
              <w:jc w:val="center"/>
              <w:rPr>
                <w:rFonts w:ascii="Arial" w:eastAsia="Times New Roman" w:hAnsi="Arial" w:cs="Times New Roman"/>
                <w:b/>
                <w:szCs w:val="24"/>
              </w:rPr>
            </w:pPr>
          </w:p>
        </w:tc>
        <w:tc>
          <w:tcPr>
            <w:tcW w:w="1518" w:type="dxa"/>
          </w:tcPr>
          <w:p w:rsidR="00642B6A" w:rsidRPr="00642B6A" w:rsidRDefault="00642B6A" w:rsidP="00642B6A">
            <w:pPr>
              <w:tabs>
                <w:tab w:val="left" w:pos="-720"/>
                <w:tab w:val="left" w:pos="0"/>
              </w:tabs>
              <w:suppressAutoHyphens/>
              <w:jc w:val="center"/>
              <w:rPr>
                <w:rFonts w:ascii="Arial" w:eastAsia="Times New Roman" w:hAnsi="Arial" w:cs="Times New Roman"/>
                <w:b/>
                <w:szCs w:val="24"/>
              </w:rPr>
            </w:pPr>
          </w:p>
        </w:tc>
      </w:tr>
      <w:tr w:rsidR="00642B6A" w:rsidRPr="00642B6A" w:rsidTr="00D032BE">
        <w:tc>
          <w:tcPr>
            <w:tcW w:w="2420" w:type="dxa"/>
          </w:tcPr>
          <w:p w:rsidR="00642B6A" w:rsidRPr="00642B6A" w:rsidRDefault="00642B6A" w:rsidP="00642B6A">
            <w:pPr>
              <w:tabs>
                <w:tab w:val="left" w:pos="-720"/>
                <w:tab w:val="left" w:pos="0"/>
              </w:tabs>
              <w:suppressAutoHyphens/>
              <w:jc w:val="center"/>
              <w:rPr>
                <w:rFonts w:ascii="Arial" w:eastAsia="Times New Roman" w:hAnsi="Arial" w:cs="Times New Roman"/>
                <w:b/>
                <w:szCs w:val="24"/>
              </w:rPr>
            </w:pPr>
            <w:r w:rsidRPr="00642B6A">
              <w:rPr>
                <w:rFonts w:ascii="Arial" w:eastAsia="Times New Roman" w:hAnsi="Arial" w:cs="Times New Roman"/>
                <w:b/>
                <w:szCs w:val="24"/>
              </w:rPr>
              <w:t>TOTAL</w:t>
            </w:r>
          </w:p>
        </w:tc>
        <w:tc>
          <w:tcPr>
            <w:tcW w:w="1808" w:type="dxa"/>
          </w:tcPr>
          <w:p w:rsidR="00642B6A" w:rsidRPr="00642B6A" w:rsidRDefault="00642B6A" w:rsidP="00642B6A">
            <w:pPr>
              <w:tabs>
                <w:tab w:val="left" w:pos="-720"/>
                <w:tab w:val="left" w:pos="0"/>
              </w:tabs>
              <w:suppressAutoHyphens/>
              <w:jc w:val="center"/>
              <w:rPr>
                <w:rFonts w:ascii="Arial" w:eastAsia="Times New Roman" w:hAnsi="Arial" w:cs="Times New Roman"/>
                <w:b/>
                <w:szCs w:val="24"/>
              </w:rPr>
            </w:pPr>
          </w:p>
        </w:tc>
        <w:tc>
          <w:tcPr>
            <w:tcW w:w="1229" w:type="dxa"/>
          </w:tcPr>
          <w:p w:rsidR="00642B6A" w:rsidRPr="00642B6A" w:rsidRDefault="00642B6A" w:rsidP="00642B6A">
            <w:pPr>
              <w:tabs>
                <w:tab w:val="left" w:pos="-720"/>
                <w:tab w:val="left" w:pos="0"/>
              </w:tabs>
              <w:suppressAutoHyphens/>
              <w:jc w:val="center"/>
              <w:rPr>
                <w:rFonts w:ascii="Arial" w:eastAsia="Times New Roman" w:hAnsi="Arial" w:cs="Times New Roman"/>
                <w:b/>
                <w:szCs w:val="24"/>
              </w:rPr>
            </w:pPr>
          </w:p>
        </w:tc>
        <w:tc>
          <w:tcPr>
            <w:tcW w:w="1518" w:type="dxa"/>
          </w:tcPr>
          <w:p w:rsidR="00642B6A" w:rsidRPr="00642B6A" w:rsidRDefault="00642B6A" w:rsidP="00642B6A">
            <w:pPr>
              <w:tabs>
                <w:tab w:val="left" w:pos="-720"/>
                <w:tab w:val="left" w:pos="0"/>
              </w:tabs>
              <w:suppressAutoHyphens/>
              <w:jc w:val="center"/>
              <w:rPr>
                <w:rFonts w:ascii="Arial" w:eastAsia="Times New Roman" w:hAnsi="Arial" w:cs="Times New Roman"/>
                <w:b/>
                <w:szCs w:val="24"/>
              </w:rPr>
            </w:pPr>
            <w:r w:rsidRPr="00642B6A">
              <w:rPr>
                <w:rFonts w:ascii="Arial" w:eastAsia="Times New Roman" w:hAnsi="Arial" w:cs="Times New Roman"/>
                <w:b/>
                <w:szCs w:val="24"/>
              </w:rPr>
              <w:t>26,212</w:t>
            </w:r>
          </w:p>
        </w:tc>
        <w:tc>
          <w:tcPr>
            <w:tcW w:w="1518" w:type="dxa"/>
          </w:tcPr>
          <w:p w:rsidR="00642B6A" w:rsidRPr="00642B6A" w:rsidRDefault="00642B6A" w:rsidP="00642B6A">
            <w:pPr>
              <w:tabs>
                <w:tab w:val="left" w:pos="-720"/>
                <w:tab w:val="left" w:pos="0"/>
              </w:tabs>
              <w:suppressAutoHyphens/>
              <w:jc w:val="center"/>
              <w:rPr>
                <w:rFonts w:ascii="Arial" w:eastAsia="Times New Roman" w:hAnsi="Arial" w:cs="Times New Roman"/>
                <w:b/>
                <w:szCs w:val="24"/>
              </w:rPr>
            </w:pPr>
            <w:r w:rsidRPr="00642B6A">
              <w:rPr>
                <w:rFonts w:ascii="Arial" w:eastAsia="Times New Roman" w:hAnsi="Arial" w:cs="Times New Roman"/>
                <w:b/>
                <w:szCs w:val="24"/>
              </w:rPr>
              <w:t>62,600</w:t>
            </w:r>
          </w:p>
        </w:tc>
        <w:tc>
          <w:tcPr>
            <w:tcW w:w="1518" w:type="dxa"/>
          </w:tcPr>
          <w:p w:rsidR="00642B6A" w:rsidRPr="00642B6A" w:rsidRDefault="00642B6A" w:rsidP="00642B6A">
            <w:pPr>
              <w:tabs>
                <w:tab w:val="left" w:pos="-720"/>
                <w:tab w:val="left" w:pos="0"/>
              </w:tabs>
              <w:suppressAutoHyphens/>
              <w:jc w:val="center"/>
              <w:rPr>
                <w:rFonts w:ascii="Arial" w:eastAsia="Times New Roman" w:hAnsi="Arial" w:cs="Times New Roman"/>
                <w:b/>
                <w:szCs w:val="24"/>
              </w:rPr>
            </w:pPr>
            <w:r w:rsidRPr="00642B6A">
              <w:rPr>
                <w:rFonts w:ascii="Arial" w:eastAsia="Times New Roman" w:hAnsi="Arial" w:cs="Times New Roman"/>
                <w:b/>
                <w:szCs w:val="24"/>
              </w:rPr>
              <w:t>62,600</w:t>
            </w:r>
          </w:p>
        </w:tc>
      </w:tr>
    </w:tbl>
    <w:p w:rsidR="00642B6A" w:rsidRPr="00642B6A" w:rsidRDefault="00642B6A" w:rsidP="00642B6A">
      <w:pPr>
        <w:spacing w:after="480"/>
        <w:rPr>
          <w:rFonts w:eastAsia="Times New Roman" w:cs="Times New Roman"/>
          <w:b/>
          <w:szCs w:val="24"/>
        </w:rPr>
      </w:pPr>
    </w:p>
    <w:p w:rsidR="00585718" w:rsidRDefault="00585718"/>
    <w:sectPr w:rsidR="00585718" w:rsidSect="005857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C33F2A"/>
    <w:multiLevelType w:val="hybridMultilevel"/>
    <w:tmpl w:val="F5DA2ED4"/>
    <w:lvl w:ilvl="0" w:tplc="D390C0BC">
      <w:start w:val="1"/>
      <w:numFmt w:val="bullet"/>
      <w:lvlText w:val="•"/>
      <w:lvlJc w:val="left"/>
      <w:pPr>
        <w:tabs>
          <w:tab w:val="num" w:pos="936"/>
        </w:tabs>
        <w:ind w:left="936" w:hanging="216"/>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B6A"/>
    <w:rsid w:val="000576BF"/>
    <w:rsid w:val="00072761"/>
    <w:rsid w:val="000803D6"/>
    <w:rsid w:val="0027708A"/>
    <w:rsid w:val="00307E70"/>
    <w:rsid w:val="00585718"/>
    <w:rsid w:val="00607D38"/>
    <w:rsid w:val="006243BC"/>
    <w:rsid w:val="0063622E"/>
    <w:rsid w:val="00642B6A"/>
    <w:rsid w:val="00667CD6"/>
    <w:rsid w:val="007029A9"/>
    <w:rsid w:val="008F2F98"/>
    <w:rsid w:val="009309EC"/>
    <w:rsid w:val="0099690D"/>
    <w:rsid w:val="009B2F52"/>
    <w:rsid w:val="00AC2529"/>
    <w:rsid w:val="00B91704"/>
    <w:rsid w:val="00BE6AC8"/>
    <w:rsid w:val="00C173E1"/>
    <w:rsid w:val="00C23A3C"/>
    <w:rsid w:val="00D27AE8"/>
    <w:rsid w:val="00DB1AD1"/>
    <w:rsid w:val="00DB7297"/>
    <w:rsid w:val="00E87F90"/>
    <w:rsid w:val="00F37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AC8"/>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99690D"/>
    <w:rPr>
      <w:rFonts w:asciiTheme="majorHAnsi" w:eastAsiaTheme="majorEastAsia" w:hAnsiTheme="majorHAnsi" w:cstheme="majorBid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AC8"/>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99690D"/>
    <w:rPr>
      <w:rFonts w:asciiTheme="majorHAnsi" w:eastAsiaTheme="majorEastAsia" w:hAnsiTheme="majorHAnsi" w:cstheme="maj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2437</Words>
  <Characters>13896</Characters>
  <Application>Microsoft Office Word</Application>
  <DocSecurity>0</DocSecurity>
  <Lines>115</Lines>
  <Paragraphs>32</Paragraphs>
  <ScaleCrop>false</ScaleCrop>
  <Company>CFTC</Company>
  <LinksUpToDate>false</LinksUpToDate>
  <CharactersWithSpaces>16301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WMcobb</dc:creator>
  <cp:lastModifiedBy>WMcobb</cp:lastModifiedBy>
  <cp:revision>2</cp:revision>
  <dcterms:created xsi:type="dcterms:W3CDTF">2012-11-14T20:05:00Z</dcterms:created>
  <dcterms:modified xsi:type="dcterms:W3CDTF">2012-11-14T20:33:00Z</dcterms:modified>
</cp:coreProperties>
</file>