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4F91" w:rsidRDefault="00DC4F91">
      <w:pPr>
        <w:tabs>
          <w:tab w:val="left" w:pos="480"/>
          <w:tab w:val="left" w:pos="960"/>
          <w:tab w:val="left" w:pos="1440"/>
        </w:tabs>
        <w:jc w:val="center"/>
        <w:rPr>
          <w:rFonts w:ascii="Times New Roman" w:hAnsi="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1" w:name="BM_1_"/>
      <w:bookmarkEnd w:id="1"/>
      <w:r>
        <w:rPr>
          <w:rFonts w:ascii="Times New Roman" w:hAnsi="Times New Roman"/>
          <w:b/>
          <w:bCs/>
          <w:sz w:val="28"/>
          <w:szCs w:val="28"/>
        </w:rPr>
        <w:t>SUPPORTING STATEMENT</w:t>
      </w:r>
    </w:p>
    <w:p w:rsidR="00DC4F91" w:rsidRDefault="00DC4F91">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U.S. Department of Commerce</w:t>
      </w:r>
    </w:p>
    <w:p w:rsidR="00DC4F91" w:rsidRDefault="00DC4F91">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U.S. Census Bureau</w:t>
      </w:r>
    </w:p>
    <w:p w:rsidR="00DC4F91" w:rsidRDefault="00DC4F91">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 xml:space="preserve">Annual Social and Economic Supplement </w:t>
      </w:r>
    </w:p>
    <w:p w:rsidR="00DC4F91" w:rsidRDefault="00DC4F91">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to the Current Population Survey</w:t>
      </w:r>
    </w:p>
    <w:p w:rsidR="00DC4F91" w:rsidRDefault="00DC4F91">
      <w:pPr>
        <w:tabs>
          <w:tab w:val="left" w:pos="480"/>
          <w:tab w:val="left" w:pos="960"/>
          <w:tab w:val="left" w:pos="1440"/>
        </w:tabs>
        <w:jc w:val="center"/>
        <w:rPr>
          <w:rFonts w:ascii="Times New Roman" w:hAnsi="Times New Roman"/>
          <w:sz w:val="24"/>
          <w:szCs w:val="24"/>
        </w:rPr>
      </w:pPr>
      <w:r>
        <w:rPr>
          <w:rFonts w:ascii="Times New Roman" w:hAnsi="Times New Roman"/>
          <w:sz w:val="24"/>
          <w:szCs w:val="24"/>
        </w:rPr>
        <w:t>OMB Control Number 0607-0354</w:t>
      </w:r>
    </w:p>
    <w:p w:rsidR="00DC4F91" w:rsidRDefault="00DC4F91">
      <w:pPr>
        <w:tabs>
          <w:tab w:val="left" w:pos="480"/>
          <w:tab w:val="left" w:pos="960"/>
          <w:tab w:val="left" w:pos="1440"/>
        </w:tabs>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540" w:firstLine="30"/>
        <w:rPr>
          <w:sz w:val="24"/>
          <w:szCs w:val="24"/>
        </w:rPr>
        <w:sectPr w:rsidR="00DC4F91">
          <w:headerReference w:type="default" r:id="rId8"/>
          <w:footnotePr>
            <w:numRestart w:val="eachPage"/>
          </w:footnotePr>
          <w:endnotePr>
            <w:numFmt w:val="decimal"/>
          </w:endnotePr>
          <w:type w:val="continuous"/>
          <w:pgSz w:w="12240" w:h="15840"/>
          <w:pgMar w:top="1296" w:right="1320" w:bottom="990" w:left="1440" w:header="1440" w:footer="1440" w:gutter="0"/>
          <w:cols w:space="720"/>
          <w:titlePg/>
        </w:sectPr>
      </w:pPr>
    </w:p>
    <w:p w:rsidR="00DC4F91" w:rsidRDefault="00DC4F91">
      <w:pPr>
        <w:tabs>
          <w:tab w:val="left" w:pos="60"/>
          <w:tab w:val="left" w:pos="540"/>
          <w:tab w:val="left" w:pos="1020"/>
          <w:tab w:val="left" w:pos="1500"/>
          <w:tab w:val="left" w:pos="1980"/>
          <w:tab w:val="left" w:pos="5814"/>
          <w:tab w:val="left" w:pos="8820"/>
          <w:tab w:val="right" w:pos="8940"/>
        </w:tabs>
        <w:ind w:left="1020" w:hanging="450"/>
        <w:rPr>
          <w:rFonts w:ascii="Times New Roman" w:hAnsi="Times New Roman"/>
          <w:sz w:val="24"/>
          <w:szCs w:val="24"/>
        </w:rPr>
      </w:pPr>
      <w:r>
        <w:rPr>
          <w:rFonts w:ascii="Times New Roman" w:hAnsi="Times New Roman"/>
          <w:b/>
          <w:bCs/>
          <w:sz w:val="24"/>
          <w:szCs w:val="24"/>
        </w:rPr>
        <w:lastRenderedPageBreak/>
        <w:t>Part B -</w:t>
      </w:r>
      <w:r>
        <w:rPr>
          <w:rFonts w:ascii="Times New Roman" w:hAnsi="Times New Roman"/>
          <w:b/>
          <w:bCs/>
          <w:sz w:val="24"/>
          <w:szCs w:val="24"/>
        </w:rPr>
        <w:tab/>
        <w:t>Collections of Information Employing Statistical Methods</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hanging="450"/>
        <w:rPr>
          <w:rFonts w:ascii="Times New Roman" w:hAnsi="Times New Roman"/>
          <w:sz w:val="24"/>
          <w:szCs w:val="24"/>
        </w:rPr>
      </w:pPr>
      <w:r>
        <w:rPr>
          <w:rFonts w:ascii="Times New Roman" w:hAnsi="Times New Roman"/>
          <w:b/>
          <w:bCs/>
          <w:sz w:val="24"/>
          <w:szCs w:val="24"/>
        </w:rPr>
        <w:t xml:space="preserve">Question 1.   </w:t>
      </w:r>
      <w:r>
        <w:rPr>
          <w:rFonts w:ascii="Times New Roman" w:hAnsi="Times New Roman"/>
          <w:b/>
          <w:bCs/>
          <w:sz w:val="24"/>
          <w:szCs w:val="24"/>
          <w:u w:val="single"/>
        </w:rPr>
        <w:t>Universe and Respondent Selection</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 xml:space="preserve">The </w:t>
      </w:r>
      <w:r w:rsidR="007042B1">
        <w:rPr>
          <w:rFonts w:ascii="Times New Roman" w:hAnsi="Times New Roman"/>
          <w:sz w:val="24"/>
          <w:szCs w:val="24"/>
        </w:rPr>
        <w:t xml:space="preserve">Basic CPS </w:t>
      </w:r>
      <w:r w:rsidR="00956DEC">
        <w:rPr>
          <w:rFonts w:ascii="Times New Roman" w:hAnsi="Times New Roman"/>
          <w:sz w:val="24"/>
          <w:szCs w:val="24"/>
        </w:rPr>
        <w:t>universe is 114</w:t>
      </w:r>
      <w:r>
        <w:rPr>
          <w:rFonts w:ascii="Times New Roman" w:hAnsi="Times New Roman"/>
          <w:sz w:val="24"/>
          <w:szCs w:val="24"/>
        </w:rPr>
        <w:t xml:space="preserve"> million house</w:t>
      </w:r>
      <w:r w:rsidR="00956DEC">
        <w:rPr>
          <w:rFonts w:ascii="Times New Roman" w:hAnsi="Times New Roman"/>
          <w:sz w:val="24"/>
          <w:szCs w:val="24"/>
        </w:rPr>
        <w:t>holds.  From the universe of 114</w:t>
      </w:r>
      <w:r>
        <w:rPr>
          <w:rFonts w:ascii="Times New Roman" w:hAnsi="Times New Roman"/>
          <w:sz w:val="24"/>
          <w:szCs w:val="24"/>
        </w:rPr>
        <w:t xml:space="preserve"> million, we select a sample of approximately 60,500 households.  With the SCHIP general expansion, this increased to 72,000 households each month.  Of these, approximately 60,000 households will be eligible for interview; and we will act</w:t>
      </w:r>
      <w:r w:rsidR="00956DEC">
        <w:rPr>
          <w:rFonts w:ascii="Times New Roman" w:hAnsi="Times New Roman"/>
          <w:sz w:val="24"/>
          <w:szCs w:val="24"/>
        </w:rPr>
        <w:t>ually interview approximately 55</w:t>
      </w:r>
      <w:r>
        <w:rPr>
          <w:rFonts w:ascii="Times New Roman" w:hAnsi="Times New Roman"/>
          <w:sz w:val="24"/>
          <w:szCs w:val="24"/>
        </w:rPr>
        <w:t xml:space="preserve">,000 households.  </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7042B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T</w:t>
      </w:r>
      <w:r w:rsidR="00DC4F91">
        <w:rPr>
          <w:rFonts w:ascii="Times New Roman" w:hAnsi="Times New Roman"/>
          <w:sz w:val="24"/>
          <w:szCs w:val="24"/>
        </w:rPr>
        <w:t xml:space="preserve">he ASEC sample </w:t>
      </w:r>
      <w:r w:rsidR="007D09BA">
        <w:rPr>
          <w:rFonts w:ascii="Times New Roman" w:hAnsi="Times New Roman"/>
          <w:sz w:val="24"/>
          <w:szCs w:val="24"/>
        </w:rPr>
        <w:t>expands upon the Basic CPS sample by</w:t>
      </w:r>
      <w:r w:rsidR="00DC4F91">
        <w:rPr>
          <w:rFonts w:ascii="Times New Roman" w:hAnsi="Times New Roman"/>
          <w:sz w:val="24"/>
          <w:szCs w:val="24"/>
        </w:rPr>
        <w:t xml:space="preserve"> add</w:t>
      </w:r>
      <w:r w:rsidR="007D09BA">
        <w:rPr>
          <w:rFonts w:ascii="Times New Roman" w:hAnsi="Times New Roman"/>
          <w:sz w:val="24"/>
          <w:szCs w:val="24"/>
        </w:rPr>
        <w:t>ing</w:t>
      </w:r>
      <w:r w:rsidR="00DC4F91">
        <w:rPr>
          <w:rFonts w:ascii="Times New Roman" w:hAnsi="Times New Roman"/>
          <w:sz w:val="24"/>
          <w:szCs w:val="24"/>
        </w:rPr>
        <w:t xml:space="preserve"> </w:t>
      </w:r>
      <w:r w:rsidR="00CF435E">
        <w:rPr>
          <w:rFonts w:ascii="Times New Roman" w:hAnsi="Times New Roman"/>
          <w:sz w:val="24"/>
          <w:szCs w:val="24"/>
        </w:rPr>
        <w:t>select households.  A</w:t>
      </w:r>
      <w:r w:rsidR="00110DFA">
        <w:rPr>
          <w:rFonts w:ascii="Times New Roman" w:hAnsi="Times New Roman"/>
          <w:sz w:val="24"/>
          <w:szCs w:val="24"/>
        </w:rPr>
        <w:t xml:space="preserve">pproximately 6,000 </w:t>
      </w:r>
      <w:r w:rsidR="00DC4F91">
        <w:rPr>
          <w:rFonts w:ascii="Times New Roman" w:hAnsi="Times New Roman"/>
          <w:sz w:val="24"/>
          <w:szCs w:val="24"/>
        </w:rPr>
        <w:t>Hispanic households interviewed in the previous November CPS</w:t>
      </w:r>
      <w:r w:rsidR="00161D3E">
        <w:rPr>
          <w:rFonts w:ascii="Times New Roman" w:hAnsi="Times New Roman"/>
          <w:sz w:val="24"/>
          <w:szCs w:val="24"/>
        </w:rPr>
        <w:t xml:space="preserve"> will be added</w:t>
      </w:r>
      <w:r w:rsidR="00DC4F91">
        <w:rPr>
          <w:rFonts w:ascii="Times New Roman" w:hAnsi="Times New Roman"/>
          <w:sz w:val="24"/>
          <w:szCs w:val="24"/>
        </w:rPr>
        <w:t xml:space="preserve">.  We expect to interview approximately </w:t>
      </w:r>
      <w:r w:rsidR="00110DFA">
        <w:rPr>
          <w:rFonts w:ascii="Times New Roman" w:hAnsi="Times New Roman"/>
          <w:sz w:val="24"/>
          <w:szCs w:val="24"/>
        </w:rPr>
        <w:t>4</w:t>
      </w:r>
      <w:r w:rsidR="00DC4F91">
        <w:rPr>
          <w:rFonts w:ascii="Times New Roman" w:hAnsi="Times New Roman"/>
          <w:sz w:val="24"/>
          <w:szCs w:val="24"/>
        </w:rPr>
        <w:t xml:space="preserve">,500 of these households.  </w:t>
      </w:r>
      <w:r w:rsidR="00155999">
        <w:rPr>
          <w:rFonts w:ascii="Times New Roman" w:hAnsi="Times New Roman"/>
          <w:sz w:val="24"/>
          <w:szCs w:val="24"/>
        </w:rPr>
        <w:t>Additionally</w:t>
      </w:r>
      <w:r w:rsidR="00DC4F91">
        <w:rPr>
          <w:rFonts w:ascii="Times New Roman" w:hAnsi="Times New Roman"/>
          <w:sz w:val="24"/>
          <w:szCs w:val="24"/>
        </w:rPr>
        <w:t xml:space="preserve">, we will add approximately 8,800 minority and White (with children) households that were interviewed in November.  We expect to interview about 6,500 of these households.  </w:t>
      </w:r>
      <w:r w:rsidR="00225864">
        <w:rPr>
          <w:rFonts w:ascii="Times New Roman" w:hAnsi="Times New Roman"/>
          <w:sz w:val="24"/>
          <w:szCs w:val="24"/>
        </w:rPr>
        <w:t>Finally</w:t>
      </w:r>
      <w:r w:rsidR="00DC4F91">
        <w:rPr>
          <w:rFonts w:ascii="Times New Roman" w:hAnsi="Times New Roman"/>
          <w:sz w:val="24"/>
          <w:szCs w:val="24"/>
        </w:rPr>
        <w:t>, we will conduct the ASEC to selected minority and White (with children) households during February and April.  These households will be “borrowed” from the February outgoing and the April incoming rotation groups.  We expect to select approximately 12,800 such households, with about 12,000 actually being interviewed.  This brings us to a total of approximately 78,000 households planned for interview in fiscal year 201</w:t>
      </w:r>
      <w:r w:rsidR="00AE4A26">
        <w:rPr>
          <w:rFonts w:ascii="Times New Roman" w:hAnsi="Times New Roman"/>
          <w:sz w:val="24"/>
          <w:szCs w:val="24"/>
        </w:rPr>
        <w:t>4</w:t>
      </w:r>
      <w:r w:rsidR="00DC4F91">
        <w:rPr>
          <w:rFonts w:ascii="Times New Roman" w:hAnsi="Times New Roman"/>
          <w:sz w:val="24"/>
          <w:szCs w:val="24"/>
        </w:rPr>
        <w:t>.</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We use a household respondent to answer the supplement items for all household members 15 years of age or older.  The respon</w:t>
      </w:r>
      <w:r w:rsidR="00675E31">
        <w:rPr>
          <w:rFonts w:ascii="Times New Roman" w:hAnsi="Times New Roman"/>
          <w:sz w:val="24"/>
          <w:szCs w:val="24"/>
        </w:rPr>
        <w:t>se rate for the ASEC averages 90</w:t>
      </w:r>
      <w:r>
        <w:rPr>
          <w:rFonts w:ascii="Times New Roman" w:hAnsi="Times New Roman"/>
          <w:sz w:val="24"/>
          <w:szCs w:val="24"/>
        </w:rPr>
        <w:t xml:space="preserve"> percent.</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hanging="450"/>
        <w:rPr>
          <w:rFonts w:ascii="Times New Roman" w:hAnsi="Times New Roman"/>
          <w:sz w:val="24"/>
          <w:szCs w:val="24"/>
        </w:rPr>
      </w:pPr>
      <w:r>
        <w:rPr>
          <w:rFonts w:ascii="Times New Roman" w:hAnsi="Times New Roman"/>
          <w:b/>
          <w:bCs/>
          <w:sz w:val="24"/>
          <w:szCs w:val="24"/>
        </w:rPr>
        <w:t xml:space="preserve">Question 2.   </w:t>
      </w:r>
      <w:r>
        <w:rPr>
          <w:rFonts w:ascii="Times New Roman" w:hAnsi="Times New Roman"/>
          <w:b/>
          <w:bCs/>
          <w:sz w:val="24"/>
          <w:szCs w:val="24"/>
          <w:u w:val="single"/>
        </w:rPr>
        <w:t>Procedures for Collecting Information</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right" w:pos="9480"/>
        </w:tabs>
        <w:ind w:left="1500" w:firstLine="30"/>
        <w:rPr>
          <w:rFonts w:ascii="Times New Roman" w:hAnsi="Times New Roman"/>
          <w:sz w:val="24"/>
          <w:szCs w:val="24"/>
        </w:rPr>
      </w:pPr>
      <w:r>
        <w:rPr>
          <w:rFonts w:ascii="Times New Roman" w:hAnsi="Times New Roman"/>
          <w:sz w:val="24"/>
          <w:szCs w:val="24"/>
        </w:rPr>
        <w:t>This is a supplemental survey associated with the CPS.  Attachment B gives an overview of the CPS sample, design, weighting methodology, and response rates.  The statistical properties of these supplemental items will fall within those associated with the CPS itself.</w:t>
      </w:r>
      <w:r>
        <w:rPr>
          <w:rFonts w:ascii="Times New Roman" w:hAnsi="Times New Roman"/>
          <w:sz w:val="24"/>
          <w:szCs w:val="24"/>
        </w:rPr>
        <w:tab/>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hanging="450"/>
        <w:rPr>
          <w:rFonts w:ascii="Times New Roman" w:hAnsi="Times New Roman"/>
          <w:sz w:val="24"/>
          <w:szCs w:val="24"/>
        </w:rPr>
      </w:pPr>
      <w:r>
        <w:rPr>
          <w:rFonts w:ascii="Times New Roman" w:hAnsi="Times New Roman"/>
          <w:b/>
          <w:bCs/>
          <w:sz w:val="24"/>
          <w:szCs w:val="24"/>
        </w:rPr>
        <w:t xml:space="preserve">Question 3.   </w:t>
      </w:r>
      <w:r>
        <w:rPr>
          <w:rFonts w:ascii="Times New Roman" w:hAnsi="Times New Roman"/>
          <w:b/>
          <w:bCs/>
          <w:sz w:val="24"/>
          <w:szCs w:val="24"/>
          <w:u w:val="single"/>
        </w:rPr>
        <w:t>Methods to Maximize Response</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Response rates and data accuracy for the CPS are maintained at high levels through computer edits, interviewer instruction and training, and close monitoring of the data.  Refer to "Overview of CPS Design and Methodology," item 5, for a discussion of CPS nonresponse (Attachment B).</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lastRenderedPageBreak/>
        <w:t>Some amount of allocation for item nonresponse is done within the ASEC supplement for eligible people.  Item nonresponse rates range from less than</w:t>
      </w: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proofErr w:type="gramStart"/>
      <w:r>
        <w:rPr>
          <w:rFonts w:ascii="Times New Roman" w:hAnsi="Times New Roman"/>
          <w:sz w:val="24"/>
          <w:szCs w:val="24"/>
        </w:rPr>
        <w:t>2</w:t>
      </w:r>
      <w:proofErr w:type="gramEnd"/>
      <w:r>
        <w:rPr>
          <w:rFonts w:ascii="Times New Roman" w:hAnsi="Times New Roman"/>
          <w:sz w:val="24"/>
          <w:szCs w:val="24"/>
        </w:rPr>
        <w:t xml:space="preserve"> percent for the work experience items to more than 15 percent for some of the income items, such as interest and dividends.</w:t>
      </w:r>
      <w:r w:rsidR="00612378" w:rsidRPr="00612378">
        <w:rPr>
          <w:rFonts w:ascii="Times New Roman" w:hAnsi="Times New Roman"/>
          <w:sz w:val="24"/>
          <w:szCs w:val="24"/>
        </w:rPr>
        <w:t xml:space="preserve"> </w:t>
      </w:r>
      <w:r w:rsidR="00612378" w:rsidRPr="00C24DE0">
        <w:rPr>
          <w:rFonts w:ascii="Times New Roman" w:hAnsi="Times New Roman"/>
          <w:sz w:val="24"/>
          <w:szCs w:val="24"/>
        </w:rPr>
        <w:t xml:space="preserve"> </w:t>
      </w:r>
      <w:r w:rsidR="00C24DE0" w:rsidRPr="00C24DE0">
        <w:rPr>
          <w:rFonts w:ascii="Times New Roman" w:hAnsi="Times New Roman"/>
          <w:sz w:val="24"/>
          <w:szCs w:val="24"/>
        </w:rPr>
        <w:t xml:space="preserve">For </w:t>
      </w:r>
      <w:r w:rsidR="00C24DE0">
        <w:rPr>
          <w:rFonts w:ascii="Times New Roman" w:hAnsi="Times New Roman"/>
          <w:sz w:val="24"/>
          <w:szCs w:val="24"/>
        </w:rPr>
        <w:t>households</w:t>
      </w:r>
      <w:r w:rsidR="00612378" w:rsidRPr="00E9745D">
        <w:rPr>
          <w:rFonts w:ascii="Times New Roman" w:hAnsi="Times New Roman"/>
          <w:sz w:val="24"/>
          <w:szCs w:val="24"/>
        </w:rPr>
        <w:t>, the basic CPS household-level nonresponse rate was 10.72 percent.  The household-level nonresponse rate for the ASEC was an additional 10.8 percent.  These two non-response rates</w:t>
      </w:r>
      <w:r w:rsidR="00612378" w:rsidRPr="00E9745D">
        <w:rPr>
          <w:rFonts w:ascii="Times New Roman" w:hAnsi="Times New Roman"/>
          <w:color w:val="000000"/>
          <w:sz w:val="24"/>
          <w:szCs w:val="24"/>
        </w:rPr>
        <w:t xml:space="preserve"> lead to a combined supplement nonresponse rate of 20.4 percent.</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hanging="930"/>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 xml:space="preserve">Question 4.   </w:t>
      </w:r>
      <w:r>
        <w:rPr>
          <w:rFonts w:ascii="Times New Roman" w:hAnsi="Times New Roman"/>
          <w:b/>
          <w:bCs/>
          <w:sz w:val="24"/>
          <w:szCs w:val="24"/>
          <w:u w:val="single"/>
        </w:rPr>
        <w:t>Tests of Procedures or Methods</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3D28C5" w:rsidRDefault="00746842" w:rsidP="003D28C5">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Recent studies have shown the ASEC yielding different estimates</w:t>
      </w:r>
      <w:r w:rsidR="00111DDC">
        <w:rPr>
          <w:rFonts w:ascii="Times New Roman" w:hAnsi="Times New Roman"/>
          <w:sz w:val="24"/>
          <w:szCs w:val="24"/>
        </w:rPr>
        <w:t xml:space="preserve"> of varyin</w:t>
      </w:r>
      <w:r>
        <w:rPr>
          <w:rFonts w:ascii="Times New Roman" w:hAnsi="Times New Roman"/>
          <w:sz w:val="24"/>
          <w:szCs w:val="24"/>
        </w:rPr>
        <w:t>g magnitudes across income types</w:t>
      </w:r>
      <w:r w:rsidR="00111DDC">
        <w:rPr>
          <w:rFonts w:ascii="Times New Roman" w:hAnsi="Times New Roman"/>
          <w:sz w:val="24"/>
          <w:szCs w:val="24"/>
        </w:rPr>
        <w:t>, health coverage, and particular subpopulations</w:t>
      </w:r>
      <w:r>
        <w:rPr>
          <w:rFonts w:ascii="Times New Roman" w:hAnsi="Times New Roman"/>
          <w:sz w:val="24"/>
          <w:szCs w:val="24"/>
        </w:rPr>
        <w:t>, when compared to other data sources</w:t>
      </w:r>
      <w:r w:rsidR="00111DDC">
        <w:rPr>
          <w:rFonts w:ascii="Times New Roman" w:hAnsi="Times New Roman"/>
          <w:sz w:val="24"/>
          <w:szCs w:val="24"/>
        </w:rPr>
        <w:t>.</w:t>
      </w:r>
      <w:r w:rsidR="00FB3A80">
        <w:rPr>
          <w:rFonts w:ascii="Times New Roman" w:hAnsi="Times New Roman"/>
          <w:sz w:val="24"/>
          <w:szCs w:val="24"/>
        </w:rPr>
        <w:t xml:space="preserve">  These </w:t>
      </w:r>
      <w:r>
        <w:rPr>
          <w:rFonts w:ascii="Times New Roman" w:hAnsi="Times New Roman"/>
          <w:sz w:val="24"/>
          <w:szCs w:val="24"/>
        </w:rPr>
        <w:t>differences</w:t>
      </w:r>
      <w:r w:rsidR="00AC3D94">
        <w:rPr>
          <w:rFonts w:ascii="Times New Roman" w:hAnsi="Times New Roman"/>
          <w:sz w:val="24"/>
          <w:szCs w:val="24"/>
        </w:rPr>
        <w:t xml:space="preserve"> </w:t>
      </w:r>
      <w:r w:rsidR="003D28C5">
        <w:rPr>
          <w:rFonts w:ascii="Times New Roman" w:hAnsi="Times New Roman"/>
          <w:sz w:val="24"/>
          <w:szCs w:val="24"/>
        </w:rPr>
        <w:t>typically lead to under-reporting of statistics.  For example, enrollment in public benefits programs (such as food stamps) is often under-reported, even after imputations for missing data are performed.  Similarly, under-reporting of health coverage has also been a persistent problem.</w:t>
      </w:r>
    </w:p>
    <w:p w:rsidR="003D28C5" w:rsidRDefault="003D28C5" w:rsidP="003D28C5">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836D7A" w:rsidRDefault="003D28C5" w:rsidP="00111DDC">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In an on-going effort to curb under</w:t>
      </w:r>
      <w:r w:rsidR="00075EAA">
        <w:rPr>
          <w:rFonts w:ascii="Times New Roman" w:hAnsi="Times New Roman"/>
          <w:sz w:val="24"/>
          <w:szCs w:val="24"/>
        </w:rPr>
        <w:t>-</w:t>
      </w:r>
      <w:r>
        <w:rPr>
          <w:rFonts w:ascii="Times New Roman" w:hAnsi="Times New Roman"/>
          <w:sz w:val="24"/>
          <w:szCs w:val="24"/>
        </w:rPr>
        <w:t xml:space="preserve">reporting, </w:t>
      </w:r>
      <w:proofErr w:type="spellStart"/>
      <w:r>
        <w:rPr>
          <w:rFonts w:ascii="Times New Roman" w:hAnsi="Times New Roman"/>
          <w:sz w:val="24"/>
          <w:szCs w:val="24"/>
        </w:rPr>
        <w:t>Westat</w:t>
      </w:r>
      <w:proofErr w:type="spellEnd"/>
      <w:r w:rsidR="00D46DE4">
        <w:rPr>
          <w:rFonts w:ascii="Times New Roman" w:hAnsi="Times New Roman"/>
          <w:sz w:val="24"/>
          <w:szCs w:val="24"/>
        </w:rPr>
        <w:t xml:space="preserve">, Incorporated (referred to hereafter as </w:t>
      </w:r>
      <w:proofErr w:type="spellStart"/>
      <w:r w:rsidR="00D46DE4">
        <w:rPr>
          <w:rFonts w:ascii="Times New Roman" w:hAnsi="Times New Roman"/>
          <w:sz w:val="24"/>
          <w:szCs w:val="24"/>
        </w:rPr>
        <w:t>Westat</w:t>
      </w:r>
      <w:proofErr w:type="spellEnd"/>
      <w:r w:rsidR="00D46DE4">
        <w:rPr>
          <w:rFonts w:ascii="Times New Roman" w:hAnsi="Times New Roman"/>
          <w:sz w:val="24"/>
          <w:szCs w:val="24"/>
        </w:rPr>
        <w:t>)</w:t>
      </w:r>
      <w:r>
        <w:rPr>
          <w:rFonts w:ascii="Times New Roman" w:hAnsi="Times New Roman"/>
          <w:sz w:val="24"/>
          <w:szCs w:val="24"/>
        </w:rPr>
        <w:t xml:space="preserve"> and the Census Bureau have redesigned the ASEC questionnaire for 2014, with </w:t>
      </w:r>
      <w:proofErr w:type="spellStart"/>
      <w:r>
        <w:rPr>
          <w:rFonts w:ascii="Times New Roman" w:hAnsi="Times New Roman"/>
          <w:sz w:val="24"/>
          <w:szCs w:val="24"/>
        </w:rPr>
        <w:t>Westat</w:t>
      </w:r>
      <w:proofErr w:type="spellEnd"/>
      <w:r>
        <w:rPr>
          <w:rFonts w:ascii="Times New Roman" w:hAnsi="Times New Roman"/>
          <w:sz w:val="24"/>
          <w:szCs w:val="24"/>
        </w:rPr>
        <w:t xml:space="preserve"> handling the redesign of the income questions, and the Census Bureau handling the </w:t>
      </w:r>
      <w:r w:rsidR="006C3BF9">
        <w:rPr>
          <w:rFonts w:ascii="Times New Roman" w:hAnsi="Times New Roman"/>
          <w:sz w:val="24"/>
          <w:szCs w:val="24"/>
        </w:rPr>
        <w:t xml:space="preserve">redesign of the </w:t>
      </w:r>
      <w:r>
        <w:rPr>
          <w:rFonts w:ascii="Times New Roman" w:hAnsi="Times New Roman"/>
          <w:sz w:val="24"/>
          <w:szCs w:val="24"/>
        </w:rPr>
        <w:t xml:space="preserve">health coverage questions.  </w:t>
      </w:r>
    </w:p>
    <w:p w:rsidR="00FB3A80" w:rsidRPr="00FB3A80" w:rsidRDefault="00FB3A80" w:rsidP="00BF5610">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F8136E" w:rsidRDefault="00223948" w:rsidP="00223948">
      <w:pPr>
        <w:tabs>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Three major structural changes were incorporated to address errors</w:t>
      </w:r>
      <w:r w:rsidR="00AE4A26">
        <w:rPr>
          <w:rFonts w:ascii="Times New Roman" w:hAnsi="Times New Roman"/>
          <w:sz w:val="24"/>
          <w:szCs w:val="24"/>
        </w:rPr>
        <w:t xml:space="preserve"> associated with the income questions</w:t>
      </w:r>
      <w:r>
        <w:rPr>
          <w:rFonts w:ascii="Times New Roman" w:hAnsi="Times New Roman"/>
          <w:sz w:val="24"/>
          <w:szCs w:val="24"/>
        </w:rPr>
        <w:t>:</w:t>
      </w:r>
    </w:p>
    <w:p w:rsidR="00223948" w:rsidRDefault="00223948" w:rsidP="00223948">
      <w:pPr>
        <w:tabs>
          <w:tab w:val="left" w:pos="540"/>
          <w:tab w:val="left" w:pos="1020"/>
          <w:tab w:val="left" w:pos="1980"/>
          <w:tab w:val="left" w:pos="5814"/>
          <w:tab w:val="left" w:pos="8820"/>
          <w:tab w:val="right" w:pos="8940"/>
        </w:tabs>
        <w:ind w:left="1440"/>
        <w:rPr>
          <w:rFonts w:ascii="Times New Roman" w:hAnsi="Times New Roman"/>
          <w:sz w:val="24"/>
          <w:szCs w:val="24"/>
        </w:rPr>
      </w:pPr>
    </w:p>
    <w:p w:rsidR="00223948" w:rsidRPr="00AE4A26" w:rsidRDefault="00223948" w:rsidP="00223948">
      <w:pPr>
        <w:pStyle w:val="ListParagraph"/>
        <w:numPr>
          <w:ilvl w:val="0"/>
          <w:numId w:val="2"/>
        </w:numPr>
        <w:tabs>
          <w:tab w:val="left" w:pos="540"/>
          <w:tab w:val="left" w:pos="1020"/>
          <w:tab w:val="left" w:pos="1980"/>
          <w:tab w:val="left" w:pos="5814"/>
          <w:tab w:val="left" w:pos="8820"/>
          <w:tab w:val="right" w:pos="8940"/>
        </w:tabs>
        <w:rPr>
          <w:rFonts w:ascii="Times New Roman" w:hAnsi="Times New Roman"/>
          <w:i/>
          <w:sz w:val="24"/>
          <w:szCs w:val="24"/>
        </w:rPr>
      </w:pPr>
      <w:r w:rsidRPr="00AE4A26">
        <w:rPr>
          <w:rFonts w:ascii="Times New Roman" w:hAnsi="Times New Roman"/>
          <w:i/>
          <w:sz w:val="24"/>
          <w:szCs w:val="24"/>
        </w:rPr>
        <w:t>Source-First Approach</w:t>
      </w:r>
    </w:p>
    <w:p w:rsidR="00223948" w:rsidRDefault="0021086A" w:rsidP="00223948">
      <w:pPr>
        <w:pStyle w:val="ListParagraph"/>
        <w:tabs>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Previous</w:t>
      </w:r>
      <w:r w:rsidR="00223948">
        <w:rPr>
          <w:rFonts w:ascii="Times New Roman" w:hAnsi="Times New Roman"/>
          <w:sz w:val="24"/>
          <w:szCs w:val="24"/>
        </w:rPr>
        <w:t xml:space="preserve"> ASEC income questions have followed an interleafed design.  That is, they ask about income source 1</w:t>
      </w:r>
      <w:r w:rsidR="00673CAD">
        <w:rPr>
          <w:rFonts w:ascii="Times New Roman" w:hAnsi="Times New Roman"/>
          <w:sz w:val="24"/>
          <w:szCs w:val="24"/>
        </w:rPr>
        <w:t xml:space="preserve"> followed by the amounts for income source 1; ask about income source 2 followed by the amounts for income source 2; and so on.  This allowed respondents to </w:t>
      </w:r>
      <w:r w:rsidR="0059233D">
        <w:rPr>
          <w:rFonts w:ascii="Times New Roman" w:hAnsi="Times New Roman"/>
          <w:sz w:val="24"/>
          <w:szCs w:val="24"/>
        </w:rPr>
        <w:t>become aware</w:t>
      </w:r>
      <w:r w:rsidR="004E3F39">
        <w:rPr>
          <w:rFonts w:ascii="Times New Roman" w:hAnsi="Times New Roman"/>
          <w:sz w:val="24"/>
          <w:szCs w:val="24"/>
        </w:rPr>
        <w:t xml:space="preserve"> of the “con</w:t>
      </w:r>
      <w:r w:rsidR="0059233D">
        <w:rPr>
          <w:rFonts w:ascii="Times New Roman" w:hAnsi="Times New Roman"/>
          <w:sz w:val="24"/>
          <w:szCs w:val="24"/>
        </w:rPr>
        <w:t>sequence” of reporting income, and thus negatively affected</w:t>
      </w:r>
      <w:r w:rsidR="004E3F39">
        <w:rPr>
          <w:rFonts w:ascii="Times New Roman" w:hAnsi="Times New Roman"/>
          <w:sz w:val="24"/>
          <w:szCs w:val="24"/>
        </w:rPr>
        <w:t xml:space="preserve"> report</w:t>
      </w:r>
      <w:r w:rsidR="0059233D">
        <w:rPr>
          <w:rFonts w:ascii="Times New Roman" w:hAnsi="Times New Roman"/>
          <w:sz w:val="24"/>
          <w:szCs w:val="24"/>
        </w:rPr>
        <w:t xml:space="preserve">ing of income sources </w:t>
      </w:r>
      <w:r w:rsidR="000D21D3">
        <w:rPr>
          <w:rFonts w:ascii="Times New Roman" w:hAnsi="Times New Roman"/>
          <w:sz w:val="24"/>
          <w:szCs w:val="24"/>
        </w:rPr>
        <w:t>l</w:t>
      </w:r>
      <w:r w:rsidR="0029391B">
        <w:rPr>
          <w:rFonts w:ascii="Times New Roman" w:hAnsi="Times New Roman"/>
          <w:sz w:val="24"/>
          <w:szCs w:val="24"/>
        </w:rPr>
        <w:t>ater in the interview, increasing under</w:t>
      </w:r>
      <w:r w:rsidR="00075EAA">
        <w:rPr>
          <w:rFonts w:ascii="Times New Roman" w:hAnsi="Times New Roman"/>
          <w:sz w:val="24"/>
          <w:szCs w:val="24"/>
        </w:rPr>
        <w:t>-</w:t>
      </w:r>
      <w:r w:rsidR="0029391B">
        <w:rPr>
          <w:rFonts w:ascii="Times New Roman" w:hAnsi="Times New Roman"/>
          <w:sz w:val="24"/>
          <w:szCs w:val="24"/>
        </w:rPr>
        <w:t>reporting for those later income sources.</w:t>
      </w:r>
    </w:p>
    <w:p w:rsidR="0021086A" w:rsidRDefault="00A76332" w:rsidP="00223948">
      <w:pPr>
        <w:pStyle w:val="ListParagraph"/>
        <w:tabs>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 </w:t>
      </w:r>
    </w:p>
    <w:p w:rsidR="0021086A" w:rsidRDefault="0021086A" w:rsidP="00223948">
      <w:pPr>
        <w:pStyle w:val="ListParagraph"/>
        <w:tabs>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A source-first approach was therefore implemented for 2014.  That is, respondents wi</w:t>
      </w:r>
      <w:r w:rsidR="0059233D">
        <w:rPr>
          <w:rFonts w:ascii="Times New Roman" w:hAnsi="Times New Roman"/>
          <w:sz w:val="24"/>
          <w:szCs w:val="24"/>
        </w:rPr>
        <w:t xml:space="preserve">ll first be asked about all income sources </w:t>
      </w:r>
      <w:r>
        <w:rPr>
          <w:rFonts w:ascii="Times New Roman" w:hAnsi="Times New Roman"/>
          <w:sz w:val="24"/>
          <w:szCs w:val="24"/>
        </w:rPr>
        <w:t xml:space="preserve">received, </w:t>
      </w:r>
      <w:proofErr w:type="gramStart"/>
      <w:r>
        <w:rPr>
          <w:rFonts w:ascii="Times New Roman" w:hAnsi="Times New Roman"/>
          <w:sz w:val="24"/>
          <w:szCs w:val="24"/>
        </w:rPr>
        <w:t>then</w:t>
      </w:r>
      <w:proofErr w:type="gramEnd"/>
      <w:r>
        <w:rPr>
          <w:rFonts w:ascii="Times New Roman" w:hAnsi="Times New Roman"/>
          <w:sz w:val="24"/>
          <w:szCs w:val="24"/>
        </w:rPr>
        <w:t xml:space="preserve"> </w:t>
      </w:r>
      <w:r w:rsidR="0059233D">
        <w:rPr>
          <w:rFonts w:ascii="Times New Roman" w:hAnsi="Times New Roman"/>
          <w:sz w:val="24"/>
          <w:szCs w:val="24"/>
        </w:rPr>
        <w:t>a second</w:t>
      </w:r>
      <w:r w:rsidR="00236ACC">
        <w:rPr>
          <w:rFonts w:ascii="Times New Roman" w:hAnsi="Times New Roman"/>
          <w:sz w:val="24"/>
          <w:szCs w:val="24"/>
        </w:rPr>
        <w:t xml:space="preserve"> pass </w:t>
      </w:r>
      <w:r>
        <w:rPr>
          <w:rFonts w:ascii="Times New Roman" w:hAnsi="Times New Roman"/>
          <w:sz w:val="24"/>
          <w:szCs w:val="24"/>
        </w:rPr>
        <w:t xml:space="preserve">will </w:t>
      </w:r>
      <w:r w:rsidR="00236ACC">
        <w:rPr>
          <w:rFonts w:ascii="Times New Roman" w:hAnsi="Times New Roman"/>
          <w:sz w:val="24"/>
          <w:szCs w:val="24"/>
        </w:rPr>
        <w:t>ask</w:t>
      </w:r>
      <w:r w:rsidR="0059233D">
        <w:rPr>
          <w:rFonts w:ascii="Times New Roman" w:hAnsi="Times New Roman"/>
          <w:sz w:val="24"/>
          <w:szCs w:val="24"/>
        </w:rPr>
        <w:t xml:space="preserve"> for </w:t>
      </w:r>
      <w:r>
        <w:rPr>
          <w:rFonts w:ascii="Times New Roman" w:hAnsi="Times New Roman"/>
          <w:sz w:val="24"/>
          <w:szCs w:val="24"/>
        </w:rPr>
        <w:t xml:space="preserve">amounts for </w:t>
      </w:r>
      <w:r w:rsidR="0059233D">
        <w:rPr>
          <w:rFonts w:ascii="Times New Roman" w:hAnsi="Times New Roman"/>
          <w:sz w:val="24"/>
          <w:szCs w:val="24"/>
        </w:rPr>
        <w:t xml:space="preserve">those </w:t>
      </w:r>
      <w:r w:rsidR="000D21D3">
        <w:rPr>
          <w:rFonts w:ascii="Times New Roman" w:hAnsi="Times New Roman"/>
          <w:sz w:val="24"/>
          <w:szCs w:val="24"/>
        </w:rPr>
        <w:t>sources.</w:t>
      </w:r>
      <w:r w:rsidR="00236ACC">
        <w:rPr>
          <w:rFonts w:ascii="Times New Roman" w:hAnsi="Times New Roman"/>
          <w:sz w:val="24"/>
          <w:szCs w:val="24"/>
        </w:rPr>
        <w:t xml:space="preserve">  In addition</w:t>
      </w:r>
      <w:r w:rsidR="001B117F">
        <w:rPr>
          <w:rFonts w:ascii="Times New Roman" w:hAnsi="Times New Roman"/>
          <w:sz w:val="24"/>
          <w:szCs w:val="24"/>
        </w:rPr>
        <w:t xml:space="preserve"> to better ensuring that all income sources have a fair chance of being reported, the source-first approach also gives respondents a second chance at thinking through an income source when amounts are requested, providing an opportunity for more specific recall, and perhaps triggering recall for other income sources.</w:t>
      </w:r>
    </w:p>
    <w:p w:rsidR="00FE0CA0" w:rsidRDefault="00FE0CA0" w:rsidP="00223948">
      <w:pPr>
        <w:pStyle w:val="ListParagraph"/>
        <w:tabs>
          <w:tab w:val="left" w:pos="540"/>
          <w:tab w:val="left" w:pos="1020"/>
          <w:tab w:val="left" w:pos="1980"/>
          <w:tab w:val="left" w:pos="5814"/>
          <w:tab w:val="left" w:pos="8820"/>
          <w:tab w:val="right" w:pos="8940"/>
        </w:tabs>
        <w:ind w:left="2160"/>
        <w:rPr>
          <w:rFonts w:ascii="Times New Roman" w:hAnsi="Times New Roman"/>
          <w:sz w:val="24"/>
          <w:szCs w:val="24"/>
        </w:rPr>
      </w:pPr>
    </w:p>
    <w:p w:rsidR="0011680F" w:rsidRPr="00AE4A26" w:rsidRDefault="0011680F" w:rsidP="0011680F">
      <w:pPr>
        <w:pStyle w:val="ListParagraph"/>
        <w:numPr>
          <w:ilvl w:val="0"/>
          <w:numId w:val="2"/>
        </w:numPr>
        <w:tabs>
          <w:tab w:val="left" w:pos="60"/>
          <w:tab w:val="left" w:pos="540"/>
          <w:tab w:val="left" w:pos="1020"/>
          <w:tab w:val="left" w:pos="1980"/>
          <w:tab w:val="left" w:pos="5814"/>
          <w:tab w:val="left" w:pos="8820"/>
          <w:tab w:val="right" w:pos="8940"/>
        </w:tabs>
        <w:rPr>
          <w:rFonts w:ascii="Times New Roman" w:hAnsi="Times New Roman"/>
          <w:i/>
          <w:sz w:val="24"/>
          <w:szCs w:val="24"/>
        </w:rPr>
      </w:pPr>
      <w:r w:rsidRPr="00AE4A26">
        <w:rPr>
          <w:rFonts w:ascii="Times New Roman" w:hAnsi="Times New Roman"/>
          <w:i/>
          <w:sz w:val="24"/>
          <w:szCs w:val="24"/>
        </w:rPr>
        <w:t>Tailoring the order of income source presentation</w:t>
      </w:r>
    </w:p>
    <w:p w:rsidR="0011680F" w:rsidRDefault="0011680F" w:rsidP="0011680F">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For 2014, the</w:t>
      </w:r>
      <w:r w:rsidR="003A35E9">
        <w:rPr>
          <w:rFonts w:ascii="Times New Roman" w:hAnsi="Times New Roman"/>
          <w:sz w:val="24"/>
          <w:szCs w:val="24"/>
        </w:rPr>
        <w:t>re are now three different</w:t>
      </w:r>
      <w:r>
        <w:rPr>
          <w:rFonts w:ascii="Times New Roman" w:hAnsi="Times New Roman"/>
          <w:sz w:val="24"/>
          <w:szCs w:val="24"/>
        </w:rPr>
        <w:t xml:space="preserve"> order</w:t>
      </w:r>
      <w:r w:rsidR="003A35E9">
        <w:rPr>
          <w:rFonts w:ascii="Times New Roman" w:hAnsi="Times New Roman"/>
          <w:sz w:val="24"/>
          <w:szCs w:val="24"/>
        </w:rPr>
        <w:t>s</w:t>
      </w:r>
      <w:r>
        <w:rPr>
          <w:rFonts w:ascii="Times New Roman" w:hAnsi="Times New Roman"/>
          <w:sz w:val="24"/>
          <w:szCs w:val="24"/>
        </w:rPr>
        <w:t xml:space="preserve"> in </w:t>
      </w:r>
      <w:r w:rsidR="003A35E9">
        <w:rPr>
          <w:rFonts w:ascii="Times New Roman" w:hAnsi="Times New Roman"/>
          <w:sz w:val="24"/>
          <w:szCs w:val="24"/>
        </w:rPr>
        <w:t>which income source questions may be asked:</w:t>
      </w:r>
    </w:p>
    <w:p w:rsidR="00AE4A26" w:rsidRDefault="00AE4A26" w:rsidP="0011680F">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3A35E9" w:rsidRDefault="003A35E9" w:rsidP="00C235C2">
      <w:pPr>
        <w:pStyle w:val="ListParagraph"/>
        <w:keepNext/>
        <w:keepLines/>
        <w:numPr>
          <w:ilvl w:val="0"/>
          <w:numId w:val="3"/>
        </w:numPr>
        <w:tabs>
          <w:tab w:val="left" w:pos="60"/>
          <w:tab w:val="left" w:pos="540"/>
          <w:tab w:val="left" w:pos="1020"/>
          <w:tab w:val="left" w:pos="1980"/>
          <w:tab w:val="left" w:pos="5814"/>
          <w:tab w:val="left" w:pos="8820"/>
          <w:tab w:val="right" w:pos="8940"/>
        </w:tabs>
        <w:rPr>
          <w:rFonts w:ascii="Times New Roman" w:hAnsi="Times New Roman"/>
          <w:sz w:val="24"/>
          <w:szCs w:val="24"/>
        </w:rPr>
      </w:pPr>
      <w:r>
        <w:rPr>
          <w:rFonts w:ascii="Times New Roman" w:hAnsi="Times New Roman"/>
          <w:sz w:val="24"/>
          <w:szCs w:val="24"/>
        </w:rPr>
        <w:t>Default order (same as previous ASEC)</w:t>
      </w:r>
    </w:p>
    <w:p w:rsidR="003A35E9" w:rsidRDefault="003A35E9" w:rsidP="00C235C2">
      <w:pPr>
        <w:pStyle w:val="ListParagraph"/>
        <w:keepNext/>
        <w:keepLines/>
        <w:numPr>
          <w:ilvl w:val="0"/>
          <w:numId w:val="3"/>
        </w:numPr>
        <w:tabs>
          <w:tab w:val="left" w:pos="60"/>
          <w:tab w:val="left" w:pos="540"/>
          <w:tab w:val="left" w:pos="1020"/>
          <w:tab w:val="left" w:pos="1980"/>
          <w:tab w:val="left" w:pos="5814"/>
          <w:tab w:val="left" w:pos="8820"/>
          <w:tab w:val="right" w:pos="8940"/>
        </w:tabs>
        <w:rPr>
          <w:rFonts w:ascii="Times New Roman" w:hAnsi="Times New Roman"/>
          <w:sz w:val="24"/>
          <w:szCs w:val="24"/>
        </w:rPr>
      </w:pPr>
      <w:r>
        <w:rPr>
          <w:rFonts w:ascii="Times New Roman" w:hAnsi="Times New Roman"/>
          <w:sz w:val="24"/>
          <w:szCs w:val="24"/>
        </w:rPr>
        <w:t>Low-income order</w:t>
      </w:r>
    </w:p>
    <w:p w:rsidR="003A35E9" w:rsidRDefault="003A35E9" w:rsidP="00C235C2">
      <w:pPr>
        <w:pStyle w:val="ListParagraph"/>
        <w:keepNext/>
        <w:keepLines/>
        <w:numPr>
          <w:ilvl w:val="0"/>
          <w:numId w:val="3"/>
        </w:numPr>
        <w:tabs>
          <w:tab w:val="left" w:pos="60"/>
          <w:tab w:val="left" w:pos="540"/>
          <w:tab w:val="left" w:pos="1020"/>
          <w:tab w:val="left" w:pos="1980"/>
          <w:tab w:val="left" w:pos="5814"/>
          <w:tab w:val="left" w:pos="8820"/>
          <w:tab w:val="right" w:pos="8940"/>
        </w:tabs>
        <w:rPr>
          <w:rFonts w:ascii="Times New Roman" w:hAnsi="Times New Roman"/>
          <w:sz w:val="24"/>
          <w:szCs w:val="24"/>
        </w:rPr>
      </w:pPr>
      <w:r>
        <w:rPr>
          <w:rFonts w:ascii="Times New Roman" w:hAnsi="Times New Roman"/>
          <w:sz w:val="24"/>
          <w:szCs w:val="24"/>
        </w:rPr>
        <w:t>Senior (age 62+) order</w:t>
      </w:r>
    </w:p>
    <w:p w:rsidR="003A35E9" w:rsidRDefault="003A35E9" w:rsidP="003A35E9">
      <w:pPr>
        <w:pStyle w:val="ListParagraph"/>
        <w:tabs>
          <w:tab w:val="left" w:pos="60"/>
          <w:tab w:val="left" w:pos="540"/>
          <w:tab w:val="left" w:pos="1020"/>
          <w:tab w:val="left" w:pos="1980"/>
          <w:tab w:val="left" w:pos="5814"/>
          <w:tab w:val="left" w:pos="8820"/>
          <w:tab w:val="right" w:pos="8940"/>
        </w:tabs>
        <w:ind w:left="2880"/>
        <w:rPr>
          <w:rFonts w:ascii="Times New Roman" w:hAnsi="Times New Roman"/>
          <w:sz w:val="24"/>
          <w:szCs w:val="24"/>
        </w:rPr>
      </w:pPr>
    </w:p>
    <w:p w:rsidR="003A35E9" w:rsidRDefault="003A35E9" w:rsidP="003A35E9">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The order presented will depend on </w:t>
      </w:r>
      <w:r w:rsidR="0050708A">
        <w:rPr>
          <w:rFonts w:ascii="Times New Roman" w:hAnsi="Times New Roman"/>
          <w:sz w:val="24"/>
          <w:szCs w:val="24"/>
        </w:rPr>
        <w:t xml:space="preserve">details (such as roster and work history) collected from earlier in the interview, and from </w:t>
      </w:r>
      <w:r>
        <w:rPr>
          <w:rFonts w:ascii="Times New Roman" w:hAnsi="Times New Roman"/>
          <w:sz w:val="24"/>
          <w:szCs w:val="24"/>
        </w:rPr>
        <w:t>detailed information collect</w:t>
      </w:r>
      <w:r w:rsidR="0050708A">
        <w:rPr>
          <w:rFonts w:ascii="Times New Roman" w:hAnsi="Times New Roman"/>
          <w:sz w:val="24"/>
          <w:szCs w:val="24"/>
        </w:rPr>
        <w:t>ed in prior interviews.</w:t>
      </w:r>
      <w:r w:rsidR="00AA3FAF">
        <w:rPr>
          <w:rFonts w:ascii="Times New Roman" w:hAnsi="Times New Roman"/>
          <w:sz w:val="24"/>
          <w:szCs w:val="24"/>
        </w:rPr>
        <w:t xml:space="preserve">  </w:t>
      </w:r>
      <w:r w:rsidR="00AA3FAF" w:rsidRPr="00AA3FAF">
        <w:rPr>
          <w:rFonts w:ascii="Times New Roman" w:hAnsi="Times New Roman"/>
          <w:sz w:val="24"/>
          <w:szCs w:val="24"/>
        </w:rPr>
        <w:t>The goal for using a tailored order is to reduce the effects of respondent fatigue by increasing the likelihood that the most relevant source</w:t>
      </w:r>
      <w:r w:rsidR="00AA3FAF">
        <w:rPr>
          <w:rFonts w:ascii="Times New Roman" w:hAnsi="Times New Roman"/>
          <w:sz w:val="24"/>
          <w:szCs w:val="24"/>
        </w:rPr>
        <w:t>s</w:t>
      </w:r>
      <w:r w:rsidR="00AA3FAF" w:rsidRPr="00AA3FAF">
        <w:rPr>
          <w:rFonts w:ascii="Times New Roman" w:hAnsi="Times New Roman"/>
          <w:sz w:val="24"/>
          <w:szCs w:val="24"/>
        </w:rPr>
        <w:t xml:space="preserve"> of income are discussed and identified earlier in the interview.</w:t>
      </w:r>
      <w:r w:rsidR="00E4734D">
        <w:rPr>
          <w:rFonts w:ascii="Times New Roman" w:hAnsi="Times New Roman"/>
          <w:sz w:val="24"/>
          <w:szCs w:val="24"/>
        </w:rPr>
        <w:t xml:space="preserve">  </w:t>
      </w:r>
      <w:r w:rsidR="00E4734D" w:rsidRPr="00E4734D">
        <w:rPr>
          <w:rFonts w:ascii="Times New Roman" w:hAnsi="Times New Roman"/>
          <w:sz w:val="24"/>
          <w:szCs w:val="24"/>
        </w:rPr>
        <w:t>The outcome is a reduction in missing and under</w:t>
      </w:r>
      <w:r w:rsidR="00075EAA">
        <w:rPr>
          <w:rFonts w:ascii="Times New Roman" w:hAnsi="Times New Roman"/>
          <w:sz w:val="24"/>
          <w:szCs w:val="24"/>
        </w:rPr>
        <w:t>-</w:t>
      </w:r>
      <w:r w:rsidR="00E4734D" w:rsidRPr="00E4734D">
        <w:rPr>
          <w:rFonts w:ascii="Times New Roman" w:hAnsi="Times New Roman"/>
          <w:sz w:val="24"/>
          <w:szCs w:val="24"/>
        </w:rPr>
        <w:t>report</w:t>
      </w:r>
      <w:r w:rsidR="00D4116D">
        <w:rPr>
          <w:rFonts w:ascii="Times New Roman" w:hAnsi="Times New Roman"/>
          <w:sz w:val="24"/>
          <w:szCs w:val="24"/>
        </w:rPr>
        <w:t>ed data.</w:t>
      </w:r>
    </w:p>
    <w:p w:rsidR="00D4116D" w:rsidRDefault="00D4116D" w:rsidP="003A35E9">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D4116D" w:rsidRPr="00AE4A26" w:rsidRDefault="00C7521E" w:rsidP="00D4116D">
      <w:pPr>
        <w:pStyle w:val="ListParagraph"/>
        <w:numPr>
          <w:ilvl w:val="0"/>
          <w:numId w:val="2"/>
        </w:numPr>
        <w:tabs>
          <w:tab w:val="left" w:pos="60"/>
          <w:tab w:val="left" w:pos="540"/>
          <w:tab w:val="left" w:pos="1020"/>
          <w:tab w:val="left" w:pos="1980"/>
          <w:tab w:val="left" w:pos="5814"/>
          <w:tab w:val="left" w:pos="8820"/>
          <w:tab w:val="right" w:pos="8940"/>
        </w:tabs>
        <w:rPr>
          <w:rFonts w:ascii="Times New Roman" w:hAnsi="Times New Roman"/>
          <w:i/>
          <w:sz w:val="24"/>
          <w:szCs w:val="24"/>
        </w:rPr>
      </w:pPr>
      <w:r w:rsidRPr="00AE4A26">
        <w:rPr>
          <w:rFonts w:ascii="Times New Roman" w:hAnsi="Times New Roman"/>
          <w:i/>
          <w:sz w:val="24"/>
          <w:szCs w:val="24"/>
        </w:rPr>
        <w:t xml:space="preserve">Following “Don’t Know” Responses With an </w:t>
      </w:r>
      <w:r w:rsidR="00D87D99" w:rsidRPr="00AE4A26">
        <w:rPr>
          <w:rFonts w:ascii="Times New Roman" w:hAnsi="Times New Roman"/>
          <w:i/>
          <w:sz w:val="24"/>
          <w:szCs w:val="24"/>
        </w:rPr>
        <w:t>Amount</w:t>
      </w:r>
      <w:r w:rsidRPr="00AE4A26">
        <w:rPr>
          <w:rFonts w:ascii="Times New Roman" w:hAnsi="Times New Roman"/>
          <w:i/>
          <w:sz w:val="24"/>
          <w:szCs w:val="24"/>
        </w:rPr>
        <w:t xml:space="preserve"> Range</w:t>
      </w:r>
    </w:p>
    <w:p w:rsidR="00FE4B06" w:rsidRDefault="00CB1373" w:rsidP="00D87D99">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In previous years, when respondents did</w:t>
      </w:r>
      <w:r w:rsidR="00D87D99">
        <w:rPr>
          <w:rFonts w:ascii="Times New Roman" w:hAnsi="Times New Roman"/>
          <w:sz w:val="24"/>
          <w:szCs w:val="24"/>
        </w:rPr>
        <w:t xml:space="preserve"> </w:t>
      </w:r>
      <w:r>
        <w:rPr>
          <w:rFonts w:ascii="Times New Roman" w:hAnsi="Times New Roman"/>
          <w:sz w:val="24"/>
          <w:szCs w:val="24"/>
        </w:rPr>
        <w:t>n</w:t>
      </w:r>
      <w:r w:rsidR="00D87D99">
        <w:rPr>
          <w:rFonts w:ascii="Times New Roman" w:hAnsi="Times New Roman"/>
          <w:sz w:val="24"/>
          <w:szCs w:val="24"/>
        </w:rPr>
        <w:t>o</w:t>
      </w:r>
      <w:r>
        <w:rPr>
          <w:rFonts w:ascii="Times New Roman" w:hAnsi="Times New Roman"/>
          <w:sz w:val="24"/>
          <w:szCs w:val="24"/>
        </w:rPr>
        <w:t xml:space="preserve">t know (or refused to tell) the value of their reported assets, interviewers simply moved on to the next asset.  The redesigned income questions will now follow a </w:t>
      </w:r>
      <w:r w:rsidR="002A6FD1">
        <w:rPr>
          <w:rFonts w:ascii="Times New Roman" w:hAnsi="Times New Roman"/>
          <w:sz w:val="24"/>
          <w:szCs w:val="24"/>
        </w:rPr>
        <w:t>“</w:t>
      </w:r>
      <w:r>
        <w:rPr>
          <w:rFonts w:ascii="Times New Roman" w:hAnsi="Times New Roman"/>
          <w:sz w:val="24"/>
          <w:szCs w:val="24"/>
        </w:rPr>
        <w:t>don’t know</w:t>
      </w:r>
      <w:r w:rsidR="002A6FD1">
        <w:rPr>
          <w:rFonts w:ascii="Times New Roman" w:hAnsi="Times New Roman"/>
          <w:sz w:val="24"/>
          <w:szCs w:val="24"/>
        </w:rPr>
        <w:t>”</w:t>
      </w:r>
      <w:r>
        <w:rPr>
          <w:rFonts w:ascii="Times New Roman" w:hAnsi="Times New Roman"/>
          <w:sz w:val="24"/>
          <w:szCs w:val="24"/>
        </w:rPr>
        <w:t xml:space="preserve"> or </w:t>
      </w:r>
      <w:r w:rsidR="002A6FD1">
        <w:rPr>
          <w:rFonts w:ascii="Times New Roman" w:hAnsi="Times New Roman"/>
          <w:sz w:val="24"/>
          <w:szCs w:val="24"/>
        </w:rPr>
        <w:t>“</w:t>
      </w:r>
      <w:r>
        <w:rPr>
          <w:rFonts w:ascii="Times New Roman" w:hAnsi="Times New Roman"/>
          <w:sz w:val="24"/>
          <w:szCs w:val="24"/>
        </w:rPr>
        <w:t>refusal</w:t>
      </w:r>
      <w:r w:rsidR="002A6FD1">
        <w:rPr>
          <w:rFonts w:ascii="Times New Roman" w:hAnsi="Times New Roman"/>
          <w:sz w:val="24"/>
          <w:szCs w:val="24"/>
        </w:rPr>
        <w:t>”</w:t>
      </w:r>
      <w:r>
        <w:rPr>
          <w:rFonts w:ascii="Times New Roman" w:hAnsi="Times New Roman"/>
          <w:sz w:val="24"/>
          <w:szCs w:val="24"/>
        </w:rPr>
        <w:t xml:space="preserve"> response with a selection of ranges the respondent may choose from</w:t>
      </w:r>
      <w:r w:rsidR="00EB6431">
        <w:rPr>
          <w:rFonts w:ascii="Times New Roman" w:hAnsi="Times New Roman"/>
          <w:sz w:val="24"/>
          <w:szCs w:val="24"/>
        </w:rPr>
        <w:t xml:space="preserve">.  For example, </w:t>
      </w:r>
      <w:r w:rsidR="00D87D99">
        <w:rPr>
          <w:rFonts w:ascii="Times New Roman" w:hAnsi="Times New Roman"/>
          <w:sz w:val="24"/>
          <w:szCs w:val="24"/>
        </w:rPr>
        <w:t>if</w:t>
      </w:r>
      <w:r w:rsidR="00EB6431">
        <w:rPr>
          <w:rFonts w:ascii="Times New Roman" w:hAnsi="Times New Roman"/>
          <w:sz w:val="24"/>
          <w:szCs w:val="24"/>
        </w:rPr>
        <w:t xml:space="preserve"> asked how much Social Security was received in 2013, </w:t>
      </w:r>
      <w:r w:rsidR="00D87D99">
        <w:rPr>
          <w:rFonts w:ascii="Times New Roman" w:hAnsi="Times New Roman"/>
          <w:sz w:val="24"/>
          <w:szCs w:val="24"/>
        </w:rPr>
        <w:t xml:space="preserve">and </w:t>
      </w:r>
      <w:r w:rsidR="00EB6431">
        <w:rPr>
          <w:rFonts w:ascii="Times New Roman" w:hAnsi="Times New Roman"/>
          <w:sz w:val="24"/>
          <w:szCs w:val="24"/>
        </w:rPr>
        <w:t xml:space="preserve">the respondent replies “I don’t know”, we will now ask “Can you please tell me if </w:t>
      </w:r>
      <w:r w:rsidR="00D87D99">
        <w:rPr>
          <w:rFonts w:ascii="Times New Roman" w:hAnsi="Times New Roman"/>
          <w:sz w:val="24"/>
          <w:szCs w:val="24"/>
        </w:rPr>
        <w:t xml:space="preserve">you received </w:t>
      </w:r>
      <w:r w:rsidR="00D87D99" w:rsidRPr="00D87D99">
        <w:rPr>
          <w:rFonts w:ascii="Times New Roman" w:hAnsi="Times New Roman"/>
          <w:sz w:val="24"/>
          <w:szCs w:val="24"/>
        </w:rPr>
        <w:t>less than $10,000, between $10,000 and $20,000, or over $20,000</w:t>
      </w:r>
      <w:r w:rsidR="00D87D99">
        <w:rPr>
          <w:rFonts w:ascii="Times New Roman" w:hAnsi="Times New Roman"/>
          <w:sz w:val="24"/>
          <w:szCs w:val="24"/>
        </w:rPr>
        <w:t xml:space="preserve"> </w:t>
      </w:r>
      <w:r w:rsidR="00D87D99" w:rsidRPr="00D87D99">
        <w:rPr>
          <w:rFonts w:ascii="Times New Roman" w:hAnsi="Times New Roman"/>
          <w:sz w:val="24"/>
          <w:szCs w:val="24"/>
        </w:rPr>
        <w:t xml:space="preserve">for the </w:t>
      </w:r>
      <w:r w:rsidR="00D87D99">
        <w:rPr>
          <w:rFonts w:ascii="Times New Roman" w:hAnsi="Times New Roman"/>
          <w:sz w:val="24"/>
          <w:szCs w:val="24"/>
        </w:rPr>
        <w:t>total</w:t>
      </w:r>
      <w:r w:rsidR="00D87D99" w:rsidRPr="00D87D99">
        <w:rPr>
          <w:rFonts w:ascii="Times New Roman" w:hAnsi="Times New Roman"/>
          <w:sz w:val="24"/>
          <w:szCs w:val="24"/>
        </w:rPr>
        <w:t xml:space="preserve"> amount </w:t>
      </w:r>
      <w:r w:rsidR="00D87D99">
        <w:rPr>
          <w:rFonts w:ascii="Times New Roman" w:hAnsi="Times New Roman"/>
          <w:sz w:val="24"/>
          <w:szCs w:val="24"/>
        </w:rPr>
        <w:t xml:space="preserve">you </w:t>
      </w:r>
      <w:r w:rsidR="00D87D99" w:rsidRPr="00D87D99">
        <w:rPr>
          <w:rFonts w:ascii="Times New Roman" w:hAnsi="Times New Roman"/>
          <w:sz w:val="24"/>
          <w:szCs w:val="24"/>
        </w:rPr>
        <w:t>received in Social Security Payments</w:t>
      </w:r>
      <w:r w:rsidR="00D87D99">
        <w:rPr>
          <w:rFonts w:ascii="Times New Roman" w:hAnsi="Times New Roman"/>
          <w:sz w:val="24"/>
          <w:szCs w:val="24"/>
        </w:rPr>
        <w:t xml:space="preserve"> in 2013?”</w:t>
      </w:r>
    </w:p>
    <w:p w:rsidR="00D87D99" w:rsidRDefault="00D87D99" w:rsidP="00D87D99">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D87D99" w:rsidRPr="00D87D99" w:rsidRDefault="00D87D99" w:rsidP="00D87D99">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The benefit to this approach is having an estimate of an amount rather than no answer at all, and may also help respondents develop a true </w:t>
      </w:r>
      <w:r w:rsidR="001F51A0">
        <w:rPr>
          <w:rFonts w:ascii="Times New Roman" w:hAnsi="Times New Roman"/>
          <w:sz w:val="24"/>
          <w:szCs w:val="24"/>
        </w:rPr>
        <w:t>point estimate of the amount.</w:t>
      </w:r>
    </w:p>
    <w:p w:rsidR="004C7F3E" w:rsidRDefault="004C7F3E" w:rsidP="00111DDC">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1F51A0" w:rsidRDefault="001F51A0" w:rsidP="001F51A0">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More information regarding the changes for the income questi</w:t>
      </w:r>
      <w:r w:rsidR="006161A2">
        <w:rPr>
          <w:rFonts w:ascii="Times New Roman" w:hAnsi="Times New Roman"/>
          <w:sz w:val="24"/>
          <w:szCs w:val="24"/>
        </w:rPr>
        <w:t>ons can be found in Attachment J</w:t>
      </w:r>
      <w:r>
        <w:rPr>
          <w:rFonts w:ascii="Times New Roman" w:hAnsi="Times New Roman"/>
          <w:sz w:val="24"/>
          <w:szCs w:val="24"/>
        </w:rPr>
        <w:t>.</w:t>
      </w:r>
    </w:p>
    <w:p w:rsidR="001F51A0" w:rsidRDefault="001F51A0" w:rsidP="00111DDC">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1F51A0" w:rsidRDefault="00436918" w:rsidP="00111DDC">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The redesigned</w:t>
      </w:r>
      <w:r w:rsidR="001F51A0">
        <w:rPr>
          <w:rFonts w:ascii="Times New Roman" w:hAnsi="Times New Roman"/>
          <w:sz w:val="24"/>
          <w:szCs w:val="24"/>
        </w:rPr>
        <w:t xml:space="preserve"> heal</w:t>
      </w:r>
      <w:r>
        <w:rPr>
          <w:rFonts w:ascii="Times New Roman" w:hAnsi="Times New Roman"/>
          <w:sz w:val="24"/>
          <w:szCs w:val="24"/>
        </w:rPr>
        <w:t>th insurance coverage questi</w:t>
      </w:r>
      <w:r w:rsidR="002A6FD1">
        <w:rPr>
          <w:rFonts w:ascii="Times New Roman" w:hAnsi="Times New Roman"/>
          <w:sz w:val="24"/>
          <w:szCs w:val="24"/>
        </w:rPr>
        <w:t>ons address the following issues</w:t>
      </w:r>
      <w:r>
        <w:rPr>
          <w:rFonts w:ascii="Times New Roman" w:hAnsi="Times New Roman"/>
          <w:sz w:val="24"/>
          <w:szCs w:val="24"/>
        </w:rPr>
        <w:t>:</w:t>
      </w:r>
    </w:p>
    <w:p w:rsidR="00436918" w:rsidRDefault="00436918" w:rsidP="00111DDC">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436918" w:rsidRDefault="002A6FD1" w:rsidP="00436918">
      <w:pPr>
        <w:pStyle w:val="ListParagraph"/>
        <w:numPr>
          <w:ilvl w:val="0"/>
          <w:numId w:val="4"/>
        </w:numPr>
        <w:tabs>
          <w:tab w:val="left" w:pos="60"/>
          <w:tab w:val="left" w:pos="540"/>
          <w:tab w:val="left" w:pos="1020"/>
          <w:tab w:val="left" w:pos="1980"/>
          <w:tab w:val="left" w:pos="5814"/>
          <w:tab w:val="left" w:pos="8820"/>
          <w:tab w:val="right" w:pos="8940"/>
        </w:tabs>
        <w:rPr>
          <w:rFonts w:ascii="Times New Roman" w:hAnsi="Times New Roman"/>
          <w:sz w:val="24"/>
          <w:szCs w:val="24"/>
        </w:rPr>
      </w:pPr>
      <w:r>
        <w:rPr>
          <w:rFonts w:ascii="Times New Roman" w:hAnsi="Times New Roman"/>
          <w:i/>
          <w:sz w:val="24"/>
          <w:szCs w:val="24"/>
        </w:rPr>
        <w:t>Recall Issue</w:t>
      </w:r>
    </w:p>
    <w:p w:rsidR="00436918" w:rsidRDefault="00F00EBB" w:rsidP="00436918">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Providing data on calendar </w:t>
      </w:r>
      <w:r w:rsidR="00436918">
        <w:rPr>
          <w:rFonts w:ascii="Times New Roman" w:hAnsi="Times New Roman"/>
          <w:sz w:val="24"/>
          <w:szCs w:val="24"/>
        </w:rPr>
        <w:t>year health insurance is an ASEC goal.  However, a tendency of respondents is to ignore the calendar year reference period and instead report on their current status or their most recent spell of coverage.</w:t>
      </w:r>
      <w:r w:rsidR="000F34E4">
        <w:rPr>
          <w:rFonts w:ascii="Times New Roman" w:hAnsi="Times New Roman"/>
          <w:sz w:val="24"/>
          <w:szCs w:val="24"/>
        </w:rPr>
        <w:t xml:space="preserve">  Respondents with more recent coverage are more likely to report accurate data than those with coverage in the distant past.</w:t>
      </w:r>
    </w:p>
    <w:p w:rsidR="000F34E4" w:rsidRDefault="000F34E4" w:rsidP="00436918">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F00EBB" w:rsidRDefault="00F00EBB" w:rsidP="00436918">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Therefore, the 2014 ASEC</w:t>
      </w:r>
      <w:r w:rsidRPr="00AE4A26">
        <w:rPr>
          <w:rFonts w:ascii="Times New Roman" w:hAnsi="Times New Roman"/>
          <w:sz w:val="24"/>
          <w:szCs w:val="24"/>
        </w:rPr>
        <w:t xml:space="preserve"> take</w:t>
      </w:r>
      <w:r>
        <w:rPr>
          <w:rFonts w:ascii="Times New Roman" w:hAnsi="Times New Roman"/>
          <w:sz w:val="24"/>
          <w:szCs w:val="24"/>
        </w:rPr>
        <w:t>s</w:t>
      </w:r>
      <w:r w:rsidRPr="00AE4A26">
        <w:rPr>
          <w:rFonts w:ascii="Times New Roman" w:hAnsi="Times New Roman"/>
          <w:sz w:val="24"/>
          <w:szCs w:val="24"/>
        </w:rPr>
        <w:t xml:space="preserve"> a new approach to questions on time period of coverage.  First, </w:t>
      </w:r>
      <w:r w:rsidRPr="00AE4A26">
        <w:rPr>
          <w:rFonts w:ascii="Times New Roman" w:hAnsi="Times New Roman"/>
          <w:i/>
          <w:sz w:val="24"/>
          <w:szCs w:val="24"/>
        </w:rPr>
        <w:t>current</w:t>
      </w:r>
      <w:r w:rsidRPr="00AE4A26">
        <w:rPr>
          <w:rFonts w:ascii="Times New Roman" w:hAnsi="Times New Roman"/>
          <w:sz w:val="24"/>
          <w:szCs w:val="24"/>
        </w:rPr>
        <w:t xml:space="preserve"> coverage status is determined, since this tends to be more accurately reported than past coverage.  Then the duration of coverage is determined, at the month level, for the past calendar year</w:t>
      </w:r>
      <w:r>
        <w:rPr>
          <w:rFonts w:ascii="Times New Roman" w:hAnsi="Times New Roman"/>
          <w:sz w:val="24"/>
          <w:szCs w:val="24"/>
        </w:rPr>
        <w:t>.</w:t>
      </w:r>
      <w:r w:rsidR="00073054" w:rsidRPr="00073054">
        <w:rPr>
          <w:rFonts w:ascii="Times New Roman" w:eastAsia="Calibri" w:hAnsi="Times New Roman"/>
          <w:color w:val="000000"/>
          <w:sz w:val="24"/>
        </w:rPr>
        <w:t xml:space="preserve"> </w:t>
      </w:r>
      <w:r w:rsidR="00073054">
        <w:rPr>
          <w:rFonts w:ascii="Times New Roman" w:eastAsia="Calibri" w:hAnsi="Times New Roman"/>
          <w:color w:val="000000"/>
          <w:sz w:val="24"/>
        </w:rPr>
        <w:t xml:space="preserve"> T</w:t>
      </w:r>
      <w:r w:rsidR="00073054" w:rsidRPr="00073054">
        <w:rPr>
          <w:rFonts w:ascii="Times New Roman" w:hAnsi="Times New Roman"/>
          <w:sz w:val="24"/>
          <w:szCs w:val="24"/>
        </w:rPr>
        <w:t>he new questions on current status may be leveraged to serve as an anchor which may help elicit reports of past year coverage more accurately than the standard methodology</w:t>
      </w:r>
      <w:r w:rsidR="00073054">
        <w:rPr>
          <w:rFonts w:ascii="Times New Roman" w:hAnsi="Times New Roman"/>
          <w:sz w:val="24"/>
          <w:szCs w:val="24"/>
        </w:rPr>
        <w:t>.</w:t>
      </w:r>
    </w:p>
    <w:p w:rsidR="00F00EBB" w:rsidRDefault="00F00EBB" w:rsidP="00436918">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0F34E4" w:rsidRDefault="000F34E4" w:rsidP="00C235C2">
      <w:pPr>
        <w:pStyle w:val="ListParagraph"/>
        <w:keepNext/>
        <w:keepLines/>
        <w:numPr>
          <w:ilvl w:val="0"/>
          <w:numId w:val="4"/>
        </w:numPr>
        <w:tabs>
          <w:tab w:val="left" w:pos="60"/>
          <w:tab w:val="left" w:pos="540"/>
          <w:tab w:val="left" w:pos="1020"/>
          <w:tab w:val="left" w:pos="1980"/>
          <w:tab w:val="left" w:pos="5814"/>
          <w:tab w:val="left" w:pos="8820"/>
          <w:tab w:val="right" w:pos="8940"/>
        </w:tabs>
        <w:rPr>
          <w:rFonts w:ascii="Times New Roman" w:hAnsi="Times New Roman"/>
          <w:sz w:val="24"/>
          <w:szCs w:val="24"/>
        </w:rPr>
      </w:pPr>
      <w:r w:rsidRPr="00073054">
        <w:rPr>
          <w:rFonts w:ascii="Times New Roman" w:hAnsi="Times New Roman"/>
          <w:i/>
          <w:sz w:val="24"/>
          <w:szCs w:val="24"/>
        </w:rPr>
        <w:lastRenderedPageBreak/>
        <w:t>Respondent Fatigue</w:t>
      </w:r>
    </w:p>
    <w:p w:rsidR="000F34E4" w:rsidRDefault="00125F24" w:rsidP="00C235C2">
      <w:pPr>
        <w:pStyle w:val="ListParagraph"/>
        <w:keepNext/>
        <w:keepLines/>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The household-level questionnaire design has shown to incur under</w:t>
      </w:r>
      <w:r w:rsidR="00075EAA">
        <w:rPr>
          <w:rFonts w:ascii="Times New Roman" w:hAnsi="Times New Roman"/>
          <w:sz w:val="24"/>
          <w:szCs w:val="24"/>
        </w:rPr>
        <w:t>-</w:t>
      </w:r>
      <w:r>
        <w:rPr>
          <w:rFonts w:ascii="Times New Roman" w:hAnsi="Times New Roman"/>
          <w:sz w:val="24"/>
          <w:szCs w:val="24"/>
        </w:rPr>
        <w:t>reporting for certain household members, but moving to a person-level design lengthens the survey.</w:t>
      </w:r>
    </w:p>
    <w:p w:rsidR="00073054" w:rsidRDefault="00073054" w:rsidP="000F34E4">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073054" w:rsidRDefault="00073054" w:rsidP="000F34E4">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A </w:t>
      </w:r>
      <w:r w:rsidRPr="00AE4A26">
        <w:rPr>
          <w:rFonts w:ascii="Times New Roman" w:hAnsi="Times New Roman"/>
          <w:sz w:val="24"/>
          <w:szCs w:val="24"/>
        </w:rPr>
        <w:t>person/household level hybrid approach is</w:t>
      </w:r>
      <w:r>
        <w:rPr>
          <w:rFonts w:ascii="Times New Roman" w:hAnsi="Times New Roman"/>
          <w:sz w:val="24"/>
          <w:szCs w:val="24"/>
        </w:rPr>
        <w:t xml:space="preserve"> now</w:t>
      </w:r>
      <w:r w:rsidRPr="00AE4A26">
        <w:rPr>
          <w:rFonts w:ascii="Times New Roman" w:hAnsi="Times New Roman"/>
          <w:sz w:val="24"/>
          <w:szCs w:val="24"/>
        </w:rPr>
        <w:t xml:space="preserve"> used.  It begins by asking questions at the person level and if a particular plan type is identified, questions then determine if other members of the household are also covered by that same plan.  For each subsequent person on the roster, if they have previously been identified as having a certain plan of coverage, that coverage is simply verified and they are asked if they had any additional plans.  Persons not previously identified as having any coverage are asked the full set of coverage questions.</w:t>
      </w:r>
    </w:p>
    <w:p w:rsidR="00125F24" w:rsidRDefault="00125F24" w:rsidP="000F34E4">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125F24" w:rsidRDefault="002A6FD1" w:rsidP="00125F24">
      <w:pPr>
        <w:pStyle w:val="ListParagraph"/>
        <w:numPr>
          <w:ilvl w:val="0"/>
          <w:numId w:val="4"/>
        </w:numPr>
        <w:tabs>
          <w:tab w:val="left" w:pos="60"/>
          <w:tab w:val="left" w:pos="540"/>
          <w:tab w:val="left" w:pos="1020"/>
          <w:tab w:val="left" w:pos="1980"/>
          <w:tab w:val="left" w:pos="5814"/>
          <w:tab w:val="left" w:pos="8820"/>
          <w:tab w:val="right" w:pos="8940"/>
        </w:tabs>
        <w:rPr>
          <w:rFonts w:ascii="Times New Roman" w:hAnsi="Times New Roman"/>
          <w:sz w:val="24"/>
          <w:szCs w:val="24"/>
        </w:rPr>
      </w:pPr>
      <w:r>
        <w:rPr>
          <w:rFonts w:ascii="Times New Roman" w:hAnsi="Times New Roman"/>
          <w:i/>
          <w:sz w:val="24"/>
          <w:szCs w:val="24"/>
        </w:rPr>
        <w:t>Comprehension Issue</w:t>
      </w:r>
    </w:p>
    <w:p w:rsidR="00125F24" w:rsidRDefault="00125F24" w:rsidP="00125F24">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Health plans </w:t>
      </w:r>
      <w:r w:rsidR="00073054">
        <w:rPr>
          <w:rFonts w:ascii="Times New Roman" w:hAnsi="Times New Roman"/>
          <w:sz w:val="24"/>
          <w:szCs w:val="24"/>
        </w:rPr>
        <w:t>were previously</w:t>
      </w:r>
      <w:r>
        <w:rPr>
          <w:rFonts w:ascii="Times New Roman" w:hAnsi="Times New Roman"/>
          <w:sz w:val="24"/>
          <w:szCs w:val="24"/>
        </w:rPr>
        <w:t xml:space="preserve"> determined through a series of eight detailed questions on the source of coverage, which </w:t>
      </w:r>
      <w:r w:rsidR="00D025C9">
        <w:rPr>
          <w:rFonts w:ascii="Times New Roman" w:hAnsi="Times New Roman"/>
          <w:sz w:val="24"/>
          <w:szCs w:val="24"/>
        </w:rPr>
        <w:t>can</w:t>
      </w:r>
      <w:r>
        <w:rPr>
          <w:rFonts w:ascii="Times New Roman" w:hAnsi="Times New Roman"/>
          <w:sz w:val="24"/>
          <w:szCs w:val="24"/>
        </w:rPr>
        <w:t xml:space="preserve"> challenge</w:t>
      </w:r>
      <w:r w:rsidR="00D025C9">
        <w:rPr>
          <w:rFonts w:ascii="Times New Roman" w:hAnsi="Times New Roman"/>
          <w:sz w:val="24"/>
          <w:szCs w:val="24"/>
        </w:rPr>
        <w:t xml:space="preserve"> a</w:t>
      </w:r>
      <w:r>
        <w:rPr>
          <w:rFonts w:ascii="Times New Roman" w:hAnsi="Times New Roman"/>
          <w:sz w:val="24"/>
          <w:szCs w:val="24"/>
        </w:rPr>
        <w:t xml:space="preserve"> respondent</w:t>
      </w:r>
      <w:r w:rsidR="00D025C9">
        <w:rPr>
          <w:rFonts w:ascii="Times New Roman" w:hAnsi="Times New Roman"/>
          <w:sz w:val="24"/>
          <w:szCs w:val="24"/>
        </w:rPr>
        <w:t>’</w:t>
      </w:r>
      <w:r>
        <w:rPr>
          <w:rFonts w:ascii="Times New Roman" w:hAnsi="Times New Roman"/>
          <w:sz w:val="24"/>
          <w:szCs w:val="24"/>
        </w:rPr>
        <w:t>s limited knowledge of the complexity of health insurance plans and programs.</w:t>
      </w:r>
    </w:p>
    <w:p w:rsidR="00073054" w:rsidRDefault="00073054" w:rsidP="00125F24">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p>
    <w:p w:rsidR="00AE4A26" w:rsidRDefault="00073054" w:rsidP="009C7501">
      <w:pPr>
        <w:pStyle w:val="ListParagraph"/>
        <w:tabs>
          <w:tab w:val="left" w:pos="60"/>
          <w:tab w:val="left" w:pos="540"/>
          <w:tab w:val="left" w:pos="1020"/>
          <w:tab w:val="left" w:pos="1980"/>
          <w:tab w:val="left" w:pos="5814"/>
          <w:tab w:val="left" w:pos="8820"/>
          <w:tab w:val="right" w:pos="8940"/>
        </w:tabs>
        <w:ind w:left="2160"/>
        <w:rPr>
          <w:rFonts w:ascii="Times New Roman" w:hAnsi="Times New Roman"/>
          <w:sz w:val="24"/>
          <w:szCs w:val="24"/>
        </w:rPr>
      </w:pPr>
      <w:r>
        <w:rPr>
          <w:rFonts w:ascii="Times New Roman" w:hAnsi="Times New Roman"/>
          <w:sz w:val="24"/>
          <w:szCs w:val="24"/>
        </w:rPr>
        <w:t xml:space="preserve">To help reduce this type of error, the redesigned </w:t>
      </w:r>
      <w:r w:rsidR="009C7501">
        <w:rPr>
          <w:rFonts w:ascii="Times New Roman" w:hAnsi="Times New Roman"/>
          <w:sz w:val="24"/>
          <w:szCs w:val="24"/>
        </w:rPr>
        <w:t>ASEC</w:t>
      </w:r>
      <w:r w:rsidRPr="00073054">
        <w:rPr>
          <w:rFonts w:ascii="Times New Roman" w:eastAsia="Calibri" w:hAnsi="Times New Roman"/>
          <w:color w:val="000000"/>
          <w:sz w:val="24"/>
        </w:rPr>
        <w:t xml:space="preserve"> </w:t>
      </w:r>
      <w:r w:rsidRPr="00073054">
        <w:rPr>
          <w:rFonts w:ascii="Times New Roman" w:hAnsi="Times New Roman"/>
          <w:sz w:val="24"/>
          <w:szCs w:val="24"/>
        </w:rPr>
        <w:t>first ask</w:t>
      </w:r>
      <w:r w:rsidR="009C7501">
        <w:rPr>
          <w:rFonts w:ascii="Times New Roman" w:hAnsi="Times New Roman"/>
          <w:sz w:val="24"/>
          <w:szCs w:val="24"/>
        </w:rPr>
        <w:t>s</w:t>
      </w:r>
      <w:r w:rsidRPr="00073054">
        <w:rPr>
          <w:rFonts w:ascii="Times New Roman" w:hAnsi="Times New Roman"/>
          <w:sz w:val="24"/>
          <w:szCs w:val="24"/>
        </w:rPr>
        <w:t xml:space="preserve"> about any coverage at all, then identif</w:t>
      </w:r>
      <w:r w:rsidR="009C7501">
        <w:rPr>
          <w:rFonts w:ascii="Times New Roman" w:hAnsi="Times New Roman"/>
          <w:sz w:val="24"/>
          <w:szCs w:val="24"/>
        </w:rPr>
        <w:t>ies</w:t>
      </w:r>
      <w:r>
        <w:rPr>
          <w:rFonts w:ascii="Times New Roman" w:hAnsi="Times New Roman"/>
          <w:sz w:val="24"/>
          <w:szCs w:val="24"/>
        </w:rPr>
        <w:t xml:space="preserve"> a</w:t>
      </w:r>
      <w:r w:rsidRPr="00073054">
        <w:rPr>
          <w:rFonts w:ascii="Times New Roman" w:hAnsi="Times New Roman"/>
          <w:sz w:val="24"/>
          <w:szCs w:val="24"/>
        </w:rPr>
        <w:t xml:space="preserve"> general source (</w:t>
      </w:r>
      <w:r>
        <w:rPr>
          <w:rFonts w:ascii="Times New Roman" w:hAnsi="Times New Roman"/>
          <w:sz w:val="24"/>
          <w:szCs w:val="24"/>
        </w:rPr>
        <w:t xml:space="preserve">e.g., </w:t>
      </w:r>
      <w:r w:rsidRPr="00073054">
        <w:rPr>
          <w:rFonts w:ascii="Times New Roman" w:hAnsi="Times New Roman"/>
          <w:sz w:val="24"/>
          <w:szCs w:val="24"/>
        </w:rPr>
        <w:t>job, government</w:t>
      </w:r>
      <w:r>
        <w:rPr>
          <w:rFonts w:ascii="Times New Roman" w:hAnsi="Times New Roman"/>
          <w:sz w:val="24"/>
          <w:szCs w:val="24"/>
        </w:rPr>
        <w:t>,</w:t>
      </w:r>
      <w:r w:rsidRPr="00073054">
        <w:rPr>
          <w:rFonts w:ascii="Times New Roman" w:hAnsi="Times New Roman"/>
          <w:sz w:val="24"/>
          <w:szCs w:val="24"/>
        </w:rPr>
        <w:t xml:space="preserve"> or some other way)</w:t>
      </w:r>
      <w:r w:rsidR="009C7501">
        <w:rPr>
          <w:rFonts w:ascii="Times New Roman" w:hAnsi="Times New Roman"/>
          <w:sz w:val="24"/>
          <w:szCs w:val="24"/>
        </w:rPr>
        <w:t>,</w:t>
      </w:r>
      <w:r w:rsidRPr="00073054">
        <w:rPr>
          <w:rFonts w:ascii="Times New Roman" w:hAnsi="Times New Roman"/>
          <w:sz w:val="24"/>
          <w:szCs w:val="24"/>
        </w:rPr>
        <w:t xml:space="preserve"> and then follow</w:t>
      </w:r>
      <w:r w:rsidR="009C7501">
        <w:rPr>
          <w:rFonts w:ascii="Times New Roman" w:hAnsi="Times New Roman"/>
          <w:sz w:val="24"/>
          <w:szCs w:val="24"/>
        </w:rPr>
        <w:t>s</w:t>
      </w:r>
      <w:r w:rsidRPr="00073054">
        <w:rPr>
          <w:rFonts w:ascii="Times New Roman" w:hAnsi="Times New Roman"/>
          <w:sz w:val="24"/>
          <w:szCs w:val="24"/>
        </w:rPr>
        <w:t xml:space="preserve"> up with tailored questions to elicit the necessary detail.</w:t>
      </w:r>
    </w:p>
    <w:p w:rsidR="00AE4A26" w:rsidRDefault="00AE4A26" w:rsidP="003E57AE">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3E57AE" w:rsidRDefault="003E57AE" w:rsidP="003E57AE">
      <w:pPr>
        <w:tabs>
          <w:tab w:val="left" w:pos="60"/>
          <w:tab w:val="left" w:pos="540"/>
          <w:tab w:val="left" w:pos="1020"/>
          <w:tab w:val="left" w:pos="1980"/>
          <w:tab w:val="left" w:pos="5814"/>
          <w:tab w:val="left" w:pos="8820"/>
          <w:tab w:val="right" w:pos="8940"/>
        </w:tabs>
        <w:ind w:left="1440"/>
        <w:rPr>
          <w:rFonts w:ascii="Times New Roman" w:hAnsi="Times New Roman"/>
          <w:sz w:val="24"/>
          <w:szCs w:val="24"/>
        </w:rPr>
      </w:pPr>
      <w:r>
        <w:rPr>
          <w:rFonts w:ascii="Times New Roman" w:hAnsi="Times New Roman"/>
          <w:sz w:val="24"/>
          <w:szCs w:val="24"/>
        </w:rPr>
        <w:t>More information regarding the changes for the health insurance coverage questions can be found in Attachment L.</w:t>
      </w:r>
    </w:p>
    <w:p w:rsidR="00AA6E54" w:rsidRPr="00436918" w:rsidRDefault="00AA6E54" w:rsidP="003E57AE">
      <w:pPr>
        <w:pStyle w:val="ListParagraph"/>
        <w:tabs>
          <w:tab w:val="left" w:pos="60"/>
          <w:tab w:val="left" w:pos="540"/>
          <w:tab w:val="left" w:pos="1020"/>
          <w:tab w:val="left" w:pos="1980"/>
          <w:tab w:val="left" w:pos="5814"/>
          <w:tab w:val="left" w:pos="8820"/>
          <w:tab w:val="right" w:pos="8940"/>
        </w:tabs>
        <w:ind w:left="1440"/>
        <w:rPr>
          <w:rFonts w:ascii="Times New Roman" w:hAnsi="Times New Roman"/>
          <w:sz w:val="24"/>
          <w:szCs w:val="24"/>
        </w:rPr>
      </w:pPr>
    </w:p>
    <w:p w:rsidR="004C7F3E" w:rsidRDefault="004C7F3E" w:rsidP="002A6FD1">
      <w:pPr>
        <w:pStyle w:val="BodyTextIndent"/>
        <w:ind w:left="1440"/>
      </w:pPr>
      <w:r>
        <w:t>Before implementing the changes to the ASEC, the Census Bureau conducted a 2013 ASEC Redesign Test.  The pr</w:t>
      </w:r>
      <w:r w:rsidR="00392AAE">
        <w:t>imary objectives of the t</w:t>
      </w:r>
      <w:r>
        <w:t xml:space="preserve">est are to </w:t>
      </w:r>
      <w:r w:rsidR="00392AAE">
        <w:t>evaluate</w:t>
      </w:r>
      <w:r>
        <w:t xml:space="preserve"> whether changes to question wording, response categories, and redefinition of underlying constructs improve the quality of data collected.  The initial stages of the Test consisted of content determination, cognitive laboratory pretesting, and expert reviews for the purpose of developing alternate versions of question content</w:t>
      </w:r>
      <w:r w:rsidR="00392AAE">
        <w:t>, which are described earlier within this Question</w:t>
      </w:r>
      <w:r>
        <w:t>.</w:t>
      </w:r>
      <w:r w:rsidR="00392AAE">
        <w:t xml:space="preserve">  The field test portion was</w:t>
      </w:r>
      <w:r>
        <w:t xml:space="preserve"> largely based on the data collection methodology changes suggested by </w:t>
      </w:r>
      <w:proofErr w:type="spellStart"/>
      <w:r>
        <w:t>Westat</w:t>
      </w:r>
      <w:proofErr w:type="spellEnd"/>
      <w:r>
        <w:t xml:space="preserve"> as</w:t>
      </w:r>
      <w:r w:rsidR="00392AAE">
        <w:t xml:space="preserve"> presented in the</w:t>
      </w:r>
      <w:r>
        <w:t xml:space="preserve"> </w:t>
      </w:r>
      <w:r w:rsidR="00392AAE">
        <w:t xml:space="preserve">attached </w:t>
      </w:r>
      <w:r w:rsidRPr="001D7EDE">
        <w:t xml:space="preserve">report </w:t>
      </w:r>
      <w:r w:rsidR="00392AAE">
        <w:t>(Attachment J).  The report justifies the</w:t>
      </w:r>
      <w:r w:rsidRPr="001D7EDE">
        <w:t xml:space="preserve"> changes </w:t>
      </w:r>
      <w:r w:rsidR="00392AAE">
        <w:t xml:space="preserve">made </w:t>
      </w:r>
      <w:r w:rsidR="00F76F7B">
        <w:t xml:space="preserve">to ASEC </w:t>
      </w:r>
      <w:r w:rsidRPr="001D7EDE">
        <w:t>questions</w:t>
      </w:r>
      <w:r w:rsidR="00F76F7B">
        <w:t>, among them being</w:t>
      </w:r>
      <w:r w:rsidRPr="001D7EDE">
        <w:t xml:space="preserve"> to correct </w:t>
      </w:r>
      <w:r w:rsidR="00F76F7B">
        <w:t xml:space="preserve">under-reporting of various sources of </w:t>
      </w:r>
      <w:r w:rsidRPr="001D7EDE">
        <w:t>inco</w:t>
      </w:r>
      <w:r w:rsidR="00F76F7B">
        <w:t xml:space="preserve">me, </w:t>
      </w:r>
      <w:r w:rsidRPr="001D7EDE">
        <w:t>based on cognitive interviews they conducted.</w:t>
      </w:r>
      <w:r>
        <w:t xml:space="preserve">  </w:t>
      </w:r>
    </w:p>
    <w:p w:rsidR="004C7F3E" w:rsidRDefault="00F76F7B" w:rsidP="004C7F3E">
      <w:pPr>
        <w:pStyle w:val="BodyTextIndent"/>
        <w:ind w:left="1440"/>
      </w:pPr>
      <w:r>
        <w:t xml:space="preserve">The Redesign field test </w:t>
      </w:r>
      <w:r w:rsidR="004C7F3E">
        <w:t>consist</w:t>
      </w:r>
      <w:r>
        <w:t>ed of</w:t>
      </w:r>
      <w:r w:rsidR="004C7F3E">
        <w:t xml:space="preserve"> t</w:t>
      </w:r>
      <w:r>
        <w:t xml:space="preserve">wo panels – a </w:t>
      </w:r>
      <w:r w:rsidR="004C7F3E">
        <w:t>control panel and test panel.  Th</w:t>
      </w:r>
      <w:r>
        <w:t xml:space="preserve">e test panel </w:t>
      </w:r>
      <w:r w:rsidR="004C7F3E">
        <w:t>consist</w:t>
      </w:r>
      <w:r>
        <w:t>ed</w:t>
      </w:r>
      <w:r w:rsidR="004C7F3E">
        <w:t xml:space="preserve"> of retired CPS sample</w:t>
      </w:r>
      <w:r>
        <w:t xml:space="preserve"> and </w:t>
      </w:r>
      <w:r w:rsidR="004C7F3E">
        <w:t>receive</w:t>
      </w:r>
      <w:r>
        <w:t>d</w:t>
      </w:r>
      <w:r w:rsidR="004C7F3E">
        <w:t xml:space="preserve"> the redesigned ASEC instrument.</w:t>
      </w:r>
      <w:r w:rsidR="00D14974">
        <w:t xml:space="preserve">  The control panel </w:t>
      </w:r>
      <w:r w:rsidR="004C7F3E">
        <w:t>receive</w:t>
      </w:r>
      <w:r w:rsidR="00D14974">
        <w:t>d the traditional questions from</w:t>
      </w:r>
      <w:r w:rsidR="004C7F3E">
        <w:t xml:space="preserve"> the </w:t>
      </w:r>
      <w:r w:rsidR="00D14974">
        <w:t xml:space="preserve">regular </w:t>
      </w:r>
      <w:r w:rsidR="004C7F3E">
        <w:t>production ASEC.</w:t>
      </w:r>
    </w:p>
    <w:p w:rsidR="004C7F3E" w:rsidRDefault="004C7F3E" w:rsidP="004C7F3E">
      <w:pPr>
        <w:pStyle w:val="BodyTextIndent"/>
        <w:ind w:left="1440"/>
      </w:pPr>
      <w:r>
        <w:t>The ASEC Redesign Test and the production A</w:t>
      </w:r>
      <w:r w:rsidR="00D14974">
        <w:t xml:space="preserve">SEC </w:t>
      </w:r>
      <w:r>
        <w:t>differ</w:t>
      </w:r>
      <w:r w:rsidR="00D14974">
        <w:t>ed</w:t>
      </w:r>
      <w:r>
        <w:t xml:space="preserve"> in that the T</w:t>
      </w:r>
      <w:r w:rsidR="00D14974">
        <w:t xml:space="preserve">est only used telephone interviewers from centralized telephone facilities; it did not include field interviewers nor did it include </w:t>
      </w:r>
      <w:r>
        <w:t>follow-up</w:t>
      </w:r>
      <w:r w:rsidR="00D14974">
        <w:t>s</w:t>
      </w:r>
      <w:r>
        <w:t xml:space="preserve"> for </w:t>
      </w:r>
      <w:proofErr w:type="spellStart"/>
      <w:r>
        <w:t>noninterviews</w:t>
      </w:r>
      <w:proofErr w:type="spellEnd"/>
      <w:r>
        <w:t xml:space="preserve">.  </w:t>
      </w:r>
      <w:r w:rsidR="006161A2">
        <w:t>Attachment K</w:t>
      </w:r>
      <w:r w:rsidR="00D14974">
        <w:t xml:space="preserve"> </w:t>
      </w:r>
      <w:r w:rsidR="004D4C48">
        <w:lastRenderedPageBreak/>
        <w:t>describes the methodology, sample design, and research questions included in the Test, as well as decision criteria upon whic</w:t>
      </w:r>
      <w:r w:rsidR="00746842">
        <w:t>h final determinations were</w:t>
      </w:r>
      <w:r w:rsidR="0059082D">
        <w:t xml:space="preserve"> made regarding the questionnaire content.</w:t>
      </w:r>
    </w:p>
    <w:p w:rsidR="00DC4F91" w:rsidRDefault="00DC4F91">
      <w:pPr>
        <w:tabs>
          <w:tab w:val="left" w:pos="60"/>
          <w:tab w:val="left" w:pos="540"/>
          <w:tab w:val="left" w:pos="1020"/>
          <w:tab w:val="left" w:pos="1500"/>
          <w:tab w:val="left" w:pos="1980"/>
          <w:tab w:val="left" w:pos="5814"/>
          <w:tab w:val="left" w:pos="8820"/>
          <w:tab w:val="right" w:pos="8940"/>
        </w:tabs>
        <w:ind w:left="1500" w:hanging="450"/>
        <w:rPr>
          <w:rFonts w:ascii="Times New Roman" w:hAnsi="Times New Roman"/>
          <w:b/>
          <w:bCs/>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hanging="450"/>
        <w:rPr>
          <w:rFonts w:ascii="Times New Roman" w:hAnsi="Times New Roman"/>
          <w:sz w:val="24"/>
          <w:szCs w:val="24"/>
        </w:rPr>
      </w:pPr>
      <w:r>
        <w:rPr>
          <w:rFonts w:ascii="Times New Roman" w:hAnsi="Times New Roman"/>
          <w:b/>
          <w:bCs/>
          <w:sz w:val="24"/>
          <w:szCs w:val="24"/>
        </w:rPr>
        <w:t xml:space="preserve">Question 5.   </w:t>
      </w:r>
      <w:r>
        <w:rPr>
          <w:rFonts w:ascii="Times New Roman" w:hAnsi="Times New Roman"/>
          <w:b/>
          <w:bCs/>
          <w:sz w:val="24"/>
          <w:szCs w:val="24"/>
          <w:u w:val="single"/>
        </w:rPr>
        <w:t>Contacts for Statistical Aspects and Data Collection</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The following individuals may be contacted on the statistical, data collection, and analysis operations:</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Statistical Collection Operations:</w:t>
      </w: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Lisa A. Clement</w:t>
      </w:r>
    </w:p>
    <w:p w:rsidR="00DC4F91" w:rsidRDefault="00AE1712">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Survey Director,</w:t>
      </w:r>
      <w:r w:rsidR="006161A2">
        <w:rPr>
          <w:rFonts w:ascii="Times New Roman" w:hAnsi="Times New Roman"/>
          <w:sz w:val="24"/>
          <w:szCs w:val="24"/>
        </w:rPr>
        <w:t xml:space="preserve"> Current Population and American Time Use Survey</w:t>
      </w:r>
      <w:r w:rsidR="00075EAA">
        <w:rPr>
          <w:rFonts w:ascii="Times New Roman" w:hAnsi="Times New Roman"/>
          <w:sz w:val="24"/>
          <w:szCs w:val="24"/>
        </w:rPr>
        <w:t>s</w:t>
      </w:r>
    </w:p>
    <w:p w:rsidR="00AE1712" w:rsidRDefault="008A3CC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 xml:space="preserve">Office of the </w:t>
      </w:r>
      <w:r w:rsidR="00AE1712">
        <w:rPr>
          <w:rFonts w:ascii="Times New Roman" w:hAnsi="Times New Roman"/>
          <w:sz w:val="24"/>
          <w:szCs w:val="24"/>
        </w:rPr>
        <w:t>Associate Director</w:t>
      </w:r>
      <w:r>
        <w:rPr>
          <w:rFonts w:ascii="Times New Roman" w:hAnsi="Times New Roman"/>
          <w:sz w:val="24"/>
          <w:szCs w:val="24"/>
        </w:rPr>
        <w:t xml:space="preserve"> for</w:t>
      </w:r>
      <w:r w:rsidR="00AE1712">
        <w:rPr>
          <w:rFonts w:ascii="Times New Roman" w:hAnsi="Times New Roman"/>
          <w:sz w:val="24"/>
          <w:szCs w:val="24"/>
        </w:rPr>
        <w:t xml:space="preserve"> Demographic Programs</w:t>
      </w: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U.S. Census Bureau</w:t>
      </w: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Washington, DC  20233-8400</w:t>
      </w:r>
    </w:p>
    <w:p w:rsidR="00DC4F91" w:rsidRDefault="00DC4F91">
      <w:pPr>
        <w:tabs>
          <w:tab w:val="left" w:pos="60"/>
          <w:tab w:val="left" w:pos="540"/>
          <w:tab w:val="left" w:pos="1020"/>
          <w:tab w:val="left" w:pos="1500"/>
          <w:tab w:val="left" w:pos="1980"/>
          <w:tab w:val="left" w:pos="5814"/>
          <w:tab w:val="left" w:pos="8820"/>
          <w:tab w:val="right" w:pos="8940"/>
        </w:tabs>
        <w:ind w:left="1500" w:firstLine="30"/>
        <w:rPr>
          <w:rFonts w:ascii="Times New Roman" w:hAnsi="Times New Roman"/>
          <w:sz w:val="24"/>
          <w:szCs w:val="24"/>
        </w:rPr>
      </w:pPr>
      <w:r>
        <w:rPr>
          <w:rFonts w:ascii="Times New Roman" w:hAnsi="Times New Roman"/>
          <w:sz w:val="24"/>
          <w:szCs w:val="24"/>
        </w:rPr>
        <w:t>(301) 763-3806</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Survey Content:</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Edward J. </w:t>
      </w:r>
      <w:proofErr w:type="spellStart"/>
      <w:r>
        <w:rPr>
          <w:rFonts w:ascii="Times New Roman" w:hAnsi="Times New Roman"/>
          <w:sz w:val="24"/>
          <w:szCs w:val="24"/>
        </w:rPr>
        <w:t>Welniak</w:t>
      </w:r>
      <w:proofErr w:type="spellEnd"/>
      <w:r>
        <w:rPr>
          <w:rFonts w:ascii="Times New Roman" w:hAnsi="Times New Roman"/>
          <w:sz w:val="24"/>
          <w:szCs w:val="24"/>
        </w:rPr>
        <w:t>, Jr.</w:t>
      </w:r>
    </w:p>
    <w:p w:rsidR="00DC4F91" w:rsidRDefault="00AE1712">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22EEF">
        <w:rPr>
          <w:rFonts w:ascii="Times New Roman" w:hAnsi="Times New Roman"/>
          <w:sz w:val="24"/>
          <w:szCs w:val="24"/>
        </w:rPr>
        <w:t>Social, Economic, and Household</w:t>
      </w:r>
      <w:r>
        <w:rPr>
          <w:rFonts w:ascii="Times New Roman" w:hAnsi="Times New Roman"/>
          <w:sz w:val="24"/>
          <w:szCs w:val="24"/>
        </w:rPr>
        <w:t xml:space="preserve"> </w:t>
      </w:r>
      <w:r w:rsidR="00622EEF">
        <w:rPr>
          <w:rFonts w:ascii="Times New Roman" w:hAnsi="Times New Roman"/>
          <w:sz w:val="24"/>
          <w:szCs w:val="24"/>
        </w:rPr>
        <w:t>Statistics Division</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U.S. Census Bureau</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Washington, DC 20233-8500</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(301) 763-5533</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r>
        <w:rPr>
          <w:rFonts w:ascii="Times New Roman" w:hAnsi="Times New Roman"/>
          <w:sz w:val="24"/>
          <w:szCs w:val="24"/>
        </w:rPr>
        <w:t>List of Attachments:</w:t>
      </w:r>
    </w:p>
    <w:p w:rsidR="00DC4F91" w:rsidRDefault="00DC4F91">
      <w:pPr>
        <w:tabs>
          <w:tab w:val="left" w:pos="60"/>
          <w:tab w:val="left" w:pos="540"/>
          <w:tab w:val="left" w:pos="1020"/>
          <w:tab w:val="left" w:pos="1500"/>
          <w:tab w:val="left" w:pos="1980"/>
          <w:tab w:val="left" w:pos="5814"/>
          <w:tab w:val="left" w:pos="8820"/>
          <w:tab w:val="right" w:pos="8940"/>
        </w:tabs>
        <w:ind w:left="540" w:firstLine="30"/>
        <w:rPr>
          <w:rFonts w:ascii="Times New Roman" w:hAnsi="Times New Roman"/>
          <w:sz w:val="24"/>
          <w:szCs w:val="24"/>
        </w:rPr>
      </w:pP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ASEC Questionnaire</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Overview of CPS Sample Design and Methodology</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Source and Accuracy Statement</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CPS-263(MIS-1</w:t>
      </w:r>
      <w:proofErr w:type="gramStart"/>
      <w:r w:rsidR="00DC4F91">
        <w:rPr>
          <w:rFonts w:ascii="Times New Roman" w:hAnsi="Times New Roman"/>
          <w:sz w:val="24"/>
          <w:szCs w:val="24"/>
        </w:rPr>
        <w:t>)(</w:t>
      </w:r>
      <w:proofErr w:type="gramEnd"/>
      <w:r w:rsidR="00DC4F91">
        <w:rPr>
          <w:rFonts w:ascii="Times New Roman" w:hAnsi="Times New Roman"/>
          <w:sz w:val="24"/>
          <w:szCs w:val="24"/>
        </w:rPr>
        <w:t>L), CPS Respondent Letter</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Confidentiality Brochure</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CPS-580(ASEC</w:t>
      </w:r>
      <w:proofErr w:type="gramStart"/>
      <w:r w:rsidR="00DC4F91">
        <w:rPr>
          <w:rFonts w:ascii="Times New Roman" w:hAnsi="Times New Roman"/>
          <w:sz w:val="24"/>
          <w:szCs w:val="24"/>
        </w:rPr>
        <w:t>)(</w:t>
      </w:r>
      <w:proofErr w:type="gramEnd"/>
      <w:r w:rsidR="00DC4F91">
        <w:rPr>
          <w:rFonts w:ascii="Times New Roman" w:hAnsi="Times New Roman"/>
          <w:sz w:val="24"/>
          <w:szCs w:val="24"/>
        </w:rPr>
        <w:t>L), ASEC Respondent Letter</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CPS-580(L</w:t>
      </w:r>
      <w:proofErr w:type="gramStart"/>
      <w:r w:rsidR="00DC4F91">
        <w:rPr>
          <w:rFonts w:ascii="Times New Roman" w:hAnsi="Times New Roman"/>
          <w:sz w:val="24"/>
          <w:szCs w:val="24"/>
        </w:rPr>
        <w:t>)SP</w:t>
      </w:r>
      <w:proofErr w:type="gramEnd"/>
      <w:r w:rsidR="00DC4F91">
        <w:rPr>
          <w:rFonts w:ascii="Times New Roman" w:hAnsi="Times New Roman"/>
          <w:sz w:val="24"/>
          <w:szCs w:val="24"/>
        </w:rPr>
        <w:t>, ASEC Respondent Letter in Spanish</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CPS-676, "Changing Situation" Pamphlet</w:t>
      </w:r>
    </w:p>
    <w:p w:rsidR="00DC4F91" w:rsidRDefault="002A53A1" w:rsidP="002A53A1">
      <w:pPr>
        <w:tabs>
          <w:tab w:val="right" w:pos="900"/>
          <w:tab w:val="left" w:pos="990"/>
        </w:tabs>
        <w:ind w:left="54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 </w:t>
      </w:r>
      <w:r>
        <w:rPr>
          <w:rFonts w:ascii="Times New Roman" w:hAnsi="Times New Roman"/>
          <w:sz w:val="24"/>
          <w:szCs w:val="24"/>
        </w:rPr>
        <w:tab/>
      </w:r>
      <w:r w:rsidR="00DC4F91">
        <w:rPr>
          <w:rFonts w:ascii="Times New Roman" w:hAnsi="Times New Roman"/>
          <w:sz w:val="24"/>
          <w:szCs w:val="24"/>
        </w:rPr>
        <w:t>CPS-676(SP), "Changing Situation" Pamphlet in Spanish</w:t>
      </w:r>
    </w:p>
    <w:p w:rsidR="00622EEF" w:rsidRDefault="00AE4A26" w:rsidP="002A53A1">
      <w:pPr>
        <w:tabs>
          <w:tab w:val="right" w:pos="900"/>
          <w:tab w:val="left" w:pos="990"/>
        </w:tabs>
        <w:ind w:left="540"/>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r>
      <w:r w:rsidR="00622EEF">
        <w:rPr>
          <w:rFonts w:ascii="Times New Roman" w:hAnsi="Times New Roman"/>
          <w:sz w:val="24"/>
          <w:szCs w:val="24"/>
        </w:rPr>
        <w:t>-</w:t>
      </w:r>
      <w:r>
        <w:rPr>
          <w:rFonts w:ascii="Times New Roman" w:hAnsi="Times New Roman"/>
          <w:sz w:val="24"/>
          <w:szCs w:val="24"/>
        </w:rPr>
        <w:tab/>
      </w:r>
      <w:r w:rsidR="00622EEF">
        <w:rPr>
          <w:rFonts w:ascii="Times New Roman" w:hAnsi="Times New Roman"/>
          <w:sz w:val="24"/>
          <w:szCs w:val="24"/>
        </w:rPr>
        <w:t>Cognitive Testing of Potential Changes to the ASEC</w:t>
      </w:r>
    </w:p>
    <w:p w:rsidR="00622EEF" w:rsidRDefault="00AE4A26" w:rsidP="002A53A1">
      <w:pPr>
        <w:tabs>
          <w:tab w:val="right" w:pos="900"/>
          <w:tab w:val="left" w:pos="990"/>
        </w:tabs>
        <w:ind w:left="540"/>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w:t>
      </w:r>
      <w:r>
        <w:rPr>
          <w:rFonts w:ascii="Times New Roman" w:hAnsi="Times New Roman"/>
          <w:sz w:val="24"/>
          <w:szCs w:val="24"/>
        </w:rPr>
        <w:tab/>
      </w:r>
      <w:r w:rsidR="002B6975">
        <w:rPr>
          <w:rFonts w:ascii="Times New Roman" w:hAnsi="Times New Roman"/>
          <w:sz w:val="24"/>
          <w:szCs w:val="24"/>
        </w:rPr>
        <w:t xml:space="preserve">ASEC </w:t>
      </w:r>
      <w:r w:rsidR="00E244F9">
        <w:rPr>
          <w:rFonts w:ascii="Times New Roman" w:hAnsi="Times New Roman"/>
          <w:sz w:val="24"/>
          <w:szCs w:val="24"/>
        </w:rPr>
        <w:t xml:space="preserve">2013 Redesign Test Results </w:t>
      </w:r>
    </w:p>
    <w:p w:rsidR="00B11C86" w:rsidRDefault="00AE4A26" w:rsidP="002A53A1">
      <w:pPr>
        <w:tabs>
          <w:tab w:val="right" w:pos="900"/>
          <w:tab w:val="left" w:pos="990"/>
        </w:tabs>
        <w:ind w:left="540"/>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r>
      <w:r w:rsidR="00B11C86">
        <w:rPr>
          <w:rFonts w:ascii="Times New Roman" w:hAnsi="Times New Roman"/>
          <w:sz w:val="24"/>
          <w:szCs w:val="24"/>
        </w:rPr>
        <w:t>-</w:t>
      </w:r>
      <w:r>
        <w:rPr>
          <w:rFonts w:ascii="Times New Roman" w:hAnsi="Times New Roman"/>
          <w:sz w:val="24"/>
          <w:szCs w:val="24"/>
        </w:rPr>
        <w:tab/>
      </w:r>
      <w:r w:rsidR="002B6975">
        <w:rPr>
          <w:rFonts w:ascii="Times New Roman" w:hAnsi="Times New Roman"/>
          <w:sz w:val="24"/>
          <w:szCs w:val="24"/>
        </w:rPr>
        <w:t>Findings from a Field Test Experiment on a New Approach</w:t>
      </w:r>
    </w:p>
    <w:p w:rsidR="00822916" w:rsidRDefault="00822916" w:rsidP="002A53A1">
      <w:pPr>
        <w:tabs>
          <w:tab w:val="right" w:pos="900"/>
          <w:tab w:val="left" w:pos="990"/>
        </w:tabs>
        <w:ind w:left="540"/>
        <w:rPr>
          <w:rFonts w:ascii="Times New Roman" w:hAnsi="Times New Roman"/>
          <w:sz w:val="24"/>
          <w:szCs w:val="24"/>
        </w:rPr>
      </w:pPr>
      <w:r>
        <w:rPr>
          <w:rFonts w:ascii="Times New Roman" w:hAnsi="Times New Roman"/>
          <w:sz w:val="24"/>
          <w:szCs w:val="24"/>
        </w:rPr>
        <w:t>M – Health Insurance in the Current Population Survey</w:t>
      </w:r>
    </w:p>
    <w:p w:rsidR="00DC4F91" w:rsidRDefault="00DC4F91">
      <w:pPr>
        <w:tabs>
          <w:tab w:val="left" w:pos="60"/>
          <w:tab w:val="left" w:pos="540"/>
          <w:tab w:val="left" w:pos="1020"/>
          <w:tab w:val="left" w:pos="1500"/>
          <w:tab w:val="left" w:pos="1980"/>
          <w:tab w:val="left" w:pos="5814"/>
          <w:tab w:val="left" w:pos="8820"/>
          <w:tab w:val="right" w:pos="8940"/>
        </w:tabs>
        <w:ind w:left="540" w:firstLine="30"/>
      </w:pPr>
    </w:p>
    <w:sectPr w:rsidR="00DC4F91">
      <w:headerReference w:type="default" r:id="rId9"/>
      <w:footnotePr>
        <w:numRestart w:val="eachPage"/>
      </w:footnotePr>
      <w:endnotePr>
        <w:numFmt w:val="decimal"/>
      </w:endnotePr>
      <w:type w:val="continuous"/>
      <w:pgSz w:w="12240" w:h="15840"/>
      <w:pgMar w:top="1440" w:right="1320" w:bottom="108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C9" w:rsidRDefault="00D025C9">
      <w:r>
        <w:separator/>
      </w:r>
    </w:p>
  </w:endnote>
  <w:endnote w:type="continuationSeparator" w:id="0">
    <w:p w:rsidR="00D025C9" w:rsidRDefault="00D0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C9" w:rsidRDefault="00D025C9">
      <w:r>
        <w:separator/>
      </w:r>
    </w:p>
  </w:footnote>
  <w:footnote w:type="continuationSeparator" w:id="0">
    <w:p w:rsidR="00D025C9" w:rsidRDefault="00D02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C9" w:rsidRDefault="00D025C9">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9</w:t>
    </w:r>
    <w:r>
      <w:rPr>
        <w:rFonts w:ascii="Times New Roman" w:hAnsi="Times New Roman"/>
        <w:sz w:val="24"/>
        <w:szCs w:val="24"/>
      </w:rPr>
      <w:fldChar w:fldCharType="end"/>
    </w:r>
  </w:p>
  <w:p w:rsidR="00D025C9" w:rsidRDefault="00D025C9">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C9" w:rsidRDefault="00D025C9">
    <w:pPr>
      <w:framePr w:wrap="notBeside" w:hAnchor="text" w:xAlign="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9745D">
      <w:rPr>
        <w:rFonts w:ascii="Times New Roman" w:hAnsi="Times New Roman"/>
        <w:noProof/>
        <w:sz w:val="24"/>
        <w:szCs w:val="24"/>
      </w:rPr>
      <w:t>5</w:t>
    </w:r>
    <w:r>
      <w:rPr>
        <w:rFonts w:ascii="Times New Roman" w:hAnsi="Times New Roman"/>
        <w:sz w:val="24"/>
        <w:szCs w:val="24"/>
      </w:rPr>
      <w:fldChar w:fldCharType="end"/>
    </w:r>
  </w:p>
  <w:p w:rsidR="00D025C9" w:rsidRDefault="00D025C9">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98C"/>
    <w:multiLevelType w:val="hybridMultilevel"/>
    <w:tmpl w:val="55CCCA9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2380F9B"/>
    <w:multiLevelType w:val="hybridMultilevel"/>
    <w:tmpl w:val="5B006B2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0114AC1"/>
    <w:multiLevelType w:val="hybridMultilevel"/>
    <w:tmpl w:val="1E32C5F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C3C0B1B"/>
    <w:multiLevelType w:val="hybridMultilevel"/>
    <w:tmpl w:val="707E11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7A527AB0"/>
    <w:multiLevelType w:val="hybridMultilevel"/>
    <w:tmpl w:val="840661E0"/>
    <w:lvl w:ilvl="0" w:tplc="54467C64">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774CC"/>
    <w:rsid w:val="00073054"/>
    <w:rsid w:val="00075EAA"/>
    <w:rsid w:val="000D21D3"/>
    <w:rsid w:val="000F34E4"/>
    <w:rsid w:val="00110DFA"/>
    <w:rsid w:val="00111DDC"/>
    <w:rsid w:val="0011680F"/>
    <w:rsid w:val="00125F24"/>
    <w:rsid w:val="00155999"/>
    <w:rsid w:val="00161D3E"/>
    <w:rsid w:val="001B117F"/>
    <w:rsid w:val="001F51A0"/>
    <w:rsid w:val="001F63C6"/>
    <w:rsid w:val="0021086A"/>
    <w:rsid w:val="00223948"/>
    <w:rsid w:val="00225864"/>
    <w:rsid w:val="00236ACC"/>
    <w:rsid w:val="0029391B"/>
    <w:rsid w:val="002A53A1"/>
    <w:rsid w:val="002A6FD1"/>
    <w:rsid w:val="002B4D1E"/>
    <w:rsid w:val="002B6975"/>
    <w:rsid w:val="002F2D83"/>
    <w:rsid w:val="0035139E"/>
    <w:rsid w:val="00392AAE"/>
    <w:rsid w:val="003A35E9"/>
    <w:rsid w:val="003D28C5"/>
    <w:rsid w:val="003E57AE"/>
    <w:rsid w:val="003F54AE"/>
    <w:rsid w:val="00436918"/>
    <w:rsid w:val="004C7F3E"/>
    <w:rsid w:val="004D4C48"/>
    <w:rsid w:val="004E3F39"/>
    <w:rsid w:val="0050708A"/>
    <w:rsid w:val="00523C0C"/>
    <w:rsid w:val="00552137"/>
    <w:rsid w:val="0059082D"/>
    <w:rsid w:val="0059233D"/>
    <w:rsid w:val="005F28E6"/>
    <w:rsid w:val="00612378"/>
    <w:rsid w:val="006161A2"/>
    <w:rsid w:val="00622EEF"/>
    <w:rsid w:val="00673CAD"/>
    <w:rsid w:val="00675E31"/>
    <w:rsid w:val="00697602"/>
    <w:rsid w:val="006C3BF9"/>
    <w:rsid w:val="006E5997"/>
    <w:rsid w:val="007042B1"/>
    <w:rsid w:val="00746842"/>
    <w:rsid w:val="00795865"/>
    <w:rsid w:val="007D09BA"/>
    <w:rsid w:val="00822916"/>
    <w:rsid w:val="00836D7A"/>
    <w:rsid w:val="008774CC"/>
    <w:rsid w:val="008A3CC1"/>
    <w:rsid w:val="00945855"/>
    <w:rsid w:val="00956DEC"/>
    <w:rsid w:val="009B07C0"/>
    <w:rsid w:val="009C7501"/>
    <w:rsid w:val="00A759E7"/>
    <w:rsid w:val="00A76332"/>
    <w:rsid w:val="00AA3FAF"/>
    <w:rsid w:val="00AA6E54"/>
    <w:rsid w:val="00AC3D94"/>
    <w:rsid w:val="00AE1712"/>
    <w:rsid w:val="00AE4A26"/>
    <w:rsid w:val="00B11C86"/>
    <w:rsid w:val="00BD40B9"/>
    <w:rsid w:val="00BF5610"/>
    <w:rsid w:val="00C235C2"/>
    <w:rsid w:val="00C24DE0"/>
    <w:rsid w:val="00C40D2E"/>
    <w:rsid w:val="00C7521E"/>
    <w:rsid w:val="00CB1373"/>
    <w:rsid w:val="00CF0A57"/>
    <w:rsid w:val="00CF435E"/>
    <w:rsid w:val="00D025C9"/>
    <w:rsid w:val="00D14974"/>
    <w:rsid w:val="00D366B3"/>
    <w:rsid w:val="00D4116D"/>
    <w:rsid w:val="00D46DE4"/>
    <w:rsid w:val="00D55086"/>
    <w:rsid w:val="00D87D99"/>
    <w:rsid w:val="00D958D8"/>
    <w:rsid w:val="00DC4F91"/>
    <w:rsid w:val="00DF047B"/>
    <w:rsid w:val="00E244F9"/>
    <w:rsid w:val="00E4734D"/>
    <w:rsid w:val="00E9745D"/>
    <w:rsid w:val="00EB4D99"/>
    <w:rsid w:val="00EB6431"/>
    <w:rsid w:val="00F00EBB"/>
    <w:rsid w:val="00F76F7B"/>
    <w:rsid w:val="00F8136E"/>
    <w:rsid w:val="00FA256D"/>
    <w:rsid w:val="00FB3A80"/>
    <w:rsid w:val="00FE0CA0"/>
    <w:rsid w:val="00FE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pPr>
      <w:widowControl w:val="0"/>
      <w:autoSpaceDE w:val="0"/>
      <w:autoSpaceDN w:val="0"/>
      <w:adjustRightInd w:val="0"/>
      <w:ind w:left="-1440"/>
      <w:jc w:val="both"/>
    </w:pPr>
    <w:rPr>
      <w:rFonts w:ascii="Courier" w:hAnsi="Courier"/>
      <w:sz w:val="24"/>
      <w:szCs w:val="24"/>
    </w:rPr>
  </w:style>
  <w:style w:type="paragraph" w:customStyle="1" w:styleId="Document2">
    <w:name w:val="Document[2]"/>
    <w:pPr>
      <w:widowControl w:val="0"/>
      <w:autoSpaceDE w:val="0"/>
      <w:autoSpaceDN w:val="0"/>
      <w:adjustRightInd w:val="0"/>
      <w:ind w:left="-1440"/>
      <w:jc w:val="both"/>
    </w:pPr>
    <w:rPr>
      <w:rFonts w:ascii="Courier" w:hAnsi="Courier"/>
      <w:sz w:val="24"/>
      <w:szCs w:val="24"/>
    </w:rPr>
  </w:style>
  <w:style w:type="paragraph" w:customStyle="1" w:styleId="Document3">
    <w:name w:val="Document[3]"/>
    <w:pPr>
      <w:widowControl w:val="0"/>
      <w:autoSpaceDE w:val="0"/>
      <w:autoSpaceDN w:val="0"/>
      <w:adjustRightInd w:val="0"/>
      <w:ind w:left="-1440"/>
      <w:jc w:val="both"/>
    </w:pPr>
    <w:rPr>
      <w:rFonts w:ascii="Courier" w:hAnsi="Courier"/>
      <w:sz w:val="24"/>
      <w:szCs w:val="24"/>
    </w:rPr>
  </w:style>
  <w:style w:type="paragraph" w:customStyle="1" w:styleId="Document4">
    <w:name w:val="Document[4]"/>
    <w:pPr>
      <w:widowControl w:val="0"/>
      <w:autoSpaceDE w:val="0"/>
      <w:autoSpaceDN w:val="0"/>
      <w:adjustRightInd w:val="0"/>
      <w:ind w:left="-1440"/>
      <w:jc w:val="both"/>
    </w:pPr>
    <w:rPr>
      <w:rFonts w:ascii="Courier" w:hAnsi="Courier"/>
      <w:sz w:val="24"/>
      <w:szCs w:val="24"/>
    </w:rPr>
  </w:style>
  <w:style w:type="paragraph" w:customStyle="1" w:styleId="Document5">
    <w:name w:val="Document[5]"/>
    <w:pPr>
      <w:widowControl w:val="0"/>
      <w:autoSpaceDE w:val="0"/>
      <w:autoSpaceDN w:val="0"/>
      <w:adjustRightInd w:val="0"/>
      <w:ind w:left="-1440"/>
      <w:jc w:val="both"/>
    </w:pPr>
    <w:rPr>
      <w:rFonts w:ascii="Courier" w:hAnsi="Courier"/>
      <w:sz w:val="24"/>
      <w:szCs w:val="24"/>
    </w:rPr>
  </w:style>
  <w:style w:type="paragraph" w:customStyle="1" w:styleId="Document6">
    <w:name w:val="Document[6]"/>
    <w:pPr>
      <w:widowControl w:val="0"/>
      <w:autoSpaceDE w:val="0"/>
      <w:autoSpaceDN w:val="0"/>
      <w:adjustRightInd w:val="0"/>
      <w:ind w:left="-1440"/>
      <w:jc w:val="both"/>
    </w:pPr>
    <w:rPr>
      <w:rFonts w:ascii="Courier" w:hAnsi="Courier"/>
      <w:sz w:val="24"/>
      <w:szCs w:val="24"/>
    </w:rPr>
  </w:style>
  <w:style w:type="paragraph" w:customStyle="1" w:styleId="Document7">
    <w:name w:val="Document[7]"/>
    <w:pPr>
      <w:widowControl w:val="0"/>
      <w:autoSpaceDE w:val="0"/>
      <w:autoSpaceDN w:val="0"/>
      <w:adjustRightInd w:val="0"/>
      <w:ind w:left="-1440"/>
      <w:jc w:val="both"/>
    </w:pPr>
    <w:rPr>
      <w:rFonts w:ascii="Courier" w:hAnsi="Courier"/>
      <w:sz w:val="24"/>
      <w:szCs w:val="24"/>
    </w:rPr>
  </w:style>
  <w:style w:type="paragraph" w:customStyle="1" w:styleId="Document8">
    <w:name w:val="Document[8]"/>
    <w:pPr>
      <w:widowControl w:val="0"/>
      <w:autoSpaceDE w:val="0"/>
      <w:autoSpaceDN w:val="0"/>
      <w:adjustRightInd w:val="0"/>
      <w:ind w:left="-144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Technical1">
    <w:name w:val="Technical[1]"/>
    <w:pPr>
      <w:widowControl w:val="0"/>
      <w:autoSpaceDE w:val="0"/>
      <w:autoSpaceDN w:val="0"/>
      <w:adjustRightInd w:val="0"/>
      <w:ind w:left="-1440"/>
      <w:jc w:val="both"/>
    </w:pPr>
    <w:rPr>
      <w:rFonts w:ascii="Courier" w:hAnsi="Courier"/>
      <w:sz w:val="24"/>
      <w:szCs w:val="24"/>
    </w:rPr>
  </w:style>
  <w:style w:type="paragraph" w:customStyle="1" w:styleId="Technical2">
    <w:name w:val="Technical[2]"/>
    <w:pPr>
      <w:widowControl w:val="0"/>
      <w:autoSpaceDE w:val="0"/>
      <w:autoSpaceDN w:val="0"/>
      <w:adjustRightInd w:val="0"/>
      <w:ind w:left="-1440"/>
      <w:jc w:val="both"/>
    </w:pPr>
    <w:rPr>
      <w:rFonts w:ascii="Courier" w:hAnsi="Courier"/>
      <w:sz w:val="24"/>
      <w:szCs w:val="24"/>
    </w:rPr>
  </w:style>
  <w:style w:type="paragraph" w:customStyle="1" w:styleId="Technical3">
    <w:name w:val="Technical[3]"/>
    <w:pPr>
      <w:widowControl w:val="0"/>
      <w:autoSpaceDE w:val="0"/>
      <w:autoSpaceDN w:val="0"/>
      <w:adjustRightInd w:val="0"/>
      <w:ind w:left="-1440"/>
      <w:jc w:val="both"/>
    </w:pPr>
    <w:rPr>
      <w:rFonts w:ascii="Courier" w:hAnsi="Courier"/>
      <w:sz w:val="24"/>
      <w:szCs w:val="24"/>
    </w:rPr>
  </w:style>
  <w:style w:type="paragraph" w:customStyle="1" w:styleId="Technical4">
    <w:name w:val="Technical[4]"/>
    <w:pPr>
      <w:widowControl w:val="0"/>
      <w:autoSpaceDE w:val="0"/>
      <w:autoSpaceDN w:val="0"/>
      <w:adjustRightInd w:val="0"/>
      <w:ind w:left="-1440"/>
      <w:jc w:val="both"/>
    </w:pPr>
    <w:rPr>
      <w:rFonts w:ascii="Courier" w:hAnsi="Courier"/>
      <w:sz w:val="24"/>
      <w:szCs w:val="24"/>
    </w:rPr>
  </w:style>
  <w:style w:type="paragraph" w:customStyle="1" w:styleId="Technical5">
    <w:name w:val="Technical[5]"/>
    <w:pPr>
      <w:widowControl w:val="0"/>
      <w:autoSpaceDE w:val="0"/>
      <w:autoSpaceDN w:val="0"/>
      <w:adjustRightInd w:val="0"/>
      <w:ind w:left="-1440"/>
      <w:jc w:val="both"/>
    </w:pPr>
    <w:rPr>
      <w:rFonts w:ascii="Courier" w:hAnsi="Courier"/>
      <w:sz w:val="24"/>
      <w:szCs w:val="24"/>
    </w:rPr>
  </w:style>
  <w:style w:type="paragraph" w:customStyle="1" w:styleId="Technical6">
    <w:name w:val="Technical[6]"/>
    <w:pPr>
      <w:widowControl w:val="0"/>
      <w:autoSpaceDE w:val="0"/>
      <w:autoSpaceDN w:val="0"/>
      <w:adjustRightInd w:val="0"/>
      <w:ind w:left="-1440"/>
      <w:jc w:val="both"/>
    </w:pPr>
    <w:rPr>
      <w:rFonts w:ascii="Courier" w:hAnsi="Courier"/>
      <w:sz w:val="24"/>
      <w:szCs w:val="24"/>
    </w:rPr>
  </w:style>
  <w:style w:type="paragraph" w:customStyle="1" w:styleId="Technical7">
    <w:name w:val="Technical[7]"/>
    <w:pPr>
      <w:widowControl w:val="0"/>
      <w:autoSpaceDE w:val="0"/>
      <w:autoSpaceDN w:val="0"/>
      <w:adjustRightInd w:val="0"/>
      <w:ind w:left="-1440"/>
      <w:jc w:val="both"/>
    </w:pPr>
    <w:rPr>
      <w:rFonts w:ascii="Courier" w:hAnsi="Courier"/>
      <w:sz w:val="24"/>
      <w:szCs w:val="24"/>
    </w:rPr>
  </w:style>
  <w:style w:type="paragraph" w:customStyle="1" w:styleId="Technical8">
    <w:name w:val="Technical[8]"/>
    <w:pPr>
      <w:widowControl w:val="0"/>
      <w:autoSpaceDE w:val="0"/>
      <w:autoSpaceDN w:val="0"/>
      <w:adjustRightInd w:val="0"/>
      <w:ind w:left="-1440"/>
      <w:jc w:val="both"/>
    </w:pPr>
    <w:rPr>
      <w:rFonts w:ascii="Courier" w:hAnsi="Courier"/>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Courier" w:hAnsi="Courier"/>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Courier" w:hAnsi="Courier"/>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Courier" w:hAnsi="Courier"/>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Courier" w:hAnsi="Courier"/>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w:hAnsi="Courier"/>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w:hAnsi="Courier"/>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w:hAnsi="Courier"/>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w:hAnsi="Courier"/>
      <w:sz w:val="24"/>
      <w:szCs w:val="24"/>
    </w:rPr>
  </w:style>
  <w:style w:type="character" w:customStyle="1" w:styleId="1">
    <w:name w:val="1"/>
  </w:style>
  <w:style w:type="character" w:customStyle="1" w:styleId="2">
    <w:name w:val="2"/>
    <w:rPr>
      <w:b/>
      <w:bCs/>
      <w:i/>
      <w:iCs/>
    </w:rPr>
  </w:style>
  <w:style w:type="character" w:customStyle="1" w:styleId="3">
    <w:name w:val="3"/>
  </w:style>
  <w:style w:type="character" w:customStyle="1" w:styleId="4">
    <w:name w:val="4"/>
  </w:style>
  <w:style w:type="character" w:customStyle="1" w:styleId="5">
    <w:name w:val="5"/>
    <w:rPr>
      <w:b/>
      <w:bCs/>
      <w:u w:val="single"/>
    </w:rPr>
  </w:style>
  <w:style w:type="character" w:customStyle="1" w:styleId="6">
    <w:name w:val="6"/>
  </w:style>
  <w:style w:type="character" w:customStyle="1" w:styleId="Bibliogrphy">
    <w:name w:val="Bibliogrphy"/>
  </w:style>
  <w:style w:type="character" w:customStyle="1" w:styleId="7">
    <w:name w:val="7"/>
  </w:style>
  <w:style w:type="character" w:customStyle="1" w:styleId="8">
    <w:name w:val="8"/>
  </w:style>
  <w:style w:type="character" w:customStyle="1" w:styleId="9">
    <w:name w:val="9"/>
    <w:rPr>
      <w:b/>
      <w:bCs/>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bCs/>
      <w:sz w:val="36"/>
      <w:szCs w:val="36"/>
    </w:rPr>
  </w:style>
  <w:style w:type="character" w:customStyle="1" w:styleId="DocInit">
    <w:name w:val="Doc Init"/>
  </w:style>
  <w:style w:type="character" w:customStyle="1" w:styleId="17">
    <w:name w:val="17"/>
  </w:style>
  <w:style w:type="character" w:customStyle="1" w:styleId="18">
    <w:name w:val="18"/>
  </w:style>
  <w:style w:type="character" w:customStyle="1" w:styleId="19">
    <w:name w:val="19"/>
  </w:style>
  <w:style w:type="character" w:customStyle="1" w:styleId="20">
    <w:name w:val="20"/>
  </w:style>
  <w:style w:type="character" w:customStyle="1" w:styleId="21">
    <w:name w:val="21"/>
  </w:style>
  <w:style w:type="character" w:customStyle="1" w:styleId="22">
    <w:name w:val="22"/>
  </w:style>
  <w:style w:type="character" w:customStyle="1" w:styleId="23">
    <w:name w:val="23"/>
  </w:style>
  <w:style w:type="character" w:customStyle="1" w:styleId="24">
    <w:name w:val="24"/>
  </w:style>
  <w:style w:type="character" w:customStyle="1" w:styleId="25">
    <w:name w:val="25"/>
  </w:style>
  <w:style w:type="character" w:customStyle="1" w:styleId="26">
    <w:name w:val="26"/>
  </w:style>
  <w:style w:type="character" w:customStyle="1" w:styleId="27">
    <w:name w:val="27"/>
  </w:style>
  <w:style w:type="character" w:customStyle="1" w:styleId="28">
    <w:name w:val="28"/>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39">
    <w:name w:val="39"/>
  </w:style>
  <w:style w:type="character" w:customStyle="1" w:styleId="40">
    <w:name w:val="40"/>
  </w:style>
  <w:style w:type="character" w:customStyle="1" w:styleId="Letterhd2">
    <w:name w:val="Letterhd2"/>
  </w:style>
  <w:style w:type="character" w:customStyle="1" w:styleId="Heading">
    <w:name w:val="Heading"/>
    <w:rPr>
      <w:b/>
      <w:bCs/>
      <w:sz w:val="28"/>
      <w:szCs w:val="28"/>
    </w:rPr>
  </w:style>
  <w:style w:type="character" w:customStyle="1" w:styleId="RightPar">
    <w:name w:val="Right Par"/>
  </w:style>
  <w:style w:type="character" w:customStyle="1" w:styleId="Subheading">
    <w:name w:val="Subheading"/>
    <w:rPr>
      <w:b/>
      <w:bCs/>
    </w:rPr>
  </w:style>
  <w:style w:type="character" w:customStyle="1" w:styleId="Style">
    <w:name w:val="Style"/>
  </w:style>
  <w:style w:type="character" w:customStyle="1" w:styleId="Letterhd1">
    <w:name w:val="Letterhd1"/>
    <w:rPr>
      <w:rFonts w:ascii="Times New Roman" w:hAnsi="Times New Roman" w:cs="Times New Roman"/>
      <w:sz w:val="16"/>
      <w:szCs w:val="16"/>
    </w:rPr>
  </w:style>
  <w:style w:type="paragraph" w:styleId="ListParagraph">
    <w:name w:val="List Paragraph"/>
    <w:basedOn w:val="Normal"/>
    <w:uiPriority w:val="34"/>
    <w:qFormat/>
    <w:rsid w:val="00FB3A80"/>
    <w:pPr>
      <w:ind w:left="720"/>
      <w:contextualSpacing/>
    </w:pPr>
  </w:style>
  <w:style w:type="paragraph" w:styleId="BodyTextIndent">
    <w:name w:val="Body Text Indent"/>
    <w:basedOn w:val="Normal"/>
    <w:link w:val="BodyTextIndentChar"/>
    <w:semiHidden/>
    <w:rsid w:val="004C7F3E"/>
    <w:pPr>
      <w:widowControl/>
      <w:autoSpaceDE/>
      <w:autoSpaceDN/>
      <w:adjustRightInd/>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4C7F3E"/>
    <w:rPr>
      <w:sz w:val="24"/>
      <w:szCs w:val="24"/>
    </w:rPr>
  </w:style>
  <w:style w:type="paragraph" w:styleId="BalloonText">
    <w:name w:val="Balloon Text"/>
    <w:basedOn w:val="Normal"/>
    <w:link w:val="BalloonTextChar"/>
    <w:uiPriority w:val="99"/>
    <w:semiHidden/>
    <w:unhideWhenUsed/>
    <w:rsid w:val="00225864"/>
    <w:rPr>
      <w:rFonts w:ascii="Tahoma" w:hAnsi="Tahoma" w:cs="Tahoma"/>
      <w:sz w:val="16"/>
      <w:szCs w:val="16"/>
    </w:rPr>
  </w:style>
  <w:style w:type="character" w:customStyle="1" w:styleId="BalloonTextChar">
    <w:name w:val="Balloon Text Char"/>
    <w:basedOn w:val="DefaultParagraphFont"/>
    <w:link w:val="BalloonText"/>
    <w:uiPriority w:val="99"/>
    <w:semiHidden/>
    <w:rsid w:val="00225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pPr>
      <w:widowControl w:val="0"/>
      <w:autoSpaceDE w:val="0"/>
      <w:autoSpaceDN w:val="0"/>
      <w:adjustRightInd w:val="0"/>
      <w:ind w:left="-1440"/>
      <w:jc w:val="both"/>
    </w:pPr>
    <w:rPr>
      <w:rFonts w:ascii="Courier" w:hAnsi="Courier"/>
      <w:sz w:val="24"/>
      <w:szCs w:val="24"/>
    </w:rPr>
  </w:style>
  <w:style w:type="paragraph" w:customStyle="1" w:styleId="Document2">
    <w:name w:val="Document[2]"/>
    <w:pPr>
      <w:widowControl w:val="0"/>
      <w:autoSpaceDE w:val="0"/>
      <w:autoSpaceDN w:val="0"/>
      <w:adjustRightInd w:val="0"/>
      <w:ind w:left="-1440"/>
      <w:jc w:val="both"/>
    </w:pPr>
    <w:rPr>
      <w:rFonts w:ascii="Courier" w:hAnsi="Courier"/>
      <w:sz w:val="24"/>
      <w:szCs w:val="24"/>
    </w:rPr>
  </w:style>
  <w:style w:type="paragraph" w:customStyle="1" w:styleId="Document3">
    <w:name w:val="Document[3]"/>
    <w:pPr>
      <w:widowControl w:val="0"/>
      <w:autoSpaceDE w:val="0"/>
      <w:autoSpaceDN w:val="0"/>
      <w:adjustRightInd w:val="0"/>
      <w:ind w:left="-1440"/>
      <w:jc w:val="both"/>
    </w:pPr>
    <w:rPr>
      <w:rFonts w:ascii="Courier" w:hAnsi="Courier"/>
      <w:sz w:val="24"/>
      <w:szCs w:val="24"/>
    </w:rPr>
  </w:style>
  <w:style w:type="paragraph" w:customStyle="1" w:styleId="Document4">
    <w:name w:val="Document[4]"/>
    <w:pPr>
      <w:widowControl w:val="0"/>
      <w:autoSpaceDE w:val="0"/>
      <w:autoSpaceDN w:val="0"/>
      <w:adjustRightInd w:val="0"/>
      <w:ind w:left="-1440"/>
      <w:jc w:val="both"/>
    </w:pPr>
    <w:rPr>
      <w:rFonts w:ascii="Courier" w:hAnsi="Courier"/>
      <w:sz w:val="24"/>
      <w:szCs w:val="24"/>
    </w:rPr>
  </w:style>
  <w:style w:type="paragraph" w:customStyle="1" w:styleId="Document5">
    <w:name w:val="Document[5]"/>
    <w:pPr>
      <w:widowControl w:val="0"/>
      <w:autoSpaceDE w:val="0"/>
      <w:autoSpaceDN w:val="0"/>
      <w:adjustRightInd w:val="0"/>
      <w:ind w:left="-1440"/>
      <w:jc w:val="both"/>
    </w:pPr>
    <w:rPr>
      <w:rFonts w:ascii="Courier" w:hAnsi="Courier"/>
      <w:sz w:val="24"/>
      <w:szCs w:val="24"/>
    </w:rPr>
  </w:style>
  <w:style w:type="paragraph" w:customStyle="1" w:styleId="Document6">
    <w:name w:val="Document[6]"/>
    <w:pPr>
      <w:widowControl w:val="0"/>
      <w:autoSpaceDE w:val="0"/>
      <w:autoSpaceDN w:val="0"/>
      <w:adjustRightInd w:val="0"/>
      <w:ind w:left="-1440"/>
      <w:jc w:val="both"/>
    </w:pPr>
    <w:rPr>
      <w:rFonts w:ascii="Courier" w:hAnsi="Courier"/>
      <w:sz w:val="24"/>
      <w:szCs w:val="24"/>
    </w:rPr>
  </w:style>
  <w:style w:type="paragraph" w:customStyle="1" w:styleId="Document7">
    <w:name w:val="Document[7]"/>
    <w:pPr>
      <w:widowControl w:val="0"/>
      <w:autoSpaceDE w:val="0"/>
      <w:autoSpaceDN w:val="0"/>
      <w:adjustRightInd w:val="0"/>
      <w:ind w:left="-1440"/>
      <w:jc w:val="both"/>
    </w:pPr>
    <w:rPr>
      <w:rFonts w:ascii="Courier" w:hAnsi="Courier"/>
      <w:sz w:val="24"/>
      <w:szCs w:val="24"/>
    </w:rPr>
  </w:style>
  <w:style w:type="paragraph" w:customStyle="1" w:styleId="Document8">
    <w:name w:val="Document[8]"/>
    <w:pPr>
      <w:widowControl w:val="0"/>
      <w:autoSpaceDE w:val="0"/>
      <w:autoSpaceDN w:val="0"/>
      <w:adjustRightInd w:val="0"/>
      <w:ind w:left="-144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Technical1">
    <w:name w:val="Technical[1]"/>
    <w:pPr>
      <w:widowControl w:val="0"/>
      <w:autoSpaceDE w:val="0"/>
      <w:autoSpaceDN w:val="0"/>
      <w:adjustRightInd w:val="0"/>
      <w:ind w:left="-1440"/>
      <w:jc w:val="both"/>
    </w:pPr>
    <w:rPr>
      <w:rFonts w:ascii="Courier" w:hAnsi="Courier"/>
      <w:sz w:val="24"/>
      <w:szCs w:val="24"/>
    </w:rPr>
  </w:style>
  <w:style w:type="paragraph" w:customStyle="1" w:styleId="Technical2">
    <w:name w:val="Technical[2]"/>
    <w:pPr>
      <w:widowControl w:val="0"/>
      <w:autoSpaceDE w:val="0"/>
      <w:autoSpaceDN w:val="0"/>
      <w:adjustRightInd w:val="0"/>
      <w:ind w:left="-1440"/>
      <w:jc w:val="both"/>
    </w:pPr>
    <w:rPr>
      <w:rFonts w:ascii="Courier" w:hAnsi="Courier"/>
      <w:sz w:val="24"/>
      <w:szCs w:val="24"/>
    </w:rPr>
  </w:style>
  <w:style w:type="paragraph" w:customStyle="1" w:styleId="Technical3">
    <w:name w:val="Technical[3]"/>
    <w:pPr>
      <w:widowControl w:val="0"/>
      <w:autoSpaceDE w:val="0"/>
      <w:autoSpaceDN w:val="0"/>
      <w:adjustRightInd w:val="0"/>
      <w:ind w:left="-1440"/>
      <w:jc w:val="both"/>
    </w:pPr>
    <w:rPr>
      <w:rFonts w:ascii="Courier" w:hAnsi="Courier"/>
      <w:sz w:val="24"/>
      <w:szCs w:val="24"/>
    </w:rPr>
  </w:style>
  <w:style w:type="paragraph" w:customStyle="1" w:styleId="Technical4">
    <w:name w:val="Technical[4]"/>
    <w:pPr>
      <w:widowControl w:val="0"/>
      <w:autoSpaceDE w:val="0"/>
      <w:autoSpaceDN w:val="0"/>
      <w:adjustRightInd w:val="0"/>
      <w:ind w:left="-1440"/>
      <w:jc w:val="both"/>
    </w:pPr>
    <w:rPr>
      <w:rFonts w:ascii="Courier" w:hAnsi="Courier"/>
      <w:sz w:val="24"/>
      <w:szCs w:val="24"/>
    </w:rPr>
  </w:style>
  <w:style w:type="paragraph" w:customStyle="1" w:styleId="Technical5">
    <w:name w:val="Technical[5]"/>
    <w:pPr>
      <w:widowControl w:val="0"/>
      <w:autoSpaceDE w:val="0"/>
      <w:autoSpaceDN w:val="0"/>
      <w:adjustRightInd w:val="0"/>
      <w:ind w:left="-1440"/>
      <w:jc w:val="both"/>
    </w:pPr>
    <w:rPr>
      <w:rFonts w:ascii="Courier" w:hAnsi="Courier"/>
      <w:sz w:val="24"/>
      <w:szCs w:val="24"/>
    </w:rPr>
  </w:style>
  <w:style w:type="paragraph" w:customStyle="1" w:styleId="Technical6">
    <w:name w:val="Technical[6]"/>
    <w:pPr>
      <w:widowControl w:val="0"/>
      <w:autoSpaceDE w:val="0"/>
      <w:autoSpaceDN w:val="0"/>
      <w:adjustRightInd w:val="0"/>
      <w:ind w:left="-1440"/>
      <w:jc w:val="both"/>
    </w:pPr>
    <w:rPr>
      <w:rFonts w:ascii="Courier" w:hAnsi="Courier"/>
      <w:sz w:val="24"/>
      <w:szCs w:val="24"/>
    </w:rPr>
  </w:style>
  <w:style w:type="paragraph" w:customStyle="1" w:styleId="Technical7">
    <w:name w:val="Technical[7]"/>
    <w:pPr>
      <w:widowControl w:val="0"/>
      <w:autoSpaceDE w:val="0"/>
      <w:autoSpaceDN w:val="0"/>
      <w:adjustRightInd w:val="0"/>
      <w:ind w:left="-1440"/>
      <w:jc w:val="both"/>
    </w:pPr>
    <w:rPr>
      <w:rFonts w:ascii="Courier" w:hAnsi="Courier"/>
      <w:sz w:val="24"/>
      <w:szCs w:val="24"/>
    </w:rPr>
  </w:style>
  <w:style w:type="paragraph" w:customStyle="1" w:styleId="Technical8">
    <w:name w:val="Technical[8]"/>
    <w:pPr>
      <w:widowControl w:val="0"/>
      <w:autoSpaceDE w:val="0"/>
      <w:autoSpaceDN w:val="0"/>
      <w:adjustRightInd w:val="0"/>
      <w:ind w:left="-1440"/>
      <w:jc w:val="both"/>
    </w:pPr>
    <w:rPr>
      <w:rFonts w:ascii="Courier" w:hAnsi="Courier"/>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Courier" w:hAnsi="Courier"/>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Courier" w:hAnsi="Courier"/>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Courier" w:hAnsi="Courier"/>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Courier" w:hAnsi="Courier"/>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w:hAnsi="Courier"/>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w:hAnsi="Courier"/>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w:hAnsi="Courier"/>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w:hAnsi="Courier"/>
      <w:sz w:val="24"/>
      <w:szCs w:val="24"/>
    </w:rPr>
  </w:style>
  <w:style w:type="character" w:customStyle="1" w:styleId="1">
    <w:name w:val="1"/>
  </w:style>
  <w:style w:type="character" w:customStyle="1" w:styleId="2">
    <w:name w:val="2"/>
    <w:rPr>
      <w:b/>
      <w:bCs/>
      <w:i/>
      <w:iCs/>
    </w:rPr>
  </w:style>
  <w:style w:type="character" w:customStyle="1" w:styleId="3">
    <w:name w:val="3"/>
  </w:style>
  <w:style w:type="character" w:customStyle="1" w:styleId="4">
    <w:name w:val="4"/>
  </w:style>
  <w:style w:type="character" w:customStyle="1" w:styleId="5">
    <w:name w:val="5"/>
    <w:rPr>
      <w:b/>
      <w:bCs/>
      <w:u w:val="single"/>
    </w:rPr>
  </w:style>
  <w:style w:type="character" w:customStyle="1" w:styleId="6">
    <w:name w:val="6"/>
  </w:style>
  <w:style w:type="character" w:customStyle="1" w:styleId="Bibliogrphy">
    <w:name w:val="Bibliogrphy"/>
  </w:style>
  <w:style w:type="character" w:customStyle="1" w:styleId="7">
    <w:name w:val="7"/>
  </w:style>
  <w:style w:type="character" w:customStyle="1" w:styleId="8">
    <w:name w:val="8"/>
  </w:style>
  <w:style w:type="character" w:customStyle="1" w:styleId="9">
    <w:name w:val="9"/>
    <w:rPr>
      <w:b/>
      <w:bCs/>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bCs/>
      <w:sz w:val="36"/>
      <w:szCs w:val="36"/>
    </w:rPr>
  </w:style>
  <w:style w:type="character" w:customStyle="1" w:styleId="DocInit">
    <w:name w:val="Doc Init"/>
  </w:style>
  <w:style w:type="character" w:customStyle="1" w:styleId="17">
    <w:name w:val="17"/>
  </w:style>
  <w:style w:type="character" w:customStyle="1" w:styleId="18">
    <w:name w:val="18"/>
  </w:style>
  <w:style w:type="character" w:customStyle="1" w:styleId="19">
    <w:name w:val="19"/>
  </w:style>
  <w:style w:type="character" w:customStyle="1" w:styleId="20">
    <w:name w:val="20"/>
  </w:style>
  <w:style w:type="character" w:customStyle="1" w:styleId="21">
    <w:name w:val="21"/>
  </w:style>
  <w:style w:type="character" w:customStyle="1" w:styleId="22">
    <w:name w:val="22"/>
  </w:style>
  <w:style w:type="character" w:customStyle="1" w:styleId="23">
    <w:name w:val="23"/>
  </w:style>
  <w:style w:type="character" w:customStyle="1" w:styleId="24">
    <w:name w:val="24"/>
  </w:style>
  <w:style w:type="character" w:customStyle="1" w:styleId="25">
    <w:name w:val="25"/>
  </w:style>
  <w:style w:type="character" w:customStyle="1" w:styleId="26">
    <w:name w:val="26"/>
  </w:style>
  <w:style w:type="character" w:customStyle="1" w:styleId="27">
    <w:name w:val="27"/>
  </w:style>
  <w:style w:type="character" w:customStyle="1" w:styleId="28">
    <w:name w:val="28"/>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style>
  <w:style w:type="character" w:customStyle="1" w:styleId="34">
    <w:name w:val="34"/>
  </w:style>
  <w:style w:type="character" w:customStyle="1" w:styleId="35">
    <w:name w:val="35"/>
  </w:style>
  <w:style w:type="character" w:customStyle="1" w:styleId="36">
    <w:name w:val="36"/>
  </w:style>
  <w:style w:type="character" w:customStyle="1" w:styleId="37">
    <w:name w:val="37"/>
  </w:style>
  <w:style w:type="character" w:customStyle="1" w:styleId="38">
    <w:name w:val="38"/>
  </w:style>
  <w:style w:type="character" w:customStyle="1" w:styleId="39">
    <w:name w:val="39"/>
  </w:style>
  <w:style w:type="character" w:customStyle="1" w:styleId="40">
    <w:name w:val="40"/>
  </w:style>
  <w:style w:type="character" w:customStyle="1" w:styleId="Letterhd2">
    <w:name w:val="Letterhd2"/>
  </w:style>
  <w:style w:type="character" w:customStyle="1" w:styleId="Heading">
    <w:name w:val="Heading"/>
    <w:rPr>
      <w:b/>
      <w:bCs/>
      <w:sz w:val="28"/>
      <w:szCs w:val="28"/>
    </w:rPr>
  </w:style>
  <w:style w:type="character" w:customStyle="1" w:styleId="RightPar">
    <w:name w:val="Right Par"/>
  </w:style>
  <w:style w:type="character" w:customStyle="1" w:styleId="Subheading">
    <w:name w:val="Subheading"/>
    <w:rPr>
      <w:b/>
      <w:bCs/>
    </w:rPr>
  </w:style>
  <w:style w:type="character" w:customStyle="1" w:styleId="Style">
    <w:name w:val="Style"/>
  </w:style>
  <w:style w:type="character" w:customStyle="1" w:styleId="Letterhd1">
    <w:name w:val="Letterhd1"/>
    <w:rPr>
      <w:rFonts w:ascii="Times New Roman" w:hAnsi="Times New Roman" w:cs="Times New Roman"/>
      <w:sz w:val="16"/>
      <w:szCs w:val="16"/>
    </w:rPr>
  </w:style>
  <w:style w:type="paragraph" w:styleId="ListParagraph">
    <w:name w:val="List Paragraph"/>
    <w:basedOn w:val="Normal"/>
    <w:uiPriority w:val="34"/>
    <w:qFormat/>
    <w:rsid w:val="00FB3A80"/>
    <w:pPr>
      <w:ind w:left="720"/>
      <w:contextualSpacing/>
    </w:pPr>
  </w:style>
  <w:style w:type="paragraph" w:styleId="BodyTextIndent">
    <w:name w:val="Body Text Indent"/>
    <w:basedOn w:val="Normal"/>
    <w:link w:val="BodyTextIndentChar"/>
    <w:semiHidden/>
    <w:rsid w:val="004C7F3E"/>
    <w:pPr>
      <w:widowControl/>
      <w:autoSpaceDE/>
      <w:autoSpaceDN/>
      <w:adjustRightInd/>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4C7F3E"/>
    <w:rPr>
      <w:sz w:val="24"/>
      <w:szCs w:val="24"/>
    </w:rPr>
  </w:style>
  <w:style w:type="paragraph" w:styleId="BalloonText">
    <w:name w:val="Balloon Text"/>
    <w:basedOn w:val="Normal"/>
    <w:link w:val="BalloonTextChar"/>
    <w:uiPriority w:val="99"/>
    <w:semiHidden/>
    <w:unhideWhenUsed/>
    <w:rsid w:val="00225864"/>
    <w:rPr>
      <w:rFonts w:ascii="Tahoma" w:hAnsi="Tahoma" w:cs="Tahoma"/>
      <w:sz w:val="16"/>
      <w:szCs w:val="16"/>
    </w:rPr>
  </w:style>
  <w:style w:type="character" w:customStyle="1" w:styleId="BalloonTextChar">
    <w:name w:val="Balloon Text Char"/>
    <w:basedOn w:val="DefaultParagraphFont"/>
    <w:link w:val="BalloonText"/>
    <w:uiPriority w:val="99"/>
    <w:semiHidden/>
    <w:rsid w:val="00225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BADC83C4.dotm</Template>
  <TotalTime>709</TotalTime>
  <Pages>5</Pages>
  <Words>1736</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Annual Demographic Survey - March 97</vt:lpstr>
    </vt:vector>
  </TitlesOfParts>
  <Company>US Census Bureau</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Demographic Survey - March 97</dc:title>
  <dc:subject/>
  <dc:creator>Bureau of the Census</dc:creator>
  <cp:keywords/>
  <dc:description/>
  <cp:lastModifiedBy>Tim J Marshall</cp:lastModifiedBy>
  <cp:revision>41</cp:revision>
  <cp:lastPrinted>2013-10-30T15:29:00Z</cp:lastPrinted>
  <dcterms:created xsi:type="dcterms:W3CDTF">2013-09-03T13:05:00Z</dcterms:created>
  <dcterms:modified xsi:type="dcterms:W3CDTF">2014-01-31T18:36:00Z</dcterms:modified>
</cp:coreProperties>
</file>