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3C9" w:rsidRDefault="00F863C9" w:rsidP="00F863C9">
      <w:pPr>
        <w:jc w:val="center"/>
        <w:rPr>
          <w:b/>
          <w:sz w:val="32"/>
          <w:szCs w:val="32"/>
        </w:rPr>
      </w:pPr>
      <w:r>
        <w:rPr>
          <w:b/>
          <w:sz w:val="32"/>
          <w:szCs w:val="32"/>
        </w:rPr>
        <w:t>World Trade Center Health Program E</w:t>
      </w:r>
      <w:r w:rsidR="004972A6">
        <w:rPr>
          <w:b/>
          <w:sz w:val="32"/>
          <w:szCs w:val="32"/>
        </w:rPr>
        <w:t xml:space="preserve">nrollment &amp; </w:t>
      </w:r>
      <w:r w:rsidR="00236361">
        <w:rPr>
          <w:b/>
          <w:sz w:val="32"/>
          <w:szCs w:val="32"/>
        </w:rPr>
        <w:t>Appeals</w:t>
      </w:r>
      <w:r>
        <w:rPr>
          <w:b/>
          <w:sz w:val="32"/>
          <w:szCs w:val="32"/>
        </w:rPr>
        <w:t xml:space="preserve"> </w:t>
      </w:r>
      <w:r w:rsidR="003D4825" w:rsidRPr="003D4825">
        <w:rPr>
          <w:b/>
          <w:sz w:val="32"/>
          <w:szCs w:val="32"/>
        </w:rPr>
        <w:t xml:space="preserve">-- Pentagon &amp; </w:t>
      </w:r>
      <w:proofErr w:type="spellStart"/>
      <w:r w:rsidR="003D4825" w:rsidRPr="003D4825">
        <w:rPr>
          <w:b/>
          <w:sz w:val="32"/>
          <w:szCs w:val="32"/>
        </w:rPr>
        <w:t>Shanksville</w:t>
      </w:r>
      <w:proofErr w:type="spellEnd"/>
      <w:r w:rsidR="003D4825" w:rsidRPr="003D4825">
        <w:rPr>
          <w:b/>
          <w:sz w:val="32"/>
          <w:szCs w:val="32"/>
        </w:rPr>
        <w:t>, Pennsylvania Responders</w:t>
      </w:r>
    </w:p>
    <w:p w:rsidR="004972A6" w:rsidRDefault="004972A6" w:rsidP="00F863C9">
      <w:pPr>
        <w:jc w:val="center"/>
        <w:rPr>
          <w:b/>
          <w:bCs/>
          <w:sz w:val="32"/>
          <w:szCs w:val="32"/>
        </w:rPr>
      </w:pPr>
    </w:p>
    <w:p w:rsidR="00F863C9" w:rsidRDefault="00F863C9" w:rsidP="00F863C9">
      <w:pPr>
        <w:jc w:val="center"/>
        <w:rPr>
          <w:b/>
          <w:bCs/>
          <w:sz w:val="32"/>
          <w:szCs w:val="32"/>
        </w:rPr>
      </w:pPr>
      <w:r>
        <w:rPr>
          <w:b/>
          <w:bCs/>
          <w:sz w:val="32"/>
          <w:szCs w:val="32"/>
        </w:rPr>
        <w:t>Supporting Statement</w:t>
      </w:r>
      <w:r w:rsidR="009D3302">
        <w:rPr>
          <w:b/>
          <w:bCs/>
          <w:sz w:val="32"/>
          <w:szCs w:val="32"/>
        </w:rPr>
        <w:t xml:space="preserve">- </w:t>
      </w:r>
      <w:r w:rsidR="007F7201">
        <w:rPr>
          <w:b/>
          <w:bCs/>
          <w:sz w:val="32"/>
          <w:szCs w:val="32"/>
        </w:rPr>
        <w:t>Part A</w:t>
      </w:r>
    </w:p>
    <w:p w:rsidR="00F863C9" w:rsidRDefault="00F863C9" w:rsidP="00F863C9">
      <w:pPr>
        <w:jc w:val="center"/>
        <w:rPr>
          <w:b/>
          <w:sz w:val="32"/>
          <w:szCs w:val="32"/>
        </w:rPr>
      </w:pPr>
    </w:p>
    <w:p w:rsidR="00F863C9" w:rsidRDefault="00F863C9" w:rsidP="00F863C9">
      <w:pPr>
        <w:jc w:val="center"/>
        <w:rPr>
          <w:b/>
          <w:sz w:val="32"/>
          <w:szCs w:val="32"/>
        </w:rPr>
      </w:pPr>
    </w:p>
    <w:p w:rsidR="00F863C9" w:rsidRDefault="00F863C9" w:rsidP="00F863C9">
      <w:pPr>
        <w:jc w:val="center"/>
        <w:rPr>
          <w:b/>
          <w:sz w:val="32"/>
          <w:szCs w:val="32"/>
        </w:rPr>
      </w:pPr>
    </w:p>
    <w:p w:rsidR="00F863C9" w:rsidRDefault="00F863C9" w:rsidP="00F863C9">
      <w:pPr>
        <w:jc w:val="center"/>
        <w:rPr>
          <w:b/>
          <w:sz w:val="32"/>
          <w:szCs w:val="32"/>
        </w:rPr>
      </w:pPr>
    </w:p>
    <w:p w:rsidR="00F863C9" w:rsidRDefault="00F863C9" w:rsidP="00F863C9">
      <w:pPr>
        <w:jc w:val="center"/>
        <w:rPr>
          <w:b/>
          <w:sz w:val="32"/>
          <w:szCs w:val="32"/>
        </w:rPr>
      </w:pPr>
    </w:p>
    <w:p w:rsidR="00F863C9" w:rsidRDefault="00F863C9" w:rsidP="00F863C9">
      <w:pPr>
        <w:jc w:val="center"/>
        <w:rPr>
          <w:b/>
          <w:sz w:val="32"/>
          <w:szCs w:val="32"/>
        </w:rPr>
      </w:pPr>
    </w:p>
    <w:p w:rsidR="00F863C9" w:rsidRDefault="00F863C9" w:rsidP="00F863C9">
      <w:pPr>
        <w:jc w:val="center"/>
        <w:rPr>
          <w:b/>
          <w:sz w:val="32"/>
          <w:szCs w:val="32"/>
        </w:rPr>
      </w:pPr>
    </w:p>
    <w:p w:rsidR="00F863C9" w:rsidRDefault="00F863C9" w:rsidP="00F863C9">
      <w:pPr>
        <w:jc w:val="center"/>
        <w:rPr>
          <w:b/>
          <w:sz w:val="32"/>
          <w:szCs w:val="32"/>
        </w:rPr>
      </w:pPr>
    </w:p>
    <w:p w:rsidR="00F863C9" w:rsidRDefault="00F863C9" w:rsidP="00F863C9">
      <w:pPr>
        <w:jc w:val="center"/>
        <w:rPr>
          <w:b/>
          <w:sz w:val="32"/>
          <w:szCs w:val="32"/>
        </w:rPr>
      </w:pPr>
    </w:p>
    <w:p w:rsidR="00F863C9" w:rsidRDefault="00F863C9" w:rsidP="00F863C9">
      <w:pPr>
        <w:jc w:val="center"/>
        <w:rPr>
          <w:b/>
          <w:sz w:val="32"/>
          <w:szCs w:val="32"/>
        </w:rPr>
      </w:pPr>
    </w:p>
    <w:p w:rsidR="00F863C9" w:rsidRDefault="00F863C9" w:rsidP="00F863C9">
      <w:pPr>
        <w:rPr>
          <w:b/>
          <w:sz w:val="32"/>
          <w:szCs w:val="32"/>
        </w:rPr>
      </w:pPr>
    </w:p>
    <w:p w:rsidR="00F863C9" w:rsidRDefault="00F863C9" w:rsidP="00F863C9">
      <w:pPr>
        <w:jc w:val="center"/>
        <w:rPr>
          <w:b/>
          <w:sz w:val="32"/>
          <w:szCs w:val="32"/>
        </w:rPr>
      </w:pPr>
    </w:p>
    <w:p w:rsidR="00F863C9" w:rsidRDefault="00F863C9" w:rsidP="00F863C9">
      <w:pPr>
        <w:jc w:val="center"/>
        <w:rPr>
          <w:b/>
          <w:sz w:val="32"/>
          <w:szCs w:val="32"/>
        </w:rPr>
      </w:pPr>
    </w:p>
    <w:p w:rsidR="00F863C9" w:rsidRDefault="00F863C9" w:rsidP="00F863C9">
      <w:pPr>
        <w:jc w:val="center"/>
        <w:rPr>
          <w:b/>
          <w:sz w:val="32"/>
          <w:szCs w:val="32"/>
        </w:rPr>
      </w:pPr>
    </w:p>
    <w:p w:rsidR="00F863C9" w:rsidRDefault="003D4825" w:rsidP="00F863C9">
      <w:pPr>
        <w:jc w:val="center"/>
        <w:rPr>
          <w:iCs/>
          <w:sz w:val="24"/>
        </w:rPr>
      </w:pPr>
      <w:r>
        <w:rPr>
          <w:iCs/>
          <w:sz w:val="24"/>
        </w:rPr>
        <w:t>Laurie Breyer</w:t>
      </w:r>
    </w:p>
    <w:p w:rsidR="00F863C9" w:rsidRDefault="00F863C9" w:rsidP="00F863C9">
      <w:pPr>
        <w:jc w:val="center"/>
        <w:rPr>
          <w:sz w:val="24"/>
        </w:rPr>
      </w:pPr>
      <w:r>
        <w:rPr>
          <w:i/>
          <w:iCs/>
          <w:sz w:val="24"/>
        </w:rPr>
        <w:t xml:space="preserve"> </w:t>
      </w:r>
      <w:r>
        <w:rPr>
          <w:sz w:val="24"/>
        </w:rPr>
        <w:t>Project Officer</w:t>
      </w:r>
    </w:p>
    <w:p w:rsidR="00F863C9" w:rsidRDefault="00975C70" w:rsidP="00F863C9">
      <w:pPr>
        <w:jc w:val="center"/>
        <w:rPr>
          <w:sz w:val="24"/>
        </w:rPr>
      </w:pPr>
      <w:r>
        <w:rPr>
          <w:sz w:val="24"/>
        </w:rPr>
        <w:t>November 3</w:t>
      </w:r>
      <w:r w:rsidR="00D32040">
        <w:rPr>
          <w:sz w:val="24"/>
        </w:rPr>
        <w:t xml:space="preserve">, </w:t>
      </w:r>
      <w:r w:rsidR="00010994">
        <w:rPr>
          <w:sz w:val="24"/>
        </w:rPr>
        <w:t>2013</w:t>
      </w:r>
    </w:p>
    <w:p w:rsidR="00F863C9" w:rsidRDefault="00F863C9" w:rsidP="00F863C9">
      <w:pPr>
        <w:jc w:val="center"/>
        <w:rPr>
          <w:sz w:val="24"/>
        </w:rPr>
      </w:pPr>
    </w:p>
    <w:p w:rsidR="00F863C9" w:rsidRDefault="00F863C9" w:rsidP="00F863C9">
      <w:pPr>
        <w:jc w:val="center"/>
        <w:rPr>
          <w:sz w:val="24"/>
        </w:rPr>
      </w:pPr>
    </w:p>
    <w:p w:rsidR="00F863C9" w:rsidRDefault="00F863C9" w:rsidP="00F863C9">
      <w:pPr>
        <w:jc w:val="center"/>
        <w:rPr>
          <w:sz w:val="24"/>
        </w:rPr>
      </w:pPr>
      <w:r>
        <w:rPr>
          <w:sz w:val="24"/>
        </w:rPr>
        <w:t>National Institute for Occupational Safety and Health</w:t>
      </w:r>
    </w:p>
    <w:p w:rsidR="00A66B41" w:rsidRDefault="00A66B41" w:rsidP="00F863C9">
      <w:pPr>
        <w:jc w:val="center"/>
        <w:rPr>
          <w:sz w:val="24"/>
        </w:rPr>
      </w:pPr>
      <w:r>
        <w:rPr>
          <w:sz w:val="24"/>
        </w:rPr>
        <w:t>Office of the Director</w:t>
      </w:r>
    </w:p>
    <w:p w:rsidR="00F863C9" w:rsidRDefault="00F863C9" w:rsidP="00F863C9">
      <w:pPr>
        <w:jc w:val="center"/>
        <w:rPr>
          <w:sz w:val="24"/>
        </w:rPr>
      </w:pPr>
      <w:r>
        <w:rPr>
          <w:sz w:val="24"/>
        </w:rPr>
        <w:t>1600 Clifton Rd, MS E-20</w:t>
      </w:r>
    </w:p>
    <w:p w:rsidR="00F863C9" w:rsidRDefault="00F863C9" w:rsidP="00F863C9">
      <w:pPr>
        <w:ind w:left="2880" w:firstLine="720"/>
        <w:rPr>
          <w:sz w:val="24"/>
        </w:rPr>
      </w:pPr>
      <w:r>
        <w:rPr>
          <w:sz w:val="24"/>
        </w:rPr>
        <w:t xml:space="preserve">     </w:t>
      </w:r>
      <w:r w:rsidR="00912FB9">
        <w:rPr>
          <w:sz w:val="24"/>
        </w:rPr>
        <w:t xml:space="preserve">Phone: </w:t>
      </w:r>
      <w:r>
        <w:rPr>
          <w:iCs/>
          <w:sz w:val="24"/>
        </w:rPr>
        <w:t>404-498-25</w:t>
      </w:r>
      <w:r w:rsidR="008F377D">
        <w:rPr>
          <w:iCs/>
          <w:sz w:val="24"/>
        </w:rPr>
        <w:t>00</w:t>
      </w:r>
    </w:p>
    <w:p w:rsidR="00F863C9" w:rsidRDefault="00F863C9" w:rsidP="00F863C9">
      <w:pPr>
        <w:jc w:val="center"/>
        <w:rPr>
          <w:sz w:val="24"/>
        </w:rPr>
      </w:pPr>
    </w:p>
    <w:p w:rsidR="00F863C9" w:rsidRDefault="00F863C9" w:rsidP="00F863C9">
      <w:pPr>
        <w:jc w:val="center"/>
        <w:rPr>
          <w:sz w:val="24"/>
        </w:rPr>
      </w:pPr>
    </w:p>
    <w:p w:rsidR="00F863C9" w:rsidRDefault="00F863C9" w:rsidP="00F863C9">
      <w:pPr>
        <w:jc w:val="center"/>
        <w:rPr>
          <w:sz w:val="24"/>
        </w:rPr>
      </w:pPr>
    </w:p>
    <w:p w:rsidR="00F863C9" w:rsidRDefault="00F863C9" w:rsidP="00F863C9">
      <w:pPr>
        <w:jc w:val="center"/>
        <w:rPr>
          <w:sz w:val="24"/>
        </w:rPr>
      </w:pPr>
    </w:p>
    <w:p w:rsidR="00F863C9" w:rsidRDefault="00F863C9" w:rsidP="00F863C9">
      <w:pPr>
        <w:jc w:val="center"/>
        <w:rPr>
          <w:b/>
          <w:sz w:val="32"/>
          <w:szCs w:val="32"/>
        </w:rPr>
      </w:pPr>
    </w:p>
    <w:p w:rsidR="00F863C9" w:rsidRDefault="00F863C9" w:rsidP="00F863C9">
      <w:pPr>
        <w:jc w:val="center"/>
        <w:rPr>
          <w:b/>
          <w:sz w:val="32"/>
          <w:szCs w:val="32"/>
        </w:rPr>
      </w:pPr>
    </w:p>
    <w:p w:rsidR="00F863C9" w:rsidRDefault="00F863C9" w:rsidP="00F863C9">
      <w:pPr>
        <w:jc w:val="center"/>
        <w:rPr>
          <w:b/>
          <w:sz w:val="32"/>
          <w:szCs w:val="32"/>
        </w:rPr>
      </w:pPr>
    </w:p>
    <w:p w:rsidR="00F863C9" w:rsidRDefault="00F863C9" w:rsidP="00F863C9">
      <w:pPr>
        <w:jc w:val="center"/>
        <w:rPr>
          <w:b/>
          <w:sz w:val="32"/>
          <w:szCs w:val="32"/>
        </w:rPr>
      </w:pPr>
    </w:p>
    <w:p w:rsidR="00F863C9" w:rsidRDefault="00F863C9" w:rsidP="00F863C9">
      <w:pPr>
        <w:jc w:val="center"/>
        <w:rPr>
          <w:b/>
          <w:sz w:val="32"/>
          <w:szCs w:val="32"/>
        </w:rPr>
      </w:pPr>
    </w:p>
    <w:p w:rsidR="00F863C9" w:rsidRDefault="00F863C9" w:rsidP="00F863C9">
      <w:pPr>
        <w:rPr>
          <w:b/>
          <w:sz w:val="32"/>
          <w:szCs w:val="32"/>
        </w:rPr>
      </w:pPr>
    </w:p>
    <w:p w:rsidR="00F863C9" w:rsidRDefault="00F863C9" w:rsidP="00F863C9">
      <w:pPr>
        <w:pStyle w:val="Heading1"/>
        <w:jc w:val="center"/>
      </w:pPr>
    </w:p>
    <w:p w:rsidR="00F863C9" w:rsidRDefault="00F863C9" w:rsidP="00F863C9">
      <w:pPr>
        <w:pStyle w:val="Heading1"/>
        <w:jc w:val="center"/>
      </w:pPr>
      <w:r>
        <w:t>Table of Contents</w:t>
      </w:r>
      <w:r w:rsidR="003D4825">
        <w:rPr>
          <w:noProof/>
        </w:rPr>
        <mc:AlternateContent>
          <mc:Choice Requires="wps">
            <w:drawing>
              <wp:anchor distT="0" distB="0" distL="114300" distR="114300" simplePos="0" relativeHeight="251660288" behindDoc="0" locked="0" layoutInCell="1" allowOverlap="1" wp14:anchorId="7C9FE644" wp14:editId="1D51A715">
                <wp:simplePos x="0" y="0"/>
                <wp:positionH relativeFrom="column">
                  <wp:posOffset>5715000</wp:posOffset>
                </wp:positionH>
                <wp:positionV relativeFrom="paragraph">
                  <wp:posOffset>8343900</wp:posOffset>
                </wp:positionV>
                <wp:extent cx="342900" cy="2286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50pt;margin-top:657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A56eAIAAPo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" stroked="f"/>
            </w:pict>
          </mc:Fallback>
        </mc:AlternateContent>
      </w:r>
    </w:p>
    <w:p w:rsidR="00F863C9" w:rsidRDefault="00C73015" w:rsidP="00F863C9">
      <w:pPr>
        <w:rPr>
          <w:sz w:val="24"/>
        </w:rPr>
      </w:pPr>
      <w:r>
        <w:rPr>
          <w:sz w:val="24"/>
          <w:lang w:val="en-CA"/>
        </w:rPr>
        <w:fldChar w:fldCharType="begin"/>
      </w:r>
      <w:r w:rsidR="00F863C9">
        <w:rPr>
          <w:sz w:val="24"/>
          <w:lang w:val="en-CA"/>
        </w:rPr>
        <w:instrText xml:space="preserve"> SEQ CHAPTER \h \r 1</w:instrText>
      </w:r>
      <w:r>
        <w:rPr>
          <w:sz w:val="24"/>
          <w:lang w:val="en-CA"/>
        </w:rPr>
        <w:fldChar w:fldCharType="end"/>
      </w:r>
      <w:r>
        <w:rPr>
          <w:sz w:val="24"/>
        </w:rPr>
        <w:fldChar w:fldCharType="begin"/>
      </w:r>
      <w:r w:rsidR="00F863C9">
        <w:rPr>
          <w:sz w:val="24"/>
        </w:rPr>
        <w:instrText>TOC \f</w:instrText>
      </w:r>
      <w:r>
        <w:rPr>
          <w:sz w:val="24"/>
        </w:rPr>
        <w:fldChar w:fldCharType="separate"/>
      </w:r>
      <w:r w:rsidR="00F863C9">
        <w:rPr>
          <w:b/>
          <w:bCs/>
          <w:sz w:val="24"/>
        </w:rPr>
        <w:t>A.  Justification</w:t>
      </w:r>
    </w:p>
    <w:p w:rsidR="00F863C9" w:rsidRDefault="00F863C9" w:rsidP="00F863C9">
      <w:pPr>
        <w:tabs>
          <w:tab w:val="right" w:leader="dot" w:pos="9360"/>
        </w:tabs>
        <w:ind w:left="1440" w:hanging="720"/>
        <w:rPr>
          <w:sz w:val="24"/>
        </w:rPr>
      </w:pPr>
      <w:r>
        <w:rPr>
          <w:sz w:val="24"/>
        </w:rPr>
        <w:t>1.    Circumstances Making the Collection of Information Necessary</w:t>
      </w:r>
    </w:p>
    <w:p w:rsidR="00F863C9" w:rsidRDefault="00F863C9" w:rsidP="00F863C9">
      <w:pPr>
        <w:tabs>
          <w:tab w:val="right" w:leader="dot" w:pos="9360"/>
        </w:tabs>
        <w:ind w:left="1440" w:hanging="720"/>
        <w:rPr>
          <w:sz w:val="24"/>
        </w:rPr>
      </w:pPr>
      <w:r>
        <w:rPr>
          <w:sz w:val="24"/>
        </w:rPr>
        <w:t>2.    Purpose and Use of Information Collection</w:t>
      </w:r>
    </w:p>
    <w:p w:rsidR="00F863C9" w:rsidRDefault="00F863C9" w:rsidP="00F863C9">
      <w:pPr>
        <w:tabs>
          <w:tab w:val="right" w:leader="dot" w:pos="9360"/>
        </w:tabs>
        <w:ind w:left="1440" w:hanging="720"/>
        <w:rPr>
          <w:sz w:val="24"/>
        </w:rPr>
      </w:pPr>
      <w:r>
        <w:rPr>
          <w:sz w:val="24"/>
        </w:rPr>
        <w:t>3.    Use of Improved Information Technology and Burden Reduction</w:t>
      </w:r>
    </w:p>
    <w:p w:rsidR="00F863C9" w:rsidRDefault="00F863C9" w:rsidP="00F863C9">
      <w:pPr>
        <w:tabs>
          <w:tab w:val="right" w:leader="dot" w:pos="9360"/>
        </w:tabs>
        <w:ind w:left="1440" w:hanging="720"/>
        <w:rPr>
          <w:sz w:val="24"/>
        </w:rPr>
      </w:pPr>
      <w:r>
        <w:rPr>
          <w:sz w:val="24"/>
        </w:rPr>
        <w:t>4.    Efforts to Identify Duplication and Use of Similar Information</w:t>
      </w:r>
    </w:p>
    <w:p w:rsidR="00F863C9" w:rsidRDefault="00F863C9" w:rsidP="00F863C9">
      <w:pPr>
        <w:tabs>
          <w:tab w:val="right" w:leader="dot" w:pos="9360"/>
        </w:tabs>
        <w:ind w:left="1440" w:hanging="720"/>
        <w:rPr>
          <w:sz w:val="24"/>
        </w:rPr>
      </w:pPr>
      <w:r>
        <w:rPr>
          <w:sz w:val="24"/>
        </w:rPr>
        <w:t>5.    Impact on Small Businesses or Other Small Entities</w:t>
      </w:r>
    </w:p>
    <w:p w:rsidR="00F863C9" w:rsidRDefault="00F863C9" w:rsidP="00F863C9">
      <w:pPr>
        <w:tabs>
          <w:tab w:val="right" w:leader="dot" w:pos="9360"/>
        </w:tabs>
        <w:ind w:left="1440" w:hanging="720"/>
        <w:rPr>
          <w:sz w:val="24"/>
        </w:rPr>
      </w:pPr>
      <w:r>
        <w:rPr>
          <w:sz w:val="24"/>
        </w:rPr>
        <w:t>6.    Consequences of Collecting the Information Less Frequently</w:t>
      </w:r>
    </w:p>
    <w:p w:rsidR="00F863C9" w:rsidRDefault="00F863C9" w:rsidP="00F863C9">
      <w:pPr>
        <w:tabs>
          <w:tab w:val="right" w:leader="dot" w:pos="9360"/>
        </w:tabs>
        <w:ind w:left="1440" w:hanging="720"/>
        <w:rPr>
          <w:sz w:val="24"/>
        </w:rPr>
      </w:pPr>
      <w:r>
        <w:rPr>
          <w:sz w:val="24"/>
        </w:rPr>
        <w:t>7.    Special Circumstances Relating to the Guidelines of 5 CFR 1320.5</w:t>
      </w:r>
    </w:p>
    <w:p w:rsidR="00F863C9" w:rsidRDefault="00F863C9" w:rsidP="00F863C9">
      <w:pPr>
        <w:tabs>
          <w:tab w:val="right" w:leader="dot" w:pos="9360"/>
        </w:tabs>
        <w:ind w:left="1440" w:hanging="720"/>
        <w:rPr>
          <w:sz w:val="24"/>
        </w:rPr>
      </w:pPr>
      <w:r>
        <w:rPr>
          <w:sz w:val="24"/>
        </w:rPr>
        <w:t>8.    Comments in Response to the Federal Register Notice and Efforts to Consult Outside the Agency</w:t>
      </w:r>
    </w:p>
    <w:p w:rsidR="00F863C9" w:rsidRDefault="00F863C9" w:rsidP="00F863C9">
      <w:pPr>
        <w:tabs>
          <w:tab w:val="right" w:leader="dot" w:pos="9360"/>
        </w:tabs>
        <w:ind w:left="1440" w:hanging="720"/>
        <w:rPr>
          <w:sz w:val="24"/>
        </w:rPr>
      </w:pPr>
      <w:r>
        <w:rPr>
          <w:sz w:val="24"/>
        </w:rPr>
        <w:t>9.    Explanation of Any Payment or Gift to Respondents</w:t>
      </w:r>
    </w:p>
    <w:p w:rsidR="00F863C9" w:rsidRDefault="00F863C9" w:rsidP="00F863C9">
      <w:pPr>
        <w:tabs>
          <w:tab w:val="right" w:leader="dot" w:pos="9360"/>
        </w:tabs>
        <w:ind w:left="1440" w:hanging="720"/>
        <w:rPr>
          <w:sz w:val="24"/>
        </w:rPr>
      </w:pPr>
      <w:r>
        <w:rPr>
          <w:sz w:val="24"/>
        </w:rPr>
        <w:t>10.  Assurance of Confidentiality Provided to Respondents</w:t>
      </w:r>
    </w:p>
    <w:p w:rsidR="00F863C9" w:rsidRDefault="00F863C9" w:rsidP="00F863C9">
      <w:pPr>
        <w:tabs>
          <w:tab w:val="right" w:leader="dot" w:pos="9360"/>
        </w:tabs>
        <w:ind w:left="1440" w:hanging="720"/>
        <w:rPr>
          <w:sz w:val="24"/>
        </w:rPr>
      </w:pPr>
      <w:r>
        <w:rPr>
          <w:sz w:val="24"/>
        </w:rPr>
        <w:t>11.  Justification for Sensitive Questions</w:t>
      </w:r>
    </w:p>
    <w:p w:rsidR="00F863C9" w:rsidRDefault="00F863C9" w:rsidP="00F863C9">
      <w:pPr>
        <w:tabs>
          <w:tab w:val="right" w:leader="dot" w:pos="9360"/>
        </w:tabs>
        <w:ind w:left="1440" w:hanging="720"/>
        <w:rPr>
          <w:sz w:val="24"/>
        </w:rPr>
      </w:pPr>
      <w:r>
        <w:rPr>
          <w:sz w:val="24"/>
        </w:rPr>
        <w:t>12.  Estimates of Annualized Burden Hours and Costs</w:t>
      </w:r>
    </w:p>
    <w:p w:rsidR="00F863C9" w:rsidRDefault="00F863C9" w:rsidP="00F863C9">
      <w:pPr>
        <w:tabs>
          <w:tab w:val="right" w:leader="dot" w:pos="9360"/>
        </w:tabs>
        <w:ind w:left="1440" w:hanging="720"/>
        <w:rPr>
          <w:sz w:val="24"/>
        </w:rPr>
      </w:pPr>
      <w:r>
        <w:rPr>
          <w:sz w:val="24"/>
        </w:rPr>
        <w:t>13.  Estimates of Other Total Annual Cost Burden to Respondents or Record Keepers/Capital Costs</w:t>
      </w:r>
    </w:p>
    <w:p w:rsidR="00F863C9" w:rsidRDefault="00F863C9" w:rsidP="00F863C9">
      <w:pPr>
        <w:tabs>
          <w:tab w:val="right" w:leader="dot" w:pos="9360"/>
        </w:tabs>
        <w:ind w:left="1440" w:hanging="720"/>
        <w:rPr>
          <w:sz w:val="24"/>
        </w:rPr>
      </w:pPr>
      <w:r>
        <w:rPr>
          <w:sz w:val="24"/>
        </w:rPr>
        <w:t>14.  Annualized Cost to the Government</w:t>
      </w:r>
    </w:p>
    <w:p w:rsidR="00F863C9" w:rsidRDefault="00F863C9" w:rsidP="00F863C9">
      <w:pPr>
        <w:tabs>
          <w:tab w:val="right" w:leader="dot" w:pos="9360"/>
        </w:tabs>
        <w:ind w:left="1440" w:hanging="720"/>
        <w:rPr>
          <w:sz w:val="24"/>
        </w:rPr>
      </w:pPr>
      <w:r>
        <w:rPr>
          <w:sz w:val="24"/>
        </w:rPr>
        <w:t>15.  Explanation for Program Changes or Adjustments</w:t>
      </w:r>
    </w:p>
    <w:p w:rsidR="00F863C9" w:rsidRDefault="00F863C9" w:rsidP="00F863C9">
      <w:pPr>
        <w:tabs>
          <w:tab w:val="right" w:leader="dot" w:pos="9360"/>
        </w:tabs>
        <w:ind w:left="1440" w:hanging="720"/>
        <w:rPr>
          <w:sz w:val="24"/>
        </w:rPr>
      </w:pPr>
      <w:r>
        <w:rPr>
          <w:sz w:val="24"/>
        </w:rPr>
        <w:t>16.  Plans for Tabulation and Publication and Project Time Schedule</w:t>
      </w:r>
    </w:p>
    <w:p w:rsidR="00F863C9" w:rsidRDefault="00F863C9" w:rsidP="00F863C9">
      <w:pPr>
        <w:tabs>
          <w:tab w:val="right" w:leader="dot" w:pos="9360"/>
        </w:tabs>
        <w:ind w:left="1440" w:hanging="720"/>
        <w:rPr>
          <w:sz w:val="24"/>
        </w:rPr>
      </w:pPr>
      <w:r>
        <w:rPr>
          <w:sz w:val="24"/>
        </w:rPr>
        <w:t>17.  Reason(s) Display of OMB Expiration Date is Inappropriate</w:t>
      </w:r>
    </w:p>
    <w:p w:rsidR="00F863C9" w:rsidRDefault="00F863C9" w:rsidP="00F863C9">
      <w:pPr>
        <w:tabs>
          <w:tab w:val="right" w:leader="dot" w:pos="9360"/>
        </w:tabs>
        <w:ind w:left="1440" w:hanging="720"/>
        <w:rPr>
          <w:sz w:val="24"/>
        </w:rPr>
      </w:pPr>
      <w:r>
        <w:rPr>
          <w:sz w:val="24"/>
        </w:rPr>
        <w:t>18.  Exceptions to Certification for Paperwork Reduction Act Submissions</w:t>
      </w:r>
    </w:p>
    <w:p w:rsidR="00F863C9" w:rsidRDefault="00F863C9" w:rsidP="00F863C9">
      <w:pPr>
        <w:rPr>
          <w:sz w:val="24"/>
        </w:rPr>
      </w:pPr>
    </w:p>
    <w:p w:rsidR="00F863C9" w:rsidRDefault="00F863C9" w:rsidP="00F863C9">
      <w:pPr>
        <w:tabs>
          <w:tab w:val="right" w:leader="dot" w:pos="9360"/>
        </w:tabs>
        <w:rPr>
          <w:sz w:val="24"/>
        </w:rPr>
      </w:pPr>
      <w:r>
        <w:rPr>
          <w:sz w:val="24"/>
        </w:rPr>
        <w:tab/>
      </w:r>
      <w:r w:rsidR="00C73015">
        <w:rPr>
          <w:sz w:val="24"/>
        </w:rPr>
        <w:fldChar w:fldCharType="end"/>
      </w:r>
    </w:p>
    <w:p w:rsidR="00F863C9" w:rsidRDefault="00F863C9" w:rsidP="00F863C9">
      <w:pPr>
        <w:tabs>
          <w:tab w:val="right" w:leader="dot" w:pos="9360"/>
        </w:tabs>
        <w:rPr>
          <w:sz w:val="24"/>
        </w:rPr>
      </w:pPr>
      <w:r>
        <w:rPr>
          <w:b/>
          <w:bCs/>
          <w:sz w:val="24"/>
        </w:rPr>
        <w:t>Appendices</w:t>
      </w:r>
    </w:p>
    <w:p w:rsidR="00F55CF8" w:rsidRDefault="00174487" w:rsidP="00F55CF8">
      <w:pPr>
        <w:tabs>
          <w:tab w:val="left" w:pos="720"/>
          <w:tab w:val="left" w:pos="1440"/>
          <w:tab w:val="left" w:pos="2160"/>
        </w:tabs>
        <w:ind w:left="2160" w:hanging="2160"/>
        <w:rPr>
          <w:sz w:val="24"/>
        </w:rPr>
      </w:pPr>
      <w:r>
        <w:rPr>
          <w:sz w:val="24"/>
        </w:rPr>
        <w:tab/>
      </w:r>
      <w:r w:rsidR="00F55CF8">
        <w:rPr>
          <w:sz w:val="24"/>
        </w:rPr>
        <w:t>Appendix A</w:t>
      </w:r>
      <w:r w:rsidR="00F55CF8">
        <w:rPr>
          <w:sz w:val="24"/>
        </w:rPr>
        <w:tab/>
      </w:r>
      <w:r w:rsidR="00E12511">
        <w:rPr>
          <w:sz w:val="24"/>
        </w:rPr>
        <w:tab/>
      </w:r>
      <w:proofErr w:type="spellStart"/>
      <w:r w:rsidR="00F55CF8">
        <w:rPr>
          <w:sz w:val="24"/>
        </w:rPr>
        <w:t>Zadroga</w:t>
      </w:r>
      <w:proofErr w:type="spellEnd"/>
      <w:r w:rsidR="00F55CF8">
        <w:rPr>
          <w:sz w:val="24"/>
        </w:rPr>
        <w:t xml:space="preserve"> Act</w:t>
      </w:r>
    </w:p>
    <w:p w:rsidR="00F55CF8" w:rsidRPr="00212054" w:rsidRDefault="003D4825" w:rsidP="00212054">
      <w:pPr>
        <w:widowControl/>
        <w:ind w:left="2880" w:hanging="2160"/>
        <w:rPr>
          <w:sz w:val="24"/>
        </w:rPr>
      </w:pPr>
      <w:r>
        <w:rPr>
          <w:sz w:val="24"/>
        </w:rPr>
        <w:t>Appendix B</w:t>
      </w:r>
      <w:r>
        <w:rPr>
          <w:sz w:val="24"/>
        </w:rPr>
        <w:tab/>
      </w:r>
      <w:r w:rsidR="00212054">
        <w:rPr>
          <w:sz w:val="24"/>
        </w:rPr>
        <w:t>60 day FRN</w:t>
      </w:r>
      <w:r>
        <w:rPr>
          <w:bCs/>
          <w:sz w:val="24"/>
        </w:rPr>
        <w:t xml:space="preserve"> </w:t>
      </w:r>
    </w:p>
    <w:p w:rsidR="001C4052" w:rsidRDefault="00F55CF8" w:rsidP="000905B8">
      <w:pPr>
        <w:tabs>
          <w:tab w:val="left" w:pos="720"/>
          <w:tab w:val="left" w:pos="1440"/>
          <w:tab w:val="left" w:pos="2160"/>
        </w:tabs>
        <w:ind w:left="2160" w:hanging="2160"/>
        <w:rPr>
          <w:sz w:val="24"/>
          <w:lang w:bidi="en-US"/>
        </w:rPr>
      </w:pPr>
      <w:r>
        <w:rPr>
          <w:sz w:val="24"/>
        </w:rPr>
        <w:tab/>
        <w:t xml:space="preserve">Appendix </w:t>
      </w:r>
      <w:r w:rsidR="003D4825">
        <w:rPr>
          <w:sz w:val="24"/>
        </w:rPr>
        <w:t>C</w:t>
      </w:r>
      <w:r w:rsidR="00E12511">
        <w:rPr>
          <w:sz w:val="24"/>
        </w:rPr>
        <w:t>, C1</w:t>
      </w:r>
      <w:r w:rsidR="00E12511">
        <w:rPr>
          <w:sz w:val="24"/>
        </w:rPr>
        <w:tab/>
      </w:r>
      <w:r w:rsidR="00E23B88" w:rsidRPr="00E23B88">
        <w:rPr>
          <w:sz w:val="24"/>
          <w:lang w:bidi="en-US"/>
        </w:rPr>
        <w:t>Appeal to Eligibility</w:t>
      </w:r>
      <w:r w:rsidR="00284C64">
        <w:rPr>
          <w:sz w:val="24"/>
          <w:lang w:bidi="en-US"/>
        </w:rPr>
        <w:t xml:space="preserve"> &amp;</w:t>
      </w:r>
      <w:r w:rsidR="00E23B88" w:rsidRPr="00E23B88">
        <w:rPr>
          <w:sz w:val="24"/>
          <w:lang w:bidi="en-US"/>
        </w:rPr>
        <w:t xml:space="preserve"> Denial</w:t>
      </w:r>
      <w:r w:rsidR="00E12511">
        <w:rPr>
          <w:sz w:val="24"/>
          <w:lang w:bidi="en-US"/>
        </w:rPr>
        <w:t xml:space="preserve"> Letter</w:t>
      </w:r>
    </w:p>
    <w:p w:rsidR="00F55CF8" w:rsidRDefault="00F55CF8" w:rsidP="00F55CF8">
      <w:pPr>
        <w:rPr>
          <w:sz w:val="24"/>
          <w:lang w:bidi="en-US"/>
        </w:rPr>
      </w:pPr>
      <w:r>
        <w:rPr>
          <w:sz w:val="24"/>
        </w:rPr>
        <w:tab/>
        <w:t xml:space="preserve">Appendix </w:t>
      </w:r>
      <w:r w:rsidR="00793123">
        <w:rPr>
          <w:sz w:val="24"/>
        </w:rPr>
        <w:t>D</w:t>
      </w:r>
      <w:r w:rsidR="003D4825">
        <w:rPr>
          <w:sz w:val="24"/>
        </w:rPr>
        <w:tab/>
      </w:r>
      <w:r w:rsidR="00E12511">
        <w:rPr>
          <w:sz w:val="24"/>
        </w:rPr>
        <w:tab/>
      </w:r>
      <w:r w:rsidRPr="00481583">
        <w:rPr>
          <w:sz w:val="24"/>
          <w:lang w:bidi="en-US"/>
        </w:rPr>
        <w:t>WTC Health Program Medical Travel Refund Request</w:t>
      </w:r>
    </w:p>
    <w:p w:rsidR="00132BB7" w:rsidRPr="00481583" w:rsidRDefault="00132BB7" w:rsidP="00F55CF8">
      <w:pPr>
        <w:rPr>
          <w:sz w:val="24"/>
          <w:lang w:bidi="en-US"/>
        </w:rPr>
      </w:pPr>
      <w:r>
        <w:rPr>
          <w:sz w:val="24"/>
          <w:lang w:bidi="en-US"/>
        </w:rPr>
        <w:tab/>
        <w:t xml:space="preserve">Appendix </w:t>
      </w:r>
      <w:r w:rsidR="00793123">
        <w:rPr>
          <w:sz w:val="24"/>
          <w:lang w:bidi="en-US"/>
        </w:rPr>
        <w:t>E</w:t>
      </w:r>
      <w:r w:rsidR="00284C64">
        <w:rPr>
          <w:sz w:val="24"/>
          <w:lang w:bidi="en-US"/>
        </w:rPr>
        <w:t xml:space="preserve">, </w:t>
      </w:r>
      <w:r w:rsidR="00793123">
        <w:rPr>
          <w:sz w:val="24"/>
          <w:lang w:bidi="en-US"/>
        </w:rPr>
        <w:t>E</w:t>
      </w:r>
      <w:r w:rsidR="00284C64">
        <w:rPr>
          <w:sz w:val="24"/>
          <w:lang w:bidi="en-US"/>
        </w:rPr>
        <w:t>1</w:t>
      </w:r>
      <w:r w:rsidR="00E12511">
        <w:rPr>
          <w:sz w:val="24"/>
          <w:lang w:bidi="en-US"/>
        </w:rPr>
        <w:tab/>
      </w:r>
      <w:r w:rsidRPr="00132BB7">
        <w:rPr>
          <w:sz w:val="24"/>
          <w:lang w:bidi="en-US"/>
        </w:rPr>
        <w:t xml:space="preserve">Appeals </w:t>
      </w:r>
      <w:r w:rsidR="00284C64">
        <w:rPr>
          <w:sz w:val="24"/>
          <w:lang w:bidi="en-US"/>
        </w:rPr>
        <w:t>R</w:t>
      </w:r>
      <w:r w:rsidRPr="00132BB7">
        <w:rPr>
          <w:sz w:val="24"/>
          <w:lang w:bidi="en-US"/>
        </w:rPr>
        <w:t xml:space="preserve">egarding </w:t>
      </w:r>
      <w:r w:rsidR="00284C64">
        <w:rPr>
          <w:sz w:val="24"/>
          <w:lang w:bidi="en-US"/>
        </w:rPr>
        <w:t>C</w:t>
      </w:r>
      <w:r w:rsidRPr="00132BB7">
        <w:rPr>
          <w:sz w:val="24"/>
          <w:lang w:bidi="en-US"/>
        </w:rPr>
        <w:t xml:space="preserve">ertification of  </w:t>
      </w:r>
      <w:r w:rsidR="00284C64">
        <w:rPr>
          <w:sz w:val="24"/>
          <w:lang w:bidi="en-US"/>
        </w:rPr>
        <w:t>Health C</w:t>
      </w:r>
      <w:r w:rsidRPr="00132BB7">
        <w:rPr>
          <w:sz w:val="24"/>
          <w:lang w:bidi="en-US"/>
        </w:rPr>
        <w:t>ond</w:t>
      </w:r>
      <w:r w:rsidR="00284C64">
        <w:rPr>
          <w:sz w:val="24"/>
          <w:lang w:bidi="en-US"/>
        </w:rPr>
        <w:t>. &amp; Denial Letter</w:t>
      </w:r>
    </w:p>
    <w:p w:rsidR="0040642A" w:rsidRDefault="00132BB7" w:rsidP="00F55CF8">
      <w:pPr>
        <w:tabs>
          <w:tab w:val="left" w:pos="720"/>
          <w:tab w:val="left" w:pos="1440"/>
          <w:tab w:val="left" w:pos="2160"/>
        </w:tabs>
        <w:ind w:left="2160" w:hanging="2160"/>
        <w:rPr>
          <w:sz w:val="24"/>
        </w:rPr>
      </w:pPr>
      <w:r>
        <w:rPr>
          <w:sz w:val="24"/>
        </w:rPr>
        <w:tab/>
        <w:t xml:space="preserve">Appendix </w:t>
      </w:r>
      <w:r w:rsidR="00793123">
        <w:rPr>
          <w:sz w:val="24"/>
        </w:rPr>
        <w:t>F</w:t>
      </w:r>
      <w:r w:rsidR="00284C64">
        <w:rPr>
          <w:sz w:val="24"/>
        </w:rPr>
        <w:t xml:space="preserve">, </w:t>
      </w:r>
      <w:r w:rsidR="00793123">
        <w:rPr>
          <w:sz w:val="24"/>
        </w:rPr>
        <w:t>F</w:t>
      </w:r>
      <w:r w:rsidR="00284C64">
        <w:rPr>
          <w:sz w:val="24"/>
        </w:rPr>
        <w:t>1</w:t>
      </w:r>
      <w:r>
        <w:rPr>
          <w:sz w:val="24"/>
        </w:rPr>
        <w:tab/>
      </w:r>
      <w:r w:rsidRPr="00132BB7">
        <w:rPr>
          <w:sz w:val="24"/>
        </w:rPr>
        <w:t xml:space="preserve">Appeals </w:t>
      </w:r>
      <w:r w:rsidR="00284C64">
        <w:rPr>
          <w:sz w:val="24"/>
        </w:rPr>
        <w:t>R</w:t>
      </w:r>
      <w:r w:rsidRPr="00132BB7">
        <w:rPr>
          <w:sz w:val="24"/>
        </w:rPr>
        <w:t xml:space="preserve">egarding </w:t>
      </w:r>
      <w:r w:rsidR="00284C64">
        <w:rPr>
          <w:sz w:val="24"/>
        </w:rPr>
        <w:t>T</w:t>
      </w:r>
      <w:r w:rsidRPr="00132BB7">
        <w:rPr>
          <w:sz w:val="24"/>
        </w:rPr>
        <w:t>reatment</w:t>
      </w:r>
      <w:r w:rsidR="00E12511">
        <w:rPr>
          <w:sz w:val="24"/>
        </w:rPr>
        <w:t xml:space="preserve"> </w:t>
      </w:r>
      <w:r w:rsidR="00284C64">
        <w:rPr>
          <w:sz w:val="24"/>
        </w:rPr>
        <w:t>&amp;</w:t>
      </w:r>
      <w:r w:rsidR="00E12511">
        <w:rPr>
          <w:sz w:val="24"/>
        </w:rPr>
        <w:t xml:space="preserve"> Denial Letter</w:t>
      </w:r>
    </w:p>
    <w:p w:rsidR="00132BB7" w:rsidRDefault="00132BB7" w:rsidP="00F55CF8">
      <w:pPr>
        <w:tabs>
          <w:tab w:val="left" w:pos="720"/>
          <w:tab w:val="left" w:pos="1440"/>
          <w:tab w:val="left" w:pos="2160"/>
        </w:tabs>
        <w:ind w:left="2160" w:hanging="2160"/>
        <w:rPr>
          <w:sz w:val="24"/>
        </w:rPr>
      </w:pPr>
      <w:r>
        <w:rPr>
          <w:sz w:val="24"/>
        </w:rPr>
        <w:tab/>
      </w:r>
      <w:r w:rsidR="00E23B88">
        <w:rPr>
          <w:sz w:val="24"/>
        </w:rPr>
        <w:t xml:space="preserve">Appendix </w:t>
      </w:r>
      <w:r w:rsidR="00793123">
        <w:rPr>
          <w:sz w:val="24"/>
        </w:rPr>
        <w:t>G</w:t>
      </w:r>
      <w:r w:rsidR="00E23B88">
        <w:rPr>
          <w:sz w:val="24"/>
        </w:rPr>
        <w:tab/>
      </w:r>
      <w:r w:rsidR="00E12511">
        <w:rPr>
          <w:sz w:val="24"/>
        </w:rPr>
        <w:tab/>
      </w:r>
      <w:r w:rsidR="00E23B88" w:rsidRPr="00E23B88">
        <w:rPr>
          <w:sz w:val="24"/>
        </w:rPr>
        <w:t>Outpatient prescription pharmaceuticals</w:t>
      </w:r>
    </w:p>
    <w:p w:rsidR="00212054" w:rsidRDefault="00212054" w:rsidP="00212054">
      <w:pPr>
        <w:tabs>
          <w:tab w:val="left" w:pos="720"/>
          <w:tab w:val="left" w:pos="1440"/>
          <w:tab w:val="left" w:pos="2160"/>
        </w:tabs>
        <w:ind w:left="2880" w:hanging="2880"/>
        <w:rPr>
          <w:sz w:val="24"/>
        </w:rPr>
      </w:pPr>
      <w:r>
        <w:rPr>
          <w:sz w:val="24"/>
        </w:rPr>
        <w:tab/>
        <w:t xml:space="preserve">Appendix </w:t>
      </w:r>
      <w:r w:rsidR="00793123">
        <w:rPr>
          <w:sz w:val="24"/>
        </w:rPr>
        <w:t>H</w:t>
      </w:r>
      <w:r>
        <w:rPr>
          <w:sz w:val="24"/>
        </w:rPr>
        <w:t xml:space="preserve">  </w:t>
      </w:r>
      <w:r>
        <w:rPr>
          <w:sz w:val="24"/>
        </w:rPr>
        <w:tab/>
      </w:r>
      <w:r>
        <w:rPr>
          <w:sz w:val="24"/>
        </w:rPr>
        <w:tab/>
      </w:r>
      <w:r w:rsidRPr="00212054">
        <w:rPr>
          <w:sz w:val="24"/>
        </w:rPr>
        <w:t xml:space="preserve">World Trade Center Health Program Pentagon &amp; </w:t>
      </w:r>
      <w:proofErr w:type="spellStart"/>
      <w:r w:rsidRPr="00212054">
        <w:rPr>
          <w:sz w:val="24"/>
        </w:rPr>
        <w:t>Shanksville</w:t>
      </w:r>
      <w:proofErr w:type="spellEnd"/>
      <w:r w:rsidRPr="00212054">
        <w:rPr>
          <w:sz w:val="24"/>
        </w:rPr>
        <w:t>, Pennsylvania Responder Eligibility Application</w:t>
      </w:r>
    </w:p>
    <w:p w:rsidR="00793123" w:rsidRDefault="00793123" w:rsidP="00212054">
      <w:pPr>
        <w:tabs>
          <w:tab w:val="left" w:pos="720"/>
          <w:tab w:val="left" w:pos="1440"/>
          <w:tab w:val="left" w:pos="2160"/>
        </w:tabs>
        <w:ind w:left="2880" w:hanging="2880"/>
        <w:rPr>
          <w:sz w:val="24"/>
        </w:rPr>
      </w:pPr>
      <w:r>
        <w:rPr>
          <w:sz w:val="24"/>
        </w:rPr>
        <w:tab/>
        <w:t>Appendix I</w:t>
      </w:r>
      <w:r>
        <w:rPr>
          <w:sz w:val="24"/>
        </w:rPr>
        <w:tab/>
      </w:r>
      <w:r>
        <w:rPr>
          <w:sz w:val="24"/>
        </w:rPr>
        <w:tab/>
      </w:r>
      <w:r w:rsidR="00C067AF">
        <w:rPr>
          <w:sz w:val="24"/>
        </w:rPr>
        <w:t>Response to 60-day FRN public comment</w:t>
      </w:r>
    </w:p>
    <w:p w:rsidR="00A11439" w:rsidRDefault="00A11439" w:rsidP="00212054">
      <w:pPr>
        <w:tabs>
          <w:tab w:val="left" w:pos="720"/>
          <w:tab w:val="left" w:pos="1440"/>
          <w:tab w:val="left" w:pos="2160"/>
        </w:tabs>
        <w:ind w:left="2880" w:hanging="2880"/>
        <w:rPr>
          <w:sz w:val="24"/>
        </w:rPr>
      </w:pPr>
      <w:r>
        <w:rPr>
          <w:sz w:val="24"/>
        </w:rPr>
        <w:tab/>
        <w:t>Appendix J</w:t>
      </w:r>
      <w:r>
        <w:rPr>
          <w:sz w:val="24"/>
        </w:rPr>
        <w:tab/>
      </w:r>
      <w:r>
        <w:rPr>
          <w:sz w:val="24"/>
        </w:rPr>
        <w:tab/>
        <w:t>Interim Final Rule (</w:t>
      </w:r>
      <w:r w:rsidRPr="00A11439">
        <w:rPr>
          <w:sz w:val="24"/>
        </w:rPr>
        <w:t>RIN 0920–AA48</w:t>
      </w:r>
      <w:r>
        <w:rPr>
          <w:sz w:val="24"/>
        </w:rPr>
        <w:t>)</w:t>
      </w:r>
    </w:p>
    <w:p w:rsidR="005D0E34" w:rsidRDefault="005D0E34" w:rsidP="00212054">
      <w:pPr>
        <w:tabs>
          <w:tab w:val="left" w:pos="720"/>
          <w:tab w:val="left" w:pos="1440"/>
          <w:tab w:val="left" w:pos="2160"/>
        </w:tabs>
        <w:ind w:left="2880" w:hanging="2880"/>
        <w:rPr>
          <w:sz w:val="24"/>
        </w:rPr>
      </w:pPr>
      <w:r>
        <w:rPr>
          <w:sz w:val="24"/>
        </w:rPr>
        <w:tab/>
        <w:t>Appendix K</w:t>
      </w:r>
      <w:r>
        <w:rPr>
          <w:sz w:val="24"/>
        </w:rPr>
        <w:tab/>
      </w:r>
      <w:r>
        <w:rPr>
          <w:sz w:val="24"/>
        </w:rPr>
        <w:tab/>
        <w:t>IRB email</w:t>
      </w:r>
    </w:p>
    <w:p w:rsidR="0040642A" w:rsidRDefault="0040642A" w:rsidP="004972A6">
      <w:pPr>
        <w:tabs>
          <w:tab w:val="left" w:pos="720"/>
          <w:tab w:val="left" w:pos="1440"/>
          <w:tab w:val="left" w:pos="2160"/>
        </w:tabs>
        <w:ind w:left="2160" w:hanging="2160"/>
        <w:rPr>
          <w:sz w:val="24"/>
        </w:rPr>
      </w:pPr>
      <w:r>
        <w:rPr>
          <w:sz w:val="24"/>
        </w:rPr>
        <w:t xml:space="preserve"> </w:t>
      </w:r>
    </w:p>
    <w:p w:rsidR="00F863C9" w:rsidRDefault="004972A6" w:rsidP="00761784">
      <w:pPr>
        <w:tabs>
          <w:tab w:val="left" w:pos="720"/>
          <w:tab w:val="left" w:pos="1440"/>
          <w:tab w:val="left" w:pos="2160"/>
        </w:tabs>
        <w:ind w:left="2160" w:hanging="2160"/>
        <w:rPr>
          <w:sz w:val="24"/>
        </w:rPr>
      </w:pPr>
      <w:r>
        <w:rPr>
          <w:sz w:val="24"/>
        </w:rPr>
        <w:tab/>
      </w:r>
    </w:p>
    <w:p w:rsidR="00F863C9" w:rsidRDefault="00F863C9" w:rsidP="00F863C9">
      <w:pPr>
        <w:tabs>
          <w:tab w:val="left" w:pos="720"/>
          <w:tab w:val="left" w:pos="1440"/>
          <w:tab w:val="left" w:pos="2160"/>
        </w:tabs>
        <w:ind w:left="2160" w:hanging="2160"/>
        <w:rPr>
          <w:sz w:val="24"/>
        </w:rPr>
      </w:pPr>
    </w:p>
    <w:p w:rsidR="00F863C9" w:rsidRDefault="00F863C9" w:rsidP="00F863C9">
      <w:pPr>
        <w:tabs>
          <w:tab w:val="left" w:pos="720"/>
          <w:tab w:val="left" w:pos="1440"/>
          <w:tab w:val="left" w:pos="2160"/>
        </w:tabs>
        <w:ind w:left="2160" w:hanging="2160"/>
        <w:rPr>
          <w:sz w:val="24"/>
        </w:rPr>
      </w:pPr>
    </w:p>
    <w:p w:rsidR="00F863C9" w:rsidRDefault="00F863C9" w:rsidP="00F863C9">
      <w:pPr>
        <w:tabs>
          <w:tab w:val="left" w:pos="720"/>
          <w:tab w:val="left" w:pos="1440"/>
          <w:tab w:val="left" w:pos="2160"/>
        </w:tabs>
        <w:ind w:left="2160" w:hanging="2160"/>
        <w:rPr>
          <w:sz w:val="24"/>
        </w:rPr>
      </w:pPr>
    </w:p>
    <w:p w:rsidR="00F863C9" w:rsidRDefault="00F863C9" w:rsidP="00F863C9">
      <w:pPr>
        <w:tabs>
          <w:tab w:val="left" w:pos="720"/>
          <w:tab w:val="left" w:pos="1440"/>
          <w:tab w:val="left" w:pos="2160"/>
        </w:tabs>
        <w:ind w:left="2160" w:hanging="2160"/>
        <w:rPr>
          <w:sz w:val="24"/>
        </w:rPr>
      </w:pPr>
    </w:p>
    <w:p w:rsidR="00F863C9" w:rsidRDefault="00F863C9" w:rsidP="00F863C9">
      <w:pPr>
        <w:tabs>
          <w:tab w:val="left" w:pos="720"/>
          <w:tab w:val="left" w:pos="1440"/>
          <w:tab w:val="left" w:pos="2160"/>
        </w:tabs>
        <w:ind w:left="2160" w:hanging="2160"/>
        <w:rPr>
          <w:sz w:val="24"/>
        </w:rPr>
      </w:pPr>
    </w:p>
    <w:p w:rsidR="00F863C9" w:rsidRDefault="00F863C9" w:rsidP="00F863C9">
      <w:pPr>
        <w:tabs>
          <w:tab w:val="left" w:pos="720"/>
          <w:tab w:val="left" w:pos="1440"/>
          <w:tab w:val="left" w:pos="2160"/>
        </w:tabs>
        <w:ind w:left="2160" w:hanging="2160"/>
        <w:rPr>
          <w:sz w:val="24"/>
        </w:rPr>
      </w:pPr>
    </w:p>
    <w:p w:rsidR="00F863C9" w:rsidRDefault="00F863C9" w:rsidP="00F863C9">
      <w:pPr>
        <w:tabs>
          <w:tab w:val="left" w:pos="720"/>
          <w:tab w:val="left" w:pos="1440"/>
          <w:tab w:val="left" w:pos="2160"/>
        </w:tabs>
        <w:ind w:left="2160" w:hanging="2160"/>
        <w:rPr>
          <w:sz w:val="24"/>
        </w:rPr>
      </w:pPr>
    </w:p>
    <w:p w:rsidR="00F863C9" w:rsidRDefault="00F863C9" w:rsidP="000905B8">
      <w:pPr>
        <w:rPr>
          <w:b/>
          <w:sz w:val="32"/>
          <w:szCs w:val="32"/>
        </w:rPr>
      </w:pPr>
    </w:p>
    <w:p w:rsidR="00F863C9" w:rsidRDefault="00F863C9" w:rsidP="00F863C9">
      <w:pPr>
        <w:rPr>
          <w:sz w:val="24"/>
        </w:rPr>
      </w:pPr>
    </w:p>
    <w:p w:rsidR="00F863C9" w:rsidRDefault="00F863C9" w:rsidP="00F863C9">
      <w:pPr>
        <w:rPr>
          <w:b/>
          <w:bCs/>
          <w:sz w:val="24"/>
        </w:rPr>
      </w:pPr>
      <w:r>
        <w:rPr>
          <w:b/>
          <w:bCs/>
          <w:sz w:val="24"/>
        </w:rPr>
        <w:t>A.</w:t>
      </w:r>
      <w:r>
        <w:rPr>
          <w:b/>
          <w:bCs/>
          <w:sz w:val="24"/>
        </w:rPr>
        <w:tab/>
        <w:t>Justification</w:t>
      </w:r>
    </w:p>
    <w:p w:rsidR="00F863C9" w:rsidRDefault="00F863C9" w:rsidP="00F863C9">
      <w:pPr>
        <w:rPr>
          <w:sz w:val="24"/>
        </w:rPr>
      </w:pPr>
    </w:p>
    <w:p w:rsidR="00F863C9" w:rsidRDefault="00F863C9" w:rsidP="00F863C9">
      <w:pPr>
        <w:numPr>
          <w:ilvl w:val="0"/>
          <w:numId w:val="1"/>
        </w:numPr>
        <w:rPr>
          <w:b/>
          <w:sz w:val="24"/>
        </w:rPr>
      </w:pPr>
      <w:r>
        <w:rPr>
          <w:b/>
          <w:sz w:val="24"/>
          <w:u w:val="single"/>
        </w:rPr>
        <w:t>Circumstances Making the Collection of Information Necessary</w:t>
      </w:r>
    </w:p>
    <w:p w:rsidR="00F863C9" w:rsidRDefault="00F863C9" w:rsidP="00F863C9">
      <w:pPr>
        <w:ind w:firstLine="720"/>
        <w:rPr>
          <w:sz w:val="24"/>
        </w:rPr>
      </w:pPr>
    </w:p>
    <w:p w:rsidR="00761784" w:rsidRDefault="009D3302" w:rsidP="004B36A5">
      <w:pPr>
        <w:pStyle w:val="Style"/>
        <w:spacing w:before="268" w:line="259" w:lineRule="exact"/>
        <w:ind w:left="720" w:right="1"/>
      </w:pPr>
      <w:r w:rsidRPr="009D3302">
        <w:t xml:space="preserve">This is a request for </w:t>
      </w:r>
      <w:r w:rsidR="0007693A">
        <w:t>a new</w:t>
      </w:r>
      <w:r w:rsidRPr="009D3302">
        <w:t xml:space="preserve"> </w:t>
      </w:r>
      <w:r w:rsidR="0007693A">
        <w:t xml:space="preserve">ICR which was originally </w:t>
      </w:r>
      <w:r w:rsidRPr="009D3302">
        <w:t xml:space="preserve">approved </w:t>
      </w:r>
      <w:r w:rsidR="0007693A">
        <w:t xml:space="preserve">as an </w:t>
      </w:r>
      <w:r w:rsidRPr="009D3302">
        <w:t xml:space="preserve">emergency clearance </w:t>
      </w:r>
      <w:r w:rsidR="0007693A">
        <w:t xml:space="preserve">(0920-0962, exp. date 10/31/13) </w:t>
      </w:r>
      <w:r w:rsidRPr="009D3302">
        <w:t xml:space="preserve">from the National Institute for Occupational Safety and Health (NIOSH), Centers for Disease Control and Prevention (CDC). </w:t>
      </w:r>
      <w:r w:rsidR="00174487">
        <w:t>The proposed collection will</w:t>
      </w:r>
      <w:r w:rsidR="00174487" w:rsidRPr="00174487">
        <w:t xml:space="preserve"> collect enrollment </w:t>
      </w:r>
      <w:r w:rsidR="00174487">
        <w:t xml:space="preserve">and appeals </w:t>
      </w:r>
      <w:r w:rsidR="00174487" w:rsidRPr="00174487">
        <w:t xml:space="preserve">data as required by the James </w:t>
      </w:r>
      <w:proofErr w:type="spellStart"/>
      <w:r w:rsidR="00174487" w:rsidRPr="00174487">
        <w:t>Zadroga</w:t>
      </w:r>
      <w:proofErr w:type="spellEnd"/>
      <w:r w:rsidR="00174487" w:rsidRPr="00174487">
        <w:t xml:space="preserve"> 9/11 Health and Compensation Act of 2010 (</w:t>
      </w:r>
      <w:r w:rsidR="001C4052">
        <w:t>Appendix</w:t>
      </w:r>
      <w:r w:rsidR="002C7C1A">
        <w:t xml:space="preserve"> A-</w:t>
      </w:r>
      <w:proofErr w:type="spellStart"/>
      <w:r w:rsidR="00174487" w:rsidRPr="00174487">
        <w:t>Zadroga</w:t>
      </w:r>
      <w:proofErr w:type="spellEnd"/>
      <w:r w:rsidR="00174487" w:rsidRPr="00174487">
        <w:t xml:space="preserve"> Act). </w:t>
      </w:r>
      <w:r w:rsidR="00E73104" w:rsidRPr="00E73104">
        <w:t xml:space="preserve">Title I of the James </w:t>
      </w:r>
      <w:proofErr w:type="spellStart"/>
      <w:r w:rsidR="00E73104" w:rsidRPr="00E73104">
        <w:t>Zadroga</w:t>
      </w:r>
      <w:proofErr w:type="spellEnd"/>
      <w:r w:rsidR="00E73104" w:rsidRPr="00E73104">
        <w:t xml:space="preserve"> 9/11 Health and Compensation Act of 2010 amended the Public Health Service Act (PHS Act) by adding Title XXXIII, which establishes the World Trade Center (WTC) Health Program. The WTC Health Program is administered in part by the Director of the National Institute for Occupational Safety and Health (NIOSH), within the Centers for Disease Control and Prevention (CDC), in the Department of Health and Human Services (HHS), and provides medical monitoring and treatment to eligible firefighters and related personnel, law enforcement officers, and rescue, recovery and cleanup workers who responded to the September 11, 2001, terrorist attacks in New York City, </w:t>
      </w:r>
      <w:proofErr w:type="spellStart"/>
      <w:r w:rsidR="00E73104" w:rsidRPr="00E73104">
        <w:t>Shanksville</w:t>
      </w:r>
      <w:proofErr w:type="spellEnd"/>
      <w:r w:rsidR="00E73104" w:rsidRPr="00E73104">
        <w:t xml:space="preserve">, Pennsylvania, and at the Pentagon, and to eligible survivors of the New York City attacks. Section 3311(a)(2)(C) of the PHS Act authorizes the WTC Program Administrator (Administrator) to develop eligibility criteria for enrollment of </w:t>
      </w:r>
      <w:proofErr w:type="spellStart"/>
      <w:r w:rsidR="00E73104" w:rsidRPr="00E73104">
        <w:t>Shanksville</w:t>
      </w:r>
      <w:proofErr w:type="spellEnd"/>
      <w:r w:rsidR="00E73104" w:rsidRPr="00E73104">
        <w:t xml:space="preserve">, Pennsylvania and Pentagon responders. </w:t>
      </w:r>
      <w:r w:rsidR="00E73104">
        <w:t xml:space="preserve">Pentagon and </w:t>
      </w:r>
      <w:proofErr w:type="spellStart"/>
      <w:r w:rsidR="00E73104">
        <w:t>Shanksville</w:t>
      </w:r>
      <w:proofErr w:type="spellEnd"/>
      <w:r w:rsidR="00E73104">
        <w:t xml:space="preserve"> responders who believe they may be </w:t>
      </w:r>
      <w:r w:rsidR="004B36A5">
        <w:t xml:space="preserve">eligible for enrollment in the Program must complete an enrollment form. </w:t>
      </w:r>
      <w:r w:rsidR="00761784">
        <w:t xml:space="preserve">The following </w:t>
      </w:r>
      <w:r w:rsidR="00AD2567">
        <w:t xml:space="preserve">information </w:t>
      </w:r>
      <w:r w:rsidR="00761784">
        <w:t xml:space="preserve">includes </w:t>
      </w:r>
      <w:r w:rsidR="00D96C03">
        <w:t>the</w:t>
      </w:r>
      <w:r w:rsidR="00761784">
        <w:t xml:space="preserve"> definition of each population:</w:t>
      </w:r>
    </w:p>
    <w:p w:rsidR="00972833" w:rsidRDefault="00972833" w:rsidP="00972833">
      <w:pPr>
        <w:pStyle w:val="Style"/>
        <w:numPr>
          <w:ilvl w:val="0"/>
          <w:numId w:val="2"/>
        </w:numPr>
        <w:spacing w:before="268" w:line="259" w:lineRule="exact"/>
        <w:ind w:right="1"/>
      </w:pPr>
      <w:r w:rsidRPr="00972833">
        <w:t>A Pentagon responder is someone who was a member of a fire or police department (whether fire or emergency personnel, active or retired),</w:t>
      </w:r>
      <w:r>
        <w:rPr>
          <w:rStyle w:val="FootnoteReference"/>
        </w:rPr>
        <w:footnoteReference w:id="1"/>
      </w:r>
      <w:r w:rsidRPr="00972833">
        <w:t xml:space="preserve"> worked for a recovery or cleanup contractor, or was a volunteer; and performed rescue, recovery, demolition, debris cleanup, or other related services at the Pentagon site of the terrorist-related aircraft crash of September 11, 2001, during the period beginning on September 11, 2001, and ending on November 19, 2001.</w:t>
      </w:r>
      <w:r w:rsidR="00097814">
        <w:t xml:space="preserve"> </w:t>
      </w:r>
    </w:p>
    <w:p w:rsidR="00972833" w:rsidRPr="00761784" w:rsidRDefault="00972833" w:rsidP="00972833">
      <w:pPr>
        <w:pStyle w:val="Style"/>
        <w:numPr>
          <w:ilvl w:val="0"/>
          <w:numId w:val="2"/>
        </w:numPr>
        <w:spacing w:before="268" w:line="259" w:lineRule="exact"/>
        <w:ind w:right="1"/>
      </w:pPr>
      <w:r w:rsidRPr="00972833">
        <w:t xml:space="preserve">A </w:t>
      </w:r>
      <w:proofErr w:type="spellStart"/>
      <w:r w:rsidRPr="00972833">
        <w:t>Shanksville</w:t>
      </w:r>
      <w:proofErr w:type="spellEnd"/>
      <w:r w:rsidRPr="00972833">
        <w:t xml:space="preserve"> responder is someone who was a member of a fire or police department (whether fire or emergency personnel, active or retired),</w:t>
      </w:r>
      <w:r w:rsidRPr="00972833">
        <w:rPr>
          <w:vertAlign w:val="superscript"/>
        </w:rPr>
        <w:t>1</w:t>
      </w:r>
      <w:r w:rsidRPr="00972833">
        <w:t xml:space="preserve"> worked for a recovery or cleanup contractor, or was a volunteer; and performed rescue, recovery, demolition, debris cleanup, or other related services at the </w:t>
      </w:r>
      <w:proofErr w:type="spellStart"/>
      <w:r w:rsidRPr="00972833">
        <w:t>Shanksville</w:t>
      </w:r>
      <w:proofErr w:type="spellEnd"/>
      <w:r w:rsidRPr="00972833">
        <w:t>, Pennsylvania site of the terrorist-related aircraft crash of September 11, 2001, during the period beginning on September 11, 2001, and ending on October 3, 2001.</w:t>
      </w:r>
    </w:p>
    <w:p w:rsidR="00EE763A" w:rsidRDefault="00174487" w:rsidP="00B241C6">
      <w:pPr>
        <w:pStyle w:val="Style"/>
        <w:spacing w:before="268" w:line="259" w:lineRule="exact"/>
        <w:ind w:left="720" w:right="1"/>
      </w:pPr>
      <w:r w:rsidRPr="00174487">
        <w:t xml:space="preserve">The enrollment form will collect </w:t>
      </w:r>
      <w:r w:rsidR="00761784">
        <w:t>general contact</w:t>
      </w:r>
      <w:r w:rsidRPr="00174487">
        <w:t xml:space="preserve"> information</w:t>
      </w:r>
      <w:r w:rsidR="00761784">
        <w:t xml:space="preserve"> as well as information</w:t>
      </w:r>
      <w:r w:rsidRPr="00174487">
        <w:t xml:space="preserve"> regarding </w:t>
      </w:r>
      <w:r w:rsidR="00C8703A" w:rsidRPr="00174487">
        <w:t xml:space="preserve">the </w:t>
      </w:r>
      <w:r w:rsidR="00871D7E">
        <w:t>9/11</w:t>
      </w:r>
      <w:r w:rsidRPr="00174487">
        <w:t xml:space="preserve"> disaster area experience. </w:t>
      </w:r>
      <w:r w:rsidR="00235E4C">
        <w:t xml:space="preserve">In order to reduce the burden on the </w:t>
      </w:r>
      <w:r w:rsidR="00235E4C">
        <w:lastRenderedPageBreak/>
        <w:t xml:space="preserve">respondents, the WTC Health </w:t>
      </w:r>
      <w:r w:rsidR="00871D7E">
        <w:t>P</w:t>
      </w:r>
      <w:r w:rsidR="00235E4C">
        <w:t>rogram will make the form available to be downloaded from the internet or obtained in hard copy and submitted by mail.</w:t>
      </w:r>
      <w:r w:rsidR="00B241C6">
        <w:t xml:space="preserve"> </w:t>
      </w:r>
      <w:r w:rsidR="008D651A">
        <w:t>The enrollment forms will be available for download on the NIOSH website</w:t>
      </w:r>
      <w:r w:rsidR="0023595B">
        <w:t xml:space="preserve"> at </w:t>
      </w:r>
      <w:r w:rsidR="0023595B" w:rsidRPr="0023595B">
        <w:t>http://www.cdc.gov/wtc/</w:t>
      </w:r>
      <w:r w:rsidR="008D651A">
        <w:t xml:space="preserve">. </w:t>
      </w:r>
    </w:p>
    <w:p w:rsidR="00CA5DCC" w:rsidRDefault="00776473" w:rsidP="00F863C9">
      <w:pPr>
        <w:pStyle w:val="Style"/>
        <w:spacing w:before="268" w:line="259" w:lineRule="exact"/>
        <w:ind w:left="720" w:right="1"/>
      </w:pPr>
      <w:r w:rsidRPr="00776473">
        <w:rPr>
          <w:lang w:bidi="en-US"/>
        </w:rPr>
        <w:t xml:space="preserve">This </w:t>
      </w:r>
      <w:r w:rsidR="009D3302">
        <w:rPr>
          <w:lang w:bidi="en-US"/>
        </w:rPr>
        <w:t xml:space="preserve">request began as an </w:t>
      </w:r>
      <w:r w:rsidRPr="00776473">
        <w:rPr>
          <w:lang w:bidi="en-US"/>
        </w:rPr>
        <w:t xml:space="preserve">emergency </w:t>
      </w:r>
      <w:r w:rsidR="009314CC">
        <w:rPr>
          <w:lang w:bidi="en-US"/>
        </w:rPr>
        <w:t>clearance</w:t>
      </w:r>
      <w:r w:rsidRPr="00776473">
        <w:rPr>
          <w:lang w:bidi="en-US"/>
        </w:rPr>
        <w:t xml:space="preserve"> </w:t>
      </w:r>
      <w:r w:rsidR="009D3302">
        <w:rPr>
          <w:lang w:bidi="en-US"/>
        </w:rPr>
        <w:t>which was</w:t>
      </w:r>
      <w:r w:rsidRPr="00776473">
        <w:rPr>
          <w:lang w:bidi="en-US"/>
        </w:rPr>
        <w:t xml:space="preserve"> warranted because it is essential that individuals who wish to apply to the WTC Health Program or appeal a determination made by the WTC Program Administrator have the opp</w:t>
      </w:r>
      <w:r w:rsidR="00E24DB0">
        <w:rPr>
          <w:lang w:bidi="en-US"/>
        </w:rPr>
        <w:t xml:space="preserve">ortunity to do so as soon as eligibility criteria </w:t>
      </w:r>
      <w:r w:rsidR="00651EA8">
        <w:rPr>
          <w:lang w:bidi="en-US"/>
        </w:rPr>
        <w:t xml:space="preserve">for Pentagon and </w:t>
      </w:r>
      <w:proofErr w:type="spellStart"/>
      <w:r w:rsidR="00651EA8">
        <w:rPr>
          <w:lang w:bidi="en-US"/>
        </w:rPr>
        <w:t>Shanksville</w:t>
      </w:r>
      <w:proofErr w:type="spellEnd"/>
      <w:r w:rsidR="00651EA8">
        <w:rPr>
          <w:lang w:bidi="en-US"/>
        </w:rPr>
        <w:t xml:space="preserve">, Pennsylvania responders </w:t>
      </w:r>
      <w:r w:rsidR="00E24DB0">
        <w:rPr>
          <w:lang w:bidi="en-US"/>
        </w:rPr>
        <w:t>are promulgated. Eligibility criteria are being promulgated by Interim Final Rule be</w:t>
      </w:r>
      <w:r w:rsidR="0007693A">
        <w:rPr>
          <w:lang w:bidi="en-US"/>
        </w:rPr>
        <w:t>came</w:t>
      </w:r>
      <w:r w:rsidR="00E24DB0">
        <w:rPr>
          <w:lang w:bidi="en-US"/>
        </w:rPr>
        <w:t xml:space="preserve"> effective on </w:t>
      </w:r>
      <w:r w:rsidR="005B5802">
        <w:rPr>
          <w:lang w:bidi="en-US"/>
        </w:rPr>
        <w:t>May 1, 2013</w:t>
      </w:r>
      <w:r w:rsidR="00E24DB0">
        <w:rPr>
          <w:lang w:bidi="en-US"/>
        </w:rPr>
        <w:t>.</w:t>
      </w:r>
    </w:p>
    <w:p w:rsidR="00F863C9" w:rsidRDefault="00F863C9" w:rsidP="00F863C9">
      <w:pPr>
        <w:rPr>
          <w:sz w:val="24"/>
        </w:rPr>
      </w:pPr>
    </w:p>
    <w:p w:rsidR="00F863C9" w:rsidRDefault="00F863C9" w:rsidP="00F863C9">
      <w:pPr>
        <w:ind w:left="360"/>
        <w:rPr>
          <w:sz w:val="24"/>
        </w:rPr>
      </w:pPr>
    </w:p>
    <w:p w:rsidR="00F863C9" w:rsidRDefault="00F863C9" w:rsidP="00F863C9">
      <w:pPr>
        <w:numPr>
          <w:ilvl w:val="0"/>
          <w:numId w:val="1"/>
        </w:numPr>
        <w:rPr>
          <w:b/>
          <w:sz w:val="24"/>
        </w:rPr>
      </w:pPr>
      <w:r>
        <w:rPr>
          <w:b/>
          <w:sz w:val="24"/>
          <w:u w:val="single"/>
        </w:rPr>
        <w:t>Purpose and Use of Information Collection</w:t>
      </w:r>
    </w:p>
    <w:p w:rsidR="006A0DDF" w:rsidRDefault="00DD0894" w:rsidP="005430BF">
      <w:pPr>
        <w:pStyle w:val="Style"/>
        <w:spacing w:before="268" w:line="259" w:lineRule="exact"/>
        <w:ind w:left="720" w:right="1"/>
        <w:rPr>
          <w:lang w:bidi="en-US"/>
        </w:rPr>
      </w:pPr>
      <w:r>
        <w:t>This information is being collected in order to d</w:t>
      </w:r>
      <w:r w:rsidR="00CA5DCC">
        <w:t xml:space="preserve">etermine the eligibility of </w:t>
      </w:r>
      <w:r w:rsidR="002C133B">
        <w:t xml:space="preserve">Pentagon and </w:t>
      </w:r>
      <w:proofErr w:type="spellStart"/>
      <w:r w:rsidR="002C133B">
        <w:t>Shanksville</w:t>
      </w:r>
      <w:proofErr w:type="spellEnd"/>
      <w:r w:rsidR="002C133B">
        <w:t>, Pennsylvania re</w:t>
      </w:r>
      <w:r w:rsidR="00CA5DCC">
        <w:t>sponder</w:t>
      </w:r>
      <w:r w:rsidR="002C133B">
        <w:t>s</w:t>
      </w:r>
      <w:r>
        <w:t xml:space="preserve"> as well as to provide program participants with the opportunity to appeal. </w:t>
      </w:r>
      <w:r w:rsidR="006A0DDF">
        <w:t xml:space="preserve">This includes </w:t>
      </w:r>
      <w:r w:rsidR="00665D39">
        <w:t>individuals</w:t>
      </w:r>
      <w:r w:rsidR="00681375">
        <w:t>’</w:t>
      </w:r>
      <w:r w:rsidR="006A0DDF">
        <w:t xml:space="preserve"> names, </w:t>
      </w:r>
      <w:r w:rsidR="00EE763A">
        <w:t>mailing address, telephone number, date of birth</w:t>
      </w:r>
      <w:r w:rsidR="00335156">
        <w:t>, and gender</w:t>
      </w:r>
      <w:r w:rsidR="006A0DDF">
        <w:t xml:space="preserve"> </w:t>
      </w:r>
      <w:r w:rsidR="0052717D">
        <w:t xml:space="preserve">(Appendix </w:t>
      </w:r>
      <w:r w:rsidR="00793123">
        <w:t>H</w:t>
      </w:r>
      <w:r w:rsidR="0052717D">
        <w:t>)</w:t>
      </w:r>
      <w:r w:rsidR="00D11520">
        <w:t>.</w:t>
      </w:r>
      <w:r w:rsidR="0052717D">
        <w:t xml:space="preserve"> </w:t>
      </w:r>
      <w:r w:rsidR="006A0DDF">
        <w:t>This information will be shared with the WTC Program Administrator</w:t>
      </w:r>
      <w:r w:rsidR="00EE763A">
        <w:t xml:space="preserve"> and will be kept in a secure manner. The information provided will also be shared with the Federal Bureau of Investigation in order to be matched against the Terrorist </w:t>
      </w:r>
      <w:proofErr w:type="spellStart"/>
      <w:r w:rsidR="00EE763A">
        <w:t>watchlist</w:t>
      </w:r>
      <w:proofErr w:type="spellEnd"/>
      <w:r w:rsidR="00EE763A">
        <w:t xml:space="preserve">. The </w:t>
      </w:r>
      <w:r w:rsidR="00EE763A">
        <w:rPr>
          <w:lang w:bidi="en-US"/>
        </w:rPr>
        <w:t xml:space="preserve">Terrorist </w:t>
      </w:r>
      <w:proofErr w:type="spellStart"/>
      <w:r w:rsidR="00EE763A">
        <w:rPr>
          <w:lang w:bidi="en-US"/>
        </w:rPr>
        <w:t>watchlist</w:t>
      </w:r>
      <w:proofErr w:type="spellEnd"/>
      <w:r w:rsidR="00EE763A" w:rsidRPr="00EE763A">
        <w:rPr>
          <w:lang w:bidi="en-US"/>
        </w:rPr>
        <w:t xml:space="preserve"> is included to incorporate the statutory requirement that no individual whose name is on the </w:t>
      </w:r>
      <w:proofErr w:type="spellStart"/>
      <w:r w:rsidR="00EE763A" w:rsidRPr="00EE763A">
        <w:rPr>
          <w:lang w:bidi="en-US"/>
        </w:rPr>
        <w:t>watchlist</w:t>
      </w:r>
      <w:proofErr w:type="spellEnd"/>
      <w:r w:rsidR="00EE763A" w:rsidRPr="00EE763A">
        <w:rPr>
          <w:lang w:bidi="en-US"/>
        </w:rPr>
        <w:t xml:space="preserve"> maintained by the Federal government shall qualify to become a WTC responder.</w:t>
      </w:r>
    </w:p>
    <w:p w:rsidR="00B241C6" w:rsidRDefault="00B241C6" w:rsidP="005430BF">
      <w:pPr>
        <w:pStyle w:val="Style"/>
        <w:spacing w:before="268" w:line="259" w:lineRule="exact"/>
        <w:ind w:left="720" w:right="1"/>
        <w:rPr>
          <w:lang w:bidi="en-US"/>
        </w:rPr>
      </w:pPr>
      <w:r>
        <w:t xml:space="preserve">WTC Health Program applicants and enrolled participants have two opportunities to appeal decisions made by the WTC Program Administrator. The first opportunity to appeal arises after a determination that an applicant does not meet the eligibility requirements for a WTC-responder (the term "WTC-responder" includes all responders in New York, </w:t>
      </w:r>
      <w:proofErr w:type="spellStart"/>
      <w:r>
        <w:t>Shanksville</w:t>
      </w:r>
      <w:proofErr w:type="spellEnd"/>
      <w:r>
        <w:t>, Pennsylvania, and at the Pentagon). In the notification letter explaining the determination, the applicant will be advised that an appeal can be requested by submitting in writing their name, contact information, and an explanation for the basis of the appeal. Program participants will also have the opportunity to appeal a decision not to certify a WTC-related health condition or provide treatment. In the notification letter explaining the determination, the applicant will be advised that an appeal can be requested by submitting in writing their name, contact information, and an explanation for the basis of the appeal</w:t>
      </w:r>
      <w:r w:rsidR="00AF1AAC">
        <w:t>.</w:t>
      </w:r>
      <w:r>
        <w:t xml:space="preserve"> </w:t>
      </w:r>
    </w:p>
    <w:p w:rsidR="008A50CD" w:rsidRDefault="008A50CD" w:rsidP="005430BF">
      <w:pPr>
        <w:pStyle w:val="Style"/>
        <w:spacing w:before="268" w:line="259" w:lineRule="exact"/>
        <w:ind w:left="720" w:right="1"/>
      </w:pPr>
      <w:r>
        <w:rPr>
          <w:lang w:bidi="en-US"/>
        </w:rPr>
        <w:t xml:space="preserve">This information collection request also accounts </w:t>
      </w:r>
      <w:r w:rsidR="006E66F1">
        <w:rPr>
          <w:lang w:bidi="en-US"/>
        </w:rPr>
        <w:t>for</w:t>
      </w:r>
      <w:r w:rsidR="0040642A">
        <w:rPr>
          <w:lang w:bidi="en-US"/>
        </w:rPr>
        <w:t xml:space="preserve"> </w:t>
      </w:r>
      <w:r w:rsidR="00EB30D1">
        <w:rPr>
          <w:lang w:bidi="en-US"/>
        </w:rPr>
        <w:t xml:space="preserve">reimbursement claims from </w:t>
      </w:r>
      <w:r w:rsidR="0040642A">
        <w:rPr>
          <w:lang w:bidi="en-US"/>
        </w:rPr>
        <w:t>pharmacies to the Program</w:t>
      </w:r>
      <w:r w:rsidR="003C5CF3">
        <w:rPr>
          <w:lang w:bidi="en-US"/>
        </w:rPr>
        <w:t xml:space="preserve"> (there is no corresponding form for this transaction; see below)</w:t>
      </w:r>
      <w:r w:rsidR="00EB30D1">
        <w:rPr>
          <w:lang w:bidi="en-US"/>
        </w:rPr>
        <w:t>; and</w:t>
      </w:r>
      <w:r w:rsidR="0040642A">
        <w:rPr>
          <w:lang w:bidi="en-US"/>
        </w:rPr>
        <w:t xml:space="preserve"> the travel expenses of</w:t>
      </w:r>
      <w:r w:rsidR="006E66F1">
        <w:rPr>
          <w:lang w:bidi="en-US"/>
        </w:rPr>
        <w:t xml:space="preserve"> </w:t>
      </w:r>
      <w:r w:rsidRPr="00E203BB">
        <w:t>WTC responders</w:t>
      </w:r>
      <w:r w:rsidR="00CB437C">
        <w:t xml:space="preserve"> </w:t>
      </w:r>
      <w:r w:rsidRPr="00E203BB">
        <w:t>who travel more than 250 miles to a nationwide network provider for medically necessary treatment</w:t>
      </w:r>
      <w:r w:rsidR="00EB30D1">
        <w:t xml:space="preserve"> (Appendix </w:t>
      </w:r>
      <w:r w:rsidR="00793123">
        <w:t>D</w:t>
      </w:r>
      <w:r w:rsidR="00EB30D1">
        <w:t>)</w:t>
      </w:r>
      <w:r w:rsidR="00CB437C">
        <w:t>. Those individuals</w:t>
      </w:r>
      <w:r w:rsidRPr="00E203BB">
        <w:t xml:space="preserve"> may be provided necessary and reasonable tra</w:t>
      </w:r>
      <w:r w:rsidR="008A0D4D">
        <w:t xml:space="preserve">nsportation and other expenses. </w:t>
      </w:r>
      <w:r w:rsidR="0040642A">
        <w:t>Also included within this request is the burden estimate for the a</w:t>
      </w:r>
      <w:r>
        <w:t xml:space="preserve">pproximately </w:t>
      </w:r>
      <w:r w:rsidR="0078133D">
        <w:t>540-1,467</w:t>
      </w:r>
      <w:r>
        <w:t xml:space="preserve"> </w:t>
      </w:r>
      <w:r w:rsidR="00B94B0B">
        <w:t xml:space="preserve">Pentagon and </w:t>
      </w:r>
      <w:proofErr w:type="spellStart"/>
      <w:r w:rsidR="00B94B0B">
        <w:t>Shanksville</w:t>
      </w:r>
      <w:proofErr w:type="spellEnd"/>
      <w:r w:rsidR="00B94B0B">
        <w:t xml:space="preserve"> </w:t>
      </w:r>
      <w:r w:rsidRPr="00A578FE">
        <w:t xml:space="preserve">WTC responders </w:t>
      </w:r>
      <w:r w:rsidR="00B94B0B">
        <w:t>who are expected to enroll in the P</w:t>
      </w:r>
      <w:r w:rsidRPr="00A578FE">
        <w:t xml:space="preserve">rogram. </w:t>
      </w:r>
    </w:p>
    <w:p w:rsidR="00EE763A" w:rsidRDefault="00EE763A" w:rsidP="00EE763A">
      <w:pPr>
        <w:ind w:left="720"/>
        <w:rPr>
          <w:sz w:val="24"/>
        </w:rPr>
      </w:pPr>
    </w:p>
    <w:p w:rsidR="00F863C9" w:rsidRDefault="00F863C9" w:rsidP="00F863C9">
      <w:pPr>
        <w:numPr>
          <w:ilvl w:val="0"/>
          <w:numId w:val="1"/>
        </w:numPr>
        <w:rPr>
          <w:sz w:val="24"/>
        </w:rPr>
      </w:pPr>
      <w:r>
        <w:rPr>
          <w:b/>
          <w:sz w:val="24"/>
          <w:u w:val="single"/>
        </w:rPr>
        <w:t xml:space="preserve">Use of Improved Information Technology and Burden Reduction </w:t>
      </w:r>
    </w:p>
    <w:p w:rsidR="00F863C9" w:rsidRDefault="00093231" w:rsidP="00F863C9">
      <w:pPr>
        <w:ind w:left="720"/>
        <w:rPr>
          <w:sz w:val="24"/>
        </w:rPr>
      </w:pPr>
      <w:r>
        <w:rPr>
          <w:sz w:val="24"/>
        </w:rPr>
        <w:t>Due to the fact that the eligibility forms require a signature, they</w:t>
      </w:r>
      <w:r w:rsidR="006A0DDF">
        <w:rPr>
          <w:sz w:val="24"/>
        </w:rPr>
        <w:t xml:space="preserve"> may </w:t>
      </w:r>
      <w:r w:rsidR="00F863C9">
        <w:rPr>
          <w:sz w:val="24"/>
        </w:rPr>
        <w:t>be collected via</w:t>
      </w:r>
      <w:r w:rsidR="006A0DDF">
        <w:rPr>
          <w:sz w:val="24"/>
        </w:rPr>
        <w:t xml:space="preserve"> hard copy</w:t>
      </w:r>
      <w:r>
        <w:rPr>
          <w:sz w:val="24"/>
        </w:rPr>
        <w:t>, scan, or fax</w:t>
      </w:r>
      <w:r w:rsidR="006A0DDF">
        <w:rPr>
          <w:sz w:val="24"/>
        </w:rPr>
        <w:t>. The appeal letter must be submitted in writing.</w:t>
      </w:r>
    </w:p>
    <w:p w:rsidR="00F863C9" w:rsidRDefault="00F863C9" w:rsidP="00F863C9">
      <w:pPr>
        <w:ind w:firstLine="720"/>
        <w:rPr>
          <w:sz w:val="24"/>
        </w:rPr>
      </w:pPr>
    </w:p>
    <w:p w:rsidR="00F863C9" w:rsidRDefault="00F863C9" w:rsidP="00F863C9">
      <w:pPr>
        <w:numPr>
          <w:ilvl w:val="0"/>
          <w:numId w:val="1"/>
        </w:numPr>
        <w:ind w:right="-270"/>
        <w:rPr>
          <w:b/>
          <w:sz w:val="24"/>
        </w:rPr>
      </w:pPr>
      <w:r>
        <w:rPr>
          <w:b/>
          <w:sz w:val="24"/>
          <w:u w:val="single"/>
        </w:rPr>
        <w:lastRenderedPageBreak/>
        <w:t>Efforts to  Identify Duplication and Use of Similar Information</w:t>
      </w:r>
    </w:p>
    <w:p w:rsidR="00F863C9" w:rsidRDefault="00F863C9" w:rsidP="00CB50F1">
      <w:pPr>
        <w:ind w:left="720"/>
        <w:rPr>
          <w:sz w:val="24"/>
        </w:rPr>
      </w:pPr>
      <w:r>
        <w:rPr>
          <w:sz w:val="24"/>
        </w:rPr>
        <w:t>This is</w:t>
      </w:r>
      <w:r w:rsidR="008E6F19">
        <w:rPr>
          <w:sz w:val="24"/>
        </w:rPr>
        <w:t xml:space="preserve"> not</w:t>
      </w:r>
      <w:r>
        <w:rPr>
          <w:sz w:val="24"/>
        </w:rPr>
        <w:t xml:space="preserve"> a new program. </w:t>
      </w:r>
      <w:r w:rsidR="00CB50F1">
        <w:rPr>
          <w:sz w:val="24"/>
        </w:rPr>
        <w:t xml:space="preserve">All of the forms in Appendices </w:t>
      </w:r>
      <w:r w:rsidR="007E37AC">
        <w:rPr>
          <w:sz w:val="24"/>
        </w:rPr>
        <w:t>C-</w:t>
      </w:r>
      <w:r w:rsidR="002B4CAA">
        <w:rPr>
          <w:sz w:val="24"/>
        </w:rPr>
        <w:t xml:space="preserve">E </w:t>
      </w:r>
      <w:r w:rsidR="00CB50F1">
        <w:rPr>
          <w:sz w:val="24"/>
        </w:rPr>
        <w:t xml:space="preserve">are currently approved by OMB </w:t>
      </w:r>
      <w:r w:rsidR="007B098F">
        <w:rPr>
          <w:sz w:val="24"/>
        </w:rPr>
        <w:t>through 0920</w:t>
      </w:r>
      <w:r w:rsidR="00212054">
        <w:rPr>
          <w:sz w:val="24"/>
        </w:rPr>
        <w:t>-0891, exp. 12/31/2014 and 0920-0962, exp. 10/31/2015</w:t>
      </w:r>
      <w:r w:rsidR="00CB50F1">
        <w:rPr>
          <w:sz w:val="24"/>
        </w:rPr>
        <w:t xml:space="preserve">. </w:t>
      </w:r>
      <w:r w:rsidR="00212054">
        <w:rPr>
          <w:sz w:val="24"/>
        </w:rPr>
        <w:t>However, 0920-0962 was initiated through an emergency clearance ICR so although the data is currently approved, a</w:t>
      </w:r>
      <w:r w:rsidR="00CB50F1">
        <w:rPr>
          <w:bCs/>
          <w:sz w:val="24"/>
        </w:rPr>
        <w:t xml:space="preserve"> new</w:t>
      </w:r>
      <w:r w:rsidR="00212054">
        <w:rPr>
          <w:bCs/>
          <w:sz w:val="24"/>
        </w:rPr>
        <w:t xml:space="preserve"> must be </w:t>
      </w:r>
      <w:r w:rsidR="00210D6B">
        <w:rPr>
          <w:bCs/>
          <w:sz w:val="24"/>
        </w:rPr>
        <w:t>submitted for a three-year approval.</w:t>
      </w:r>
      <w:r>
        <w:rPr>
          <w:sz w:val="24"/>
        </w:rPr>
        <w:t xml:space="preserve"> </w:t>
      </w:r>
    </w:p>
    <w:p w:rsidR="00F863C9" w:rsidRDefault="00F863C9" w:rsidP="00F863C9">
      <w:pPr>
        <w:ind w:firstLine="720"/>
        <w:rPr>
          <w:sz w:val="24"/>
        </w:rPr>
      </w:pPr>
    </w:p>
    <w:p w:rsidR="00F863C9" w:rsidRDefault="00F863C9" w:rsidP="00F863C9">
      <w:pPr>
        <w:numPr>
          <w:ilvl w:val="0"/>
          <w:numId w:val="1"/>
        </w:numPr>
        <w:rPr>
          <w:color w:val="000000"/>
          <w:sz w:val="24"/>
        </w:rPr>
      </w:pPr>
      <w:r>
        <w:rPr>
          <w:b/>
          <w:sz w:val="24"/>
          <w:u w:val="single"/>
        </w:rPr>
        <w:t>Impact on Small Businesses or Other Small Entities</w:t>
      </w:r>
    </w:p>
    <w:p w:rsidR="00F863C9" w:rsidRDefault="00F863C9" w:rsidP="00F863C9">
      <w:pPr>
        <w:ind w:firstLine="720"/>
        <w:rPr>
          <w:sz w:val="24"/>
        </w:rPr>
      </w:pPr>
      <w:r>
        <w:rPr>
          <w:sz w:val="24"/>
        </w:rPr>
        <w:t>There will be no impact on small business.</w:t>
      </w:r>
    </w:p>
    <w:p w:rsidR="00F863C9" w:rsidRPr="00787CC6" w:rsidRDefault="00F863C9" w:rsidP="00F863C9">
      <w:pPr>
        <w:ind w:left="360"/>
        <w:rPr>
          <w:sz w:val="24"/>
        </w:rPr>
      </w:pPr>
    </w:p>
    <w:p w:rsidR="00F863C9" w:rsidRPr="00787CC6" w:rsidRDefault="00F863C9" w:rsidP="00F863C9">
      <w:pPr>
        <w:numPr>
          <w:ilvl w:val="0"/>
          <w:numId w:val="1"/>
        </w:numPr>
        <w:rPr>
          <w:b/>
          <w:sz w:val="24"/>
        </w:rPr>
      </w:pPr>
      <w:r w:rsidRPr="00787CC6">
        <w:rPr>
          <w:b/>
          <w:sz w:val="24"/>
          <w:u w:val="single"/>
        </w:rPr>
        <w:t>Consequences of Collecting the Information Less Frequent Collection</w:t>
      </w:r>
    </w:p>
    <w:p w:rsidR="00F863C9" w:rsidRPr="00787CC6" w:rsidRDefault="00F40CD3" w:rsidP="00F40CD3">
      <w:pPr>
        <w:ind w:left="720"/>
        <w:rPr>
          <w:sz w:val="24"/>
        </w:rPr>
      </w:pPr>
      <w:r w:rsidRPr="00787CC6">
        <w:rPr>
          <w:sz w:val="24"/>
        </w:rPr>
        <w:t xml:space="preserve">Without collection of these data, NIOSH will not be able to </w:t>
      </w:r>
      <w:r w:rsidR="00B1447C" w:rsidRPr="00787CC6">
        <w:rPr>
          <w:sz w:val="24"/>
        </w:rPr>
        <w:t>implement the provisions of the Act, to establish the process for an individual to apply to the WTC Health Program, obtain an initial health evaluation, monitoring, and treatment, and appeal eligibility and treatment decisions.</w:t>
      </w:r>
    </w:p>
    <w:p w:rsidR="00F40CD3" w:rsidRDefault="00F40CD3" w:rsidP="00F40CD3">
      <w:pPr>
        <w:ind w:left="720"/>
        <w:rPr>
          <w:sz w:val="24"/>
        </w:rPr>
      </w:pPr>
    </w:p>
    <w:p w:rsidR="00F863C9" w:rsidRDefault="00F863C9" w:rsidP="00F863C9">
      <w:pPr>
        <w:numPr>
          <w:ilvl w:val="0"/>
          <w:numId w:val="1"/>
        </w:numPr>
        <w:rPr>
          <w:b/>
          <w:sz w:val="24"/>
        </w:rPr>
      </w:pPr>
      <w:r>
        <w:rPr>
          <w:b/>
          <w:sz w:val="24"/>
          <w:u w:val="single"/>
        </w:rPr>
        <w:t>Special Circumstances Relating to the Guidelines of 5 CFR 1320.5</w:t>
      </w:r>
    </w:p>
    <w:p w:rsidR="00F863C9" w:rsidRDefault="00F863C9" w:rsidP="00F863C9">
      <w:pPr>
        <w:ind w:firstLine="720"/>
        <w:rPr>
          <w:sz w:val="24"/>
        </w:rPr>
      </w:pPr>
      <w:r>
        <w:rPr>
          <w:sz w:val="24"/>
        </w:rPr>
        <w:t xml:space="preserve">There are no special circumstances. </w:t>
      </w:r>
    </w:p>
    <w:p w:rsidR="00F863C9" w:rsidRDefault="00F863C9" w:rsidP="00F863C9">
      <w:pPr>
        <w:ind w:left="360"/>
        <w:rPr>
          <w:sz w:val="24"/>
        </w:rPr>
      </w:pPr>
    </w:p>
    <w:p w:rsidR="00F863C9" w:rsidRDefault="00F863C9" w:rsidP="00F863C9">
      <w:pPr>
        <w:numPr>
          <w:ilvl w:val="0"/>
          <w:numId w:val="1"/>
        </w:numPr>
        <w:rPr>
          <w:b/>
          <w:sz w:val="24"/>
        </w:rPr>
      </w:pPr>
      <w:r>
        <w:rPr>
          <w:b/>
          <w:iCs/>
          <w:sz w:val="24"/>
          <w:u w:val="single"/>
        </w:rPr>
        <w:t>Comments in Response to the Federal Register</w:t>
      </w:r>
      <w:r>
        <w:rPr>
          <w:b/>
          <w:sz w:val="24"/>
          <w:u w:val="single"/>
        </w:rPr>
        <w:t xml:space="preserve"> Notice</w:t>
      </w:r>
      <w:r w:rsidR="00372CB1">
        <w:rPr>
          <w:b/>
          <w:sz w:val="24"/>
          <w:u w:val="single"/>
        </w:rPr>
        <w:t xml:space="preserve"> and Efforts to Consult </w:t>
      </w:r>
      <w:r>
        <w:rPr>
          <w:b/>
          <w:sz w:val="24"/>
          <w:u w:val="single"/>
        </w:rPr>
        <w:t xml:space="preserve">Outside </w:t>
      </w:r>
      <w:r w:rsidR="00372CB1">
        <w:rPr>
          <w:b/>
          <w:sz w:val="24"/>
          <w:u w:val="single"/>
        </w:rPr>
        <w:t>the Agency</w:t>
      </w:r>
      <w:bookmarkStart w:id="0" w:name="_GoBack"/>
      <w:bookmarkEnd w:id="0"/>
    </w:p>
    <w:p w:rsidR="00F863C9" w:rsidRDefault="00210D6B" w:rsidP="00F863C9">
      <w:pPr>
        <w:ind w:left="720"/>
        <w:rPr>
          <w:sz w:val="24"/>
        </w:rPr>
      </w:pPr>
      <w:r>
        <w:rPr>
          <w:sz w:val="24"/>
        </w:rPr>
        <w:t>A 60-day Federal Register Notice was published in the Federal Register on September 4, 2013, vol. 78, No. 171, pp. 54471-5447</w:t>
      </w:r>
      <w:r w:rsidR="00416905">
        <w:rPr>
          <w:sz w:val="24"/>
        </w:rPr>
        <w:t>2. There was one public comment (Appendix I).</w:t>
      </w:r>
    </w:p>
    <w:p w:rsidR="000E5B1D" w:rsidRDefault="000E5B1D" w:rsidP="00F863C9">
      <w:pPr>
        <w:ind w:left="720"/>
        <w:rPr>
          <w:sz w:val="24"/>
        </w:rPr>
      </w:pPr>
    </w:p>
    <w:p w:rsidR="000E5B1D" w:rsidRDefault="000E5B1D" w:rsidP="00F863C9">
      <w:pPr>
        <w:ind w:left="720"/>
        <w:rPr>
          <w:sz w:val="24"/>
        </w:rPr>
      </w:pPr>
      <w:r w:rsidRPr="000E5B1D">
        <w:rPr>
          <w:sz w:val="24"/>
        </w:rPr>
        <w:t>B. This application form was created by mirroring the existing OMB approved forms for responders and survivors in New York</w:t>
      </w:r>
      <w:r>
        <w:rPr>
          <w:sz w:val="24"/>
        </w:rPr>
        <w:t xml:space="preserve">. </w:t>
      </w:r>
      <w:r w:rsidRPr="000E5B1D">
        <w:rPr>
          <w:sz w:val="24"/>
        </w:rPr>
        <w:t>NIOSH consulted with the Steering Committees for both the Responder Program and the Survivor Program during monthly meetings in July, August, September, and October 2011.These Steering Committees are made up of affected stakeholders who represent the Centers of Excellence providing services to eligible WTC responders and survivors; representatives of labor organizations for firefighters, police, other New York City employees, and recovery and cleanup workers; representatives of residents, students, and WTC area employees; and representatives of New York City. Comments about the forms were received from both groups and incorporated into the appropriate application forms. An issue that could not be resolved during consultation was a request by the Steering Committees to administer the application forms over the phone by guiding the applicants through all parts of the forms. Since the applicant is required to sign the form and attest to the truthfulness of the information, it was deemed necessary for the applicant to complete the form. However, the forms contain an offer of phone assistance to answer applicants’ questions.</w:t>
      </w:r>
    </w:p>
    <w:p w:rsidR="00F863C9" w:rsidRDefault="00F863C9" w:rsidP="00F863C9">
      <w:pPr>
        <w:rPr>
          <w:sz w:val="24"/>
        </w:rPr>
      </w:pPr>
    </w:p>
    <w:p w:rsidR="00F863C9" w:rsidRDefault="00F863C9" w:rsidP="00F863C9">
      <w:pPr>
        <w:numPr>
          <w:ilvl w:val="0"/>
          <w:numId w:val="1"/>
        </w:numPr>
        <w:rPr>
          <w:b/>
          <w:sz w:val="24"/>
        </w:rPr>
      </w:pPr>
      <w:r>
        <w:rPr>
          <w:b/>
          <w:sz w:val="24"/>
          <w:u w:val="single"/>
        </w:rPr>
        <w:t>Explanation of any Payment/Gift to Respondents</w:t>
      </w:r>
    </w:p>
    <w:p w:rsidR="00F863C9" w:rsidRDefault="00F863C9" w:rsidP="00F863C9">
      <w:pPr>
        <w:ind w:firstLine="720"/>
        <w:rPr>
          <w:sz w:val="24"/>
        </w:rPr>
      </w:pPr>
      <w:r>
        <w:rPr>
          <w:sz w:val="24"/>
        </w:rPr>
        <w:t>Not applicable.</w:t>
      </w:r>
    </w:p>
    <w:p w:rsidR="00F863C9" w:rsidRDefault="00F863C9" w:rsidP="00F863C9">
      <w:pPr>
        <w:ind w:left="1440"/>
        <w:rPr>
          <w:sz w:val="24"/>
        </w:rPr>
      </w:pPr>
    </w:p>
    <w:p w:rsidR="00F863C9" w:rsidRDefault="00F863C9" w:rsidP="00F863C9">
      <w:pPr>
        <w:numPr>
          <w:ilvl w:val="0"/>
          <w:numId w:val="1"/>
        </w:numPr>
        <w:rPr>
          <w:b/>
          <w:sz w:val="24"/>
        </w:rPr>
      </w:pPr>
      <w:r>
        <w:rPr>
          <w:b/>
          <w:sz w:val="24"/>
          <w:u w:val="single"/>
        </w:rPr>
        <w:t>Assurance of Confidentiality Provided to Respondents</w:t>
      </w:r>
    </w:p>
    <w:p w:rsidR="00093231" w:rsidRDefault="00AB2091" w:rsidP="00093231">
      <w:pPr>
        <w:ind w:left="720"/>
        <w:rPr>
          <w:sz w:val="24"/>
        </w:rPr>
      </w:pPr>
      <w:r>
        <w:rPr>
          <w:sz w:val="24"/>
        </w:rPr>
        <w:t xml:space="preserve">This submission has been reviewed by </w:t>
      </w:r>
      <w:r w:rsidR="00A80CEB">
        <w:rPr>
          <w:sz w:val="24"/>
        </w:rPr>
        <w:t>CDC’s Information Collection Review Office (</w:t>
      </w:r>
      <w:r>
        <w:rPr>
          <w:sz w:val="24"/>
        </w:rPr>
        <w:t>ICRO</w:t>
      </w:r>
      <w:r w:rsidR="00A80CEB">
        <w:rPr>
          <w:sz w:val="24"/>
        </w:rPr>
        <w:t>)</w:t>
      </w:r>
      <w:r>
        <w:rPr>
          <w:sz w:val="24"/>
        </w:rPr>
        <w:t>, who determined that the Privacy Act does apply. The applicable System of Records Notice is 09-20-0147</w:t>
      </w:r>
      <w:r w:rsidR="00BA5F05">
        <w:rPr>
          <w:sz w:val="24"/>
        </w:rPr>
        <w:t>, “</w:t>
      </w:r>
      <w:r w:rsidR="00BA5F05" w:rsidRPr="00BA5F05">
        <w:rPr>
          <w:sz w:val="24"/>
        </w:rPr>
        <w:t xml:space="preserve">Occupational Health Epidemiological Studies and </w:t>
      </w:r>
      <w:r w:rsidR="00BA5F05" w:rsidRPr="00BA5F05">
        <w:rPr>
          <w:sz w:val="24"/>
        </w:rPr>
        <w:lastRenderedPageBreak/>
        <w:t>EEOICPA Program Records, and WTC Health Program Records</w:t>
      </w:r>
      <w:r w:rsidR="00BA5F05">
        <w:rPr>
          <w:sz w:val="24"/>
        </w:rPr>
        <w:t>”</w:t>
      </w:r>
      <w:r>
        <w:rPr>
          <w:sz w:val="24"/>
        </w:rPr>
        <w:t>.</w:t>
      </w:r>
    </w:p>
    <w:p w:rsidR="008D651A" w:rsidRDefault="008D651A" w:rsidP="00093231">
      <w:pPr>
        <w:ind w:left="720"/>
        <w:rPr>
          <w:sz w:val="24"/>
        </w:rPr>
      </w:pPr>
    </w:p>
    <w:p w:rsidR="00F863C9" w:rsidRDefault="008D651A" w:rsidP="00093231">
      <w:pPr>
        <w:ind w:left="720"/>
        <w:rPr>
          <w:sz w:val="24"/>
        </w:rPr>
      </w:pPr>
      <w:r>
        <w:rPr>
          <w:sz w:val="24"/>
        </w:rPr>
        <w:t>Information in identifiable form will be collected in the enrollment forms. This includes individual</w:t>
      </w:r>
      <w:r w:rsidR="00887C09">
        <w:rPr>
          <w:sz w:val="24"/>
        </w:rPr>
        <w:t>’</w:t>
      </w:r>
      <w:r>
        <w:rPr>
          <w:sz w:val="24"/>
        </w:rPr>
        <w:t xml:space="preserve">s name, date of birth, </w:t>
      </w:r>
      <w:r w:rsidR="00FF3561">
        <w:rPr>
          <w:sz w:val="24"/>
        </w:rPr>
        <w:t xml:space="preserve">last four digits of the </w:t>
      </w:r>
      <w:r w:rsidR="00887C09">
        <w:rPr>
          <w:sz w:val="24"/>
        </w:rPr>
        <w:t>S</w:t>
      </w:r>
      <w:r>
        <w:rPr>
          <w:sz w:val="24"/>
        </w:rPr>
        <w:t xml:space="preserve">ocial </w:t>
      </w:r>
      <w:r w:rsidR="00887C09">
        <w:rPr>
          <w:sz w:val="24"/>
        </w:rPr>
        <w:t>S</w:t>
      </w:r>
      <w:r>
        <w:rPr>
          <w:sz w:val="24"/>
        </w:rPr>
        <w:t xml:space="preserve">ecurity number, driver’s license number, phone </w:t>
      </w:r>
      <w:r w:rsidR="001A389E">
        <w:rPr>
          <w:sz w:val="24"/>
        </w:rPr>
        <w:t>number,</w:t>
      </w:r>
      <w:r>
        <w:rPr>
          <w:sz w:val="24"/>
        </w:rPr>
        <w:t xml:space="preserve"> and mailing address. </w:t>
      </w:r>
      <w:r w:rsidR="00983DB2" w:rsidRPr="00983DB2">
        <w:rPr>
          <w:sz w:val="24"/>
        </w:rPr>
        <w:t>Access to data will be limited to authorized NIOSH project staff</w:t>
      </w:r>
      <w:r w:rsidR="001A389E">
        <w:rPr>
          <w:sz w:val="24"/>
        </w:rPr>
        <w:t xml:space="preserve"> and authorized Computer Sciences Corporation (CSC) contractors</w:t>
      </w:r>
      <w:r w:rsidR="005C08A2">
        <w:rPr>
          <w:sz w:val="24"/>
        </w:rPr>
        <w:t>.</w:t>
      </w:r>
      <w:r w:rsidR="00983DB2" w:rsidRPr="00983DB2">
        <w:rPr>
          <w:sz w:val="24"/>
        </w:rPr>
        <w:t xml:space="preserve"> </w:t>
      </w:r>
      <w:r w:rsidR="00983DB2">
        <w:rPr>
          <w:sz w:val="24"/>
        </w:rPr>
        <w:t>A</w:t>
      </w:r>
      <w:r w:rsidR="00983DB2" w:rsidRPr="00983DB2">
        <w:rPr>
          <w:sz w:val="24"/>
        </w:rPr>
        <w:t xml:space="preserve">ll electronic data will be stored on secure servers accessible only with passwords. </w:t>
      </w:r>
      <w:r w:rsidR="00983DB2">
        <w:rPr>
          <w:sz w:val="24"/>
        </w:rPr>
        <w:t>Computer Sciences Corporation</w:t>
      </w:r>
      <w:r w:rsidR="00983DB2" w:rsidRPr="00983DB2">
        <w:rPr>
          <w:sz w:val="24"/>
        </w:rPr>
        <w:t xml:space="preserve"> will be required to follow equivalent procedures</w:t>
      </w:r>
      <w:r w:rsidR="00983DB2">
        <w:rPr>
          <w:sz w:val="24"/>
        </w:rPr>
        <w:t>.</w:t>
      </w:r>
      <w:r w:rsidR="00983DB2" w:rsidRPr="00093231" w:rsidDel="00983DB2">
        <w:rPr>
          <w:sz w:val="24"/>
        </w:rPr>
        <w:t xml:space="preserve"> </w:t>
      </w:r>
    </w:p>
    <w:p w:rsidR="00920A66" w:rsidRDefault="00920A66" w:rsidP="00093231">
      <w:pPr>
        <w:ind w:left="720"/>
        <w:rPr>
          <w:sz w:val="24"/>
        </w:rPr>
      </w:pPr>
    </w:p>
    <w:p w:rsidR="00920A66" w:rsidRDefault="00920A66" w:rsidP="00093231">
      <w:pPr>
        <w:ind w:left="720"/>
        <w:rPr>
          <w:bCs/>
          <w:sz w:val="24"/>
        </w:rPr>
      </w:pPr>
      <w:r>
        <w:rPr>
          <w:sz w:val="24"/>
        </w:rPr>
        <w:t>Respondents will be informed about the intended uses of the information collection and plans for sharing the information on the W</w:t>
      </w:r>
      <w:r w:rsidRPr="004E4E9B">
        <w:rPr>
          <w:bCs/>
          <w:sz w:val="24"/>
        </w:rPr>
        <w:t>or</w:t>
      </w:r>
      <w:r>
        <w:rPr>
          <w:bCs/>
          <w:sz w:val="24"/>
        </w:rPr>
        <w:t xml:space="preserve">ld Trade Center Health Program Pentagon &amp; </w:t>
      </w:r>
      <w:proofErr w:type="spellStart"/>
      <w:r>
        <w:rPr>
          <w:bCs/>
          <w:sz w:val="24"/>
        </w:rPr>
        <w:t>Shanksville</w:t>
      </w:r>
      <w:proofErr w:type="spellEnd"/>
      <w:r>
        <w:rPr>
          <w:bCs/>
          <w:sz w:val="24"/>
        </w:rPr>
        <w:t>, Pennsylvania Responder Eligibility Application.</w:t>
      </w:r>
      <w:r w:rsidR="007947D4">
        <w:rPr>
          <w:bCs/>
          <w:sz w:val="24"/>
        </w:rPr>
        <w:t xml:space="preserve"> </w:t>
      </w:r>
    </w:p>
    <w:p w:rsidR="00146B4B" w:rsidRDefault="00146B4B" w:rsidP="00093231">
      <w:pPr>
        <w:ind w:left="720"/>
        <w:rPr>
          <w:bCs/>
          <w:sz w:val="24"/>
        </w:rPr>
      </w:pPr>
    </w:p>
    <w:p w:rsidR="00146B4B" w:rsidRDefault="00146B4B" w:rsidP="00093231">
      <w:pPr>
        <w:ind w:left="720"/>
        <w:rPr>
          <w:sz w:val="24"/>
        </w:rPr>
      </w:pPr>
      <w:r>
        <w:rPr>
          <w:bCs/>
          <w:sz w:val="24"/>
        </w:rPr>
        <w:t xml:space="preserve">Respondents will be informed of the voluntary nature of their response, and will </w:t>
      </w:r>
      <w:r w:rsidR="002047E1">
        <w:rPr>
          <w:bCs/>
          <w:sz w:val="24"/>
        </w:rPr>
        <w:t xml:space="preserve">be </w:t>
      </w:r>
      <w:r>
        <w:rPr>
          <w:bCs/>
          <w:sz w:val="24"/>
        </w:rPr>
        <w:t>further notified that failure to include information requested on the form may result in delay or denial of enrollment.</w:t>
      </w:r>
    </w:p>
    <w:p w:rsidR="006A1256" w:rsidRDefault="006A1256" w:rsidP="00093231">
      <w:pPr>
        <w:ind w:left="720"/>
        <w:rPr>
          <w:sz w:val="24"/>
        </w:rPr>
      </w:pPr>
    </w:p>
    <w:p w:rsidR="00F863C9" w:rsidRDefault="00F863C9" w:rsidP="00F863C9">
      <w:pPr>
        <w:numPr>
          <w:ilvl w:val="0"/>
          <w:numId w:val="1"/>
        </w:numPr>
        <w:rPr>
          <w:b/>
          <w:sz w:val="24"/>
        </w:rPr>
      </w:pPr>
      <w:r>
        <w:rPr>
          <w:b/>
          <w:sz w:val="24"/>
          <w:u w:val="single"/>
        </w:rPr>
        <w:t>Justification for Sensitive Questions</w:t>
      </w:r>
    </w:p>
    <w:p w:rsidR="005F3895" w:rsidRDefault="00CC3300" w:rsidP="00983DB2">
      <w:pPr>
        <w:ind w:left="720"/>
        <w:rPr>
          <w:sz w:val="24"/>
        </w:rPr>
      </w:pPr>
      <w:r>
        <w:rPr>
          <w:sz w:val="24"/>
        </w:rPr>
        <w:t xml:space="preserve">The last four digits of </w:t>
      </w:r>
      <w:r w:rsidR="005F3895">
        <w:rPr>
          <w:sz w:val="24"/>
        </w:rPr>
        <w:t xml:space="preserve">Social </w:t>
      </w:r>
      <w:r w:rsidR="00783D91">
        <w:rPr>
          <w:sz w:val="24"/>
        </w:rPr>
        <w:t>S</w:t>
      </w:r>
      <w:r w:rsidR="005F3895">
        <w:rPr>
          <w:sz w:val="24"/>
        </w:rPr>
        <w:t xml:space="preserve">ecurity numbers may be needed for checking against the Terrorist watch list. </w:t>
      </w:r>
      <w:r>
        <w:rPr>
          <w:sz w:val="24"/>
        </w:rPr>
        <w:t>This information</w:t>
      </w:r>
      <w:r w:rsidR="005F3895">
        <w:rPr>
          <w:sz w:val="24"/>
        </w:rPr>
        <w:t xml:space="preserve"> will be collected and shared with the FBI. This </w:t>
      </w:r>
      <w:r w:rsidR="001A389E">
        <w:rPr>
          <w:sz w:val="24"/>
        </w:rPr>
        <w:t>procedure</w:t>
      </w:r>
      <w:r w:rsidR="005F3895">
        <w:rPr>
          <w:sz w:val="24"/>
        </w:rPr>
        <w:t xml:space="preserve"> is required by the </w:t>
      </w:r>
      <w:proofErr w:type="spellStart"/>
      <w:r w:rsidR="005F3895">
        <w:rPr>
          <w:sz w:val="24"/>
        </w:rPr>
        <w:t>Za</w:t>
      </w:r>
      <w:r w:rsidR="00975E6D">
        <w:rPr>
          <w:sz w:val="24"/>
        </w:rPr>
        <w:t>drog</w:t>
      </w:r>
      <w:r w:rsidR="005F3895">
        <w:rPr>
          <w:sz w:val="24"/>
        </w:rPr>
        <w:t>a</w:t>
      </w:r>
      <w:proofErr w:type="spellEnd"/>
      <w:r w:rsidR="005F3895">
        <w:rPr>
          <w:sz w:val="24"/>
        </w:rPr>
        <w:t xml:space="preserve"> Act; however, all respondents will be made aware that providing the </w:t>
      </w:r>
      <w:r>
        <w:rPr>
          <w:sz w:val="24"/>
        </w:rPr>
        <w:t xml:space="preserve">last four digits of </w:t>
      </w:r>
      <w:r w:rsidR="005F3895">
        <w:rPr>
          <w:sz w:val="24"/>
        </w:rPr>
        <w:t>SSN</w:t>
      </w:r>
      <w:r>
        <w:rPr>
          <w:sz w:val="24"/>
        </w:rPr>
        <w:t>’s</w:t>
      </w:r>
      <w:r w:rsidR="005F3895">
        <w:rPr>
          <w:sz w:val="24"/>
        </w:rPr>
        <w:t xml:space="preserve"> is voluntary and failure to provide this information will not result in any individual being denied </w:t>
      </w:r>
      <w:r w:rsidR="001A389E">
        <w:rPr>
          <w:sz w:val="24"/>
        </w:rPr>
        <w:t>f</w:t>
      </w:r>
      <w:r w:rsidR="005F3895">
        <w:rPr>
          <w:sz w:val="24"/>
        </w:rPr>
        <w:t xml:space="preserve">or the program. </w:t>
      </w:r>
      <w:r w:rsidR="00983DB2">
        <w:rPr>
          <w:sz w:val="24"/>
        </w:rPr>
        <w:t xml:space="preserve">This information appears on </w:t>
      </w:r>
      <w:r w:rsidR="00597722">
        <w:rPr>
          <w:sz w:val="24"/>
        </w:rPr>
        <w:t>the</w:t>
      </w:r>
      <w:r w:rsidR="00A80CEB">
        <w:rPr>
          <w:sz w:val="24"/>
        </w:rPr>
        <w:t xml:space="preserve"> enrollment form (Appendix H).</w:t>
      </w:r>
    </w:p>
    <w:p w:rsidR="00F863C9" w:rsidRDefault="00F863C9" w:rsidP="00F863C9">
      <w:pPr>
        <w:ind w:left="360"/>
        <w:rPr>
          <w:sz w:val="24"/>
        </w:rPr>
      </w:pPr>
    </w:p>
    <w:p w:rsidR="00F863C9" w:rsidRDefault="00F863C9" w:rsidP="00F863C9">
      <w:pPr>
        <w:numPr>
          <w:ilvl w:val="0"/>
          <w:numId w:val="1"/>
        </w:numPr>
        <w:rPr>
          <w:sz w:val="24"/>
        </w:rPr>
      </w:pPr>
      <w:r>
        <w:rPr>
          <w:b/>
          <w:sz w:val="24"/>
          <w:u w:val="single"/>
        </w:rPr>
        <w:t xml:space="preserve">Estimates of Annualized Burden Hours </w:t>
      </w:r>
    </w:p>
    <w:p w:rsidR="00F863C9" w:rsidRDefault="00F863C9" w:rsidP="00F863C9">
      <w:pPr>
        <w:rPr>
          <w:sz w:val="24"/>
        </w:rPr>
      </w:pPr>
    </w:p>
    <w:p w:rsidR="00DE696E" w:rsidRDefault="00B6099E" w:rsidP="0032035F">
      <w:pPr>
        <w:ind w:left="720"/>
        <w:rPr>
          <w:sz w:val="24"/>
        </w:rPr>
      </w:pPr>
      <w:r w:rsidRPr="00B6099E">
        <w:rPr>
          <w:sz w:val="24"/>
          <w:u w:val="single"/>
        </w:rPr>
        <w:t>W</w:t>
      </w:r>
      <w:r w:rsidRPr="00B6099E">
        <w:rPr>
          <w:bCs/>
          <w:sz w:val="24"/>
          <w:u w:val="single"/>
        </w:rPr>
        <w:t xml:space="preserve">orld Trade Center Health Program Pentagon &amp; </w:t>
      </w:r>
      <w:proofErr w:type="spellStart"/>
      <w:r w:rsidRPr="00B6099E">
        <w:rPr>
          <w:bCs/>
          <w:sz w:val="24"/>
          <w:u w:val="single"/>
        </w:rPr>
        <w:t>Shanksville</w:t>
      </w:r>
      <w:proofErr w:type="spellEnd"/>
      <w:r w:rsidRPr="00B6099E">
        <w:rPr>
          <w:bCs/>
          <w:sz w:val="24"/>
          <w:u w:val="single"/>
        </w:rPr>
        <w:t>, Pennsylvania Responder Eligibility Application</w:t>
      </w:r>
      <w:r w:rsidR="001C4052">
        <w:rPr>
          <w:bCs/>
          <w:sz w:val="24"/>
          <w:u w:val="single"/>
        </w:rPr>
        <w:t xml:space="preserve"> (Appendix </w:t>
      </w:r>
      <w:r w:rsidR="00793123">
        <w:rPr>
          <w:bCs/>
          <w:sz w:val="24"/>
          <w:u w:val="single"/>
        </w:rPr>
        <w:t>H</w:t>
      </w:r>
      <w:r w:rsidR="001C4052">
        <w:rPr>
          <w:bCs/>
          <w:sz w:val="24"/>
          <w:u w:val="single"/>
        </w:rPr>
        <w:t>)</w:t>
      </w:r>
      <w:r>
        <w:rPr>
          <w:bCs/>
          <w:sz w:val="24"/>
        </w:rPr>
        <w:t xml:space="preserve">: </w:t>
      </w:r>
      <w:r w:rsidR="00504282">
        <w:rPr>
          <w:sz w:val="24"/>
        </w:rPr>
        <w:t>We expect to receive</w:t>
      </w:r>
      <w:r w:rsidR="00CC4F7C">
        <w:rPr>
          <w:sz w:val="24"/>
        </w:rPr>
        <w:t xml:space="preserve"> approximately</w:t>
      </w:r>
      <w:r w:rsidR="00504282">
        <w:rPr>
          <w:sz w:val="24"/>
        </w:rPr>
        <w:t xml:space="preserve"> </w:t>
      </w:r>
      <w:r>
        <w:rPr>
          <w:sz w:val="24"/>
        </w:rPr>
        <w:t>1,605</w:t>
      </w:r>
      <w:r w:rsidR="00504282">
        <w:rPr>
          <w:sz w:val="24"/>
        </w:rPr>
        <w:t xml:space="preserve"> applications in the first year</w:t>
      </w:r>
      <w:r>
        <w:rPr>
          <w:sz w:val="24"/>
        </w:rPr>
        <w:t>.</w:t>
      </w:r>
      <w:r w:rsidR="00504282">
        <w:rPr>
          <w:sz w:val="24"/>
        </w:rPr>
        <w:t xml:space="preserve"> </w:t>
      </w:r>
      <w:r>
        <w:rPr>
          <w:sz w:val="24"/>
        </w:rPr>
        <w:t>The application is expected to take 30 minutes to complete.</w:t>
      </w:r>
      <w:r w:rsidR="00983DB2">
        <w:rPr>
          <w:sz w:val="24"/>
        </w:rPr>
        <w:t xml:space="preserve"> </w:t>
      </w:r>
    </w:p>
    <w:p w:rsidR="00DE696E" w:rsidRDefault="00DE696E" w:rsidP="00F863C9">
      <w:pPr>
        <w:ind w:left="720"/>
        <w:rPr>
          <w:sz w:val="24"/>
        </w:rPr>
      </w:pPr>
    </w:p>
    <w:p w:rsidR="00A85B39" w:rsidRDefault="0032035F" w:rsidP="00F863C9">
      <w:pPr>
        <w:ind w:left="720"/>
        <w:rPr>
          <w:sz w:val="24"/>
        </w:rPr>
      </w:pPr>
      <w:r w:rsidRPr="0032035F">
        <w:rPr>
          <w:sz w:val="24"/>
          <w:u w:val="single"/>
          <w:lang w:bidi="en-US"/>
        </w:rPr>
        <w:t>Eligibility Denial Letter and Appeal Notification</w:t>
      </w:r>
      <w:r w:rsidR="001C4052">
        <w:rPr>
          <w:sz w:val="24"/>
          <w:u w:val="single"/>
          <w:lang w:bidi="en-US"/>
        </w:rPr>
        <w:t>- example</w:t>
      </w:r>
      <w:r w:rsidRPr="0032035F">
        <w:rPr>
          <w:sz w:val="24"/>
          <w:u w:val="single"/>
          <w:lang w:bidi="en-US"/>
        </w:rPr>
        <w:t xml:space="preserve"> (</w:t>
      </w:r>
      <w:r w:rsidR="001C4052">
        <w:rPr>
          <w:sz w:val="24"/>
          <w:u w:val="single"/>
          <w:lang w:bidi="en-US"/>
        </w:rPr>
        <w:t>Appendix C</w:t>
      </w:r>
      <w:r w:rsidR="00D37C46">
        <w:rPr>
          <w:sz w:val="24"/>
          <w:u w:val="single"/>
          <w:lang w:bidi="en-US"/>
        </w:rPr>
        <w:t xml:space="preserve"> and C</w:t>
      </w:r>
      <w:r w:rsidR="00A22E64">
        <w:rPr>
          <w:sz w:val="24"/>
          <w:u w:val="single"/>
          <w:lang w:bidi="en-US"/>
        </w:rPr>
        <w:t>1</w:t>
      </w:r>
      <w:r w:rsidRPr="0032035F">
        <w:rPr>
          <w:sz w:val="24"/>
          <w:u w:val="single"/>
          <w:lang w:bidi="en-US"/>
        </w:rPr>
        <w:t>)</w:t>
      </w:r>
      <w:r w:rsidRPr="005402F6">
        <w:rPr>
          <w:sz w:val="24"/>
          <w:lang w:bidi="en-US"/>
        </w:rPr>
        <w:t>:</w:t>
      </w:r>
      <w:r w:rsidRPr="00506DC6">
        <w:rPr>
          <w:sz w:val="24"/>
          <w:lang w:bidi="en-US"/>
        </w:rPr>
        <w:t xml:space="preserve"> </w:t>
      </w:r>
      <w:r w:rsidR="00A85B39">
        <w:rPr>
          <w:sz w:val="24"/>
        </w:rPr>
        <w:t>Of the</w:t>
      </w:r>
      <w:r w:rsidR="00504282">
        <w:rPr>
          <w:sz w:val="24"/>
        </w:rPr>
        <w:t xml:space="preserve"> </w:t>
      </w:r>
      <w:r w:rsidR="00E7216F">
        <w:rPr>
          <w:sz w:val="24"/>
        </w:rPr>
        <w:t>1,605</w:t>
      </w:r>
      <w:r w:rsidR="00A85B39">
        <w:rPr>
          <w:sz w:val="24"/>
        </w:rPr>
        <w:t xml:space="preserve"> </w:t>
      </w:r>
      <w:r w:rsidR="00504282">
        <w:rPr>
          <w:sz w:val="24"/>
        </w:rPr>
        <w:t>applications</w:t>
      </w:r>
      <w:r w:rsidR="00A85B39">
        <w:rPr>
          <w:sz w:val="24"/>
        </w:rPr>
        <w:t xml:space="preserve"> we expect to receive per year</w:t>
      </w:r>
      <w:r w:rsidR="00504282">
        <w:rPr>
          <w:sz w:val="24"/>
        </w:rPr>
        <w:t xml:space="preserve">, we expect that </w:t>
      </w:r>
      <w:r w:rsidR="00E7216F">
        <w:rPr>
          <w:sz w:val="24"/>
        </w:rPr>
        <w:t xml:space="preserve">2.5 </w:t>
      </w:r>
      <w:r w:rsidR="00504282">
        <w:rPr>
          <w:sz w:val="24"/>
        </w:rPr>
        <w:t xml:space="preserve">percent will fail due to ineligibility. We further assume that </w:t>
      </w:r>
      <w:r w:rsidR="00AF078F">
        <w:rPr>
          <w:sz w:val="24"/>
        </w:rPr>
        <w:t>1</w:t>
      </w:r>
      <w:r w:rsidR="00504282">
        <w:rPr>
          <w:sz w:val="24"/>
        </w:rPr>
        <w:t>0 percent of those individuals (</w:t>
      </w:r>
      <w:r w:rsidR="00AF078F">
        <w:rPr>
          <w:sz w:val="24"/>
        </w:rPr>
        <w:t>4</w:t>
      </w:r>
      <w:r w:rsidR="00504282">
        <w:rPr>
          <w:sz w:val="24"/>
        </w:rPr>
        <w:t xml:space="preserve"> </w:t>
      </w:r>
      <w:r w:rsidR="00335156">
        <w:rPr>
          <w:sz w:val="24"/>
        </w:rPr>
        <w:t>r</w:t>
      </w:r>
      <w:r w:rsidR="00504282">
        <w:rPr>
          <w:sz w:val="24"/>
        </w:rPr>
        <w:t>espondents) will appeal the decision.</w:t>
      </w:r>
      <w:r w:rsidR="00AC5C55">
        <w:rPr>
          <w:sz w:val="24"/>
        </w:rPr>
        <w:t xml:space="preserve"> </w:t>
      </w:r>
    </w:p>
    <w:p w:rsidR="00306653" w:rsidRDefault="00306653" w:rsidP="00F863C9">
      <w:pPr>
        <w:ind w:left="720"/>
        <w:rPr>
          <w:sz w:val="24"/>
        </w:rPr>
      </w:pPr>
    </w:p>
    <w:p w:rsidR="00A85B39" w:rsidRDefault="0032035F" w:rsidP="00F863C9">
      <w:pPr>
        <w:ind w:left="720"/>
        <w:rPr>
          <w:sz w:val="24"/>
        </w:rPr>
      </w:pPr>
      <w:r w:rsidRPr="0032035F">
        <w:rPr>
          <w:sz w:val="24"/>
          <w:u w:val="single"/>
          <w:lang w:bidi="en-US"/>
        </w:rPr>
        <w:t xml:space="preserve">Appeals regarding </w:t>
      </w:r>
      <w:r w:rsidR="00BD528D">
        <w:rPr>
          <w:sz w:val="24"/>
          <w:u w:val="single"/>
          <w:lang w:bidi="en-US"/>
        </w:rPr>
        <w:t xml:space="preserve">certification of </w:t>
      </w:r>
      <w:r w:rsidRPr="0032035F">
        <w:rPr>
          <w:sz w:val="24"/>
          <w:u w:val="single"/>
          <w:lang w:bidi="en-US"/>
        </w:rPr>
        <w:t>health conditions</w:t>
      </w:r>
      <w:r w:rsidR="001C4052">
        <w:rPr>
          <w:sz w:val="24"/>
          <w:u w:val="single"/>
          <w:lang w:bidi="en-US"/>
        </w:rPr>
        <w:t xml:space="preserve">- example (Appendix </w:t>
      </w:r>
      <w:r w:rsidR="00793123">
        <w:rPr>
          <w:sz w:val="24"/>
          <w:u w:val="single"/>
          <w:lang w:bidi="en-US"/>
        </w:rPr>
        <w:t>E</w:t>
      </w:r>
      <w:r w:rsidR="00B8183B">
        <w:rPr>
          <w:sz w:val="24"/>
          <w:u w:val="single"/>
          <w:lang w:bidi="en-US"/>
        </w:rPr>
        <w:t xml:space="preserve"> and E</w:t>
      </w:r>
      <w:r w:rsidR="00A22E64">
        <w:rPr>
          <w:sz w:val="24"/>
          <w:u w:val="single"/>
          <w:lang w:bidi="en-US"/>
        </w:rPr>
        <w:t>1</w:t>
      </w:r>
      <w:r w:rsidR="001C4052">
        <w:rPr>
          <w:sz w:val="24"/>
          <w:u w:val="single"/>
          <w:lang w:bidi="en-US"/>
        </w:rPr>
        <w:t>)</w:t>
      </w:r>
      <w:r w:rsidRPr="005402F6">
        <w:rPr>
          <w:sz w:val="24"/>
          <w:lang w:bidi="en-US"/>
        </w:rPr>
        <w:t>:</w:t>
      </w:r>
      <w:r>
        <w:rPr>
          <w:sz w:val="24"/>
        </w:rPr>
        <w:t xml:space="preserve"> </w:t>
      </w:r>
      <w:r w:rsidR="00A85B39">
        <w:rPr>
          <w:sz w:val="24"/>
        </w:rPr>
        <w:t>W</w:t>
      </w:r>
      <w:r w:rsidR="00AC5C55">
        <w:rPr>
          <w:sz w:val="24"/>
        </w:rPr>
        <w:t xml:space="preserve">e expect that program participants will request certification for </w:t>
      </w:r>
      <w:r w:rsidR="00457C6F">
        <w:rPr>
          <w:sz w:val="24"/>
        </w:rPr>
        <w:t>874</w:t>
      </w:r>
      <w:r w:rsidR="00AC5C55">
        <w:rPr>
          <w:sz w:val="24"/>
        </w:rPr>
        <w:t xml:space="preserve"> health conditions each year. Of those </w:t>
      </w:r>
      <w:r w:rsidR="00457C6F">
        <w:rPr>
          <w:sz w:val="24"/>
        </w:rPr>
        <w:t>874</w:t>
      </w:r>
      <w:r w:rsidR="00AC5C55">
        <w:rPr>
          <w:sz w:val="24"/>
        </w:rPr>
        <w:t xml:space="preserve">, we expect that 1 percent </w:t>
      </w:r>
      <w:r w:rsidR="00335156">
        <w:rPr>
          <w:sz w:val="24"/>
        </w:rPr>
        <w:t>(</w:t>
      </w:r>
      <w:r w:rsidR="00374C6F">
        <w:rPr>
          <w:sz w:val="24"/>
        </w:rPr>
        <w:t>&lt;</w:t>
      </w:r>
      <w:r w:rsidR="00457C6F">
        <w:rPr>
          <w:sz w:val="24"/>
        </w:rPr>
        <w:t>1</w:t>
      </w:r>
      <w:r w:rsidR="00335156">
        <w:rPr>
          <w:sz w:val="24"/>
        </w:rPr>
        <w:t xml:space="preserve">) </w:t>
      </w:r>
      <w:r w:rsidR="00AC5C55">
        <w:rPr>
          <w:sz w:val="24"/>
        </w:rPr>
        <w:t>will be denied certification by the WTC Program Administrator. We further expect that</w:t>
      </w:r>
      <w:r w:rsidR="00464DC0">
        <w:rPr>
          <w:sz w:val="24"/>
        </w:rPr>
        <w:t xml:space="preserve"> </w:t>
      </w:r>
      <w:r w:rsidR="004E2121">
        <w:rPr>
          <w:sz w:val="24"/>
        </w:rPr>
        <w:t>such a</w:t>
      </w:r>
      <w:r w:rsidR="00464DC0">
        <w:rPr>
          <w:sz w:val="24"/>
        </w:rPr>
        <w:t xml:space="preserve"> denial will be appealed</w:t>
      </w:r>
      <w:r w:rsidR="00AC5C55">
        <w:rPr>
          <w:sz w:val="24"/>
        </w:rPr>
        <w:t xml:space="preserve"> 95 percent of </w:t>
      </w:r>
      <w:r w:rsidR="00464DC0">
        <w:rPr>
          <w:sz w:val="24"/>
        </w:rPr>
        <w:t>the time</w:t>
      </w:r>
      <w:r w:rsidR="00AC5C55">
        <w:rPr>
          <w:sz w:val="24"/>
        </w:rPr>
        <w:t xml:space="preserve">. </w:t>
      </w:r>
    </w:p>
    <w:p w:rsidR="00A85B39" w:rsidRDefault="00A85B39" w:rsidP="00F863C9">
      <w:pPr>
        <w:ind w:left="720"/>
        <w:rPr>
          <w:sz w:val="24"/>
        </w:rPr>
      </w:pPr>
    </w:p>
    <w:p w:rsidR="00F863C9" w:rsidRDefault="00F55CF8" w:rsidP="00F863C9">
      <w:pPr>
        <w:ind w:left="720"/>
        <w:rPr>
          <w:sz w:val="24"/>
        </w:rPr>
      </w:pPr>
      <w:r w:rsidRPr="00F55CF8">
        <w:rPr>
          <w:sz w:val="24"/>
          <w:u w:val="single"/>
          <w:lang w:bidi="en-US"/>
        </w:rPr>
        <w:t>Appeals regarding treatment</w:t>
      </w:r>
      <w:r w:rsidR="001C4052">
        <w:rPr>
          <w:sz w:val="24"/>
          <w:u w:val="single"/>
          <w:lang w:bidi="en-US"/>
        </w:rPr>
        <w:t xml:space="preserve">-example (Appendix </w:t>
      </w:r>
      <w:r w:rsidR="00793123">
        <w:rPr>
          <w:sz w:val="24"/>
          <w:u w:val="single"/>
          <w:lang w:bidi="en-US"/>
        </w:rPr>
        <w:t>F</w:t>
      </w:r>
      <w:r w:rsidR="00B8183B">
        <w:rPr>
          <w:sz w:val="24"/>
          <w:u w:val="single"/>
          <w:lang w:bidi="en-US"/>
        </w:rPr>
        <w:t xml:space="preserve"> and F</w:t>
      </w:r>
      <w:r w:rsidR="00A22E64">
        <w:rPr>
          <w:sz w:val="24"/>
          <w:u w:val="single"/>
          <w:lang w:bidi="en-US"/>
        </w:rPr>
        <w:t>1</w:t>
      </w:r>
      <w:r w:rsidR="001C4052">
        <w:rPr>
          <w:sz w:val="24"/>
          <w:u w:val="single"/>
          <w:lang w:bidi="en-US"/>
        </w:rPr>
        <w:t>)</w:t>
      </w:r>
      <w:r w:rsidR="00A85B39" w:rsidRPr="005402F6">
        <w:rPr>
          <w:sz w:val="24"/>
        </w:rPr>
        <w:t>:</w:t>
      </w:r>
      <w:r w:rsidR="00A85B39">
        <w:rPr>
          <w:sz w:val="24"/>
        </w:rPr>
        <w:t xml:space="preserve"> </w:t>
      </w:r>
      <w:r w:rsidR="00335156">
        <w:rPr>
          <w:sz w:val="24"/>
        </w:rPr>
        <w:t xml:space="preserve">Of the projected </w:t>
      </w:r>
      <w:r w:rsidR="00457C6F">
        <w:rPr>
          <w:sz w:val="24"/>
        </w:rPr>
        <w:t>454</w:t>
      </w:r>
      <w:r w:rsidR="005823FE">
        <w:rPr>
          <w:sz w:val="24"/>
        </w:rPr>
        <w:t xml:space="preserve"> enrollees </w:t>
      </w:r>
      <w:r w:rsidR="0081418B">
        <w:rPr>
          <w:sz w:val="24"/>
        </w:rPr>
        <w:t>who will receive</w:t>
      </w:r>
      <w:r w:rsidR="005823FE">
        <w:rPr>
          <w:sz w:val="24"/>
        </w:rPr>
        <w:t xml:space="preserve"> medical care</w:t>
      </w:r>
      <w:r w:rsidR="00335156">
        <w:rPr>
          <w:sz w:val="24"/>
        </w:rPr>
        <w:t>, it is estimated that 3 percent (</w:t>
      </w:r>
      <w:r w:rsidR="00457C6F">
        <w:rPr>
          <w:sz w:val="24"/>
        </w:rPr>
        <w:t>14</w:t>
      </w:r>
      <w:r w:rsidR="00335156">
        <w:rPr>
          <w:sz w:val="24"/>
        </w:rPr>
        <w:t xml:space="preserve">) will appeal </w:t>
      </w:r>
      <w:r w:rsidR="00A85B39">
        <w:rPr>
          <w:sz w:val="24"/>
        </w:rPr>
        <w:t xml:space="preserve">a determination by the WTC Health Program that the treatment being sought is not </w:t>
      </w:r>
      <w:r w:rsidR="00A85B39">
        <w:rPr>
          <w:sz w:val="24"/>
        </w:rPr>
        <w:lastRenderedPageBreak/>
        <w:t>medically necessary</w:t>
      </w:r>
      <w:r w:rsidR="00335156">
        <w:rPr>
          <w:sz w:val="24"/>
        </w:rPr>
        <w:t>.</w:t>
      </w:r>
      <w:r w:rsidR="00834860">
        <w:rPr>
          <w:sz w:val="24"/>
        </w:rPr>
        <w:t xml:space="preserve"> </w:t>
      </w:r>
      <w:r w:rsidR="009D589E">
        <w:rPr>
          <w:sz w:val="24"/>
        </w:rPr>
        <w:t xml:space="preserve">We estimate that the appeals letter will take no more than </w:t>
      </w:r>
      <w:r w:rsidR="005430BF">
        <w:rPr>
          <w:sz w:val="24"/>
        </w:rPr>
        <w:t>30</w:t>
      </w:r>
      <w:r w:rsidR="009D589E">
        <w:rPr>
          <w:sz w:val="24"/>
        </w:rPr>
        <w:t xml:space="preserve"> minutes. </w:t>
      </w:r>
    </w:p>
    <w:p w:rsidR="006500A6" w:rsidRDefault="00504282" w:rsidP="00504282">
      <w:pPr>
        <w:widowControl/>
        <w:rPr>
          <w:sz w:val="24"/>
        </w:rPr>
      </w:pPr>
      <w:r>
        <w:rPr>
          <w:sz w:val="24"/>
        </w:rPr>
        <w:tab/>
      </w:r>
    </w:p>
    <w:p w:rsidR="00E203BB" w:rsidRPr="00E203BB" w:rsidRDefault="00F55CF8" w:rsidP="00E203BB">
      <w:pPr>
        <w:widowControl/>
        <w:ind w:left="720"/>
        <w:rPr>
          <w:sz w:val="24"/>
        </w:rPr>
      </w:pPr>
      <w:r w:rsidRPr="00F55CF8">
        <w:rPr>
          <w:sz w:val="24"/>
          <w:u w:val="single"/>
        </w:rPr>
        <w:t>Outpatient prescription pharmaceuticals</w:t>
      </w:r>
      <w:r w:rsidR="00B8183B">
        <w:rPr>
          <w:sz w:val="24"/>
          <w:u w:val="single"/>
        </w:rPr>
        <w:t xml:space="preserve"> (Appendix G)</w:t>
      </w:r>
      <w:r w:rsidRPr="00E15AD6">
        <w:rPr>
          <w:sz w:val="24"/>
        </w:rPr>
        <w:t>:</w:t>
      </w:r>
      <w:r w:rsidRPr="00E203BB">
        <w:rPr>
          <w:sz w:val="24"/>
        </w:rPr>
        <w:t xml:space="preserve"> </w:t>
      </w:r>
      <w:r w:rsidR="00E203BB" w:rsidRPr="00E203BB">
        <w:rPr>
          <w:sz w:val="24"/>
        </w:rPr>
        <w:t xml:space="preserve">Pharmacies will electronically transmit reimbursement claims </w:t>
      </w:r>
      <w:r w:rsidR="00E203BB" w:rsidRPr="00693659">
        <w:rPr>
          <w:sz w:val="24"/>
        </w:rPr>
        <w:t>to the WTC Health Program</w:t>
      </w:r>
      <w:r w:rsidR="00A91932" w:rsidRPr="00693659">
        <w:rPr>
          <w:sz w:val="24"/>
        </w:rPr>
        <w:t xml:space="preserve"> (there is no form for this submission)</w:t>
      </w:r>
      <w:r w:rsidR="00E203BB" w:rsidRPr="00693659">
        <w:rPr>
          <w:sz w:val="24"/>
        </w:rPr>
        <w:t xml:space="preserve">. HHS estimates that </w:t>
      </w:r>
      <w:r w:rsidR="00A91932" w:rsidRPr="00693659">
        <w:rPr>
          <w:sz w:val="24"/>
        </w:rPr>
        <w:t>4</w:t>
      </w:r>
      <w:r w:rsidR="00E203BB" w:rsidRPr="00693659">
        <w:rPr>
          <w:sz w:val="24"/>
        </w:rPr>
        <w:t xml:space="preserve"> pharmacies will submit reimbursement claims for </w:t>
      </w:r>
      <w:r w:rsidR="00A91932" w:rsidRPr="00693659">
        <w:rPr>
          <w:sz w:val="24"/>
        </w:rPr>
        <w:t>1,058</w:t>
      </w:r>
      <w:r w:rsidR="00E203BB" w:rsidRPr="00693659">
        <w:rPr>
          <w:sz w:val="24"/>
        </w:rPr>
        <w:t xml:space="preserve"> prescriptions per year, or 26</w:t>
      </w:r>
      <w:r w:rsidR="00A91932" w:rsidRPr="00693659">
        <w:rPr>
          <w:sz w:val="24"/>
        </w:rPr>
        <w:t>5</w:t>
      </w:r>
      <w:r w:rsidR="00E203BB" w:rsidRPr="00693659">
        <w:rPr>
          <w:sz w:val="24"/>
        </w:rPr>
        <w:t xml:space="preserve"> per pharmacy; we estimate that each submission will take 1 minute.</w:t>
      </w:r>
      <w:r w:rsidRPr="00693659">
        <w:rPr>
          <w:sz w:val="24"/>
        </w:rPr>
        <w:t xml:space="preserve"> The following data elements will be collected for pharmacy reimbursement: pharmacy name, pharmacy address, drug name, prescription number, patient name, patient ID number, and cost.</w:t>
      </w:r>
    </w:p>
    <w:p w:rsidR="00E203BB" w:rsidRDefault="00E203BB" w:rsidP="00E203BB">
      <w:pPr>
        <w:widowControl/>
        <w:ind w:left="720"/>
        <w:rPr>
          <w:sz w:val="24"/>
        </w:rPr>
      </w:pPr>
    </w:p>
    <w:p w:rsidR="00E203BB" w:rsidRPr="00E203BB" w:rsidRDefault="00F55CF8" w:rsidP="00693659">
      <w:pPr>
        <w:ind w:left="720"/>
        <w:rPr>
          <w:sz w:val="24"/>
        </w:rPr>
      </w:pPr>
      <w:r w:rsidRPr="00F55CF8">
        <w:rPr>
          <w:sz w:val="24"/>
          <w:u w:val="single"/>
          <w:lang w:bidi="en-US"/>
        </w:rPr>
        <w:t>WTC Health Program Medical Travel Refund Request</w:t>
      </w:r>
      <w:r w:rsidR="001C4052">
        <w:rPr>
          <w:sz w:val="24"/>
          <w:u w:val="single"/>
          <w:lang w:bidi="en-US"/>
        </w:rPr>
        <w:t xml:space="preserve"> (Appendix </w:t>
      </w:r>
      <w:r w:rsidR="00B8183B">
        <w:rPr>
          <w:sz w:val="24"/>
          <w:u w:val="single"/>
          <w:lang w:bidi="en-US"/>
        </w:rPr>
        <w:t>D</w:t>
      </w:r>
      <w:r w:rsidR="001C4052">
        <w:rPr>
          <w:sz w:val="24"/>
          <w:u w:val="single"/>
          <w:lang w:bidi="en-US"/>
        </w:rPr>
        <w:t>)</w:t>
      </w:r>
      <w:r>
        <w:rPr>
          <w:sz w:val="24"/>
          <w:lang w:bidi="en-US"/>
        </w:rPr>
        <w:t>:</w:t>
      </w:r>
      <w:r w:rsidR="00693659">
        <w:rPr>
          <w:sz w:val="24"/>
          <w:lang w:bidi="en-US"/>
        </w:rPr>
        <w:t xml:space="preserve"> </w:t>
      </w:r>
      <w:r w:rsidR="00E203BB" w:rsidRPr="00E203BB">
        <w:rPr>
          <w:sz w:val="24"/>
        </w:rPr>
        <w:t>WTC responders</w:t>
      </w:r>
      <w:r w:rsidR="00A94D51">
        <w:rPr>
          <w:sz w:val="24"/>
        </w:rPr>
        <w:t xml:space="preserve"> </w:t>
      </w:r>
      <w:r w:rsidR="00E203BB" w:rsidRPr="00E203BB">
        <w:rPr>
          <w:sz w:val="24"/>
        </w:rPr>
        <w:t>who travel more than 250 miles to a nationwide network provider for medically necessary treatment may be provided necessary and reasonable transportation and other expenses. These individuals may submit a travel refund request form, which should take respondents 10 minutes</w:t>
      </w:r>
      <w:r w:rsidR="005A0ABF">
        <w:rPr>
          <w:sz w:val="24"/>
        </w:rPr>
        <w:t xml:space="preserve"> to complete</w:t>
      </w:r>
      <w:r w:rsidR="00A94D51">
        <w:rPr>
          <w:sz w:val="24"/>
        </w:rPr>
        <w:t>. HHS expects no more than 1 claim</w:t>
      </w:r>
      <w:r w:rsidR="00E203BB" w:rsidRPr="00E203BB">
        <w:rPr>
          <w:sz w:val="24"/>
        </w:rPr>
        <w:t xml:space="preserve"> per year.</w:t>
      </w:r>
    </w:p>
    <w:p w:rsidR="00E203BB" w:rsidRDefault="00E203BB" w:rsidP="00504282">
      <w:pPr>
        <w:widowControl/>
        <w:rPr>
          <w:sz w:val="24"/>
        </w:rPr>
      </w:pPr>
    </w:p>
    <w:p w:rsidR="00CE54A6" w:rsidRDefault="00CE54A6" w:rsidP="00CE54A6">
      <w:pPr>
        <w:widowControl/>
        <w:rPr>
          <w:sz w:val="24"/>
        </w:rPr>
      </w:pPr>
    </w:p>
    <w:p w:rsidR="00CE54A6" w:rsidRDefault="00CE54A6" w:rsidP="00CE54A6">
      <w:pPr>
        <w:widowControl/>
        <w:rPr>
          <w:sz w:val="24"/>
        </w:rPr>
      </w:pPr>
    </w:p>
    <w:p w:rsidR="00F863C9" w:rsidRPr="006A07E4" w:rsidRDefault="00F863C9" w:rsidP="006A07E4">
      <w:pPr>
        <w:widowControl/>
        <w:ind w:firstLine="720"/>
        <w:rPr>
          <w:b/>
          <w:sz w:val="24"/>
        </w:rPr>
      </w:pPr>
      <w:r w:rsidRPr="006A07E4">
        <w:rPr>
          <w:b/>
          <w:sz w:val="24"/>
        </w:rPr>
        <w:t>12A. Estimated Annualized Burden Hours</w:t>
      </w:r>
    </w:p>
    <w:tbl>
      <w:tblPr>
        <w:tblW w:w="9270"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2250"/>
        <w:gridCol w:w="1530"/>
        <w:gridCol w:w="1440"/>
        <w:gridCol w:w="1350"/>
        <w:gridCol w:w="990"/>
      </w:tblGrid>
      <w:tr w:rsidR="00F863C9" w:rsidTr="001E0AB6">
        <w:tc>
          <w:tcPr>
            <w:tcW w:w="1710" w:type="dxa"/>
            <w:vAlign w:val="center"/>
          </w:tcPr>
          <w:p w:rsidR="00F863C9" w:rsidRDefault="00F863C9" w:rsidP="00F40CD3">
            <w:pPr>
              <w:widowControl/>
              <w:rPr>
                <w:b/>
                <w:bCs/>
                <w:sz w:val="24"/>
              </w:rPr>
            </w:pPr>
            <w:r>
              <w:rPr>
                <w:b/>
                <w:bCs/>
                <w:sz w:val="24"/>
              </w:rPr>
              <w:t>Type of</w:t>
            </w:r>
          </w:p>
          <w:p w:rsidR="00F863C9" w:rsidRDefault="00F863C9" w:rsidP="00F40CD3">
            <w:pPr>
              <w:widowControl/>
              <w:rPr>
                <w:b/>
                <w:bCs/>
                <w:sz w:val="24"/>
              </w:rPr>
            </w:pPr>
            <w:r>
              <w:rPr>
                <w:b/>
                <w:bCs/>
                <w:sz w:val="24"/>
              </w:rPr>
              <w:t>Respondent</w:t>
            </w:r>
          </w:p>
          <w:p w:rsidR="00F863C9" w:rsidRDefault="00F863C9" w:rsidP="00F40CD3">
            <w:pPr>
              <w:widowControl/>
              <w:rPr>
                <w:b/>
                <w:bCs/>
                <w:sz w:val="24"/>
              </w:rPr>
            </w:pPr>
          </w:p>
        </w:tc>
        <w:tc>
          <w:tcPr>
            <w:tcW w:w="2250" w:type="dxa"/>
            <w:vAlign w:val="center"/>
          </w:tcPr>
          <w:p w:rsidR="00F863C9" w:rsidRDefault="00F863C9" w:rsidP="00F40CD3">
            <w:pPr>
              <w:widowControl/>
              <w:rPr>
                <w:b/>
                <w:bCs/>
                <w:sz w:val="24"/>
              </w:rPr>
            </w:pPr>
            <w:r>
              <w:rPr>
                <w:b/>
                <w:bCs/>
                <w:sz w:val="24"/>
              </w:rPr>
              <w:t>Form Name</w:t>
            </w:r>
          </w:p>
        </w:tc>
        <w:tc>
          <w:tcPr>
            <w:tcW w:w="1530" w:type="dxa"/>
            <w:vAlign w:val="center"/>
          </w:tcPr>
          <w:p w:rsidR="00F863C9" w:rsidRDefault="00F863C9" w:rsidP="00F40CD3">
            <w:pPr>
              <w:widowControl/>
              <w:rPr>
                <w:b/>
                <w:bCs/>
                <w:sz w:val="24"/>
              </w:rPr>
            </w:pPr>
            <w:r>
              <w:rPr>
                <w:b/>
                <w:bCs/>
                <w:sz w:val="24"/>
              </w:rPr>
              <w:t>No. of</w:t>
            </w:r>
          </w:p>
          <w:p w:rsidR="00F863C9" w:rsidRDefault="00F863C9" w:rsidP="00F40CD3">
            <w:pPr>
              <w:widowControl/>
              <w:rPr>
                <w:b/>
                <w:bCs/>
                <w:sz w:val="24"/>
              </w:rPr>
            </w:pPr>
            <w:r>
              <w:rPr>
                <w:b/>
                <w:bCs/>
                <w:sz w:val="24"/>
              </w:rPr>
              <w:t>Respondents</w:t>
            </w:r>
          </w:p>
        </w:tc>
        <w:tc>
          <w:tcPr>
            <w:tcW w:w="1440" w:type="dxa"/>
            <w:vAlign w:val="center"/>
          </w:tcPr>
          <w:p w:rsidR="00F863C9" w:rsidRDefault="00F863C9" w:rsidP="00F40CD3">
            <w:pPr>
              <w:widowControl/>
              <w:rPr>
                <w:b/>
                <w:bCs/>
                <w:sz w:val="24"/>
              </w:rPr>
            </w:pPr>
            <w:r>
              <w:rPr>
                <w:b/>
                <w:bCs/>
                <w:sz w:val="24"/>
              </w:rPr>
              <w:t>No.</w:t>
            </w:r>
          </w:p>
          <w:p w:rsidR="00F863C9" w:rsidRDefault="00F863C9" w:rsidP="00F40CD3">
            <w:pPr>
              <w:widowControl/>
              <w:rPr>
                <w:b/>
                <w:bCs/>
                <w:sz w:val="24"/>
              </w:rPr>
            </w:pPr>
            <w:r>
              <w:rPr>
                <w:b/>
                <w:bCs/>
                <w:sz w:val="24"/>
              </w:rPr>
              <w:t>Responses</w:t>
            </w:r>
          </w:p>
          <w:p w:rsidR="00F863C9" w:rsidRDefault="00F863C9" w:rsidP="00F40CD3">
            <w:pPr>
              <w:widowControl/>
              <w:rPr>
                <w:b/>
                <w:bCs/>
                <w:sz w:val="24"/>
              </w:rPr>
            </w:pPr>
            <w:r>
              <w:rPr>
                <w:b/>
                <w:bCs/>
                <w:sz w:val="24"/>
              </w:rPr>
              <w:t>per</w:t>
            </w:r>
          </w:p>
          <w:p w:rsidR="00F863C9" w:rsidRDefault="00F863C9" w:rsidP="00F40CD3">
            <w:pPr>
              <w:widowControl/>
              <w:rPr>
                <w:b/>
                <w:bCs/>
                <w:sz w:val="24"/>
              </w:rPr>
            </w:pPr>
            <w:r>
              <w:rPr>
                <w:b/>
                <w:bCs/>
                <w:sz w:val="24"/>
              </w:rPr>
              <w:t>Respondent</w:t>
            </w:r>
          </w:p>
        </w:tc>
        <w:tc>
          <w:tcPr>
            <w:tcW w:w="1350" w:type="dxa"/>
            <w:vAlign w:val="center"/>
          </w:tcPr>
          <w:p w:rsidR="00F863C9" w:rsidRDefault="00F863C9" w:rsidP="00F40CD3">
            <w:pPr>
              <w:widowControl/>
              <w:rPr>
                <w:b/>
                <w:bCs/>
                <w:sz w:val="24"/>
              </w:rPr>
            </w:pPr>
            <w:r>
              <w:rPr>
                <w:b/>
                <w:bCs/>
                <w:sz w:val="24"/>
              </w:rPr>
              <w:t>Average</w:t>
            </w:r>
          </w:p>
          <w:p w:rsidR="00F863C9" w:rsidRDefault="00F863C9" w:rsidP="00F40CD3">
            <w:pPr>
              <w:widowControl/>
              <w:rPr>
                <w:b/>
                <w:bCs/>
                <w:sz w:val="24"/>
              </w:rPr>
            </w:pPr>
            <w:r>
              <w:rPr>
                <w:b/>
                <w:bCs/>
                <w:sz w:val="24"/>
              </w:rPr>
              <w:t>Burden per</w:t>
            </w:r>
          </w:p>
          <w:p w:rsidR="00F863C9" w:rsidRDefault="00F863C9" w:rsidP="00F40CD3">
            <w:pPr>
              <w:widowControl/>
              <w:rPr>
                <w:b/>
                <w:bCs/>
                <w:sz w:val="24"/>
              </w:rPr>
            </w:pPr>
            <w:r>
              <w:rPr>
                <w:b/>
                <w:bCs/>
                <w:sz w:val="24"/>
              </w:rPr>
              <w:t>Response</w:t>
            </w:r>
          </w:p>
          <w:p w:rsidR="00F863C9" w:rsidRDefault="00F863C9" w:rsidP="00F40CD3">
            <w:pPr>
              <w:widowControl/>
              <w:rPr>
                <w:b/>
                <w:bCs/>
                <w:sz w:val="24"/>
              </w:rPr>
            </w:pPr>
            <w:r>
              <w:rPr>
                <w:b/>
                <w:bCs/>
                <w:sz w:val="24"/>
              </w:rPr>
              <w:t>(in hours)</w:t>
            </w:r>
          </w:p>
        </w:tc>
        <w:tc>
          <w:tcPr>
            <w:tcW w:w="990" w:type="dxa"/>
            <w:vAlign w:val="center"/>
          </w:tcPr>
          <w:p w:rsidR="00F863C9" w:rsidRDefault="00F863C9" w:rsidP="00F40CD3">
            <w:pPr>
              <w:widowControl/>
              <w:rPr>
                <w:b/>
                <w:bCs/>
                <w:sz w:val="24"/>
              </w:rPr>
            </w:pPr>
            <w:r>
              <w:rPr>
                <w:b/>
                <w:bCs/>
                <w:sz w:val="24"/>
              </w:rPr>
              <w:t>Total Burden Hours</w:t>
            </w:r>
          </w:p>
        </w:tc>
      </w:tr>
      <w:tr w:rsidR="00A578FE" w:rsidRPr="001C4052" w:rsidTr="00AE7111">
        <w:tc>
          <w:tcPr>
            <w:tcW w:w="1710" w:type="dxa"/>
            <w:shd w:val="clear" w:color="auto" w:fill="auto"/>
            <w:vAlign w:val="center"/>
          </w:tcPr>
          <w:p w:rsidR="00A578FE" w:rsidRPr="00795207" w:rsidRDefault="00D56D5E" w:rsidP="00D56D5E">
            <w:pPr>
              <w:widowControl/>
              <w:rPr>
                <w:bCs/>
                <w:sz w:val="24"/>
              </w:rPr>
            </w:pPr>
            <w:r w:rsidRPr="00795207">
              <w:rPr>
                <w:bCs/>
                <w:sz w:val="24"/>
              </w:rPr>
              <w:t xml:space="preserve">Pentagon or </w:t>
            </w:r>
            <w:proofErr w:type="spellStart"/>
            <w:r w:rsidRPr="00795207">
              <w:rPr>
                <w:bCs/>
                <w:sz w:val="24"/>
              </w:rPr>
              <w:t>Shanksville</w:t>
            </w:r>
            <w:proofErr w:type="spellEnd"/>
            <w:r w:rsidRPr="00795207">
              <w:rPr>
                <w:bCs/>
                <w:sz w:val="24"/>
              </w:rPr>
              <w:t xml:space="preserve">, Pennsylvania </w:t>
            </w:r>
            <w:r w:rsidR="00E20B10" w:rsidRPr="00795207">
              <w:rPr>
                <w:bCs/>
                <w:sz w:val="24"/>
              </w:rPr>
              <w:t xml:space="preserve">Responder </w:t>
            </w:r>
          </w:p>
        </w:tc>
        <w:tc>
          <w:tcPr>
            <w:tcW w:w="2250" w:type="dxa"/>
            <w:shd w:val="clear" w:color="auto" w:fill="auto"/>
            <w:vAlign w:val="center"/>
          </w:tcPr>
          <w:p w:rsidR="00A578FE" w:rsidRPr="00795207" w:rsidRDefault="00D56D5E" w:rsidP="00F40CD3">
            <w:pPr>
              <w:widowControl/>
              <w:rPr>
                <w:bCs/>
                <w:sz w:val="24"/>
              </w:rPr>
            </w:pPr>
            <w:r w:rsidRPr="00795207">
              <w:rPr>
                <w:sz w:val="24"/>
              </w:rPr>
              <w:t>W</w:t>
            </w:r>
            <w:r w:rsidRPr="00795207">
              <w:rPr>
                <w:bCs/>
                <w:sz w:val="24"/>
              </w:rPr>
              <w:t xml:space="preserve">orld Trade Center Health Program Pentagon &amp; </w:t>
            </w:r>
            <w:proofErr w:type="spellStart"/>
            <w:r w:rsidRPr="00795207">
              <w:rPr>
                <w:bCs/>
                <w:sz w:val="24"/>
              </w:rPr>
              <w:t>Shanksville</w:t>
            </w:r>
            <w:proofErr w:type="spellEnd"/>
            <w:r w:rsidRPr="00795207">
              <w:rPr>
                <w:bCs/>
                <w:sz w:val="24"/>
              </w:rPr>
              <w:t>, Pennsylvania Responder Eligibility Application</w:t>
            </w:r>
          </w:p>
        </w:tc>
        <w:tc>
          <w:tcPr>
            <w:tcW w:w="1530" w:type="dxa"/>
            <w:shd w:val="clear" w:color="auto" w:fill="auto"/>
            <w:vAlign w:val="center"/>
          </w:tcPr>
          <w:p w:rsidR="00A578FE" w:rsidRPr="00795207" w:rsidRDefault="00D56D5E" w:rsidP="00563F92">
            <w:pPr>
              <w:widowControl/>
              <w:jc w:val="center"/>
              <w:rPr>
                <w:bCs/>
                <w:sz w:val="24"/>
              </w:rPr>
            </w:pPr>
            <w:r w:rsidRPr="00795207">
              <w:rPr>
                <w:bCs/>
                <w:sz w:val="24"/>
              </w:rPr>
              <w:t>1,605</w:t>
            </w:r>
          </w:p>
        </w:tc>
        <w:tc>
          <w:tcPr>
            <w:tcW w:w="1440" w:type="dxa"/>
            <w:shd w:val="clear" w:color="auto" w:fill="auto"/>
            <w:vAlign w:val="center"/>
          </w:tcPr>
          <w:p w:rsidR="00A578FE" w:rsidRPr="00795207" w:rsidRDefault="00A578FE" w:rsidP="00563F92">
            <w:pPr>
              <w:widowControl/>
              <w:jc w:val="center"/>
              <w:rPr>
                <w:bCs/>
                <w:sz w:val="24"/>
              </w:rPr>
            </w:pPr>
            <w:r w:rsidRPr="00795207">
              <w:rPr>
                <w:bCs/>
                <w:sz w:val="24"/>
              </w:rPr>
              <w:t>1</w:t>
            </w:r>
          </w:p>
        </w:tc>
        <w:tc>
          <w:tcPr>
            <w:tcW w:w="1350" w:type="dxa"/>
            <w:shd w:val="clear" w:color="auto" w:fill="auto"/>
            <w:vAlign w:val="center"/>
          </w:tcPr>
          <w:p w:rsidR="00A578FE" w:rsidRPr="00795207" w:rsidRDefault="00D56D5E" w:rsidP="00563F92">
            <w:pPr>
              <w:widowControl/>
              <w:jc w:val="center"/>
              <w:rPr>
                <w:bCs/>
                <w:sz w:val="24"/>
              </w:rPr>
            </w:pPr>
            <w:r w:rsidRPr="00795207">
              <w:rPr>
                <w:bCs/>
                <w:sz w:val="24"/>
              </w:rPr>
              <w:t>3</w:t>
            </w:r>
            <w:r w:rsidR="00A578FE" w:rsidRPr="00795207">
              <w:rPr>
                <w:bCs/>
                <w:sz w:val="24"/>
              </w:rPr>
              <w:t>0/60</w:t>
            </w:r>
          </w:p>
        </w:tc>
        <w:tc>
          <w:tcPr>
            <w:tcW w:w="990" w:type="dxa"/>
            <w:vAlign w:val="center"/>
          </w:tcPr>
          <w:p w:rsidR="00A578FE" w:rsidRPr="00795207" w:rsidRDefault="00D56D5E" w:rsidP="00563F92">
            <w:pPr>
              <w:widowControl/>
              <w:jc w:val="center"/>
              <w:rPr>
                <w:bCs/>
                <w:sz w:val="24"/>
              </w:rPr>
            </w:pPr>
            <w:r w:rsidRPr="00795207">
              <w:rPr>
                <w:bCs/>
                <w:sz w:val="24"/>
              </w:rPr>
              <w:t>803</w:t>
            </w:r>
          </w:p>
        </w:tc>
      </w:tr>
      <w:tr w:rsidR="009D589E" w:rsidRPr="001C4052" w:rsidTr="00AE7111">
        <w:tc>
          <w:tcPr>
            <w:tcW w:w="1710" w:type="dxa"/>
            <w:shd w:val="clear" w:color="auto" w:fill="auto"/>
            <w:vAlign w:val="center"/>
          </w:tcPr>
          <w:p w:rsidR="009D589E" w:rsidRPr="00795207" w:rsidRDefault="00D56D5E" w:rsidP="00F40CD3">
            <w:pPr>
              <w:widowControl/>
            </w:pPr>
            <w:r w:rsidRPr="00795207">
              <w:rPr>
                <w:bCs/>
                <w:sz w:val="24"/>
              </w:rPr>
              <w:t xml:space="preserve">Pentagon or </w:t>
            </w:r>
            <w:proofErr w:type="spellStart"/>
            <w:r w:rsidRPr="00795207">
              <w:rPr>
                <w:bCs/>
                <w:sz w:val="24"/>
              </w:rPr>
              <w:t>Shanksville</w:t>
            </w:r>
            <w:proofErr w:type="spellEnd"/>
            <w:r w:rsidRPr="00795207">
              <w:rPr>
                <w:bCs/>
                <w:sz w:val="24"/>
              </w:rPr>
              <w:t xml:space="preserve">, Pennsylvania Responder </w:t>
            </w:r>
          </w:p>
        </w:tc>
        <w:tc>
          <w:tcPr>
            <w:tcW w:w="2250" w:type="dxa"/>
            <w:shd w:val="clear" w:color="auto" w:fill="auto"/>
          </w:tcPr>
          <w:p w:rsidR="009D589E" w:rsidRPr="00795207" w:rsidRDefault="00E23B88" w:rsidP="009D589E">
            <w:pPr>
              <w:rPr>
                <w:sz w:val="24"/>
              </w:rPr>
            </w:pPr>
            <w:r w:rsidRPr="00795207">
              <w:rPr>
                <w:sz w:val="24"/>
                <w:lang w:bidi="en-US"/>
              </w:rPr>
              <w:t>Appeal</w:t>
            </w:r>
            <w:r w:rsidR="008C5505" w:rsidRPr="00795207">
              <w:rPr>
                <w:sz w:val="24"/>
                <w:lang w:bidi="en-US"/>
              </w:rPr>
              <w:t>s</w:t>
            </w:r>
            <w:r w:rsidRPr="00795207">
              <w:rPr>
                <w:sz w:val="24"/>
                <w:lang w:bidi="en-US"/>
              </w:rPr>
              <w:t xml:space="preserve"> to Eligibility Denial</w:t>
            </w:r>
          </w:p>
        </w:tc>
        <w:tc>
          <w:tcPr>
            <w:tcW w:w="1530" w:type="dxa"/>
            <w:shd w:val="clear" w:color="auto" w:fill="auto"/>
          </w:tcPr>
          <w:p w:rsidR="009D589E" w:rsidRPr="00795207" w:rsidRDefault="00930D61" w:rsidP="009D589E">
            <w:pPr>
              <w:jc w:val="center"/>
              <w:rPr>
                <w:sz w:val="24"/>
              </w:rPr>
            </w:pPr>
            <w:r w:rsidRPr="00795207">
              <w:rPr>
                <w:sz w:val="24"/>
              </w:rPr>
              <w:t>4</w:t>
            </w:r>
          </w:p>
        </w:tc>
        <w:tc>
          <w:tcPr>
            <w:tcW w:w="1440" w:type="dxa"/>
            <w:shd w:val="clear" w:color="auto" w:fill="auto"/>
          </w:tcPr>
          <w:p w:rsidR="009D589E" w:rsidRPr="00795207" w:rsidRDefault="009D589E" w:rsidP="009D589E">
            <w:pPr>
              <w:jc w:val="center"/>
              <w:rPr>
                <w:sz w:val="24"/>
              </w:rPr>
            </w:pPr>
            <w:r w:rsidRPr="00795207">
              <w:rPr>
                <w:sz w:val="24"/>
              </w:rPr>
              <w:t>1</w:t>
            </w:r>
          </w:p>
        </w:tc>
        <w:tc>
          <w:tcPr>
            <w:tcW w:w="1350" w:type="dxa"/>
            <w:shd w:val="clear" w:color="auto" w:fill="auto"/>
          </w:tcPr>
          <w:p w:rsidR="009D589E" w:rsidRPr="00795207" w:rsidRDefault="00C8703A" w:rsidP="009D589E">
            <w:pPr>
              <w:jc w:val="center"/>
              <w:rPr>
                <w:sz w:val="24"/>
              </w:rPr>
            </w:pPr>
            <w:r w:rsidRPr="00795207">
              <w:rPr>
                <w:sz w:val="24"/>
              </w:rPr>
              <w:t>30</w:t>
            </w:r>
            <w:r w:rsidR="009D589E" w:rsidRPr="00795207">
              <w:rPr>
                <w:sz w:val="24"/>
              </w:rPr>
              <w:t>/60</w:t>
            </w:r>
          </w:p>
        </w:tc>
        <w:tc>
          <w:tcPr>
            <w:tcW w:w="990" w:type="dxa"/>
          </w:tcPr>
          <w:p w:rsidR="009D589E" w:rsidRPr="00795207" w:rsidRDefault="00983DB2" w:rsidP="00930D61">
            <w:pPr>
              <w:jc w:val="center"/>
              <w:rPr>
                <w:sz w:val="24"/>
              </w:rPr>
            </w:pPr>
            <w:r w:rsidRPr="00795207">
              <w:rPr>
                <w:sz w:val="24"/>
              </w:rPr>
              <w:t>2</w:t>
            </w:r>
          </w:p>
        </w:tc>
      </w:tr>
      <w:tr w:rsidR="00335156" w:rsidRPr="001C4052" w:rsidTr="00AE7111">
        <w:tc>
          <w:tcPr>
            <w:tcW w:w="1710" w:type="dxa"/>
            <w:shd w:val="clear" w:color="auto" w:fill="auto"/>
            <w:vAlign w:val="center"/>
          </w:tcPr>
          <w:p w:rsidR="00335156" w:rsidRPr="00795207" w:rsidRDefault="00D56D5E" w:rsidP="002F5BC4">
            <w:pPr>
              <w:widowControl/>
              <w:rPr>
                <w:sz w:val="24"/>
              </w:rPr>
            </w:pPr>
            <w:r w:rsidRPr="00795207">
              <w:rPr>
                <w:bCs/>
                <w:sz w:val="24"/>
              </w:rPr>
              <w:t xml:space="preserve">Pentagon or </w:t>
            </w:r>
            <w:proofErr w:type="spellStart"/>
            <w:r w:rsidRPr="00795207">
              <w:rPr>
                <w:bCs/>
                <w:sz w:val="24"/>
              </w:rPr>
              <w:t>Shanksville</w:t>
            </w:r>
            <w:proofErr w:type="spellEnd"/>
            <w:r w:rsidRPr="00795207">
              <w:rPr>
                <w:bCs/>
                <w:sz w:val="24"/>
              </w:rPr>
              <w:t xml:space="preserve">, Pennsylvania Responder </w:t>
            </w:r>
          </w:p>
        </w:tc>
        <w:tc>
          <w:tcPr>
            <w:tcW w:w="2250" w:type="dxa"/>
            <w:shd w:val="clear" w:color="auto" w:fill="auto"/>
          </w:tcPr>
          <w:p w:rsidR="00335156" w:rsidRPr="00795207" w:rsidRDefault="00E20B10" w:rsidP="002F5BC4">
            <w:pPr>
              <w:rPr>
                <w:sz w:val="24"/>
              </w:rPr>
            </w:pPr>
            <w:r w:rsidRPr="00795207">
              <w:rPr>
                <w:sz w:val="24"/>
                <w:lang w:bidi="en-US"/>
              </w:rPr>
              <w:t xml:space="preserve">Appeals regarding </w:t>
            </w:r>
            <w:r w:rsidR="00B96A3D" w:rsidRPr="00795207">
              <w:rPr>
                <w:sz w:val="24"/>
                <w:lang w:bidi="en-US"/>
              </w:rPr>
              <w:t xml:space="preserve">certification of </w:t>
            </w:r>
            <w:r w:rsidRPr="00795207">
              <w:rPr>
                <w:sz w:val="24"/>
                <w:lang w:bidi="en-US"/>
              </w:rPr>
              <w:t>health conditions</w:t>
            </w:r>
          </w:p>
        </w:tc>
        <w:tc>
          <w:tcPr>
            <w:tcW w:w="1530" w:type="dxa"/>
            <w:shd w:val="clear" w:color="auto" w:fill="auto"/>
          </w:tcPr>
          <w:p w:rsidR="00335156" w:rsidRPr="00795207" w:rsidRDefault="00B96A3D" w:rsidP="00983DB2">
            <w:pPr>
              <w:jc w:val="center"/>
              <w:rPr>
                <w:sz w:val="24"/>
              </w:rPr>
            </w:pPr>
            <w:r w:rsidRPr="00795207">
              <w:rPr>
                <w:sz w:val="24"/>
              </w:rPr>
              <w:t>1</w:t>
            </w:r>
          </w:p>
        </w:tc>
        <w:tc>
          <w:tcPr>
            <w:tcW w:w="1440" w:type="dxa"/>
            <w:shd w:val="clear" w:color="auto" w:fill="auto"/>
          </w:tcPr>
          <w:p w:rsidR="00335156" w:rsidRPr="00795207" w:rsidRDefault="00335156" w:rsidP="002F5BC4">
            <w:pPr>
              <w:jc w:val="center"/>
              <w:rPr>
                <w:sz w:val="24"/>
              </w:rPr>
            </w:pPr>
            <w:r w:rsidRPr="00795207">
              <w:rPr>
                <w:sz w:val="24"/>
              </w:rPr>
              <w:t>1</w:t>
            </w:r>
          </w:p>
        </w:tc>
        <w:tc>
          <w:tcPr>
            <w:tcW w:w="1350" w:type="dxa"/>
            <w:shd w:val="clear" w:color="auto" w:fill="auto"/>
          </w:tcPr>
          <w:p w:rsidR="00335156" w:rsidRPr="00795207" w:rsidRDefault="00335156" w:rsidP="002F5BC4">
            <w:pPr>
              <w:jc w:val="center"/>
              <w:rPr>
                <w:sz w:val="24"/>
              </w:rPr>
            </w:pPr>
            <w:r w:rsidRPr="00795207">
              <w:rPr>
                <w:sz w:val="24"/>
              </w:rPr>
              <w:t>30/60</w:t>
            </w:r>
          </w:p>
        </w:tc>
        <w:tc>
          <w:tcPr>
            <w:tcW w:w="990" w:type="dxa"/>
          </w:tcPr>
          <w:p w:rsidR="00335156" w:rsidRPr="00795207" w:rsidRDefault="00B96A3D" w:rsidP="002F5BC4">
            <w:pPr>
              <w:jc w:val="center"/>
              <w:rPr>
                <w:sz w:val="24"/>
              </w:rPr>
            </w:pPr>
            <w:r w:rsidRPr="00795207">
              <w:rPr>
                <w:sz w:val="24"/>
              </w:rPr>
              <w:t>.</w:t>
            </w:r>
            <w:r w:rsidR="00333334" w:rsidRPr="00795207">
              <w:rPr>
                <w:sz w:val="24"/>
              </w:rPr>
              <w:t>5</w:t>
            </w:r>
          </w:p>
        </w:tc>
      </w:tr>
      <w:tr w:rsidR="00777AB1" w:rsidRPr="001C4052" w:rsidTr="00AE7111">
        <w:tc>
          <w:tcPr>
            <w:tcW w:w="1710" w:type="dxa"/>
            <w:shd w:val="clear" w:color="auto" w:fill="auto"/>
            <w:vAlign w:val="center"/>
          </w:tcPr>
          <w:p w:rsidR="00777AB1" w:rsidRPr="00795207" w:rsidRDefault="00D56D5E" w:rsidP="002F5BC4">
            <w:pPr>
              <w:widowControl/>
              <w:rPr>
                <w:sz w:val="24"/>
              </w:rPr>
            </w:pPr>
            <w:r w:rsidRPr="00795207">
              <w:rPr>
                <w:bCs/>
                <w:sz w:val="24"/>
              </w:rPr>
              <w:t xml:space="preserve">Pentagon or </w:t>
            </w:r>
            <w:proofErr w:type="spellStart"/>
            <w:r w:rsidRPr="00795207">
              <w:rPr>
                <w:bCs/>
                <w:sz w:val="24"/>
              </w:rPr>
              <w:t>Shanksville</w:t>
            </w:r>
            <w:proofErr w:type="spellEnd"/>
            <w:r w:rsidRPr="00795207">
              <w:rPr>
                <w:bCs/>
                <w:sz w:val="24"/>
              </w:rPr>
              <w:t xml:space="preserve">, Pennsylvania Responder </w:t>
            </w:r>
          </w:p>
        </w:tc>
        <w:tc>
          <w:tcPr>
            <w:tcW w:w="2250" w:type="dxa"/>
            <w:shd w:val="clear" w:color="auto" w:fill="auto"/>
          </w:tcPr>
          <w:p w:rsidR="00777AB1" w:rsidRPr="00795207" w:rsidRDefault="00777AB1" w:rsidP="002F5BC4">
            <w:pPr>
              <w:rPr>
                <w:sz w:val="24"/>
                <w:lang w:bidi="en-US"/>
              </w:rPr>
            </w:pPr>
            <w:r w:rsidRPr="00795207">
              <w:rPr>
                <w:sz w:val="24"/>
                <w:lang w:bidi="en-US"/>
              </w:rPr>
              <w:t>Appeals regarding treatment</w:t>
            </w:r>
          </w:p>
        </w:tc>
        <w:tc>
          <w:tcPr>
            <w:tcW w:w="1530" w:type="dxa"/>
            <w:shd w:val="clear" w:color="auto" w:fill="auto"/>
          </w:tcPr>
          <w:p w:rsidR="00777AB1" w:rsidRPr="00795207" w:rsidRDefault="00B96A3D" w:rsidP="002F5BC4">
            <w:pPr>
              <w:jc w:val="center"/>
              <w:rPr>
                <w:sz w:val="24"/>
              </w:rPr>
            </w:pPr>
            <w:r w:rsidRPr="00795207">
              <w:rPr>
                <w:sz w:val="24"/>
              </w:rPr>
              <w:t>14</w:t>
            </w:r>
          </w:p>
        </w:tc>
        <w:tc>
          <w:tcPr>
            <w:tcW w:w="1440" w:type="dxa"/>
            <w:shd w:val="clear" w:color="auto" w:fill="auto"/>
          </w:tcPr>
          <w:p w:rsidR="00777AB1" w:rsidRPr="00795207" w:rsidRDefault="00777AB1" w:rsidP="002F5BC4">
            <w:pPr>
              <w:jc w:val="center"/>
              <w:rPr>
                <w:sz w:val="24"/>
              </w:rPr>
            </w:pPr>
            <w:r w:rsidRPr="00795207">
              <w:rPr>
                <w:sz w:val="24"/>
              </w:rPr>
              <w:t>1</w:t>
            </w:r>
          </w:p>
        </w:tc>
        <w:tc>
          <w:tcPr>
            <w:tcW w:w="1350" w:type="dxa"/>
            <w:shd w:val="clear" w:color="auto" w:fill="auto"/>
          </w:tcPr>
          <w:p w:rsidR="00777AB1" w:rsidRPr="00795207" w:rsidRDefault="00777AB1" w:rsidP="002F5BC4">
            <w:pPr>
              <w:jc w:val="center"/>
              <w:rPr>
                <w:sz w:val="24"/>
              </w:rPr>
            </w:pPr>
            <w:r w:rsidRPr="00795207">
              <w:rPr>
                <w:sz w:val="24"/>
              </w:rPr>
              <w:t>30/60</w:t>
            </w:r>
          </w:p>
        </w:tc>
        <w:tc>
          <w:tcPr>
            <w:tcW w:w="990" w:type="dxa"/>
          </w:tcPr>
          <w:p w:rsidR="00777AB1" w:rsidRPr="00795207" w:rsidRDefault="00B96A3D" w:rsidP="002F5BC4">
            <w:pPr>
              <w:jc w:val="center"/>
              <w:rPr>
                <w:sz w:val="24"/>
              </w:rPr>
            </w:pPr>
            <w:r w:rsidRPr="00795207">
              <w:rPr>
                <w:sz w:val="24"/>
              </w:rPr>
              <w:t>7</w:t>
            </w:r>
          </w:p>
        </w:tc>
      </w:tr>
      <w:tr w:rsidR="00A578FE" w:rsidRPr="001C4052" w:rsidTr="00AE7111">
        <w:tc>
          <w:tcPr>
            <w:tcW w:w="1710" w:type="dxa"/>
            <w:shd w:val="clear" w:color="auto" w:fill="auto"/>
            <w:vAlign w:val="center"/>
          </w:tcPr>
          <w:p w:rsidR="00A578FE" w:rsidRPr="00795207" w:rsidRDefault="00A578FE" w:rsidP="00C71F4C">
            <w:pPr>
              <w:widowControl/>
              <w:rPr>
                <w:sz w:val="24"/>
              </w:rPr>
            </w:pPr>
            <w:r w:rsidRPr="00795207">
              <w:rPr>
                <w:sz w:val="24"/>
              </w:rPr>
              <w:t>Pharmacies</w:t>
            </w:r>
          </w:p>
        </w:tc>
        <w:tc>
          <w:tcPr>
            <w:tcW w:w="2250" w:type="dxa"/>
            <w:shd w:val="clear" w:color="auto" w:fill="auto"/>
          </w:tcPr>
          <w:p w:rsidR="00A578FE" w:rsidRPr="00795207" w:rsidRDefault="00A578FE" w:rsidP="002F5BC4">
            <w:pPr>
              <w:rPr>
                <w:sz w:val="24"/>
                <w:lang w:bidi="en-US"/>
              </w:rPr>
            </w:pPr>
            <w:r w:rsidRPr="00795207">
              <w:rPr>
                <w:sz w:val="24"/>
              </w:rPr>
              <w:t xml:space="preserve">Outpatient </w:t>
            </w:r>
            <w:r w:rsidRPr="00795207">
              <w:rPr>
                <w:sz w:val="24"/>
              </w:rPr>
              <w:lastRenderedPageBreak/>
              <w:t>prescription pharmaceuticals</w:t>
            </w:r>
          </w:p>
        </w:tc>
        <w:tc>
          <w:tcPr>
            <w:tcW w:w="1530" w:type="dxa"/>
            <w:shd w:val="clear" w:color="auto" w:fill="auto"/>
          </w:tcPr>
          <w:p w:rsidR="00A578FE" w:rsidRPr="00795207" w:rsidRDefault="0032019C" w:rsidP="002F5BC4">
            <w:pPr>
              <w:jc w:val="center"/>
              <w:rPr>
                <w:sz w:val="24"/>
              </w:rPr>
            </w:pPr>
            <w:r w:rsidRPr="00795207">
              <w:rPr>
                <w:sz w:val="24"/>
              </w:rPr>
              <w:lastRenderedPageBreak/>
              <w:t>4</w:t>
            </w:r>
          </w:p>
        </w:tc>
        <w:tc>
          <w:tcPr>
            <w:tcW w:w="1440" w:type="dxa"/>
            <w:shd w:val="clear" w:color="auto" w:fill="auto"/>
          </w:tcPr>
          <w:p w:rsidR="00A578FE" w:rsidRPr="00795207" w:rsidRDefault="0032019C" w:rsidP="002F5BC4">
            <w:pPr>
              <w:jc w:val="center"/>
              <w:rPr>
                <w:sz w:val="24"/>
              </w:rPr>
            </w:pPr>
            <w:r w:rsidRPr="00795207">
              <w:rPr>
                <w:sz w:val="24"/>
              </w:rPr>
              <w:t>265</w:t>
            </w:r>
          </w:p>
        </w:tc>
        <w:tc>
          <w:tcPr>
            <w:tcW w:w="1350" w:type="dxa"/>
            <w:shd w:val="clear" w:color="auto" w:fill="auto"/>
          </w:tcPr>
          <w:p w:rsidR="00A578FE" w:rsidRPr="00795207" w:rsidRDefault="00A578FE" w:rsidP="002F5BC4">
            <w:pPr>
              <w:jc w:val="center"/>
              <w:rPr>
                <w:sz w:val="24"/>
              </w:rPr>
            </w:pPr>
            <w:r w:rsidRPr="00795207">
              <w:rPr>
                <w:sz w:val="24"/>
              </w:rPr>
              <w:t>1/60</w:t>
            </w:r>
          </w:p>
        </w:tc>
        <w:tc>
          <w:tcPr>
            <w:tcW w:w="990" w:type="dxa"/>
          </w:tcPr>
          <w:p w:rsidR="00A578FE" w:rsidRPr="00795207" w:rsidRDefault="0032019C" w:rsidP="002F5BC4">
            <w:pPr>
              <w:jc w:val="center"/>
              <w:rPr>
                <w:sz w:val="24"/>
              </w:rPr>
            </w:pPr>
            <w:r w:rsidRPr="00795207">
              <w:rPr>
                <w:sz w:val="24"/>
              </w:rPr>
              <w:t>18</w:t>
            </w:r>
          </w:p>
        </w:tc>
      </w:tr>
      <w:tr w:rsidR="00A578FE" w:rsidRPr="001C4052" w:rsidTr="00AE7111">
        <w:tc>
          <w:tcPr>
            <w:tcW w:w="1710" w:type="dxa"/>
            <w:shd w:val="clear" w:color="auto" w:fill="auto"/>
            <w:vAlign w:val="center"/>
          </w:tcPr>
          <w:p w:rsidR="00A578FE" w:rsidRPr="00795207" w:rsidRDefault="00D56D5E" w:rsidP="00C71F4C">
            <w:pPr>
              <w:widowControl/>
              <w:rPr>
                <w:sz w:val="24"/>
              </w:rPr>
            </w:pPr>
            <w:r w:rsidRPr="00795207">
              <w:rPr>
                <w:bCs/>
                <w:sz w:val="24"/>
              </w:rPr>
              <w:lastRenderedPageBreak/>
              <w:t xml:space="preserve">Pentagon or </w:t>
            </w:r>
            <w:proofErr w:type="spellStart"/>
            <w:r w:rsidRPr="00795207">
              <w:rPr>
                <w:bCs/>
                <w:sz w:val="24"/>
              </w:rPr>
              <w:t>Shanksville</w:t>
            </w:r>
            <w:proofErr w:type="spellEnd"/>
            <w:r w:rsidRPr="00795207">
              <w:rPr>
                <w:bCs/>
                <w:sz w:val="24"/>
              </w:rPr>
              <w:t xml:space="preserve">, Pennsylvania Responder </w:t>
            </w:r>
          </w:p>
        </w:tc>
        <w:tc>
          <w:tcPr>
            <w:tcW w:w="2250" w:type="dxa"/>
            <w:shd w:val="clear" w:color="auto" w:fill="auto"/>
          </w:tcPr>
          <w:p w:rsidR="00E20B10" w:rsidRPr="00795207" w:rsidRDefault="00E20B10" w:rsidP="00E20B10">
            <w:pPr>
              <w:rPr>
                <w:sz w:val="24"/>
                <w:lang w:bidi="en-US"/>
              </w:rPr>
            </w:pPr>
            <w:r w:rsidRPr="00795207">
              <w:rPr>
                <w:sz w:val="24"/>
                <w:lang w:bidi="en-US"/>
              </w:rPr>
              <w:t>WTC Health Program Medical Travel Refund Request</w:t>
            </w:r>
          </w:p>
          <w:p w:rsidR="00A578FE" w:rsidRPr="00795207" w:rsidRDefault="00A578FE" w:rsidP="002F5BC4">
            <w:pPr>
              <w:rPr>
                <w:sz w:val="24"/>
                <w:lang w:bidi="en-US"/>
              </w:rPr>
            </w:pPr>
          </w:p>
        </w:tc>
        <w:tc>
          <w:tcPr>
            <w:tcW w:w="1530" w:type="dxa"/>
            <w:shd w:val="clear" w:color="auto" w:fill="auto"/>
          </w:tcPr>
          <w:p w:rsidR="00A578FE" w:rsidRPr="00795207" w:rsidRDefault="00491BE7" w:rsidP="002F5BC4">
            <w:pPr>
              <w:jc w:val="center"/>
              <w:rPr>
                <w:sz w:val="24"/>
              </w:rPr>
            </w:pPr>
            <w:r w:rsidRPr="00795207">
              <w:rPr>
                <w:sz w:val="24"/>
              </w:rPr>
              <w:t>1</w:t>
            </w:r>
          </w:p>
        </w:tc>
        <w:tc>
          <w:tcPr>
            <w:tcW w:w="1440" w:type="dxa"/>
            <w:shd w:val="clear" w:color="auto" w:fill="auto"/>
          </w:tcPr>
          <w:p w:rsidR="00A578FE" w:rsidRPr="00795207" w:rsidRDefault="00A578FE" w:rsidP="002F5BC4">
            <w:pPr>
              <w:jc w:val="center"/>
              <w:rPr>
                <w:sz w:val="24"/>
              </w:rPr>
            </w:pPr>
            <w:r w:rsidRPr="00795207">
              <w:rPr>
                <w:sz w:val="24"/>
              </w:rPr>
              <w:t>1</w:t>
            </w:r>
          </w:p>
        </w:tc>
        <w:tc>
          <w:tcPr>
            <w:tcW w:w="1350" w:type="dxa"/>
            <w:shd w:val="clear" w:color="auto" w:fill="auto"/>
          </w:tcPr>
          <w:p w:rsidR="00A578FE" w:rsidRPr="00795207" w:rsidRDefault="00A578FE" w:rsidP="002F5BC4">
            <w:pPr>
              <w:jc w:val="center"/>
              <w:rPr>
                <w:sz w:val="24"/>
              </w:rPr>
            </w:pPr>
            <w:r w:rsidRPr="00795207">
              <w:rPr>
                <w:sz w:val="24"/>
              </w:rPr>
              <w:t>10/60</w:t>
            </w:r>
          </w:p>
        </w:tc>
        <w:tc>
          <w:tcPr>
            <w:tcW w:w="990" w:type="dxa"/>
          </w:tcPr>
          <w:p w:rsidR="00A578FE" w:rsidRPr="00795207" w:rsidRDefault="00491BE7" w:rsidP="00F664A3">
            <w:pPr>
              <w:jc w:val="center"/>
              <w:rPr>
                <w:sz w:val="24"/>
              </w:rPr>
            </w:pPr>
            <w:r w:rsidRPr="00795207">
              <w:rPr>
                <w:sz w:val="24"/>
              </w:rPr>
              <w:t>.5</w:t>
            </w:r>
          </w:p>
        </w:tc>
      </w:tr>
      <w:tr w:rsidR="00A578FE" w:rsidTr="001E0AB6">
        <w:tc>
          <w:tcPr>
            <w:tcW w:w="1710" w:type="dxa"/>
            <w:vAlign w:val="center"/>
          </w:tcPr>
          <w:p w:rsidR="00A578FE" w:rsidRDefault="00A578FE" w:rsidP="00F40CD3">
            <w:pPr>
              <w:widowControl/>
              <w:rPr>
                <w:sz w:val="24"/>
              </w:rPr>
            </w:pPr>
            <w:r>
              <w:rPr>
                <w:sz w:val="24"/>
              </w:rPr>
              <w:t>Total</w:t>
            </w:r>
          </w:p>
        </w:tc>
        <w:tc>
          <w:tcPr>
            <w:tcW w:w="2250" w:type="dxa"/>
          </w:tcPr>
          <w:p w:rsidR="00A578FE" w:rsidRPr="009D589E" w:rsidRDefault="00A578FE" w:rsidP="009D589E">
            <w:pPr>
              <w:rPr>
                <w:sz w:val="24"/>
              </w:rPr>
            </w:pPr>
          </w:p>
        </w:tc>
        <w:tc>
          <w:tcPr>
            <w:tcW w:w="1530" w:type="dxa"/>
          </w:tcPr>
          <w:p w:rsidR="00A578FE" w:rsidRPr="009D589E" w:rsidRDefault="00A578FE" w:rsidP="009D589E">
            <w:pPr>
              <w:jc w:val="center"/>
              <w:rPr>
                <w:sz w:val="24"/>
              </w:rPr>
            </w:pPr>
          </w:p>
        </w:tc>
        <w:tc>
          <w:tcPr>
            <w:tcW w:w="1440" w:type="dxa"/>
          </w:tcPr>
          <w:p w:rsidR="00A578FE" w:rsidRPr="009D589E" w:rsidRDefault="00A578FE" w:rsidP="009D589E">
            <w:pPr>
              <w:jc w:val="center"/>
              <w:rPr>
                <w:sz w:val="24"/>
              </w:rPr>
            </w:pPr>
          </w:p>
        </w:tc>
        <w:tc>
          <w:tcPr>
            <w:tcW w:w="1350" w:type="dxa"/>
          </w:tcPr>
          <w:p w:rsidR="00A578FE" w:rsidRPr="009D589E" w:rsidRDefault="00A578FE" w:rsidP="009D589E">
            <w:pPr>
              <w:jc w:val="center"/>
              <w:rPr>
                <w:sz w:val="24"/>
              </w:rPr>
            </w:pPr>
          </w:p>
        </w:tc>
        <w:tc>
          <w:tcPr>
            <w:tcW w:w="990" w:type="dxa"/>
          </w:tcPr>
          <w:p w:rsidR="00A578FE" w:rsidRPr="009D589E" w:rsidRDefault="00210D6B" w:rsidP="00F664A3">
            <w:pPr>
              <w:jc w:val="center"/>
              <w:rPr>
                <w:sz w:val="24"/>
              </w:rPr>
            </w:pPr>
            <w:r>
              <w:rPr>
                <w:sz w:val="24"/>
              </w:rPr>
              <w:t>831</w:t>
            </w:r>
          </w:p>
        </w:tc>
      </w:tr>
    </w:tbl>
    <w:p w:rsidR="00F863C9" w:rsidRPr="00491BE7" w:rsidRDefault="00F863C9" w:rsidP="00F863C9">
      <w:pPr>
        <w:widowControl/>
        <w:ind w:left="720"/>
        <w:rPr>
          <w:szCs w:val="20"/>
        </w:rPr>
      </w:pPr>
      <w:r w:rsidRPr="00491BE7">
        <w:rPr>
          <w:szCs w:val="20"/>
        </w:rPr>
        <w:t xml:space="preserve">  </w:t>
      </w:r>
      <w:r w:rsidR="00F664A3">
        <w:rPr>
          <w:szCs w:val="20"/>
        </w:rPr>
        <w:t>V</w:t>
      </w:r>
      <w:r w:rsidR="00491BE7" w:rsidRPr="00491BE7">
        <w:rPr>
          <w:szCs w:val="20"/>
        </w:rPr>
        <w:t xml:space="preserve">alues are rounded up to the nearest </w:t>
      </w:r>
      <w:r w:rsidR="00F664A3">
        <w:rPr>
          <w:szCs w:val="20"/>
        </w:rPr>
        <w:t>hour/</w:t>
      </w:r>
      <w:r w:rsidR="00491BE7" w:rsidRPr="00491BE7">
        <w:rPr>
          <w:szCs w:val="20"/>
        </w:rPr>
        <w:t>half-hour.</w:t>
      </w:r>
    </w:p>
    <w:p w:rsidR="00491BE7" w:rsidRDefault="00491BE7" w:rsidP="00F863C9">
      <w:pPr>
        <w:widowControl/>
        <w:ind w:left="720"/>
        <w:rPr>
          <w:sz w:val="24"/>
        </w:rPr>
      </w:pPr>
    </w:p>
    <w:p w:rsidR="00F863C9" w:rsidRPr="006A07E4" w:rsidRDefault="00F863C9" w:rsidP="00895DFB">
      <w:pPr>
        <w:widowControl/>
        <w:ind w:firstLine="720"/>
        <w:rPr>
          <w:b/>
          <w:bCs/>
          <w:sz w:val="24"/>
        </w:rPr>
      </w:pPr>
      <w:r w:rsidRPr="00046151">
        <w:rPr>
          <w:b/>
          <w:sz w:val="24"/>
        </w:rPr>
        <w:t xml:space="preserve">12B. </w:t>
      </w:r>
      <w:r w:rsidR="00895DFB" w:rsidRPr="00046151">
        <w:rPr>
          <w:b/>
          <w:sz w:val="24"/>
        </w:rPr>
        <w:t>Estimated Annualized Burden Costs</w:t>
      </w:r>
    </w:p>
    <w:p w:rsidR="00F863C9" w:rsidRDefault="00F863C9" w:rsidP="00F863C9">
      <w:pPr>
        <w:widowControl/>
        <w:ind w:left="1440"/>
        <w:rPr>
          <w:sz w:val="24"/>
        </w:rPr>
      </w:pPr>
    </w:p>
    <w:tbl>
      <w:tblPr>
        <w:tblW w:w="9423"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5"/>
        <w:gridCol w:w="1388"/>
        <w:gridCol w:w="1896"/>
        <w:gridCol w:w="2314"/>
      </w:tblGrid>
      <w:tr w:rsidR="00895DFB" w:rsidTr="00DF2524">
        <w:tc>
          <w:tcPr>
            <w:tcW w:w="3825" w:type="dxa"/>
          </w:tcPr>
          <w:p w:rsidR="00895DFB" w:rsidRDefault="00895DFB" w:rsidP="00895DFB">
            <w:pPr>
              <w:widowControl/>
              <w:rPr>
                <w:b/>
                <w:bCs/>
                <w:sz w:val="24"/>
              </w:rPr>
            </w:pPr>
            <w:r>
              <w:rPr>
                <w:b/>
                <w:bCs/>
                <w:sz w:val="24"/>
              </w:rPr>
              <w:t>Type of</w:t>
            </w:r>
          </w:p>
          <w:p w:rsidR="00895DFB" w:rsidRDefault="00895DFB" w:rsidP="00895DFB">
            <w:pPr>
              <w:widowControl/>
              <w:rPr>
                <w:b/>
                <w:bCs/>
                <w:sz w:val="24"/>
              </w:rPr>
            </w:pPr>
            <w:r>
              <w:rPr>
                <w:b/>
                <w:bCs/>
                <w:sz w:val="24"/>
              </w:rPr>
              <w:t>Respondent</w:t>
            </w:r>
          </w:p>
          <w:p w:rsidR="00895DFB" w:rsidRDefault="00895DFB" w:rsidP="00F40CD3">
            <w:pPr>
              <w:widowControl/>
              <w:rPr>
                <w:b/>
                <w:bCs/>
                <w:sz w:val="24"/>
              </w:rPr>
            </w:pPr>
          </w:p>
        </w:tc>
        <w:tc>
          <w:tcPr>
            <w:tcW w:w="1388" w:type="dxa"/>
          </w:tcPr>
          <w:p w:rsidR="00895DFB" w:rsidRDefault="00895DFB" w:rsidP="00F40CD3">
            <w:pPr>
              <w:widowControl/>
              <w:rPr>
                <w:b/>
                <w:bCs/>
                <w:sz w:val="24"/>
              </w:rPr>
            </w:pPr>
            <w:r>
              <w:rPr>
                <w:b/>
                <w:bCs/>
                <w:sz w:val="24"/>
              </w:rPr>
              <w:t>Total Burden</w:t>
            </w:r>
          </w:p>
          <w:p w:rsidR="00895DFB" w:rsidRDefault="00895DFB" w:rsidP="00F40CD3">
            <w:pPr>
              <w:widowControl/>
              <w:rPr>
                <w:sz w:val="24"/>
              </w:rPr>
            </w:pPr>
            <w:r>
              <w:rPr>
                <w:b/>
                <w:bCs/>
                <w:sz w:val="24"/>
              </w:rPr>
              <w:t>Hours</w:t>
            </w:r>
          </w:p>
          <w:p w:rsidR="00895DFB" w:rsidRDefault="00895DFB" w:rsidP="00F40CD3">
            <w:pPr>
              <w:widowControl/>
              <w:rPr>
                <w:b/>
                <w:bCs/>
                <w:sz w:val="24"/>
              </w:rPr>
            </w:pPr>
          </w:p>
        </w:tc>
        <w:tc>
          <w:tcPr>
            <w:tcW w:w="1896" w:type="dxa"/>
          </w:tcPr>
          <w:p w:rsidR="00895DFB" w:rsidRDefault="00895DFB" w:rsidP="00F40CD3">
            <w:pPr>
              <w:widowControl/>
              <w:rPr>
                <w:b/>
                <w:bCs/>
                <w:sz w:val="24"/>
              </w:rPr>
            </w:pPr>
            <w:r>
              <w:rPr>
                <w:b/>
                <w:bCs/>
                <w:sz w:val="24"/>
              </w:rPr>
              <w:t>Hourly</w:t>
            </w:r>
          </w:p>
          <w:p w:rsidR="00895DFB" w:rsidRDefault="00895DFB" w:rsidP="00F40CD3">
            <w:pPr>
              <w:widowControl/>
              <w:rPr>
                <w:sz w:val="24"/>
              </w:rPr>
            </w:pPr>
            <w:r>
              <w:rPr>
                <w:b/>
                <w:bCs/>
                <w:sz w:val="24"/>
              </w:rPr>
              <w:t>Wage Rate</w:t>
            </w:r>
          </w:p>
          <w:p w:rsidR="00895DFB" w:rsidRDefault="00895DFB" w:rsidP="00F40CD3">
            <w:pPr>
              <w:widowControl/>
              <w:rPr>
                <w:b/>
                <w:bCs/>
                <w:sz w:val="24"/>
              </w:rPr>
            </w:pPr>
          </w:p>
        </w:tc>
        <w:tc>
          <w:tcPr>
            <w:tcW w:w="2314" w:type="dxa"/>
          </w:tcPr>
          <w:p w:rsidR="00895DFB" w:rsidRDefault="00895DFB" w:rsidP="00F40CD3">
            <w:pPr>
              <w:widowControl/>
              <w:rPr>
                <w:sz w:val="24"/>
              </w:rPr>
            </w:pPr>
            <w:r>
              <w:rPr>
                <w:b/>
                <w:bCs/>
                <w:sz w:val="24"/>
              </w:rPr>
              <w:t>Total Respondent Costs</w:t>
            </w:r>
          </w:p>
          <w:p w:rsidR="00895DFB" w:rsidRDefault="00895DFB" w:rsidP="00F40CD3">
            <w:pPr>
              <w:widowControl/>
              <w:rPr>
                <w:b/>
                <w:bCs/>
                <w:sz w:val="24"/>
              </w:rPr>
            </w:pPr>
          </w:p>
        </w:tc>
      </w:tr>
      <w:tr w:rsidR="00895DFB" w:rsidTr="00DF2524">
        <w:tc>
          <w:tcPr>
            <w:tcW w:w="3825" w:type="dxa"/>
          </w:tcPr>
          <w:p w:rsidR="00895DFB" w:rsidRDefault="0056640E" w:rsidP="00B67EED">
            <w:pPr>
              <w:rPr>
                <w:sz w:val="24"/>
              </w:rPr>
            </w:pPr>
            <w:r>
              <w:rPr>
                <w:bCs/>
                <w:sz w:val="24"/>
              </w:rPr>
              <w:t xml:space="preserve">Pentagon or </w:t>
            </w:r>
            <w:proofErr w:type="spellStart"/>
            <w:r>
              <w:rPr>
                <w:bCs/>
                <w:sz w:val="24"/>
              </w:rPr>
              <w:t>Shanksville</w:t>
            </w:r>
            <w:proofErr w:type="spellEnd"/>
            <w:r>
              <w:rPr>
                <w:bCs/>
                <w:sz w:val="24"/>
              </w:rPr>
              <w:t xml:space="preserve">, Pennsylvania </w:t>
            </w:r>
            <w:r w:rsidRPr="00A578FE">
              <w:rPr>
                <w:bCs/>
                <w:sz w:val="24"/>
              </w:rPr>
              <w:t>Responder</w:t>
            </w:r>
            <w:r>
              <w:rPr>
                <w:bCs/>
                <w:sz w:val="24"/>
              </w:rPr>
              <w:t xml:space="preserve"> </w:t>
            </w:r>
            <w:r w:rsidR="00046151">
              <w:rPr>
                <w:sz w:val="24"/>
              </w:rPr>
              <w:t>(</w:t>
            </w:r>
            <w:r w:rsidR="00B67EED">
              <w:rPr>
                <w:sz w:val="24"/>
              </w:rPr>
              <w:t>application</w:t>
            </w:r>
            <w:r w:rsidR="00046151">
              <w:rPr>
                <w:sz w:val="24"/>
              </w:rPr>
              <w:t>)</w:t>
            </w:r>
          </w:p>
        </w:tc>
        <w:tc>
          <w:tcPr>
            <w:tcW w:w="1388" w:type="dxa"/>
            <w:vAlign w:val="bottom"/>
          </w:tcPr>
          <w:p w:rsidR="00895DFB" w:rsidRPr="004A71A2" w:rsidRDefault="00F811C0" w:rsidP="00046151">
            <w:pPr>
              <w:rPr>
                <w:sz w:val="24"/>
              </w:rPr>
            </w:pPr>
            <w:r>
              <w:rPr>
                <w:sz w:val="24"/>
              </w:rPr>
              <w:t>803</w:t>
            </w:r>
          </w:p>
        </w:tc>
        <w:tc>
          <w:tcPr>
            <w:tcW w:w="1896" w:type="dxa"/>
            <w:vAlign w:val="bottom"/>
          </w:tcPr>
          <w:p w:rsidR="00895DFB" w:rsidRDefault="00506DC6" w:rsidP="00046151">
            <w:pPr>
              <w:rPr>
                <w:sz w:val="24"/>
              </w:rPr>
            </w:pPr>
            <w:r>
              <w:rPr>
                <w:sz w:val="24"/>
              </w:rPr>
              <w:t>$</w:t>
            </w:r>
            <w:r w:rsidR="0056640E">
              <w:rPr>
                <w:sz w:val="24"/>
              </w:rPr>
              <w:t>27.16</w:t>
            </w:r>
            <w:r w:rsidR="00046151">
              <w:rPr>
                <w:sz w:val="24"/>
              </w:rPr>
              <w:t>*</w:t>
            </w:r>
          </w:p>
        </w:tc>
        <w:tc>
          <w:tcPr>
            <w:tcW w:w="2314" w:type="dxa"/>
            <w:vAlign w:val="bottom"/>
          </w:tcPr>
          <w:p w:rsidR="00895DFB" w:rsidRDefault="00D14EB6" w:rsidP="00B67EED">
            <w:pPr>
              <w:rPr>
                <w:sz w:val="24"/>
              </w:rPr>
            </w:pPr>
            <w:r>
              <w:rPr>
                <w:sz w:val="24"/>
              </w:rPr>
              <w:t>$</w:t>
            </w:r>
            <w:r w:rsidR="00EC23A1">
              <w:rPr>
                <w:sz w:val="24"/>
              </w:rPr>
              <w:t>2</w:t>
            </w:r>
            <w:r w:rsidR="00044186">
              <w:rPr>
                <w:sz w:val="24"/>
              </w:rPr>
              <w:t>1,809</w:t>
            </w:r>
          </w:p>
        </w:tc>
      </w:tr>
      <w:tr w:rsidR="00046151" w:rsidTr="00DF2524">
        <w:tc>
          <w:tcPr>
            <w:tcW w:w="3825" w:type="dxa"/>
          </w:tcPr>
          <w:p w:rsidR="00046151" w:rsidRDefault="0056640E" w:rsidP="00F811C0">
            <w:pPr>
              <w:rPr>
                <w:sz w:val="24"/>
              </w:rPr>
            </w:pPr>
            <w:r>
              <w:rPr>
                <w:bCs/>
                <w:sz w:val="24"/>
              </w:rPr>
              <w:t xml:space="preserve">Pentagon or </w:t>
            </w:r>
            <w:proofErr w:type="spellStart"/>
            <w:r>
              <w:rPr>
                <w:bCs/>
                <w:sz w:val="24"/>
              </w:rPr>
              <w:t>Shanksville</w:t>
            </w:r>
            <w:proofErr w:type="spellEnd"/>
            <w:r>
              <w:rPr>
                <w:bCs/>
                <w:sz w:val="24"/>
              </w:rPr>
              <w:t xml:space="preserve">, Pennsylvania </w:t>
            </w:r>
            <w:r w:rsidRPr="00A578FE">
              <w:rPr>
                <w:bCs/>
                <w:sz w:val="24"/>
              </w:rPr>
              <w:t>Responder</w:t>
            </w:r>
            <w:r>
              <w:rPr>
                <w:bCs/>
                <w:sz w:val="24"/>
              </w:rPr>
              <w:t xml:space="preserve"> </w:t>
            </w:r>
            <w:r w:rsidR="00046151">
              <w:rPr>
                <w:sz w:val="24"/>
              </w:rPr>
              <w:t>(</w:t>
            </w:r>
            <w:r w:rsidR="00F811C0">
              <w:rPr>
                <w:sz w:val="24"/>
              </w:rPr>
              <w:t>eligibility denial appeal</w:t>
            </w:r>
            <w:r w:rsidR="00046151">
              <w:rPr>
                <w:sz w:val="24"/>
              </w:rPr>
              <w:t xml:space="preserve"> )</w:t>
            </w:r>
          </w:p>
        </w:tc>
        <w:tc>
          <w:tcPr>
            <w:tcW w:w="1388" w:type="dxa"/>
            <w:vAlign w:val="bottom"/>
          </w:tcPr>
          <w:p w:rsidR="00046151" w:rsidRDefault="00F811C0" w:rsidP="00BD6961">
            <w:pPr>
              <w:rPr>
                <w:sz w:val="24"/>
              </w:rPr>
            </w:pPr>
            <w:r>
              <w:rPr>
                <w:sz w:val="24"/>
              </w:rPr>
              <w:t>2</w:t>
            </w:r>
          </w:p>
        </w:tc>
        <w:tc>
          <w:tcPr>
            <w:tcW w:w="1896" w:type="dxa"/>
            <w:vAlign w:val="bottom"/>
          </w:tcPr>
          <w:p w:rsidR="00046151" w:rsidRDefault="00387081" w:rsidP="00046151">
            <w:pPr>
              <w:rPr>
                <w:sz w:val="24"/>
              </w:rPr>
            </w:pPr>
            <w:r>
              <w:rPr>
                <w:sz w:val="24"/>
              </w:rPr>
              <w:t>$27.</w:t>
            </w:r>
            <w:r w:rsidR="00BF24A0">
              <w:rPr>
                <w:sz w:val="24"/>
              </w:rPr>
              <w:t>16</w:t>
            </w:r>
            <w:r w:rsidR="00BD6961">
              <w:rPr>
                <w:sz w:val="24"/>
              </w:rPr>
              <w:t>*</w:t>
            </w:r>
          </w:p>
        </w:tc>
        <w:tc>
          <w:tcPr>
            <w:tcW w:w="2314" w:type="dxa"/>
            <w:vAlign w:val="bottom"/>
          </w:tcPr>
          <w:p w:rsidR="00046151" w:rsidRDefault="00046151" w:rsidP="00E34229">
            <w:pPr>
              <w:rPr>
                <w:sz w:val="24"/>
              </w:rPr>
            </w:pPr>
            <w:r>
              <w:rPr>
                <w:sz w:val="24"/>
              </w:rPr>
              <w:t>$</w:t>
            </w:r>
            <w:r w:rsidR="0030429C">
              <w:rPr>
                <w:sz w:val="24"/>
              </w:rPr>
              <w:t>54.32</w:t>
            </w:r>
          </w:p>
        </w:tc>
      </w:tr>
      <w:tr w:rsidR="00C71F4C" w:rsidTr="00DF2524">
        <w:trPr>
          <w:trHeight w:val="422"/>
        </w:trPr>
        <w:tc>
          <w:tcPr>
            <w:tcW w:w="3825" w:type="dxa"/>
          </w:tcPr>
          <w:p w:rsidR="00C71F4C" w:rsidRDefault="0056640E" w:rsidP="002F5BC4">
            <w:pPr>
              <w:rPr>
                <w:sz w:val="24"/>
              </w:rPr>
            </w:pPr>
            <w:r>
              <w:rPr>
                <w:bCs/>
                <w:sz w:val="24"/>
              </w:rPr>
              <w:t xml:space="preserve">Pentagon or </w:t>
            </w:r>
            <w:proofErr w:type="spellStart"/>
            <w:r>
              <w:rPr>
                <w:bCs/>
                <w:sz w:val="24"/>
              </w:rPr>
              <w:t>Shanksville</w:t>
            </w:r>
            <w:proofErr w:type="spellEnd"/>
            <w:r>
              <w:rPr>
                <w:bCs/>
                <w:sz w:val="24"/>
              </w:rPr>
              <w:t xml:space="preserve">, Pennsylvania </w:t>
            </w:r>
            <w:r w:rsidRPr="00A578FE">
              <w:rPr>
                <w:bCs/>
                <w:sz w:val="24"/>
              </w:rPr>
              <w:t>Responder</w:t>
            </w:r>
            <w:r>
              <w:rPr>
                <w:bCs/>
                <w:sz w:val="24"/>
              </w:rPr>
              <w:t xml:space="preserve"> </w:t>
            </w:r>
            <w:r w:rsidR="0040479D">
              <w:rPr>
                <w:sz w:val="24"/>
              </w:rPr>
              <w:t>(health conditions appeals)</w:t>
            </w:r>
          </w:p>
        </w:tc>
        <w:tc>
          <w:tcPr>
            <w:tcW w:w="1388" w:type="dxa"/>
            <w:vAlign w:val="bottom"/>
          </w:tcPr>
          <w:p w:rsidR="00C71F4C" w:rsidRDefault="006D12C0" w:rsidP="00046151">
            <w:pPr>
              <w:rPr>
                <w:sz w:val="24"/>
              </w:rPr>
            </w:pPr>
            <w:r>
              <w:rPr>
                <w:sz w:val="24"/>
              </w:rPr>
              <w:t>.5</w:t>
            </w:r>
          </w:p>
        </w:tc>
        <w:tc>
          <w:tcPr>
            <w:tcW w:w="1896" w:type="dxa"/>
            <w:vAlign w:val="bottom"/>
          </w:tcPr>
          <w:p w:rsidR="00C71F4C" w:rsidRDefault="00BF24A0" w:rsidP="00DF2524">
            <w:pPr>
              <w:rPr>
                <w:sz w:val="24"/>
              </w:rPr>
            </w:pPr>
            <w:r>
              <w:rPr>
                <w:sz w:val="24"/>
              </w:rPr>
              <w:t>$27.16</w:t>
            </w:r>
            <w:r w:rsidR="00DF2524">
              <w:rPr>
                <w:sz w:val="24"/>
              </w:rPr>
              <w:t>*</w:t>
            </w:r>
          </w:p>
        </w:tc>
        <w:tc>
          <w:tcPr>
            <w:tcW w:w="2314" w:type="dxa"/>
            <w:vAlign w:val="bottom"/>
          </w:tcPr>
          <w:p w:rsidR="00C71F4C" w:rsidRDefault="005E04E3" w:rsidP="00E34229">
            <w:pPr>
              <w:rPr>
                <w:sz w:val="24"/>
              </w:rPr>
            </w:pPr>
            <w:r>
              <w:rPr>
                <w:sz w:val="24"/>
              </w:rPr>
              <w:t>$</w:t>
            </w:r>
            <w:r w:rsidR="000A4026">
              <w:rPr>
                <w:sz w:val="24"/>
              </w:rPr>
              <w:t>14</w:t>
            </w:r>
          </w:p>
        </w:tc>
      </w:tr>
      <w:tr w:rsidR="009070AC" w:rsidTr="00DF2524">
        <w:trPr>
          <w:trHeight w:val="422"/>
        </w:trPr>
        <w:tc>
          <w:tcPr>
            <w:tcW w:w="3825" w:type="dxa"/>
          </w:tcPr>
          <w:p w:rsidR="009070AC" w:rsidRDefault="0056640E" w:rsidP="00C82713">
            <w:pPr>
              <w:rPr>
                <w:sz w:val="24"/>
              </w:rPr>
            </w:pPr>
            <w:r>
              <w:rPr>
                <w:bCs/>
                <w:sz w:val="24"/>
              </w:rPr>
              <w:t xml:space="preserve">Pentagon or </w:t>
            </w:r>
            <w:proofErr w:type="spellStart"/>
            <w:r>
              <w:rPr>
                <w:bCs/>
                <w:sz w:val="24"/>
              </w:rPr>
              <w:t>Shanksville</w:t>
            </w:r>
            <w:proofErr w:type="spellEnd"/>
            <w:r>
              <w:rPr>
                <w:bCs/>
                <w:sz w:val="24"/>
              </w:rPr>
              <w:t xml:space="preserve">, Pennsylvania </w:t>
            </w:r>
            <w:r w:rsidRPr="00A578FE">
              <w:rPr>
                <w:bCs/>
                <w:sz w:val="24"/>
              </w:rPr>
              <w:t>Responder</w:t>
            </w:r>
            <w:r>
              <w:rPr>
                <w:bCs/>
                <w:sz w:val="24"/>
              </w:rPr>
              <w:t xml:space="preserve">  </w:t>
            </w:r>
            <w:r w:rsidR="009070AC">
              <w:rPr>
                <w:sz w:val="24"/>
              </w:rPr>
              <w:t>(treatment appeals)</w:t>
            </w:r>
          </w:p>
        </w:tc>
        <w:tc>
          <w:tcPr>
            <w:tcW w:w="1388" w:type="dxa"/>
            <w:vAlign w:val="bottom"/>
          </w:tcPr>
          <w:p w:rsidR="009070AC" w:rsidDel="00DF2524" w:rsidRDefault="009070AC" w:rsidP="00046151">
            <w:pPr>
              <w:rPr>
                <w:sz w:val="24"/>
              </w:rPr>
            </w:pPr>
            <w:r>
              <w:rPr>
                <w:sz w:val="24"/>
              </w:rPr>
              <w:t>7</w:t>
            </w:r>
          </w:p>
        </w:tc>
        <w:tc>
          <w:tcPr>
            <w:tcW w:w="1896" w:type="dxa"/>
            <w:vAlign w:val="bottom"/>
          </w:tcPr>
          <w:p w:rsidR="009070AC" w:rsidRDefault="009070AC" w:rsidP="00BF24A0">
            <w:pPr>
              <w:rPr>
                <w:sz w:val="24"/>
              </w:rPr>
            </w:pPr>
            <w:r>
              <w:rPr>
                <w:sz w:val="24"/>
              </w:rPr>
              <w:t>$2</w:t>
            </w:r>
            <w:r w:rsidR="00BF24A0">
              <w:rPr>
                <w:sz w:val="24"/>
              </w:rPr>
              <w:t>7</w:t>
            </w:r>
            <w:r>
              <w:rPr>
                <w:sz w:val="24"/>
              </w:rPr>
              <w:t>.</w:t>
            </w:r>
            <w:r w:rsidR="00BF24A0">
              <w:rPr>
                <w:sz w:val="24"/>
              </w:rPr>
              <w:t>16</w:t>
            </w:r>
            <w:r>
              <w:rPr>
                <w:sz w:val="24"/>
              </w:rPr>
              <w:t>*</w:t>
            </w:r>
          </w:p>
        </w:tc>
        <w:tc>
          <w:tcPr>
            <w:tcW w:w="2314" w:type="dxa"/>
            <w:vAlign w:val="bottom"/>
          </w:tcPr>
          <w:p w:rsidR="009070AC" w:rsidRDefault="000A4026" w:rsidP="001A389E">
            <w:pPr>
              <w:rPr>
                <w:sz w:val="24"/>
              </w:rPr>
            </w:pPr>
            <w:r>
              <w:rPr>
                <w:sz w:val="24"/>
              </w:rPr>
              <w:t>$190</w:t>
            </w:r>
          </w:p>
        </w:tc>
      </w:tr>
      <w:tr w:rsidR="006D12C0" w:rsidTr="00DF2524">
        <w:trPr>
          <w:trHeight w:val="422"/>
        </w:trPr>
        <w:tc>
          <w:tcPr>
            <w:tcW w:w="3825" w:type="dxa"/>
          </w:tcPr>
          <w:p w:rsidR="006D12C0" w:rsidRDefault="006D12C0" w:rsidP="00E729D1">
            <w:pPr>
              <w:rPr>
                <w:sz w:val="24"/>
              </w:rPr>
            </w:pPr>
            <w:r>
              <w:rPr>
                <w:sz w:val="24"/>
              </w:rPr>
              <w:t>Pharmacy technician</w:t>
            </w:r>
          </w:p>
        </w:tc>
        <w:tc>
          <w:tcPr>
            <w:tcW w:w="1388" w:type="dxa"/>
            <w:vAlign w:val="bottom"/>
          </w:tcPr>
          <w:p w:rsidR="006D12C0" w:rsidRDefault="00D05DDA" w:rsidP="00E729D1">
            <w:pPr>
              <w:rPr>
                <w:sz w:val="24"/>
              </w:rPr>
            </w:pPr>
            <w:r>
              <w:rPr>
                <w:sz w:val="24"/>
              </w:rPr>
              <w:t>18</w:t>
            </w:r>
          </w:p>
        </w:tc>
        <w:tc>
          <w:tcPr>
            <w:tcW w:w="1896" w:type="dxa"/>
            <w:vAlign w:val="bottom"/>
          </w:tcPr>
          <w:p w:rsidR="006D12C0" w:rsidRDefault="001354F2" w:rsidP="00E729D1">
            <w:pPr>
              <w:rPr>
                <w:sz w:val="24"/>
              </w:rPr>
            </w:pPr>
            <w:r>
              <w:rPr>
                <w:sz w:val="24"/>
              </w:rPr>
              <w:t>$14.43</w:t>
            </w:r>
            <w:r w:rsidR="006D12C0">
              <w:rPr>
                <w:sz w:val="24"/>
              </w:rPr>
              <w:t>**</w:t>
            </w:r>
          </w:p>
        </w:tc>
        <w:tc>
          <w:tcPr>
            <w:tcW w:w="2314" w:type="dxa"/>
            <w:vAlign w:val="bottom"/>
          </w:tcPr>
          <w:p w:rsidR="006D12C0" w:rsidRDefault="00A17EBB" w:rsidP="00E729D1">
            <w:pPr>
              <w:rPr>
                <w:sz w:val="24"/>
              </w:rPr>
            </w:pPr>
            <w:r>
              <w:rPr>
                <w:sz w:val="24"/>
              </w:rPr>
              <w:t>$260</w:t>
            </w:r>
          </w:p>
        </w:tc>
      </w:tr>
      <w:tr w:rsidR="006D12C0" w:rsidTr="00DF2524">
        <w:trPr>
          <w:trHeight w:val="422"/>
        </w:trPr>
        <w:tc>
          <w:tcPr>
            <w:tcW w:w="3825" w:type="dxa"/>
          </w:tcPr>
          <w:p w:rsidR="006D12C0" w:rsidRDefault="006D12C0" w:rsidP="002F5BC4">
            <w:pPr>
              <w:rPr>
                <w:sz w:val="24"/>
              </w:rPr>
            </w:pPr>
            <w:r>
              <w:rPr>
                <w:bCs/>
                <w:sz w:val="24"/>
              </w:rPr>
              <w:t xml:space="preserve">Pentagon or </w:t>
            </w:r>
            <w:proofErr w:type="spellStart"/>
            <w:r>
              <w:rPr>
                <w:bCs/>
                <w:sz w:val="24"/>
              </w:rPr>
              <w:t>Shanksville</w:t>
            </w:r>
            <w:proofErr w:type="spellEnd"/>
            <w:r>
              <w:rPr>
                <w:bCs/>
                <w:sz w:val="24"/>
              </w:rPr>
              <w:t xml:space="preserve">, Pennsylvania </w:t>
            </w:r>
            <w:r w:rsidRPr="00A578FE">
              <w:rPr>
                <w:bCs/>
                <w:sz w:val="24"/>
              </w:rPr>
              <w:t>Responder</w:t>
            </w:r>
            <w:r>
              <w:rPr>
                <w:bCs/>
                <w:sz w:val="24"/>
              </w:rPr>
              <w:t xml:space="preserve"> </w:t>
            </w:r>
            <w:r>
              <w:rPr>
                <w:sz w:val="24"/>
              </w:rPr>
              <w:t>(travel expenses)</w:t>
            </w:r>
          </w:p>
        </w:tc>
        <w:tc>
          <w:tcPr>
            <w:tcW w:w="1388" w:type="dxa"/>
            <w:vAlign w:val="bottom"/>
          </w:tcPr>
          <w:p w:rsidR="006D12C0" w:rsidDel="00DF2524" w:rsidRDefault="00D05DDA" w:rsidP="00046151">
            <w:pPr>
              <w:rPr>
                <w:sz w:val="24"/>
              </w:rPr>
            </w:pPr>
            <w:r>
              <w:rPr>
                <w:sz w:val="24"/>
              </w:rPr>
              <w:t>.5</w:t>
            </w:r>
          </w:p>
        </w:tc>
        <w:tc>
          <w:tcPr>
            <w:tcW w:w="1896" w:type="dxa"/>
            <w:vAlign w:val="bottom"/>
          </w:tcPr>
          <w:p w:rsidR="006D12C0" w:rsidRDefault="006D12C0" w:rsidP="00DF2524">
            <w:pPr>
              <w:rPr>
                <w:sz w:val="24"/>
              </w:rPr>
            </w:pPr>
            <w:r>
              <w:rPr>
                <w:sz w:val="24"/>
              </w:rPr>
              <w:t>$27.16*</w:t>
            </w:r>
          </w:p>
        </w:tc>
        <w:tc>
          <w:tcPr>
            <w:tcW w:w="2314" w:type="dxa"/>
            <w:vAlign w:val="bottom"/>
          </w:tcPr>
          <w:p w:rsidR="006D12C0" w:rsidRDefault="00A17EBB" w:rsidP="001A389E">
            <w:pPr>
              <w:rPr>
                <w:sz w:val="24"/>
              </w:rPr>
            </w:pPr>
            <w:r>
              <w:rPr>
                <w:sz w:val="24"/>
              </w:rPr>
              <w:t>$1</w:t>
            </w:r>
            <w:r w:rsidR="00C05F6D">
              <w:rPr>
                <w:sz w:val="24"/>
              </w:rPr>
              <w:t>4</w:t>
            </w:r>
          </w:p>
        </w:tc>
      </w:tr>
    </w:tbl>
    <w:p w:rsidR="00BF24A0" w:rsidRPr="00787CC6" w:rsidRDefault="00046151" w:rsidP="00BF24A0">
      <w:pPr>
        <w:ind w:left="360"/>
        <w:rPr>
          <w:szCs w:val="20"/>
        </w:rPr>
      </w:pPr>
      <w:r w:rsidRPr="00787CC6">
        <w:rPr>
          <w:szCs w:val="20"/>
        </w:rPr>
        <w:t>*</w:t>
      </w:r>
      <w:r w:rsidR="00D14EB6" w:rsidRPr="00787CC6">
        <w:rPr>
          <w:szCs w:val="20"/>
        </w:rPr>
        <w:t xml:space="preserve">Data from Bureau of Labor Statistics </w:t>
      </w:r>
      <w:r w:rsidR="00BF24A0" w:rsidRPr="00787CC6">
        <w:rPr>
          <w:szCs w:val="20"/>
        </w:rPr>
        <w:t>May 2011 Metropolitan and Nonmetropolitan Area Occupational Employment and Wage Estimates, Washington-Arlington-Alexandria, DC-VA-MD-WV</w:t>
      </w:r>
    </w:p>
    <w:p w:rsidR="005E04E3" w:rsidRPr="00787CC6" w:rsidRDefault="005E04E3" w:rsidP="00D14EB6">
      <w:pPr>
        <w:ind w:left="360"/>
        <w:rPr>
          <w:szCs w:val="20"/>
        </w:rPr>
      </w:pPr>
      <w:r w:rsidRPr="00787CC6">
        <w:rPr>
          <w:szCs w:val="20"/>
        </w:rPr>
        <w:t xml:space="preserve">** Data from Bureau of Labor Statistics </w:t>
      </w:r>
      <w:r w:rsidR="00113909" w:rsidRPr="00787CC6">
        <w:rPr>
          <w:szCs w:val="20"/>
        </w:rPr>
        <w:t xml:space="preserve">May </w:t>
      </w:r>
      <w:r w:rsidRPr="00787CC6">
        <w:rPr>
          <w:szCs w:val="20"/>
        </w:rPr>
        <w:t>20</w:t>
      </w:r>
      <w:r w:rsidR="00113909" w:rsidRPr="00787CC6">
        <w:rPr>
          <w:szCs w:val="20"/>
        </w:rPr>
        <w:t>11</w:t>
      </w:r>
      <w:r w:rsidRPr="00787CC6">
        <w:rPr>
          <w:szCs w:val="20"/>
        </w:rPr>
        <w:t xml:space="preserve"> </w:t>
      </w:r>
      <w:r w:rsidR="00C23723" w:rsidRPr="00787CC6">
        <w:rPr>
          <w:bCs/>
          <w:szCs w:val="20"/>
        </w:rPr>
        <w:t>Healthcare Practitioners and Technical Occupations</w:t>
      </w:r>
    </w:p>
    <w:p w:rsidR="00F863C9" w:rsidRDefault="00F863C9" w:rsidP="00F863C9">
      <w:pPr>
        <w:ind w:left="360"/>
        <w:rPr>
          <w:sz w:val="24"/>
        </w:rPr>
      </w:pPr>
    </w:p>
    <w:p w:rsidR="00F863C9" w:rsidRDefault="00F863C9" w:rsidP="00F863C9">
      <w:pPr>
        <w:numPr>
          <w:ilvl w:val="0"/>
          <w:numId w:val="1"/>
        </w:numPr>
        <w:rPr>
          <w:b/>
          <w:sz w:val="24"/>
        </w:rPr>
      </w:pPr>
      <w:r>
        <w:rPr>
          <w:b/>
          <w:sz w:val="24"/>
          <w:u w:val="single"/>
        </w:rPr>
        <w:t>Estimates of other Total Annual Cost Burden to Respondents or Record Keepers/Capital Costs</w:t>
      </w:r>
    </w:p>
    <w:p w:rsidR="00F863C9" w:rsidRDefault="00F863C9" w:rsidP="00F863C9">
      <w:pPr>
        <w:ind w:firstLine="720"/>
        <w:rPr>
          <w:sz w:val="24"/>
        </w:rPr>
      </w:pPr>
      <w:r>
        <w:rPr>
          <w:sz w:val="24"/>
        </w:rPr>
        <w:t xml:space="preserve">There are no additional recordkeeping/capital costs. </w:t>
      </w:r>
    </w:p>
    <w:p w:rsidR="00F863C9" w:rsidRDefault="00F863C9" w:rsidP="00F863C9">
      <w:pPr>
        <w:ind w:left="360"/>
        <w:rPr>
          <w:sz w:val="24"/>
        </w:rPr>
      </w:pPr>
    </w:p>
    <w:p w:rsidR="00F863C9" w:rsidRPr="00046151" w:rsidRDefault="00F863C9" w:rsidP="00F863C9">
      <w:pPr>
        <w:numPr>
          <w:ilvl w:val="0"/>
          <w:numId w:val="1"/>
        </w:numPr>
        <w:rPr>
          <w:b/>
          <w:sz w:val="24"/>
        </w:rPr>
      </w:pPr>
      <w:r w:rsidRPr="00046151">
        <w:rPr>
          <w:b/>
          <w:sz w:val="24"/>
          <w:u w:val="single"/>
        </w:rPr>
        <w:t>Annualized Cost to Federal Government</w:t>
      </w:r>
    </w:p>
    <w:p w:rsidR="00F863C9" w:rsidRDefault="00F863C9" w:rsidP="00F863C9">
      <w:pPr>
        <w:ind w:left="720"/>
        <w:rPr>
          <w:sz w:val="24"/>
        </w:rPr>
      </w:pPr>
    </w:p>
    <w:tbl>
      <w:tblPr>
        <w:tblW w:w="7218" w:type="dxa"/>
        <w:tblInd w:w="1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890"/>
        <w:gridCol w:w="1530"/>
        <w:gridCol w:w="1710"/>
      </w:tblGrid>
      <w:tr w:rsidR="00F863C9" w:rsidTr="00F40CD3">
        <w:tc>
          <w:tcPr>
            <w:tcW w:w="2088" w:type="dxa"/>
          </w:tcPr>
          <w:p w:rsidR="00F863C9" w:rsidRPr="009D40E8" w:rsidRDefault="00F863C9" w:rsidP="00F40CD3">
            <w:pPr>
              <w:widowControl/>
              <w:rPr>
                <w:sz w:val="24"/>
              </w:rPr>
            </w:pPr>
            <w:r>
              <w:rPr>
                <w:b/>
                <w:bCs/>
                <w:sz w:val="24"/>
              </w:rPr>
              <w:t>Type of Federal employee support</w:t>
            </w:r>
          </w:p>
        </w:tc>
        <w:tc>
          <w:tcPr>
            <w:tcW w:w="1890" w:type="dxa"/>
          </w:tcPr>
          <w:p w:rsidR="00F863C9" w:rsidRDefault="00F863C9" w:rsidP="00F40CD3">
            <w:pPr>
              <w:widowControl/>
              <w:rPr>
                <w:b/>
                <w:bCs/>
                <w:sz w:val="24"/>
              </w:rPr>
            </w:pPr>
            <w:r>
              <w:rPr>
                <w:b/>
                <w:bCs/>
                <w:sz w:val="24"/>
              </w:rPr>
              <w:t>Total Burden</w:t>
            </w:r>
          </w:p>
          <w:p w:rsidR="00F863C9" w:rsidRPr="009D40E8" w:rsidRDefault="00F863C9" w:rsidP="00F40CD3">
            <w:pPr>
              <w:widowControl/>
              <w:rPr>
                <w:sz w:val="24"/>
              </w:rPr>
            </w:pPr>
            <w:r>
              <w:rPr>
                <w:b/>
                <w:bCs/>
                <w:sz w:val="24"/>
              </w:rPr>
              <w:t>Hours</w:t>
            </w:r>
          </w:p>
        </w:tc>
        <w:tc>
          <w:tcPr>
            <w:tcW w:w="1530" w:type="dxa"/>
          </w:tcPr>
          <w:p w:rsidR="00F863C9" w:rsidRDefault="00F863C9" w:rsidP="00F40CD3">
            <w:pPr>
              <w:widowControl/>
              <w:rPr>
                <w:b/>
                <w:bCs/>
                <w:sz w:val="24"/>
              </w:rPr>
            </w:pPr>
            <w:r>
              <w:rPr>
                <w:b/>
                <w:bCs/>
                <w:sz w:val="24"/>
              </w:rPr>
              <w:t>Hourly</w:t>
            </w:r>
          </w:p>
          <w:p w:rsidR="00F863C9" w:rsidRPr="009D40E8" w:rsidRDefault="00F863C9" w:rsidP="00F40CD3">
            <w:pPr>
              <w:widowControl/>
              <w:rPr>
                <w:sz w:val="24"/>
              </w:rPr>
            </w:pPr>
            <w:r>
              <w:rPr>
                <w:b/>
                <w:bCs/>
                <w:sz w:val="24"/>
              </w:rPr>
              <w:t xml:space="preserve">Wage Rate </w:t>
            </w:r>
          </w:p>
        </w:tc>
        <w:tc>
          <w:tcPr>
            <w:tcW w:w="1710" w:type="dxa"/>
          </w:tcPr>
          <w:p w:rsidR="00F863C9" w:rsidRPr="009D40E8" w:rsidRDefault="00F863C9" w:rsidP="00F40CD3">
            <w:pPr>
              <w:widowControl/>
              <w:rPr>
                <w:sz w:val="24"/>
              </w:rPr>
            </w:pPr>
            <w:r>
              <w:rPr>
                <w:b/>
                <w:bCs/>
                <w:sz w:val="24"/>
              </w:rPr>
              <w:t>Total Federal Costs</w:t>
            </w:r>
          </w:p>
        </w:tc>
      </w:tr>
      <w:tr w:rsidR="00F863C9" w:rsidTr="00F40CD3">
        <w:tc>
          <w:tcPr>
            <w:tcW w:w="2088" w:type="dxa"/>
          </w:tcPr>
          <w:p w:rsidR="00F863C9" w:rsidRDefault="00046151" w:rsidP="00F40CD3">
            <w:pPr>
              <w:rPr>
                <w:sz w:val="24"/>
              </w:rPr>
            </w:pPr>
            <w:r>
              <w:rPr>
                <w:sz w:val="24"/>
              </w:rPr>
              <w:t xml:space="preserve">Contractor (review of eligibility </w:t>
            </w:r>
            <w:r>
              <w:rPr>
                <w:sz w:val="24"/>
              </w:rPr>
              <w:lastRenderedPageBreak/>
              <w:t>forms)</w:t>
            </w:r>
          </w:p>
        </w:tc>
        <w:tc>
          <w:tcPr>
            <w:tcW w:w="1890" w:type="dxa"/>
          </w:tcPr>
          <w:p w:rsidR="00F863C9" w:rsidRDefault="00355761" w:rsidP="00F40CD3">
            <w:pPr>
              <w:rPr>
                <w:sz w:val="24"/>
              </w:rPr>
            </w:pPr>
            <w:r>
              <w:rPr>
                <w:sz w:val="24"/>
              </w:rPr>
              <w:lastRenderedPageBreak/>
              <w:t>803</w:t>
            </w:r>
          </w:p>
        </w:tc>
        <w:tc>
          <w:tcPr>
            <w:tcW w:w="1530" w:type="dxa"/>
          </w:tcPr>
          <w:p w:rsidR="00F863C9" w:rsidRDefault="00046151" w:rsidP="00046151">
            <w:pPr>
              <w:rPr>
                <w:sz w:val="24"/>
              </w:rPr>
            </w:pPr>
            <w:r>
              <w:rPr>
                <w:sz w:val="24"/>
              </w:rPr>
              <w:t>$25.00</w:t>
            </w:r>
          </w:p>
        </w:tc>
        <w:tc>
          <w:tcPr>
            <w:tcW w:w="1710" w:type="dxa"/>
          </w:tcPr>
          <w:p w:rsidR="00F863C9" w:rsidRDefault="00355761" w:rsidP="00046151">
            <w:pPr>
              <w:rPr>
                <w:sz w:val="24"/>
              </w:rPr>
            </w:pPr>
            <w:r>
              <w:rPr>
                <w:sz w:val="24"/>
              </w:rPr>
              <w:t>$20,075</w:t>
            </w:r>
          </w:p>
        </w:tc>
      </w:tr>
      <w:tr w:rsidR="00046151" w:rsidTr="00F40CD3">
        <w:tc>
          <w:tcPr>
            <w:tcW w:w="2088" w:type="dxa"/>
          </w:tcPr>
          <w:p w:rsidR="00046151" w:rsidRDefault="00046151" w:rsidP="00F40CD3">
            <w:pPr>
              <w:rPr>
                <w:sz w:val="24"/>
              </w:rPr>
            </w:pPr>
            <w:r>
              <w:rPr>
                <w:sz w:val="24"/>
              </w:rPr>
              <w:lastRenderedPageBreak/>
              <w:t>Medical and non-medical staff (review of healthcare and eligibility appeals</w:t>
            </w:r>
            <w:r w:rsidR="00ED08D4">
              <w:rPr>
                <w:sz w:val="24"/>
              </w:rPr>
              <w:t>, physician determination</w:t>
            </w:r>
            <w:r>
              <w:rPr>
                <w:sz w:val="24"/>
              </w:rPr>
              <w:t>)</w:t>
            </w:r>
          </w:p>
        </w:tc>
        <w:tc>
          <w:tcPr>
            <w:tcW w:w="1890" w:type="dxa"/>
          </w:tcPr>
          <w:p w:rsidR="00046151" w:rsidRDefault="00ED08D4" w:rsidP="00F40CD3">
            <w:pPr>
              <w:rPr>
                <w:sz w:val="24"/>
              </w:rPr>
            </w:pPr>
            <w:r>
              <w:rPr>
                <w:sz w:val="24"/>
              </w:rPr>
              <w:t>443.5</w:t>
            </w:r>
          </w:p>
        </w:tc>
        <w:tc>
          <w:tcPr>
            <w:tcW w:w="1530" w:type="dxa"/>
          </w:tcPr>
          <w:p w:rsidR="00046151" w:rsidRDefault="00046151" w:rsidP="00046151">
            <w:pPr>
              <w:rPr>
                <w:sz w:val="24"/>
              </w:rPr>
            </w:pPr>
            <w:r>
              <w:rPr>
                <w:sz w:val="24"/>
              </w:rPr>
              <w:t>$100.00</w:t>
            </w:r>
          </w:p>
        </w:tc>
        <w:tc>
          <w:tcPr>
            <w:tcW w:w="1710" w:type="dxa"/>
          </w:tcPr>
          <w:p w:rsidR="00046151" w:rsidRDefault="004575E7" w:rsidP="00046151">
            <w:pPr>
              <w:rPr>
                <w:sz w:val="24"/>
              </w:rPr>
            </w:pPr>
            <w:r>
              <w:rPr>
                <w:sz w:val="24"/>
              </w:rPr>
              <w:t>$44,350</w:t>
            </w:r>
          </w:p>
        </w:tc>
      </w:tr>
      <w:tr w:rsidR="00E729D1" w:rsidTr="00E729D1">
        <w:tc>
          <w:tcPr>
            <w:tcW w:w="2088" w:type="dxa"/>
          </w:tcPr>
          <w:p w:rsidR="00E729D1" w:rsidRDefault="00E729D1" w:rsidP="00F40CD3">
            <w:pPr>
              <w:rPr>
                <w:sz w:val="24"/>
              </w:rPr>
            </w:pPr>
            <w:r>
              <w:rPr>
                <w:sz w:val="24"/>
              </w:rPr>
              <w:t>Total</w:t>
            </w:r>
          </w:p>
        </w:tc>
        <w:tc>
          <w:tcPr>
            <w:tcW w:w="5130" w:type="dxa"/>
            <w:gridSpan w:val="3"/>
          </w:tcPr>
          <w:p w:rsidR="00E729D1" w:rsidRDefault="00E729D1" w:rsidP="00046151">
            <w:pPr>
              <w:rPr>
                <w:sz w:val="24"/>
              </w:rPr>
            </w:pPr>
            <w:r>
              <w:rPr>
                <w:sz w:val="24"/>
              </w:rPr>
              <w:t xml:space="preserve">                                                          $64,425</w:t>
            </w:r>
          </w:p>
        </w:tc>
      </w:tr>
    </w:tbl>
    <w:p w:rsidR="00F863C9" w:rsidRDefault="00F863C9" w:rsidP="00F863C9">
      <w:pPr>
        <w:pStyle w:val="BodyTextIndent"/>
        <w:ind w:left="0"/>
        <w:rPr>
          <w:rFonts w:ascii="Times New Roman" w:hAnsi="Times New Roman"/>
        </w:rPr>
      </w:pPr>
      <w:r>
        <w:rPr>
          <w:rFonts w:ascii="Times New Roman" w:hAnsi="Times New Roman"/>
        </w:rPr>
        <w:tab/>
      </w:r>
    </w:p>
    <w:p w:rsidR="00F863C9" w:rsidRPr="00D32040" w:rsidRDefault="00F863C9" w:rsidP="00F863C9">
      <w:pPr>
        <w:numPr>
          <w:ilvl w:val="0"/>
          <w:numId w:val="1"/>
        </w:numPr>
        <w:rPr>
          <w:b/>
          <w:sz w:val="24"/>
        </w:rPr>
      </w:pPr>
      <w:r w:rsidRPr="00D32040">
        <w:rPr>
          <w:b/>
          <w:sz w:val="24"/>
          <w:u w:val="single"/>
        </w:rPr>
        <w:t>Explanation for Program Changes or Adjustments</w:t>
      </w:r>
    </w:p>
    <w:p w:rsidR="00F863C9" w:rsidRDefault="00F863C9" w:rsidP="00882E79">
      <w:pPr>
        <w:ind w:left="720"/>
        <w:rPr>
          <w:sz w:val="24"/>
        </w:rPr>
      </w:pPr>
      <w:r w:rsidRPr="00D32040">
        <w:rPr>
          <w:sz w:val="24"/>
        </w:rPr>
        <w:t xml:space="preserve">This is </w:t>
      </w:r>
      <w:r w:rsidR="0007693A">
        <w:rPr>
          <w:sz w:val="24"/>
        </w:rPr>
        <w:t>a new</w:t>
      </w:r>
      <w:r w:rsidR="009D3302">
        <w:rPr>
          <w:sz w:val="24"/>
        </w:rPr>
        <w:t xml:space="preserve"> </w:t>
      </w:r>
      <w:r w:rsidR="00191AD2">
        <w:rPr>
          <w:sz w:val="24"/>
        </w:rPr>
        <w:t>data collection.</w:t>
      </w:r>
    </w:p>
    <w:p w:rsidR="00F863C9" w:rsidRDefault="00F863C9" w:rsidP="00F863C9">
      <w:pPr>
        <w:ind w:left="360" w:firstLine="720"/>
        <w:rPr>
          <w:sz w:val="24"/>
        </w:rPr>
      </w:pPr>
    </w:p>
    <w:p w:rsidR="00F863C9" w:rsidRDefault="00F863C9" w:rsidP="00F863C9">
      <w:pPr>
        <w:numPr>
          <w:ilvl w:val="0"/>
          <w:numId w:val="1"/>
        </w:numPr>
        <w:rPr>
          <w:b/>
          <w:sz w:val="24"/>
        </w:rPr>
      </w:pPr>
      <w:r>
        <w:rPr>
          <w:b/>
          <w:sz w:val="24"/>
          <w:u w:val="single"/>
        </w:rPr>
        <w:t>Plans for Tabulation and Publication and Project Time Schedule</w:t>
      </w:r>
    </w:p>
    <w:p w:rsidR="00F863C9" w:rsidRDefault="00911885" w:rsidP="00911885">
      <w:pPr>
        <w:ind w:left="720"/>
        <w:rPr>
          <w:sz w:val="24"/>
        </w:rPr>
      </w:pPr>
      <w:r>
        <w:rPr>
          <w:sz w:val="24"/>
        </w:rPr>
        <w:t xml:space="preserve">Data collection </w:t>
      </w:r>
      <w:r w:rsidR="00210D6B">
        <w:rPr>
          <w:sz w:val="24"/>
        </w:rPr>
        <w:t>began</w:t>
      </w:r>
      <w:r>
        <w:rPr>
          <w:sz w:val="24"/>
        </w:rPr>
        <w:t xml:space="preserve"> upon promulgation of Pentagon and </w:t>
      </w:r>
      <w:proofErr w:type="spellStart"/>
      <w:r>
        <w:rPr>
          <w:sz w:val="24"/>
        </w:rPr>
        <w:t>Shanksville</w:t>
      </w:r>
      <w:proofErr w:type="spellEnd"/>
      <w:r>
        <w:rPr>
          <w:sz w:val="24"/>
        </w:rPr>
        <w:t>, Pennsylvania eligibility criteria</w:t>
      </w:r>
      <w:r w:rsidR="00F863C9">
        <w:rPr>
          <w:sz w:val="24"/>
        </w:rPr>
        <w:t>.</w:t>
      </w:r>
      <w:r>
        <w:rPr>
          <w:sz w:val="24"/>
        </w:rPr>
        <w:t xml:space="preserve"> An interim final rule </w:t>
      </w:r>
      <w:r w:rsidR="00210D6B">
        <w:rPr>
          <w:sz w:val="24"/>
        </w:rPr>
        <w:t xml:space="preserve">was published </w:t>
      </w:r>
      <w:r w:rsidR="00A11439">
        <w:rPr>
          <w:sz w:val="24"/>
        </w:rPr>
        <w:t>in the Federal Register on March 28, 2013 vol. 78, No. 60 pp. 18855-18865 (Appendix J).</w:t>
      </w:r>
    </w:p>
    <w:p w:rsidR="00F863C9" w:rsidRDefault="00F863C9" w:rsidP="00F863C9">
      <w:pPr>
        <w:ind w:left="1080"/>
        <w:rPr>
          <w:sz w:val="24"/>
        </w:rPr>
      </w:pPr>
    </w:p>
    <w:p w:rsidR="00F863C9" w:rsidRDefault="00F863C9" w:rsidP="00F863C9">
      <w:pPr>
        <w:numPr>
          <w:ilvl w:val="0"/>
          <w:numId w:val="1"/>
        </w:numPr>
        <w:rPr>
          <w:b/>
          <w:sz w:val="24"/>
        </w:rPr>
      </w:pPr>
      <w:r>
        <w:rPr>
          <w:b/>
          <w:sz w:val="24"/>
          <w:u w:val="single"/>
        </w:rPr>
        <w:t>Reason(s) Display of OMB Expiration Date is Inappropriate</w:t>
      </w:r>
    </w:p>
    <w:p w:rsidR="00F863C9" w:rsidRDefault="00F863C9" w:rsidP="00F863C9">
      <w:pPr>
        <w:ind w:firstLine="720"/>
      </w:pPr>
      <w:r>
        <w:rPr>
          <w:sz w:val="24"/>
        </w:rPr>
        <w:t xml:space="preserve">Not applicable. </w:t>
      </w:r>
    </w:p>
    <w:p w:rsidR="00F863C9" w:rsidRDefault="00F863C9" w:rsidP="00F863C9">
      <w:pPr>
        <w:pStyle w:val="BodyTextIndent"/>
        <w:ind w:left="1080"/>
        <w:rPr>
          <w:rFonts w:ascii="Times New Roman" w:hAnsi="Times New Roman"/>
        </w:rPr>
      </w:pPr>
    </w:p>
    <w:p w:rsidR="00F863C9" w:rsidRDefault="00F863C9" w:rsidP="00F863C9">
      <w:pPr>
        <w:numPr>
          <w:ilvl w:val="0"/>
          <w:numId w:val="1"/>
        </w:numPr>
        <w:rPr>
          <w:b/>
          <w:sz w:val="24"/>
        </w:rPr>
      </w:pPr>
      <w:r>
        <w:rPr>
          <w:b/>
          <w:sz w:val="24"/>
          <w:u w:val="single"/>
        </w:rPr>
        <w:t>Exceptions to Certification for Paperwork Reduction Act Submissions</w:t>
      </w:r>
    </w:p>
    <w:p w:rsidR="00F863C9" w:rsidRDefault="00F863C9" w:rsidP="00F863C9">
      <w:pPr>
        <w:ind w:firstLine="720"/>
        <w:rPr>
          <w:sz w:val="24"/>
        </w:rPr>
      </w:pPr>
      <w:r>
        <w:rPr>
          <w:sz w:val="24"/>
        </w:rPr>
        <w:t>There are no exceptions to the certification.</w:t>
      </w:r>
    </w:p>
    <w:p w:rsidR="00F863C9" w:rsidRDefault="00F863C9" w:rsidP="00F863C9">
      <w:pPr>
        <w:rPr>
          <w:sz w:val="24"/>
        </w:rPr>
      </w:pPr>
    </w:p>
    <w:p w:rsidR="00E61A64" w:rsidRDefault="00E61A64"/>
    <w:sectPr w:rsidR="00E61A64" w:rsidSect="00E61A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15E" w:rsidRDefault="0056615E" w:rsidP="00972833">
      <w:r>
        <w:separator/>
      </w:r>
    </w:p>
  </w:endnote>
  <w:endnote w:type="continuationSeparator" w:id="0">
    <w:p w:rsidR="0056615E" w:rsidRDefault="0056615E" w:rsidP="00972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15E" w:rsidRDefault="0056615E" w:rsidP="00972833">
      <w:r>
        <w:separator/>
      </w:r>
    </w:p>
  </w:footnote>
  <w:footnote w:type="continuationSeparator" w:id="0">
    <w:p w:rsidR="0056615E" w:rsidRDefault="0056615E" w:rsidP="00972833">
      <w:r>
        <w:continuationSeparator/>
      </w:r>
    </w:p>
  </w:footnote>
  <w:footnote w:id="1">
    <w:p w:rsidR="00E12511" w:rsidRPr="00972833" w:rsidRDefault="00E12511">
      <w:pPr>
        <w:pStyle w:val="FootnoteText"/>
        <w:rPr>
          <w:sz w:val="16"/>
          <w:szCs w:val="16"/>
        </w:rPr>
      </w:pPr>
      <w:r w:rsidRPr="00972833">
        <w:rPr>
          <w:rStyle w:val="FootnoteReference"/>
          <w:sz w:val="16"/>
          <w:szCs w:val="16"/>
        </w:rPr>
        <w:footnoteRef/>
      </w:r>
      <w:r w:rsidRPr="00972833">
        <w:rPr>
          <w:sz w:val="16"/>
          <w:szCs w:val="16"/>
        </w:rPr>
        <w:t xml:space="preserve"> Police department means any law enforcement department or agency, whether under Federal, state, or local jurisdiction, responsible for general police duties, such as maintenance of public order, safety, or health, enforcement of laws, or otherwise charged with prevention, detection, investigation, or prosecution of crimes.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B26BD"/>
    <w:multiLevelType w:val="hybridMultilevel"/>
    <w:tmpl w:val="D9202FA8"/>
    <w:lvl w:ilvl="0" w:tplc="B69294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724711D"/>
    <w:multiLevelType w:val="hybridMultilevel"/>
    <w:tmpl w:val="8D56A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3C9"/>
    <w:rsid w:val="000013A4"/>
    <w:rsid w:val="000078A3"/>
    <w:rsid w:val="00010994"/>
    <w:rsid w:val="00012C84"/>
    <w:rsid w:val="00013191"/>
    <w:rsid w:val="00013F86"/>
    <w:rsid w:val="000261D3"/>
    <w:rsid w:val="00044186"/>
    <w:rsid w:val="00046151"/>
    <w:rsid w:val="000461B3"/>
    <w:rsid w:val="00046FBF"/>
    <w:rsid w:val="000607B6"/>
    <w:rsid w:val="00070E54"/>
    <w:rsid w:val="000745A6"/>
    <w:rsid w:val="0007693A"/>
    <w:rsid w:val="00084A4A"/>
    <w:rsid w:val="0008690D"/>
    <w:rsid w:val="000905B8"/>
    <w:rsid w:val="00093231"/>
    <w:rsid w:val="00096218"/>
    <w:rsid w:val="00097814"/>
    <w:rsid w:val="000A146A"/>
    <w:rsid w:val="000A4026"/>
    <w:rsid w:val="000B79F3"/>
    <w:rsid w:val="000E5446"/>
    <w:rsid w:val="000E5B1D"/>
    <w:rsid w:val="000F370D"/>
    <w:rsid w:val="00113909"/>
    <w:rsid w:val="0012796F"/>
    <w:rsid w:val="001329E9"/>
    <w:rsid w:val="00132BB7"/>
    <w:rsid w:val="00135154"/>
    <w:rsid w:val="001354F2"/>
    <w:rsid w:val="00146B4B"/>
    <w:rsid w:val="00151604"/>
    <w:rsid w:val="0016117D"/>
    <w:rsid w:val="00171554"/>
    <w:rsid w:val="00172854"/>
    <w:rsid w:val="00174487"/>
    <w:rsid w:val="00175844"/>
    <w:rsid w:val="001845C1"/>
    <w:rsid w:val="00191AD2"/>
    <w:rsid w:val="001A389E"/>
    <w:rsid w:val="001B12C5"/>
    <w:rsid w:val="001C4052"/>
    <w:rsid w:val="001C694C"/>
    <w:rsid w:val="001D4A36"/>
    <w:rsid w:val="001E0AB6"/>
    <w:rsid w:val="001E7A08"/>
    <w:rsid w:val="002047E1"/>
    <w:rsid w:val="00210D6B"/>
    <w:rsid w:val="00212054"/>
    <w:rsid w:val="0023537E"/>
    <w:rsid w:val="0023595B"/>
    <w:rsid w:val="00235E4C"/>
    <w:rsid w:val="00236361"/>
    <w:rsid w:val="00242F9C"/>
    <w:rsid w:val="00244EA4"/>
    <w:rsid w:val="00246538"/>
    <w:rsid w:val="002558BA"/>
    <w:rsid w:val="0028157C"/>
    <w:rsid w:val="002818ED"/>
    <w:rsid w:val="00284C64"/>
    <w:rsid w:val="002A7D9B"/>
    <w:rsid w:val="002B37B2"/>
    <w:rsid w:val="002B4CAA"/>
    <w:rsid w:val="002B7E70"/>
    <w:rsid w:val="002C133B"/>
    <w:rsid w:val="002C13C7"/>
    <w:rsid w:val="002C661C"/>
    <w:rsid w:val="002C7560"/>
    <w:rsid w:val="002C7C1A"/>
    <w:rsid w:val="002D7579"/>
    <w:rsid w:val="002E1D94"/>
    <w:rsid w:val="002F5BC4"/>
    <w:rsid w:val="002F7365"/>
    <w:rsid w:val="0030429C"/>
    <w:rsid w:val="00306653"/>
    <w:rsid w:val="0032019C"/>
    <w:rsid w:val="0032035F"/>
    <w:rsid w:val="00321951"/>
    <w:rsid w:val="00324881"/>
    <w:rsid w:val="00331E64"/>
    <w:rsid w:val="00333334"/>
    <w:rsid w:val="003338AB"/>
    <w:rsid w:val="00335156"/>
    <w:rsid w:val="003368D0"/>
    <w:rsid w:val="00345BF7"/>
    <w:rsid w:val="00347D98"/>
    <w:rsid w:val="00355761"/>
    <w:rsid w:val="00360A5A"/>
    <w:rsid w:val="00361B6B"/>
    <w:rsid w:val="00372CB1"/>
    <w:rsid w:val="00374C6F"/>
    <w:rsid w:val="00380824"/>
    <w:rsid w:val="00387081"/>
    <w:rsid w:val="00391E83"/>
    <w:rsid w:val="003B2A10"/>
    <w:rsid w:val="003C0104"/>
    <w:rsid w:val="003C5CF3"/>
    <w:rsid w:val="003D4825"/>
    <w:rsid w:val="003D6C9A"/>
    <w:rsid w:val="003F1A98"/>
    <w:rsid w:val="00400B9A"/>
    <w:rsid w:val="0040479D"/>
    <w:rsid w:val="0040642A"/>
    <w:rsid w:val="00407B7C"/>
    <w:rsid w:val="00416905"/>
    <w:rsid w:val="00445698"/>
    <w:rsid w:val="004543C2"/>
    <w:rsid w:val="004575E7"/>
    <w:rsid w:val="00457C6F"/>
    <w:rsid w:val="00464DC0"/>
    <w:rsid w:val="0047235D"/>
    <w:rsid w:val="004802AE"/>
    <w:rsid w:val="00491BE7"/>
    <w:rsid w:val="00495BC6"/>
    <w:rsid w:val="004970F6"/>
    <w:rsid w:val="004972A6"/>
    <w:rsid w:val="00497CBB"/>
    <w:rsid w:val="004A71A2"/>
    <w:rsid w:val="004B36A5"/>
    <w:rsid w:val="004B5937"/>
    <w:rsid w:val="004E140D"/>
    <w:rsid w:val="004E2121"/>
    <w:rsid w:val="004F395C"/>
    <w:rsid w:val="004F6037"/>
    <w:rsid w:val="00504282"/>
    <w:rsid w:val="0050614D"/>
    <w:rsid w:val="00506DC6"/>
    <w:rsid w:val="00520F1A"/>
    <w:rsid w:val="0052717D"/>
    <w:rsid w:val="005402F6"/>
    <w:rsid w:val="005430BF"/>
    <w:rsid w:val="0055527B"/>
    <w:rsid w:val="005605D6"/>
    <w:rsid w:val="00563F92"/>
    <w:rsid w:val="0056615E"/>
    <w:rsid w:val="0056640E"/>
    <w:rsid w:val="00570222"/>
    <w:rsid w:val="00571118"/>
    <w:rsid w:val="005823FE"/>
    <w:rsid w:val="00583C9E"/>
    <w:rsid w:val="00590A5A"/>
    <w:rsid w:val="00597722"/>
    <w:rsid w:val="005A0ABF"/>
    <w:rsid w:val="005B5802"/>
    <w:rsid w:val="005C08A2"/>
    <w:rsid w:val="005C154C"/>
    <w:rsid w:val="005C419B"/>
    <w:rsid w:val="005C47A0"/>
    <w:rsid w:val="005D0E34"/>
    <w:rsid w:val="005D5788"/>
    <w:rsid w:val="005E04E3"/>
    <w:rsid w:val="005F3895"/>
    <w:rsid w:val="006154D9"/>
    <w:rsid w:val="0062038A"/>
    <w:rsid w:val="00624596"/>
    <w:rsid w:val="00633127"/>
    <w:rsid w:val="006456D7"/>
    <w:rsid w:val="00647D69"/>
    <w:rsid w:val="006500A6"/>
    <w:rsid w:val="00651EA8"/>
    <w:rsid w:val="00652D8F"/>
    <w:rsid w:val="00657211"/>
    <w:rsid w:val="00665D39"/>
    <w:rsid w:val="00681182"/>
    <w:rsid w:val="00681375"/>
    <w:rsid w:val="00681B44"/>
    <w:rsid w:val="00693659"/>
    <w:rsid w:val="006A07E4"/>
    <w:rsid w:val="006A0DDF"/>
    <w:rsid w:val="006A1256"/>
    <w:rsid w:val="006C14B2"/>
    <w:rsid w:val="006C7856"/>
    <w:rsid w:val="006D12C0"/>
    <w:rsid w:val="006E4176"/>
    <w:rsid w:val="006E66F1"/>
    <w:rsid w:val="006F53F3"/>
    <w:rsid w:val="006F7F53"/>
    <w:rsid w:val="006F7F71"/>
    <w:rsid w:val="007138F8"/>
    <w:rsid w:val="00743949"/>
    <w:rsid w:val="00761784"/>
    <w:rsid w:val="007678D2"/>
    <w:rsid w:val="00774171"/>
    <w:rsid w:val="00776473"/>
    <w:rsid w:val="00777AB1"/>
    <w:rsid w:val="0078133D"/>
    <w:rsid w:val="00783D91"/>
    <w:rsid w:val="0078462B"/>
    <w:rsid w:val="00787CC6"/>
    <w:rsid w:val="00793123"/>
    <w:rsid w:val="007947D4"/>
    <w:rsid w:val="00795207"/>
    <w:rsid w:val="007A6F74"/>
    <w:rsid w:val="007B098F"/>
    <w:rsid w:val="007B0C64"/>
    <w:rsid w:val="007B47C3"/>
    <w:rsid w:val="007D3DBD"/>
    <w:rsid w:val="007E37AC"/>
    <w:rsid w:val="007E502B"/>
    <w:rsid w:val="007E7890"/>
    <w:rsid w:val="007F7201"/>
    <w:rsid w:val="0081418B"/>
    <w:rsid w:val="0082298B"/>
    <w:rsid w:val="00834860"/>
    <w:rsid w:val="00835312"/>
    <w:rsid w:val="008438A4"/>
    <w:rsid w:val="008454F9"/>
    <w:rsid w:val="00871D7E"/>
    <w:rsid w:val="008809BC"/>
    <w:rsid w:val="00880F05"/>
    <w:rsid w:val="00882E79"/>
    <w:rsid w:val="00887C09"/>
    <w:rsid w:val="0089156B"/>
    <w:rsid w:val="0089295C"/>
    <w:rsid w:val="00895DFB"/>
    <w:rsid w:val="008A000B"/>
    <w:rsid w:val="008A0D4D"/>
    <w:rsid w:val="008A50CD"/>
    <w:rsid w:val="008A5C22"/>
    <w:rsid w:val="008B19F8"/>
    <w:rsid w:val="008B258F"/>
    <w:rsid w:val="008B266D"/>
    <w:rsid w:val="008C43F0"/>
    <w:rsid w:val="008C5505"/>
    <w:rsid w:val="008D651A"/>
    <w:rsid w:val="008E6F19"/>
    <w:rsid w:val="008F0B9F"/>
    <w:rsid w:val="008F141C"/>
    <w:rsid w:val="008F377D"/>
    <w:rsid w:val="009070AC"/>
    <w:rsid w:val="00910AC3"/>
    <w:rsid w:val="0091178D"/>
    <w:rsid w:val="00911885"/>
    <w:rsid w:val="00911E90"/>
    <w:rsid w:val="00912FB9"/>
    <w:rsid w:val="00920A66"/>
    <w:rsid w:val="00922996"/>
    <w:rsid w:val="0092524B"/>
    <w:rsid w:val="00930D61"/>
    <w:rsid w:val="009314CC"/>
    <w:rsid w:val="00937C54"/>
    <w:rsid w:val="00963962"/>
    <w:rsid w:val="00972833"/>
    <w:rsid w:val="009732FE"/>
    <w:rsid w:val="00975C70"/>
    <w:rsid w:val="00975E6D"/>
    <w:rsid w:val="00983DB2"/>
    <w:rsid w:val="009A55AE"/>
    <w:rsid w:val="009C1440"/>
    <w:rsid w:val="009D3302"/>
    <w:rsid w:val="009D589E"/>
    <w:rsid w:val="009E07EB"/>
    <w:rsid w:val="00A05E02"/>
    <w:rsid w:val="00A11439"/>
    <w:rsid w:val="00A17692"/>
    <w:rsid w:val="00A17EBB"/>
    <w:rsid w:val="00A22E64"/>
    <w:rsid w:val="00A24609"/>
    <w:rsid w:val="00A43774"/>
    <w:rsid w:val="00A578FE"/>
    <w:rsid w:val="00A66B41"/>
    <w:rsid w:val="00A66B6D"/>
    <w:rsid w:val="00A80CEB"/>
    <w:rsid w:val="00A83644"/>
    <w:rsid w:val="00A85B39"/>
    <w:rsid w:val="00A91932"/>
    <w:rsid w:val="00A94D51"/>
    <w:rsid w:val="00A962BE"/>
    <w:rsid w:val="00AA55D6"/>
    <w:rsid w:val="00AA7F3F"/>
    <w:rsid w:val="00AB2091"/>
    <w:rsid w:val="00AC5C55"/>
    <w:rsid w:val="00AD2567"/>
    <w:rsid w:val="00AE7111"/>
    <w:rsid w:val="00AF078F"/>
    <w:rsid w:val="00AF1AAC"/>
    <w:rsid w:val="00B10BC4"/>
    <w:rsid w:val="00B1447C"/>
    <w:rsid w:val="00B241C6"/>
    <w:rsid w:val="00B31459"/>
    <w:rsid w:val="00B3425E"/>
    <w:rsid w:val="00B476C5"/>
    <w:rsid w:val="00B546E0"/>
    <w:rsid w:val="00B6099E"/>
    <w:rsid w:val="00B67EED"/>
    <w:rsid w:val="00B72C95"/>
    <w:rsid w:val="00B8183B"/>
    <w:rsid w:val="00B94B0B"/>
    <w:rsid w:val="00B96A3D"/>
    <w:rsid w:val="00BA2A84"/>
    <w:rsid w:val="00BA5F05"/>
    <w:rsid w:val="00BC7212"/>
    <w:rsid w:val="00BD528D"/>
    <w:rsid w:val="00BD6961"/>
    <w:rsid w:val="00BF24A0"/>
    <w:rsid w:val="00C0269A"/>
    <w:rsid w:val="00C05F6D"/>
    <w:rsid w:val="00C067AF"/>
    <w:rsid w:val="00C17AE4"/>
    <w:rsid w:val="00C23723"/>
    <w:rsid w:val="00C71F4C"/>
    <w:rsid w:val="00C73015"/>
    <w:rsid w:val="00C745F8"/>
    <w:rsid w:val="00C82713"/>
    <w:rsid w:val="00C8703A"/>
    <w:rsid w:val="00C87340"/>
    <w:rsid w:val="00CA1256"/>
    <w:rsid w:val="00CA5DCC"/>
    <w:rsid w:val="00CB1ABA"/>
    <w:rsid w:val="00CB437C"/>
    <w:rsid w:val="00CB50F1"/>
    <w:rsid w:val="00CC3300"/>
    <w:rsid w:val="00CC4F7C"/>
    <w:rsid w:val="00CD191D"/>
    <w:rsid w:val="00CE54A6"/>
    <w:rsid w:val="00CF3655"/>
    <w:rsid w:val="00D05DDA"/>
    <w:rsid w:val="00D11520"/>
    <w:rsid w:val="00D11E88"/>
    <w:rsid w:val="00D14EB6"/>
    <w:rsid w:val="00D175AE"/>
    <w:rsid w:val="00D31104"/>
    <w:rsid w:val="00D32040"/>
    <w:rsid w:val="00D34A60"/>
    <w:rsid w:val="00D37C46"/>
    <w:rsid w:val="00D52DE5"/>
    <w:rsid w:val="00D56D5E"/>
    <w:rsid w:val="00D709FF"/>
    <w:rsid w:val="00D727CB"/>
    <w:rsid w:val="00D96C03"/>
    <w:rsid w:val="00DB23E2"/>
    <w:rsid w:val="00DD0894"/>
    <w:rsid w:val="00DD6690"/>
    <w:rsid w:val="00DE11A9"/>
    <w:rsid w:val="00DE696E"/>
    <w:rsid w:val="00DE796D"/>
    <w:rsid w:val="00DE7976"/>
    <w:rsid w:val="00DF2524"/>
    <w:rsid w:val="00E00F4F"/>
    <w:rsid w:val="00E046D2"/>
    <w:rsid w:val="00E12511"/>
    <w:rsid w:val="00E15AD6"/>
    <w:rsid w:val="00E203BB"/>
    <w:rsid w:val="00E20B10"/>
    <w:rsid w:val="00E23B88"/>
    <w:rsid w:val="00E24DB0"/>
    <w:rsid w:val="00E307E0"/>
    <w:rsid w:val="00E34229"/>
    <w:rsid w:val="00E37577"/>
    <w:rsid w:val="00E4532A"/>
    <w:rsid w:val="00E61032"/>
    <w:rsid w:val="00E61A64"/>
    <w:rsid w:val="00E62844"/>
    <w:rsid w:val="00E7216F"/>
    <w:rsid w:val="00E729D1"/>
    <w:rsid w:val="00E73104"/>
    <w:rsid w:val="00E75AF4"/>
    <w:rsid w:val="00E8058A"/>
    <w:rsid w:val="00E97D8D"/>
    <w:rsid w:val="00EB30D1"/>
    <w:rsid w:val="00EC23A1"/>
    <w:rsid w:val="00ED08D4"/>
    <w:rsid w:val="00ED543A"/>
    <w:rsid w:val="00EE763A"/>
    <w:rsid w:val="00F03B04"/>
    <w:rsid w:val="00F208F3"/>
    <w:rsid w:val="00F21359"/>
    <w:rsid w:val="00F27B59"/>
    <w:rsid w:val="00F3010B"/>
    <w:rsid w:val="00F3638C"/>
    <w:rsid w:val="00F37A0B"/>
    <w:rsid w:val="00F40CD3"/>
    <w:rsid w:val="00F55CF8"/>
    <w:rsid w:val="00F57512"/>
    <w:rsid w:val="00F664A3"/>
    <w:rsid w:val="00F811C0"/>
    <w:rsid w:val="00F863C9"/>
    <w:rsid w:val="00FD4FE3"/>
    <w:rsid w:val="00FD5E72"/>
    <w:rsid w:val="00FD68B1"/>
    <w:rsid w:val="00FF200E"/>
    <w:rsid w:val="00FF3561"/>
    <w:rsid w:val="00FF4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3C9"/>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F863C9"/>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63C9"/>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F863C9"/>
    <w:pPr>
      <w:ind w:left="720"/>
    </w:pPr>
    <w:rPr>
      <w:rFonts w:ascii="Baskerville Old Face" w:hAnsi="Baskerville Old Face"/>
      <w:sz w:val="24"/>
    </w:rPr>
  </w:style>
  <w:style w:type="character" w:customStyle="1" w:styleId="BodyTextIndentChar">
    <w:name w:val="Body Text Indent Char"/>
    <w:basedOn w:val="DefaultParagraphFont"/>
    <w:link w:val="BodyTextIndent"/>
    <w:semiHidden/>
    <w:rsid w:val="00F863C9"/>
    <w:rPr>
      <w:rFonts w:ascii="Baskerville Old Face" w:eastAsia="Times New Roman" w:hAnsi="Baskerville Old Face" w:cs="Times New Roman"/>
      <w:sz w:val="24"/>
      <w:szCs w:val="24"/>
    </w:rPr>
  </w:style>
  <w:style w:type="character" w:styleId="CommentReference">
    <w:name w:val="annotation reference"/>
    <w:basedOn w:val="DefaultParagraphFont"/>
    <w:uiPriority w:val="99"/>
    <w:semiHidden/>
    <w:unhideWhenUsed/>
    <w:rsid w:val="00F863C9"/>
    <w:rPr>
      <w:sz w:val="16"/>
      <w:szCs w:val="16"/>
    </w:rPr>
  </w:style>
  <w:style w:type="character" w:styleId="Hyperlink">
    <w:name w:val="Hyperlink"/>
    <w:basedOn w:val="DefaultParagraphFont"/>
    <w:semiHidden/>
    <w:rsid w:val="00F863C9"/>
    <w:rPr>
      <w:rFonts w:cs="Times New Roman"/>
      <w:color w:val="0000FF"/>
      <w:u w:val="single"/>
    </w:rPr>
  </w:style>
  <w:style w:type="paragraph" w:customStyle="1" w:styleId="Style">
    <w:name w:val="Style"/>
    <w:rsid w:val="00F863C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0">
    <w:name w:val="style"/>
    <w:basedOn w:val="Normal"/>
    <w:rsid w:val="00F863C9"/>
    <w:pPr>
      <w:widowControl/>
      <w:autoSpaceDE/>
      <w:autoSpaceDN/>
      <w:adjustRightInd/>
      <w:spacing w:before="100" w:beforeAutospacing="1" w:after="100" w:afterAutospacing="1"/>
    </w:pPr>
    <w:rPr>
      <w:rFonts w:eastAsia="Calibri"/>
      <w:sz w:val="24"/>
    </w:rPr>
  </w:style>
  <w:style w:type="paragraph" w:styleId="CommentText">
    <w:name w:val="annotation text"/>
    <w:basedOn w:val="Normal"/>
    <w:link w:val="CommentTextChar"/>
    <w:uiPriority w:val="99"/>
    <w:semiHidden/>
    <w:unhideWhenUsed/>
    <w:rsid w:val="00F863C9"/>
    <w:rPr>
      <w:szCs w:val="20"/>
    </w:rPr>
  </w:style>
  <w:style w:type="character" w:customStyle="1" w:styleId="CommentTextChar">
    <w:name w:val="Comment Text Char"/>
    <w:basedOn w:val="DefaultParagraphFont"/>
    <w:link w:val="CommentText"/>
    <w:uiPriority w:val="99"/>
    <w:semiHidden/>
    <w:rsid w:val="00F863C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863C9"/>
    <w:rPr>
      <w:rFonts w:ascii="Tahoma" w:hAnsi="Tahoma" w:cs="Tahoma"/>
      <w:sz w:val="16"/>
      <w:szCs w:val="16"/>
    </w:rPr>
  </w:style>
  <w:style w:type="character" w:customStyle="1" w:styleId="BalloonTextChar">
    <w:name w:val="Balloon Text Char"/>
    <w:basedOn w:val="DefaultParagraphFont"/>
    <w:link w:val="BalloonText"/>
    <w:uiPriority w:val="99"/>
    <w:semiHidden/>
    <w:rsid w:val="00F863C9"/>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972833"/>
    <w:rPr>
      <w:szCs w:val="20"/>
    </w:rPr>
  </w:style>
  <w:style w:type="character" w:customStyle="1" w:styleId="FootnoteTextChar">
    <w:name w:val="Footnote Text Char"/>
    <w:basedOn w:val="DefaultParagraphFont"/>
    <w:link w:val="FootnoteText"/>
    <w:uiPriority w:val="99"/>
    <w:semiHidden/>
    <w:rsid w:val="0097283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72833"/>
    <w:rPr>
      <w:vertAlign w:val="superscript"/>
    </w:rPr>
  </w:style>
  <w:style w:type="paragraph" w:styleId="CommentSubject">
    <w:name w:val="annotation subject"/>
    <w:basedOn w:val="CommentText"/>
    <w:next w:val="CommentText"/>
    <w:link w:val="CommentSubjectChar"/>
    <w:uiPriority w:val="99"/>
    <w:semiHidden/>
    <w:unhideWhenUsed/>
    <w:rsid w:val="00324881"/>
    <w:rPr>
      <w:b/>
      <w:bCs/>
    </w:rPr>
  </w:style>
  <w:style w:type="character" w:customStyle="1" w:styleId="CommentSubjectChar">
    <w:name w:val="Comment Subject Char"/>
    <w:basedOn w:val="CommentTextChar"/>
    <w:link w:val="CommentSubject"/>
    <w:uiPriority w:val="99"/>
    <w:semiHidden/>
    <w:rsid w:val="00324881"/>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3C9"/>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F863C9"/>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63C9"/>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F863C9"/>
    <w:pPr>
      <w:ind w:left="720"/>
    </w:pPr>
    <w:rPr>
      <w:rFonts w:ascii="Baskerville Old Face" w:hAnsi="Baskerville Old Face"/>
      <w:sz w:val="24"/>
    </w:rPr>
  </w:style>
  <w:style w:type="character" w:customStyle="1" w:styleId="BodyTextIndentChar">
    <w:name w:val="Body Text Indent Char"/>
    <w:basedOn w:val="DefaultParagraphFont"/>
    <w:link w:val="BodyTextIndent"/>
    <w:semiHidden/>
    <w:rsid w:val="00F863C9"/>
    <w:rPr>
      <w:rFonts w:ascii="Baskerville Old Face" w:eastAsia="Times New Roman" w:hAnsi="Baskerville Old Face" w:cs="Times New Roman"/>
      <w:sz w:val="24"/>
      <w:szCs w:val="24"/>
    </w:rPr>
  </w:style>
  <w:style w:type="character" w:styleId="CommentReference">
    <w:name w:val="annotation reference"/>
    <w:basedOn w:val="DefaultParagraphFont"/>
    <w:uiPriority w:val="99"/>
    <w:semiHidden/>
    <w:unhideWhenUsed/>
    <w:rsid w:val="00F863C9"/>
    <w:rPr>
      <w:sz w:val="16"/>
      <w:szCs w:val="16"/>
    </w:rPr>
  </w:style>
  <w:style w:type="character" w:styleId="Hyperlink">
    <w:name w:val="Hyperlink"/>
    <w:basedOn w:val="DefaultParagraphFont"/>
    <w:semiHidden/>
    <w:rsid w:val="00F863C9"/>
    <w:rPr>
      <w:rFonts w:cs="Times New Roman"/>
      <w:color w:val="0000FF"/>
      <w:u w:val="single"/>
    </w:rPr>
  </w:style>
  <w:style w:type="paragraph" w:customStyle="1" w:styleId="Style">
    <w:name w:val="Style"/>
    <w:rsid w:val="00F863C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0">
    <w:name w:val="style"/>
    <w:basedOn w:val="Normal"/>
    <w:rsid w:val="00F863C9"/>
    <w:pPr>
      <w:widowControl/>
      <w:autoSpaceDE/>
      <w:autoSpaceDN/>
      <w:adjustRightInd/>
      <w:spacing w:before="100" w:beforeAutospacing="1" w:after="100" w:afterAutospacing="1"/>
    </w:pPr>
    <w:rPr>
      <w:rFonts w:eastAsia="Calibri"/>
      <w:sz w:val="24"/>
    </w:rPr>
  </w:style>
  <w:style w:type="paragraph" w:styleId="CommentText">
    <w:name w:val="annotation text"/>
    <w:basedOn w:val="Normal"/>
    <w:link w:val="CommentTextChar"/>
    <w:uiPriority w:val="99"/>
    <w:semiHidden/>
    <w:unhideWhenUsed/>
    <w:rsid w:val="00F863C9"/>
    <w:rPr>
      <w:szCs w:val="20"/>
    </w:rPr>
  </w:style>
  <w:style w:type="character" w:customStyle="1" w:styleId="CommentTextChar">
    <w:name w:val="Comment Text Char"/>
    <w:basedOn w:val="DefaultParagraphFont"/>
    <w:link w:val="CommentText"/>
    <w:uiPriority w:val="99"/>
    <w:semiHidden/>
    <w:rsid w:val="00F863C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863C9"/>
    <w:rPr>
      <w:rFonts w:ascii="Tahoma" w:hAnsi="Tahoma" w:cs="Tahoma"/>
      <w:sz w:val="16"/>
      <w:szCs w:val="16"/>
    </w:rPr>
  </w:style>
  <w:style w:type="character" w:customStyle="1" w:styleId="BalloonTextChar">
    <w:name w:val="Balloon Text Char"/>
    <w:basedOn w:val="DefaultParagraphFont"/>
    <w:link w:val="BalloonText"/>
    <w:uiPriority w:val="99"/>
    <w:semiHidden/>
    <w:rsid w:val="00F863C9"/>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972833"/>
    <w:rPr>
      <w:szCs w:val="20"/>
    </w:rPr>
  </w:style>
  <w:style w:type="character" w:customStyle="1" w:styleId="FootnoteTextChar">
    <w:name w:val="Footnote Text Char"/>
    <w:basedOn w:val="DefaultParagraphFont"/>
    <w:link w:val="FootnoteText"/>
    <w:uiPriority w:val="99"/>
    <w:semiHidden/>
    <w:rsid w:val="0097283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72833"/>
    <w:rPr>
      <w:vertAlign w:val="superscript"/>
    </w:rPr>
  </w:style>
  <w:style w:type="paragraph" w:styleId="CommentSubject">
    <w:name w:val="annotation subject"/>
    <w:basedOn w:val="CommentText"/>
    <w:next w:val="CommentText"/>
    <w:link w:val="CommentSubjectChar"/>
    <w:uiPriority w:val="99"/>
    <w:semiHidden/>
    <w:unhideWhenUsed/>
    <w:rsid w:val="00324881"/>
    <w:rPr>
      <w:b/>
      <w:bCs/>
    </w:rPr>
  </w:style>
  <w:style w:type="character" w:customStyle="1" w:styleId="CommentSubjectChar">
    <w:name w:val="Comment Subject Char"/>
    <w:basedOn w:val="CommentTextChar"/>
    <w:link w:val="CommentSubject"/>
    <w:uiPriority w:val="99"/>
    <w:semiHidden/>
    <w:rsid w:val="0032488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928012">
      <w:bodyDiv w:val="1"/>
      <w:marLeft w:val="0"/>
      <w:marRight w:val="0"/>
      <w:marTop w:val="0"/>
      <w:marBottom w:val="0"/>
      <w:divBdr>
        <w:top w:val="none" w:sz="0" w:space="0" w:color="auto"/>
        <w:left w:val="none" w:sz="0" w:space="0" w:color="auto"/>
        <w:bottom w:val="none" w:sz="0" w:space="0" w:color="auto"/>
        <w:right w:val="none" w:sz="0" w:space="0" w:color="auto"/>
      </w:divBdr>
      <w:divsChild>
        <w:div w:id="1498502245">
          <w:marLeft w:val="0"/>
          <w:marRight w:val="0"/>
          <w:marTop w:val="0"/>
          <w:marBottom w:val="0"/>
          <w:divBdr>
            <w:top w:val="none" w:sz="0" w:space="0" w:color="auto"/>
            <w:left w:val="none" w:sz="0" w:space="0" w:color="auto"/>
            <w:bottom w:val="none" w:sz="0" w:space="0" w:color="auto"/>
            <w:right w:val="none" w:sz="0" w:space="0" w:color="auto"/>
          </w:divBdr>
          <w:divsChild>
            <w:div w:id="596250827">
              <w:marLeft w:val="0"/>
              <w:marRight w:val="0"/>
              <w:marTop w:val="0"/>
              <w:marBottom w:val="0"/>
              <w:divBdr>
                <w:top w:val="none" w:sz="0" w:space="0" w:color="auto"/>
                <w:left w:val="single" w:sz="6" w:space="0" w:color="E2E2E2"/>
                <w:bottom w:val="none" w:sz="0" w:space="0" w:color="auto"/>
                <w:right w:val="single" w:sz="6" w:space="0" w:color="E2E2E2"/>
              </w:divBdr>
              <w:divsChild>
                <w:div w:id="1978224683">
                  <w:marLeft w:val="0"/>
                  <w:marRight w:val="0"/>
                  <w:marTop w:val="0"/>
                  <w:marBottom w:val="0"/>
                  <w:divBdr>
                    <w:top w:val="none" w:sz="0" w:space="0" w:color="auto"/>
                    <w:left w:val="none" w:sz="0" w:space="0" w:color="auto"/>
                    <w:bottom w:val="none" w:sz="0" w:space="0" w:color="auto"/>
                    <w:right w:val="none" w:sz="0" w:space="0" w:color="auto"/>
                  </w:divBdr>
                  <w:divsChild>
                    <w:div w:id="4454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845297">
      <w:bodyDiv w:val="1"/>
      <w:marLeft w:val="0"/>
      <w:marRight w:val="0"/>
      <w:marTop w:val="0"/>
      <w:marBottom w:val="0"/>
      <w:divBdr>
        <w:top w:val="none" w:sz="0" w:space="0" w:color="auto"/>
        <w:left w:val="none" w:sz="0" w:space="0" w:color="auto"/>
        <w:bottom w:val="none" w:sz="0" w:space="0" w:color="auto"/>
        <w:right w:val="none" w:sz="0" w:space="0" w:color="auto"/>
      </w:divBdr>
      <w:divsChild>
        <w:div w:id="512720447">
          <w:marLeft w:val="0"/>
          <w:marRight w:val="0"/>
          <w:marTop w:val="0"/>
          <w:marBottom w:val="0"/>
          <w:divBdr>
            <w:top w:val="none" w:sz="0" w:space="0" w:color="auto"/>
            <w:left w:val="none" w:sz="0" w:space="0" w:color="auto"/>
            <w:bottom w:val="none" w:sz="0" w:space="0" w:color="auto"/>
            <w:right w:val="none" w:sz="0" w:space="0" w:color="auto"/>
          </w:divBdr>
          <w:divsChild>
            <w:div w:id="1868332395">
              <w:marLeft w:val="0"/>
              <w:marRight w:val="0"/>
              <w:marTop w:val="0"/>
              <w:marBottom w:val="0"/>
              <w:divBdr>
                <w:top w:val="none" w:sz="0" w:space="0" w:color="auto"/>
                <w:left w:val="single" w:sz="6" w:space="0" w:color="E2E2E2"/>
                <w:bottom w:val="none" w:sz="0" w:space="0" w:color="auto"/>
                <w:right w:val="single" w:sz="6" w:space="0" w:color="E2E2E2"/>
              </w:divBdr>
              <w:divsChild>
                <w:div w:id="1116028258">
                  <w:marLeft w:val="0"/>
                  <w:marRight w:val="0"/>
                  <w:marTop w:val="0"/>
                  <w:marBottom w:val="0"/>
                  <w:divBdr>
                    <w:top w:val="none" w:sz="0" w:space="0" w:color="auto"/>
                    <w:left w:val="none" w:sz="0" w:space="0" w:color="auto"/>
                    <w:bottom w:val="none" w:sz="0" w:space="0" w:color="auto"/>
                    <w:right w:val="none" w:sz="0" w:space="0" w:color="auto"/>
                  </w:divBdr>
                  <w:divsChild>
                    <w:div w:id="9448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F0502-E16E-4931-9CF9-4059ED36A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2650</Words>
  <Characters>15111</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17726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tqs7</dc:creator>
  <cp:lastModifiedBy>Marsh, Carol E. (CDC/OPHPR/OD)</cp:lastModifiedBy>
  <cp:revision>2</cp:revision>
  <cp:lastPrinted>2013-11-01T19:21:00Z</cp:lastPrinted>
  <dcterms:created xsi:type="dcterms:W3CDTF">2013-11-08T19:21:00Z</dcterms:created>
  <dcterms:modified xsi:type="dcterms:W3CDTF">2013-11-08T19:21:00Z</dcterms:modified>
</cp:coreProperties>
</file>