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0FC55" w14:textId="77777777" w:rsidR="004316FF" w:rsidRPr="00255AEB" w:rsidRDefault="004316FF" w:rsidP="004316FF">
      <w:pPr>
        <w:jc w:val="center"/>
        <w:rPr>
          <w:b/>
          <w:sz w:val="36"/>
          <w:szCs w:val="36"/>
        </w:rPr>
      </w:pPr>
      <w:bookmarkStart w:id="0" w:name="_Toc12183287"/>
      <w:bookmarkStart w:id="1" w:name="_GoBack"/>
      <w:r w:rsidRPr="00255AEB">
        <w:rPr>
          <w:b/>
          <w:sz w:val="36"/>
          <w:szCs w:val="36"/>
        </w:rPr>
        <w:t>Older Adult Safe Mobility Assessment Tool</w:t>
      </w:r>
    </w:p>
    <w:bookmarkEnd w:id="1"/>
    <w:p w14:paraId="48BD39CC" w14:textId="77777777" w:rsidR="00DE0924" w:rsidRPr="00E33370" w:rsidRDefault="00DE0924" w:rsidP="00DE0924">
      <w:pPr>
        <w:pStyle w:val="Heading7"/>
        <w:jc w:val="center"/>
        <w:rPr>
          <w:rFonts w:ascii="Times New Roman" w:hAnsi="Times New Roman" w:cs="Times New Roman"/>
          <w:b/>
          <w:sz w:val="28"/>
          <w:szCs w:val="28"/>
        </w:rPr>
      </w:pPr>
    </w:p>
    <w:p w14:paraId="1E5F16B0" w14:textId="77777777" w:rsidR="00DE0924" w:rsidRPr="00E33370" w:rsidRDefault="00DE0924" w:rsidP="00DE0924"/>
    <w:p w14:paraId="40F60DAB" w14:textId="77777777" w:rsidR="00DE0924" w:rsidRPr="00E33370" w:rsidRDefault="00DE0924" w:rsidP="00DE0924"/>
    <w:p w14:paraId="3A7727A6" w14:textId="77777777" w:rsidR="00DE0924" w:rsidRPr="00E33370" w:rsidRDefault="00DE0924" w:rsidP="00DE0924"/>
    <w:p w14:paraId="0838CC92" w14:textId="77777777" w:rsidR="00DE0924" w:rsidRPr="00E33370" w:rsidRDefault="00DE0924" w:rsidP="00DE0924"/>
    <w:p w14:paraId="060CB889" w14:textId="77777777" w:rsidR="00DE0924" w:rsidRPr="00E33370" w:rsidRDefault="00DE0924" w:rsidP="00DE0924"/>
    <w:p w14:paraId="31101BCA" w14:textId="77777777" w:rsidR="00DE0924" w:rsidRPr="00E33370" w:rsidRDefault="00DE0924" w:rsidP="00DE0924">
      <w:pPr>
        <w:pStyle w:val="Heading7"/>
        <w:jc w:val="center"/>
        <w:rPr>
          <w:rFonts w:ascii="Times New Roman" w:hAnsi="Times New Roman" w:cs="Times New Roman"/>
          <w:sz w:val="28"/>
          <w:szCs w:val="28"/>
        </w:rPr>
      </w:pPr>
      <w:r w:rsidRPr="00E33370">
        <w:rPr>
          <w:rStyle w:val="Heading11"/>
          <w:sz w:val="28"/>
          <w:szCs w:val="28"/>
        </w:rPr>
        <w:t xml:space="preserve">SUPPORTING STATEMENT:  </w:t>
      </w:r>
      <w:r w:rsidRPr="00E33370">
        <w:rPr>
          <w:rFonts w:ascii="Times New Roman" w:hAnsi="Times New Roman" w:cs="Times New Roman"/>
          <w:sz w:val="28"/>
          <w:szCs w:val="28"/>
        </w:rPr>
        <w:t>PART B</w:t>
      </w:r>
    </w:p>
    <w:p w14:paraId="5206DAD1" w14:textId="77777777" w:rsidR="00DE0924" w:rsidRPr="00E33370" w:rsidRDefault="00DE0924" w:rsidP="00DE0924"/>
    <w:p w14:paraId="6C0553DF" w14:textId="77777777" w:rsidR="00DE0924" w:rsidRPr="00E33370" w:rsidRDefault="00DE0924" w:rsidP="00DE0924">
      <w:pPr>
        <w:pStyle w:val="Heading7"/>
        <w:jc w:val="center"/>
        <w:rPr>
          <w:rFonts w:ascii="Times New Roman" w:hAnsi="Times New Roman" w:cs="Times New Roman"/>
        </w:rPr>
      </w:pPr>
      <w:r w:rsidRPr="00E33370">
        <w:rPr>
          <w:rFonts w:ascii="Times New Roman" w:hAnsi="Times New Roman" w:cs="Times New Roman"/>
        </w:rPr>
        <w:t>OMB No. 0920-XXXX</w:t>
      </w:r>
    </w:p>
    <w:p w14:paraId="236F8AF3" w14:textId="77777777" w:rsidR="00DE0924" w:rsidRPr="00E33370" w:rsidRDefault="00DE0924" w:rsidP="00DE0924"/>
    <w:p w14:paraId="0932465A" w14:textId="77777777" w:rsidR="00DE0924" w:rsidRPr="00E33370" w:rsidRDefault="00DE0924" w:rsidP="00DE0924"/>
    <w:p w14:paraId="68C19567" w14:textId="77777777" w:rsidR="00DE0924" w:rsidRPr="00E33370" w:rsidRDefault="00DE0924" w:rsidP="00DE0924">
      <w:pPr>
        <w:pStyle w:val="Heading7"/>
        <w:jc w:val="center"/>
        <w:rPr>
          <w:rFonts w:ascii="Times New Roman" w:hAnsi="Times New Roman" w:cs="Times New Roman"/>
        </w:rPr>
      </w:pPr>
    </w:p>
    <w:p w14:paraId="658D7EC9" w14:textId="77777777" w:rsidR="00DE0924" w:rsidRPr="00E33370" w:rsidRDefault="00DE0924" w:rsidP="00DE0924">
      <w:pPr>
        <w:pStyle w:val="Heading7"/>
        <w:jc w:val="center"/>
        <w:rPr>
          <w:rFonts w:ascii="Times New Roman" w:hAnsi="Times New Roman" w:cs="Times New Roman"/>
        </w:rPr>
      </w:pPr>
      <w:r w:rsidRPr="00E33370">
        <w:rPr>
          <w:rFonts w:ascii="Times New Roman" w:hAnsi="Times New Roman" w:cs="Times New Roman"/>
        </w:rPr>
        <w:t>Submitted by:</w:t>
      </w:r>
    </w:p>
    <w:p w14:paraId="0045D438" w14:textId="77777777" w:rsidR="00DE0924" w:rsidRPr="00E33370" w:rsidRDefault="00DE0924" w:rsidP="00DE0924">
      <w:pPr>
        <w:ind w:left="360"/>
        <w:jc w:val="center"/>
        <w:rPr>
          <w:sz w:val="20"/>
        </w:rPr>
      </w:pPr>
    </w:p>
    <w:p w14:paraId="11EB0ABD" w14:textId="77777777" w:rsidR="00DE0924" w:rsidRPr="00E33370" w:rsidRDefault="00DE0924" w:rsidP="00DE0924">
      <w:pPr>
        <w:ind w:left="360"/>
        <w:jc w:val="center"/>
        <w:rPr>
          <w:b/>
          <w:sz w:val="20"/>
        </w:rPr>
      </w:pPr>
    </w:p>
    <w:p w14:paraId="0107B674" w14:textId="58D5E8E3" w:rsidR="004316FF" w:rsidRDefault="006C621A" w:rsidP="004316FF">
      <w:pPr>
        <w:ind w:left="360"/>
        <w:jc w:val="center"/>
        <w:rPr>
          <w:b/>
        </w:rPr>
      </w:pPr>
      <w:r>
        <w:rPr>
          <w:b/>
        </w:rPr>
        <w:t>Gwen Bergen</w:t>
      </w:r>
    </w:p>
    <w:p w14:paraId="033D0780" w14:textId="57556B8D" w:rsidR="00BB6119" w:rsidRPr="00E33370" w:rsidRDefault="00BB6119" w:rsidP="004316FF">
      <w:pPr>
        <w:ind w:left="360"/>
        <w:jc w:val="center"/>
        <w:rPr>
          <w:b/>
        </w:rPr>
      </w:pPr>
      <w:r>
        <w:rPr>
          <w:b/>
        </w:rPr>
        <w:t>Behavioral Scientist</w:t>
      </w:r>
    </w:p>
    <w:p w14:paraId="1FEF2E0E" w14:textId="77777777" w:rsidR="004316FF" w:rsidRPr="00E33370" w:rsidRDefault="004316FF" w:rsidP="004316FF">
      <w:pPr>
        <w:ind w:left="360"/>
        <w:jc w:val="center"/>
      </w:pPr>
      <w:r w:rsidRPr="00E33370">
        <w:t xml:space="preserve">Department of Health and Human Services </w:t>
      </w:r>
    </w:p>
    <w:p w14:paraId="35C697AD" w14:textId="5FDAB019" w:rsidR="004316FF" w:rsidRPr="00E33370" w:rsidRDefault="004316FF" w:rsidP="004316FF">
      <w:pPr>
        <w:ind w:left="360"/>
        <w:jc w:val="center"/>
      </w:pPr>
      <w:r w:rsidRPr="00E33370">
        <w:t>Center</w:t>
      </w:r>
      <w:r w:rsidR="0073563C">
        <w:t>s</w:t>
      </w:r>
      <w:r w:rsidRPr="00E33370">
        <w:t xml:space="preserve"> for Disease Control and Prevention</w:t>
      </w:r>
    </w:p>
    <w:p w14:paraId="1EB58F08" w14:textId="77777777" w:rsidR="004316FF" w:rsidRPr="00E33370" w:rsidRDefault="004316FF" w:rsidP="004316FF">
      <w:pPr>
        <w:ind w:left="360"/>
        <w:jc w:val="center"/>
      </w:pPr>
      <w:r w:rsidRPr="00E33370">
        <w:t>National Center for Injury Prevention and Control</w:t>
      </w:r>
    </w:p>
    <w:p w14:paraId="363CEED0" w14:textId="77777777" w:rsidR="004316FF" w:rsidRPr="00E33370" w:rsidRDefault="004316FF" w:rsidP="004316FF">
      <w:pPr>
        <w:ind w:left="360"/>
        <w:jc w:val="center"/>
      </w:pPr>
      <w:r w:rsidRPr="00E33370">
        <w:t>Division of Unintentional Injury Prevention</w:t>
      </w:r>
    </w:p>
    <w:p w14:paraId="5AA27149" w14:textId="77777777" w:rsidR="004316FF" w:rsidRPr="00E33370" w:rsidRDefault="004316FF" w:rsidP="004316FF">
      <w:pPr>
        <w:ind w:left="360"/>
        <w:jc w:val="center"/>
        <w:rPr>
          <w:bCs/>
        </w:rPr>
      </w:pPr>
      <w:r w:rsidRPr="00E33370">
        <w:rPr>
          <w:bCs/>
        </w:rPr>
        <w:t xml:space="preserve">4770 Buford Highway, NE MS F-62 </w:t>
      </w:r>
      <w:r w:rsidRPr="00E33370">
        <w:rPr>
          <w:bCs/>
        </w:rPr>
        <w:br/>
        <w:t>Atlanta, GA  30341-3717</w:t>
      </w:r>
    </w:p>
    <w:p w14:paraId="24E0E18D" w14:textId="215423C2" w:rsidR="004316FF" w:rsidRPr="00E33370" w:rsidRDefault="004316FF" w:rsidP="004316FF">
      <w:pPr>
        <w:ind w:left="720"/>
        <w:jc w:val="center"/>
        <w:rPr>
          <w:color w:val="1F497D"/>
        </w:rPr>
      </w:pPr>
      <w:r w:rsidRPr="00E33370">
        <w:t>Phone: 770-488-</w:t>
      </w:r>
      <w:r w:rsidR="006C621A">
        <w:t>1394</w:t>
      </w:r>
      <w:r w:rsidRPr="00E33370">
        <w:t>; Fax: 770-488-1317</w:t>
      </w:r>
    </w:p>
    <w:p w14:paraId="6239A481" w14:textId="33EC9468" w:rsidR="004316FF" w:rsidRPr="00E33370" w:rsidRDefault="004316FF" w:rsidP="004316FF">
      <w:pPr>
        <w:ind w:left="360"/>
        <w:jc w:val="center"/>
        <w:rPr>
          <w:bCs/>
          <w:highlight w:val="yellow"/>
        </w:rPr>
      </w:pPr>
      <w:r w:rsidRPr="00E33370">
        <w:t xml:space="preserve">E-mail: </w:t>
      </w:r>
      <w:r w:rsidR="006C621A">
        <w:t>GBergen</w:t>
      </w:r>
      <w:r w:rsidRPr="00E33370">
        <w:t>@cdc.gov</w:t>
      </w:r>
    </w:p>
    <w:p w14:paraId="5868D13D" w14:textId="77777777" w:rsidR="00DE0924" w:rsidRPr="00E33370" w:rsidRDefault="00DE0924" w:rsidP="00DE0924">
      <w:pPr>
        <w:jc w:val="center"/>
      </w:pPr>
    </w:p>
    <w:p w14:paraId="482FEBF9" w14:textId="77777777" w:rsidR="00DE0924" w:rsidRPr="00E33370" w:rsidRDefault="00DE0924" w:rsidP="00DE0924">
      <w:pPr>
        <w:pStyle w:val="Heading7"/>
        <w:jc w:val="center"/>
        <w:rPr>
          <w:rFonts w:ascii="Times New Roman" w:hAnsi="Times New Roman" w:cs="Times New Roman"/>
        </w:rPr>
      </w:pPr>
    </w:p>
    <w:p w14:paraId="717C8EFD" w14:textId="77777777" w:rsidR="00DE0924" w:rsidRPr="00E33370" w:rsidRDefault="00DE0924" w:rsidP="00DE0924">
      <w:pPr>
        <w:jc w:val="center"/>
        <w:rPr>
          <w:b/>
        </w:rPr>
      </w:pPr>
      <w:r w:rsidRPr="00E33370">
        <w:br/>
      </w:r>
    </w:p>
    <w:p w14:paraId="52867074" w14:textId="160625D6" w:rsidR="004316FF" w:rsidRPr="00E33370" w:rsidRDefault="0063166F" w:rsidP="004316FF">
      <w:pPr>
        <w:jc w:val="center"/>
        <w:rPr>
          <w:b/>
        </w:rPr>
      </w:pPr>
      <w:r>
        <w:rPr>
          <w:b/>
        </w:rPr>
        <w:t xml:space="preserve">August </w:t>
      </w:r>
      <w:r w:rsidR="006C621A">
        <w:rPr>
          <w:b/>
        </w:rPr>
        <w:t>30</w:t>
      </w:r>
      <w:r>
        <w:rPr>
          <w:b/>
        </w:rPr>
        <w:t>, 2013</w:t>
      </w:r>
    </w:p>
    <w:p w14:paraId="0A94E564" w14:textId="77777777" w:rsidR="00DE0924" w:rsidRPr="00E33370" w:rsidRDefault="00DE0924" w:rsidP="00DE0924">
      <w:pPr>
        <w:jc w:val="center"/>
        <w:rPr>
          <w:b/>
        </w:rPr>
      </w:pPr>
    </w:p>
    <w:p w14:paraId="0D30D93D" w14:textId="77777777" w:rsidR="00A3509B" w:rsidRPr="00E33370" w:rsidRDefault="00A3509B" w:rsidP="00D220F2">
      <w:pPr>
        <w:suppressLineNumbers/>
        <w:jc w:val="center"/>
        <w:rPr>
          <w:caps/>
        </w:rPr>
      </w:pPr>
      <w:r w:rsidRPr="00E33370">
        <w:rPr>
          <w:sz w:val="32"/>
          <w:szCs w:val="32"/>
        </w:rPr>
        <w:br w:type="page"/>
      </w:r>
      <w:bookmarkStart w:id="2" w:name="_Toc12183265"/>
      <w:r w:rsidRPr="00E33370">
        <w:rPr>
          <w:caps/>
        </w:rPr>
        <w:lastRenderedPageBreak/>
        <w:t>Table of Contents</w:t>
      </w:r>
      <w:bookmarkEnd w:id="2"/>
    </w:p>
    <w:p w14:paraId="260ABD92" w14:textId="77777777" w:rsidR="00A3509B" w:rsidRPr="00E33370" w:rsidRDefault="00A3509B" w:rsidP="00D220F2">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jc w:val="center"/>
      </w:pPr>
    </w:p>
    <w:p w14:paraId="05175DAA" w14:textId="77777777" w:rsidR="00A3509B" w:rsidRPr="00E33370" w:rsidRDefault="00A3509B" w:rsidP="00D220F2">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pPr>
      <w:r w:rsidRPr="00E33370">
        <w:tab/>
      </w:r>
      <w:r w:rsidRPr="00E33370">
        <w:tab/>
      </w:r>
      <w:r w:rsidRPr="00E33370">
        <w:tab/>
      </w:r>
      <w:r w:rsidRPr="00E33370">
        <w:tab/>
      </w:r>
      <w:r w:rsidRPr="00E33370">
        <w:tab/>
      </w:r>
      <w:r w:rsidRPr="00E33370">
        <w:tab/>
      </w:r>
      <w:r w:rsidRPr="00E33370">
        <w:tab/>
      </w:r>
      <w:r w:rsidRPr="00E33370">
        <w:tab/>
      </w:r>
      <w:r w:rsidRPr="00E33370">
        <w:tab/>
      </w:r>
      <w:r w:rsidRPr="00E33370">
        <w:tab/>
      </w:r>
      <w:r w:rsidRPr="00E33370">
        <w:tab/>
      </w:r>
      <w:r w:rsidRPr="00E33370">
        <w:tab/>
      </w:r>
      <w:r w:rsidRPr="00E33370">
        <w:tab/>
        <w:t xml:space="preserve">        </w:t>
      </w:r>
      <w:r w:rsidRPr="00E33370">
        <w:tab/>
      </w:r>
      <w:r w:rsidRPr="00E33370">
        <w:tab/>
      </w:r>
      <w:r w:rsidRPr="00E33370">
        <w:tab/>
      </w:r>
    </w:p>
    <w:p w14:paraId="6C70EB24" w14:textId="77777777" w:rsidR="00A3509B" w:rsidRPr="00E33370"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rPr>
          <w:caps/>
        </w:rPr>
      </w:pPr>
      <w:r w:rsidRPr="00E33370">
        <w:rPr>
          <w:b/>
          <w:bCs/>
        </w:rPr>
        <w:t>B</w:t>
      </w:r>
      <w:r w:rsidRPr="00E33370">
        <w:t>.</w:t>
      </w:r>
      <w:r w:rsidRPr="00E33370">
        <w:tab/>
      </w:r>
      <w:r w:rsidRPr="00E33370">
        <w:rPr>
          <w:b/>
          <w:bCs/>
          <w:caps/>
        </w:rPr>
        <w:t>Collections of Information Employing statistical procedures</w:t>
      </w:r>
    </w:p>
    <w:p w14:paraId="42F9C09C" w14:textId="77777777" w:rsidR="00A3509B" w:rsidRPr="00E33370"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33370">
        <w:t>1.</w:t>
      </w:r>
      <w:r w:rsidRPr="00E33370">
        <w:tab/>
        <w:t>Respondent Universe and Sampling Methods</w:t>
      </w:r>
    </w:p>
    <w:p w14:paraId="025EF652" w14:textId="77777777" w:rsidR="00A3509B" w:rsidRPr="00E33370"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33370">
        <w:t>2.</w:t>
      </w:r>
      <w:r w:rsidRPr="00E33370">
        <w:tab/>
        <w:t>Procedures for the Collection of Information</w:t>
      </w:r>
    </w:p>
    <w:p w14:paraId="101C4C82" w14:textId="77777777" w:rsidR="00A3509B" w:rsidRPr="00E33370"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33370">
        <w:t>3.</w:t>
      </w:r>
      <w:r w:rsidRPr="00E33370">
        <w:tab/>
        <w:t>Methods to Maximize Response Rates and Deal with Non-Response</w:t>
      </w:r>
    </w:p>
    <w:p w14:paraId="28AFCADB" w14:textId="77777777" w:rsidR="00A3509B" w:rsidRPr="00E33370"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E33370">
        <w:t>4.</w:t>
      </w:r>
      <w:r w:rsidRPr="00E33370">
        <w:tab/>
        <w:t xml:space="preserve">Test of Procedures or Methods to be </w:t>
      </w:r>
      <w:proofErr w:type="gramStart"/>
      <w:r w:rsidRPr="00E33370">
        <w:t>Undertaken</w:t>
      </w:r>
      <w:proofErr w:type="gramEnd"/>
    </w:p>
    <w:p w14:paraId="7B0603CE" w14:textId="77777777" w:rsidR="00A3509B" w:rsidRPr="00E33370" w:rsidRDefault="00A3509B" w:rsidP="00D220F2">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E33370">
        <w:t>5.</w:t>
      </w:r>
      <w:r w:rsidRPr="00E33370">
        <w:tab/>
        <w:t>Individuals consulted on Statistical Aspects and Individuals collecting and/or analyzing information</w:t>
      </w:r>
    </w:p>
    <w:p w14:paraId="30CCE448" w14:textId="77777777" w:rsidR="0038223F" w:rsidRPr="00E33370" w:rsidRDefault="0038223F" w:rsidP="00D220F2">
      <w:pPr>
        <w:suppressLineNumbers/>
        <w:rPr>
          <w:b/>
          <w:bCs/>
        </w:rPr>
        <w:sectPr w:rsidR="0038223F" w:rsidRPr="00E33370" w:rsidSect="00B64BF6">
          <w:footerReference w:type="even" r:id="rId9"/>
          <w:footerReference w:type="default" r:id="rId10"/>
          <w:pgSz w:w="12240" w:h="15840" w:code="1"/>
          <w:pgMar w:top="1440" w:right="1440" w:bottom="1440" w:left="1440" w:header="720" w:footer="720" w:gutter="0"/>
          <w:pgNumType w:fmt="lowerRoman" w:start="1"/>
          <w:cols w:space="720"/>
          <w:titlePg/>
          <w:docGrid w:linePitch="360"/>
        </w:sectPr>
      </w:pPr>
    </w:p>
    <w:p w14:paraId="3F5E6E1B" w14:textId="77777777" w:rsidR="006F050E" w:rsidRPr="00E33370" w:rsidRDefault="006F050E" w:rsidP="001E284F">
      <w:pPr>
        <w:rPr>
          <w:b/>
        </w:rPr>
      </w:pPr>
      <w:r w:rsidRPr="00E33370">
        <w:rPr>
          <w:b/>
        </w:rPr>
        <w:lastRenderedPageBreak/>
        <w:t>B. Collections of Information Employing Statistical Methods</w:t>
      </w:r>
      <w:bookmarkEnd w:id="0"/>
    </w:p>
    <w:p w14:paraId="24B2D462" w14:textId="77777777" w:rsidR="006F050E" w:rsidRPr="00E33370" w:rsidRDefault="006F050E" w:rsidP="001E284F">
      <w:pPr>
        <w:rPr>
          <w:b/>
        </w:rPr>
      </w:pPr>
      <w:r w:rsidRPr="00E33370">
        <w:rPr>
          <w:b/>
        </w:rPr>
        <w:t xml:space="preserve">        </w:t>
      </w:r>
    </w:p>
    <w:p w14:paraId="7B8A6D85" w14:textId="77777777" w:rsidR="006F050E" w:rsidRPr="00E33370" w:rsidRDefault="006F050E" w:rsidP="001E284F">
      <w:pPr>
        <w:rPr>
          <w:b/>
        </w:rPr>
      </w:pPr>
      <w:bookmarkStart w:id="3" w:name="_Toc12183288"/>
      <w:bookmarkStart w:id="4" w:name="_Toc14160670"/>
      <w:r w:rsidRPr="00E33370">
        <w:rPr>
          <w:b/>
        </w:rPr>
        <w:t xml:space="preserve">B.1. Respondent </w:t>
      </w:r>
      <w:r w:rsidR="004B5F48" w:rsidRPr="00E33370">
        <w:rPr>
          <w:b/>
        </w:rPr>
        <w:t xml:space="preserve">Universe </w:t>
      </w:r>
      <w:r w:rsidRPr="00E33370">
        <w:rPr>
          <w:b/>
        </w:rPr>
        <w:t>and Sampling Methods</w:t>
      </w:r>
      <w:bookmarkEnd w:id="3"/>
      <w:bookmarkEnd w:id="4"/>
    </w:p>
    <w:p w14:paraId="089870D2" w14:textId="77777777" w:rsidR="004B5F48" w:rsidRPr="00E33370" w:rsidRDefault="004B5F48" w:rsidP="001E284F"/>
    <w:p w14:paraId="5B2CD22C" w14:textId="607BC1EF" w:rsidR="007F06A3" w:rsidRPr="00E33370" w:rsidRDefault="00C2151A" w:rsidP="001E284F">
      <w:pPr>
        <w:rPr>
          <w:color w:val="000000"/>
        </w:rPr>
      </w:pPr>
      <w:r w:rsidRPr="00E33370">
        <w:rPr>
          <w:color w:val="000000"/>
        </w:rPr>
        <w:t>This project will involve a variety of qualitative and quantitative methods over two primary data collection stages. First, qualitative data collection will include key inf</w:t>
      </w:r>
      <w:r w:rsidR="00E1024B" w:rsidRPr="00E33370">
        <w:rPr>
          <w:color w:val="000000"/>
        </w:rPr>
        <w:t>ormant interviews, focus groups and intercepts in ur</w:t>
      </w:r>
      <w:r w:rsidR="00226866" w:rsidRPr="00E33370">
        <w:rPr>
          <w:color w:val="000000"/>
        </w:rPr>
        <w:t>ban and rural communities</w:t>
      </w:r>
      <w:r w:rsidR="00E1024B" w:rsidRPr="00E33370">
        <w:rPr>
          <w:color w:val="000000"/>
        </w:rPr>
        <w:t xml:space="preserve">: </w:t>
      </w:r>
    </w:p>
    <w:p w14:paraId="6187D06D" w14:textId="77777777" w:rsidR="004316FF" w:rsidRPr="00E33370" w:rsidRDefault="004316FF" w:rsidP="001E284F">
      <w:pPr>
        <w:rPr>
          <w:color w:val="000000"/>
        </w:rPr>
      </w:pPr>
    </w:p>
    <w:p w14:paraId="3253DBC3" w14:textId="77777777" w:rsidR="004D30E4" w:rsidRPr="00E33370" w:rsidRDefault="004D30E4" w:rsidP="00920D03">
      <w:pPr>
        <w:pStyle w:val="ListParagraph"/>
        <w:numPr>
          <w:ilvl w:val="0"/>
          <w:numId w:val="24"/>
        </w:numPr>
      </w:pPr>
      <w:r w:rsidRPr="00E33370">
        <w:t xml:space="preserve">Key informant interviews of community stakeholders in 2 states with 3 people each- California and Illinois- for a total of 6 key informant interviews </w:t>
      </w:r>
    </w:p>
    <w:p w14:paraId="56228C79" w14:textId="69A208D3" w:rsidR="004D30E4" w:rsidRPr="00E33370" w:rsidRDefault="004D30E4" w:rsidP="00920D03">
      <w:pPr>
        <w:pStyle w:val="ListParagraph"/>
        <w:numPr>
          <w:ilvl w:val="0"/>
          <w:numId w:val="24"/>
        </w:numPr>
      </w:pPr>
      <w:r w:rsidRPr="00E33370">
        <w:t xml:space="preserve">Two older adult consumer in-person focus groups in urban locales with 7 </w:t>
      </w:r>
      <w:r w:rsidR="00B858C9" w:rsidRPr="00E33370">
        <w:t xml:space="preserve">older adults </w:t>
      </w:r>
      <w:r w:rsidRPr="00E33370">
        <w:t xml:space="preserve">each, one in California (San Diego) and one in Illinois (Chicago)- for a total of 14 </w:t>
      </w:r>
      <w:r w:rsidR="00B858C9" w:rsidRPr="00E33370">
        <w:t>older adults</w:t>
      </w:r>
      <w:r w:rsidRPr="00E33370">
        <w:t>.</w:t>
      </w:r>
    </w:p>
    <w:p w14:paraId="0673E67C" w14:textId="4A98D96E" w:rsidR="004D30E4" w:rsidRPr="00E33370" w:rsidRDefault="004D30E4" w:rsidP="00920D03">
      <w:pPr>
        <w:pStyle w:val="ListParagraph"/>
        <w:numPr>
          <w:ilvl w:val="0"/>
          <w:numId w:val="24"/>
        </w:numPr>
      </w:pPr>
      <w:r w:rsidRPr="00E33370">
        <w:t xml:space="preserve">40 older adult consumer </w:t>
      </w:r>
      <w:proofErr w:type="gramStart"/>
      <w:r w:rsidRPr="00E33370">
        <w:t>in-person</w:t>
      </w:r>
      <w:proofErr w:type="gramEnd"/>
      <w:r w:rsidRPr="00E33370">
        <w:t xml:space="preserve"> intercepts in 2 rural locations (Alpine, CA and Kankakee, Illinois) with 15 </w:t>
      </w:r>
      <w:r w:rsidR="00B858C9" w:rsidRPr="00E33370">
        <w:t xml:space="preserve">older adults </w:t>
      </w:r>
      <w:r w:rsidRPr="00E33370">
        <w:t xml:space="preserve">in each and 2 urban locations (San Diego, CA and Chicago, Illinois) with 5 </w:t>
      </w:r>
      <w:r w:rsidR="00B858C9" w:rsidRPr="00E33370">
        <w:t xml:space="preserve">older adults </w:t>
      </w:r>
      <w:r w:rsidRPr="00E33370">
        <w:t>each.</w:t>
      </w:r>
    </w:p>
    <w:p w14:paraId="0B8577AB" w14:textId="77777777" w:rsidR="00920D03" w:rsidRPr="00E33370" w:rsidRDefault="00920D03" w:rsidP="001E284F"/>
    <w:p w14:paraId="5FA70162" w14:textId="1EF8B415" w:rsidR="00920D03" w:rsidRPr="00E33370" w:rsidRDefault="00920D03" w:rsidP="00920D03">
      <w:r w:rsidRPr="00E33370">
        <w:t>The respondent universe for the key informant interviews will include community stakeholders and service providers who are knowledgeable, local experts on older adult mobility issues and can help inform the S</w:t>
      </w:r>
      <w:r w:rsidR="0007704F">
        <w:t xml:space="preserve">trategic </w:t>
      </w:r>
      <w:r w:rsidRPr="00E33370">
        <w:t>e</w:t>
      </w:r>
      <w:r w:rsidR="0007704F">
        <w:t>-</w:t>
      </w:r>
      <w:r w:rsidRPr="00E33370">
        <w:t>B</w:t>
      </w:r>
      <w:r w:rsidR="0007704F">
        <w:t xml:space="preserve">usiness </w:t>
      </w:r>
      <w:r w:rsidRPr="00E33370">
        <w:t>S</w:t>
      </w:r>
      <w:r w:rsidR="00E41B78">
        <w:t>olutions, Inc.</w:t>
      </w:r>
      <w:r w:rsidR="0007704F">
        <w:t xml:space="preserve"> (</w:t>
      </w:r>
      <w:proofErr w:type="spellStart"/>
      <w:r w:rsidR="0007704F">
        <w:t>SeBS</w:t>
      </w:r>
      <w:proofErr w:type="spellEnd"/>
      <w:r w:rsidR="0007704F">
        <w:t>)</w:t>
      </w:r>
      <w:r w:rsidRPr="00E33370">
        <w:t>/</w:t>
      </w:r>
      <w:r w:rsidR="00E41B78">
        <w:t xml:space="preserve"> </w:t>
      </w:r>
      <w:proofErr w:type="spellStart"/>
      <w:r w:rsidRPr="00E33370">
        <w:t>R</w:t>
      </w:r>
      <w:r w:rsidR="0007704F">
        <w:t>esearchWorks</w:t>
      </w:r>
      <w:proofErr w:type="spellEnd"/>
      <w:r w:rsidR="0007704F">
        <w:t xml:space="preserve">, </w:t>
      </w:r>
      <w:r w:rsidRPr="00E33370">
        <w:t>I</w:t>
      </w:r>
      <w:r w:rsidR="0007704F">
        <w:t>nc. (RWI)</w:t>
      </w:r>
      <w:r w:rsidRPr="00E33370">
        <w:t xml:space="preserve"> team of localized environmental and socio-economic assets and concerns, as well as advise on intercept locations. Key informants will be located in the metropolitan areas of Chicago, Illinois, and San Diego, California. They will be identified via nominations by the Expert Panelist</w:t>
      </w:r>
      <w:r w:rsidR="00E9493F" w:rsidRPr="00E33370">
        <w:t>s</w:t>
      </w:r>
      <w:r w:rsidRPr="00E33370">
        <w:t xml:space="preserve"> used in prior work on this project (see Supporting Statement A</w:t>
      </w:r>
      <w:r w:rsidR="00E9493F" w:rsidRPr="00E33370">
        <w:t>; Section A.8.B.</w:t>
      </w:r>
      <w:r w:rsidRPr="00E33370">
        <w:t xml:space="preserve">). </w:t>
      </w:r>
    </w:p>
    <w:p w14:paraId="24ECFA60" w14:textId="77777777" w:rsidR="00920D03" w:rsidRPr="00E33370" w:rsidRDefault="00920D03" w:rsidP="00920D03"/>
    <w:p w14:paraId="726FEF83" w14:textId="104125C4" w:rsidR="00920D03" w:rsidRDefault="00920D03" w:rsidP="00920D03">
      <w:r w:rsidRPr="00E33370">
        <w:t xml:space="preserve">The respondent universe for the focus groups, intercepts, and survey will be adults, between the ages of 60-74 who have limited or no existing mobility concerns. </w:t>
      </w:r>
      <w:r w:rsidR="00A9000A">
        <w:t xml:space="preserve">The qualitative research (focus groups and intercepts) is not intended to be generalized to the entire older adult population, and therefore we do not intend to have hard quotas to meet criteria for a nationally representative sample. </w:t>
      </w:r>
      <w:r w:rsidRPr="00E33370">
        <w:t>For the focus groups, the contractor will recruit through local older adult service providers and community agencies with appropriate screening criteria to seat 14 respondents total</w:t>
      </w:r>
      <w:r w:rsidR="00A9000A">
        <w:t xml:space="preserve"> </w:t>
      </w:r>
      <w:r w:rsidR="00A9000A" w:rsidRPr="0083011C">
        <w:t xml:space="preserve">(see </w:t>
      </w:r>
      <w:r w:rsidR="0083011C" w:rsidRPr="0083011C">
        <w:rPr>
          <w:b/>
        </w:rPr>
        <w:t>Attachment E</w:t>
      </w:r>
      <w:r w:rsidR="00A9000A" w:rsidRPr="0083011C">
        <w:t>)</w:t>
      </w:r>
      <w:r w:rsidRPr="0083011C">
        <w:t>.</w:t>
      </w:r>
      <w:r w:rsidRPr="00E33370">
        <w:t xml:space="preserve">  For the intercepts, locations will be selected based upon key informa</w:t>
      </w:r>
      <w:r w:rsidR="00AC5206" w:rsidRPr="00E33370">
        <w:t>nt</w:t>
      </w:r>
      <w:r w:rsidRPr="00E33370">
        <w:t xml:space="preserve"> interview input and will be high-traffic areas for our older adult target population.  </w:t>
      </w:r>
      <w:r w:rsidR="00A9000A">
        <w:t xml:space="preserve">We will recruit a convenience sample, and we will balance intercept respondents to ensure a mix of gender and race </w:t>
      </w:r>
      <w:r w:rsidR="00A9000A" w:rsidRPr="0083011C">
        <w:t xml:space="preserve">(see </w:t>
      </w:r>
      <w:r w:rsidR="0083011C" w:rsidRPr="0083011C">
        <w:rPr>
          <w:b/>
        </w:rPr>
        <w:t>Attachment F</w:t>
      </w:r>
      <w:r w:rsidR="00A9000A" w:rsidRPr="0083011C">
        <w:t>).</w:t>
      </w:r>
    </w:p>
    <w:p w14:paraId="72142AAD" w14:textId="77777777" w:rsidR="00A9000A" w:rsidRPr="00E33370" w:rsidRDefault="00A9000A" w:rsidP="00920D03"/>
    <w:p w14:paraId="2B403CBB" w14:textId="46214A85" w:rsidR="00B858C9" w:rsidRPr="00E33370" w:rsidRDefault="00920D03" w:rsidP="001E284F">
      <w:r w:rsidRPr="00E33370">
        <w:t>Upon completion of the qualitative data collection, and revisions to the Tool based on that research, we will engage in a second stage of research: a q</w:t>
      </w:r>
      <w:r w:rsidR="00B858C9" w:rsidRPr="00E33370">
        <w:t>uantitative telephone survey with a nationwide sample of 1</w:t>
      </w:r>
      <w:r w:rsidR="00E41B78">
        <w:t>,</w:t>
      </w:r>
      <w:r w:rsidR="00B858C9" w:rsidRPr="00E33370">
        <w:t>000 older adults.</w:t>
      </w:r>
    </w:p>
    <w:p w14:paraId="126C3D4B" w14:textId="77777777" w:rsidR="00920D03" w:rsidRPr="00E33370" w:rsidRDefault="00920D03" w:rsidP="001E284F"/>
    <w:p w14:paraId="1D3BFCC2" w14:textId="311EFE87" w:rsidR="00060314" w:rsidRDefault="00B858C9" w:rsidP="001E284F">
      <w:r w:rsidRPr="00E33370">
        <w:t xml:space="preserve">For the telephone survey, the contractor will </w:t>
      </w:r>
      <w:r w:rsidR="00060314" w:rsidRPr="00E33370">
        <w:t>use professional recruiti</w:t>
      </w:r>
      <w:r w:rsidR="00365005" w:rsidRPr="00E33370">
        <w:t xml:space="preserve">ng services to recruit and </w:t>
      </w:r>
      <w:r w:rsidR="00060314" w:rsidRPr="00E33370">
        <w:t>randomly select potential respondents from a national list of phone numbers provided by a leading provider of phone sample lists. The total number of completed surveys will not be less than 1,000</w:t>
      </w:r>
      <w:r w:rsidR="00AC5206" w:rsidRPr="00E33370">
        <w:t xml:space="preserve"> and the sample will be designed to</w:t>
      </w:r>
      <w:r w:rsidR="00060314" w:rsidRPr="00E33370">
        <w:t xml:space="preserve"> achiev</w:t>
      </w:r>
      <w:r w:rsidR="00AC5206" w:rsidRPr="00E33370">
        <w:t>e</w:t>
      </w:r>
      <w:r w:rsidR="001D3F6C" w:rsidRPr="00E33370">
        <w:t xml:space="preserve"> a margin of error (MOE) of +/-4</w:t>
      </w:r>
      <w:r w:rsidR="00060314" w:rsidRPr="00E33370">
        <w:t>% at the 95% confidence interval. As the survey administration includes several stages, sufficient over-recruiting will be implemented to ensure an end sample of N=1,000.</w:t>
      </w:r>
      <w:r w:rsidR="00365005" w:rsidRPr="00E33370">
        <w:t xml:space="preserve">  </w:t>
      </w:r>
      <w:r w:rsidR="00060314" w:rsidRPr="00E33370">
        <w:t>To achieve</w:t>
      </w:r>
      <w:r w:rsidR="00365005" w:rsidRPr="00E33370">
        <w:t xml:space="preserve"> a representative </w:t>
      </w:r>
      <w:r w:rsidR="00365005" w:rsidRPr="00E33370">
        <w:lastRenderedPageBreak/>
        <w:t>end sample, there will be</w:t>
      </w:r>
      <w:r w:rsidR="00060314" w:rsidRPr="00E33370">
        <w:t xml:space="preserve"> soft quotas </w:t>
      </w:r>
      <w:r w:rsidR="00E86E03" w:rsidRPr="0083011C">
        <w:t xml:space="preserve">(see screener in </w:t>
      </w:r>
      <w:r w:rsidR="00E86E03" w:rsidRPr="0083011C">
        <w:rPr>
          <w:b/>
        </w:rPr>
        <w:t xml:space="preserve">Attachment </w:t>
      </w:r>
      <w:r w:rsidR="0083011C" w:rsidRPr="0083011C">
        <w:rPr>
          <w:b/>
        </w:rPr>
        <w:t>G</w:t>
      </w:r>
      <w:r w:rsidR="00E86E03" w:rsidRPr="0083011C">
        <w:t>)</w:t>
      </w:r>
      <w:r w:rsidR="00E86E03">
        <w:t xml:space="preserve"> </w:t>
      </w:r>
      <w:r w:rsidR="00060314" w:rsidRPr="00E33370">
        <w:t xml:space="preserve">to ensure audiences with higher than average response rates are not oversampled while populations with lower than average response rates are not underrepresented. </w:t>
      </w:r>
      <w:r w:rsidR="00365005" w:rsidRPr="00E33370">
        <w:t>If that becomes unduly challenging for the project, weight</w:t>
      </w:r>
      <w:r w:rsidR="00D21B11" w:rsidRPr="00E33370">
        <w:t>s</w:t>
      </w:r>
      <w:r w:rsidR="00365005" w:rsidRPr="00E33370">
        <w:t xml:space="preserve"> will be </w:t>
      </w:r>
      <w:r w:rsidR="00D21B11" w:rsidRPr="00E33370">
        <w:t>introduced</w:t>
      </w:r>
      <w:r w:rsidR="00365005" w:rsidRPr="00E33370">
        <w:t xml:space="preserve"> to compensate</w:t>
      </w:r>
      <w:r w:rsidR="00D21B11" w:rsidRPr="00E33370">
        <w:t xml:space="preserve"> for this</w:t>
      </w:r>
      <w:r w:rsidR="00365005" w:rsidRPr="00E33370">
        <w:t xml:space="preserve">.  </w:t>
      </w:r>
    </w:p>
    <w:p w14:paraId="6A35E507" w14:textId="77777777" w:rsidR="00634FD0" w:rsidRDefault="00634FD0" w:rsidP="001E284F"/>
    <w:p w14:paraId="0D6AE5B4" w14:textId="1AE4ADAD" w:rsidR="00634FD0" w:rsidRDefault="00634FD0" w:rsidP="001E284F">
      <w:r>
        <w:t xml:space="preserve">Our response rate estimates in the table below are conservative. Similar </w:t>
      </w:r>
      <w:r w:rsidR="00B30402">
        <w:t xml:space="preserve">nationally representative </w:t>
      </w:r>
      <w:r>
        <w:t xml:space="preserve">telephone surveys </w:t>
      </w:r>
      <w:r w:rsidR="00B30402">
        <w:t xml:space="preserve">of older adults have achieved response rates in the range of 23%-38% </w:t>
      </w:r>
      <w:r>
        <w:t>(</w:t>
      </w:r>
      <w:r w:rsidR="00B30402">
        <w:t xml:space="preserve">Foley et al., 2004; </w:t>
      </w:r>
      <w:proofErr w:type="spellStart"/>
      <w:r>
        <w:t>Kostyniuk</w:t>
      </w:r>
      <w:proofErr w:type="spellEnd"/>
      <w:r>
        <w:t xml:space="preserve"> et al, 2000)</w:t>
      </w:r>
      <w:r w:rsidR="00B30402">
        <w:t>. Additionally, since we plan to offer incentives for participation, we should receive higher response rates</w:t>
      </w:r>
      <w:r w:rsidR="009940C3">
        <w:t>. While we will likely be able to sample less than that presented below,</w:t>
      </w:r>
      <w:r w:rsidR="00B30402">
        <w:t xml:space="preserve"> our conservative estimates provide </w:t>
      </w:r>
      <w:r w:rsidR="009940C3">
        <w:t xml:space="preserve">what we believe to be an upper limit of the </w:t>
      </w:r>
      <w:r w:rsidR="00B30402">
        <w:t>maximum number of people we may need to sample to ensure that we are able to receive the necessary number of completions</w:t>
      </w:r>
      <w:r w:rsidR="009940C3">
        <w:t>.</w:t>
      </w:r>
    </w:p>
    <w:tbl>
      <w:tblPr>
        <w:tblpPr w:leftFromText="180" w:rightFromText="180" w:vertAnchor="text" w:horzAnchor="margin" w:tblpY="170"/>
        <w:tblOverlap w:val="never"/>
        <w:tblW w:w="9498" w:type="dxa"/>
        <w:tblLayout w:type="fixed"/>
        <w:tblCellMar>
          <w:top w:w="29" w:type="dxa"/>
          <w:left w:w="29" w:type="dxa"/>
          <w:bottom w:w="29" w:type="dxa"/>
          <w:right w:w="58" w:type="dxa"/>
        </w:tblCellMar>
        <w:tblLook w:val="0000" w:firstRow="0" w:lastRow="0" w:firstColumn="0" w:lastColumn="0" w:noHBand="0" w:noVBand="0"/>
      </w:tblPr>
      <w:tblGrid>
        <w:gridCol w:w="2345"/>
        <w:gridCol w:w="2160"/>
        <w:gridCol w:w="1664"/>
        <w:gridCol w:w="1664"/>
        <w:gridCol w:w="1665"/>
      </w:tblGrid>
      <w:tr w:rsidR="00B64BF6" w14:paraId="3A54B706" w14:textId="77777777" w:rsidTr="00571E41">
        <w:trPr>
          <w:cantSplit/>
          <w:trHeight w:val="378"/>
        </w:trPr>
        <w:tc>
          <w:tcPr>
            <w:tcW w:w="2345" w:type="dxa"/>
            <w:tcBorders>
              <w:top w:val="single" w:sz="4" w:space="0" w:color="auto"/>
              <w:left w:val="single" w:sz="4" w:space="0" w:color="auto"/>
              <w:bottom w:val="single" w:sz="4" w:space="0" w:color="auto"/>
              <w:right w:val="single" w:sz="4" w:space="0" w:color="auto"/>
            </w:tcBorders>
            <w:shd w:val="clear" w:color="auto" w:fill="E5E5E5"/>
            <w:vAlign w:val="bottom"/>
          </w:tcPr>
          <w:p w14:paraId="1C8F23C0" w14:textId="77777777" w:rsidR="00B64BF6" w:rsidRDefault="00B64BF6" w:rsidP="0007704F">
            <w:pPr>
              <w:pStyle w:val="Header"/>
              <w:suppressLineNumbers/>
              <w:spacing w:before="40" w:after="40"/>
              <w:jc w:val="center"/>
              <w:rPr>
                <w:b/>
                <w:bCs/>
                <w:sz w:val="20"/>
              </w:rPr>
            </w:pPr>
            <w:r>
              <w:rPr>
                <w:b/>
                <w:bCs/>
                <w:sz w:val="20"/>
              </w:rPr>
              <w:t>Respondent</w:t>
            </w:r>
          </w:p>
        </w:tc>
        <w:tc>
          <w:tcPr>
            <w:tcW w:w="2160" w:type="dxa"/>
            <w:tcBorders>
              <w:top w:val="single" w:sz="4" w:space="0" w:color="auto"/>
              <w:left w:val="single" w:sz="4" w:space="0" w:color="auto"/>
              <w:bottom w:val="single" w:sz="4" w:space="0" w:color="auto"/>
              <w:right w:val="single" w:sz="4" w:space="0" w:color="auto"/>
            </w:tcBorders>
            <w:shd w:val="clear" w:color="auto" w:fill="E5E5E5"/>
            <w:vAlign w:val="bottom"/>
          </w:tcPr>
          <w:p w14:paraId="3A5B33AC" w14:textId="77777777" w:rsidR="00B64BF6" w:rsidRDefault="00B64BF6" w:rsidP="0007704F">
            <w:pPr>
              <w:pStyle w:val="Header"/>
              <w:suppressLineNumbers/>
              <w:spacing w:before="40" w:after="40"/>
              <w:jc w:val="center"/>
              <w:rPr>
                <w:b/>
                <w:bCs/>
                <w:sz w:val="20"/>
              </w:rPr>
            </w:pPr>
            <w:r>
              <w:rPr>
                <w:b/>
                <w:bCs/>
                <w:sz w:val="20"/>
              </w:rPr>
              <w:t>Instrument</w:t>
            </w:r>
          </w:p>
        </w:tc>
        <w:tc>
          <w:tcPr>
            <w:tcW w:w="1664" w:type="dxa"/>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vAlign w:val="bottom"/>
          </w:tcPr>
          <w:p w14:paraId="0AE27C93" w14:textId="77777777" w:rsidR="00B64BF6" w:rsidRDefault="00B64BF6" w:rsidP="0007704F">
            <w:pPr>
              <w:pStyle w:val="Header"/>
              <w:suppressLineNumbers/>
              <w:spacing w:before="40" w:after="40"/>
              <w:jc w:val="center"/>
              <w:rPr>
                <w:b/>
                <w:bCs/>
                <w:sz w:val="20"/>
              </w:rPr>
            </w:pPr>
            <w:r>
              <w:rPr>
                <w:b/>
                <w:bCs/>
                <w:sz w:val="20"/>
              </w:rPr>
              <w:t>Respondent Universe</w:t>
            </w:r>
          </w:p>
        </w:tc>
        <w:tc>
          <w:tcPr>
            <w:tcW w:w="1664" w:type="dxa"/>
            <w:tcBorders>
              <w:top w:val="single" w:sz="4" w:space="0" w:color="auto"/>
              <w:left w:val="single" w:sz="4" w:space="0" w:color="auto"/>
              <w:bottom w:val="single" w:sz="4" w:space="0" w:color="auto"/>
              <w:right w:val="single" w:sz="4" w:space="0" w:color="auto"/>
            </w:tcBorders>
            <w:shd w:val="clear" w:color="auto" w:fill="E5E5E5"/>
            <w:vAlign w:val="bottom"/>
          </w:tcPr>
          <w:p w14:paraId="67F54362" w14:textId="77777777" w:rsidR="00B64BF6" w:rsidRDefault="00B64BF6" w:rsidP="0007704F">
            <w:pPr>
              <w:pStyle w:val="Header"/>
              <w:suppressLineNumbers/>
              <w:spacing w:before="40" w:after="40"/>
              <w:jc w:val="center"/>
              <w:rPr>
                <w:b/>
                <w:bCs/>
                <w:sz w:val="20"/>
              </w:rPr>
            </w:pPr>
            <w:r>
              <w:rPr>
                <w:b/>
                <w:bCs/>
                <w:sz w:val="20"/>
              </w:rPr>
              <w:t>Expected Response Rate</w:t>
            </w:r>
          </w:p>
        </w:tc>
        <w:tc>
          <w:tcPr>
            <w:tcW w:w="1665" w:type="dxa"/>
            <w:tcBorders>
              <w:top w:val="single" w:sz="4" w:space="0" w:color="auto"/>
              <w:left w:val="single" w:sz="4" w:space="0" w:color="auto"/>
              <w:bottom w:val="single" w:sz="4" w:space="0" w:color="auto"/>
              <w:right w:val="single" w:sz="4" w:space="0" w:color="auto"/>
            </w:tcBorders>
            <w:shd w:val="clear" w:color="auto" w:fill="E5E5E5"/>
            <w:vAlign w:val="bottom"/>
          </w:tcPr>
          <w:p w14:paraId="4726E60F" w14:textId="77777777" w:rsidR="00B64BF6" w:rsidRDefault="00B64BF6" w:rsidP="0007704F">
            <w:pPr>
              <w:pStyle w:val="Header"/>
              <w:suppressLineNumbers/>
              <w:spacing w:before="40" w:after="40"/>
              <w:jc w:val="center"/>
              <w:rPr>
                <w:b/>
                <w:bCs/>
                <w:sz w:val="20"/>
              </w:rPr>
            </w:pPr>
            <w:r>
              <w:rPr>
                <w:b/>
                <w:bCs/>
                <w:sz w:val="20"/>
              </w:rPr>
              <w:t>Expected Completed Instruments</w:t>
            </w:r>
          </w:p>
        </w:tc>
      </w:tr>
      <w:tr w:rsidR="00B64BF6" w:rsidRPr="00D93E39" w14:paraId="02B84FBF" w14:textId="77777777" w:rsidTr="00571E41">
        <w:trPr>
          <w:cantSplit/>
          <w:trHeight w:val="283"/>
        </w:trPr>
        <w:tc>
          <w:tcPr>
            <w:tcW w:w="2345" w:type="dxa"/>
            <w:tcBorders>
              <w:top w:val="single" w:sz="4" w:space="0" w:color="auto"/>
              <w:left w:val="single" w:sz="8" w:space="0" w:color="auto"/>
              <w:bottom w:val="single" w:sz="4" w:space="0" w:color="auto"/>
              <w:right w:val="single" w:sz="4" w:space="0" w:color="auto"/>
            </w:tcBorders>
            <w:vAlign w:val="center"/>
          </w:tcPr>
          <w:p w14:paraId="36980D99" w14:textId="77777777" w:rsidR="00B64BF6" w:rsidRPr="00D93E39" w:rsidRDefault="00B64BF6" w:rsidP="00B64BF6">
            <w:pPr>
              <w:suppressLineNumbers/>
              <w:spacing w:before="40" w:after="40"/>
              <w:jc w:val="center"/>
              <w:rPr>
                <w:sz w:val="20"/>
                <w:lang w:val="fr-FR"/>
              </w:rPr>
            </w:pPr>
            <w:proofErr w:type="spellStart"/>
            <w:r>
              <w:rPr>
                <w:sz w:val="20"/>
                <w:lang w:val="fr-FR"/>
              </w:rPr>
              <w:t>Community</w:t>
            </w:r>
            <w:proofErr w:type="spellEnd"/>
            <w:r>
              <w:rPr>
                <w:sz w:val="20"/>
                <w:lang w:val="fr-FR"/>
              </w:rPr>
              <w:t xml:space="preserve"> service providers (key </w:t>
            </w:r>
            <w:proofErr w:type="spellStart"/>
            <w:r>
              <w:rPr>
                <w:sz w:val="20"/>
                <w:lang w:val="fr-FR"/>
              </w:rPr>
              <w:t>informants</w:t>
            </w:r>
            <w:proofErr w:type="spellEnd"/>
            <w:r>
              <w:rPr>
                <w:sz w:val="20"/>
                <w:lang w:val="fr-FR"/>
              </w:rPr>
              <w:t>)</w:t>
            </w:r>
          </w:p>
        </w:tc>
        <w:tc>
          <w:tcPr>
            <w:tcW w:w="2160" w:type="dxa"/>
            <w:tcBorders>
              <w:top w:val="single" w:sz="4" w:space="0" w:color="auto"/>
              <w:left w:val="single" w:sz="4" w:space="0" w:color="auto"/>
              <w:bottom w:val="single" w:sz="4" w:space="0" w:color="auto"/>
              <w:right w:val="single" w:sz="4" w:space="0" w:color="auto"/>
            </w:tcBorders>
            <w:vAlign w:val="bottom"/>
          </w:tcPr>
          <w:p w14:paraId="024E793B" w14:textId="73D80E67" w:rsidR="00B64BF6" w:rsidRDefault="00B64BF6" w:rsidP="00B64BF6">
            <w:pPr>
              <w:suppressLineNumbers/>
              <w:spacing w:before="40" w:after="40"/>
              <w:rPr>
                <w:sz w:val="20"/>
                <w:lang w:val="fr-FR"/>
              </w:rPr>
            </w:pPr>
            <w:r>
              <w:rPr>
                <w:sz w:val="20"/>
                <w:lang w:val="fr-FR"/>
              </w:rPr>
              <w:t>Key Informant Interviews</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8D8D53" w14:textId="1F6E3D77" w:rsidR="00B64BF6" w:rsidRPr="00B64BF6" w:rsidRDefault="00323126" w:rsidP="00B64BF6">
            <w:pPr>
              <w:pStyle w:val="Header"/>
              <w:suppressLineNumbers/>
              <w:spacing w:before="40" w:after="40"/>
              <w:jc w:val="right"/>
              <w:rPr>
                <w:sz w:val="20"/>
                <w:szCs w:val="24"/>
                <w:lang w:val="fr-FR"/>
              </w:rPr>
            </w:pPr>
            <w:r>
              <w:rPr>
                <w:sz w:val="20"/>
                <w:szCs w:val="24"/>
                <w:lang w:val="fr-FR"/>
              </w:rPr>
              <w:t>12</w:t>
            </w:r>
          </w:p>
        </w:tc>
        <w:tc>
          <w:tcPr>
            <w:tcW w:w="1664" w:type="dxa"/>
            <w:tcBorders>
              <w:top w:val="single" w:sz="4" w:space="0" w:color="auto"/>
              <w:left w:val="single" w:sz="4" w:space="0" w:color="auto"/>
              <w:bottom w:val="single" w:sz="4" w:space="0" w:color="auto"/>
              <w:right w:val="single" w:sz="4" w:space="0" w:color="auto"/>
            </w:tcBorders>
            <w:vAlign w:val="bottom"/>
          </w:tcPr>
          <w:p w14:paraId="2C73682C" w14:textId="6338D31F" w:rsidR="00B64BF6" w:rsidRPr="00B64BF6" w:rsidRDefault="00323126" w:rsidP="00B64BF6">
            <w:pPr>
              <w:pStyle w:val="Header"/>
              <w:suppressLineNumbers/>
              <w:spacing w:before="40" w:after="40"/>
              <w:ind w:right="118"/>
              <w:jc w:val="right"/>
              <w:rPr>
                <w:sz w:val="20"/>
                <w:szCs w:val="24"/>
                <w:lang w:val="fr-FR"/>
              </w:rPr>
            </w:pPr>
            <w:r>
              <w:rPr>
                <w:sz w:val="20"/>
                <w:szCs w:val="24"/>
                <w:lang w:val="fr-FR"/>
              </w:rPr>
              <w:t>50</w:t>
            </w:r>
            <w:r w:rsidR="00B64BF6" w:rsidRPr="00B64BF6">
              <w:rPr>
                <w:sz w:val="20"/>
                <w:szCs w:val="24"/>
                <w:lang w:val="fr-FR"/>
              </w:rPr>
              <w:t>%</w:t>
            </w:r>
          </w:p>
        </w:tc>
        <w:tc>
          <w:tcPr>
            <w:tcW w:w="1665" w:type="dxa"/>
            <w:tcBorders>
              <w:top w:val="single" w:sz="4" w:space="0" w:color="auto"/>
              <w:left w:val="single" w:sz="4" w:space="0" w:color="auto"/>
              <w:bottom w:val="single" w:sz="4" w:space="0" w:color="auto"/>
              <w:right w:val="single" w:sz="4" w:space="0" w:color="auto"/>
            </w:tcBorders>
            <w:vAlign w:val="bottom"/>
          </w:tcPr>
          <w:p w14:paraId="6270213F" w14:textId="0A921034" w:rsidR="00B64BF6" w:rsidRPr="00B64BF6" w:rsidRDefault="00B64BF6" w:rsidP="00B64BF6">
            <w:pPr>
              <w:pStyle w:val="Header"/>
              <w:suppressLineNumbers/>
              <w:spacing w:before="40" w:after="40"/>
              <w:jc w:val="right"/>
              <w:rPr>
                <w:sz w:val="20"/>
                <w:szCs w:val="24"/>
                <w:lang w:val="fr-FR"/>
              </w:rPr>
            </w:pPr>
            <w:r w:rsidRPr="00B64BF6">
              <w:rPr>
                <w:sz w:val="20"/>
                <w:szCs w:val="24"/>
                <w:lang w:val="fr-FR"/>
              </w:rPr>
              <w:t>6</w:t>
            </w:r>
          </w:p>
        </w:tc>
      </w:tr>
      <w:tr w:rsidR="00B64BF6" w:rsidRPr="00A84664" w14:paraId="149265D8" w14:textId="77777777" w:rsidTr="00571E41">
        <w:trPr>
          <w:cantSplit/>
          <w:trHeight w:val="505"/>
        </w:trPr>
        <w:tc>
          <w:tcPr>
            <w:tcW w:w="2345" w:type="dxa"/>
            <w:vMerge w:val="restart"/>
            <w:tcBorders>
              <w:top w:val="single" w:sz="4" w:space="0" w:color="auto"/>
              <w:left w:val="single" w:sz="8" w:space="0" w:color="auto"/>
              <w:bottom w:val="single" w:sz="4" w:space="0" w:color="auto"/>
              <w:right w:val="single" w:sz="4" w:space="0" w:color="auto"/>
            </w:tcBorders>
            <w:vAlign w:val="center"/>
          </w:tcPr>
          <w:p w14:paraId="78C96F62" w14:textId="03C93247" w:rsidR="00B64BF6" w:rsidRPr="00E21ECA" w:rsidRDefault="00B64BF6" w:rsidP="0007704F">
            <w:pPr>
              <w:suppressLineNumbers/>
              <w:spacing w:before="40" w:after="40"/>
              <w:jc w:val="center"/>
              <w:rPr>
                <w:sz w:val="20"/>
              </w:rPr>
            </w:pPr>
            <w:r w:rsidRPr="00E21ECA">
              <w:rPr>
                <w:sz w:val="20"/>
              </w:rPr>
              <w:t>Older Adults (60-74 years of age)</w:t>
            </w:r>
          </w:p>
        </w:tc>
        <w:tc>
          <w:tcPr>
            <w:tcW w:w="2160" w:type="dxa"/>
            <w:tcBorders>
              <w:top w:val="single" w:sz="4" w:space="0" w:color="auto"/>
              <w:left w:val="single" w:sz="4" w:space="0" w:color="auto"/>
              <w:bottom w:val="single" w:sz="4" w:space="0" w:color="auto"/>
              <w:right w:val="single" w:sz="4" w:space="0" w:color="auto"/>
            </w:tcBorders>
            <w:vAlign w:val="bottom"/>
          </w:tcPr>
          <w:p w14:paraId="62C2FD42" w14:textId="1DEC030E" w:rsidR="00B64BF6" w:rsidRDefault="00B64BF6" w:rsidP="0007704F">
            <w:pPr>
              <w:suppressLineNumbers/>
              <w:spacing w:before="40" w:after="40"/>
              <w:rPr>
                <w:sz w:val="20"/>
              </w:rPr>
            </w:pPr>
            <w:r>
              <w:rPr>
                <w:sz w:val="20"/>
              </w:rPr>
              <w:t>Intercept Interviews</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7AB426" w14:textId="08473FA4" w:rsidR="00B64BF6" w:rsidRPr="0055307E" w:rsidRDefault="00B64BF6" w:rsidP="0007704F">
            <w:pPr>
              <w:pStyle w:val="Header"/>
              <w:suppressLineNumbers/>
              <w:spacing w:before="40" w:after="40"/>
              <w:jc w:val="right"/>
              <w:rPr>
                <w:bCs/>
                <w:sz w:val="20"/>
              </w:rPr>
            </w:pPr>
            <w:r>
              <w:rPr>
                <w:bCs/>
                <w:sz w:val="20"/>
              </w:rPr>
              <w:t>400</w:t>
            </w:r>
          </w:p>
        </w:tc>
        <w:tc>
          <w:tcPr>
            <w:tcW w:w="1664" w:type="dxa"/>
            <w:tcBorders>
              <w:top w:val="single" w:sz="4" w:space="0" w:color="auto"/>
              <w:left w:val="single" w:sz="4" w:space="0" w:color="auto"/>
              <w:bottom w:val="single" w:sz="4" w:space="0" w:color="auto"/>
              <w:right w:val="single" w:sz="4" w:space="0" w:color="auto"/>
            </w:tcBorders>
            <w:vAlign w:val="bottom"/>
          </w:tcPr>
          <w:p w14:paraId="613889C6" w14:textId="03EC32B0" w:rsidR="00B64BF6" w:rsidRPr="0055307E" w:rsidRDefault="00B64BF6" w:rsidP="0007704F">
            <w:pPr>
              <w:pStyle w:val="Header"/>
              <w:suppressLineNumbers/>
              <w:spacing w:before="40" w:after="40"/>
              <w:ind w:right="118"/>
              <w:jc w:val="right"/>
              <w:rPr>
                <w:bCs/>
                <w:sz w:val="20"/>
              </w:rPr>
            </w:pPr>
            <w:r>
              <w:rPr>
                <w:bCs/>
                <w:sz w:val="20"/>
              </w:rPr>
              <w:t>10%</w:t>
            </w:r>
          </w:p>
        </w:tc>
        <w:tc>
          <w:tcPr>
            <w:tcW w:w="1665" w:type="dxa"/>
            <w:tcBorders>
              <w:top w:val="single" w:sz="4" w:space="0" w:color="auto"/>
              <w:left w:val="single" w:sz="4" w:space="0" w:color="auto"/>
              <w:bottom w:val="single" w:sz="4" w:space="0" w:color="auto"/>
              <w:right w:val="single" w:sz="4" w:space="0" w:color="auto"/>
            </w:tcBorders>
            <w:vAlign w:val="bottom"/>
          </w:tcPr>
          <w:p w14:paraId="510A5602" w14:textId="2ABD1C3A" w:rsidR="00B64BF6" w:rsidRPr="0055307E" w:rsidRDefault="00B64BF6" w:rsidP="00B64BF6">
            <w:pPr>
              <w:pStyle w:val="Header"/>
              <w:suppressLineNumbers/>
              <w:spacing w:before="40" w:after="40"/>
              <w:jc w:val="right"/>
              <w:rPr>
                <w:bCs/>
                <w:sz w:val="20"/>
                <w:lang w:val="fr-FR"/>
              </w:rPr>
            </w:pPr>
            <w:r>
              <w:rPr>
                <w:bCs/>
                <w:sz w:val="20"/>
                <w:lang w:val="fr-FR"/>
              </w:rPr>
              <w:t>40</w:t>
            </w:r>
          </w:p>
        </w:tc>
      </w:tr>
      <w:tr w:rsidR="00B64BF6" w:rsidRPr="00A84664" w14:paraId="44FB9A9D" w14:textId="77777777" w:rsidTr="00571E41">
        <w:trPr>
          <w:cantSplit/>
          <w:trHeight w:val="277"/>
        </w:trPr>
        <w:tc>
          <w:tcPr>
            <w:tcW w:w="2345" w:type="dxa"/>
            <w:vMerge/>
            <w:tcBorders>
              <w:top w:val="single" w:sz="4" w:space="0" w:color="auto"/>
              <w:left w:val="single" w:sz="8" w:space="0" w:color="auto"/>
              <w:bottom w:val="single" w:sz="4" w:space="0" w:color="auto"/>
              <w:right w:val="single" w:sz="4" w:space="0" w:color="auto"/>
            </w:tcBorders>
            <w:vAlign w:val="center"/>
          </w:tcPr>
          <w:p w14:paraId="4F59BE26" w14:textId="1EB4ECC5" w:rsidR="00B64BF6" w:rsidRDefault="00B64BF6" w:rsidP="0007704F">
            <w:pPr>
              <w:suppressLineNumbers/>
              <w:spacing w:before="40" w:after="40"/>
              <w:jc w:val="center"/>
              <w:rPr>
                <w:sz w:val="20"/>
              </w:rPr>
            </w:pPr>
          </w:p>
        </w:tc>
        <w:tc>
          <w:tcPr>
            <w:tcW w:w="2160" w:type="dxa"/>
            <w:tcBorders>
              <w:top w:val="single" w:sz="4" w:space="0" w:color="auto"/>
              <w:left w:val="single" w:sz="4" w:space="0" w:color="auto"/>
              <w:bottom w:val="single" w:sz="4" w:space="0" w:color="auto"/>
              <w:right w:val="single" w:sz="4" w:space="0" w:color="auto"/>
            </w:tcBorders>
            <w:vAlign w:val="bottom"/>
          </w:tcPr>
          <w:p w14:paraId="40E097DD" w14:textId="33BFE4AA" w:rsidR="00B64BF6" w:rsidRDefault="00B64BF6" w:rsidP="0007704F">
            <w:pPr>
              <w:suppressLineNumbers/>
              <w:spacing w:before="40" w:after="40"/>
              <w:rPr>
                <w:sz w:val="20"/>
              </w:rPr>
            </w:pPr>
            <w:r>
              <w:rPr>
                <w:sz w:val="20"/>
              </w:rPr>
              <w:t>Focus Groups</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2ECDE2" w14:textId="160844C0" w:rsidR="00B64BF6" w:rsidRPr="0055307E" w:rsidRDefault="00323126" w:rsidP="0007704F">
            <w:pPr>
              <w:pStyle w:val="Header"/>
              <w:suppressLineNumbers/>
              <w:spacing w:before="40" w:after="40"/>
              <w:jc w:val="right"/>
              <w:rPr>
                <w:bCs/>
                <w:sz w:val="20"/>
              </w:rPr>
            </w:pPr>
            <w:r>
              <w:rPr>
                <w:bCs/>
                <w:sz w:val="20"/>
              </w:rPr>
              <w:t>35</w:t>
            </w:r>
          </w:p>
        </w:tc>
        <w:tc>
          <w:tcPr>
            <w:tcW w:w="1664" w:type="dxa"/>
            <w:tcBorders>
              <w:top w:val="single" w:sz="4" w:space="0" w:color="auto"/>
              <w:left w:val="single" w:sz="4" w:space="0" w:color="auto"/>
              <w:bottom w:val="single" w:sz="4" w:space="0" w:color="auto"/>
              <w:right w:val="single" w:sz="4" w:space="0" w:color="auto"/>
            </w:tcBorders>
            <w:vAlign w:val="bottom"/>
          </w:tcPr>
          <w:p w14:paraId="178A840A" w14:textId="56423039" w:rsidR="00B64BF6" w:rsidRPr="0055307E" w:rsidRDefault="00323126" w:rsidP="0007704F">
            <w:pPr>
              <w:pStyle w:val="Header"/>
              <w:suppressLineNumbers/>
              <w:spacing w:before="40" w:after="40"/>
              <w:ind w:right="118"/>
              <w:jc w:val="right"/>
              <w:rPr>
                <w:bCs/>
                <w:sz w:val="20"/>
              </w:rPr>
            </w:pPr>
            <w:r>
              <w:rPr>
                <w:bCs/>
                <w:sz w:val="20"/>
              </w:rPr>
              <w:t>40</w:t>
            </w:r>
            <w:r w:rsidR="00B64BF6">
              <w:rPr>
                <w:bCs/>
                <w:sz w:val="20"/>
              </w:rPr>
              <w:t>%</w:t>
            </w:r>
          </w:p>
        </w:tc>
        <w:tc>
          <w:tcPr>
            <w:tcW w:w="1665" w:type="dxa"/>
            <w:tcBorders>
              <w:top w:val="single" w:sz="4" w:space="0" w:color="auto"/>
              <w:left w:val="single" w:sz="4" w:space="0" w:color="auto"/>
              <w:bottom w:val="single" w:sz="4" w:space="0" w:color="auto"/>
              <w:right w:val="single" w:sz="4" w:space="0" w:color="auto"/>
            </w:tcBorders>
            <w:vAlign w:val="bottom"/>
          </w:tcPr>
          <w:p w14:paraId="37F8204A" w14:textId="14F17E33" w:rsidR="00B64BF6" w:rsidRPr="0055307E" w:rsidRDefault="00B64BF6" w:rsidP="0007704F">
            <w:pPr>
              <w:pStyle w:val="Header"/>
              <w:suppressLineNumbers/>
              <w:spacing w:before="40" w:after="40"/>
              <w:jc w:val="right"/>
              <w:rPr>
                <w:bCs/>
                <w:sz w:val="20"/>
                <w:lang w:val="fr-FR"/>
              </w:rPr>
            </w:pPr>
            <w:r>
              <w:rPr>
                <w:bCs/>
                <w:sz w:val="20"/>
                <w:lang w:val="fr-FR"/>
              </w:rPr>
              <w:t>14</w:t>
            </w:r>
          </w:p>
        </w:tc>
      </w:tr>
      <w:tr w:rsidR="00B64BF6" w:rsidRPr="00D93E39" w14:paraId="59945E16" w14:textId="77777777" w:rsidTr="00571E41">
        <w:trPr>
          <w:cantSplit/>
          <w:trHeight w:val="283"/>
        </w:trPr>
        <w:tc>
          <w:tcPr>
            <w:tcW w:w="2345" w:type="dxa"/>
            <w:vMerge/>
            <w:tcBorders>
              <w:top w:val="single" w:sz="4" w:space="0" w:color="auto"/>
              <w:left w:val="single" w:sz="8" w:space="0" w:color="auto"/>
              <w:bottom w:val="single" w:sz="4" w:space="0" w:color="auto"/>
              <w:right w:val="single" w:sz="4" w:space="0" w:color="auto"/>
            </w:tcBorders>
            <w:vAlign w:val="center"/>
          </w:tcPr>
          <w:p w14:paraId="036749D0" w14:textId="77777777" w:rsidR="00B64BF6" w:rsidRPr="00D93E39" w:rsidRDefault="00B64BF6" w:rsidP="0007704F">
            <w:pPr>
              <w:suppressLineNumbers/>
              <w:spacing w:before="40" w:after="40"/>
              <w:jc w:val="center"/>
              <w:rPr>
                <w:sz w:val="20"/>
                <w:lang w:val="fr-FR"/>
              </w:rPr>
            </w:pPr>
          </w:p>
        </w:tc>
        <w:tc>
          <w:tcPr>
            <w:tcW w:w="2160" w:type="dxa"/>
            <w:tcBorders>
              <w:top w:val="single" w:sz="4" w:space="0" w:color="auto"/>
              <w:left w:val="single" w:sz="4" w:space="0" w:color="auto"/>
              <w:bottom w:val="single" w:sz="4" w:space="0" w:color="auto"/>
              <w:right w:val="single" w:sz="4" w:space="0" w:color="auto"/>
            </w:tcBorders>
            <w:vAlign w:val="bottom"/>
          </w:tcPr>
          <w:p w14:paraId="2C875CB2" w14:textId="62FB1A75" w:rsidR="00B64BF6" w:rsidRPr="00D93E39" w:rsidRDefault="00B64BF6" w:rsidP="0007704F">
            <w:pPr>
              <w:suppressLineNumbers/>
              <w:spacing w:before="40" w:after="40"/>
              <w:rPr>
                <w:sz w:val="20"/>
                <w:lang w:val="fr-FR"/>
              </w:rPr>
            </w:pPr>
            <w:r>
              <w:rPr>
                <w:sz w:val="20"/>
                <w:lang w:val="fr-FR"/>
              </w:rPr>
              <w:t>Phone Survey</w:t>
            </w:r>
            <w:r w:rsidRPr="00D93E39">
              <w:rPr>
                <w:sz w:val="20"/>
                <w:lang w:val="fr-FR"/>
              </w:rPr>
              <w:t xml:space="preserve"> </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FBF1FA" w14:textId="06746D0B" w:rsidR="00B64BF6" w:rsidRPr="0055307E" w:rsidRDefault="00323126" w:rsidP="0007704F">
            <w:pPr>
              <w:pStyle w:val="Header"/>
              <w:suppressLineNumbers/>
              <w:spacing w:before="40" w:after="40"/>
              <w:jc w:val="right"/>
              <w:rPr>
                <w:bCs/>
                <w:sz w:val="20"/>
                <w:lang w:val="fr-FR"/>
              </w:rPr>
            </w:pPr>
            <w:r>
              <w:rPr>
                <w:bCs/>
                <w:sz w:val="20"/>
                <w:lang w:val="fr-FR"/>
              </w:rPr>
              <w:t>3,333</w:t>
            </w:r>
          </w:p>
        </w:tc>
        <w:tc>
          <w:tcPr>
            <w:tcW w:w="1664" w:type="dxa"/>
            <w:tcBorders>
              <w:top w:val="single" w:sz="4" w:space="0" w:color="auto"/>
              <w:left w:val="single" w:sz="4" w:space="0" w:color="auto"/>
              <w:bottom w:val="single" w:sz="4" w:space="0" w:color="auto"/>
              <w:right w:val="single" w:sz="4" w:space="0" w:color="auto"/>
            </w:tcBorders>
            <w:vAlign w:val="bottom"/>
          </w:tcPr>
          <w:p w14:paraId="60CA8EB3" w14:textId="3B87F5D8" w:rsidR="00B64BF6" w:rsidRPr="0055307E" w:rsidRDefault="00323126" w:rsidP="0007704F">
            <w:pPr>
              <w:pStyle w:val="Header"/>
              <w:suppressLineNumbers/>
              <w:spacing w:before="40" w:after="40"/>
              <w:ind w:right="118"/>
              <w:jc w:val="right"/>
              <w:rPr>
                <w:bCs/>
                <w:sz w:val="20"/>
                <w:lang w:val="fr-FR"/>
              </w:rPr>
            </w:pPr>
            <w:r>
              <w:rPr>
                <w:bCs/>
                <w:sz w:val="20"/>
                <w:lang w:val="fr-FR"/>
              </w:rPr>
              <w:t>30</w:t>
            </w:r>
            <w:r w:rsidR="00B64BF6">
              <w:rPr>
                <w:bCs/>
                <w:sz w:val="20"/>
                <w:lang w:val="fr-FR"/>
              </w:rPr>
              <w:t>%</w:t>
            </w:r>
          </w:p>
        </w:tc>
        <w:tc>
          <w:tcPr>
            <w:tcW w:w="1665" w:type="dxa"/>
            <w:tcBorders>
              <w:top w:val="single" w:sz="4" w:space="0" w:color="auto"/>
              <w:left w:val="single" w:sz="4" w:space="0" w:color="auto"/>
              <w:bottom w:val="single" w:sz="4" w:space="0" w:color="auto"/>
              <w:right w:val="single" w:sz="4" w:space="0" w:color="auto"/>
            </w:tcBorders>
            <w:vAlign w:val="bottom"/>
          </w:tcPr>
          <w:p w14:paraId="55D14D6E" w14:textId="4A6297B3" w:rsidR="00B64BF6" w:rsidRPr="0055307E" w:rsidRDefault="00B64BF6" w:rsidP="0007704F">
            <w:pPr>
              <w:pStyle w:val="Header"/>
              <w:suppressLineNumbers/>
              <w:spacing w:before="40" w:after="40"/>
              <w:jc w:val="right"/>
              <w:rPr>
                <w:bCs/>
                <w:sz w:val="20"/>
                <w:lang w:val="fr-FR"/>
              </w:rPr>
            </w:pPr>
            <w:r>
              <w:rPr>
                <w:bCs/>
                <w:sz w:val="20"/>
                <w:lang w:val="fr-FR"/>
              </w:rPr>
              <w:t>1000</w:t>
            </w:r>
          </w:p>
        </w:tc>
      </w:tr>
    </w:tbl>
    <w:p w14:paraId="62CAE3B9" w14:textId="77777777" w:rsidR="00B64BF6" w:rsidRPr="00E33370" w:rsidRDefault="00B64BF6" w:rsidP="001E284F"/>
    <w:p w14:paraId="6A993A53" w14:textId="77777777" w:rsidR="004D30E4" w:rsidRPr="00E33370" w:rsidRDefault="004D30E4" w:rsidP="001E28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424"/>
      </w:tblGrid>
      <w:tr w:rsidR="006F050E" w:rsidRPr="00E33370" w14:paraId="2D2D8FC6" w14:textId="77777777">
        <w:tc>
          <w:tcPr>
            <w:tcW w:w="4432" w:type="dxa"/>
          </w:tcPr>
          <w:p w14:paraId="2EB7621D" w14:textId="77777777" w:rsidR="006F050E" w:rsidRPr="00E33370" w:rsidRDefault="006F050E" w:rsidP="001E284F">
            <w:r w:rsidRPr="00E33370">
              <w:t>Exclusion Criteria</w:t>
            </w:r>
          </w:p>
        </w:tc>
        <w:tc>
          <w:tcPr>
            <w:tcW w:w="4424" w:type="dxa"/>
          </w:tcPr>
          <w:p w14:paraId="4C3BCCD3" w14:textId="77777777" w:rsidR="006F050E" w:rsidRPr="00E33370" w:rsidRDefault="006F050E" w:rsidP="001E284F">
            <w:r w:rsidRPr="00E33370">
              <w:t>Rationale</w:t>
            </w:r>
          </w:p>
        </w:tc>
      </w:tr>
      <w:tr w:rsidR="006F050E" w:rsidRPr="00E33370" w14:paraId="56743B51" w14:textId="77777777">
        <w:tc>
          <w:tcPr>
            <w:tcW w:w="4432" w:type="dxa"/>
          </w:tcPr>
          <w:p w14:paraId="47F15F98" w14:textId="77777777" w:rsidR="006F050E" w:rsidRPr="00E33370" w:rsidRDefault="006F050E" w:rsidP="001E284F"/>
          <w:p w14:paraId="11ED1AB2" w14:textId="77777777" w:rsidR="006F050E" w:rsidRPr="00E33370" w:rsidRDefault="006F050E" w:rsidP="001E284F">
            <w:r w:rsidRPr="00E33370">
              <w:t>Non-English speaking</w:t>
            </w:r>
          </w:p>
        </w:tc>
        <w:tc>
          <w:tcPr>
            <w:tcW w:w="4424" w:type="dxa"/>
          </w:tcPr>
          <w:p w14:paraId="5025D549" w14:textId="0E72CB23" w:rsidR="006F050E" w:rsidRPr="00E33370" w:rsidRDefault="004316FF" w:rsidP="001E284F">
            <w:r w:rsidRPr="00E33370">
              <w:t xml:space="preserve">In this developmental stage, it </w:t>
            </w:r>
            <w:r w:rsidR="00D21B11" w:rsidRPr="00E33370">
              <w:t>w</w:t>
            </w:r>
            <w:r w:rsidR="002F1249" w:rsidRPr="00E33370">
              <w:t>ould be cost prohibitive</w:t>
            </w:r>
            <w:r w:rsidR="008A0330" w:rsidRPr="00E33370">
              <w:t xml:space="preserve">, and </w:t>
            </w:r>
            <w:r w:rsidRPr="00E33370">
              <w:t xml:space="preserve">a Tool in </w:t>
            </w:r>
            <w:r w:rsidR="008A0330" w:rsidRPr="00E33370">
              <w:t xml:space="preserve">English </w:t>
            </w:r>
            <w:r w:rsidRPr="00E33370">
              <w:t>would</w:t>
            </w:r>
            <w:r w:rsidR="008A0330" w:rsidRPr="00E33370">
              <w:t xml:space="preserve"> not be appropriate for </w:t>
            </w:r>
            <w:r w:rsidRPr="00E33370">
              <w:t>older adults</w:t>
            </w:r>
            <w:r w:rsidR="008A0330" w:rsidRPr="00E33370">
              <w:t xml:space="preserve"> who are not fluent given the nature of the </w:t>
            </w:r>
            <w:r w:rsidRPr="00E33370">
              <w:t>safe mobility topic.</w:t>
            </w:r>
          </w:p>
        </w:tc>
      </w:tr>
      <w:tr w:rsidR="006F050E" w:rsidRPr="00E33370" w14:paraId="13A4AF97" w14:textId="77777777">
        <w:tc>
          <w:tcPr>
            <w:tcW w:w="4432" w:type="dxa"/>
          </w:tcPr>
          <w:p w14:paraId="44147E8C" w14:textId="77777777" w:rsidR="006F050E" w:rsidRPr="00E33370" w:rsidRDefault="004316FF" w:rsidP="001E284F">
            <w:r w:rsidRPr="00E33370">
              <w:t xml:space="preserve">High degree of mobility limitations </w:t>
            </w:r>
          </w:p>
        </w:tc>
        <w:tc>
          <w:tcPr>
            <w:tcW w:w="4424" w:type="dxa"/>
          </w:tcPr>
          <w:p w14:paraId="61479ED1" w14:textId="1042310D" w:rsidR="006F050E" w:rsidRPr="00E33370" w:rsidRDefault="004316FF" w:rsidP="00C87520">
            <w:r w:rsidRPr="00E33370">
              <w:t xml:space="preserve">Older adults </w:t>
            </w:r>
            <w:r w:rsidR="005B2C71" w:rsidRPr="00E33370">
              <w:t xml:space="preserve">who </w:t>
            </w:r>
            <w:r w:rsidRPr="00E33370">
              <w:t xml:space="preserve">have a high degree of mobility limitations are likely already aware of their limitations and seek and/or receive support for their mobility. The focus of this project is to develop a Tool for individuals who have limited or no existing mobility concerns </w:t>
            </w:r>
            <w:r w:rsidR="00C87520" w:rsidRPr="00E33370">
              <w:t>b</w:t>
            </w:r>
            <w:r w:rsidR="00342CDD">
              <w:t>ecause the goal of the T</w:t>
            </w:r>
            <w:r w:rsidR="000A1F6F" w:rsidRPr="00E33370">
              <w:t xml:space="preserve">ool is to raise awareness of how they can protect their mobility. </w:t>
            </w:r>
          </w:p>
        </w:tc>
      </w:tr>
    </w:tbl>
    <w:p w14:paraId="2FF0EA68" w14:textId="77777777" w:rsidR="006F050E" w:rsidRPr="00E33370" w:rsidRDefault="006F050E" w:rsidP="001E284F"/>
    <w:p w14:paraId="485D5440" w14:textId="77777777" w:rsidR="00B25991" w:rsidRPr="00E33370" w:rsidRDefault="00B25991" w:rsidP="001E284F"/>
    <w:p w14:paraId="3F75E521" w14:textId="77777777" w:rsidR="00875B58" w:rsidRPr="00E33370" w:rsidRDefault="00875B58" w:rsidP="001E284F">
      <w:pPr>
        <w:rPr>
          <w:b/>
        </w:rPr>
      </w:pPr>
      <w:r w:rsidRPr="00E33370">
        <w:rPr>
          <w:b/>
        </w:rPr>
        <w:t>B.2. Procedures for the Collection of Information</w:t>
      </w:r>
    </w:p>
    <w:p w14:paraId="6C5181DF" w14:textId="77777777" w:rsidR="001E284F" w:rsidRPr="00E33370" w:rsidRDefault="001E284F" w:rsidP="001E284F"/>
    <w:p w14:paraId="76576A16" w14:textId="37C0694D" w:rsidR="001D14DE" w:rsidRPr="00E33370" w:rsidRDefault="001D14DE" w:rsidP="001D14DE">
      <w:r w:rsidRPr="00E33370">
        <w:t>We are conducting formative research using qualitative methods and qua</w:t>
      </w:r>
      <w:r w:rsidR="00342CDD">
        <w:t>ntitative methods to pilot the T</w:t>
      </w:r>
      <w:r w:rsidRPr="00E33370">
        <w:t xml:space="preserve">ool. This is an appropriate design that explores the effectiveness of empowering older adults to think about their mobility with this specific type of resource. We are attempting to use </w:t>
      </w:r>
      <w:r w:rsidRPr="00E33370">
        <w:lastRenderedPageBreak/>
        <w:t>the self-assessment as an entrée into raising consumers’ awareness and preparedness for mobility challenges as they age in order to prevent needless injury and protect mobility.</w:t>
      </w:r>
      <w:r>
        <w:t xml:space="preserve">  We will build on intelligence gathered from key informants to help us best recruit local participants and to best interpret and understand the qualitative feedback gathered from the intercepts and focus groups we conduct in their community.</w:t>
      </w:r>
    </w:p>
    <w:p w14:paraId="128DB266" w14:textId="77777777" w:rsidR="001D14DE" w:rsidRDefault="001D14DE" w:rsidP="001E284F"/>
    <w:p w14:paraId="7A5C9615" w14:textId="738D25E8" w:rsidR="00365005" w:rsidRPr="00E33370" w:rsidRDefault="00365005" w:rsidP="001E284F">
      <w:r w:rsidRPr="00E33370">
        <w:t xml:space="preserve">Key informant interviews and intercepts will have information collected via person-to-person conversations with the interviewer taking notes.  </w:t>
      </w:r>
      <w:proofErr w:type="spellStart"/>
      <w:r w:rsidRPr="00E33370">
        <w:t>SeBS</w:t>
      </w:r>
      <w:proofErr w:type="spellEnd"/>
      <w:r w:rsidRPr="00E33370">
        <w:t xml:space="preserve"> does not intend to record </w:t>
      </w:r>
      <w:r w:rsidR="001D14DE">
        <w:t>the key informant</w:t>
      </w:r>
      <w:r w:rsidRPr="00E33370">
        <w:t xml:space="preserve"> interviews</w:t>
      </w:r>
      <w:r w:rsidR="001D14DE">
        <w:t>, but we will audio record when possible the intercepts for a record for reporting purposes</w:t>
      </w:r>
      <w:r w:rsidRPr="00E33370">
        <w:t xml:space="preserve">.  </w:t>
      </w:r>
      <w:r w:rsidR="001D14DE">
        <w:t>P</w:t>
      </w:r>
      <w:r w:rsidR="00D97EFB" w:rsidRPr="00E33370">
        <w:t xml:space="preserve">rofessional interviewers will track the information </w:t>
      </w:r>
      <w:r w:rsidRPr="00E33370">
        <w:t xml:space="preserve">through </w:t>
      </w:r>
      <w:r w:rsidR="00DD3388" w:rsidRPr="00E33370">
        <w:t>note taking</w:t>
      </w:r>
      <w:r w:rsidRPr="00E33370">
        <w:t xml:space="preserve"> and worksheets </w:t>
      </w:r>
      <w:r w:rsidR="00D97EFB" w:rsidRPr="00E33370">
        <w:t>to be used with participants</w:t>
      </w:r>
      <w:r w:rsidRPr="00E33370">
        <w:t>.  The information collected will be aggregated in reports and no personal ide</w:t>
      </w:r>
      <w:r w:rsidR="00D97EFB" w:rsidRPr="00E33370">
        <w:t xml:space="preserve">ntifiers will be put in reports </w:t>
      </w:r>
      <w:proofErr w:type="gramStart"/>
      <w:r w:rsidR="00D97EFB" w:rsidRPr="00E33370">
        <w:t>nor</w:t>
      </w:r>
      <w:proofErr w:type="gramEnd"/>
      <w:r w:rsidR="00D97EFB" w:rsidRPr="00E33370">
        <w:t xml:space="preserve"> on worksheets and notes.</w:t>
      </w:r>
    </w:p>
    <w:p w14:paraId="5542058A" w14:textId="77777777" w:rsidR="00365005" w:rsidRPr="00E33370" w:rsidRDefault="00365005" w:rsidP="001E284F"/>
    <w:p w14:paraId="449FA687" w14:textId="7AC276F9" w:rsidR="00365005" w:rsidRPr="00E33370" w:rsidRDefault="00365005" w:rsidP="001E284F">
      <w:r w:rsidRPr="00E33370">
        <w:t xml:space="preserve">For focus groups, the data will be collected via </w:t>
      </w:r>
      <w:r w:rsidR="00DD3388" w:rsidRPr="00E33370">
        <w:t>note taking</w:t>
      </w:r>
      <w:r w:rsidRPr="00E33370">
        <w:t>, videotaping, and audiotaping of the groups.  No personal identifiers will be used on recordings</w:t>
      </w:r>
      <w:r w:rsidR="00DF1D23" w:rsidRPr="00E33370">
        <w:t xml:space="preserve"> or notes</w:t>
      </w:r>
      <w:r w:rsidRPr="00E33370">
        <w:t>; only first names will be apparent.  The information collected will be aggregated in reports and no personal identifiers will be put in reports.</w:t>
      </w:r>
    </w:p>
    <w:p w14:paraId="2B93842A" w14:textId="2D80E360" w:rsidR="00365005" w:rsidRPr="00E33370" w:rsidRDefault="00365005" w:rsidP="001E284F"/>
    <w:p w14:paraId="0443B9E5" w14:textId="0DFCC329" w:rsidR="00365005" w:rsidRPr="00E33370" w:rsidRDefault="00365005" w:rsidP="001E284F">
      <w:r w:rsidRPr="00E33370">
        <w:t xml:space="preserve">For the telephone survey, potential respondents will be contacted by phone for </w:t>
      </w:r>
      <w:r w:rsidR="001D14DE">
        <w:t>recruiting, which involves getting informed consent, screening the participants to see if they qualify for the study, and then scheduling them into their appointment</w:t>
      </w:r>
      <w:r w:rsidRPr="00E33370">
        <w:t>.</w:t>
      </w:r>
      <w:r w:rsidR="001D14DE">
        <w:t xml:space="preserve"> </w:t>
      </w:r>
      <w:r w:rsidRPr="00E33370">
        <w:t xml:space="preserve"> Respondents who qualify based on the </w:t>
      </w:r>
      <w:r w:rsidR="000243FC" w:rsidRPr="00E33370">
        <w:t xml:space="preserve">screening criteria and respondent </w:t>
      </w:r>
      <w:r w:rsidR="000243FC" w:rsidRPr="0083011C">
        <w:t xml:space="preserve">mix </w:t>
      </w:r>
      <w:r w:rsidR="00D112EB" w:rsidRPr="0083011C">
        <w:t xml:space="preserve">(see screener in </w:t>
      </w:r>
      <w:r w:rsidR="00D112EB" w:rsidRPr="0083011C">
        <w:rPr>
          <w:b/>
        </w:rPr>
        <w:t xml:space="preserve">Attachment </w:t>
      </w:r>
      <w:r w:rsidR="0083011C" w:rsidRPr="0083011C">
        <w:rPr>
          <w:b/>
        </w:rPr>
        <w:t>G</w:t>
      </w:r>
      <w:r w:rsidR="00D112EB" w:rsidRPr="0083011C">
        <w:t>)</w:t>
      </w:r>
      <w:r w:rsidR="00D112EB">
        <w:t xml:space="preserve"> </w:t>
      </w:r>
      <w:r w:rsidRPr="00E33370">
        <w:t xml:space="preserve">will be </w:t>
      </w:r>
      <w:r w:rsidR="001D14DE">
        <w:t>invited to participate</w:t>
      </w:r>
      <w:r w:rsidR="00342CDD">
        <w:t xml:space="preserve"> in the main survey. The T</w:t>
      </w:r>
      <w:r w:rsidRPr="00E33370">
        <w:t>ool will be mailed or emailed immediately after a respondent is recruited. At the time of recruiting</w:t>
      </w:r>
      <w:r w:rsidR="00964F72" w:rsidRPr="00E33370">
        <w:t>,</w:t>
      </w:r>
      <w:r w:rsidRPr="00E33370">
        <w:t xml:space="preserve"> the follow-up call to conduct the survey interview will be schedule</w:t>
      </w:r>
      <w:r w:rsidR="004A235F" w:rsidRPr="00E33370">
        <w:t>d</w:t>
      </w:r>
      <w:r w:rsidRPr="00E33370">
        <w:t xml:space="preserve"> for a time and date </w:t>
      </w:r>
      <w:r w:rsidR="00D112EB">
        <w:t>approximately</w:t>
      </w:r>
      <w:r w:rsidRPr="00E33370">
        <w:t xml:space="preserve"> 2 weeks later. The respondent is i</w:t>
      </w:r>
      <w:r w:rsidR="00342CDD">
        <w:t>nstructed to watch out for the T</w:t>
      </w:r>
      <w:r w:rsidRPr="00E33370">
        <w:t xml:space="preserve">ool in the mail/email and that it will be needed for the subsequent interview. </w:t>
      </w:r>
      <w:r w:rsidR="00336C45">
        <w:t>The recruiters will contact the respondent to</w:t>
      </w:r>
      <w:r w:rsidR="00342CDD">
        <w:t xml:space="preserve"> ensure they have received the T</w:t>
      </w:r>
      <w:r w:rsidR="00336C45">
        <w:t xml:space="preserve">ool, and confirm their interview time.  </w:t>
      </w:r>
      <w:r w:rsidRPr="00E33370">
        <w:t xml:space="preserve">At the time of the scheduled interview, respondents will be contacted by phone and the survey interview </w:t>
      </w:r>
      <w:r w:rsidR="004A235F" w:rsidRPr="00E33370">
        <w:t xml:space="preserve">will be </w:t>
      </w:r>
      <w:r w:rsidRPr="00E33370">
        <w:t>conducted over the phone.  No personal identifiers will be collected during the survey, and names will be kept separate from the phone survey data files.  The information collected will be aggregated in reports and no personal identifiers will be put in reports.</w:t>
      </w:r>
    </w:p>
    <w:p w14:paraId="28E40093" w14:textId="6110927C" w:rsidR="00875B58" w:rsidRPr="00E33370" w:rsidRDefault="00875B58" w:rsidP="001E284F"/>
    <w:p w14:paraId="4DF6DC38" w14:textId="1617FDBE" w:rsidR="006E1A68" w:rsidRPr="00E33370" w:rsidRDefault="004316FF" w:rsidP="001E284F">
      <w:pPr>
        <w:rPr>
          <w:i/>
        </w:rPr>
      </w:pPr>
      <w:r w:rsidRPr="00E33370">
        <w:rPr>
          <w:i/>
        </w:rPr>
        <w:t>Statistical method for stra</w:t>
      </w:r>
      <w:r w:rsidR="00DA2B14" w:rsidRPr="00E33370">
        <w:rPr>
          <w:i/>
        </w:rPr>
        <w:t>tification and sample selection</w:t>
      </w:r>
    </w:p>
    <w:p w14:paraId="4FE7CF5B" w14:textId="77777777" w:rsidR="001E284F" w:rsidRPr="00E33370" w:rsidRDefault="001E284F" w:rsidP="001E284F"/>
    <w:p w14:paraId="62757A75" w14:textId="30A50939" w:rsidR="001E284F" w:rsidRPr="00E33370" w:rsidRDefault="001E284F" w:rsidP="001E284F">
      <w:r w:rsidRPr="00E33370">
        <w:t>The total number of completed surveys will not be less than 1,000 achieving a margin of error (MOE) of +/-</w:t>
      </w:r>
      <w:r w:rsidR="00726A9F" w:rsidRPr="00E33370">
        <w:t>4</w:t>
      </w:r>
      <w:r w:rsidRPr="00E33370">
        <w:t>% at the 95% confidence interval. As the survey administration includes several stages, sufficient over-recruiting will be implemented to ensure an end sample of N=1,000.  To achieve a representative end sample, there will be soft quotas</w:t>
      </w:r>
      <w:r w:rsidR="00726A9F" w:rsidRPr="00E33370">
        <w:t xml:space="preserve"> for age, race, education, and income variables</w:t>
      </w:r>
      <w:r w:rsidRPr="00E33370">
        <w:t xml:space="preserve"> </w:t>
      </w:r>
      <w:r w:rsidR="00726A9F" w:rsidRPr="00E33370">
        <w:t xml:space="preserve">proportionate to the population </w:t>
      </w:r>
      <w:r w:rsidRPr="00E33370">
        <w:t>to ensure audiences with higher than average response rates are not oversampled while populations with lower than average response rates are not underrepresented. If that becomes unduly challenging for the project, weight</w:t>
      </w:r>
      <w:r w:rsidR="0004078F">
        <w:t>ing</w:t>
      </w:r>
      <w:r w:rsidRPr="00E33370">
        <w:t xml:space="preserve"> will be </w:t>
      </w:r>
      <w:r w:rsidR="004B78B2" w:rsidRPr="00E33370">
        <w:t>used</w:t>
      </w:r>
      <w:r w:rsidRPr="00E33370">
        <w:t xml:space="preserve"> to compensate</w:t>
      </w:r>
      <w:r w:rsidR="0004078F">
        <w:t xml:space="preserve"> for this</w:t>
      </w:r>
      <w:r w:rsidRPr="00E33370">
        <w:t xml:space="preserve">.  </w:t>
      </w:r>
    </w:p>
    <w:p w14:paraId="380DAA24" w14:textId="77777777" w:rsidR="00726A9F" w:rsidRPr="00E33370" w:rsidRDefault="00726A9F" w:rsidP="001E284F"/>
    <w:p w14:paraId="4351041F" w14:textId="16D67088" w:rsidR="00DA2B14" w:rsidRPr="00E33370" w:rsidRDefault="001E284F" w:rsidP="001E284F">
      <w:r w:rsidRPr="00E33370">
        <w:t xml:space="preserve">For qualitative data collection, stratification </w:t>
      </w:r>
      <w:r w:rsidR="005801B3" w:rsidRPr="00E33370">
        <w:t>is</w:t>
      </w:r>
      <w:r w:rsidRPr="00E33370">
        <w:t xml:space="preserve"> not applicable as a representative sample is not expected, desired, or needed for this </w:t>
      </w:r>
      <w:r w:rsidR="004B78B2" w:rsidRPr="00E33370">
        <w:t>stage of the project</w:t>
      </w:r>
      <w:r w:rsidRPr="00E33370">
        <w:t>.</w:t>
      </w:r>
    </w:p>
    <w:p w14:paraId="126B41DD" w14:textId="77777777" w:rsidR="004316FF" w:rsidRPr="00E33370" w:rsidRDefault="004316FF" w:rsidP="001E284F"/>
    <w:p w14:paraId="37CA75E1" w14:textId="77777777" w:rsidR="004316FF" w:rsidRPr="00E33370" w:rsidRDefault="00984EDC" w:rsidP="001E284F">
      <w:pPr>
        <w:rPr>
          <w:i/>
        </w:rPr>
      </w:pPr>
      <w:r w:rsidRPr="00E33370">
        <w:rPr>
          <w:i/>
        </w:rPr>
        <w:t>Estimation procedure</w:t>
      </w:r>
    </w:p>
    <w:p w14:paraId="1655D3C4" w14:textId="77777777" w:rsidR="00606D83" w:rsidRPr="00E33370" w:rsidRDefault="00606D83" w:rsidP="00606D83"/>
    <w:p w14:paraId="75A9CAFC" w14:textId="465FADE4" w:rsidR="00606D83" w:rsidRPr="00E33370" w:rsidRDefault="00211BA4" w:rsidP="00606D83">
      <w:r w:rsidRPr="00E33370">
        <w:t xml:space="preserve">This study does not have an experimental design.  </w:t>
      </w:r>
      <w:r w:rsidR="00606D83" w:rsidRPr="00E33370">
        <w:t>Power estimation does not apply to any of the qualitative data collection</w:t>
      </w:r>
      <w:r w:rsidR="008B748B" w:rsidRPr="00E33370">
        <w:t xml:space="preserve"> that we will be doing. </w:t>
      </w:r>
      <w:r w:rsidR="00FA2496" w:rsidRPr="00E33370">
        <w:t>For the large quantitative</w:t>
      </w:r>
      <w:r w:rsidR="008B748B" w:rsidRPr="00E33370">
        <w:t xml:space="preserve"> survey </w:t>
      </w:r>
      <w:r w:rsidR="00FA2496" w:rsidRPr="00E33370">
        <w:t xml:space="preserve">component, we </w:t>
      </w:r>
      <w:r w:rsidR="008B748B" w:rsidRPr="00E33370">
        <w:t>will ask several questions and</w:t>
      </w:r>
      <w:r w:rsidR="00FA2496" w:rsidRPr="00E33370">
        <w:t xml:space="preserve"> the survey</w:t>
      </w:r>
      <w:r w:rsidR="008B748B" w:rsidRPr="00E33370">
        <w:t xml:space="preserve"> will involve a number of hypotheses about the perceived knowledge gain, attitude change, and behavior change intent related to completing the Older Adult Safe Mobility Assessment; therefore, it can be difficult to perform power and sample size analyses, as we are trying to detect </w:t>
      </w:r>
      <w:r w:rsidR="00FA2496" w:rsidRPr="00E33370">
        <w:t xml:space="preserve">more than </w:t>
      </w:r>
      <w:r w:rsidR="008B748B" w:rsidRPr="00E33370">
        <w:t>just one specific change or difference</w:t>
      </w:r>
      <w:r w:rsidR="005B6725" w:rsidRPr="00E33370">
        <w:t xml:space="preserve"> (Brown, 2002; Peel, 2005)</w:t>
      </w:r>
      <w:r w:rsidR="008B748B" w:rsidRPr="00E33370">
        <w:t xml:space="preserve">.  However, based on other surveys of older adults, we believe a sample of size of 1,000 will provide us with an adequate sample to conduct meaningful analyses. The survey sampling frame </w:t>
      </w:r>
      <w:r w:rsidR="00180CC9">
        <w:t>has been</w:t>
      </w:r>
      <w:r w:rsidR="008B748B" w:rsidRPr="00E33370">
        <w:t xml:space="preserve"> designed so that we can achieve a</w:t>
      </w:r>
      <w:r w:rsidR="0004078F">
        <w:t>n overall</w:t>
      </w:r>
      <w:r w:rsidR="008B748B" w:rsidRPr="00E33370">
        <w:t xml:space="preserve"> margin error of about +/-</w:t>
      </w:r>
      <w:r w:rsidR="00334FC7" w:rsidRPr="00E33370">
        <w:t>4</w:t>
      </w:r>
      <w:r w:rsidR="008B748B" w:rsidRPr="00E33370">
        <w:t xml:space="preserve">%. Additionally, we plan to over-recruit to ensure that we obtain at least 1,000 completed surveys.   </w:t>
      </w:r>
      <w:r w:rsidR="00920D03" w:rsidRPr="00E33370">
        <w:t xml:space="preserve"> </w:t>
      </w:r>
    </w:p>
    <w:p w14:paraId="11899CF1" w14:textId="77777777" w:rsidR="00AD6A79" w:rsidRPr="00E33370" w:rsidRDefault="00AD6A79" w:rsidP="001E284F">
      <w:pPr>
        <w:rPr>
          <w:i/>
        </w:rPr>
      </w:pPr>
    </w:p>
    <w:p w14:paraId="67567D40" w14:textId="6A915AC3" w:rsidR="004316FF" w:rsidRPr="00E33370" w:rsidRDefault="004316FF" w:rsidP="001E284F">
      <w:pPr>
        <w:rPr>
          <w:i/>
        </w:rPr>
      </w:pPr>
      <w:r w:rsidRPr="00E33370">
        <w:rPr>
          <w:i/>
        </w:rPr>
        <w:t>Degree of accuracy needed for the purpose</w:t>
      </w:r>
      <w:r w:rsidR="00DA2B14" w:rsidRPr="00E33370">
        <w:rPr>
          <w:i/>
        </w:rPr>
        <w:t xml:space="preserve"> described in the justification</w:t>
      </w:r>
    </w:p>
    <w:p w14:paraId="7C0FE6D3" w14:textId="77777777" w:rsidR="003D5B47" w:rsidRPr="00E33370" w:rsidRDefault="003D5B47" w:rsidP="001E284F">
      <w:pPr>
        <w:rPr>
          <w:i/>
        </w:rPr>
      </w:pPr>
    </w:p>
    <w:p w14:paraId="02BC2E66" w14:textId="62448082" w:rsidR="00837C36" w:rsidRPr="00E33370" w:rsidRDefault="009228B3" w:rsidP="001E284F">
      <w:r w:rsidRPr="00E33370">
        <w:t xml:space="preserve">We have determined the degree of accuracy in order to allow the CDC to confidently publish results in peer-reviewed journals.  The CDC team and the contractors have </w:t>
      </w:r>
      <w:r w:rsidR="00FA2496" w:rsidRPr="00E33370">
        <w:t>several</w:t>
      </w:r>
      <w:r w:rsidRPr="00E33370">
        <w:t xml:space="preserve"> years of </w:t>
      </w:r>
      <w:r w:rsidR="00FA2496" w:rsidRPr="00E33370">
        <w:t xml:space="preserve">experience in </w:t>
      </w:r>
      <w:r w:rsidRPr="00E33370">
        <w:t>creating and published peer-reviewed journal articles</w:t>
      </w:r>
      <w:r w:rsidR="007B6436" w:rsidRPr="00E33370">
        <w:t xml:space="preserve"> and have deemed the accuracy outlined above as suitable for publishing purposes</w:t>
      </w:r>
      <w:r w:rsidR="001E284F" w:rsidRPr="00E33370">
        <w:t>.</w:t>
      </w:r>
    </w:p>
    <w:p w14:paraId="084C9EC1" w14:textId="77777777" w:rsidR="004316FF" w:rsidRPr="00E33370" w:rsidRDefault="004316FF" w:rsidP="001E284F">
      <w:pPr>
        <w:rPr>
          <w:i/>
        </w:rPr>
      </w:pPr>
    </w:p>
    <w:p w14:paraId="7E72FF38" w14:textId="77777777" w:rsidR="004316FF" w:rsidRPr="00E33370" w:rsidRDefault="004316FF" w:rsidP="001E284F">
      <w:pPr>
        <w:rPr>
          <w:i/>
        </w:rPr>
      </w:pPr>
      <w:r w:rsidRPr="00E33370">
        <w:rPr>
          <w:i/>
        </w:rPr>
        <w:t>Any use of periodic (less frequent than annual) data collection cycles to reduce burden.</w:t>
      </w:r>
    </w:p>
    <w:p w14:paraId="1CB60584" w14:textId="77777777" w:rsidR="00853AD8" w:rsidRPr="00E33370" w:rsidRDefault="00853AD8" w:rsidP="001E284F"/>
    <w:p w14:paraId="7295894C" w14:textId="6C77FA3A" w:rsidR="00853AD8" w:rsidRPr="00E33370" w:rsidRDefault="00DA2B14" w:rsidP="001E284F">
      <w:r w:rsidRPr="00E33370">
        <w:t>This is a one-time study</w:t>
      </w:r>
      <w:r w:rsidR="00FA2496" w:rsidRPr="00E33370">
        <w:t xml:space="preserve"> with one-time data collections</w:t>
      </w:r>
      <w:r w:rsidRPr="00E33370">
        <w:t>; no participants will be included in the study more than one time.</w:t>
      </w:r>
    </w:p>
    <w:p w14:paraId="270AFC84" w14:textId="77777777" w:rsidR="006E1A68" w:rsidRPr="00E33370" w:rsidRDefault="006E1A68" w:rsidP="001E284F">
      <w:pPr>
        <w:rPr>
          <w:color w:val="000000"/>
        </w:rPr>
      </w:pPr>
    </w:p>
    <w:p w14:paraId="6B8628B2" w14:textId="77777777" w:rsidR="009E6CDB" w:rsidRPr="00E33370" w:rsidRDefault="009E6CDB" w:rsidP="001E284F">
      <w:pPr>
        <w:rPr>
          <w:i/>
        </w:rPr>
      </w:pPr>
      <w:r w:rsidRPr="00E33370">
        <w:rPr>
          <w:i/>
        </w:rPr>
        <w:t>Statistical concerns</w:t>
      </w:r>
    </w:p>
    <w:p w14:paraId="14D41F37" w14:textId="77777777" w:rsidR="0005092B" w:rsidRPr="00E33370" w:rsidRDefault="0005092B" w:rsidP="001E284F"/>
    <w:p w14:paraId="3E277A23" w14:textId="53C58648" w:rsidR="00920D03" w:rsidRPr="00E33370" w:rsidRDefault="001E284F" w:rsidP="00920D03">
      <w:r w:rsidRPr="00E33370">
        <w:t xml:space="preserve">Data analysis for the study will involve </w:t>
      </w:r>
      <w:r w:rsidR="00920D03" w:rsidRPr="00E33370">
        <w:t xml:space="preserve">(1) </w:t>
      </w:r>
      <w:r w:rsidRPr="00E33370">
        <w:t>descriptive analyses of qualitative information to examine thoughts and perception</w:t>
      </w:r>
      <w:r w:rsidR="0004078F">
        <w:t>s</w:t>
      </w:r>
      <w:r w:rsidR="00342CDD">
        <w:t xml:space="preserve"> of the draft T</w:t>
      </w:r>
      <w:r w:rsidRPr="00E33370">
        <w:t>ool</w:t>
      </w:r>
      <w:r w:rsidR="0004078F">
        <w:t>’s</w:t>
      </w:r>
      <w:r w:rsidRPr="00E33370">
        <w:t xml:space="preserve"> feasibility and usefulness to participants with varied mobility and socio-demographic characteristics</w:t>
      </w:r>
      <w:r w:rsidR="00920D03" w:rsidRPr="00E33370">
        <w:t>; and (2) q</w:t>
      </w:r>
      <w:r w:rsidRPr="00E33370">
        <w:t xml:space="preserve">uantitative analysis of the telephone survey will include examining the </w:t>
      </w:r>
      <w:r w:rsidR="005801B3" w:rsidRPr="00E33370">
        <w:t>relationships</w:t>
      </w:r>
      <w:r w:rsidRPr="00E33370">
        <w:t xml:space="preserve"> between specific mobility and socio-demographic characteristics with perceived knowledge gain, attitude change, and behavior change intent related to completing the draft Older Adult Safe Mobility Assessment. Multivariable analysis and modeling will be used to further disentangle the associations between mobility characteristics, accounting for potentially confounding variables. </w:t>
      </w:r>
      <w:r w:rsidR="00920D03" w:rsidRPr="00E33370">
        <w:t>The contractor will be responsible for coding of the open-ended questions included in the quantitative survey instrument. This will allow for the results to be included in the quantitative statistical analys</w:t>
      </w:r>
      <w:r w:rsidR="00FA2496" w:rsidRPr="00E33370">
        <w:t>e</w:t>
      </w:r>
      <w:r w:rsidR="00920D03" w:rsidRPr="00E33370">
        <w:t>s</w:t>
      </w:r>
      <w:r w:rsidR="00FA2496" w:rsidRPr="00E33370">
        <w:t>,</w:t>
      </w:r>
      <w:r w:rsidR="00920D03" w:rsidRPr="00E33370">
        <w:t xml:space="preserve"> as well as </w:t>
      </w:r>
      <w:r w:rsidR="00FA2496" w:rsidRPr="00E33370">
        <w:t xml:space="preserve">provide </w:t>
      </w:r>
      <w:r w:rsidR="00C24990" w:rsidRPr="00E33370">
        <w:t>mo</w:t>
      </w:r>
      <w:r w:rsidR="001D14DE">
        <w:t>re detailed data to be analyzed</w:t>
      </w:r>
      <w:r w:rsidR="00C24990" w:rsidRPr="00E33370">
        <w:t xml:space="preserve"> from a </w:t>
      </w:r>
      <w:r w:rsidR="00920D03" w:rsidRPr="00E33370">
        <w:t xml:space="preserve">qualitative </w:t>
      </w:r>
      <w:r w:rsidR="00C24990" w:rsidRPr="00E33370">
        <w:t>perspective</w:t>
      </w:r>
      <w:r w:rsidR="00920D03" w:rsidRPr="00E33370">
        <w:t xml:space="preserve">. </w:t>
      </w:r>
    </w:p>
    <w:p w14:paraId="301AD84F" w14:textId="77777777" w:rsidR="002754B6" w:rsidRDefault="002754B6" w:rsidP="001E284F"/>
    <w:p w14:paraId="5CECD056" w14:textId="5723105E" w:rsidR="0004078F" w:rsidRDefault="00D332AA" w:rsidP="0004078F">
      <w:r>
        <w:t>As with any survey, there exists the potential for bias caused by non-responders being different than responders in their reported behaviors and attitudes. To account for this, we plan to repeatedly attempt to make contact with th</w:t>
      </w:r>
      <w:r w:rsidRPr="00D332AA">
        <w:t xml:space="preserve">ose randomly selected to participate in the survey </w:t>
      </w:r>
      <w:r>
        <w:t>to</w:t>
      </w:r>
      <w:r w:rsidRPr="00D332AA">
        <w:t xml:space="preserve"> increase </w:t>
      </w:r>
      <w:r>
        <w:t xml:space="preserve">our response rate and decrease the effects of this </w:t>
      </w:r>
      <w:r w:rsidRPr="00D332AA">
        <w:t>bias</w:t>
      </w:r>
      <w:r w:rsidR="0004078F">
        <w:t xml:space="preserve">. </w:t>
      </w:r>
      <w:r>
        <w:t xml:space="preserve">Further information on this is described in Section B.3. </w:t>
      </w:r>
      <w:proofErr w:type="gramStart"/>
      <w:r>
        <w:t>below</w:t>
      </w:r>
      <w:proofErr w:type="gramEnd"/>
      <w:r>
        <w:t>.</w:t>
      </w:r>
    </w:p>
    <w:p w14:paraId="68C1EB46" w14:textId="77777777" w:rsidR="00875B58" w:rsidRDefault="00875B58" w:rsidP="001E284F"/>
    <w:p w14:paraId="6E6943AF" w14:textId="77777777" w:rsidR="00AA613D" w:rsidRPr="00E33370" w:rsidRDefault="00AA613D" w:rsidP="001E284F"/>
    <w:p w14:paraId="243675AF" w14:textId="77777777" w:rsidR="006F050E" w:rsidRPr="00E33370" w:rsidRDefault="006F050E" w:rsidP="001E284F">
      <w:pPr>
        <w:rPr>
          <w:b/>
        </w:rPr>
      </w:pPr>
      <w:bookmarkStart w:id="5" w:name="_Toc12183291"/>
      <w:bookmarkStart w:id="6" w:name="_Toc14160672"/>
      <w:r w:rsidRPr="00E33370">
        <w:rPr>
          <w:b/>
        </w:rPr>
        <w:t>B.3</w:t>
      </w:r>
      <w:proofErr w:type="gramStart"/>
      <w:r w:rsidRPr="00E33370">
        <w:rPr>
          <w:b/>
        </w:rPr>
        <w:t>.  Methods</w:t>
      </w:r>
      <w:proofErr w:type="gramEnd"/>
      <w:r w:rsidRPr="00E33370">
        <w:rPr>
          <w:b/>
        </w:rPr>
        <w:t xml:space="preserve"> to Maximize Response Rates and Deal with Nonresponse</w:t>
      </w:r>
      <w:bookmarkEnd w:id="5"/>
      <w:bookmarkEnd w:id="6"/>
    </w:p>
    <w:p w14:paraId="584D7145" w14:textId="77777777" w:rsidR="001761A5" w:rsidRPr="00E33370" w:rsidRDefault="001761A5" w:rsidP="001E284F"/>
    <w:p w14:paraId="24DA7FC0" w14:textId="2B6A61C9" w:rsidR="00DA2B14" w:rsidRDefault="00365005" w:rsidP="001E284F">
      <w:r w:rsidRPr="00E33370">
        <w:t>The data collection will entail several steps and procedures desi</w:t>
      </w:r>
      <w:r w:rsidR="00A65FC4" w:rsidRPr="00E33370">
        <w:t xml:space="preserve">gned to maximize response rate, minimize burden, </w:t>
      </w:r>
      <w:r w:rsidR="00DA2B14" w:rsidRPr="00E33370">
        <w:t xml:space="preserve">and </w:t>
      </w:r>
      <w:r w:rsidRPr="00E33370">
        <w:t>reduce non-response bias to increase data validity.</w:t>
      </w:r>
      <w:r w:rsidR="00DA2B14" w:rsidRPr="00E33370">
        <w:t xml:space="preserve"> </w:t>
      </w:r>
      <w:r w:rsidRPr="00E33370">
        <w:t xml:space="preserve">Highly trained and seasoned professional interviewers will conduct the screening process and subsequent interviews. </w:t>
      </w:r>
      <w:r w:rsidR="00DA2B14" w:rsidRPr="00E33370">
        <w:t xml:space="preserve">RWI will conduct all qualitative data collection via a subcontract through </w:t>
      </w:r>
      <w:proofErr w:type="spellStart"/>
      <w:r w:rsidR="00DA2B14" w:rsidRPr="00E33370">
        <w:t>SeBS</w:t>
      </w:r>
      <w:proofErr w:type="spellEnd"/>
      <w:r w:rsidR="00DA2B14" w:rsidRPr="00E33370">
        <w:t xml:space="preserve">.  </w:t>
      </w:r>
      <w:proofErr w:type="spellStart"/>
      <w:r w:rsidR="00DA2B14" w:rsidRPr="00E33370">
        <w:t>SeBS</w:t>
      </w:r>
      <w:proofErr w:type="spellEnd"/>
      <w:r w:rsidR="00DA2B14" w:rsidRPr="00E33370">
        <w:t xml:space="preserve"> will conduct all quantitative data collection. </w:t>
      </w:r>
      <w:proofErr w:type="spellStart"/>
      <w:r w:rsidR="00DA2B14" w:rsidRPr="00E33370">
        <w:t>SeBS</w:t>
      </w:r>
      <w:proofErr w:type="spellEnd"/>
      <w:r w:rsidR="00DA2B14" w:rsidRPr="00E33370">
        <w:t xml:space="preserve"> and RWI employs and contracts with professional and highly trained staff, contractors and vendor firms. All associated data collectors will have professional experience in national-scale market research and evaluation. Interviewers are skilled in engaging with the target population</w:t>
      </w:r>
      <w:r w:rsidR="00834E54" w:rsidRPr="00E33370">
        <w:t xml:space="preserve">, with several projects completed with the Centers for Medicare/Medicaid Services, AARP, and other clients, </w:t>
      </w:r>
      <w:r w:rsidR="00DA2B14" w:rsidRPr="00E33370">
        <w:t>ensuring a professional and pleasant experience for the respondents</w:t>
      </w:r>
      <w:r w:rsidR="00E53A5E">
        <w:t>,</w:t>
      </w:r>
      <w:r w:rsidR="00DA2B14" w:rsidRPr="00E33370">
        <w:t xml:space="preserve"> enhancing response and completion rates</w:t>
      </w:r>
      <w:r w:rsidR="00E53A5E">
        <w:t>,</w:t>
      </w:r>
      <w:r w:rsidR="00DA2B14" w:rsidRPr="00E33370">
        <w:t xml:space="preserve"> and reducing refusals</w:t>
      </w:r>
      <w:r w:rsidR="00834E54" w:rsidRPr="00E33370">
        <w:t xml:space="preserve"> (</w:t>
      </w:r>
      <w:proofErr w:type="spellStart"/>
      <w:r w:rsidR="00834E54" w:rsidRPr="00E33370">
        <w:t>Fyock</w:t>
      </w:r>
      <w:proofErr w:type="spellEnd"/>
      <w:r w:rsidR="00834E54" w:rsidRPr="00E33370">
        <w:t>, 2001)</w:t>
      </w:r>
      <w:r w:rsidR="00DA2B14" w:rsidRPr="00E33370">
        <w:t xml:space="preserve">. All data collectors will be thoroughly screened and their interviewing abilities tested prior to their being employed by the research team. For this study, data collectors will receive approximately </w:t>
      </w:r>
      <w:r w:rsidR="00B46983" w:rsidRPr="00E33370">
        <w:t>1-2</w:t>
      </w:r>
      <w:r w:rsidR="00DA2B14" w:rsidRPr="00E33370">
        <w:t xml:space="preserve"> hours of project</w:t>
      </w:r>
      <w:r w:rsidR="00DA2B14" w:rsidRPr="00E33370">
        <w:noBreakHyphen/>
        <w:t>specific training. The content of training will include:  eligibility determination, recruitment, informed assent, enrollment, and survey administration.</w:t>
      </w:r>
    </w:p>
    <w:p w14:paraId="06264D0C" w14:textId="77777777" w:rsidR="007D333E" w:rsidRPr="00E33370" w:rsidRDefault="007D333E" w:rsidP="001E284F"/>
    <w:p w14:paraId="353F29EF" w14:textId="3353A0E0" w:rsidR="00365005" w:rsidRPr="00E33370" w:rsidRDefault="00376CF6" w:rsidP="001E284F">
      <w:r w:rsidRPr="00E33370">
        <w:t>Intercepts and recruitment c</w:t>
      </w:r>
      <w:r w:rsidR="00365005" w:rsidRPr="00E33370">
        <w:t>alls</w:t>
      </w:r>
      <w:r w:rsidRPr="00E33370">
        <w:t xml:space="preserve"> for</w:t>
      </w:r>
      <w:r w:rsidR="00E53A5E">
        <w:t xml:space="preserve"> the</w:t>
      </w:r>
      <w:r w:rsidRPr="00E33370">
        <w:t xml:space="preserve"> focus groups and </w:t>
      </w:r>
      <w:r w:rsidR="00932FB9" w:rsidRPr="00E33370">
        <w:t xml:space="preserve">the </w:t>
      </w:r>
      <w:r w:rsidRPr="00E33370">
        <w:t>telephone survey</w:t>
      </w:r>
      <w:r w:rsidR="00365005" w:rsidRPr="00E33370">
        <w:t xml:space="preserve"> will be </w:t>
      </w:r>
      <w:r w:rsidRPr="00E33370">
        <w:t>done</w:t>
      </w:r>
      <w:r w:rsidR="00365005" w:rsidRPr="00E33370">
        <w:t xml:space="preserve"> during the week and on weekends. </w:t>
      </w:r>
      <w:r w:rsidRPr="00E33370">
        <w:t xml:space="preserve">Focus groups will be held after work hours to accommodate working older adults.  </w:t>
      </w:r>
      <w:r w:rsidR="00365005" w:rsidRPr="00E33370">
        <w:t>Additionally, respondents will be contacted during different times of a day to avoid exclusion of respondents w</w:t>
      </w:r>
      <w:r w:rsidR="00E53A5E">
        <w:t xml:space="preserve">ho may work or be </w:t>
      </w:r>
      <w:proofErr w:type="gramStart"/>
      <w:r w:rsidR="00E53A5E">
        <w:t>more busy</w:t>
      </w:r>
      <w:proofErr w:type="gramEnd"/>
      <w:r w:rsidR="00E53A5E">
        <w:t xml:space="preserve"> at certain times of the day</w:t>
      </w:r>
      <w:r w:rsidR="00365005" w:rsidRPr="00E33370">
        <w:t>. Survey interviews are prescheduled to ensure the respondent is available to participate during the survey timeframe.</w:t>
      </w:r>
      <w:r w:rsidR="00DA2B14" w:rsidRPr="00E33370">
        <w:t xml:space="preserve">  </w:t>
      </w:r>
    </w:p>
    <w:p w14:paraId="0F95349D" w14:textId="77777777" w:rsidR="00376CF6" w:rsidRPr="00E33370" w:rsidRDefault="00376CF6" w:rsidP="001E284F"/>
    <w:p w14:paraId="10129E81" w14:textId="79127807" w:rsidR="00834E54" w:rsidRPr="00E33370" w:rsidRDefault="00376CF6" w:rsidP="00834E54">
      <w:r w:rsidRPr="00E33370">
        <w:t xml:space="preserve">Incentives will be offered to all participants to increase response rates and optimize participation.  </w:t>
      </w:r>
      <w:r w:rsidR="00834E54" w:rsidRPr="00E33370">
        <w:t xml:space="preserve"> It is standard practice to provide remuneration to respondents in order to maximize response rates. We have worked on numerous projects with populations similar to that in the proposed research, for which financial incentives were necessary to obtain the desired number of respondents. These include studies conducted with AARP on physical activity and other health behaviors (proprietary report), CMS /HCFA on health plan choices (</w:t>
      </w:r>
      <w:proofErr w:type="spellStart"/>
      <w:r w:rsidR="00834E54" w:rsidRPr="00E33370">
        <w:rPr>
          <w:bCs/>
        </w:rPr>
        <w:t>Fyock</w:t>
      </w:r>
      <w:proofErr w:type="spellEnd"/>
      <w:r w:rsidR="00834E54" w:rsidRPr="00E33370">
        <w:rPr>
          <w:bCs/>
        </w:rPr>
        <w:t>, 2001</w:t>
      </w:r>
      <w:r w:rsidR="00834E54" w:rsidRPr="00E33370">
        <w:t>), and currently the ACA's Health Insurance Exchanges (in progress).</w:t>
      </w:r>
    </w:p>
    <w:p w14:paraId="37665761" w14:textId="77777777" w:rsidR="00E0188D" w:rsidRPr="00E33370" w:rsidRDefault="00E0188D" w:rsidP="001E284F"/>
    <w:p w14:paraId="6C330292" w14:textId="0666808E" w:rsidR="00E0188D" w:rsidRPr="00E33370" w:rsidRDefault="00E0188D" w:rsidP="001E284F">
      <w:bookmarkStart w:id="7" w:name="_Toc152469769"/>
      <w:bookmarkStart w:id="8" w:name="_Toc152656353"/>
      <w:r w:rsidRPr="00E33370">
        <w:t>The following procedures will be used to maximize cooperation and to achieve the desired high response rates</w:t>
      </w:r>
      <w:r w:rsidR="001A224E" w:rsidRPr="00E33370">
        <w:t xml:space="preserve"> and </w:t>
      </w:r>
      <w:r w:rsidR="002137AB" w:rsidRPr="00E33370">
        <w:t xml:space="preserve">to </w:t>
      </w:r>
      <w:r w:rsidR="001A224E" w:rsidRPr="00E33370">
        <w:t>protect respondents</w:t>
      </w:r>
      <w:r w:rsidR="00834E54" w:rsidRPr="00E33370">
        <w:t>, which can offer them peace of mind and increase response rates</w:t>
      </w:r>
      <w:bookmarkEnd w:id="7"/>
      <w:bookmarkEnd w:id="8"/>
      <w:r w:rsidR="007D333E">
        <w:t>:</w:t>
      </w:r>
    </w:p>
    <w:p w14:paraId="7BF68F2D" w14:textId="2A4F849F" w:rsidR="00D2071F" w:rsidRPr="00E33370" w:rsidRDefault="00D2071F" w:rsidP="001E284F">
      <w:pPr>
        <w:pStyle w:val="ListParagraph"/>
        <w:numPr>
          <w:ilvl w:val="0"/>
          <w:numId w:val="22"/>
        </w:numPr>
      </w:pPr>
      <w:r w:rsidRPr="00E33370">
        <w:t xml:space="preserve">Recruitment calls </w:t>
      </w:r>
      <w:r w:rsidR="00932FB9" w:rsidRPr="00E33370">
        <w:t>to</w:t>
      </w:r>
      <w:r w:rsidRPr="00E33370">
        <w:t xml:space="preserve"> contacts will be</w:t>
      </w:r>
      <w:r w:rsidR="009A1FE2" w:rsidRPr="00E33370">
        <w:t xml:space="preserve"> made up to 3 times to increase response rates but will not exceed</w:t>
      </w:r>
      <w:r w:rsidRPr="00E33370">
        <w:t xml:space="preserve"> 3 attempts</w:t>
      </w:r>
      <w:r w:rsidR="009A1FE2" w:rsidRPr="00E33370">
        <w:t>,</w:t>
      </w:r>
      <w:r w:rsidRPr="00E33370">
        <w:t xml:space="preserve"> so as to not </w:t>
      </w:r>
      <w:r w:rsidR="00E53A5E">
        <w:t>unduly bother</w:t>
      </w:r>
      <w:r w:rsidR="00E53A5E" w:rsidRPr="00E33370">
        <w:t xml:space="preserve"> </w:t>
      </w:r>
      <w:r w:rsidRPr="00E33370">
        <w:t>them</w:t>
      </w:r>
      <w:r w:rsidR="00E53A5E">
        <w:t>.</w:t>
      </w:r>
    </w:p>
    <w:p w14:paraId="3CDFA02B" w14:textId="684D8410" w:rsidR="000D38C0" w:rsidRPr="00E33370" w:rsidRDefault="000D38C0" w:rsidP="00E53A5E">
      <w:pPr>
        <w:pStyle w:val="ListParagraph"/>
        <w:numPr>
          <w:ilvl w:val="0"/>
          <w:numId w:val="22"/>
        </w:numPr>
      </w:pPr>
      <w:r w:rsidRPr="00E33370">
        <w:t>Participants will have their names, phone number, and mail addresses obtained by RWI</w:t>
      </w:r>
      <w:r w:rsidR="00E53A5E">
        <w:t>, and n</w:t>
      </w:r>
      <w:r w:rsidRPr="00E33370">
        <w:t>o personally identifiable information will be collected during the interviews</w:t>
      </w:r>
      <w:r w:rsidR="00E53A5E">
        <w:t>.</w:t>
      </w:r>
    </w:p>
    <w:p w14:paraId="6A105DF9" w14:textId="33262839" w:rsidR="000D38C0" w:rsidRPr="00E33370" w:rsidRDefault="000D38C0" w:rsidP="001E284F">
      <w:pPr>
        <w:pStyle w:val="ListParagraph"/>
        <w:numPr>
          <w:ilvl w:val="0"/>
          <w:numId w:val="22"/>
        </w:numPr>
      </w:pPr>
      <w:r w:rsidRPr="00E33370">
        <w:t>Names, phone numbers, and addresses will not be stored with the data collected</w:t>
      </w:r>
      <w:r w:rsidR="00E53A5E">
        <w:t>.</w:t>
      </w:r>
    </w:p>
    <w:p w14:paraId="10F1F6D2" w14:textId="59E1D937" w:rsidR="005B49FC" w:rsidRPr="00E33370" w:rsidRDefault="000D38C0" w:rsidP="001E284F">
      <w:pPr>
        <w:pStyle w:val="ListParagraph"/>
        <w:numPr>
          <w:ilvl w:val="0"/>
          <w:numId w:val="22"/>
        </w:numPr>
      </w:pPr>
      <w:r w:rsidRPr="00E33370">
        <w:t>Data that is stor</w:t>
      </w:r>
      <w:r w:rsidR="005B49FC" w:rsidRPr="00E33370">
        <w:t>ed will be de-identified and remain anonymous</w:t>
      </w:r>
      <w:r w:rsidR="00E53A5E">
        <w:t>.</w:t>
      </w:r>
    </w:p>
    <w:p w14:paraId="2D969634" w14:textId="5A9E95DB" w:rsidR="005B49FC" w:rsidRPr="00E33370" w:rsidRDefault="005B49FC" w:rsidP="001E284F">
      <w:pPr>
        <w:pStyle w:val="ListParagraph"/>
        <w:numPr>
          <w:ilvl w:val="0"/>
          <w:numId w:val="22"/>
        </w:numPr>
      </w:pPr>
      <w:r w:rsidRPr="00E33370">
        <w:t>CDC ultimately own</w:t>
      </w:r>
      <w:r w:rsidR="00342CDD">
        <w:t>s</w:t>
      </w:r>
      <w:r w:rsidRPr="00E33370">
        <w:t xml:space="preserve"> all data collected and the data received by CDC will not include personally identifiable information</w:t>
      </w:r>
      <w:r w:rsidR="00E53A5E">
        <w:t>.</w:t>
      </w:r>
    </w:p>
    <w:p w14:paraId="050D2069" w14:textId="4957EB01" w:rsidR="00D44C00" w:rsidRPr="00E33370" w:rsidRDefault="005B49FC" w:rsidP="001E284F">
      <w:pPr>
        <w:pStyle w:val="ListParagraph"/>
        <w:numPr>
          <w:ilvl w:val="0"/>
          <w:numId w:val="22"/>
        </w:numPr>
      </w:pPr>
      <w:r w:rsidRPr="00E33370">
        <w:lastRenderedPageBreak/>
        <w:t>All respondents will be assured that the information they provide will be treated in a secure manner and will be used only for the purpose of this evaluation and validation study</w:t>
      </w:r>
      <w:r w:rsidR="00E53A5E">
        <w:t>.</w:t>
      </w:r>
    </w:p>
    <w:p w14:paraId="63A1159D" w14:textId="2BE387CF" w:rsidR="00E0188D" w:rsidRPr="00E33370" w:rsidRDefault="00342CDD" w:rsidP="001E284F">
      <w:pPr>
        <w:pStyle w:val="ListParagraph"/>
        <w:numPr>
          <w:ilvl w:val="0"/>
          <w:numId w:val="22"/>
        </w:numPr>
      </w:pPr>
      <w:r>
        <w:t xml:space="preserve">RWI, </w:t>
      </w:r>
      <w:proofErr w:type="spellStart"/>
      <w:r>
        <w:t>Se</w:t>
      </w:r>
      <w:r w:rsidR="00E53A5E">
        <w:t>BS</w:t>
      </w:r>
      <w:proofErr w:type="spellEnd"/>
      <w:r w:rsidR="00E53A5E">
        <w:t>, and hired d</w:t>
      </w:r>
      <w:r w:rsidR="003D7A27" w:rsidRPr="00E33370">
        <w:t>ata collectors</w:t>
      </w:r>
      <w:r w:rsidR="00E072B8" w:rsidRPr="00E33370">
        <w:t xml:space="preserve"> </w:t>
      </w:r>
      <w:r w:rsidR="00E0188D" w:rsidRPr="00E33370">
        <w:t xml:space="preserve">will use best practices in developing relationships of trust and cooperation with </w:t>
      </w:r>
      <w:r w:rsidR="005B49FC" w:rsidRPr="00E33370">
        <w:t xml:space="preserve">study </w:t>
      </w:r>
      <w:r w:rsidR="001E36BF" w:rsidRPr="00E33370">
        <w:t>participants</w:t>
      </w:r>
      <w:r w:rsidR="00E0188D" w:rsidRPr="00E33370">
        <w:t>.</w:t>
      </w:r>
    </w:p>
    <w:p w14:paraId="35C70E17" w14:textId="06A11609" w:rsidR="00D44C00" w:rsidRPr="00E33370" w:rsidRDefault="005B49FC" w:rsidP="001E284F">
      <w:pPr>
        <w:pStyle w:val="ListParagraph"/>
        <w:numPr>
          <w:ilvl w:val="0"/>
          <w:numId w:val="22"/>
        </w:numPr>
      </w:pPr>
      <w:r w:rsidRPr="00E33370">
        <w:t xml:space="preserve">All </w:t>
      </w:r>
      <w:r w:rsidR="0031460F" w:rsidRPr="00E33370">
        <w:t xml:space="preserve">participants will undergo </w:t>
      </w:r>
      <w:r w:rsidR="005710E5" w:rsidRPr="00E33370">
        <w:t xml:space="preserve">active </w:t>
      </w:r>
      <w:r w:rsidR="0031460F" w:rsidRPr="00E33370">
        <w:t>consenting so they are fully advised of their rights</w:t>
      </w:r>
      <w:r w:rsidR="00E53A5E">
        <w:t>.</w:t>
      </w:r>
    </w:p>
    <w:p w14:paraId="30744AF8" w14:textId="26A72A36" w:rsidR="005B49FC" w:rsidRPr="00E33370" w:rsidRDefault="00834E54" w:rsidP="001E284F">
      <w:pPr>
        <w:pStyle w:val="ListParagraph"/>
        <w:numPr>
          <w:ilvl w:val="0"/>
          <w:numId w:val="22"/>
        </w:numPr>
      </w:pPr>
      <w:r w:rsidRPr="00E33370">
        <w:t>Participants will receive cash thank you gift for their participation, which typically</w:t>
      </w:r>
      <w:r w:rsidR="009A1FE2" w:rsidRPr="00E33370">
        <w:t xml:space="preserve"> increase</w:t>
      </w:r>
      <w:r w:rsidRPr="00E33370">
        <w:t>s</w:t>
      </w:r>
      <w:r w:rsidR="009A1FE2" w:rsidRPr="00E33370">
        <w:t xml:space="preserve"> response rates</w:t>
      </w:r>
    </w:p>
    <w:p w14:paraId="786CD1EC" w14:textId="77777777" w:rsidR="001E36BF" w:rsidRPr="00E33370" w:rsidRDefault="005B49FC" w:rsidP="00D2071F">
      <w:pPr>
        <w:pStyle w:val="ListParagraph"/>
        <w:numPr>
          <w:ilvl w:val="1"/>
          <w:numId w:val="22"/>
        </w:numPr>
      </w:pPr>
      <w:r w:rsidRPr="00E33370">
        <w:t>Focus group participant= $125 for 1.5</w:t>
      </w:r>
      <w:r w:rsidR="001E36BF" w:rsidRPr="00E33370">
        <w:t>-2 hours in-person involvement</w:t>
      </w:r>
    </w:p>
    <w:p w14:paraId="01BE5608" w14:textId="1D66563F" w:rsidR="001E36BF" w:rsidRPr="00E33370" w:rsidRDefault="005F3E34" w:rsidP="00D2071F">
      <w:pPr>
        <w:pStyle w:val="ListParagraph"/>
        <w:numPr>
          <w:ilvl w:val="1"/>
          <w:numId w:val="22"/>
        </w:numPr>
      </w:pPr>
      <w:r w:rsidRPr="00E33370">
        <w:t>Intercept participant= $10</w:t>
      </w:r>
      <w:r w:rsidR="001E36BF" w:rsidRPr="00E33370">
        <w:t xml:space="preserve"> gift card or nonprofit donation for </w:t>
      </w:r>
      <w:r w:rsidRPr="00E33370">
        <w:t>30</w:t>
      </w:r>
      <w:r w:rsidR="001E36BF" w:rsidRPr="00E33370">
        <w:t xml:space="preserve"> minutes in-person</w:t>
      </w:r>
    </w:p>
    <w:p w14:paraId="0B58AB02" w14:textId="6E8861D6" w:rsidR="00BF2DDB" w:rsidRPr="00E33370" w:rsidRDefault="001E36BF" w:rsidP="00D2071F">
      <w:pPr>
        <w:pStyle w:val="ListParagraph"/>
        <w:numPr>
          <w:ilvl w:val="1"/>
          <w:numId w:val="22"/>
        </w:numPr>
      </w:pPr>
      <w:r w:rsidRPr="00E33370">
        <w:t>Survey participant= Up to $50 for review of stimulus materials (15 minut</w:t>
      </w:r>
      <w:r w:rsidR="005F3E34" w:rsidRPr="00E33370">
        <w:t>es) and telephone interview (~</w:t>
      </w:r>
      <w:r w:rsidRPr="00E33370">
        <w:t>12 minutes)</w:t>
      </w:r>
      <w:bookmarkStart w:id="9" w:name="_Toc12183292"/>
      <w:bookmarkStart w:id="10" w:name="_Toc14160673"/>
    </w:p>
    <w:p w14:paraId="63A51144" w14:textId="77777777" w:rsidR="00EE1CFF" w:rsidRPr="00E33370" w:rsidRDefault="00EE1CFF" w:rsidP="001E284F"/>
    <w:p w14:paraId="1215EE72" w14:textId="77777777" w:rsidR="00AA613D" w:rsidRDefault="00AA613D" w:rsidP="001E284F">
      <w:pPr>
        <w:rPr>
          <w:b/>
        </w:rPr>
      </w:pPr>
    </w:p>
    <w:p w14:paraId="01D03C4B" w14:textId="77777777" w:rsidR="001E284F" w:rsidRPr="00E33370" w:rsidRDefault="006F050E" w:rsidP="001E284F">
      <w:pPr>
        <w:rPr>
          <w:b/>
        </w:rPr>
      </w:pPr>
      <w:r w:rsidRPr="00E33370">
        <w:rPr>
          <w:b/>
        </w:rPr>
        <w:t xml:space="preserve">B.4. Test of Procedures or Methods to be </w:t>
      </w:r>
      <w:proofErr w:type="gramStart"/>
      <w:r w:rsidRPr="00E33370">
        <w:rPr>
          <w:b/>
        </w:rPr>
        <w:t>Undertaken</w:t>
      </w:r>
      <w:bookmarkEnd w:id="9"/>
      <w:bookmarkEnd w:id="10"/>
      <w:proofErr w:type="gramEnd"/>
    </w:p>
    <w:p w14:paraId="307C5629" w14:textId="77777777" w:rsidR="001E284F" w:rsidRPr="00E33370" w:rsidRDefault="001E284F" w:rsidP="001E284F"/>
    <w:p w14:paraId="03BD510B" w14:textId="5E1340D6" w:rsidR="00771106" w:rsidRPr="00E33370" w:rsidRDefault="00B66083" w:rsidP="001E284F">
      <w:r w:rsidRPr="00E33370">
        <w:t>The research instruments</w:t>
      </w:r>
      <w:r w:rsidR="001E284F" w:rsidRPr="00E33370">
        <w:t xml:space="preserve"> will undergo pretesting</w:t>
      </w:r>
      <w:r w:rsidR="006C621A">
        <w:t xml:space="preserve"> involving</w:t>
      </w:r>
      <w:r w:rsidR="006C621A" w:rsidRPr="00E33370">
        <w:t xml:space="preserve"> </w:t>
      </w:r>
      <w:r w:rsidRPr="00E33370">
        <w:t xml:space="preserve">a small convenience sample of </w:t>
      </w:r>
      <w:r w:rsidR="00771106" w:rsidRPr="00E33370">
        <w:t xml:space="preserve">no more than </w:t>
      </w:r>
      <w:r w:rsidR="00211BA4" w:rsidRPr="00E33370">
        <w:t>9</w:t>
      </w:r>
      <w:r w:rsidR="00771106" w:rsidRPr="00E33370">
        <w:t xml:space="preserve"> </w:t>
      </w:r>
      <w:r w:rsidRPr="00E33370">
        <w:t xml:space="preserve">older adults 60-74 with good mobility </w:t>
      </w:r>
      <w:r w:rsidR="001E284F" w:rsidRPr="00E33370">
        <w:t>with a balance of gender, race, and socio-economic status</w:t>
      </w:r>
      <w:r w:rsidR="00211BA4" w:rsidRPr="00E33370">
        <w:t xml:space="preserve"> and will mimic the administration techniques planned (</w:t>
      </w:r>
      <w:r w:rsidR="00A516BF">
        <w:t xml:space="preserve">i.e., </w:t>
      </w:r>
      <w:r w:rsidR="00211BA4" w:rsidRPr="00E33370">
        <w:t>phone</w:t>
      </w:r>
      <w:r w:rsidR="00A516BF">
        <w:t>,</w:t>
      </w:r>
      <w:r w:rsidR="00AA613D">
        <w:t xml:space="preserve"> </w:t>
      </w:r>
      <w:r w:rsidR="00211BA4" w:rsidRPr="00E33370">
        <w:t>in-person discussion)</w:t>
      </w:r>
      <w:r w:rsidR="001E284F" w:rsidRPr="00E33370">
        <w:t xml:space="preserve">. </w:t>
      </w:r>
      <w:r w:rsidR="00211BA4" w:rsidRPr="00E33370">
        <w:t>Only minor revisions are expected because we are using methods that have been used with this population</w:t>
      </w:r>
      <w:r w:rsidR="00E10DC0" w:rsidRPr="00E33370">
        <w:t xml:space="preserve"> and</w:t>
      </w:r>
      <w:r w:rsidR="00211BA4" w:rsidRPr="00E33370">
        <w:t xml:space="preserve"> by this research team for the purpose of developing a consumer-acceptable </w:t>
      </w:r>
      <w:r w:rsidR="00342CDD">
        <w:t>t</w:t>
      </w:r>
      <w:r w:rsidR="00A516BF">
        <w:t>ool</w:t>
      </w:r>
      <w:r w:rsidR="00211BA4" w:rsidRPr="00E33370">
        <w:t xml:space="preserve">. </w:t>
      </w:r>
      <w:r w:rsidR="00E33370" w:rsidRPr="00E33370">
        <w:t>Revisions may include rewording of questions to optimize respondent</w:t>
      </w:r>
      <w:r w:rsidR="00A516BF">
        <w:t>s’</w:t>
      </w:r>
      <w:r w:rsidR="00E33370" w:rsidRPr="00E33370">
        <w:t xml:space="preserve"> understanding and </w:t>
      </w:r>
      <w:r w:rsidR="00A516BF">
        <w:t xml:space="preserve">to </w:t>
      </w:r>
      <w:r w:rsidR="00E33370" w:rsidRPr="00E33370">
        <w:t>maximize</w:t>
      </w:r>
      <w:r w:rsidR="00A516BF">
        <w:t xml:space="preserve"> the </w:t>
      </w:r>
      <w:r w:rsidR="00E33370" w:rsidRPr="00E33370">
        <w:t xml:space="preserve">quality of the data collected.  </w:t>
      </w:r>
      <w:r w:rsidR="0004026A" w:rsidRPr="00E33370">
        <w:t xml:space="preserve">We will inform OMB of any changes to the survey procedures or data collection instruments </w:t>
      </w:r>
      <w:r w:rsidR="00E33370" w:rsidRPr="00E33370">
        <w:t xml:space="preserve">that we make </w:t>
      </w:r>
      <w:r w:rsidR="0004026A" w:rsidRPr="00E33370">
        <w:t>as quickly as possible and before receiving OMB approval.</w:t>
      </w:r>
    </w:p>
    <w:p w14:paraId="2DD21B5F" w14:textId="77777777" w:rsidR="001E284F" w:rsidRPr="00E33370" w:rsidRDefault="001E284F" w:rsidP="001E284F"/>
    <w:p w14:paraId="6C0189F2" w14:textId="77777777" w:rsidR="00AA613D" w:rsidRDefault="00AA613D" w:rsidP="001E284F">
      <w:pPr>
        <w:rPr>
          <w:b/>
        </w:rPr>
      </w:pPr>
      <w:bookmarkStart w:id="11" w:name="_Toc14160674"/>
    </w:p>
    <w:p w14:paraId="2F8CC806" w14:textId="77777777" w:rsidR="006F050E" w:rsidRPr="00E33370" w:rsidRDefault="006F050E" w:rsidP="001E284F">
      <w:pPr>
        <w:rPr>
          <w:b/>
        </w:rPr>
      </w:pPr>
      <w:r w:rsidRPr="00E33370">
        <w:rPr>
          <w:b/>
        </w:rPr>
        <w:t>B.</w:t>
      </w:r>
      <w:bookmarkStart w:id="12" w:name="_Toc12183305"/>
      <w:r w:rsidRPr="00E33370">
        <w:rPr>
          <w:b/>
        </w:rPr>
        <w:t>5. Individuals Consulted</w:t>
      </w:r>
      <w:bookmarkEnd w:id="12"/>
      <w:r w:rsidRPr="00E33370">
        <w:rPr>
          <w:b/>
        </w:rPr>
        <w:t xml:space="preserve"> on Statistical Aspects and Individuals Collecting and/or Analyzing Data</w:t>
      </w:r>
      <w:bookmarkEnd w:id="11"/>
      <w:r w:rsidRPr="00E33370">
        <w:rPr>
          <w:b/>
        </w:rPr>
        <w:t xml:space="preserve"> </w:t>
      </w:r>
    </w:p>
    <w:p w14:paraId="1EB59360" w14:textId="77777777" w:rsidR="00E33370" w:rsidRPr="00E33370" w:rsidRDefault="00E33370" w:rsidP="001E284F">
      <w:pPr>
        <w:rPr>
          <w:b/>
        </w:rPr>
      </w:pPr>
    </w:p>
    <w:p w14:paraId="3F3AB81A" w14:textId="116813CC" w:rsidR="001E284F" w:rsidRPr="00E33370" w:rsidRDefault="006F050E" w:rsidP="001E284F">
      <w:r w:rsidRPr="00E33370">
        <w:t>All instruments and procedures have been reviewed extensively by CDC</w:t>
      </w:r>
      <w:r w:rsidR="00FD176E" w:rsidRPr="00E33370">
        <w:t xml:space="preserve">, </w:t>
      </w:r>
      <w:r w:rsidR="002137AB" w:rsidRPr="00E33370">
        <w:t>specifically</w:t>
      </w:r>
      <w:r w:rsidR="00FD176E" w:rsidRPr="00E33370">
        <w:t>:</w:t>
      </w:r>
      <w:r w:rsidRPr="00E33370">
        <w:t xml:space="preserve"> </w:t>
      </w:r>
    </w:p>
    <w:p w14:paraId="33799D31" w14:textId="77777777" w:rsidR="001E284F" w:rsidRPr="00E33370" w:rsidRDefault="001E284F" w:rsidP="001E284F"/>
    <w:p w14:paraId="791A1D10" w14:textId="52DDDE46" w:rsidR="001C2B5B" w:rsidRPr="00E33370" w:rsidRDefault="001C2B5B" w:rsidP="001E284F">
      <w:r w:rsidRPr="00E33370">
        <w:t xml:space="preserve">Rebecca </w:t>
      </w:r>
      <w:proofErr w:type="spellStart"/>
      <w:r w:rsidRPr="00E33370">
        <w:t>Naumman</w:t>
      </w:r>
      <w:proofErr w:type="spellEnd"/>
      <w:r w:rsidRPr="00E33370">
        <w:t xml:space="preserve">, </w:t>
      </w:r>
      <w:r w:rsidR="00342CDD">
        <w:t xml:space="preserve">MSPH, </w:t>
      </w:r>
      <w:r w:rsidR="00FD176E" w:rsidRPr="00E33370">
        <w:t xml:space="preserve">National Center for Injury Prevention and Control, </w:t>
      </w:r>
      <w:r w:rsidRPr="00E33370">
        <w:t>CDC</w:t>
      </w:r>
    </w:p>
    <w:p w14:paraId="35A28195" w14:textId="2D1BA1DA" w:rsidR="001C2B5B" w:rsidRPr="00E33370" w:rsidRDefault="001C2B5B" w:rsidP="001E284F">
      <w:r w:rsidRPr="00E33370">
        <w:t>Phone</w:t>
      </w:r>
      <w:r w:rsidR="00FD176E" w:rsidRPr="00E33370">
        <w:t>: 770-488-3922</w:t>
      </w:r>
    </w:p>
    <w:p w14:paraId="02A432FB" w14:textId="3A7DBAA5" w:rsidR="001C2B5B" w:rsidRDefault="001C2B5B" w:rsidP="001E284F">
      <w:r w:rsidRPr="00E33370">
        <w:t>Email</w:t>
      </w:r>
      <w:r w:rsidR="00FD176E" w:rsidRPr="00E33370">
        <w:t xml:space="preserve">: </w:t>
      </w:r>
      <w:hyperlink r:id="rId11" w:history="1">
        <w:r w:rsidR="00263B68" w:rsidRPr="00147270">
          <w:rPr>
            <w:rStyle w:val="Hyperlink"/>
          </w:rPr>
          <w:t>RNaumann@cdc.gov</w:t>
        </w:r>
      </w:hyperlink>
    </w:p>
    <w:p w14:paraId="0BDDD132" w14:textId="77777777" w:rsidR="001C2B5B" w:rsidRPr="00E33370" w:rsidRDefault="001C2B5B" w:rsidP="001E284F"/>
    <w:p w14:paraId="4AFC5ADD" w14:textId="77777777" w:rsidR="00FD176E" w:rsidRPr="00E33370" w:rsidRDefault="00FD176E" w:rsidP="00FD176E">
      <w:r w:rsidRPr="00E33370">
        <w:t>The following individuals have worked closely in developing the instrument and procedures that will be used, and will be responsible for data analysis:</w:t>
      </w:r>
    </w:p>
    <w:p w14:paraId="79D9DA8E" w14:textId="77777777" w:rsidR="001C2B5B" w:rsidRPr="00E33370" w:rsidRDefault="001C2B5B" w:rsidP="001E284F"/>
    <w:p w14:paraId="34082EC7" w14:textId="27B618E4" w:rsidR="001E284F" w:rsidRPr="00E33370" w:rsidRDefault="001E284F" w:rsidP="001E284F">
      <w:r w:rsidRPr="00E33370">
        <w:t xml:space="preserve">Les Barnett, </w:t>
      </w:r>
      <w:proofErr w:type="spellStart"/>
      <w:r w:rsidRPr="00E33370">
        <w:t>SeBS</w:t>
      </w:r>
      <w:proofErr w:type="spellEnd"/>
      <w:r w:rsidR="001C2B5B" w:rsidRPr="00E33370">
        <w:t xml:space="preserve"> (</w:t>
      </w:r>
      <w:r w:rsidR="00A516BF">
        <w:t>responsible for data</w:t>
      </w:r>
      <w:r w:rsidR="00A516BF" w:rsidRPr="00E33370">
        <w:t xml:space="preserve"> </w:t>
      </w:r>
      <w:r w:rsidR="001C2B5B" w:rsidRPr="00E33370">
        <w:t>collect</w:t>
      </w:r>
      <w:r w:rsidR="00A516BF">
        <w:t>ion and analysis</w:t>
      </w:r>
      <w:r w:rsidR="001C2B5B" w:rsidRPr="00E33370">
        <w:t>)</w:t>
      </w:r>
    </w:p>
    <w:p w14:paraId="38F75312" w14:textId="77777777" w:rsidR="001E284F" w:rsidRPr="00E33370" w:rsidRDefault="001E284F" w:rsidP="001E284F"/>
    <w:p w14:paraId="7E820854" w14:textId="777BCC38" w:rsidR="001E284F" w:rsidRPr="00E33370" w:rsidRDefault="001E284F" w:rsidP="001E284F">
      <w:r w:rsidRPr="00E33370">
        <w:t>Teresa Sanchez, M.A., Vice President, ResearchWorks</w:t>
      </w:r>
      <w:r w:rsidR="001C2B5B" w:rsidRPr="00E33370">
        <w:t xml:space="preserve"> (designed the data collection, will collect data, </w:t>
      </w:r>
      <w:r w:rsidR="00A516BF">
        <w:t xml:space="preserve">and </w:t>
      </w:r>
      <w:r w:rsidR="001C2B5B" w:rsidRPr="00E33370">
        <w:t>will analyze data)</w:t>
      </w:r>
    </w:p>
    <w:p w14:paraId="33418BE7" w14:textId="77777777" w:rsidR="001E284F" w:rsidRPr="00E33370" w:rsidRDefault="001E284F" w:rsidP="001E284F"/>
    <w:p w14:paraId="6FF869B8" w14:textId="63566F63" w:rsidR="00AB6D37" w:rsidRPr="00E33370" w:rsidRDefault="001E284F" w:rsidP="001E284F">
      <w:r w:rsidRPr="00E33370">
        <w:t>Moshe Engelberg, M.P.H, Ph.D., President, ResearchWorks</w:t>
      </w:r>
      <w:r w:rsidR="001C2B5B" w:rsidRPr="00E33370">
        <w:t xml:space="preserve"> (designed the data collection, will analyze data</w:t>
      </w:r>
      <w:proofErr w:type="gramStart"/>
      <w:r w:rsidR="001C2B5B" w:rsidRPr="00E33370">
        <w:t>)</w:t>
      </w:r>
      <w:proofErr w:type="gramEnd"/>
      <w:r w:rsidR="00AB6D37" w:rsidRPr="00E33370">
        <w:br w:type="page"/>
      </w:r>
      <w:r w:rsidR="00AB6D37" w:rsidRPr="00AA613D">
        <w:rPr>
          <w:b/>
          <w:u w:val="single"/>
        </w:rPr>
        <w:lastRenderedPageBreak/>
        <w:t>References</w:t>
      </w:r>
    </w:p>
    <w:p w14:paraId="27FC9B47" w14:textId="77777777" w:rsidR="00AB6D37" w:rsidRPr="00E33370" w:rsidRDefault="00AB6D37" w:rsidP="001E284F"/>
    <w:p w14:paraId="2DB4A69E" w14:textId="34D7BDCF" w:rsidR="005B6725" w:rsidRPr="00E33370" w:rsidRDefault="005B6725" w:rsidP="00CC20F8">
      <w:proofErr w:type="gramStart"/>
      <w:r w:rsidRPr="00E33370">
        <w:t xml:space="preserve">Brown, Randall, </w:t>
      </w:r>
      <w:r w:rsidR="00A516BF">
        <w:t>&amp;</w:t>
      </w:r>
      <w:r w:rsidRPr="00E33370">
        <w:t xml:space="preserve"> Black.</w:t>
      </w:r>
      <w:proofErr w:type="gramEnd"/>
      <w:r w:rsidRPr="00E33370">
        <w:t xml:space="preserve"> Community Partnerships for Older Adults (CPOA) Program Survey of Older Adults, 2002. Ann Arbor, MI: Inter-university Consortium for Political and Social Research</w:t>
      </w:r>
      <w:r w:rsidR="00A516BF">
        <w:t>.</w:t>
      </w:r>
      <w:r w:rsidRPr="00E33370">
        <w:t xml:space="preserve"> </w:t>
      </w:r>
      <w:r w:rsidR="00A516BF">
        <w:t xml:space="preserve">October 26, </w:t>
      </w:r>
      <w:r w:rsidRPr="00E33370">
        <w:t xml:space="preserve">2005. </w:t>
      </w:r>
      <w:r w:rsidR="00A516BF">
        <w:t>DOI</w:t>
      </w:r>
      <w:r w:rsidRPr="00E33370">
        <w:t>:10.3886/ICPSR04301.v1</w:t>
      </w:r>
      <w:r w:rsidR="00A516BF">
        <w:t>.</w:t>
      </w:r>
      <w:r w:rsidRPr="00E33370">
        <w:t xml:space="preserve"> </w:t>
      </w:r>
    </w:p>
    <w:p w14:paraId="0668C0DC" w14:textId="77777777" w:rsidR="005B6725" w:rsidRDefault="005B6725" w:rsidP="00CC20F8">
      <w:bookmarkStart w:id="13" w:name="scope-of-study"/>
      <w:bookmarkEnd w:id="13"/>
    </w:p>
    <w:p w14:paraId="2A1E007A" w14:textId="77777777" w:rsidR="00B30402" w:rsidRDefault="00B30402" w:rsidP="00B30402">
      <w:r>
        <w:t xml:space="preserve">Foley D, </w:t>
      </w:r>
      <w:proofErr w:type="spellStart"/>
      <w:r>
        <w:t>Ancoli</w:t>
      </w:r>
      <w:proofErr w:type="spellEnd"/>
      <w:r>
        <w:t>-Israel S</w:t>
      </w:r>
      <w:proofErr w:type="gramStart"/>
      <w:r>
        <w:t xml:space="preserve">,  </w:t>
      </w:r>
      <w:proofErr w:type="spellStart"/>
      <w:r>
        <w:t>Britz</w:t>
      </w:r>
      <w:proofErr w:type="spellEnd"/>
      <w:proofErr w:type="gramEnd"/>
      <w:r>
        <w:t xml:space="preserve"> P, Walsh J. Sleep disturbances and chronic disease in older adults: Results of the 2003 National Sleep Foundation Sleep in America Survey. Journal of Psychosomatic Research 2004; 56 (5):497–502.</w:t>
      </w:r>
    </w:p>
    <w:p w14:paraId="1E728326" w14:textId="77777777" w:rsidR="00B30402" w:rsidRPr="00E33370" w:rsidRDefault="00B30402" w:rsidP="00CC20F8"/>
    <w:p w14:paraId="54C7C901" w14:textId="55967D53" w:rsidR="00834E54" w:rsidRDefault="00834E54" w:rsidP="00834E54">
      <w:pPr>
        <w:tabs>
          <w:tab w:val="num" w:pos="360"/>
        </w:tabs>
      </w:pPr>
      <w:proofErr w:type="spellStart"/>
      <w:r w:rsidRPr="00E33370">
        <w:t>Fyock</w:t>
      </w:r>
      <w:proofErr w:type="spellEnd"/>
      <w:r w:rsidRPr="00E33370">
        <w:t xml:space="preserve"> J, </w:t>
      </w:r>
      <w:proofErr w:type="spellStart"/>
      <w:r w:rsidRPr="00E33370">
        <w:t>Koepke</w:t>
      </w:r>
      <w:proofErr w:type="spellEnd"/>
      <w:r w:rsidRPr="00E33370">
        <w:t xml:space="preserve"> CP, </w:t>
      </w:r>
      <w:proofErr w:type="spellStart"/>
      <w:r w:rsidRPr="00E33370">
        <w:t>Meitl</w:t>
      </w:r>
      <w:proofErr w:type="spellEnd"/>
      <w:r w:rsidRPr="00E33370">
        <w:t xml:space="preserve"> J, Sutton S, Thompson E, Engelberg M. Beneficiary </w:t>
      </w:r>
      <w:proofErr w:type="spellStart"/>
      <w:r w:rsidRPr="00E33370">
        <w:t>Decisionmaking</w:t>
      </w:r>
      <w:proofErr w:type="spellEnd"/>
      <w:r w:rsidRPr="00E33370">
        <w:t xml:space="preserve">: The Impact of Labeling Health Plan Choices. </w:t>
      </w:r>
      <w:proofErr w:type="gramStart"/>
      <w:r w:rsidRPr="00E33370">
        <w:t>Health Care Financing Review Fall 2001; 23:63-75</w:t>
      </w:r>
      <w:r w:rsidR="00A516BF">
        <w:t>.</w:t>
      </w:r>
      <w:proofErr w:type="gramEnd"/>
      <w:r w:rsidRPr="00E33370">
        <w:t xml:space="preserve"> </w:t>
      </w:r>
    </w:p>
    <w:p w14:paraId="4BBFF348" w14:textId="77777777" w:rsidR="00B30402" w:rsidRDefault="00B30402" w:rsidP="00834E54">
      <w:pPr>
        <w:tabs>
          <w:tab w:val="num" w:pos="360"/>
        </w:tabs>
      </w:pPr>
    </w:p>
    <w:p w14:paraId="1DE4F45D" w14:textId="04C99B9B" w:rsidR="00B30402" w:rsidRPr="00E33370" w:rsidRDefault="00B30402" w:rsidP="00834E54">
      <w:pPr>
        <w:tabs>
          <w:tab w:val="num" w:pos="360"/>
        </w:tabs>
      </w:pPr>
      <w:proofErr w:type="spellStart"/>
      <w:r>
        <w:t>Kostyniuk</w:t>
      </w:r>
      <w:proofErr w:type="spellEnd"/>
      <w:r>
        <w:t xml:space="preserve"> </w:t>
      </w:r>
      <w:r w:rsidRPr="00B30402">
        <w:t>LP</w:t>
      </w:r>
      <w:r>
        <w:t xml:space="preserve">, </w:t>
      </w:r>
      <w:proofErr w:type="spellStart"/>
      <w:r>
        <w:t>Shope</w:t>
      </w:r>
      <w:proofErr w:type="spellEnd"/>
      <w:r w:rsidRPr="00B30402">
        <w:t xml:space="preserve"> JT, Molnar LJ. Reduction and Cessation of Driving among Older Drivers in Michigan: Final Report (Report No. </w:t>
      </w:r>
      <w:proofErr w:type="gramStart"/>
      <w:r w:rsidRPr="00B30402">
        <w:t>UMTRI-2000-06).</w:t>
      </w:r>
      <w:proofErr w:type="gramEnd"/>
      <w:r w:rsidRPr="00B30402">
        <w:t xml:space="preserve"> </w:t>
      </w:r>
      <w:r>
        <w:t xml:space="preserve">Ann Arbor, MI: </w:t>
      </w:r>
      <w:r w:rsidRPr="00B30402">
        <w:t>University of Michigan Transportation Re</w:t>
      </w:r>
      <w:r>
        <w:t>search Institute, 2000.</w:t>
      </w:r>
    </w:p>
    <w:p w14:paraId="0A007A69" w14:textId="77777777" w:rsidR="00CC20F8" w:rsidRPr="00E33370" w:rsidRDefault="00CC20F8" w:rsidP="00CC20F8"/>
    <w:p w14:paraId="25517933" w14:textId="6F1D6A76" w:rsidR="00CC20F8" w:rsidRPr="00E33370" w:rsidRDefault="00CC20F8" w:rsidP="00CC20F8">
      <w:r w:rsidRPr="00E33370">
        <w:t xml:space="preserve">Peel C, Sawyer Baker P, Roth DL, Brown CJ, </w:t>
      </w:r>
      <w:proofErr w:type="spellStart"/>
      <w:r w:rsidRPr="00E33370">
        <w:t>Bodner</w:t>
      </w:r>
      <w:proofErr w:type="spellEnd"/>
      <w:r w:rsidRPr="00E33370">
        <w:t xml:space="preserve"> EV, Allman RM. Assessing Mobility in Older Adults: The UAB Study of Aging Life-Space Assessment, Alabama, 2005. </w:t>
      </w:r>
    </w:p>
    <w:p w14:paraId="01864D28" w14:textId="25594039" w:rsidR="00CC20F8" w:rsidRPr="00E33370" w:rsidRDefault="00CC20F8" w:rsidP="00CC20F8">
      <w:r w:rsidRPr="00E33370">
        <w:t>Physical Therapy 2005</w:t>
      </w:r>
      <w:r w:rsidR="00A516BF">
        <w:t>;</w:t>
      </w:r>
      <w:r w:rsidRPr="00E33370">
        <w:t xml:space="preserve"> 85</w:t>
      </w:r>
      <w:r w:rsidR="00A516BF">
        <w:t>(</w:t>
      </w:r>
      <w:r w:rsidRPr="00E33370">
        <w:t>10</w:t>
      </w:r>
      <w:r w:rsidR="00A516BF">
        <w:t>):</w:t>
      </w:r>
      <w:r w:rsidRPr="00E33370">
        <w:t>1008-1019</w:t>
      </w:r>
      <w:r w:rsidR="00A516BF">
        <w:t>. Available at:</w:t>
      </w:r>
    </w:p>
    <w:p w14:paraId="6749DEA7" w14:textId="4509A7AD" w:rsidR="00B30402" w:rsidRDefault="00255AEB" w:rsidP="00B30402">
      <w:hyperlink r:id="rId12" w:history="1">
        <w:r w:rsidR="000243FC" w:rsidRPr="00E33370">
          <w:t>http://www.physicaltherapyjournal.com/content/85/10/1008.full</w:t>
        </w:r>
      </w:hyperlink>
      <w:r w:rsidR="00A516BF">
        <w:t>.</w:t>
      </w:r>
    </w:p>
    <w:p w14:paraId="7A9E1BD6" w14:textId="553B8428" w:rsidR="00CC20F8" w:rsidRPr="00E33370" w:rsidRDefault="00CC20F8" w:rsidP="00B30402"/>
    <w:sectPr w:rsidR="00CC20F8" w:rsidRPr="00E33370" w:rsidSect="00B64BF6">
      <w:endnotePr>
        <w:numFmt w:val="decimal"/>
      </w:endnotePr>
      <w:pgSz w:w="12240" w:h="15840" w:code="1"/>
      <w:pgMar w:top="1440" w:right="1440" w:bottom="1440" w:left="1440" w:header="720" w:footer="720" w:gutter="0"/>
      <w:lnNumType w:countBy="1" w:distance="-32767"/>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28349" w14:textId="77777777" w:rsidR="002E088A" w:rsidRDefault="002E088A">
      <w:r>
        <w:separator/>
      </w:r>
    </w:p>
  </w:endnote>
  <w:endnote w:type="continuationSeparator" w:id="0">
    <w:p w14:paraId="7754A846" w14:textId="77777777" w:rsidR="002E088A" w:rsidRDefault="002E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FC4C1" w14:textId="77777777" w:rsidR="002E088A" w:rsidRDefault="002E088A" w:rsidP="00382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0C15E6" w14:textId="77777777" w:rsidR="002E088A" w:rsidRDefault="002E08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93AAB" w14:textId="77777777" w:rsidR="002E088A" w:rsidRDefault="002E088A" w:rsidP="00382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5AEB">
      <w:rPr>
        <w:rStyle w:val="PageNumber"/>
        <w:noProof/>
      </w:rPr>
      <w:t>7</w:t>
    </w:r>
    <w:r>
      <w:rPr>
        <w:rStyle w:val="PageNumber"/>
      </w:rPr>
      <w:fldChar w:fldCharType="end"/>
    </w:r>
  </w:p>
  <w:p w14:paraId="12FC9900" w14:textId="77777777" w:rsidR="002E088A" w:rsidRDefault="002E0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DA7C5" w14:textId="77777777" w:rsidR="002E088A" w:rsidRDefault="002E088A">
      <w:r>
        <w:separator/>
      </w:r>
    </w:p>
  </w:footnote>
  <w:footnote w:type="continuationSeparator" w:id="0">
    <w:p w14:paraId="4B984FDD" w14:textId="77777777" w:rsidR="002E088A" w:rsidRDefault="002E0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527A"/>
    <w:multiLevelType w:val="hybridMultilevel"/>
    <w:tmpl w:val="B896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20307"/>
    <w:multiLevelType w:val="hybridMultilevel"/>
    <w:tmpl w:val="78A86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771B1"/>
    <w:multiLevelType w:val="hybridMultilevel"/>
    <w:tmpl w:val="EC483C9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2F7F4D"/>
    <w:multiLevelType w:val="hybridMultilevel"/>
    <w:tmpl w:val="9026A34E"/>
    <w:lvl w:ilvl="0" w:tplc="0409000F">
      <w:start w:val="1"/>
      <w:numFmt w:val="decimal"/>
      <w:lvlText w:val="%1."/>
      <w:lvlJc w:val="left"/>
      <w:pPr>
        <w:ind w:left="720" w:hanging="360"/>
      </w:pPr>
    </w:lvl>
    <w:lvl w:ilvl="1" w:tplc="24BEE9A4">
      <w:start w:val="1"/>
      <w:numFmt w:val="upperLetter"/>
      <w:lvlText w:val="%2."/>
      <w:lvlJc w:val="left"/>
      <w:pPr>
        <w:ind w:left="1080" w:hanging="360"/>
      </w:pPr>
      <w:rPr>
        <w:rFonts w:hint="default"/>
      </w:rPr>
    </w:lvl>
    <w:lvl w:ilvl="2" w:tplc="7E6EA276">
      <w:start w:val="1"/>
      <w:numFmt w:val="decimal"/>
      <w:lvlText w:val="%3)"/>
      <w:lvlJc w:val="left"/>
      <w:pPr>
        <w:ind w:left="1980" w:hanging="360"/>
      </w:pPr>
      <w:rPr>
        <w:rFonts w:ascii="Times New Roman" w:eastAsia="Times New Roman" w:hAnsi="Times New Roman" w:cs="Times New Roman"/>
        <w:u w:val="none"/>
      </w:rPr>
    </w:lvl>
    <w:lvl w:ilvl="3" w:tplc="61741CA0">
      <w:start w:val="2"/>
      <w:numFmt w:val="lowerLetter"/>
      <w:lvlText w:val="%4."/>
      <w:lvlJc w:val="left"/>
      <w:pPr>
        <w:ind w:left="2880" w:hanging="360"/>
      </w:pPr>
      <w:rPr>
        <w:rFonts w:hint="default"/>
      </w:rPr>
    </w:lvl>
    <w:lvl w:ilvl="4" w:tplc="B26E9788">
      <w:start w:val="1"/>
      <w:numFmt w:val="decimal"/>
      <w:lvlText w:val="%5)"/>
      <w:lvlJc w:val="left"/>
      <w:pPr>
        <w:ind w:left="243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42843"/>
    <w:multiLevelType w:val="hybridMultilevel"/>
    <w:tmpl w:val="A6D26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194A5F26"/>
    <w:multiLevelType w:val="hybridMultilevel"/>
    <w:tmpl w:val="145A1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B51059"/>
    <w:multiLevelType w:val="hybridMultilevel"/>
    <w:tmpl w:val="6E5ADFB6"/>
    <w:lvl w:ilvl="0" w:tplc="82EC03E8">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6B4992"/>
    <w:multiLevelType w:val="hybridMultilevel"/>
    <w:tmpl w:val="6388CE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FA0312"/>
    <w:multiLevelType w:val="hybridMultilevel"/>
    <w:tmpl w:val="59988FA2"/>
    <w:lvl w:ilvl="0" w:tplc="5BBA62D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1AC0E8C"/>
    <w:multiLevelType w:val="hybridMultilevel"/>
    <w:tmpl w:val="84902010"/>
    <w:lvl w:ilvl="0" w:tplc="0A4AFF80">
      <w:start w:val="1"/>
      <w:numFmt w:val="upperLetter"/>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87196D"/>
    <w:multiLevelType w:val="multilevel"/>
    <w:tmpl w:val="2E18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564427"/>
    <w:multiLevelType w:val="hybridMultilevel"/>
    <w:tmpl w:val="A7F635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63260A"/>
    <w:multiLevelType w:val="hybridMultilevel"/>
    <w:tmpl w:val="205A855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792908"/>
    <w:multiLevelType w:val="hybridMultilevel"/>
    <w:tmpl w:val="90DA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842F0C"/>
    <w:multiLevelType w:val="hybridMultilevel"/>
    <w:tmpl w:val="2E40D2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9B0D54"/>
    <w:multiLevelType w:val="hybridMultilevel"/>
    <w:tmpl w:val="ACB41570"/>
    <w:lvl w:ilvl="0" w:tplc="F62C8422">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7777A0"/>
    <w:multiLevelType w:val="hybridMultilevel"/>
    <w:tmpl w:val="989C3CA2"/>
    <w:lvl w:ilvl="0" w:tplc="0A4AFF80">
      <w:start w:val="1"/>
      <w:numFmt w:val="upperLetter"/>
      <w:lvlText w:val="%1."/>
      <w:lvlJc w:val="left"/>
      <w:pPr>
        <w:ind w:left="1080" w:hanging="360"/>
      </w:pPr>
      <w:rPr>
        <w:rFonts w:hint="default"/>
        <w:u w:val="none"/>
      </w:rPr>
    </w:lvl>
    <w:lvl w:ilvl="1" w:tplc="04090019">
      <w:start w:val="1"/>
      <w:numFmt w:val="lowerLetter"/>
      <w:lvlText w:val="%2."/>
      <w:lvlJc w:val="left"/>
      <w:pPr>
        <w:ind w:left="1800" w:hanging="360"/>
      </w:pPr>
    </w:lvl>
    <w:lvl w:ilvl="2" w:tplc="9C62FE3E">
      <w:start w:val="1"/>
      <w:numFmt w:val="decimal"/>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5B71DE"/>
    <w:multiLevelType w:val="hybridMultilevel"/>
    <w:tmpl w:val="27DA4A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05F69"/>
    <w:multiLevelType w:val="singleLevel"/>
    <w:tmpl w:val="CC08E444"/>
    <w:lvl w:ilvl="0">
      <w:start w:val="1"/>
      <w:numFmt w:val="decimal"/>
      <w:pStyle w:val="References"/>
      <w:lvlText w:val="%1."/>
      <w:lvlJc w:val="left"/>
      <w:pPr>
        <w:tabs>
          <w:tab w:val="num" w:pos="360"/>
        </w:tabs>
        <w:ind w:left="360" w:hanging="360"/>
      </w:pPr>
    </w:lvl>
  </w:abstractNum>
  <w:abstractNum w:abstractNumId="21">
    <w:nsid w:val="549113F4"/>
    <w:multiLevelType w:val="hybridMultilevel"/>
    <w:tmpl w:val="A7EC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906188"/>
    <w:multiLevelType w:val="hybridMultilevel"/>
    <w:tmpl w:val="C3BCB8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11626F"/>
    <w:multiLevelType w:val="hybridMultilevel"/>
    <w:tmpl w:val="9080F7EC"/>
    <w:lvl w:ilvl="0" w:tplc="776611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2A1CDE"/>
    <w:multiLevelType w:val="hybridMultilevel"/>
    <w:tmpl w:val="58E25E1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8"/>
  </w:num>
  <w:num w:numId="4">
    <w:abstractNumId w:val="23"/>
  </w:num>
  <w:num w:numId="5">
    <w:abstractNumId w:val="11"/>
  </w:num>
  <w:num w:numId="6">
    <w:abstractNumId w:val="15"/>
  </w:num>
  <w:num w:numId="7">
    <w:abstractNumId w:val="3"/>
  </w:num>
  <w:num w:numId="8">
    <w:abstractNumId w:val="18"/>
  </w:num>
  <w:num w:numId="9">
    <w:abstractNumId w:val="17"/>
  </w:num>
  <w:num w:numId="10">
    <w:abstractNumId w:val="22"/>
  </w:num>
  <w:num w:numId="11">
    <w:abstractNumId w:val="2"/>
  </w:num>
  <w:num w:numId="12">
    <w:abstractNumId w:val="16"/>
  </w:num>
  <w:num w:numId="13">
    <w:abstractNumId w:val="19"/>
  </w:num>
  <w:num w:numId="14">
    <w:abstractNumId w:val="14"/>
  </w:num>
  <w:num w:numId="15">
    <w:abstractNumId w:val="1"/>
  </w:num>
  <w:num w:numId="16">
    <w:abstractNumId w:val="24"/>
  </w:num>
  <w:num w:numId="17">
    <w:abstractNumId w:val="9"/>
  </w:num>
  <w:num w:numId="18">
    <w:abstractNumId w:val="10"/>
  </w:num>
  <w:num w:numId="19">
    <w:abstractNumId w:val="6"/>
  </w:num>
  <w:num w:numId="20">
    <w:abstractNumId w:val="13"/>
  </w:num>
  <w:num w:numId="21">
    <w:abstractNumId w:val="7"/>
  </w:num>
  <w:num w:numId="22">
    <w:abstractNumId w:val="4"/>
  </w:num>
  <w:num w:numId="23">
    <w:abstractNumId w:val="2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50E"/>
    <w:rsid w:val="00013759"/>
    <w:rsid w:val="00017057"/>
    <w:rsid w:val="000243FC"/>
    <w:rsid w:val="00034C67"/>
    <w:rsid w:val="0004026A"/>
    <w:rsid w:val="000402EC"/>
    <w:rsid w:val="0004078F"/>
    <w:rsid w:val="00044B32"/>
    <w:rsid w:val="0005092B"/>
    <w:rsid w:val="000560BD"/>
    <w:rsid w:val="00060314"/>
    <w:rsid w:val="0007704F"/>
    <w:rsid w:val="00085043"/>
    <w:rsid w:val="0008632D"/>
    <w:rsid w:val="00095B50"/>
    <w:rsid w:val="000A1F6F"/>
    <w:rsid w:val="000B15EF"/>
    <w:rsid w:val="000C0DDC"/>
    <w:rsid w:val="000D0327"/>
    <w:rsid w:val="000D38C0"/>
    <w:rsid w:val="000D4EF5"/>
    <w:rsid w:val="000E2339"/>
    <w:rsid w:val="000E4D7D"/>
    <w:rsid w:val="000E6DDA"/>
    <w:rsid w:val="0010663D"/>
    <w:rsid w:val="00110D98"/>
    <w:rsid w:val="00112C42"/>
    <w:rsid w:val="001161E4"/>
    <w:rsid w:val="00137237"/>
    <w:rsid w:val="0014185B"/>
    <w:rsid w:val="001658FE"/>
    <w:rsid w:val="00166286"/>
    <w:rsid w:val="001761A5"/>
    <w:rsid w:val="00176860"/>
    <w:rsid w:val="00180CC9"/>
    <w:rsid w:val="001932D1"/>
    <w:rsid w:val="001A224E"/>
    <w:rsid w:val="001B183D"/>
    <w:rsid w:val="001C2B5B"/>
    <w:rsid w:val="001C7F88"/>
    <w:rsid w:val="001D14DE"/>
    <w:rsid w:val="001D22D3"/>
    <w:rsid w:val="001D3F6C"/>
    <w:rsid w:val="001E11B0"/>
    <w:rsid w:val="001E284F"/>
    <w:rsid w:val="001E36BF"/>
    <w:rsid w:val="001E68DB"/>
    <w:rsid w:val="00202B0A"/>
    <w:rsid w:val="00211BA4"/>
    <w:rsid w:val="002137AB"/>
    <w:rsid w:val="00226866"/>
    <w:rsid w:val="00226F4D"/>
    <w:rsid w:val="00227422"/>
    <w:rsid w:val="0023321E"/>
    <w:rsid w:val="00242491"/>
    <w:rsid w:val="00255AEB"/>
    <w:rsid w:val="00255C84"/>
    <w:rsid w:val="0025758C"/>
    <w:rsid w:val="00263B68"/>
    <w:rsid w:val="00263E9D"/>
    <w:rsid w:val="00264E65"/>
    <w:rsid w:val="00267538"/>
    <w:rsid w:val="00267A7D"/>
    <w:rsid w:val="002754B6"/>
    <w:rsid w:val="00286F75"/>
    <w:rsid w:val="00290533"/>
    <w:rsid w:val="002957CC"/>
    <w:rsid w:val="002A0E6C"/>
    <w:rsid w:val="002B0BBD"/>
    <w:rsid w:val="002B34C5"/>
    <w:rsid w:val="002C25AA"/>
    <w:rsid w:val="002C7E80"/>
    <w:rsid w:val="002E088A"/>
    <w:rsid w:val="002E0C0D"/>
    <w:rsid w:val="002E2980"/>
    <w:rsid w:val="002F1249"/>
    <w:rsid w:val="002F298F"/>
    <w:rsid w:val="0030357F"/>
    <w:rsid w:val="0031460F"/>
    <w:rsid w:val="00323126"/>
    <w:rsid w:val="00326FAB"/>
    <w:rsid w:val="00334FC7"/>
    <w:rsid w:val="00336C45"/>
    <w:rsid w:val="00342CDD"/>
    <w:rsid w:val="00345F80"/>
    <w:rsid w:val="00353261"/>
    <w:rsid w:val="003579D9"/>
    <w:rsid w:val="00365005"/>
    <w:rsid w:val="00366A49"/>
    <w:rsid w:val="00376CF6"/>
    <w:rsid w:val="0038223F"/>
    <w:rsid w:val="003834F1"/>
    <w:rsid w:val="00386380"/>
    <w:rsid w:val="003A454B"/>
    <w:rsid w:val="003B18FA"/>
    <w:rsid w:val="003B5D2F"/>
    <w:rsid w:val="003C4916"/>
    <w:rsid w:val="003D042E"/>
    <w:rsid w:val="003D0B52"/>
    <w:rsid w:val="003D15C1"/>
    <w:rsid w:val="003D5B47"/>
    <w:rsid w:val="003D7A27"/>
    <w:rsid w:val="003E136F"/>
    <w:rsid w:val="003F75DA"/>
    <w:rsid w:val="00404A19"/>
    <w:rsid w:val="00405E57"/>
    <w:rsid w:val="004134BA"/>
    <w:rsid w:val="004173F5"/>
    <w:rsid w:val="004233FA"/>
    <w:rsid w:val="00426657"/>
    <w:rsid w:val="004316FF"/>
    <w:rsid w:val="00436D82"/>
    <w:rsid w:val="00440E06"/>
    <w:rsid w:val="00442DF7"/>
    <w:rsid w:val="00444F2B"/>
    <w:rsid w:val="00450F90"/>
    <w:rsid w:val="00451A75"/>
    <w:rsid w:val="00455B4E"/>
    <w:rsid w:val="00456548"/>
    <w:rsid w:val="0046174F"/>
    <w:rsid w:val="0047498C"/>
    <w:rsid w:val="004779AC"/>
    <w:rsid w:val="00491DB1"/>
    <w:rsid w:val="00495D16"/>
    <w:rsid w:val="004A235F"/>
    <w:rsid w:val="004A54B6"/>
    <w:rsid w:val="004B2FB0"/>
    <w:rsid w:val="004B5F48"/>
    <w:rsid w:val="004B78B2"/>
    <w:rsid w:val="004C1818"/>
    <w:rsid w:val="004D30E4"/>
    <w:rsid w:val="004E51F8"/>
    <w:rsid w:val="004F6352"/>
    <w:rsid w:val="00500103"/>
    <w:rsid w:val="00530379"/>
    <w:rsid w:val="00540179"/>
    <w:rsid w:val="0056510E"/>
    <w:rsid w:val="005710E5"/>
    <w:rsid w:val="00571E41"/>
    <w:rsid w:val="00572166"/>
    <w:rsid w:val="005801B3"/>
    <w:rsid w:val="00590ED0"/>
    <w:rsid w:val="005B2C71"/>
    <w:rsid w:val="005B49FC"/>
    <w:rsid w:val="005B6725"/>
    <w:rsid w:val="005C2130"/>
    <w:rsid w:val="005E371E"/>
    <w:rsid w:val="005F3E34"/>
    <w:rsid w:val="00601CBE"/>
    <w:rsid w:val="00602D76"/>
    <w:rsid w:val="00606D83"/>
    <w:rsid w:val="00611BE0"/>
    <w:rsid w:val="00612BAD"/>
    <w:rsid w:val="0063099B"/>
    <w:rsid w:val="0063166F"/>
    <w:rsid w:val="00634FD0"/>
    <w:rsid w:val="00640650"/>
    <w:rsid w:val="00644E19"/>
    <w:rsid w:val="006472F7"/>
    <w:rsid w:val="006632B7"/>
    <w:rsid w:val="00670070"/>
    <w:rsid w:val="00672F17"/>
    <w:rsid w:val="00682F64"/>
    <w:rsid w:val="00690979"/>
    <w:rsid w:val="00691ABD"/>
    <w:rsid w:val="00696FB7"/>
    <w:rsid w:val="006B740B"/>
    <w:rsid w:val="006C621A"/>
    <w:rsid w:val="006E1A68"/>
    <w:rsid w:val="006E4832"/>
    <w:rsid w:val="006F050E"/>
    <w:rsid w:val="0070119E"/>
    <w:rsid w:val="00704F2C"/>
    <w:rsid w:val="00706E20"/>
    <w:rsid w:val="00716F41"/>
    <w:rsid w:val="00717BA9"/>
    <w:rsid w:val="00720EE1"/>
    <w:rsid w:val="00722588"/>
    <w:rsid w:val="00723626"/>
    <w:rsid w:val="00726A9F"/>
    <w:rsid w:val="0073563C"/>
    <w:rsid w:val="007367C8"/>
    <w:rsid w:val="00737D42"/>
    <w:rsid w:val="00755C26"/>
    <w:rsid w:val="007565E9"/>
    <w:rsid w:val="00761642"/>
    <w:rsid w:val="0076309A"/>
    <w:rsid w:val="007646A4"/>
    <w:rsid w:val="00771106"/>
    <w:rsid w:val="0078126F"/>
    <w:rsid w:val="00783605"/>
    <w:rsid w:val="007845B3"/>
    <w:rsid w:val="00784C81"/>
    <w:rsid w:val="0079269A"/>
    <w:rsid w:val="00794700"/>
    <w:rsid w:val="007A35CA"/>
    <w:rsid w:val="007A5487"/>
    <w:rsid w:val="007B6436"/>
    <w:rsid w:val="007D333E"/>
    <w:rsid w:val="007F06A3"/>
    <w:rsid w:val="00805EC1"/>
    <w:rsid w:val="0080722D"/>
    <w:rsid w:val="00817E87"/>
    <w:rsid w:val="0083011C"/>
    <w:rsid w:val="0083240C"/>
    <w:rsid w:val="00832843"/>
    <w:rsid w:val="0083429C"/>
    <w:rsid w:val="00834E54"/>
    <w:rsid w:val="00837C36"/>
    <w:rsid w:val="00853AD8"/>
    <w:rsid w:val="00853C1E"/>
    <w:rsid w:val="008678C2"/>
    <w:rsid w:val="00875B58"/>
    <w:rsid w:val="0089132B"/>
    <w:rsid w:val="00893DA8"/>
    <w:rsid w:val="008A0330"/>
    <w:rsid w:val="008A0EDD"/>
    <w:rsid w:val="008A47F6"/>
    <w:rsid w:val="008B748B"/>
    <w:rsid w:val="008C11B9"/>
    <w:rsid w:val="008C38D7"/>
    <w:rsid w:val="008C6468"/>
    <w:rsid w:val="008D4357"/>
    <w:rsid w:val="008D611C"/>
    <w:rsid w:val="008E2116"/>
    <w:rsid w:val="008E55FE"/>
    <w:rsid w:val="008F025C"/>
    <w:rsid w:val="00920D03"/>
    <w:rsid w:val="009228B3"/>
    <w:rsid w:val="00922947"/>
    <w:rsid w:val="00927761"/>
    <w:rsid w:val="00932FB9"/>
    <w:rsid w:val="00933BC4"/>
    <w:rsid w:val="00957B31"/>
    <w:rsid w:val="00957C70"/>
    <w:rsid w:val="009610DB"/>
    <w:rsid w:val="0096183C"/>
    <w:rsid w:val="00963D6D"/>
    <w:rsid w:val="00964F72"/>
    <w:rsid w:val="00980DEA"/>
    <w:rsid w:val="009849FE"/>
    <w:rsid w:val="00984EDC"/>
    <w:rsid w:val="009940C3"/>
    <w:rsid w:val="009A0E03"/>
    <w:rsid w:val="009A1FE2"/>
    <w:rsid w:val="009A267D"/>
    <w:rsid w:val="009B2617"/>
    <w:rsid w:val="009B336E"/>
    <w:rsid w:val="009C1720"/>
    <w:rsid w:val="009D5FCD"/>
    <w:rsid w:val="009E6CDB"/>
    <w:rsid w:val="00A00DA8"/>
    <w:rsid w:val="00A13B73"/>
    <w:rsid w:val="00A14A6C"/>
    <w:rsid w:val="00A3509B"/>
    <w:rsid w:val="00A42B52"/>
    <w:rsid w:val="00A516BF"/>
    <w:rsid w:val="00A60302"/>
    <w:rsid w:val="00A60541"/>
    <w:rsid w:val="00A65FC4"/>
    <w:rsid w:val="00A67D7A"/>
    <w:rsid w:val="00A9000A"/>
    <w:rsid w:val="00AA2380"/>
    <w:rsid w:val="00AA27A2"/>
    <w:rsid w:val="00AA613D"/>
    <w:rsid w:val="00AB0103"/>
    <w:rsid w:val="00AB4BDC"/>
    <w:rsid w:val="00AB6D37"/>
    <w:rsid w:val="00AC5206"/>
    <w:rsid w:val="00AD309A"/>
    <w:rsid w:val="00AD58B7"/>
    <w:rsid w:val="00AD6A79"/>
    <w:rsid w:val="00AE7F02"/>
    <w:rsid w:val="00AF4EEC"/>
    <w:rsid w:val="00B138D8"/>
    <w:rsid w:val="00B25991"/>
    <w:rsid w:val="00B30402"/>
    <w:rsid w:val="00B40AC3"/>
    <w:rsid w:val="00B46983"/>
    <w:rsid w:val="00B532C9"/>
    <w:rsid w:val="00B56CB1"/>
    <w:rsid w:val="00B6268C"/>
    <w:rsid w:val="00B64BF6"/>
    <w:rsid w:val="00B66083"/>
    <w:rsid w:val="00B775E3"/>
    <w:rsid w:val="00B858C9"/>
    <w:rsid w:val="00B8632E"/>
    <w:rsid w:val="00B94087"/>
    <w:rsid w:val="00B94DB6"/>
    <w:rsid w:val="00BA7730"/>
    <w:rsid w:val="00BB21A3"/>
    <w:rsid w:val="00BB6119"/>
    <w:rsid w:val="00BC365A"/>
    <w:rsid w:val="00BD1864"/>
    <w:rsid w:val="00BE09A7"/>
    <w:rsid w:val="00BE4020"/>
    <w:rsid w:val="00BE4869"/>
    <w:rsid w:val="00BF0FB7"/>
    <w:rsid w:val="00BF2DDB"/>
    <w:rsid w:val="00BF5546"/>
    <w:rsid w:val="00C03E15"/>
    <w:rsid w:val="00C10E4B"/>
    <w:rsid w:val="00C1195C"/>
    <w:rsid w:val="00C11E03"/>
    <w:rsid w:val="00C2151A"/>
    <w:rsid w:val="00C24990"/>
    <w:rsid w:val="00C24D39"/>
    <w:rsid w:val="00C6349E"/>
    <w:rsid w:val="00C63CB6"/>
    <w:rsid w:val="00C65FAC"/>
    <w:rsid w:val="00C87520"/>
    <w:rsid w:val="00CC20F8"/>
    <w:rsid w:val="00CD0F0C"/>
    <w:rsid w:val="00CE3988"/>
    <w:rsid w:val="00CE56CE"/>
    <w:rsid w:val="00CE72A0"/>
    <w:rsid w:val="00CF75D2"/>
    <w:rsid w:val="00D04609"/>
    <w:rsid w:val="00D04692"/>
    <w:rsid w:val="00D04981"/>
    <w:rsid w:val="00D05E24"/>
    <w:rsid w:val="00D112EB"/>
    <w:rsid w:val="00D2071F"/>
    <w:rsid w:val="00D218AB"/>
    <w:rsid w:val="00D21B11"/>
    <w:rsid w:val="00D220F2"/>
    <w:rsid w:val="00D23DE1"/>
    <w:rsid w:val="00D332AA"/>
    <w:rsid w:val="00D44C00"/>
    <w:rsid w:val="00D54160"/>
    <w:rsid w:val="00D56B48"/>
    <w:rsid w:val="00D57DB9"/>
    <w:rsid w:val="00D62F79"/>
    <w:rsid w:val="00D7454F"/>
    <w:rsid w:val="00D826C1"/>
    <w:rsid w:val="00D877CB"/>
    <w:rsid w:val="00D97EFB"/>
    <w:rsid w:val="00DA2B14"/>
    <w:rsid w:val="00DA31A5"/>
    <w:rsid w:val="00DA616F"/>
    <w:rsid w:val="00DA7E8E"/>
    <w:rsid w:val="00DD2E07"/>
    <w:rsid w:val="00DD3388"/>
    <w:rsid w:val="00DD3661"/>
    <w:rsid w:val="00DD37C4"/>
    <w:rsid w:val="00DD4695"/>
    <w:rsid w:val="00DD65EB"/>
    <w:rsid w:val="00DE0924"/>
    <w:rsid w:val="00DE4357"/>
    <w:rsid w:val="00DF1D23"/>
    <w:rsid w:val="00DF3529"/>
    <w:rsid w:val="00E0188D"/>
    <w:rsid w:val="00E0331B"/>
    <w:rsid w:val="00E054EC"/>
    <w:rsid w:val="00E072B8"/>
    <w:rsid w:val="00E1024B"/>
    <w:rsid w:val="00E10DC0"/>
    <w:rsid w:val="00E10EF0"/>
    <w:rsid w:val="00E11CC5"/>
    <w:rsid w:val="00E17250"/>
    <w:rsid w:val="00E21383"/>
    <w:rsid w:val="00E21ECA"/>
    <w:rsid w:val="00E24CAC"/>
    <w:rsid w:val="00E33370"/>
    <w:rsid w:val="00E33640"/>
    <w:rsid w:val="00E3411E"/>
    <w:rsid w:val="00E41B78"/>
    <w:rsid w:val="00E53A5E"/>
    <w:rsid w:val="00E63536"/>
    <w:rsid w:val="00E83453"/>
    <w:rsid w:val="00E86E03"/>
    <w:rsid w:val="00E905A6"/>
    <w:rsid w:val="00E9493F"/>
    <w:rsid w:val="00ED2333"/>
    <w:rsid w:val="00ED6691"/>
    <w:rsid w:val="00EE1CFF"/>
    <w:rsid w:val="00F06774"/>
    <w:rsid w:val="00F106F7"/>
    <w:rsid w:val="00F12C62"/>
    <w:rsid w:val="00F16F57"/>
    <w:rsid w:val="00F37C32"/>
    <w:rsid w:val="00F45D2D"/>
    <w:rsid w:val="00F504AB"/>
    <w:rsid w:val="00F52A01"/>
    <w:rsid w:val="00F622A6"/>
    <w:rsid w:val="00F635DD"/>
    <w:rsid w:val="00F666B2"/>
    <w:rsid w:val="00F66C21"/>
    <w:rsid w:val="00F7678C"/>
    <w:rsid w:val="00FA2496"/>
    <w:rsid w:val="00FB05DD"/>
    <w:rsid w:val="00FC45F0"/>
    <w:rsid w:val="00FC776D"/>
    <w:rsid w:val="00FD176E"/>
    <w:rsid w:val="00FD4F03"/>
    <w:rsid w:val="00FE42A4"/>
    <w:rsid w:val="00FE6407"/>
    <w:rsid w:val="00FF37ED"/>
    <w:rsid w:val="00FF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7E7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E"/>
    <w:rPr>
      <w:sz w:val="24"/>
      <w:szCs w:val="24"/>
    </w:rPr>
  </w:style>
  <w:style w:type="paragraph" w:styleId="Heading1">
    <w:name w:val="heading 1"/>
    <w:basedOn w:val="Normal"/>
    <w:next w:val="Normal"/>
    <w:qFormat/>
    <w:rsid w:val="006F050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050E"/>
    <w:pPr>
      <w:keepNext/>
      <w:widowControl w:val="0"/>
      <w:autoSpaceDE w:val="0"/>
      <w:autoSpaceDN w:val="0"/>
      <w:adjustRightInd w:val="0"/>
      <w:outlineLvl w:val="1"/>
    </w:pPr>
    <w:rPr>
      <w:rFonts w:ascii="Arial" w:hAnsi="Arial" w:cs="Arial"/>
      <w:b/>
      <w:bCs/>
    </w:rPr>
  </w:style>
  <w:style w:type="paragraph" w:styleId="Heading4">
    <w:name w:val="heading 4"/>
    <w:basedOn w:val="Normal"/>
    <w:next w:val="Normal"/>
    <w:link w:val="Heading4Char"/>
    <w:unhideWhenUsed/>
    <w:qFormat/>
    <w:rsid w:val="00CD0F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6F050E"/>
    <w:pPr>
      <w:spacing w:before="240" w:after="60"/>
      <w:outlineLvl w:val="4"/>
    </w:pPr>
    <w:rPr>
      <w:b/>
      <w:bCs/>
      <w:i/>
      <w:iCs/>
      <w:sz w:val="26"/>
      <w:szCs w:val="26"/>
    </w:rPr>
  </w:style>
  <w:style w:type="paragraph" w:styleId="Heading6">
    <w:name w:val="heading 6"/>
    <w:basedOn w:val="Normal"/>
    <w:next w:val="Normal"/>
    <w:link w:val="Heading6Char"/>
    <w:unhideWhenUsed/>
    <w:qFormat/>
    <w:rsid w:val="00CD0F0C"/>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semiHidden/>
    <w:unhideWhenUsed/>
    <w:qFormat/>
    <w:rsid w:val="00DE09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050E"/>
    <w:rPr>
      <w:color w:val="0000FF"/>
      <w:u w:val="single"/>
    </w:rPr>
  </w:style>
  <w:style w:type="paragraph" w:styleId="BodyText">
    <w:name w:val="Body Text"/>
    <w:basedOn w:val="Normal"/>
    <w:rsid w:val="006F050E"/>
    <w:pPr>
      <w:jc w:val="center"/>
    </w:pPr>
    <w:rPr>
      <w:sz w:val="32"/>
      <w:szCs w:val="20"/>
    </w:rPr>
  </w:style>
  <w:style w:type="paragraph" w:styleId="EndnoteText">
    <w:name w:val="endnote text"/>
    <w:basedOn w:val="Normal"/>
    <w:semiHidden/>
    <w:rsid w:val="006F050E"/>
    <w:rPr>
      <w:sz w:val="20"/>
      <w:szCs w:val="20"/>
    </w:rPr>
  </w:style>
  <w:style w:type="character" w:styleId="EndnoteReference">
    <w:name w:val="endnote reference"/>
    <w:basedOn w:val="DefaultParagraphFont"/>
    <w:semiHidden/>
    <w:rsid w:val="006F050E"/>
    <w:rPr>
      <w:vertAlign w:val="superscript"/>
    </w:rPr>
  </w:style>
  <w:style w:type="paragraph" w:styleId="TOC1">
    <w:name w:val="toc 1"/>
    <w:basedOn w:val="Normal"/>
    <w:next w:val="Normal"/>
    <w:autoRedefine/>
    <w:semiHidden/>
    <w:rsid w:val="006F050E"/>
  </w:style>
  <w:style w:type="paragraph" w:customStyle="1" w:styleId="AuthorTitle">
    <w:name w:val="Author Title"/>
    <w:basedOn w:val="Normal"/>
    <w:rsid w:val="006F050E"/>
    <w:pPr>
      <w:spacing w:before="60"/>
    </w:pPr>
    <w:rPr>
      <w:sz w:val="20"/>
      <w:szCs w:val="20"/>
      <w:lang w:val="en-GB"/>
    </w:rPr>
  </w:style>
  <w:style w:type="paragraph" w:styleId="BodyText2">
    <w:name w:val="Body Text 2"/>
    <w:basedOn w:val="Normal"/>
    <w:rsid w:val="006F050E"/>
    <w:pPr>
      <w:spacing w:after="120" w:line="480" w:lineRule="auto"/>
    </w:pPr>
  </w:style>
  <w:style w:type="character" w:customStyle="1" w:styleId="printanswer">
    <w:name w:val="printanswer"/>
    <w:basedOn w:val="DefaultParagraphFont"/>
    <w:rsid w:val="006F050E"/>
  </w:style>
  <w:style w:type="character" w:customStyle="1" w:styleId="Italic">
    <w:name w:val="Italic"/>
    <w:basedOn w:val="DefaultParagraphFont"/>
    <w:rsid w:val="006F050E"/>
    <w:rPr>
      <w:i/>
    </w:rPr>
  </w:style>
  <w:style w:type="paragraph" w:customStyle="1" w:styleId="References">
    <w:name w:val="References"/>
    <w:basedOn w:val="Normal"/>
    <w:rsid w:val="006F050E"/>
    <w:pPr>
      <w:numPr>
        <w:numId w:val="1"/>
      </w:numPr>
      <w:spacing w:before="60"/>
    </w:pPr>
    <w:rPr>
      <w:sz w:val="20"/>
      <w:szCs w:val="20"/>
      <w:lang w:val="en-GB"/>
    </w:rPr>
  </w:style>
  <w:style w:type="character" w:styleId="CommentReference">
    <w:name w:val="annotation reference"/>
    <w:basedOn w:val="DefaultParagraphFont"/>
    <w:semiHidden/>
    <w:rsid w:val="00DA31A5"/>
    <w:rPr>
      <w:sz w:val="16"/>
      <w:szCs w:val="16"/>
    </w:rPr>
  </w:style>
  <w:style w:type="paragraph" w:styleId="CommentText">
    <w:name w:val="annotation text"/>
    <w:basedOn w:val="Normal"/>
    <w:semiHidden/>
    <w:rsid w:val="00DA31A5"/>
    <w:rPr>
      <w:sz w:val="20"/>
      <w:szCs w:val="20"/>
    </w:rPr>
  </w:style>
  <w:style w:type="paragraph" w:styleId="CommentSubject">
    <w:name w:val="annotation subject"/>
    <w:basedOn w:val="CommentText"/>
    <w:next w:val="CommentText"/>
    <w:semiHidden/>
    <w:rsid w:val="00DA31A5"/>
    <w:rPr>
      <w:b/>
      <w:bCs/>
    </w:rPr>
  </w:style>
  <w:style w:type="paragraph" w:styleId="BalloonText">
    <w:name w:val="Balloon Text"/>
    <w:basedOn w:val="Normal"/>
    <w:semiHidden/>
    <w:rsid w:val="00DA31A5"/>
    <w:rPr>
      <w:rFonts w:ascii="Tahoma" w:hAnsi="Tahoma" w:cs="Tahoma"/>
      <w:sz w:val="16"/>
      <w:szCs w:val="16"/>
    </w:rPr>
  </w:style>
  <w:style w:type="paragraph" w:styleId="DocumentMap">
    <w:name w:val="Document Map"/>
    <w:basedOn w:val="Normal"/>
    <w:semiHidden/>
    <w:rsid w:val="00A3509B"/>
    <w:pPr>
      <w:shd w:val="clear" w:color="auto" w:fill="000080"/>
    </w:pPr>
    <w:rPr>
      <w:rFonts w:ascii="Tahoma" w:hAnsi="Tahoma" w:cs="Tahoma"/>
      <w:sz w:val="20"/>
      <w:szCs w:val="20"/>
    </w:rPr>
  </w:style>
  <w:style w:type="character" w:styleId="LineNumber">
    <w:name w:val="line number"/>
    <w:basedOn w:val="DefaultParagraphFont"/>
    <w:rsid w:val="00A3509B"/>
  </w:style>
  <w:style w:type="paragraph" w:styleId="Footer">
    <w:name w:val="footer"/>
    <w:basedOn w:val="Normal"/>
    <w:rsid w:val="00A3509B"/>
    <w:pPr>
      <w:tabs>
        <w:tab w:val="center" w:pos="4320"/>
        <w:tab w:val="right" w:pos="8640"/>
      </w:tabs>
    </w:pPr>
  </w:style>
  <w:style w:type="character" w:styleId="PageNumber">
    <w:name w:val="page number"/>
    <w:basedOn w:val="DefaultParagraphFont"/>
    <w:rsid w:val="00A3509B"/>
  </w:style>
  <w:style w:type="paragraph" w:styleId="FootnoteText">
    <w:name w:val="footnote text"/>
    <w:basedOn w:val="Normal"/>
    <w:semiHidden/>
    <w:rsid w:val="00720EE1"/>
    <w:rPr>
      <w:sz w:val="20"/>
      <w:szCs w:val="20"/>
    </w:rPr>
  </w:style>
  <w:style w:type="character" w:styleId="FootnoteReference">
    <w:name w:val="footnote reference"/>
    <w:basedOn w:val="DefaultParagraphFont"/>
    <w:semiHidden/>
    <w:rsid w:val="00720EE1"/>
    <w:rPr>
      <w:vertAlign w:val="superscript"/>
    </w:rPr>
  </w:style>
  <w:style w:type="paragraph" w:styleId="Header">
    <w:name w:val="header"/>
    <w:basedOn w:val="Normal"/>
    <w:rsid w:val="00E0188D"/>
    <w:pPr>
      <w:tabs>
        <w:tab w:val="center" w:pos="4320"/>
        <w:tab w:val="right" w:pos="8640"/>
      </w:tabs>
    </w:pPr>
    <w:rPr>
      <w:szCs w:val="20"/>
    </w:rPr>
  </w:style>
  <w:style w:type="paragraph" w:customStyle="1" w:styleId="OMBbodytext">
    <w:name w:val="OMB body text"/>
    <w:basedOn w:val="Normal"/>
    <w:link w:val="OMBbodytextChar"/>
    <w:rsid w:val="00E0188D"/>
    <w:pPr>
      <w:spacing w:after="240"/>
    </w:pPr>
    <w:rPr>
      <w:szCs w:val="20"/>
    </w:rPr>
  </w:style>
  <w:style w:type="character" w:customStyle="1" w:styleId="OMBbodytextChar">
    <w:name w:val="OMB body text Char"/>
    <w:basedOn w:val="DefaultParagraphFont"/>
    <w:link w:val="OMBbodytext"/>
    <w:rsid w:val="00E0188D"/>
    <w:rPr>
      <w:sz w:val="24"/>
      <w:lang w:val="en-US" w:eastAsia="en-US" w:bidi="ar-SA"/>
    </w:rPr>
  </w:style>
  <w:style w:type="paragraph" w:customStyle="1" w:styleId="OMBbullets">
    <w:name w:val="OMB bullets"/>
    <w:basedOn w:val="OMBbodytext"/>
    <w:rsid w:val="00E0188D"/>
    <w:pPr>
      <w:spacing w:after="120"/>
      <w:ind w:left="360" w:hanging="360"/>
    </w:pPr>
  </w:style>
  <w:style w:type="character" w:customStyle="1" w:styleId="BulletList">
    <w:name w:val="Bullet List"/>
    <w:rsid w:val="00E0188D"/>
  </w:style>
  <w:style w:type="table" w:styleId="TableGrid">
    <w:name w:val="Table Grid"/>
    <w:basedOn w:val="TableNormal"/>
    <w:rsid w:val="00875B5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rsid w:val="00FE6407"/>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rsid w:val="00FE6407"/>
    <w:rPr>
      <w:sz w:val="22"/>
      <w:lang w:val="en-US" w:eastAsia="en-US" w:bidi="ar-SA"/>
    </w:rPr>
  </w:style>
  <w:style w:type="character" w:customStyle="1" w:styleId="Heading7Char">
    <w:name w:val="Heading 7 Char"/>
    <w:basedOn w:val="DefaultParagraphFont"/>
    <w:link w:val="Heading7"/>
    <w:semiHidden/>
    <w:rsid w:val="00DE0924"/>
    <w:rPr>
      <w:rFonts w:asciiTheme="majorHAnsi" w:eastAsiaTheme="majorEastAsia" w:hAnsiTheme="majorHAnsi" w:cstheme="majorBidi"/>
      <w:i/>
      <w:iCs/>
      <w:color w:val="404040" w:themeColor="text1" w:themeTint="BF"/>
      <w:sz w:val="24"/>
      <w:szCs w:val="24"/>
    </w:rPr>
  </w:style>
  <w:style w:type="character" w:customStyle="1" w:styleId="Heading11">
    <w:name w:val="Heading 11"/>
    <w:basedOn w:val="DefaultParagraphFont"/>
    <w:uiPriority w:val="99"/>
    <w:rsid w:val="00DE0924"/>
    <w:rPr>
      <w:rFonts w:ascii="Times New Roman" w:hAnsi="Times New Roman" w:cs="Times New Roman" w:hint="default"/>
      <w:b/>
      <w:bCs w:val="0"/>
    </w:rPr>
  </w:style>
  <w:style w:type="paragraph" w:styleId="ListParagraph">
    <w:name w:val="List Paragraph"/>
    <w:basedOn w:val="Normal"/>
    <w:uiPriority w:val="99"/>
    <w:qFormat/>
    <w:rsid w:val="007F06A3"/>
    <w:pPr>
      <w:ind w:left="720"/>
      <w:contextualSpacing/>
    </w:pPr>
  </w:style>
  <w:style w:type="paragraph" w:customStyle="1" w:styleId="av">
    <w:name w:val="av"/>
    <w:basedOn w:val="Normal"/>
    <w:rsid w:val="00853AD8"/>
    <w:rPr>
      <w:rFonts w:ascii="Verdana" w:eastAsia="Cambria" w:hAnsi="Verdana"/>
      <w:sz w:val="20"/>
      <w:szCs w:val="20"/>
    </w:rPr>
  </w:style>
  <w:style w:type="character" w:customStyle="1" w:styleId="Heading4Char">
    <w:name w:val="Heading 4 Char"/>
    <w:basedOn w:val="DefaultParagraphFont"/>
    <w:link w:val="Heading4"/>
    <w:rsid w:val="00CD0F0C"/>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rsid w:val="00CD0F0C"/>
    <w:rPr>
      <w:rFonts w:asciiTheme="majorHAnsi" w:eastAsiaTheme="majorEastAsia" w:hAnsiTheme="majorHAnsi" w:cstheme="majorBidi"/>
      <w:i/>
      <w:iCs/>
      <w:color w:val="244061" w:themeColor="accent1" w:themeShade="80"/>
      <w:sz w:val="24"/>
      <w:szCs w:val="24"/>
    </w:rPr>
  </w:style>
  <w:style w:type="paragraph" w:styleId="List">
    <w:name w:val="List"/>
    <w:basedOn w:val="Normal"/>
    <w:rsid w:val="00CD0F0C"/>
    <w:pPr>
      <w:ind w:left="360" w:hanging="360"/>
      <w:contextualSpacing/>
    </w:pPr>
  </w:style>
  <w:style w:type="paragraph" w:styleId="List2">
    <w:name w:val="List 2"/>
    <w:basedOn w:val="Normal"/>
    <w:rsid w:val="00CD0F0C"/>
    <w:pPr>
      <w:ind w:left="720" w:hanging="360"/>
      <w:contextualSpacing/>
    </w:pPr>
  </w:style>
  <w:style w:type="paragraph" w:styleId="List3">
    <w:name w:val="List 3"/>
    <w:basedOn w:val="Normal"/>
    <w:rsid w:val="00CD0F0C"/>
    <w:pPr>
      <w:ind w:left="1080" w:hanging="360"/>
      <w:contextualSpacing/>
    </w:pPr>
  </w:style>
  <w:style w:type="paragraph" w:styleId="Date">
    <w:name w:val="Date"/>
    <w:basedOn w:val="Normal"/>
    <w:next w:val="Normal"/>
    <w:link w:val="DateChar"/>
    <w:rsid w:val="00CD0F0C"/>
  </w:style>
  <w:style w:type="character" w:customStyle="1" w:styleId="DateChar">
    <w:name w:val="Date Char"/>
    <w:basedOn w:val="DefaultParagraphFont"/>
    <w:link w:val="Date"/>
    <w:rsid w:val="00CD0F0C"/>
    <w:rPr>
      <w:sz w:val="24"/>
      <w:szCs w:val="24"/>
    </w:rPr>
  </w:style>
  <w:style w:type="paragraph" w:styleId="Title">
    <w:name w:val="Title"/>
    <w:basedOn w:val="Normal"/>
    <w:next w:val="Normal"/>
    <w:link w:val="TitleChar"/>
    <w:qFormat/>
    <w:rsid w:val="00CD0F0C"/>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CD0F0C"/>
    <w:rPr>
      <w:rFonts w:asciiTheme="majorHAnsi" w:eastAsiaTheme="majorEastAsia" w:hAnsiTheme="majorHAnsi" w:cstheme="majorBidi"/>
      <w:color w:val="183A63" w:themeColor="text2" w:themeShade="CC"/>
      <w:spacing w:val="5"/>
      <w:kern w:val="28"/>
      <w:sz w:val="52"/>
      <w:szCs w:val="52"/>
    </w:rPr>
  </w:style>
  <w:style w:type="paragraph" w:styleId="BodyTextIndent">
    <w:name w:val="Body Text Indent"/>
    <w:basedOn w:val="Normal"/>
    <w:link w:val="BodyTextIndentChar"/>
    <w:rsid w:val="00CD0F0C"/>
    <w:pPr>
      <w:spacing w:after="120"/>
      <w:ind w:left="360"/>
    </w:pPr>
  </w:style>
  <w:style w:type="character" w:customStyle="1" w:styleId="BodyTextIndentChar">
    <w:name w:val="Body Text Indent Char"/>
    <w:basedOn w:val="DefaultParagraphFont"/>
    <w:link w:val="BodyTextIndent"/>
    <w:rsid w:val="00CD0F0C"/>
    <w:rPr>
      <w:sz w:val="24"/>
      <w:szCs w:val="24"/>
    </w:rPr>
  </w:style>
  <w:style w:type="paragraph" w:customStyle="1" w:styleId="ColorfulList-Accent11">
    <w:name w:val="Colorful List - Accent 11"/>
    <w:basedOn w:val="Normal"/>
    <w:qFormat/>
    <w:rsid w:val="00984EDC"/>
    <w:pPr>
      <w:suppressAutoHyphens/>
      <w:spacing w:line="280" w:lineRule="atLeast"/>
      <w:ind w:left="1440" w:right="1440"/>
    </w:pPr>
    <w:rPr>
      <w:rFonts w:ascii="Verdana" w:hAnsi="Verdana"/>
      <w:kern w:val="1"/>
      <w:lang w:eastAsia="ar-SA"/>
    </w:rPr>
  </w:style>
  <w:style w:type="character" w:customStyle="1" w:styleId="name">
    <w:name w:val="name"/>
    <w:basedOn w:val="DefaultParagraphFont"/>
    <w:rsid w:val="00CC2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E"/>
    <w:rPr>
      <w:sz w:val="24"/>
      <w:szCs w:val="24"/>
    </w:rPr>
  </w:style>
  <w:style w:type="paragraph" w:styleId="Heading1">
    <w:name w:val="heading 1"/>
    <w:basedOn w:val="Normal"/>
    <w:next w:val="Normal"/>
    <w:qFormat/>
    <w:rsid w:val="006F050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050E"/>
    <w:pPr>
      <w:keepNext/>
      <w:widowControl w:val="0"/>
      <w:autoSpaceDE w:val="0"/>
      <w:autoSpaceDN w:val="0"/>
      <w:adjustRightInd w:val="0"/>
      <w:outlineLvl w:val="1"/>
    </w:pPr>
    <w:rPr>
      <w:rFonts w:ascii="Arial" w:hAnsi="Arial" w:cs="Arial"/>
      <w:b/>
      <w:bCs/>
    </w:rPr>
  </w:style>
  <w:style w:type="paragraph" w:styleId="Heading4">
    <w:name w:val="heading 4"/>
    <w:basedOn w:val="Normal"/>
    <w:next w:val="Normal"/>
    <w:link w:val="Heading4Char"/>
    <w:unhideWhenUsed/>
    <w:qFormat/>
    <w:rsid w:val="00CD0F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6F050E"/>
    <w:pPr>
      <w:spacing w:before="240" w:after="60"/>
      <w:outlineLvl w:val="4"/>
    </w:pPr>
    <w:rPr>
      <w:b/>
      <w:bCs/>
      <w:i/>
      <w:iCs/>
      <w:sz w:val="26"/>
      <w:szCs w:val="26"/>
    </w:rPr>
  </w:style>
  <w:style w:type="paragraph" w:styleId="Heading6">
    <w:name w:val="heading 6"/>
    <w:basedOn w:val="Normal"/>
    <w:next w:val="Normal"/>
    <w:link w:val="Heading6Char"/>
    <w:unhideWhenUsed/>
    <w:qFormat/>
    <w:rsid w:val="00CD0F0C"/>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semiHidden/>
    <w:unhideWhenUsed/>
    <w:qFormat/>
    <w:rsid w:val="00DE09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050E"/>
    <w:rPr>
      <w:color w:val="0000FF"/>
      <w:u w:val="single"/>
    </w:rPr>
  </w:style>
  <w:style w:type="paragraph" w:styleId="BodyText">
    <w:name w:val="Body Text"/>
    <w:basedOn w:val="Normal"/>
    <w:rsid w:val="006F050E"/>
    <w:pPr>
      <w:jc w:val="center"/>
    </w:pPr>
    <w:rPr>
      <w:sz w:val="32"/>
      <w:szCs w:val="20"/>
    </w:rPr>
  </w:style>
  <w:style w:type="paragraph" w:styleId="EndnoteText">
    <w:name w:val="endnote text"/>
    <w:basedOn w:val="Normal"/>
    <w:semiHidden/>
    <w:rsid w:val="006F050E"/>
    <w:rPr>
      <w:sz w:val="20"/>
      <w:szCs w:val="20"/>
    </w:rPr>
  </w:style>
  <w:style w:type="character" w:styleId="EndnoteReference">
    <w:name w:val="endnote reference"/>
    <w:basedOn w:val="DefaultParagraphFont"/>
    <w:semiHidden/>
    <w:rsid w:val="006F050E"/>
    <w:rPr>
      <w:vertAlign w:val="superscript"/>
    </w:rPr>
  </w:style>
  <w:style w:type="paragraph" w:styleId="TOC1">
    <w:name w:val="toc 1"/>
    <w:basedOn w:val="Normal"/>
    <w:next w:val="Normal"/>
    <w:autoRedefine/>
    <w:semiHidden/>
    <w:rsid w:val="006F050E"/>
  </w:style>
  <w:style w:type="paragraph" w:customStyle="1" w:styleId="AuthorTitle">
    <w:name w:val="Author Title"/>
    <w:basedOn w:val="Normal"/>
    <w:rsid w:val="006F050E"/>
    <w:pPr>
      <w:spacing w:before="60"/>
    </w:pPr>
    <w:rPr>
      <w:sz w:val="20"/>
      <w:szCs w:val="20"/>
      <w:lang w:val="en-GB"/>
    </w:rPr>
  </w:style>
  <w:style w:type="paragraph" w:styleId="BodyText2">
    <w:name w:val="Body Text 2"/>
    <w:basedOn w:val="Normal"/>
    <w:rsid w:val="006F050E"/>
    <w:pPr>
      <w:spacing w:after="120" w:line="480" w:lineRule="auto"/>
    </w:pPr>
  </w:style>
  <w:style w:type="character" w:customStyle="1" w:styleId="printanswer">
    <w:name w:val="printanswer"/>
    <w:basedOn w:val="DefaultParagraphFont"/>
    <w:rsid w:val="006F050E"/>
  </w:style>
  <w:style w:type="character" w:customStyle="1" w:styleId="Italic">
    <w:name w:val="Italic"/>
    <w:basedOn w:val="DefaultParagraphFont"/>
    <w:rsid w:val="006F050E"/>
    <w:rPr>
      <w:i/>
    </w:rPr>
  </w:style>
  <w:style w:type="paragraph" w:customStyle="1" w:styleId="References">
    <w:name w:val="References"/>
    <w:basedOn w:val="Normal"/>
    <w:rsid w:val="006F050E"/>
    <w:pPr>
      <w:numPr>
        <w:numId w:val="1"/>
      </w:numPr>
      <w:spacing w:before="60"/>
    </w:pPr>
    <w:rPr>
      <w:sz w:val="20"/>
      <w:szCs w:val="20"/>
      <w:lang w:val="en-GB"/>
    </w:rPr>
  </w:style>
  <w:style w:type="character" w:styleId="CommentReference">
    <w:name w:val="annotation reference"/>
    <w:basedOn w:val="DefaultParagraphFont"/>
    <w:semiHidden/>
    <w:rsid w:val="00DA31A5"/>
    <w:rPr>
      <w:sz w:val="16"/>
      <w:szCs w:val="16"/>
    </w:rPr>
  </w:style>
  <w:style w:type="paragraph" w:styleId="CommentText">
    <w:name w:val="annotation text"/>
    <w:basedOn w:val="Normal"/>
    <w:semiHidden/>
    <w:rsid w:val="00DA31A5"/>
    <w:rPr>
      <w:sz w:val="20"/>
      <w:szCs w:val="20"/>
    </w:rPr>
  </w:style>
  <w:style w:type="paragraph" w:styleId="CommentSubject">
    <w:name w:val="annotation subject"/>
    <w:basedOn w:val="CommentText"/>
    <w:next w:val="CommentText"/>
    <w:semiHidden/>
    <w:rsid w:val="00DA31A5"/>
    <w:rPr>
      <w:b/>
      <w:bCs/>
    </w:rPr>
  </w:style>
  <w:style w:type="paragraph" w:styleId="BalloonText">
    <w:name w:val="Balloon Text"/>
    <w:basedOn w:val="Normal"/>
    <w:semiHidden/>
    <w:rsid w:val="00DA31A5"/>
    <w:rPr>
      <w:rFonts w:ascii="Tahoma" w:hAnsi="Tahoma" w:cs="Tahoma"/>
      <w:sz w:val="16"/>
      <w:szCs w:val="16"/>
    </w:rPr>
  </w:style>
  <w:style w:type="paragraph" w:styleId="DocumentMap">
    <w:name w:val="Document Map"/>
    <w:basedOn w:val="Normal"/>
    <w:semiHidden/>
    <w:rsid w:val="00A3509B"/>
    <w:pPr>
      <w:shd w:val="clear" w:color="auto" w:fill="000080"/>
    </w:pPr>
    <w:rPr>
      <w:rFonts w:ascii="Tahoma" w:hAnsi="Tahoma" w:cs="Tahoma"/>
      <w:sz w:val="20"/>
      <w:szCs w:val="20"/>
    </w:rPr>
  </w:style>
  <w:style w:type="character" w:styleId="LineNumber">
    <w:name w:val="line number"/>
    <w:basedOn w:val="DefaultParagraphFont"/>
    <w:rsid w:val="00A3509B"/>
  </w:style>
  <w:style w:type="paragraph" w:styleId="Footer">
    <w:name w:val="footer"/>
    <w:basedOn w:val="Normal"/>
    <w:rsid w:val="00A3509B"/>
    <w:pPr>
      <w:tabs>
        <w:tab w:val="center" w:pos="4320"/>
        <w:tab w:val="right" w:pos="8640"/>
      </w:tabs>
    </w:pPr>
  </w:style>
  <w:style w:type="character" w:styleId="PageNumber">
    <w:name w:val="page number"/>
    <w:basedOn w:val="DefaultParagraphFont"/>
    <w:rsid w:val="00A3509B"/>
  </w:style>
  <w:style w:type="paragraph" w:styleId="FootnoteText">
    <w:name w:val="footnote text"/>
    <w:basedOn w:val="Normal"/>
    <w:semiHidden/>
    <w:rsid w:val="00720EE1"/>
    <w:rPr>
      <w:sz w:val="20"/>
      <w:szCs w:val="20"/>
    </w:rPr>
  </w:style>
  <w:style w:type="character" w:styleId="FootnoteReference">
    <w:name w:val="footnote reference"/>
    <w:basedOn w:val="DefaultParagraphFont"/>
    <w:semiHidden/>
    <w:rsid w:val="00720EE1"/>
    <w:rPr>
      <w:vertAlign w:val="superscript"/>
    </w:rPr>
  </w:style>
  <w:style w:type="paragraph" w:styleId="Header">
    <w:name w:val="header"/>
    <w:basedOn w:val="Normal"/>
    <w:rsid w:val="00E0188D"/>
    <w:pPr>
      <w:tabs>
        <w:tab w:val="center" w:pos="4320"/>
        <w:tab w:val="right" w:pos="8640"/>
      </w:tabs>
    </w:pPr>
    <w:rPr>
      <w:szCs w:val="20"/>
    </w:rPr>
  </w:style>
  <w:style w:type="paragraph" w:customStyle="1" w:styleId="OMBbodytext">
    <w:name w:val="OMB body text"/>
    <w:basedOn w:val="Normal"/>
    <w:link w:val="OMBbodytextChar"/>
    <w:rsid w:val="00E0188D"/>
    <w:pPr>
      <w:spacing w:after="240"/>
    </w:pPr>
    <w:rPr>
      <w:szCs w:val="20"/>
    </w:rPr>
  </w:style>
  <w:style w:type="character" w:customStyle="1" w:styleId="OMBbodytextChar">
    <w:name w:val="OMB body text Char"/>
    <w:basedOn w:val="DefaultParagraphFont"/>
    <w:link w:val="OMBbodytext"/>
    <w:rsid w:val="00E0188D"/>
    <w:rPr>
      <w:sz w:val="24"/>
      <w:lang w:val="en-US" w:eastAsia="en-US" w:bidi="ar-SA"/>
    </w:rPr>
  </w:style>
  <w:style w:type="paragraph" w:customStyle="1" w:styleId="OMBbullets">
    <w:name w:val="OMB bullets"/>
    <w:basedOn w:val="OMBbodytext"/>
    <w:rsid w:val="00E0188D"/>
    <w:pPr>
      <w:spacing w:after="120"/>
      <w:ind w:left="360" w:hanging="360"/>
    </w:pPr>
  </w:style>
  <w:style w:type="character" w:customStyle="1" w:styleId="BulletList">
    <w:name w:val="Bullet List"/>
    <w:rsid w:val="00E0188D"/>
  </w:style>
  <w:style w:type="table" w:styleId="TableGrid">
    <w:name w:val="Table Grid"/>
    <w:basedOn w:val="TableNormal"/>
    <w:rsid w:val="00875B5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rsid w:val="00FE6407"/>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rsid w:val="00FE6407"/>
    <w:rPr>
      <w:sz w:val="22"/>
      <w:lang w:val="en-US" w:eastAsia="en-US" w:bidi="ar-SA"/>
    </w:rPr>
  </w:style>
  <w:style w:type="character" w:customStyle="1" w:styleId="Heading7Char">
    <w:name w:val="Heading 7 Char"/>
    <w:basedOn w:val="DefaultParagraphFont"/>
    <w:link w:val="Heading7"/>
    <w:semiHidden/>
    <w:rsid w:val="00DE0924"/>
    <w:rPr>
      <w:rFonts w:asciiTheme="majorHAnsi" w:eastAsiaTheme="majorEastAsia" w:hAnsiTheme="majorHAnsi" w:cstheme="majorBidi"/>
      <w:i/>
      <w:iCs/>
      <w:color w:val="404040" w:themeColor="text1" w:themeTint="BF"/>
      <w:sz w:val="24"/>
      <w:szCs w:val="24"/>
    </w:rPr>
  </w:style>
  <w:style w:type="character" w:customStyle="1" w:styleId="Heading11">
    <w:name w:val="Heading 11"/>
    <w:basedOn w:val="DefaultParagraphFont"/>
    <w:uiPriority w:val="99"/>
    <w:rsid w:val="00DE0924"/>
    <w:rPr>
      <w:rFonts w:ascii="Times New Roman" w:hAnsi="Times New Roman" w:cs="Times New Roman" w:hint="default"/>
      <w:b/>
      <w:bCs w:val="0"/>
    </w:rPr>
  </w:style>
  <w:style w:type="paragraph" w:styleId="ListParagraph">
    <w:name w:val="List Paragraph"/>
    <w:basedOn w:val="Normal"/>
    <w:uiPriority w:val="99"/>
    <w:qFormat/>
    <w:rsid w:val="007F06A3"/>
    <w:pPr>
      <w:ind w:left="720"/>
      <w:contextualSpacing/>
    </w:pPr>
  </w:style>
  <w:style w:type="paragraph" w:customStyle="1" w:styleId="av">
    <w:name w:val="av"/>
    <w:basedOn w:val="Normal"/>
    <w:rsid w:val="00853AD8"/>
    <w:rPr>
      <w:rFonts w:ascii="Verdana" w:eastAsia="Cambria" w:hAnsi="Verdana"/>
      <w:sz w:val="20"/>
      <w:szCs w:val="20"/>
    </w:rPr>
  </w:style>
  <w:style w:type="character" w:customStyle="1" w:styleId="Heading4Char">
    <w:name w:val="Heading 4 Char"/>
    <w:basedOn w:val="DefaultParagraphFont"/>
    <w:link w:val="Heading4"/>
    <w:rsid w:val="00CD0F0C"/>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rsid w:val="00CD0F0C"/>
    <w:rPr>
      <w:rFonts w:asciiTheme="majorHAnsi" w:eastAsiaTheme="majorEastAsia" w:hAnsiTheme="majorHAnsi" w:cstheme="majorBidi"/>
      <w:i/>
      <w:iCs/>
      <w:color w:val="244061" w:themeColor="accent1" w:themeShade="80"/>
      <w:sz w:val="24"/>
      <w:szCs w:val="24"/>
    </w:rPr>
  </w:style>
  <w:style w:type="paragraph" w:styleId="List">
    <w:name w:val="List"/>
    <w:basedOn w:val="Normal"/>
    <w:rsid w:val="00CD0F0C"/>
    <w:pPr>
      <w:ind w:left="360" w:hanging="360"/>
      <w:contextualSpacing/>
    </w:pPr>
  </w:style>
  <w:style w:type="paragraph" w:styleId="List2">
    <w:name w:val="List 2"/>
    <w:basedOn w:val="Normal"/>
    <w:rsid w:val="00CD0F0C"/>
    <w:pPr>
      <w:ind w:left="720" w:hanging="360"/>
      <w:contextualSpacing/>
    </w:pPr>
  </w:style>
  <w:style w:type="paragraph" w:styleId="List3">
    <w:name w:val="List 3"/>
    <w:basedOn w:val="Normal"/>
    <w:rsid w:val="00CD0F0C"/>
    <w:pPr>
      <w:ind w:left="1080" w:hanging="360"/>
      <w:contextualSpacing/>
    </w:pPr>
  </w:style>
  <w:style w:type="paragraph" w:styleId="Date">
    <w:name w:val="Date"/>
    <w:basedOn w:val="Normal"/>
    <w:next w:val="Normal"/>
    <w:link w:val="DateChar"/>
    <w:rsid w:val="00CD0F0C"/>
  </w:style>
  <w:style w:type="character" w:customStyle="1" w:styleId="DateChar">
    <w:name w:val="Date Char"/>
    <w:basedOn w:val="DefaultParagraphFont"/>
    <w:link w:val="Date"/>
    <w:rsid w:val="00CD0F0C"/>
    <w:rPr>
      <w:sz w:val="24"/>
      <w:szCs w:val="24"/>
    </w:rPr>
  </w:style>
  <w:style w:type="paragraph" w:styleId="Title">
    <w:name w:val="Title"/>
    <w:basedOn w:val="Normal"/>
    <w:next w:val="Normal"/>
    <w:link w:val="TitleChar"/>
    <w:qFormat/>
    <w:rsid w:val="00CD0F0C"/>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CD0F0C"/>
    <w:rPr>
      <w:rFonts w:asciiTheme="majorHAnsi" w:eastAsiaTheme="majorEastAsia" w:hAnsiTheme="majorHAnsi" w:cstheme="majorBidi"/>
      <w:color w:val="183A63" w:themeColor="text2" w:themeShade="CC"/>
      <w:spacing w:val="5"/>
      <w:kern w:val="28"/>
      <w:sz w:val="52"/>
      <w:szCs w:val="52"/>
    </w:rPr>
  </w:style>
  <w:style w:type="paragraph" w:styleId="BodyTextIndent">
    <w:name w:val="Body Text Indent"/>
    <w:basedOn w:val="Normal"/>
    <w:link w:val="BodyTextIndentChar"/>
    <w:rsid w:val="00CD0F0C"/>
    <w:pPr>
      <w:spacing w:after="120"/>
      <w:ind w:left="360"/>
    </w:pPr>
  </w:style>
  <w:style w:type="character" w:customStyle="1" w:styleId="BodyTextIndentChar">
    <w:name w:val="Body Text Indent Char"/>
    <w:basedOn w:val="DefaultParagraphFont"/>
    <w:link w:val="BodyTextIndent"/>
    <w:rsid w:val="00CD0F0C"/>
    <w:rPr>
      <w:sz w:val="24"/>
      <w:szCs w:val="24"/>
    </w:rPr>
  </w:style>
  <w:style w:type="paragraph" w:customStyle="1" w:styleId="ColorfulList-Accent11">
    <w:name w:val="Colorful List - Accent 11"/>
    <w:basedOn w:val="Normal"/>
    <w:qFormat/>
    <w:rsid w:val="00984EDC"/>
    <w:pPr>
      <w:suppressAutoHyphens/>
      <w:spacing w:line="280" w:lineRule="atLeast"/>
      <w:ind w:left="1440" w:right="1440"/>
    </w:pPr>
    <w:rPr>
      <w:rFonts w:ascii="Verdana" w:hAnsi="Verdana"/>
      <w:kern w:val="1"/>
      <w:lang w:eastAsia="ar-SA"/>
    </w:rPr>
  </w:style>
  <w:style w:type="character" w:customStyle="1" w:styleId="name">
    <w:name w:val="name"/>
    <w:basedOn w:val="DefaultParagraphFont"/>
    <w:rsid w:val="00CC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2890">
      <w:bodyDiv w:val="1"/>
      <w:marLeft w:val="0"/>
      <w:marRight w:val="0"/>
      <w:marTop w:val="0"/>
      <w:marBottom w:val="0"/>
      <w:divBdr>
        <w:top w:val="none" w:sz="0" w:space="0" w:color="auto"/>
        <w:left w:val="none" w:sz="0" w:space="0" w:color="auto"/>
        <w:bottom w:val="none" w:sz="0" w:space="0" w:color="auto"/>
        <w:right w:val="none" w:sz="0" w:space="0" w:color="auto"/>
      </w:divBdr>
      <w:divsChild>
        <w:div w:id="482743014">
          <w:marLeft w:val="0"/>
          <w:marRight w:val="0"/>
          <w:marTop w:val="0"/>
          <w:marBottom w:val="0"/>
          <w:divBdr>
            <w:top w:val="none" w:sz="0" w:space="0" w:color="auto"/>
            <w:left w:val="none" w:sz="0" w:space="0" w:color="auto"/>
            <w:bottom w:val="none" w:sz="0" w:space="0" w:color="auto"/>
            <w:right w:val="none" w:sz="0" w:space="0" w:color="auto"/>
          </w:divBdr>
        </w:div>
      </w:divsChild>
    </w:div>
    <w:div w:id="638606858">
      <w:bodyDiv w:val="1"/>
      <w:marLeft w:val="0"/>
      <w:marRight w:val="0"/>
      <w:marTop w:val="0"/>
      <w:marBottom w:val="0"/>
      <w:divBdr>
        <w:top w:val="none" w:sz="0" w:space="0" w:color="auto"/>
        <w:left w:val="none" w:sz="0" w:space="0" w:color="auto"/>
        <w:bottom w:val="none" w:sz="0" w:space="0" w:color="auto"/>
        <w:right w:val="none" w:sz="0" w:space="0" w:color="auto"/>
      </w:divBdr>
    </w:div>
    <w:div w:id="693195706">
      <w:bodyDiv w:val="1"/>
      <w:marLeft w:val="0"/>
      <w:marRight w:val="0"/>
      <w:marTop w:val="0"/>
      <w:marBottom w:val="0"/>
      <w:divBdr>
        <w:top w:val="none" w:sz="0" w:space="0" w:color="auto"/>
        <w:left w:val="none" w:sz="0" w:space="0" w:color="auto"/>
        <w:bottom w:val="none" w:sz="0" w:space="0" w:color="auto"/>
        <w:right w:val="none" w:sz="0" w:space="0" w:color="auto"/>
      </w:divBdr>
      <w:divsChild>
        <w:div w:id="1333483390">
          <w:marLeft w:val="0"/>
          <w:marRight w:val="0"/>
          <w:marTop w:val="0"/>
          <w:marBottom w:val="0"/>
          <w:divBdr>
            <w:top w:val="none" w:sz="0" w:space="0" w:color="auto"/>
            <w:left w:val="single" w:sz="2" w:space="0" w:color="2E2E2E"/>
            <w:bottom w:val="single" w:sz="2" w:space="0" w:color="2E2E2E"/>
            <w:right w:val="single" w:sz="2" w:space="0" w:color="2E2E2E"/>
          </w:divBdr>
          <w:divsChild>
            <w:div w:id="1066144801">
              <w:marLeft w:val="0"/>
              <w:marRight w:val="0"/>
              <w:marTop w:val="15"/>
              <w:marBottom w:val="0"/>
              <w:divBdr>
                <w:top w:val="none" w:sz="0" w:space="0" w:color="auto"/>
                <w:left w:val="none" w:sz="0" w:space="0" w:color="auto"/>
                <w:bottom w:val="none" w:sz="0" w:space="0" w:color="auto"/>
                <w:right w:val="none" w:sz="0" w:space="0" w:color="auto"/>
              </w:divBdr>
              <w:divsChild>
                <w:div w:id="1258901494">
                  <w:marLeft w:val="0"/>
                  <w:marRight w:val="0"/>
                  <w:marTop w:val="0"/>
                  <w:marBottom w:val="0"/>
                  <w:divBdr>
                    <w:top w:val="none" w:sz="0" w:space="0" w:color="auto"/>
                    <w:left w:val="none" w:sz="0" w:space="0" w:color="auto"/>
                    <w:bottom w:val="none" w:sz="0" w:space="0" w:color="auto"/>
                    <w:right w:val="none" w:sz="0" w:space="0" w:color="auto"/>
                  </w:divBdr>
                  <w:divsChild>
                    <w:div w:id="479079225">
                      <w:marLeft w:val="0"/>
                      <w:marRight w:val="0"/>
                      <w:marTop w:val="0"/>
                      <w:marBottom w:val="0"/>
                      <w:divBdr>
                        <w:top w:val="none" w:sz="0" w:space="0" w:color="auto"/>
                        <w:left w:val="none" w:sz="0" w:space="0" w:color="auto"/>
                        <w:bottom w:val="none" w:sz="0" w:space="0" w:color="auto"/>
                        <w:right w:val="none" w:sz="0" w:space="0" w:color="auto"/>
                      </w:divBdr>
                      <w:divsChild>
                        <w:div w:id="340014911">
                          <w:marLeft w:val="0"/>
                          <w:marRight w:val="0"/>
                          <w:marTop w:val="0"/>
                          <w:marBottom w:val="315"/>
                          <w:divBdr>
                            <w:top w:val="single" w:sz="6" w:space="0" w:color="D7D7D7"/>
                            <w:left w:val="single" w:sz="2" w:space="0" w:color="D7D7D7"/>
                            <w:bottom w:val="single" w:sz="6" w:space="0" w:color="D7D7D7"/>
                            <w:right w:val="single" w:sz="2" w:space="0" w:color="D7D7D7"/>
                          </w:divBdr>
                          <w:divsChild>
                            <w:div w:id="164980715">
                              <w:marLeft w:val="0"/>
                              <w:marRight w:val="0"/>
                              <w:marTop w:val="0"/>
                              <w:marBottom w:val="0"/>
                              <w:divBdr>
                                <w:top w:val="none" w:sz="0" w:space="0" w:color="auto"/>
                                <w:left w:val="none" w:sz="0" w:space="0" w:color="auto"/>
                                <w:bottom w:val="none" w:sz="0" w:space="0" w:color="auto"/>
                                <w:right w:val="none" w:sz="0" w:space="0" w:color="auto"/>
                              </w:divBdr>
                            </w:div>
                            <w:div w:id="10402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724999">
      <w:bodyDiv w:val="1"/>
      <w:marLeft w:val="0"/>
      <w:marRight w:val="0"/>
      <w:marTop w:val="0"/>
      <w:marBottom w:val="0"/>
      <w:divBdr>
        <w:top w:val="none" w:sz="0" w:space="0" w:color="auto"/>
        <w:left w:val="none" w:sz="0" w:space="0" w:color="auto"/>
        <w:bottom w:val="none" w:sz="0" w:space="0" w:color="auto"/>
        <w:right w:val="none" w:sz="0" w:space="0" w:color="auto"/>
      </w:divBdr>
    </w:div>
    <w:div w:id="1530147599">
      <w:bodyDiv w:val="1"/>
      <w:marLeft w:val="0"/>
      <w:marRight w:val="0"/>
      <w:marTop w:val="0"/>
      <w:marBottom w:val="0"/>
      <w:divBdr>
        <w:top w:val="none" w:sz="0" w:space="0" w:color="auto"/>
        <w:left w:val="none" w:sz="0" w:space="0" w:color="auto"/>
        <w:bottom w:val="none" w:sz="0" w:space="0" w:color="auto"/>
        <w:right w:val="none" w:sz="0" w:space="0" w:color="auto"/>
      </w:divBdr>
      <w:divsChild>
        <w:div w:id="1365982775">
          <w:marLeft w:val="0"/>
          <w:marRight w:val="0"/>
          <w:marTop w:val="0"/>
          <w:marBottom w:val="0"/>
          <w:divBdr>
            <w:top w:val="single" w:sz="18" w:space="0" w:color="6C9D30"/>
            <w:left w:val="single" w:sz="2" w:space="0" w:color="2E2E2E"/>
            <w:bottom w:val="single" w:sz="2" w:space="0" w:color="2E2E2E"/>
            <w:right w:val="single" w:sz="2" w:space="0" w:color="2E2E2E"/>
          </w:divBdr>
          <w:divsChild>
            <w:div w:id="1138523867">
              <w:marLeft w:val="0"/>
              <w:marRight w:val="0"/>
              <w:marTop w:val="15"/>
              <w:marBottom w:val="0"/>
              <w:divBdr>
                <w:top w:val="none" w:sz="0" w:space="0" w:color="auto"/>
                <w:left w:val="none" w:sz="0" w:space="0" w:color="auto"/>
                <w:bottom w:val="none" w:sz="0" w:space="0" w:color="auto"/>
                <w:right w:val="none" w:sz="0" w:space="0" w:color="auto"/>
              </w:divBdr>
              <w:divsChild>
                <w:div w:id="2085100661">
                  <w:marLeft w:val="0"/>
                  <w:marRight w:val="0"/>
                  <w:marTop w:val="0"/>
                  <w:marBottom w:val="0"/>
                  <w:divBdr>
                    <w:top w:val="single" w:sz="6" w:space="0" w:color="B7B7B7"/>
                    <w:left w:val="single" w:sz="6" w:space="0" w:color="B7B7B7"/>
                    <w:bottom w:val="single" w:sz="6" w:space="0" w:color="B7B7B7"/>
                    <w:right w:val="single" w:sz="6" w:space="0" w:color="B7B7B7"/>
                  </w:divBdr>
                  <w:divsChild>
                    <w:div w:id="71783206">
                      <w:marLeft w:val="0"/>
                      <w:marRight w:val="0"/>
                      <w:marTop w:val="0"/>
                      <w:marBottom w:val="0"/>
                      <w:divBdr>
                        <w:top w:val="none" w:sz="0" w:space="0" w:color="auto"/>
                        <w:left w:val="none" w:sz="0" w:space="0" w:color="auto"/>
                        <w:bottom w:val="none" w:sz="0" w:space="0" w:color="auto"/>
                        <w:right w:val="none" w:sz="0" w:space="0" w:color="auto"/>
                      </w:divBdr>
                      <w:divsChild>
                        <w:div w:id="206378963">
                          <w:marLeft w:val="0"/>
                          <w:marRight w:val="0"/>
                          <w:marTop w:val="0"/>
                          <w:marBottom w:val="0"/>
                          <w:divBdr>
                            <w:top w:val="none" w:sz="0" w:space="0" w:color="auto"/>
                            <w:left w:val="none" w:sz="0" w:space="0" w:color="auto"/>
                            <w:bottom w:val="none" w:sz="0" w:space="0" w:color="auto"/>
                            <w:right w:val="none" w:sz="0" w:space="0" w:color="auto"/>
                          </w:divBdr>
                          <w:divsChild>
                            <w:div w:id="18510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hysicaltherapyjournal.com/content/85/10/1008.fu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Naumann@cdc.gov"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78C9F-BAB8-4C5E-82E7-87A97421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2965</Words>
  <Characters>16903</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19829</CharactersWithSpaces>
  <SharedDoc>false</SharedDoc>
  <HLinks>
    <vt:vector size="18" baseType="variant">
      <vt:variant>
        <vt:i4>65579</vt:i4>
      </vt:variant>
      <vt:variant>
        <vt:i4>6</vt:i4>
      </vt:variant>
      <vt:variant>
        <vt:i4>0</vt:i4>
      </vt:variant>
      <vt:variant>
        <vt:i4>5</vt:i4>
      </vt:variant>
      <vt:variant>
        <vt:lpwstr>mailto:chen@cdc.gov</vt:lpwstr>
      </vt:variant>
      <vt:variant>
        <vt:lpwstr/>
      </vt:variant>
      <vt:variant>
        <vt:i4>65580</vt:i4>
      </vt:variant>
      <vt:variant>
        <vt:i4>3</vt:i4>
      </vt:variant>
      <vt:variant>
        <vt:i4>0</vt:i4>
      </vt:variant>
      <vt:variant>
        <vt:i4>5</vt:i4>
      </vt:variant>
      <vt:variant>
        <vt:lpwstr>mailto:kholland@cdc.gov</vt:lpwstr>
      </vt:variant>
      <vt:variant>
        <vt:lpwstr/>
      </vt:variant>
      <vt:variant>
        <vt:i4>4784181</vt:i4>
      </vt:variant>
      <vt:variant>
        <vt:i4>0</vt:i4>
      </vt:variant>
      <vt:variant>
        <vt:i4>0</vt:i4>
      </vt:variant>
      <vt:variant>
        <vt:i4>5</vt:i4>
      </vt:variant>
      <vt:variant>
        <vt:lpwstr>mailto:ateten@cdc.gov/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T. Taylor</dc:creator>
  <cp:lastModifiedBy>CDC User</cp:lastModifiedBy>
  <cp:revision>2</cp:revision>
  <cp:lastPrinted>2013-03-15T13:56:00Z</cp:lastPrinted>
  <dcterms:created xsi:type="dcterms:W3CDTF">2013-08-30T16:06:00Z</dcterms:created>
  <dcterms:modified xsi:type="dcterms:W3CDTF">2013-08-30T16:06:00Z</dcterms:modified>
</cp:coreProperties>
</file>