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1A1" w:rsidRPr="009D17A3" w:rsidRDefault="008E11A1" w:rsidP="00AF5045">
      <w:pPr>
        <w:pStyle w:val="Heading1"/>
        <w:pBdr>
          <w:bottom w:val="none" w:sz="0" w:space="0" w:color="auto"/>
        </w:pBdr>
        <w:spacing w:before="120" w:after="120" w:line="360" w:lineRule="auto"/>
        <w:jc w:val="center"/>
        <w:rPr>
          <w:rFonts w:ascii="Times New Roman" w:hAnsi="Times New Roman"/>
          <w:sz w:val="28"/>
          <w:szCs w:val="24"/>
        </w:rPr>
      </w:pPr>
      <w:r w:rsidRPr="009D17A3">
        <w:rPr>
          <w:rFonts w:ascii="Times New Roman" w:hAnsi="Times New Roman"/>
          <w:sz w:val="28"/>
          <w:szCs w:val="24"/>
        </w:rPr>
        <w:t>Strategic Prevention Framework State Incentive Grant (SPF SIG) Program</w:t>
      </w:r>
    </w:p>
    <w:p w:rsidR="00A52B70" w:rsidRPr="009D17A3" w:rsidRDefault="008E11A1" w:rsidP="003235BC">
      <w:pPr>
        <w:pStyle w:val="Body"/>
        <w:jc w:val="center"/>
        <w:rPr>
          <w:rFonts w:ascii="Times New Roman" w:hAnsi="Times New Roman"/>
          <w:b/>
          <w:sz w:val="28"/>
          <w:szCs w:val="24"/>
        </w:rPr>
      </w:pPr>
      <w:r w:rsidRPr="009D17A3">
        <w:rPr>
          <w:rFonts w:ascii="Times New Roman" w:hAnsi="Times New Roman"/>
          <w:b/>
          <w:sz w:val="28"/>
          <w:szCs w:val="24"/>
        </w:rPr>
        <w:t>Supporting Statement</w:t>
      </w:r>
      <w:r w:rsidR="003C24EB" w:rsidRPr="009D17A3">
        <w:rPr>
          <w:rFonts w:ascii="Times New Roman" w:hAnsi="Times New Roman"/>
          <w:b/>
          <w:sz w:val="28"/>
          <w:szCs w:val="24"/>
        </w:rPr>
        <w:t xml:space="preserve"> A</w:t>
      </w:r>
    </w:p>
    <w:p w:rsidR="005A35A6" w:rsidRPr="009D17A3" w:rsidRDefault="00514F49" w:rsidP="00B84582">
      <w:pPr>
        <w:pStyle w:val="Body"/>
        <w:rPr>
          <w:rFonts w:ascii="Times New Roman" w:hAnsi="Times New Roman"/>
          <w:b/>
          <w:szCs w:val="24"/>
        </w:rPr>
      </w:pPr>
      <w:r w:rsidRPr="009D17A3">
        <w:rPr>
          <w:rFonts w:ascii="Times New Roman" w:hAnsi="Times New Roman"/>
          <w:b/>
          <w:szCs w:val="24"/>
        </w:rPr>
        <w:t>Part A. Justification</w:t>
      </w:r>
    </w:p>
    <w:p w:rsidR="005A35A6" w:rsidRPr="009D17A3" w:rsidRDefault="00514F49" w:rsidP="00F24C35">
      <w:pPr>
        <w:pStyle w:val="Heading2"/>
        <w:spacing w:before="120" w:line="360" w:lineRule="auto"/>
        <w:rPr>
          <w:rFonts w:ascii="Times New Roman" w:hAnsi="Times New Roman"/>
          <w:sz w:val="24"/>
          <w:szCs w:val="24"/>
        </w:rPr>
      </w:pPr>
      <w:r w:rsidRPr="009D17A3">
        <w:rPr>
          <w:rFonts w:ascii="Times New Roman" w:hAnsi="Times New Roman"/>
          <w:sz w:val="24"/>
          <w:szCs w:val="24"/>
        </w:rPr>
        <w:t>A1. Circumstances Necessitating Data Collection</w:t>
      </w:r>
    </w:p>
    <w:p w:rsidR="00D32722" w:rsidRPr="009D17A3" w:rsidRDefault="00B40A35" w:rsidP="00F24C35">
      <w:pPr>
        <w:pStyle w:val="Body"/>
        <w:rPr>
          <w:rFonts w:ascii="Times New Roman" w:hAnsi="Times New Roman"/>
          <w:szCs w:val="24"/>
        </w:rPr>
      </w:pPr>
      <w:r w:rsidRPr="009D17A3">
        <w:rPr>
          <w:rFonts w:ascii="Times New Roman" w:hAnsi="Times New Roman"/>
          <w:szCs w:val="24"/>
        </w:rPr>
        <w:t>The Substance Abuse and Mental Health Services Administration</w:t>
      </w:r>
      <w:r w:rsidR="00F27EE7" w:rsidRPr="009D17A3">
        <w:rPr>
          <w:rFonts w:ascii="Times New Roman" w:hAnsi="Times New Roman"/>
          <w:szCs w:val="24"/>
        </w:rPr>
        <w:t>’s</w:t>
      </w:r>
      <w:r w:rsidRPr="009D17A3">
        <w:rPr>
          <w:rFonts w:ascii="Times New Roman" w:hAnsi="Times New Roman"/>
          <w:szCs w:val="24"/>
        </w:rPr>
        <w:t xml:space="preserve"> (SAMHSA) Center for Substance Abuse Prevention (CSAP) requests </w:t>
      </w:r>
      <w:r w:rsidR="00360AC8" w:rsidRPr="009D17A3">
        <w:rPr>
          <w:rFonts w:ascii="Times New Roman" w:hAnsi="Times New Roman"/>
          <w:szCs w:val="24"/>
        </w:rPr>
        <w:t>OMB</w:t>
      </w:r>
      <w:r w:rsidR="00837471" w:rsidRPr="009D17A3">
        <w:rPr>
          <w:rFonts w:ascii="Times New Roman" w:hAnsi="Times New Roman"/>
          <w:szCs w:val="24"/>
        </w:rPr>
        <w:t xml:space="preserve"> approval for </w:t>
      </w:r>
      <w:r w:rsidR="00BE7DD1" w:rsidRPr="009D17A3">
        <w:rPr>
          <w:rFonts w:ascii="Times New Roman" w:hAnsi="Times New Roman"/>
          <w:szCs w:val="24"/>
        </w:rPr>
        <w:t>the cross-site evaluation</w:t>
      </w:r>
      <w:r w:rsidR="00023C1D" w:rsidRPr="009D17A3">
        <w:rPr>
          <w:rFonts w:ascii="Times New Roman" w:hAnsi="Times New Roman"/>
          <w:szCs w:val="24"/>
        </w:rPr>
        <w:t xml:space="preserve"> instruments</w:t>
      </w:r>
      <w:r w:rsidR="00BE7DD1" w:rsidRPr="009D17A3">
        <w:rPr>
          <w:rFonts w:ascii="Times New Roman" w:hAnsi="Times New Roman"/>
          <w:szCs w:val="24"/>
        </w:rPr>
        <w:t xml:space="preserve"> for the Strategic Prevention Framework State Incentive Grant</w:t>
      </w:r>
      <w:r w:rsidR="00023C1D" w:rsidRPr="009D17A3">
        <w:rPr>
          <w:rFonts w:ascii="Times New Roman" w:hAnsi="Times New Roman"/>
          <w:szCs w:val="24"/>
        </w:rPr>
        <w:t xml:space="preserve"> </w:t>
      </w:r>
      <w:r w:rsidR="00BE7DD1" w:rsidRPr="009D17A3">
        <w:rPr>
          <w:rFonts w:ascii="Times New Roman" w:hAnsi="Times New Roman"/>
          <w:szCs w:val="24"/>
        </w:rPr>
        <w:t>(SPF SIG)</w:t>
      </w:r>
      <w:r w:rsidR="00023C1D" w:rsidRPr="009D17A3">
        <w:rPr>
          <w:rFonts w:ascii="Times New Roman" w:hAnsi="Times New Roman"/>
          <w:szCs w:val="24"/>
        </w:rPr>
        <w:t xml:space="preserve"> program</w:t>
      </w:r>
      <w:r w:rsidR="00E61579" w:rsidRPr="009D17A3">
        <w:rPr>
          <w:rFonts w:ascii="Times New Roman" w:hAnsi="Times New Roman"/>
          <w:szCs w:val="24"/>
        </w:rPr>
        <w:t xml:space="preserve"> for Cohorts IV and V</w:t>
      </w:r>
      <w:r w:rsidR="006575F1" w:rsidRPr="009D17A3">
        <w:rPr>
          <w:rFonts w:ascii="Times New Roman" w:hAnsi="Times New Roman"/>
          <w:szCs w:val="24"/>
        </w:rPr>
        <w:t xml:space="preserve">.  </w:t>
      </w:r>
      <w:r w:rsidR="00F64C6E" w:rsidRPr="009D17A3">
        <w:rPr>
          <w:rFonts w:ascii="Times New Roman" w:hAnsi="Times New Roman"/>
          <w:szCs w:val="24"/>
        </w:rPr>
        <w:t>T</w:t>
      </w:r>
      <w:r w:rsidRPr="009D17A3">
        <w:rPr>
          <w:rFonts w:ascii="Times New Roman" w:hAnsi="Times New Roman"/>
          <w:szCs w:val="24"/>
        </w:rPr>
        <w:t xml:space="preserve">his </w:t>
      </w:r>
      <w:r w:rsidR="008E2164" w:rsidRPr="009D17A3">
        <w:rPr>
          <w:rFonts w:ascii="Times New Roman" w:hAnsi="Times New Roman"/>
          <w:szCs w:val="24"/>
        </w:rPr>
        <w:t>reinst</w:t>
      </w:r>
      <w:r w:rsidR="009E267A" w:rsidRPr="009D17A3">
        <w:rPr>
          <w:rFonts w:ascii="Times New Roman" w:hAnsi="Times New Roman"/>
          <w:szCs w:val="24"/>
        </w:rPr>
        <w:t>atement</w:t>
      </w:r>
      <w:r w:rsidR="008E2164" w:rsidRPr="009D17A3">
        <w:rPr>
          <w:rFonts w:ascii="Times New Roman" w:hAnsi="Times New Roman"/>
          <w:szCs w:val="24"/>
        </w:rPr>
        <w:t xml:space="preserve"> </w:t>
      </w:r>
      <w:r w:rsidR="00F64C6E" w:rsidRPr="009D17A3">
        <w:rPr>
          <w:rFonts w:ascii="Times New Roman" w:hAnsi="Times New Roman"/>
          <w:szCs w:val="24"/>
        </w:rPr>
        <w:t>includes</w:t>
      </w:r>
      <w:r w:rsidR="00360AC8" w:rsidRPr="009D17A3">
        <w:rPr>
          <w:rFonts w:ascii="Times New Roman" w:hAnsi="Times New Roman"/>
          <w:szCs w:val="24"/>
        </w:rPr>
        <w:t xml:space="preserve">: </w:t>
      </w:r>
    </w:p>
    <w:p w:rsidR="00AB255E" w:rsidRPr="009D17A3" w:rsidRDefault="00E61579" w:rsidP="00C82E7D">
      <w:pPr>
        <w:pStyle w:val="Body"/>
        <w:numPr>
          <w:ilvl w:val="0"/>
          <w:numId w:val="14"/>
        </w:numPr>
        <w:rPr>
          <w:rFonts w:ascii="Times New Roman" w:hAnsi="Times New Roman"/>
          <w:szCs w:val="24"/>
        </w:rPr>
      </w:pPr>
      <w:r w:rsidRPr="009D17A3">
        <w:rPr>
          <w:rFonts w:ascii="Times New Roman" w:hAnsi="Times New Roman"/>
          <w:szCs w:val="24"/>
        </w:rPr>
        <w:t>S</w:t>
      </w:r>
      <w:r w:rsidR="00842ECB" w:rsidRPr="009D17A3">
        <w:rPr>
          <w:rFonts w:ascii="Times New Roman" w:hAnsi="Times New Roman"/>
          <w:szCs w:val="24"/>
        </w:rPr>
        <w:t xml:space="preserve">ubmission </w:t>
      </w:r>
      <w:r w:rsidR="00FD26F9" w:rsidRPr="009D17A3">
        <w:rPr>
          <w:rFonts w:ascii="Times New Roman" w:hAnsi="Times New Roman"/>
          <w:szCs w:val="24"/>
        </w:rPr>
        <w:t xml:space="preserve">of the </w:t>
      </w:r>
      <w:r w:rsidR="005C43A9" w:rsidRPr="009D17A3">
        <w:rPr>
          <w:rFonts w:ascii="Times New Roman" w:hAnsi="Times New Roman"/>
          <w:szCs w:val="24"/>
        </w:rPr>
        <w:t>instruments</w:t>
      </w:r>
      <w:r w:rsidR="00C34146" w:rsidRPr="009D17A3">
        <w:rPr>
          <w:rFonts w:ascii="Times New Roman" w:hAnsi="Times New Roman"/>
          <w:szCs w:val="24"/>
        </w:rPr>
        <w:t xml:space="preserve"> </w:t>
      </w:r>
      <w:r w:rsidR="005C43A9" w:rsidRPr="009D17A3">
        <w:rPr>
          <w:rFonts w:ascii="Times New Roman" w:hAnsi="Times New Roman"/>
          <w:szCs w:val="24"/>
        </w:rPr>
        <w:t xml:space="preserve">for </w:t>
      </w:r>
      <w:r w:rsidR="00C34146" w:rsidRPr="009D17A3">
        <w:rPr>
          <w:rFonts w:ascii="Times New Roman" w:hAnsi="Times New Roman"/>
          <w:szCs w:val="24"/>
        </w:rPr>
        <w:t xml:space="preserve">the cross-site evaluation </w:t>
      </w:r>
      <w:r w:rsidR="004476D0" w:rsidRPr="009D17A3">
        <w:rPr>
          <w:rFonts w:ascii="Times New Roman" w:hAnsi="Times New Roman"/>
          <w:szCs w:val="24"/>
        </w:rPr>
        <w:t>o</w:t>
      </w:r>
      <w:r w:rsidR="00C34146" w:rsidRPr="009D17A3">
        <w:rPr>
          <w:rFonts w:ascii="Times New Roman" w:hAnsi="Times New Roman"/>
          <w:szCs w:val="24"/>
        </w:rPr>
        <w:t>f</w:t>
      </w:r>
      <w:r w:rsidR="004476D0" w:rsidRPr="009D17A3">
        <w:rPr>
          <w:rFonts w:ascii="Times New Roman" w:hAnsi="Times New Roman"/>
          <w:szCs w:val="24"/>
        </w:rPr>
        <w:t xml:space="preserve"> the</w:t>
      </w:r>
      <w:r w:rsidR="00C34146" w:rsidRPr="009D17A3">
        <w:rPr>
          <w:rFonts w:ascii="Times New Roman" w:hAnsi="Times New Roman"/>
          <w:szCs w:val="24"/>
        </w:rPr>
        <w:t xml:space="preserve"> SPF SIG</w:t>
      </w:r>
      <w:r w:rsidR="004476D0" w:rsidRPr="009D17A3">
        <w:rPr>
          <w:rFonts w:ascii="Times New Roman" w:hAnsi="Times New Roman"/>
          <w:szCs w:val="24"/>
        </w:rPr>
        <w:t xml:space="preserve"> Cohorts IV and V</w:t>
      </w:r>
      <w:r w:rsidR="005C43A9" w:rsidRPr="009D17A3">
        <w:rPr>
          <w:rFonts w:ascii="Times New Roman" w:hAnsi="Times New Roman"/>
          <w:szCs w:val="24"/>
        </w:rPr>
        <w:t>:</w:t>
      </w:r>
      <w:r w:rsidR="00FD26F9" w:rsidRPr="009D17A3">
        <w:rPr>
          <w:rFonts w:ascii="Times New Roman" w:hAnsi="Times New Roman"/>
          <w:szCs w:val="24"/>
        </w:rPr>
        <w:t xml:space="preserve"> </w:t>
      </w:r>
      <w:r w:rsidR="005C43A9" w:rsidRPr="009D17A3">
        <w:rPr>
          <w:rFonts w:ascii="Times New Roman" w:hAnsi="Times New Roman"/>
          <w:szCs w:val="24"/>
        </w:rPr>
        <w:t xml:space="preserve">(a) the </w:t>
      </w:r>
      <w:r w:rsidR="00FD26F9" w:rsidRPr="009D17A3">
        <w:rPr>
          <w:rFonts w:ascii="Times New Roman" w:hAnsi="Times New Roman"/>
          <w:szCs w:val="24"/>
        </w:rPr>
        <w:t>two-part Community</w:t>
      </w:r>
      <w:r w:rsidR="001B7ECA" w:rsidRPr="009D17A3">
        <w:rPr>
          <w:rFonts w:ascii="Times New Roman" w:hAnsi="Times New Roman"/>
          <w:szCs w:val="24"/>
        </w:rPr>
        <w:t>-</w:t>
      </w:r>
      <w:r w:rsidR="00FD26F9" w:rsidRPr="009D17A3">
        <w:rPr>
          <w:rFonts w:ascii="Times New Roman" w:hAnsi="Times New Roman"/>
          <w:szCs w:val="24"/>
        </w:rPr>
        <w:t>Level Instrument (CLI Parts I and II)</w:t>
      </w:r>
      <w:r w:rsidR="005C43A9" w:rsidRPr="009D17A3">
        <w:rPr>
          <w:rFonts w:ascii="Times New Roman" w:hAnsi="Times New Roman"/>
          <w:szCs w:val="24"/>
        </w:rPr>
        <w:t xml:space="preserve">; </w:t>
      </w:r>
      <w:r w:rsidR="00C82E7D" w:rsidRPr="009D17A3">
        <w:rPr>
          <w:rFonts w:ascii="Times New Roman" w:hAnsi="Times New Roman"/>
          <w:szCs w:val="24"/>
        </w:rPr>
        <w:t xml:space="preserve">and </w:t>
      </w:r>
      <w:r w:rsidR="005C43A9" w:rsidRPr="009D17A3">
        <w:rPr>
          <w:rFonts w:ascii="Times New Roman" w:hAnsi="Times New Roman"/>
          <w:szCs w:val="24"/>
        </w:rPr>
        <w:t>(b) the two Grantee-</w:t>
      </w:r>
      <w:r w:rsidR="001B7ECA" w:rsidRPr="009D17A3">
        <w:rPr>
          <w:rFonts w:ascii="Times New Roman" w:hAnsi="Times New Roman"/>
          <w:szCs w:val="24"/>
        </w:rPr>
        <w:t>Level</w:t>
      </w:r>
      <w:r w:rsidR="004D6485" w:rsidRPr="009D17A3">
        <w:rPr>
          <w:rFonts w:ascii="Times New Roman" w:hAnsi="Times New Roman"/>
          <w:szCs w:val="24"/>
        </w:rPr>
        <w:t xml:space="preserve"> </w:t>
      </w:r>
      <w:r w:rsidR="005C43A9" w:rsidRPr="009D17A3">
        <w:rPr>
          <w:rFonts w:ascii="Times New Roman" w:hAnsi="Times New Roman"/>
          <w:szCs w:val="24"/>
        </w:rPr>
        <w:t>Instruments (GLI) — the GLI Infrastructure Instrument and the GLI Implementation I</w:t>
      </w:r>
      <w:r w:rsidR="00456CAE" w:rsidRPr="009D17A3">
        <w:rPr>
          <w:rFonts w:ascii="Times New Roman" w:hAnsi="Times New Roman"/>
          <w:szCs w:val="24"/>
        </w:rPr>
        <w:t>nstrument</w:t>
      </w:r>
      <w:r w:rsidR="00AB255E" w:rsidRPr="009D17A3">
        <w:rPr>
          <w:rFonts w:ascii="Times New Roman" w:hAnsi="Times New Roman"/>
          <w:szCs w:val="24"/>
        </w:rPr>
        <w:t>.</w:t>
      </w:r>
      <w:r w:rsidRPr="009D17A3">
        <w:rPr>
          <w:rFonts w:ascii="Times New Roman" w:hAnsi="Times New Roman"/>
          <w:szCs w:val="24"/>
        </w:rPr>
        <w:t xml:space="preserve"> </w:t>
      </w:r>
    </w:p>
    <w:p w:rsidR="00D72F40" w:rsidRPr="009D17A3" w:rsidRDefault="004060C9" w:rsidP="00C91AA9">
      <w:pPr>
        <w:pStyle w:val="Body"/>
        <w:numPr>
          <w:ilvl w:val="0"/>
          <w:numId w:val="14"/>
        </w:numPr>
        <w:rPr>
          <w:rFonts w:ascii="Times New Roman" w:hAnsi="Times New Roman"/>
          <w:szCs w:val="24"/>
        </w:rPr>
      </w:pPr>
      <w:r w:rsidRPr="009D17A3">
        <w:rPr>
          <w:rFonts w:ascii="Times New Roman" w:hAnsi="Times New Roman"/>
          <w:szCs w:val="24"/>
        </w:rPr>
        <w:t>C</w:t>
      </w:r>
      <w:r w:rsidR="00D95238" w:rsidRPr="009D17A3">
        <w:rPr>
          <w:rFonts w:ascii="Times New Roman" w:hAnsi="Times New Roman"/>
          <w:szCs w:val="24"/>
        </w:rPr>
        <w:t xml:space="preserve">alculation of burden </w:t>
      </w:r>
      <w:r w:rsidR="00AB255E" w:rsidRPr="009D17A3">
        <w:rPr>
          <w:rFonts w:ascii="Times New Roman" w:hAnsi="Times New Roman"/>
          <w:szCs w:val="24"/>
        </w:rPr>
        <w:t>estimates</w:t>
      </w:r>
      <w:r w:rsidR="00D95238" w:rsidRPr="009D17A3">
        <w:rPr>
          <w:rFonts w:ascii="Times New Roman" w:hAnsi="Times New Roman"/>
          <w:szCs w:val="24"/>
        </w:rPr>
        <w:t xml:space="preserve"> for Cohort</w:t>
      </w:r>
      <w:r w:rsidR="00DE4969" w:rsidRPr="009D17A3">
        <w:rPr>
          <w:rFonts w:ascii="Times New Roman" w:hAnsi="Times New Roman"/>
          <w:szCs w:val="24"/>
        </w:rPr>
        <w:t>s</w:t>
      </w:r>
      <w:r w:rsidR="00D95238" w:rsidRPr="009D17A3">
        <w:rPr>
          <w:rFonts w:ascii="Times New Roman" w:hAnsi="Times New Roman"/>
          <w:szCs w:val="24"/>
        </w:rPr>
        <w:t xml:space="preserve"> IV </w:t>
      </w:r>
      <w:r w:rsidR="00DE4969" w:rsidRPr="009D17A3">
        <w:rPr>
          <w:rFonts w:ascii="Times New Roman" w:hAnsi="Times New Roman"/>
          <w:szCs w:val="24"/>
        </w:rPr>
        <w:t>and V</w:t>
      </w:r>
      <w:r w:rsidRPr="009D17A3">
        <w:rPr>
          <w:rFonts w:ascii="Times New Roman" w:hAnsi="Times New Roman"/>
          <w:szCs w:val="24"/>
        </w:rPr>
        <w:t xml:space="preserve">, </w:t>
      </w:r>
      <w:r w:rsidR="00DE4969" w:rsidRPr="009D17A3">
        <w:rPr>
          <w:rFonts w:ascii="Times New Roman" w:hAnsi="Times New Roman"/>
          <w:szCs w:val="24"/>
        </w:rPr>
        <w:t>2</w:t>
      </w:r>
      <w:r w:rsidR="007433FF" w:rsidRPr="009D17A3">
        <w:rPr>
          <w:rFonts w:ascii="Times New Roman" w:hAnsi="Times New Roman"/>
          <w:szCs w:val="24"/>
        </w:rPr>
        <w:t>4</w:t>
      </w:r>
      <w:r w:rsidR="00DE4969" w:rsidRPr="009D17A3">
        <w:rPr>
          <w:rFonts w:ascii="Times New Roman" w:hAnsi="Times New Roman"/>
          <w:szCs w:val="24"/>
        </w:rPr>
        <w:t xml:space="preserve"> and 10 </w:t>
      </w:r>
      <w:r w:rsidR="00562409" w:rsidRPr="009D17A3">
        <w:rPr>
          <w:rFonts w:ascii="Times New Roman" w:hAnsi="Times New Roman"/>
          <w:szCs w:val="24"/>
        </w:rPr>
        <w:t>g</w:t>
      </w:r>
      <w:r w:rsidR="00DE4969" w:rsidRPr="009D17A3">
        <w:rPr>
          <w:rFonts w:ascii="Times New Roman" w:hAnsi="Times New Roman"/>
          <w:szCs w:val="24"/>
        </w:rPr>
        <w:t>rantees, respectively</w:t>
      </w:r>
      <w:r w:rsidR="00AB255E" w:rsidRPr="009D17A3">
        <w:rPr>
          <w:rFonts w:ascii="Times New Roman" w:hAnsi="Times New Roman"/>
          <w:szCs w:val="24"/>
        </w:rPr>
        <w:t xml:space="preserve">, for the </w:t>
      </w:r>
      <w:r w:rsidRPr="009D17A3">
        <w:rPr>
          <w:rFonts w:ascii="Times New Roman" w:hAnsi="Times New Roman"/>
          <w:szCs w:val="24"/>
        </w:rPr>
        <w:t>2</w:t>
      </w:r>
      <w:r w:rsidR="00AB255E" w:rsidRPr="009D17A3">
        <w:rPr>
          <w:rFonts w:ascii="Times New Roman" w:hAnsi="Times New Roman"/>
          <w:szCs w:val="24"/>
        </w:rPr>
        <w:t>-part CLI</w:t>
      </w:r>
      <w:r w:rsidR="00842ECB" w:rsidRPr="009D17A3">
        <w:rPr>
          <w:rFonts w:ascii="Times New Roman" w:hAnsi="Times New Roman"/>
          <w:szCs w:val="24"/>
        </w:rPr>
        <w:t xml:space="preserve"> and</w:t>
      </w:r>
      <w:r w:rsidR="00AB255E" w:rsidRPr="009D17A3">
        <w:rPr>
          <w:rFonts w:ascii="Times New Roman" w:hAnsi="Times New Roman"/>
          <w:szCs w:val="24"/>
        </w:rPr>
        <w:t xml:space="preserve"> the </w:t>
      </w:r>
      <w:r w:rsidRPr="009D17A3">
        <w:rPr>
          <w:rFonts w:ascii="Times New Roman" w:hAnsi="Times New Roman"/>
          <w:szCs w:val="24"/>
        </w:rPr>
        <w:t>2</w:t>
      </w:r>
      <w:r w:rsidR="00AB255E" w:rsidRPr="009D17A3">
        <w:rPr>
          <w:rFonts w:ascii="Times New Roman" w:hAnsi="Times New Roman"/>
          <w:szCs w:val="24"/>
        </w:rPr>
        <w:t xml:space="preserve"> GLIs</w:t>
      </w:r>
      <w:r w:rsidR="00562409" w:rsidRPr="009D17A3">
        <w:rPr>
          <w:rFonts w:ascii="Times New Roman" w:hAnsi="Times New Roman"/>
          <w:szCs w:val="24"/>
        </w:rPr>
        <w:t xml:space="preserve">. </w:t>
      </w:r>
      <w:r w:rsidR="00D72F40" w:rsidRPr="009D17A3">
        <w:rPr>
          <w:rFonts w:ascii="Times New Roman" w:hAnsi="Times New Roman"/>
          <w:szCs w:val="24"/>
        </w:rPr>
        <w:t>Per guidance from the previous OMB submission for the GLI and CLI Instruments (OMB No. 0930-0279)</w:t>
      </w:r>
      <w:r w:rsidRPr="009D17A3">
        <w:rPr>
          <w:rFonts w:ascii="Times New Roman" w:hAnsi="Times New Roman"/>
          <w:szCs w:val="24"/>
        </w:rPr>
        <w:t>, the number of items have been reduced, resulting in a reduced burden</w:t>
      </w:r>
      <w:r w:rsidR="00BE082C" w:rsidRPr="009D17A3">
        <w:rPr>
          <w:rFonts w:ascii="Times New Roman" w:hAnsi="Times New Roman"/>
          <w:szCs w:val="24"/>
        </w:rPr>
        <w:t>.</w:t>
      </w:r>
      <w:r w:rsidR="00D72F40" w:rsidRPr="009D17A3">
        <w:rPr>
          <w:rFonts w:ascii="Times New Roman" w:hAnsi="Times New Roman"/>
          <w:szCs w:val="24"/>
        </w:rPr>
        <w:t xml:space="preserve"> </w:t>
      </w:r>
    </w:p>
    <w:p w:rsidR="00B40A35" w:rsidRPr="009D17A3" w:rsidRDefault="00B40A35" w:rsidP="00F24C35">
      <w:pPr>
        <w:pStyle w:val="Body"/>
        <w:rPr>
          <w:rFonts w:ascii="Times New Roman" w:hAnsi="Times New Roman"/>
          <w:szCs w:val="24"/>
        </w:rPr>
      </w:pPr>
      <w:r w:rsidRPr="009D17A3">
        <w:rPr>
          <w:rFonts w:ascii="Times New Roman" w:hAnsi="Times New Roman"/>
          <w:szCs w:val="24"/>
        </w:rPr>
        <w:t>CSAP</w:t>
      </w:r>
      <w:r w:rsidR="008B6F15" w:rsidRPr="009D17A3">
        <w:rPr>
          <w:rFonts w:ascii="Times New Roman" w:hAnsi="Times New Roman"/>
          <w:szCs w:val="24"/>
        </w:rPr>
        <w:t xml:space="preserve"> has</w:t>
      </w:r>
      <w:r w:rsidRPr="009D17A3">
        <w:rPr>
          <w:rFonts w:ascii="Times New Roman" w:hAnsi="Times New Roman"/>
          <w:szCs w:val="24"/>
        </w:rPr>
        <w:t xml:space="preserve"> fund</w:t>
      </w:r>
      <w:r w:rsidR="008B6F15" w:rsidRPr="009D17A3">
        <w:rPr>
          <w:rFonts w:ascii="Times New Roman" w:hAnsi="Times New Roman"/>
          <w:szCs w:val="24"/>
        </w:rPr>
        <w:t>ed</w:t>
      </w:r>
      <w:r w:rsidRPr="009D17A3">
        <w:rPr>
          <w:rFonts w:ascii="Times New Roman" w:hAnsi="Times New Roman"/>
          <w:szCs w:val="24"/>
        </w:rPr>
        <w:t xml:space="preserve"> two cross-site evaluations of the Strategic Prevention Framework State Incentive Grant (SPF SIG), one focus</w:t>
      </w:r>
      <w:r w:rsidR="008B6F15" w:rsidRPr="009D17A3">
        <w:rPr>
          <w:rFonts w:ascii="Times New Roman" w:hAnsi="Times New Roman"/>
          <w:szCs w:val="24"/>
        </w:rPr>
        <w:t>ed</w:t>
      </w:r>
      <w:r w:rsidRPr="009D17A3">
        <w:rPr>
          <w:rFonts w:ascii="Times New Roman" w:hAnsi="Times New Roman"/>
          <w:szCs w:val="24"/>
        </w:rPr>
        <w:t xml:space="preserve"> on Cohorts I and II and the other on Cohorts </w:t>
      </w:r>
      <w:r w:rsidR="00756E60" w:rsidRPr="009D17A3">
        <w:rPr>
          <w:rFonts w:ascii="Times New Roman" w:hAnsi="Times New Roman"/>
          <w:szCs w:val="24"/>
        </w:rPr>
        <w:t>III, IV, and V</w:t>
      </w:r>
      <w:r w:rsidRPr="009D17A3">
        <w:rPr>
          <w:rFonts w:ascii="Times New Roman" w:hAnsi="Times New Roman"/>
          <w:szCs w:val="24"/>
        </w:rPr>
        <w:t>. Collectively, these evaluations of the SPF SIG program provide an important opportunity</w:t>
      </w:r>
      <w:r w:rsidR="00B42424" w:rsidRPr="009D17A3">
        <w:rPr>
          <w:rFonts w:ascii="Times New Roman" w:hAnsi="Times New Roman"/>
          <w:szCs w:val="24"/>
        </w:rPr>
        <w:t xml:space="preserve"> to inform</w:t>
      </w:r>
      <w:r w:rsidRPr="009D17A3">
        <w:rPr>
          <w:rFonts w:ascii="Times New Roman" w:hAnsi="Times New Roman"/>
          <w:szCs w:val="24"/>
        </w:rPr>
        <w:t xml:space="preserve"> the </w:t>
      </w:r>
      <w:r w:rsidR="004060C9" w:rsidRPr="009D17A3">
        <w:rPr>
          <w:rFonts w:ascii="Times New Roman" w:hAnsi="Times New Roman"/>
          <w:szCs w:val="24"/>
        </w:rPr>
        <w:t xml:space="preserve">prevention </w:t>
      </w:r>
      <w:r w:rsidRPr="009D17A3">
        <w:rPr>
          <w:rFonts w:ascii="Times New Roman" w:hAnsi="Times New Roman"/>
          <w:szCs w:val="24"/>
        </w:rPr>
        <w:t xml:space="preserve">field </w:t>
      </w:r>
      <w:r w:rsidR="00B42424" w:rsidRPr="009D17A3">
        <w:rPr>
          <w:rFonts w:ascii="Times New Roman" w:hAnsi="Times New Roman"/>
          <w:szCs w:val="24"/>
        </w:rPr>
        <w:t>on current practices and their association with community and state level outcomes.</w:t>
      </w:r>
    </w:p>
    <w:p w:rsidR="00515B6F" w:rsidRPr="009D17A3" w:rsidRDefault="00956836" w:rsidP="00F24C35">
      <w:pPr>
        <w:spacing w:before="120" w:after="120" w:line="360" w:lineRule="auto"/>
      </w:pPr>
      <w:r w:rsidRPr="009D17A3">
        <w:t xml:space="preserve">The primary evaluation objective is to determine the impact of SPF SIG on building state prevention capacity and infrastructure, and preventing </w:t>
      </w:r>
      <w:r w:rsidR="007C6E86" w:rsidRPr="009D17A3">
        <w:t xml:space="preserve">and reducing </w:t>
      </w:r>
      <w:r w:rsidRPr="009D17A3">
        <w:t>the onset and</w:t>
      </w:r>
      <w:r w:rsidR="006E6BCF" w:rsidRPr="009D17A3">
        <w:t xml:space="preserve"> </w:t>
      </w:r>
      <w:r w:rsidRPr="009D17A3">
        <w:t>progression of substance abuse, as measured by the SAMHSA National Outcomes Measures (NOMs). Data collected at the grantee, community, and participant levels will provide information about process and system outcomes at the grantee</w:t>
      </w:r>
      <w:r w:rsidR="00CB1EC0" w:rsidRPr="009D17A3">
        <w:t xml:space="preserve">, </w:t>
      </w:r>
      <w:r w:rsidR="00466350">
        <w:t xml:space="preserve">and </w:t>
      </w:r>
      <w:r w:rsidRPr="009D17A3">
        <w:t xml:space="preserve">community levels as well as context for analyzing </w:t>
      </w:r>
      <w:r w:rsidR="00B673AA" w:rsidRPr="009D17A3">
        <w:t>population-level and participant-level outcome measures.</w:t>
      </w:r>
      <w:r w:rsidRPr="009D17A3">
        <w:t xml:space="preserve"> </w:t>
      </w:r>
      <w:r w:rsidR="00E22297" w:rsidRPr="009D17A3">
        <w:t xml:space="preserve">The </w:t>
      </w:r>
      <w:r w:rsidR="00FC6EFE" w:rsidRPr="009D17A3">
        <w:t xml:space="preserve">continuation of the use of the CLI </w:t>
      </w:r>
      <w:r w:rsidR="00E22297" w:rsidRPr="009D17A3">
        <w:t xml:space="preserve">Part I and Part II </w:t>
      </w:r>
      <w:r w:rsidR="00FC6EFE" w:rsidRPr="009D17A3">
        <w:t xml:space="preserve">and </w:t>
      </w:r>
      <w:r w:rsidR="009A3DBA" w:rsidRPr="009D17A3">
        <w:t xml:space="preserve">the </w:t>
      </w:r>
      <w:r w:rsidR="00FC6EFE" w:rsidRPr="009D17A3">
        <w:t xml:space="preserve">GLI Infrastructure and Implementation Instruments </w:t>
      </w:r>
      <w:r w:rsidR="009A3DBA" w:rsidRPr="009D17A3">
        <w:t xml:space="preserve">are included in this OMB review package and are the focus of this request. </w:t>
      </w:r>
    </w:p>
    <w:p w:rsidR="007328E6" w:rsidRPr="009D17A3" w:rsidRDefault="007328E6" w:rsidP="00F24C35">
      <w:pPr>
        <w:pStyle w:val="Heading3"/>
        <w:spacing w:before="120" w:line="360" w:lineRule="auto"/>
        <w:rPr>
          <w:rFonts w:ascii="Times New Roman" w:hAnsi="Times New Roman"/>
          <w:szCs w:val="24"/>
        </w:rPr>
      </w:pPr>
      <w:r w:rsidRPr="009D17A3">
        <w:rPr>
          <w:rFonts w:ascii="Times New Roman" w:hAnsi="Times New Roman"/>
          <w:szCs w:val="24"/>
        </w:rPr>
        <w:lastRenderedPageBreak/>
        <w:t>Historical context</w:t>
      </w:r>
    </w:p>
    <w:p w:rsidR="005A35A6" w:rsidRPr="009D17A3" w:rsidRDefault="002963CB" w:rsidP="00F24C35">
      <w:pPr>
        <w:pStyle w:val="Heading3"/>
        <w:spacing w:before="120" w:line="360" w:lineRule="auto"/>
        <w:rPr>
          <w:rFonts w:ascii="Times New Roman" w:hAnsi="Times New Roman"/>
          <w:b w:val="0"/>
          <w:i w:val="0"/>
          <w:szCs w:val="24"/>
          <w:u w:val="single"/>
        </w:rPr>
      </w:pPr>
      <w:r w:rsidRPr="009D17A3">
        <w:rPr>
          <w:rFonts w:ascii="Times New Roman" w:hAnsi="Times New Roman"/>
          <w:b w:val="0"/>
          <w:i w:val="0"/>
          <w:szCs w:val="24"/>
          <w:u w:val="single"/>
        </w:rPr>
        <w:t>A1a.</w:t>
      </w:r>
      <w:r w:rsidR="009E267A" w:rsidRPr="009D17A3">
        <w:rPr>
          <w:rFonts w:ascii="Times New Roman" w:hAnsi="Times New Roman"/>
          <w:szCs w:val="24"/>
        </w:rPr>
        <w:t xml:space="preserve"> </w:t>
      </w:r>
      <w:r w:rsidR="00E42538" w:rsidRPr="009D17A3">
        <w:rPr>
          <w:rFonts w:ascii="Times New Roman" w:hAnsi="Times New Roman"/>
          <w:b w:val="0"/>
          <w:i w:val="0"/>
          <w:szCs w:val="24"/>
          <w:u w:val="single"/>
        </w:rPr>
        <w:t>The SPF</w:t>
      </w:r>
      <w:r w:rsidR="0009415C" w:rsidRPr="009D17A3">
        <w:rPr>
          <w:rFonts w:ascii="Times New Roman" w:hAnsi="Times New Roman"/>
          <w:b w:val="0"/>
          <w:i w:val="0"/>
          <w:szCs w:val="24"/>
          <w:u w:val="single"/>
        </w:rPr>
        <w:t xml:space="preserve"> </w:t>
      </w:r>
      <w:r w:rsidR="00E42538" w:rsidRPr="009D17A3">
        <w:rPr>
          <w:rFonts w:ascii="Times New Roman" w:hAnsi="Times New Roman"/>
          <w:b w:val="0"/>
          <w:i w:val="0"/>
          <w:szCs w:val="24"/>
          <w:u w:val="single"/>
        </w:rPr>
        <w:t>SIG Program</w:t>
      </w:r>
    </w:p>
    <w:p w:rsidR="00E42538" w:rsidRPr="009D17A3" w:rsidRDefault="00E42538" w:rsidP="00F24C35">
      <w:pPr>
        <w:pStyle w:val="Body"/>
        <w:rPr>
          <w:rFonts w:ascii="Times New Roman" w:hAnsi="Times New Roman"/>
          <w:szCs w:val="24"/>
        </w:rPr>
      </w:pPr>
      <w:r w:rsidRPr="009D17A3">
        <w:rPr>
          <w:rFonts w:ascii="Times New Roman" w:hAnsi="Times New Roman"/>
          <w:szCs w:val="24"/>
        </w:rPr>
        <w:t xml:space="preserve">The SPF SIG is a major SAMHSA </w:t>
      </w:r>
      <w:r w:rsidR="009E267A" w:rsidRPr="009D17A3">
        <w:rPr>
          <w:rFonts w:ascii="Times New Roman" w:hAnsi="Times New Roman"/>
          <w:szCs w:val="24"/>
        </w:rPr>
        <w:t>g</w:t>
      </w:r>
      <w:r w:rsidRPr="009D17A3">
        <w:rPr>
          <w:rFonts w:ascii="Times New Roman" w:hAnsi="Times New Roman"/>
          <w:szCs w:val="24"/>
        </w:rPr>
        <w:t xml:space="preserve">rant program that supports an array of activities to help states and communities build a solid foundation for delivering and sustaining substance abuse </w:t>
      </w:r>
      <w:r w:rsidR="00FD26F9" w:rsidRPr="009D17A3">
        <w:rPr>
          <w:rFonts w:ascii="Times New Roman" w:hAnsi="Times New Roman"/>
          <w:szCs w:val="24"/>
        </w:rPr>
        <w:t>prevention</w:t>
      </w:r>
      <w:r w:rsidRPr="009D17A3">
        <w:rPr>
          <w:rFonts w:ascii="Times New Roman" w:hAnsi="Times New Roman"/>
          <w:szCs w:val="24"/>
        </w:rPr>
        <w:t xml:space="preserve"> services</w:t>
      </w:r>
      <w:r w:rsidR="007328E6" w:rsidRPr="009D17A3">
        <w:rPr>
          <w:rFonts w:ascii="Times New Roman" w:hAnsi="Times New Roman"/>
          <w:szCs w:val="24"/>
        </w:rPr>
        <w:t xml:space="preserve"> that are effective in reducing the incidence and prevalence of substance use as well as improving risk and protective factors associated with substance use.</w:t>
      </w:r>
      <w:r w:rsidR="006E6BCF" w:rsidRPr="009D17A3">
        <w:rPr>
          <w:rFonts w:ascii="Times New Roman" w:hAnsi="Times New Roman"/>
          <w:szCs w:val="24"/>
        </w:rPr>
        <w:t xml:space="preserve"> </w:t>
      </w:r>
      <w:r w:rsidRPr="009D17A3">
        <w:rPr>
          <w:rFonts w:ascii="Times New Roman" w:hAnsi="Times New Roman"/>
          <w:szCs w:val="24"/>
        </w:rPr>
        <w:t>CSAP provides funding to states</w:t>
      </w:r>
      <w:r w:rsidR="00DD1181" w:rsidRPr="009D17A3">
        <w:rPr>
          <w:rFonts w:ascii="Times New Roman" w:hAnsi="Times New Roman"/>
          <w:szCs w:val="24"/>
        </w:rPr>
        <w:t>/territories</w:t>
      </w:r>
      <w:r w:rsidR="004133F4" w:rsidRPr="009D17A3">
        <w:rPr>
          <w:rFonts w:ascii="Times New Roman" w:hAnsi="Times New Roman"/>
          <w:szCs w:val="24"/>
        </w:rPr>
        <w:t>, Pacific jurisdictions</w:t>
      </w:r>
      <w:r w:rsidR="0009415C" w:rsidRPr="009D17A3">
        <w:rPr>
          <w:rFonts w:ascii="Times New Roman" w:hAnsi="Times New Roman"/>
          <w:szCs w:val="24"/>
        </w:rPr>
        <w:t>,</w:t>
      </w:r>
      <w:r w:rsidRPr="009D17A3">
        <w:rPr>
          <w:rFonts w:ascii="Times New Roman" w:hAnsi="Times New Roman"/>
          <w:szCs w:val="24"/>
        </w:rPr>
        <w:t xml:space="preserve"> and </w:t>
      </w:r>
      <w:r w:rsidR="004133F4" w:rsidRPr="009D17A3">
        <w:rPr>
          <w:rFonts w:ascii="Times New Roman" w:hAnsi="Times New Roman"/>
          <w:szCs w:val="24"/>
        </w:rPr>
        <w:t xml:space="preserve">tribal </w:t>
      </w:r>
      <w:r w:rsidR="00753A9F" w:rsidRPr="009D17A3">
        <w:rPr>
          <w:rFonts w:ascii="Times New Roman" w:hAnsi="Times New Roman"/>
          <w:szCs w:val="24"/>
        </w:rPr>
        <w:t>entities</w:t>
      </w:r>
      <w:r w:rsidRPr="009D17A3">
        <w:rPr>
          <w:rFonts w:ascii="Times New Roman" w:hAnsi="Times New Roman"/>
          <w:szCs w:val="24"/>
        </w:rPr>
        <w:t xml:space="preserve"> to implement the five steps of the strategic prevention framework (SPF), which are:  </w:t>
      </w:r>
    </w:p>
    <w:p w:rsidR="005A35A6" w:rsidRPr="009D17A3" w:rsidRDefault="00E42538" w:rsidP="00F24C35">
      <w:pPr>
        <w:spacing w:line="360" w:lineRule="auto"/>
      </w:pPr>
      <w:r w:rsidRPr="009D17A3">
        <w:t xml:space="preserve">Step 1:  Profile population needs, resources, and readiness to address </w:t>
      </w:r>
      <w:r w:rsidR="00355C24" w:rsidRPr="009D17A3">
        <w:t>the problems and gaps in service delivery;</w:t>
      </w:r>
    </w:p>
    <w:p w:rsidR="005A35A6" w:rsidRPr="009D17A3" w:rsidRDefault="00E42538" w:rsidP="00F24C35">
      <w:pPr>
        <w:pStyle w:val="Body"/>
        <w:spacing w:before="0" w:after="0"/>
        <w:rPr>
          <w:rFonts w:ascii="Times New Roman" w:hAnsi="Times New Roman"/>
          <w:szCs w:val="24"/>
        </w:rPr>
      </w:pPr>
      <w:r w:rsidRPr="009D17A3">
        <w:rPr>
          <w:rFonts w:ascii="Times New Roman" w:hAnsi="Times New Roman"/>
          <w:szCs w:val="24"/>
        </w:rPr>
        <w:t>Step 2:  Mobilize and/or build capacity to address needs</w:t>
      </w:r>
      <w:r w:rsidR="0009415C" w:rsidRPr="009D17A3">
        <w:rPr>
          <w:rFonts w:ascii="Times New Roman" w:hAnsi="Times New Roman"/>
          <w:szCs w:val="24"/>
        </w:rPr>
        <w:t>;</w:t>
      </w:r>
    </w:p>
    <w:p w:rsidR="005A35A6" w:rsidRPr="009D17A3" w:rsidRDefault="00E42538" w:rsidP="00F24C35">
      <w:pPr>
        <w:pStyle w:val="Body"/>
        <w:spacing w:before="0" w:after="0"/>
        <w:rPr>
          <w:rFonts w:ascii="Times New Roman" w:hAnsi="Times New Roman"/>
          <w:szCs w:val="24"/>
        </w:rPr>
      </w:pPr>
      <w:r w:rsidRPr="009D17A3">
        <w:rPr>
          <w:rFonts w:ascii="Times New Roman" w:hAnsi="Times New Roman"/>
          <w:szCs w:val="24"/>
        </w:rPr>
        <w:t>Step 3:  Develop a comprehensive strategic plan</w:t>
      </w:r>
      <w:r w:rsidR="0009415C" w:rsidRPr="009D17A3">
        <w:rPr>
          <w:rFonts w:ascii="Times New Roman" w:hAnsi="Times New Roman"/>
          <w:szCs w:val="24"/>
        </w:rPr>
        <w:t>;</w:t>
      </w:r>
    </w:p>
    <w:p w:rsidR="005A35A6" w:rsidRPr="009D17A3" w:rsidRDefault="00E42538" w:rsidP="00F24C35">
      <w:pPr>
        <w:pStyle w:val="Body"/>
        <w:spacing w:before="0" w:after="0"/>
        <w:rPr>
          <w:rFonts w:ascii="Times New Roman" w:hAnsi="Times New Roman"/>
          <w:szCs w:val="24"/>
        </w:rPr>
      </w:pPr>
      <w:r w:rsidRPr="009D17A3">
        <w:rPr>
          <w:rFonts w:ascii="Times New Roman" w:hAnsi="Times New Roman"/>
          <w:szCs w:val="24"/>
        </w:rPr>
        <w:t>Step 4:  Implement evidence-based prevention programs, policies, practices</w:t>
      </w:r>
      <w:r w:rsidR="00355C24" w:rsidRPr="009D17A3">
        <w:rPr>
          <w:rFonts w:ascii="Times New Roman" w:hAnsi="Times New Roman"/>
          <w:szCs w:val="24"/>
        </w:rPr>
        <w:t xml:space="preserve"> and infrastructure development activities</w:t>
      </w:r>
      <w:r w:rsidR="0009415C" w:rsidRPr="009D17A3">
        <w:rPr>
          <w:rFonts w:ascii="Times New Roman" w:hAnsi="Times New Roman"/>
          <w:szCs w:val="24"/>
        </w:rPr>
        <w:t>; and</w:t>
      </w:r>
    </w:p>
    <w:p w:rsidR="005A35A6" w:rsidRPr="009D17A3" w:rsidRDefault="00E42538" w:rsidP="00F24C35">
      <w:pPr>
        <w:pStyle w:val="Body"/>
        <w:spacing w:before="0" w:after="0"/>
        <w:rPr>
          <w:rFonts w:ascii="Times New Roman" w:hAnsi="Times New Roman"/>
          <w:szCs w:val="24"/>
        </w:rPr>
      </w:pPr>
      <w:r w:rsidRPr="009D17A3">
        <w:rPr>
          <w:rFonts w:ascii="Times New Roman" w:hAnsi="Times New Roman"/>
          <w:szCs w:val="24"/>
        </w:rPr>
        <w:t xml:space="preserve">Step 5:  </w:t>
      </w:r>
      <w:r w:rsidR="00355C24" w:rsidRPr="009D17A3">
        <w:rPr>
          <w:rFonts w:ascii="Times New Roman" w:hAnsi="Times New Roman"/>
          <w:bCs/>
          <w:szCs w:val="24"/>
        </w:rPr>
        <w:t>Monitor process, evaluate effectiveness, sustain effective programs/activities, and improve or replace those that fail.</w:t>
      </w:r>
    </w:p>
    <w:p w:rsidR="00E42538" w:rsidRPr="009D17A3" w:rsidRDefault="00223E05" w:rsidP="00F24C35">
      <w:pPr>
        <w:pStyle w:val="Body"/>
        <w:rPr>
          <w:rFonts w:ascii="Times New Roman" w:hAnsi="Times New Roman"/>
          <w:szCs w:val="24"/>
        </w:rPr>
      </w:pPr>
      <w:r w:rsidRPr="009D17A3">
        <w:rPr>
          <w:rFonts w:ascii="Times New Roman" w:hAnsi="Times New Roman"/>
          <w:szCs w:val="24"/>
        </w:rPr>
        <w:t>Cohort IV</w:t>
      </w:r>
      <w:r w:rsidR="002952A1" w:rsidRPr="009D17A3">
        <w:rPr>
          <w:rFonts w:ascii="Times New Roman" w:hAnsi="Times New Roman"/>
          <w:szCs w:val="24"/>
        </w:rPr>
        <w:t xml:space="preserve">, funded by CSAP in FY 2009, </w:t>
      </w:r>
      <w:r w:rsidRPr="009D17A3">
        <w:rPr>
          <w:rFonts w:ascii="Times New Roman" w:hAnsi="Times New Roman"/>
          <w:szCs w:val="24"/>
        </w:rPr>
        <w:t>include</w:t>
      </w:r>
      <w:r w:rsidR="00DB6946" w:rsidRPr="009D17A3">
        <w:rPr>
          <w:rFonts w:ascii="Times New Roman" w:hAnsi="Times New Roman"/>
          <w:szCs w:val="24"/>
        </w:rPr>
        <w:t>d</w:t>
      </w:r>
      <w:r w:rsidRPr="009D17A3">
        <w:rPr>
          <w:rFonts w:ascii="Times New Roman" w:hAnsi="Times New Roman"/>
          <w:szCs w:val="24"/>
        </w:rPr>
        <w:t xml:space="preserve"> 2</w:t>
      </w:r>
      <w:r w:rsidR="007433FF" w:rsidRPr="009D17A3">
        <w:rPr>
          <w:rFonts w:ascii="Times New Roman" w:hAnsi="Times New Roman"/>
          <w:szCs w:val="24"/>
        </w:rPr>
        <w:t>4</w:t>
      </w:r>
      <w:r w:rsidRPr="009D17A3">
        <w:rPr>
          <w:rFonts w:ascii="Times New Roman" w:hAnsi="Times New Roman"/>
          <w:szCs w:val="24"/>
        </w:rPr>
        <w:t xml:space="preserve"> grantees</w:t>
      </w:r>
      <w:r w:rsidR="002952A1" w:rsidRPr="009D17A3">
        <w:rPr>
          <w:rFonts w:ascii="Times New Roman" w:hAnsi="Times New Roman"/>
          <w:szCs w:val="24"/>
        </w:rPr>
        <w:t xml:space="preserve"> —</w:t>
      </w:r>
      <w:r w:rsidR="00EF0727" w:rsidRPr="009D17A3">
        <w:rPr>
          <w:rFonts w:ascii="Times New Roman" w:hAnsi="Times New Roman"/>
          <w:szCs w:val="24"/>
        </w:rPr>
        <w:t xml:space="preserve"> </w:t>
      </w:r>
      <w:r w:rsidR="003F1686" w:rsidRPr="009D17A3">
        <w:rPr>
          <w:rFonts w:ascii="Times New Roman" w:hAnsi="Times New Roman"/>
          <w:szCs w:val="24"/>
        </w:rPr>
        <w:t>13 states,</w:t>
      </w:r>
      <w:r w:rsidR="002952A1" w:rsidRPr="009D17A3">
        <w:rPr>
          <w:rFonts w:ascii="Times New Roman" w:hAnsi="Times New Roman"/>
          <w:szCs w:val="24"/>
        </w:rPr>
        <w:t xml:space="preserve"> </w:t>
      </w:r>
      <w:r w:rsidR="00870230" w:rsidRPr="009D17A3">
        <w:rPr>
          <w:rFonts w:ascii="Times New Roman" w:hAnsi="Times New Roman"/>
          <w:szCs w:val="24"/>
        </w:rPr>
        <w:t xml:space="preserve">5 </w:t>
      </w:r>
      <w:r w:rsidR="003F1686" w:rsidRPr="009D17A3">
        <w:rPr>
          <w:rFonts w:ascii="Times New Roman" w:hAnsi="Times New Roman"/>
          <w:szCs w:val="24"/>
        </w:rPr>
        <w:t>jurisdictions, and 6 tribal entities</w:t>
      </w:r>
      <w:r w:rsidR="002952A1" w:rsidRPr="009D17A3">
        <w:rPr>
          <w:rFonts w:ascii="Times New Roman" w:hAnsi="Times New Roman"/>
          <w:szCs w:val="24"/>
        </w:rPr>
        <w:t xml:space="preserve">.  </w:t>
      </w:r>
      <w:r w:rsidR="00DB3204" w:rsidRPr="009D17A3">
        <w:rPr>
          <w:rFonts w:ascii="Times New Roman" w:hAnsi="Times New Roman"/>
          <w:szCs w:val="24"/>
        </w:rPr>
        <w:t>Cohort V include</w:t>
      </w:r>
      <w:r w:rsidR="00DB6946" w:rsidRPr="009D17A3">
        <w:rPr>
          <w:rFonts w:ascii="Times New Roman" w:hAnsi="Times New Roman"/>
          <w:szCs w:val="24"/>
        </w:rPr>
        <w:t>d</w:t>
      </w:r>
      <w:r w:rsidR="00DB3204" w:rsidRPr="009D17A3">
        <w:rPr>
          <w:rFonts w:ascii="Times New Roman" w:hAnsi="Times New Roman"/>
          <w:szCs w:val="24"/>
        </w:rPr>
        <w:t xml:space="preserve"> 10 gran</w:t>
      </w:r>
      <w:r w:rsidR="00EF0727" w:rsidRPr="009D17A3">
        <w:rPr>
          <w:rFonts w:ascii="Times New Roman" w:hAnsi="Times New Roman"/>
          <w:szCs w:val="24"/>
        </w:rPr>
        <w:t>t</w:t>
      </w:r>
      <w:r w:rsidR="00DB3204" w:rsidRPr="009D17A3">
        <w:rPr>
          <w:rFonts w:ascii="Times New Roman" w:hAnsi="Times New Roman"/>
          <w:szCs w:val="24"/>
        </w:rPr>
        <w:t>e</w:t>
      </w:r>
      <w:r w:rsidR="00EF0727" w:rsidRPr="009D17A3">
        <w:rPr>
          <w:rFonts w:ascii="Times New Roman" w:hAnsi="Times New Roman"/>
          <w:szCs w:val="24"/>
        </w:rPr>
        <w:t>es</w:t>
      </w:r>
      <w:r w:rsidR="002952A1" w:rsidRPr="009D17A3">
        <w:rPr>
          <w:rFonts w:ascii="Times New Roman" w:hAnsi="Times New Roman"/>
          <w:szCs w:val="24"/>
        </w:rPr>
        <w:t xml:space="preserve"> — 3 states and 7 tribal entities —</w:t>
      </w:r>
      <w:r w:rsidR="00EF0727" w:rsidRPr="009D17A3">
        <w:rPr>
          <w:rFonts w:ascii="Times New Roman" w:hAnsi="Times New Roman"/>
          <w:szCs w:val="24"/>
        </w:rPr>
        <w:t xml:space="preserve"> and was funded in </w:t>
      </w:r>
      <w:r w:rsidR="002952A1" w:rsidRPr="009D17A3">
        <w:rPr>
          <w:rFonts w:ascii="Times New Roman" w:hAnsi="Times New Roman"/>
          <w:szCs w:val="24"/>
        </w:rPr>
        <w:t xml:space="preserve">FY </w:t>
      </w:r>
      <w:r w:rsidR="00EF0727" w:rsidRPr="009D17A3">
        <w:rPr>
          <w:rFonts w:ascii="Times New Roman" w:hAnsi="Times New Roman"/>
          <w:szCs w:val="24"/>
        </w:rPr>
        <w:t>2010</w:t>
      </w:r>
      <w:r w:rsidR="002952A1" w:rsidRPr="009D17A3">
        <w:rPr>
          <w:rFonts w:ascii="Times New Roman" w:hAnsi="Times New Roman"/>
          <w:szCs w:val="24"/>
        </w:rPr>
        <w:t xml:space="preserve">. </w:t>
      </w:r>
      <w:r w:rsidR="00211570" w:rsidRPr="009D17A3">
        <w:rPr>
          <w:rFonts w:ascii="Times New Roman" w:hAnsi="Times New Roman"/>
          <w:szCs w:val="24"/>
        </w:rPr>
        <w:t>For the purposes of this document</w:t>
      </w:r>
      <w:r w:rsidR="002952A1" w:rsidRPr="009D17A3">
        <w:rPr>
          <w:rFonts w:ascii="Times New Roman" w:hAnsi="Times New Roman"/>
          <w:szCs w:val="24"/>
        </w:rPr>
        <w:t>,</w:t>
      </w:r>
      <w:r w:rsidR="00211570" w:rsidRPr="009D17A3">
        <w:rPr>
          <w:rFonts w:ascii="Times New Roman" w:hAnsi="Times New Roman"/>
          <w:szCs w:val="24"/>
        </w:rPr>
        <w:t xml:space="preserve"> the word grantee will refer to all </w:t>
      </w:r>
      <w:r w:rsidR="009E267A" w:rsidRPr="009D17A3">
        <w:rPr>
          <w:rFonts w:ascii="Times New Roman" w:hAnsi="Times New Roman"/>
          <w:szCs w:val="24"/>
        </w:rPr>
        <w:t xml:space="preserve">active </w:t>
      </w:r>
      <w:r w:rsidR="00211570" w:rsidRPr="009D17A3">
        <w:rPr>
          <w:rFonts w:ascii="Times New Roman" w:hAnsi="Times New Roman"/>
          <w:szCs w:val="24"/>
        </w:rPr>
        <w:t>funded states</w:t>
      </w:r>
      <w:r w:rsidR="00DD1181" w:rsidRPr="009D17A3">
        <w:rPr>
          <w:rFonts w:ascii="Times New Roman" w:hAnsi="Times New Roman"/>
          <w:szCs w:val="24"/>
        </w:rPr>
        <w:t>/territories</w:t>
      </w:r>
      <w:r w:rsidR="00211570" w:rsidRPr="009D17A3">
        <w:rPr>
          <w:rFonts w:ascii="Times New Roman" w:hAnsi="Times New Roman"/>
          <w:szCs w:val="24"/>
        </w:rPr>
        <w:t xml:space="preserve">, Pacific jurisdictions, and tribal </w:t>
      </w:r>
      <w:r w:rsidR="00DD1181" w:rsidRPr="009D17A3">
        <w:rPr>
          <w:rFonts w:ascii="Times New Roman" w:hAnsi="Times New Roman"/>
          <w:szCs w:val="24"/>
        </w:rPr>
        <w:t>nations</w:t>
      </w:r>
      <w:r w:rsidR="00211570" w:rsidRPr="009D17A3">
        <w:rPr>
          <w:rFonts w:ascii="Times New Roman" w:hAnsi="Times New Roman"/>
          <w:szCs w:val="24"/>
        </w:rPr>
        <w:t>.</w:t>
      </w:r>
      <w:r w:rsidR="00AF2298" w:rsidRPr="009D17A3">
        <w:rPr>
          <w:rFonts w:ascii="Times New Roman" w:hAnsi="Times New Roman"/>
          <w:szCs w:val="24"/>
        </w:rPr>
        <w:t xml:space="preserve"> SPF SIG grantees select and fund their own </w:t>
      </w:r>
      <w:proofErr w:type="spellStart"/>
      <w:r w:rsidR="00AF2298" w:rsidRPr="009D17A3">
        <w:rPr>
          <w:rFonts w:ascii="Times New Roman" w:hAnsi="Times New Roman"/>
          <w:szCs w:val="24"/>
        </w:rPr>
        <w:t>subrecipients</w:t>
      </w:r>
      <w:proofErr w:type="spellEnd"/>
      <w:r w:rsidR="00753944" w:rsidRPr="009D17A3">
        <w:rPr>
          <w:rFonts w:ascii="Times New Roman" w:hAnsi="Times New Roman"/>
          <w:szCs w:val="24"/>
        </w:rPr>
        <w:t>;</w:t>
      </w:r>
      <w:r w:rsidR="00AF2298" w:rsidRPr="009D17A3">
        <w:rPr>
          <w:rFonts w:ascii="Times New Roman" w:hAnsi="Times New Roman"/>
          <w:szCs w:val="24"/>
        </w:rPr>
        <w:t xml:space="preserve"> the selection of these </w:t>
      </w:r>
      <w:proofErr w:type="spellStart"/>
      <w:r w:rsidR="00AF2298" w:rsidRPr="009D17A3">
        <w:rPr>
          <w:rFonts w:ascii="Times New Roman" w:hAnsi="Times New Roman"/>
          <w:szCs w:val="24"/>
        </w:rPr>
        <w:t>subrecipients</w:t>
      </w:r>
      <w:proofErr w:type="spellEnd"/>
      <w:r w:rsidR="00AF2298" w:rsidRPr="009D17A3">
        <w:rPr>
          <w:rFonts w:ascii="Times New Roman" w:hAnsi="Times New Roman"/>
          <w:szCs w:val="24"/>
        </w:rPr>
        <w:t xml:space="preserve"> is not guided by CSAP.</w:t>
      </w:r>
    </w:p>
    <w:p w:rsidR="005A35A6" w:rsidRPr="009D17A3" w:rsidRDefault="004316E4" w:rsidP="00F24C35">
      <w:pPr>
        <w:pStyle w:val="Heading3"/>
        <w:spacing w:before="120" w:line="360" w:lineRule="auto"/>
        <w:rPr>
          <w:rFonts w:ascii="Times New Roman" w:hAnsi="Times New Roman"/>
          <w:szCs w:val="24"/>
        </w:rPr>
      </w:pPr>
      <w:r w:rsidRPr="009D17A3">
        <w:rPr>
          <w:rFonts w:ascii="Times New Roman" w:hAnsi="Times New Roman"/>
          <w:szCs w:val="24"/>
        </w:rPr>
        <w:t xml:space="preserve">A1b. </w:t>
      </w:r>
      <w:r w:rsidR="004133F4" w:rsidRPr="009D17A3">
        <w:rPr>
          <w:rFonts w:ascii="Times New Roman" w:hAnsi="Times New Roman"/>
          <w:szCs w:val="24"/>
        </w:rPr>
        <w:t xml:space="preserve">The </w:t>
      </w:r>
      <w:r w:rsidR="00837471" w:rsidRPr="009D17A3">
        <w:rPr>
          <w:rFonts w:ascii="Times New Roman" w:hAnsi="Times New Roman"/>
          <w:szCs w:val="24"/>
        </w:rPr>
        <w:t>Cross-site</w:t>
      </w:r>
      <w:r w:rsidR="004133F4" w:rsidRPr="009D17A3">
        <w:rPr>
          <w:rFonts w:ascii="Times New Roman" w:hAnsi="Times New Roman"/>
          <w:szCs w:val="24"/>
        </w:rPr>
        <w:t xml:space="preserve"> Evaluation</w:t>
      </w:r>
      <w:r w:rsidR="00FD60B1" w:rsidRPr="009D17A3">
        <w:rPr>
          <w:rFonts w:ascii="Times New Roman" w:hAnsi="Times New Roman"/>
          <w:szCs w:val="24"/>
        </w:rPr>
        <w:t>s</w:t>
      </w:r>
    </w:p>
    <w:p w:rsidR="000373B4" w:rsidRPr="009D17A3" w:rsidRDefault="005776DD" w:rsidP="00F24C35">
      <w:pPr>
        <w:pStyle w:val="Body"/>
        <w:rPr>
          <w:rFonts w:ascii="Times New Roman" w:eastAsia="MS Mincho" w:hAnsi="Times New Roman"/>
          <w:szCs w:val="24"/>
        </w:rPr>
      </w:pPr>
      <w:r w:rsidRPr="009D17A3">
        <w:rPr>
          <w:rFonts w:ascii="Times New Roman" w:eastAsia="MS Mincho" w:hAnsi="Times New Roman"/>
          <w:szCs w:val="24"/>
        </w:rPr>
        <w:t>Information on both cross-site evaluations is presented below as context for understanding SAMHSA’s request to</w:t>
      </w:r>
      <w:r w:rsidR="000373B4" w:rsidRPr="009D17A3">
        <w:rPr>
          <w:rFonts w:ascii="Times New Roman" w:eastAsia="MS Mincho" w:hAnsi="Times New Roman"/>
          <w:szCs w:val="24"/>
        </w:rPr>
        <w:t xml:space="preserve"> </w:t>
      </w:r>
      <w:r w:rsidR="00D57A7B" w:rsidRPr="009D17A3">
        <w:rPr>
          <w:rFonts w:ascii="Times New Roman" w:eastAsia="MS Mincho" w:hAnsi="Times New Roman"/>
          <w:szCs w:val="24"/>
        </w:rPr>
        <w:t xml:space="preserve">continue data collection with the </w:t>
      </w:r>
      <w:r w:rsidR="00AF2298" w:rsidRPr="009D17A3">
        <w:rPr>
          <w:rFonts w:ascii="Times New Roman" w:eastAsia="MS Mincho" w:hAnsi="Times New Roman"/>
          <w:szCs w:val="24"/>
        </w:rPr>
        <w:t xml:space="preserve">previously approved </w:t>
      </w:r>
      <w:r w:rsidR="00D57A7B" w:rsidRPr="009D17A3">
        <w:rPr>
          <w:rFonts w:ascii="Times New Roman" w:eastAsia="MS Mincho" w:hAnsi="Times New Roman"/>
          <w:szCs w:val="24"/>
        </w:rPr>
        <w:t xml:space="preserve">instruments for Cohorts IV and V. This </w:t>
      </w:r>
      <w:r w:rsidR="009E267A" w:rsidRPr="009D17A3">
        <w:rPr>
          <w:rFonts w:ascii="Times New Roman" w:eastAsia="MS Mincho" w:hAnsi="Times New Roman"/>
          <w:szCs w:val="24"/>
        </w:rPr>
        <w:t xml:space="preserve">reinstatement </w:t>
      </w:r>
      <w:r w:rsidR="007A1467" w:rsidRPr="009D17A3">
        <w:rPr>
          <w:rFonts w:ascii="Times New Roman" w:eastAsia="MS Mincho" w:hAnsi="Times New Roman"/>
          <w:szCs w:val="24"/>
        </w:rPr>
        <w:t>will allow the completion of data collection for the entirety of the SPF</w:t>
      </w:r>
      <w:r w:rsidR="00DB6946" w:rsidRPr="009D17A3">
        <w:rPr>
          <w:rFonts w:ascii="Times New Roman" w:eastAsia="MS Mincho" w:hAnsi="Times New Roman"/>
          <w:szCs w:val="24"/>
        </w:rPr>
        <w:t xml:space="preserve"> </w:t>
      </w:r>
      <w:r w:rsidR="007A1467" w:rsidRPr="009D17A3">
        <w:rPr>
          <w:rFonts w:ascii="Times New Roman" w:eastAsia="MS Mincho" w:hAnsi="Times New Roman"/>
          <w:szCs w:val="24"/>
        </w:rPr>
        <w:t>SIG program.</w:t>
      </w:r>
      <w:r w:rsidRPr="009D17A3">
        <w:rPr>
          <w:rFonts w:ascii="Times New Roman" w:eastAsia="MS Mincho" w:hAnsi="Times New Roman"/>
          <w:szCs w:val="24"/>
        </w:rPr>
        <w:t xml:space="preserve"> </w:t>
      </w:r>
    </w:p>
    <w:p w:rsidR="00084C3F" w:rsidRPr="009D17A3" w:rsidRDefault="004316E4" w:rsidP="00F24C35">
      <w:pPr>
        <w:pStyle w:val="Body"/>
        <w:rPr>
          <w:rFonts w:ascii="Times New Roman" w:hAnsi="Times New Roman"/>
          <w:i/>
          <w:color w:val="000000"/>
          <w:szCs w:val="24"/>
          <w:u w:val="single"/>
        </w:rPr>
      </w:pPr>
      <w:r w:rsidRPr="009D17A3">
        <w:rPr>
          <w:rFonts w:ascii="Times New Roman" w:hAnsi="Times New Roman"/>
          <w:i/>
          <w:color w:val="000000"/>
          <w:szCs w:val="24"/>
          <w:u w:val="single"/>
        </w:rPr>
        <w:t xml:space="preserve">A1b1. </w:t>
      </w:r>
      <w:r w:rsidR="00874DD0" w:rsidRPr="009D17A3">
        <w:rPr>
          <w:rFonts w:ascii="Times New Roman" w:hAnsi="Times New Roman"/>
          <w:i/>
          <w:color w:val="000000"/>
          <w:szCs w:val="24"/>
          <w:u w:val="single"/>
        </w:rPr>
        <w:t>Cohorts I and</w:t>
      </w:r>
      <w:r w:rsidR="00084C3F" w:rsidRPr="009D17A3">
        <w:rPr>
          <w:rFonts w:ascii="Times New Roman" w:hAnsi="Times New Roman"/>
          <w:i/>
          <w:color w:val="000000"/>
          <w:szCs w:val="24"/>
          <w:u w:val="single"/>
        </w:rPr>
        <w:t xml:space="preserve"> II Cross-site Evaluation</w:t>
      </w:r>
    </w:p>
    <w:p w:rsidR="005A35A6" w:rsidRPr="009D17A3" w:rsidRDefault="00E858CC" w:rsidP="00E83594">
      <w:pPr>
        <w:pStyle w:val="ListContinue"/>
        <w:spacing w:before="120" w:line="360" w:lineRule="auto"/>
        <w:ind w:left="0"/>
        <w:rPr>
          <w:rFonts w:eastAsia="MS Mincho"/>
          <w:sz w:val="24"/>
          <w:szCs w:val="24"/>
        </w:rPr>
      </w:pPr>
      <w:r w:rsidRPr="009D17A3">
        <w:rPr>
          <w:rFonts w:eastAsia="MS Mincho"/>
          <w:sz w:val="24"/>
          <w:szCs w:val="24"/>
        </w:rPr>
        <w:t>The National Institute on Drug Abuse (NIDA) provid</w:t>
      </w:r>
      <w:r w:rsidR="005776DD" w:rsidRPr="009D17A3">
        <w:rPr>
          <w:rFonts w:eastAsia="MS Mincho"/>
          <w:sz w:val="24"/>
          <w:szCs w:val="24"/>
        </w:rPr>
        <w:t xml:space="preserve">ed </w:t>
      </w:r>
      <w:r w:rsidRPr="009D17A3">
        <w:rPr>
          <w:rFonts w:eastAsia="MS Mincho"/>
          <w:sz w:val="24"/>
          <w:szCs w:val="24"/>
        </w:rPr>
        <w:t>support to CSAP to evaluate the impact of the SPF SIG project</w:t>
      </w:r>
      <w:r w:rsidR="00486000" w:rsidRPr="009D17A3">
        <w:rPr>
          <w:rFonts w:eastAsia="MS Mincho"/>
          <w:sz w:val="24"/>
          <w:szCs w:val="24"/>
        </w:rPr>
        <w:t xml:space="preserve"> for Cohorts I and</w:t>
      </w:r>
      <w:r w:rsidR="002D2148" w:rsidRPr="009D17A3">
        <w:rPr>
          <w:rFonts w:eastAsia="MS Mincho"/>
          <w:sz w:val="24"/>
          <w:szCs w:val="24"/>
        </w:rPr>
        <w:t xml:space="preserve"> II</w:t>
      </w:r>
      <w:r w:rsidRPr="009D17A3">
        <w:rPr>
          <w:rFonts w:eastAsia="MS Mincho"/>
          <w:sz w:val="24"/>
          <w:szCs w:val="24"/>
        </w:rPr>
        <w:t xml:space="preserve">. </w:t>
      </w:r>
      <w:r w:rsidR="00E83594" w:rsidRPr="009D17A3">
        <w:rPr>
          <w:sz w:val="24"/>
          <w:szCs w:val="24"/>
        </w:rPr>
        <w:t xml:space="preserve">Specifically, data have been collected from the 26 </w:t>
      </w:r>
      <w:r w:rsidR="00E83594" w:rsidRPr="009D17A3">
        <w:rPr>
          <w:sz w:val="24"/>
          <w:szCs w:val="24"/>
        </w:rPr>
        <w:lastRenderedPageBreak/>
        <w:t xml:space="preserve">states and territories receiving grants initiated in 2004 (Cohort I sites) and 2005 (Cohort II sites) and up to 32 non-Cohort I and II grantee states and territories that </w:t>
      </w:r>
      <w:r w:rsidR="00252687" w:rsidRPr="009D17A3">
        <w:rPr>
          <w:sz w:val="24"/>
          <w:szCs w:val="24"/>
        </w:rPr>
        <w:t>serve</w:t>
      </w:r>
      <w:r w:rsidR="002075DD" w:rsidRPr="009D17A3">
        <w:rPr>
          <w:sz w:val="24"/>
          <w:szCs w:val="24"/>
        </w:rPr>
        <w:t>d</w:t>
      </w:r>
      <w:r w:rsidR="00252687" w:rsidRPr="009D17A3">
        <w:rPr>
          <w:sz w:val="24"/>
          <w:szCs w:val="24"/>
        </w:rPr>
        <w:t xml:space="preserve"> </w:t>
      </w:r>
      <w:r w:rsidR="00E83594" w:rsidRPr="009D17A3">
        <w:rPr>
          <w:sz w:val="24"/>
          <w:szCs w:val="24"/>
        </w:rPr>
        <w:t>as a comparison group.</w:t>
      </w:r>
      <w:r w:rsidR="00053F4E" w:rsidRPr="009D17A3">
        <w:rPr>
          <w:sz w:val="24"/>
          <w:szCs w:val="24"/>
        </w:rPr>
        <w:t xml:space="preserve"> </w:t>
      </w:r>
      <w:r w:rsidR="004930F1" w:rsidRPr="009D17A3">
        <w:rPr>
          <w:sz w:val="24"/>
          <w:szCs w:val="24"/>
        </w:rPr>
        <w:t>D</w:t>
      </w:r>
      <w:r w:rsidR="00D31AF1" w:rsidRPr="009D17A3">
        <w:rPr>
          <w:sz w:val="24"/>
          <w:szCs w:val="24"/>
        </w:rPr>
        <w:t xml:space="preserve">ata from the </w:t>
      </w:r>
      <w:r w:rsidR="00D31AF1" w:rsidRPr="009D17A3">
        <w:rPr>
          <w:rFonts w:eastAsia="MS Mincho"/>
          <w:sz w:val="24"/>
          <w:szCs w:val="24"/>
        </w:rPr>
        <w:t xml:space="preserve">CLI (Parts I and II) </w:t>
      </w:r>
      <w:r w:rsidR="00DB3204" w:rsidRPr="009D17A3">
        <w:rPr>
          <w:sz w:val="24"/>
          <w:szCs w:val="24"/>
        </w:rPr>
        <w:t>are</w:t>
      </w:r>
      <w:r w:rsidR="00D31AF1" w:rsidRPr="009D17A3">
        <w:rPr>
          <w:sz w:val="24"/>
          <w:szCs w:val="24"/>
        </w:rPr>
        <w:t xml:space="preserve"> used to </w:t>
      </w:r>
      <w:r w:rsidR="004930F1" w:rsidRPr="009D17A3">
        <w:rPr>
          <w:sz w:val="24"/>
          <w:szCs w:val="24"/>
        </w:rPr>
        <w:t>determine</w:t>
      </w:r>
      <w:r w:rsidR="00D31AF1" w:rsidRPr="009D17A3">
        <w:rPr>
          <w:sz w:val="24"/>
          <w:szCs w:val="24"/>
        </w:rPr>
        <w:t xml:space="preserve"> the impact of the SPF SIG on all of the NOMs domains related to prevention (i.e., Abstinence, Education/Employment, Crime and Criminal Justice, Access/Capacity, Retention, Cost </w:t>
      </w:r>
      <w:r w:rsidR="005F78EF" w:rsidRPr="009D17A3">
        <w:rPr>
          <w:sz w:val="24"/>
          <w:szCs w:val="24"/>
        </w:rPr>
        <w:t>Efficiency</w:t>
      </w:r>
      <w:r w:rsidR="00D31AF1" w:rsidRPr="009D17A3">
        <w:rPr>
          <w:sz w:val="24"/>
          <w:szCs w:val="24"/>
        </w:rPr>
        <w:t xml:space="preserve"> and Use of Evidence-based Practices). </w:t>
      </w:r>
      <w:r w:rsidR="00486000" w:rsidRPr="009D17A3">
        <w:rPr>
          <w:sz w:val="24"/>
          <w:szCs w:val="24"/>
        </w:rPr>
        <w:t xml:space="preserve">The evaluation </w:t>
      </w:r>
      <w:r w:rsidR="002075DD" w:rsidRPr="009D17A3">
        <w:rPr>
          <w:sz w:val="24"/>
          <w:szCs w:val="24"/>
        </w:rPr>
        <w:t xml:space="preserve">has also </w:t>
      </w:r>
      <w:r w:rsidR="00053F4E" w:rsidRPr="009D17A3">
        <w:rPr>
          <w:sz w:val="24"/>
          <w:szCs w:val="24"/>
        </w:rPr>
        <w:t>meas</w:t>
      </w:r>
      <w:r w:rsidR="00486000" w:rsidRPr="009D17A3">
        <w:rPr>
          <w:sz w:val="24"/>
          <w:szCs w:val="24"/>
        </w:rPr>
        <w:t>ur</w:t>
      </w:r>
      <w:r w:rsidR="002075DD" w:rsidRPr="009D17A3">
        <w:rPr>
          <w:sz w:val="24"/>
          <w:szCs w:val="24"/>
        </w:rPr>
        <w:t>ed</w:t>
      </w:r>
      <w:r w:rsidR="00053F4E" w:rsidRPr="009D17A3">
        <w:rPr>
          <w:sz w:val="24"/>
          <w:szCs w:val="24"/>
        </w:rPr>
        <w:t>: the effect of establishing and sustaining infrastructure at the state and community-levels to allow for data-based decision-making; the implementation of the SPF; and</w:t>
      </w:r>
      <w:r w:rsidR="004930F1" w:rsidRPr="009D17A3">
        <w:rPr>
          <w:sz w:val="24"/>
          <w:szCs w:val="24"/>
        </w:rPr>
        <w:t xml:space="preserve"> the</w:t>
      </w:r>
      <w:r w:rsidR="00053F4E" w:rsidRPr="009D17A3">
        <w:rPr>
          <w:sz w:val="24"/>
          <w:szCs w:val="24"/>
        </w:rPr>
        <w:t xml:space="preserve"> environmental factors that affect substance abuse</w:t>
      </w:r>
      <w:r w:rsidR="00AF596A" w:rsidRPr="009D17A3">
        <w:rPr>
          <w:sz w:val="24"/>
          <w:szCs w:val="24"/>
        </w:rPr>
        <w:t xml:space="preserve">.  </w:t>
      </w:r>
    </w:p>
    <w:p w:rsidR="00084C3F" w:rsidRPr="009D17A3" w:rsidRDefault="004316E4" w:rsidP="00F24C35">
      <w:pPr>
        <w:pStyle w:val="Body"/>
        <w:rPr>
          <w:rFonts w:ascii="Times New Roman" w:hAnsi="Times New Roman"/>
          <w:i/>
          <w:color w:val="000000"/>
          <w:szCs w:val="24"/>
          <w:u w:val="single"/>
        </w:rPr>
      </w:pPr>
      <w:r w:rsidRPr="009D17A3">
        <w:rPr>
          <w:rFonts w:ascii="Times New Roman" w:hAnsi="Times New Roman"/>
          <w:i/>
          <w:color w:val="000000"/>
          <w:szCs w:val="24"/>
          <w:u w:val="single"/>
        </w:rPr>
        <w:t xml:space="preserve">A1b2. </w:t>
      </w:r>
      <w:r w:rsidR="00084C3F" w:rsidRPr="009D17A3">
        <w:rPr>
          <w:rFonts w:ascii="Times New Roman" w:hAnsi="Times New Roman"/>
          <w:i/>
          <w:color w:val="000000"/>
          <w:szCs w:val="24"/>
          <w:u w:val="single"/>
        </w:rPr>
        <w:t xml:space="preserve">Cohorts </w:t>
      </w:r>
      <w:r w:rsidR="00262A4A" w:rsidRPr="009D17A3">
        <w:rPr>
          <w:rFonts w:ascii="Times New Roman" w:hAnsi="Times New Roman"/>
          <w:i/>
          <w:szCs w:val="24"/>
          <w:u w:val="single"/>
        </w:rPr>
        <w:t xml:space="preserve">III, IV, and V </w:t>
      </w:r>
      <w:r w:rsidR="00084C3F" w:rsidRPr="009D17A3">
        <w:rPr>
          <w:rFonts w:ascii="Times New Roman" w:hAnsi="Times New Roman"/>
          <w:i/>
          <w:color w:val="000000"/>
          <w:szCs w:val="24"/>
          <w:u w:val="single"/>
        </w:rPr>
        <w:t>Cross-site Evaluation</w:t>
      </w:r>
    </w:p>
    <w:p w:rsidR="00295620" w:rsidRPr="009D17A3" w:rsidRDefault="00B97E37" w:rsidP="00B97E37">
      <w:pPr>
        <w:pStyle w:val="Body"/>
        <w:rPr>
          <w:rFonts w:ascii="Times New Roman" w:hAnsi="Times New Roman"/>
          <w:szCs w:val="24"/>
        </w:rPr>
      </w:pPr>
      <w:r w:rsidRPr="009D17A3">
        <w:rPr>
          <w:rFonts w:ascii="Times New Roman" w:eastAsia="MS Mincho" w:hAnsi="Times New Roman"/>
          <w:szCs w:val="24"/>
        </w:rPr>
        <w:t xml:space="preserve">Data have been gathered from the 16 states, Pacific jurisdictions, and tribal territories receiving grants in FY 2006 (Cohort III), </w:t>
      </w:r>
      <w:r w:rsidR="00CF3C7B" w:rsidRPr="009D17A3">
        <w:rPr>
          <w:rFonts w:ascii="Times New Roman" w:eastAsia="MS Mincho" w:hAnsi="Times New Roman"/>
          <w:szCs w:val="24"/>
        </w:rPr>
        <w:t xml:space="preserve">the </w:t>
      </w:r>
      <w:r w:rsidRPr="009D17A3">
        <w:rPr>
          <w:rFonts w:ascii="Times New Roman" w:hAnsi="Times New Roman"/>
          <w:szCs w:val="24"/>
        </w:rPr>
        <w:t>25 Cohort IV grantees funded in FY 2009, and the 10 Cohort V grantees funded in FY</w:t>
      </w:r>
      <w:r w:rsidR="00CF3C7B" w:rsidRPr="009D17A3">
        <w:rPr>
          <w:rFonts w:ascii="Times New Roman" w:hAnsi="Times New Roman"/>
          <w:szCs w:val="24"/>
        </w:rPr>
        <w:t xml:space="preserve"> </w:t>
      </w:r>
      <w:r w:rsidRPr="009D17A3">
        <w:rPr>
          <w:rFonts w:ascii="Times New Roman" w:hAnsi="Times New Roman"/>
          <w:szCs w:val="24"/>
        </w:rPr>
        <w:t xml:space="preserve">2010. </w:t>
      </w:r>
      <w:r w:rsidR="00CF3C7B" w:rsidRPr="009D17A3">
        <w:rPr>
          <w:rFonts w:ascii="Times New Roman" w:hAnsi="Times New Roman"/>
          <w:szCs w:val="24"/>
        </w:rPr>
        <w:t xml:space="preserve">Data collection for </w:t>
      </w:r>
      <w:r w:rsidRPr="009D17A3">
        <w:rPr>
          <w:rFonts w:ascii="Times New Roman" w:hAnsi="Times New Roman"/>
          <w:szCs w:val="24"/>
        </w:rPr>
        <w:t>Cohort III has ended</w:t>
      </w:r>
      <w:r w:rsidR="00CF3C7B" w:rsidRPr="009D17A3">
        <w:rPr>
          <w:rFonts w:ascii="Times New Roman" w:hAnsi="Times New Roman"/>
          <w:szCs w:val="24"/>
        </w:rPr>
        <w:t>;</w:t>
      </w:r>
      <w:r w:rsidRPr="009D17A3">
        <w:rPr>
          <w:rFonts w:ascii="Times New Roman" w:hAnsi="Times New Roman"/>
          <w:szCs w:val="24"/>
        </w:rPr>
        <w:t xml:space="preserve"> therefore</w:t>
      </w:r>
      <w:r w:rsidR="00CF3C7B" w:rsidRPr="009D17A3">
        <w:rPr>
          <w:rFonts w:ascii="Times New Roman" w:hAnsi="Times New Roman"/>
          <w:szCs w:val="24"/>
        </w:rPr>
        <w:t>,</w:t>
      </w:r>
      <w:r w:rsidRPr="009D17A3">
        <w:rPr>
          <w:rFonts w:ascii="Times New Roman" w:hAnsi="Times New Roman"/>
          <w:szCs w:val="24"/>
        </w:rPr>
        <w:t xml:space="preserve"> this data collection request pertains only to Cohorts IV and V. </w:t>
      </w:r>
      <w:r w:rsidR="00073FC9" w:rsidRPr="009D17A3">
        <w:rPr>
          <w:rFonts w:ascii="Times New Roman" w:eastAsia="MS Mincho" w:hAnsi="Times New Roman"/>
          <w:szCs w:val="24"/>
        </w:rPr>
        <w:t xml:space="preserve">The Cohort </w:t>
      </w:r>
      <w:r w:rsidR="00262A4A" w:rsidRPr="009D17A3">
        <w:rPr>
          <w:rFonts w:ascii="Times New Roman" w:hAnsi="Times New Roman"/>
          <w:szCs w:val="24"/>
        </w:rPr>
        <w:t xml:space="preserve">III, IV, and V </w:t>
      </w:r>
      <w:r w:rsidR="00073FC9" w:rsidRPr="009D17A3">
        <w:rPr>
          <w:rFonts w:ascii="Times New Roman" w:eastAsia="MS Mincho" w:hAnsi="Times New Roman"/>
          <w:szCs w:val="24"/>
        </w:rPr>
        <w:t>cross-site e</w:t>
      </w:r>
      <w:r w:rsidR="00073FC9" w:rsidRPr="009D17A3">
        <w:rPr>
          <w:rFonts w:ascii="Times New Roman" w:hAnsi="Times New Roman"/>
          <w:szCs w:val="24"/>
        </w:rPr>
        <w:t xml:space="preserve">valuation team is implementing a multi-level evaluation design encompassing </w:t>
      </w:r>
      <w:r w:rsidRPr="009D17A3">
        <w:rPr>
          <w:rFonts w:ascii="Times New Roman" w:hAnsi="Times New Roman"/>
          <w:szCs w:val="24"/>
        </w:rPr>
        <w:t xml:space="preserve">process and outcome </w:t>
      </w:r>
      <w:r w:rsidR="009E0ED2" w:rsidRPr="009D17A3">
        <w:rPr>
          <w:rFonts w:ascii="Times New Roman" w:hAnsi="Times New Roman"/>
          <w:szCs w:val="24"/>
        </w:rPr>
        <w:t xml:space="preserve">data </w:t>
      </w:r>
      <w:r w:rsidR="00073FC9" w:rsidRPr="009D17A3">
        <w:rPr>
          <w:rFonts w:ascii="Times New Roman" w:hAnsi="Times New Roman"/>
          <w:szCs w:val="24"/>
        </w:rPr>
        <w:t>collection at the grantee, community</w:t>
      </w:r>
      <w:r w:rsidR="00262117" w:rsidRPr="009D17A3">
        <w:rPr>
          <w:rFonts w:ascii="Times New Roman" w:hAnsi="Times New Roman"/>
          <w:szCs w:val="24"/>
        </w:rPr>
        <w:t>,</w:t>
      </w:r>
      <w:r w:rsidR="00073FC9" w:rsidRPr="009D17A3">
        <w:rPr>
          <w:rFonts w:ascii="Times New Roman" w:hAnsi="Times New Roman"/>
          <w:szCs w:val="24"/>
        </w:rPr>
        <w:t xml:space="preserve"> and participant levels. </w:t>
      </w:r>
      <w:r w:rsidR="003C4673" w:rsidRPr="009D17A3">
        <w:rPr>
          <w:rFonts w:ascii="Times New Roman" w:hAnsi="Times New Roman"/>
          <w:szCs w:val="24"/>
        </w:rPr>
        <w:t>D</w:t>
      </w:r>
      <w:r w:rsidR="005D0D96" w:rsidRPr="009D17A3">
        <w:rPr>
          <w:rFonts w:ascii="Times New Roman" w:hAnsi="Times New Roman"/>
          <w:szCs w:val="24"/>
        </w:rPr>
        <w:t xml:space="preserve">ata from the two revised </w:t>
      </w:r>
      <w:r w:rsidR="003C4673" w:rsidRPr="009D17A3">
        <w:rPr>
          <w:rFonts w:ascii="Times New Roman" w:hAnsi="Times New Roman"/>
          <w:szCs w:val="24"/>
        </w:rPr>
        <w:t>GLIs a</w:t>
      </w:r>
      <w:r w:rsidR="005D0D96" w:rsidRPr="009D17A3">
        <w:rPr>
          <w:rFonts w:ascii="Times New Roman" w:hAnsi="Times New Roman"/>
          <w:szCs w:val="24"/>
        </w:rPr>
        <w:t xml:space="preserve">nd the revised </w:t>
      </w:r>
      <w:r w:rsidR="00EB25B6" w:rsidRPr="009D17A3">
        <w:rPr>
          <w:rFonts w:ascii="Times New Roman" w:hAnsi="Times New Roman"/>
          <w:szCs w:val="24"/>
        </w:rPr>
        <w:t xml:space="preserve">two-part </w:t>
      </w:r>
      <w:proofErr w:type="gramStart"/>
      <w:r w:rsidR="003C4673" w:rsidRPr="009D17A3">
        <w:rPr>
          <w:rFonts w:ascii="Times New Roman" w:hAnsi="Times New Roman"/>
          <w:szCs w:val="24"/>
        </w:rPr>
        <w:t xml:space="preserve">CLI </w:t>
      </w:r>
      <w:r w:rsidR="005D0D96" w:rsidRPr="009D17A3">
        <w:rPr>
          <w:rFonts w:ascii="Times New Roman" w:hAnsi="Times New Roman"/>
          <w:szCs w:val="24"/>
        </w:rPr>
        <w:t xml:space="preserve"> specifically</w:t>
      </w:r>
      <w:proofErr w:type="gramEnd"/>
      <w:r w:rsidR="005D0D96" w:rsidRPr="009D17A3">
        <w:rPr>
          <w:rFonts w:ascii="Times New Roman" w:hAnsi="Times New Roman"/>
          <w:szCs w:val="24"/>
        </w:rPr>
        <w:t xml:space="preserve"> measure: the effect of establishing and sustaining infrastructure at the grantee and community-levels to allow for data-based decision-making; the implementation of the </w:t>
      </w:r>
      <w:r w:rsidR="003C4673" w:rsidRPr="009D17A3">
        <w:rPr>
          <w:rFonts w:ascii="Times New Roman" w:hAnsi="Times New Roman"/>
          <w:szCs w:val="24"/>
        </w:rPr>
        <w:t>SPF</w:t>
      </w:r>
      <w:r w:rsidR="005D0D96" w:rsidRPr="009D17A3">
        <w:rPr>
          <w:rFonts w:ascii="Times New Roman" w:hAnsi="Times New Roman"/>
          <w:szCs w:val="24"/>
        </w:rPr>
        <w:t xml:space="preserve">; and </w:t>
      </w:r>
      <w:r w:rsidR="003C4673" w:rsidRPr="009D17A3">
        <w:rPr>
          <w:rFonts w:ascii="Times New Roman" w:hAnsi="Times New Roman"/>
          <w:szCs w:val="24"/>
        </w:rPr>
        <w:t xml:space="preserve">the </w:t>
      </w:r>
      <w:r w:rsidR="005D0D96" w:rsidRPr="009D17A3">
        <w:rPr>
          <w:rFonts w:ascii="Times New Roman" w:hAnsi="Times New Roman"/>
          <w:szCs w:val="24"/>
        </w:rPr>
        <w:t xml:space="preserve">environmental factors that affect substance abuse. </w:t>
      </w:r>
      <w:r w:rsidR="00694705" w:rsidRPr="009D17A3">
        <w:rPr>
          <w:rFonts w:ascii="Times New Roman" w:hAnsi="Times New Roman"/>
          <w:szCs w:val="24"/>
        </w:rPr>
        <w:t xml:space="preserve"> Recognizing that all grantees have prevention activities already underway</w:t>
      </w:r>
      <w:r w:rsidR="004125CE" w:rsidRPr="009D17A3">
        <w:rPr>
          <w:rFonts w:ascii="Times New Roman" w:hAnsi="Times New Roman"/>
          <w:szCs w:val="24"/>
        </w:rPr>
        <w:t>,</w:t>
      </w:r>
      <w:r w:rsidR="00694705" w:rsidRPr="009D17A3">
        <w:rPr>
          <w:rFonts w:ascii="Times New Roman" w:hAnsi="Times New Roman"/>
          <w:szCs w:val="24"/>
        </w:rPr>
        <w:t xml:space="preserve"> the collection of baseline data </w:t>
      </w:r>
      <w:r w:rsidR="00F52A02" w:rsidRPr="009D17A3">
        <w:rPr>
          <w:rFonts w:ascii="Times New Roman" w:hAnsi="Times New Roman"/>
          <w:szCs w:val="24"/>
        </w:rPr>
        <w:t xml:space="preserve">using these instruments </w:t>
      </w:r>
      <w:r w:rsidR="00694705" w:rsidRPr="009D17A3">
        <w:rPr>
          <w:rFonts w:ascii="Times New Roman" w:hAnsi="Times New Roman"/>
          <w:szCs w:val="24"/>
        </w:rPr>
        <w:t xml:space="preserve">will </w:t>
      </w:r>
      <w:r w:rsidRPr="009D17A3">
        <w:rPr>
          <w:rFonts w:ascii="Times New Roman" w:hAnsi="Times New Roman"/>
          <w:szCs w:val="24"/>
        </w:rPr>
        <w:t xml:space="preserve">be used in the analysis to </w:t>
      </w:r>
      <w:r w:rsidR="00694705" w:rsidRPr="009D17A3">
        <w:rPr>
          <w:rFonts w:ascii="Times New Roman" w:hAnsi="Times New Roman"/>
          <w:szCs w:val="24"/>
        </w:rPr>
        <w:t xml:space="preserve">account for pre-SPF SIG activities in estimating the effects of SPF SIG-initiated activities. The process components of the SPF SIG evaluation </w:t>
      </w:r>
      <w:r w:rsidR="004125CE" w:rsidRPr="009D17A3">
        <w:rPr>
          <w:rFonts w:ascii="Times New Roman" w:hAnsi="Times New Roman"/>
          <w:szCs w:val="24"/>
        </w:rPr>
        <w:t>allow the evaluators to</w:t>
      </w:r>
      <w:r w:rsidR="00694705" w:rsidRPr="009D17A3">
        <w:rPr>
          <w:rFonts w:ascii="Times New Roman" w:hAnsi="Times New Roman"/>
          <w:szCs w:val="24"/>
        </w:rPr>
        <w:t xml:space="preserve"> disentangl</w:t>
      </w:r>
      <w:r w:rsidR="004125CE" w:rsidRPr="009D17A3">
        <w:rPr>
          <w:rFonts w:ascii="Times New Roman" w:hAnsi="Times New Roman"/>
          <w:szCs w:val="24"/>
        </w:rPr>
        <w:t>e</w:t>
      </w:r>
      <w:r w:rsidR="00694705" w:rsidRPr="009D17A3">
        <w:rPr>
          <w:rFonts w:ascii="Times New Roman" w:hAnsi="Times New Roman"/>
          <w:szCs w:val="24"/>
        </w:rPr>
        <w:t xml:space="preserve"> the effects of various project-related activities and </w:t>
      </w:r>
      <w:r w:rsidR="00F52A02" w:rsidRPr="009D17A3">
        <w:rPr>
          <w:rFonts w:ascii="Times New Roman" w:hAnsi="Times New Roman"/>
          <w:szCs w:val="24"/>
        </w:rPr>
        <w:t>help</w:t>
      </w:r>
      <w:r w:rsidR="00694705" w:rsidRPr="009D17A3">
        <w:rPr>
          <w:rFonts w:ascii="Times New Roman" w:hAnsi="Times New Roman"/>
          <w:szCs w:val="24"/>
        </w:rPr>
        <w:t xml:space="preserve"> identify which program and policy elements are effective, under what conditions, and with which target populations.</w:t>
      </w:r>
      <w:r w:rsidR="008C566C" w:rsidRPr="009D17A3">
        <w:rPr>
          <w:rFonts w:ascii="Times New Roman" w:hAnsi="Times New Roman"/>
          <w:szCs w:val="24"/>
        </w:rPr>
        <w:t xml:space="preserve"> </w:t>
      </w:r>
      <w:r w:rsidR="00295620" w:rsidRPr="009D17A3">
        <w:rPr>
          <w:rFonts w:ascii="Times New Roman" w:hAnsi="Times New Roman"/>
          <w:szCs w:val="24"/>
        </w:rPr>
        <w:t xml:space="preserve"> </w:t>
      </w:r>
    </w:p>
    <w:p w:rsidR="00146446" w:rsidRPr="009D17A3" w:rsidRDefault="00295620" w:rsidP="00C91AA9">
      <w:pPr>
        <w:pStyle w:val="Body"/>
        <w:rPr>
          <w:rFonts w:ascii="Times New Roman" w:hAnsi="Times New Roman"/>
          <w:szCs w:val="24"/>
        </w:rPr>
      </w:pPr>
      <w:r w:rsidRPr="009D17A3">
        <w:rPr>
          <w:rFonts w:ascii="Times New Roman" w:hAnsi="Times New Roman"/>
          <w:szCs w:val="24"/>
        </w:rPr>
        <w:t>All SAMHSA grantees are required to collect and report certain data so that the Agency can meet its obligations under the Government Performance and Results Modernization Act of 2010 (GPRA</w:t>
      </w:r>
      <w:r w:rsidR="00073612" w:rsidRPr="009D17A3">
        <w:rPr>
          <w:rFonts w:ascii="Times New Roman" w:hAnsi="Times New Roman"/>
          <w:szCs w:val="24"/>
        </w:rPr>
        <w:t>MA</w:t>
      </w:r>
      <w:r w:rsidRPr="009D17A3">
        <w:rPr>
          <w:rFonts w:ascii="Times New Roman" w:hAnsi="Times New Roman"/>
          <w:szCs w:val="24"/>
        </w:rPr>
        <w:t xml:space="preserve">).  Because SAMHSA programs are often client/participant-level interventions that differ dramatically from one group to another, extracting a sample from the population receiving a specific intervention may be insufficient for evaluating these programs. Populations from each group may not be similar and therefore, it would be inappropriate to infer generalizable findings about the successes or failures of a program due to the uniqueness of each group. Within </w:t>
      </w:r>
      <w:r w:rsidRPr="009D17A3">
        <w:rPr>
          <w:rFonts w:ascii="Times New Roman" w:hAnsi="Times New Roman"/>
          <w:szCs w:val="24"/>
        </w:rPr>
        <w:lastRenderedPageBreak/>
        <w:t>populations, the number of participants/clients may be too small to extract a representative sample</w:t>
      </w:r>
      <w:r w:rsidR="003F1B94" w:rsidRPr="009D17A3">
        <w:rPr>
          <w:rFonts w:ascii="Times New Roman" w:hAnsi="Times New Roman"/>
          <w:szCs w:val="24"/>
        </w:rPr>
        <w:t xml:space="preserve"> of a population; extracting such a sample could lead</w:t>
      </w:r>
      <w:r w:rsidRPr="009D17A3">
        <w:rPr>
          <w:rFonts w:ascii="Times New Roman" w:hAnsi="Times New Roman"/>
          <w:szCs w:val="24"/>
        </w:rPr>
        <w:t xml:space="preserve"> to large</w:t>
      </w:r>
      <w:r w:rsidR="003F1B94" w:rsidRPr="009D17A3">
        <w:rPr>
          <w:rFonts w:ascii="Times New Roman" w:hAnsi="Times New Roman"/>
          <w:szCs w:val="24"/>
        </w:rPr>
        <w:t xml:space="preserve"> variance within the sample and could result in inaccurate </w:t>
      </w:r>
      <w:r w:rsidRPr="009D17A3">
        <w:rPr>
          <w:rFonts w:ascii="Times New Roman" w:hAnsi="Times New Roman"/>
          <w:szCs w:val="24"/>
        </w:rPr>
        <w:t>findings</w:t>
      </w:r>
      <w:r w:rsidR="003F1B94" w:rsidRPr="009D17A3">
        <w:rPr>
          <w:rFonts w:ascii="Times New Roman" w:hAnsi="Times New Roman"/>
          <w:szCs w:val="24"/>
        </w:rPr>
        <w:t xml:space="preserve"> and conclusions</w:t>
      </w:r>
      <w:r w:rsidRPr="009D17A3">
        <w:rPr>
          <w:rFonts w:ascii="Times New Roman" w:hAnsi="Times New Roman"/>
          <w:szCs w:val="24"/>
        </w:rPr>
        <w:t xml:space="preserve"> about the</w:t>
      </w:r>
      <w:r w:rsidR="003F1B94" w:rsidRPr="009D17A3">
        <w:rPr>
          <w:rFonts w:ascii="Times New Roman" w:hAnsi="Times New Roman"/>
          <w:szCs w:val="24"/>
        </w:rPr>
        <w:t>se</w:t>
      </w:r>
      <w:r w:rsidRPr="009D17A3">
        <w:rPr>
          <w:rFonts w:ascii="Times New Roman" w:hAnsi="Times New Roman"/>
          <w:szCs w:val="24"/>
        </w:rPr>
        <w:t xml:space="preserve"> programs</w:t>
      </w:r>
      <w:r w:rsidR="003F1B94" w:rsidRPr="009D17A3">
        <w:rPr>
          <w:rFonts w:ascii="Times New Roman" w:hAnsi="Times New Roman"/>
          <w:szCs w:val="24"/>
        </w:rPr>
        <w:t xml:space="preserve">.  In order to evaluate programs that </w:t>
      </w:r>
      <w:r w:rsidRPr="009D17A3">
        <w:rPr>
          <w:rFonts w:ascii="Times New Roman" w:hAnsi="Times New Roman"/>
          <w:szCs w:val="24"/>
        </w:rPr>
        <w:t>differ</w:t>
      </w:r>
      <w:r w:rsidR="003F1B94" w:rsidRPr="009D17A3">
        <w:rPr>
          <w:rFonts w:ascii="Times New Roman" w:hAnsi="Times New Roman"/>
          <w:szCs w:val="24"/>
        </w:rPr>
        <w:t xml:space="preserve"> across groups of clients/participants, i</w:t>
      </w:r>
      <w:r w:rsidRPr="009D17A3">
        <w:rPr>
          <w:rFonts w:ascii="Times New Roman" w:hAnsi="Times New Roman"/>
          <w:szCs w:val="24"/>
        </w:rPr>
        <w:t xml:space="preserve">t is important to gather data </w:t>
      </w:r>
      <w:r w:rsidR="003F1B94" w:rsidRPr="009D17A3">
        <w:rPr>
          <w:rFonts w:ascii="Times New Roman" w:hAnsi="Times New Roman"/>
          <w:szCs w:val="24"/>
        </w:rPr>
        <w:t xml:space="preserve">from all </w:t>
      </w:r>
      <w:r w:rsidR="000F4039" w:rsidRPr="009D17A3">
        <w:rPr>
          <w:rFonts w:ascii="Times New Roman" w:hAnsi="Times New Roman"/>
          <w:szCs w:val="24"/>
        </w:rPr>
        <w:t>participants</w:t>
      </w:r>
      <w:r w:rsidR="003F1B94" w:rsidRPr="009D17A3">
        <w:rPr>
          <w:rFonts w:ascii="Times New Roman" w:hAnsi="Times New Roman"/>
          <w:szCs w:val="24"/>
        </w:rPr>
        <w:t xml:space="preserve"> in order to draw </w:t>
      </w:r>
      <w:r w:rsidRPr="009D17A3">
        <w:rPr>
          <w:rFonts w:ascii="Times New Roman" w:hAnsi="Times New Roman"/>
          <w:szCs w:val="24"/>
        </w:rPr>
        <w:t>statistically accurate conclusions about how the programs are performing and</w:t>
      </w:r>
      <w:r w:rsidR="003F1B94" w:rsidRPr="009D17A3">
        <w:rPr>
          <w:rFonts w:ascii="Times New Roman" w:hAnsi="Times New Roman"/>
          <w:szCs w:val="24"/>
        </w:rPr>
        <w:t xml:space="preserve"> to identify which</w:t>
      </w:r>
      <w:r w:rsidRPr="009D17A3">
        <w:rPr>
          <w:rFonts w:ascii="Times New Roman" w:hAnsi="Times New Roman"/>
          <w:szCs w:val="24"/>
        </w:rPr>
        <w:t xml:space="preserve"> </w:t>
      </w:r>
      <w:r w:rsidR="003F1B94" w:rsidRPr="009D17A3">
        <w:rPr>
          <w:rFonts w:ascii="Times New Roman" w:hAnsi="Times New Roman"/>
          <w:szCs w:val="24"/>
        </w:rPr>
        <w:t xml:space="preserve">components of the </w:t>
      </w:r>
      <w:r w:rsidRPr="009D17A3">
        <w:rPr>
          <w:rFonts w:ascii="Times New Roman" w:hAnsi="Times New Roman"/>
          <w:szCs w:val="24"/>
        </w:rPr>
        <w:t>program</w:t>
      </w:r>
      <w:r w:rsidR="003F1B94" w:rsidRPr="009D17A3">
        <w:rPr>
          <w:rFonts w:ascii="Times New Roman" w:hAnsi="Times New Roman"/>
          <w:szCs w:val="24"/>
        </w:rPr>
        <w:t>s</w:t>
      </w:r>
      <w:r w:rsidRPr="009D17A3">
        <w:rPr>
          <w:rFonts w:ascii="Times New Roman" w:hAnsi="Times New Roman"/>
          <w:szCs w:val="24"/>
        </w:rPr>
        <w:t xml:space="preserve"> may </w:t>
      </w:r>
      <w:r w:rsidR="003F1B94" w:rsidRPr="009D17A3">
        <w:rPr>
          <w:rFonts w:ascii="Times New Roman" w:hAnsi="Times New Roman"/>
          <w:szCs w:val="24"/>
        </w:rPr>
        <w:t xml:space="preserve">contribute </w:t>
      </w:r>
      <w:r w:rsidRPr="009D17A3">
        <w:rPr>
          <w:rFonts w:ascii="Times New Roman" w:hAnsi="Times New Roman"/>
          <w:szCs w:val="24"/>
        </w:rPr>
        <w:t>to the</w:t>
      </w:r>
      <w:r w:rsidR="003F1B94" w:rsidRPr="009D17A3">
        <w:rPr>
          <w:rFonts w:ascii="Times New Roman" w:hAnsi="Times New Roman"/>
          <w:szCs w:val="24"/>
        </w:rPr>
        <w:t>ir</w:t>
      </w:r>
      <w:r w:rsidRPr="009D17A3">
        <w:rPr>
          <w:rFonts w:ascii="Times New Roman" w:hAnsi="Times New Roman"/>
          <w:szCs w:val="24"/>
        </w:rPr>
        <w:t xml:space="preserve"> success </w:t>
      </w:r>
      <w:r w:rsidR="003F1B94" w:rsidRPr="009D17A3">
        <w:rPr>
          <w:rFonts w:ascii="Times New Roman" w:hAnsi="Times New Roman"/>
          <w:szCs w:val="24"/>
        </w:rPr>
        <w:t>and positive client/participant outcomes.</w:t>
      </w:r>
      <w:r w:rsidR="000F4039" w:rsidRPr="009D17A3">
        <w:rPr>
          <w:rFonts w:ascii="Times New Roman" w:hAnsi="Times New Roman"/>
          <w:szCs w:val="24"/>
        </w:rPr>
        <w:t xml:space="preserve"> For th</w:t>
      </w:r>
      <w:r w:rsidR="00DB3204" w:rsidRPr="009D17A3">
        <w:rPr>
          <w:rFonts w:ascii="Times New Roman" w:hAnsi="Times New Roman"/>
          <w:szCs w:val="24"/>
        </w:rPr>
        <w:t>is OMB approval request, S</w:t>
      </w:r>
      <w:r w:rsidR="000F4039" w:rsidRPr="009D17A3">
        <w:rPr>
          <w:rFonts w:ascii="Times New Roman" w:hAnsi="Times New Roman"/>
          <w:szCs w:val="24"/>
        </w:rPr>
        <w:t>PF</w:t>
      </w:r>
      <w:r w:rsidR="00551030" w:rsidRPr="009D17A3">
        <w:rPr>
          <w:rFonts w:ascii="Times New Roman" w:hAnsi="Times New Roman"/>
          <w:szCs w:val="24"/>
        </w:rPr>
        <w:t>-</w:t>
      </w:r>
      <w:r w:rsidR="000F4039" w:rsidRPr="009D17A3">
        <w:rPr>
          <w:rFonts w:ascii="Times New Roman" w:hAnsi="Times New Roman"/>
          <w:szCs w:val="24"/>
        </w:rPr>
        <w:t>SIG cross-site evaluation participants are the grantees and grantee sub-recipient communities.</w:t>
      </w:r>
      <w:r w:rsidR="00551030" w:rsidRPr="009D17A3">
        <w:rPr>
          <w:rFonts w:ascii="Times New Roman" w:hAnsi="Times New Roman"/>
          <w:szCs w:val="24"/>
        </w:rPr>
        <w:t xml:space="preserve">  </w:t>
      </w:r>
    </w:p>
    <w:p w:rsidR="005A35A6" w:rsidRPr="009D17A3" w:rsidRDefault="00BD7F0C" w:rsidP="009D17A3">
      <w:pPr>
        <w:pStyle w:val="Heading2"/>
        <w:spacing w:line="360" w:lineRule="auto"/>
        <w:rPr>
          <w:rFonts w:ascii="Times New Roman" w:eastAsia="MS Mincho" w:hAnsi="Times New Roman"/>
          <w:sz w:val="24"/>
          <w:szCs w:val="24"/>
        </w:rPr>
      </w:pPr>
      <w:r w:rsidRPr="009D17A3">
        <w:rPr>
          <w:rFonts w:ascii="Times New Roman" w:eastAsia="MS Mincho" w:hAnsi="Times New Roman"/>
          <w:sz w:val="24"/>
          <w:szCs w:val="24"/>
        </w:rPr>
        <w:t>A2. Purpose and Use of Information</w:t>
      </w:r>
    </w:p>
    <w:p w:rsidR="007D0B01" w:rsidRPr="009D17A3" w:rsidRDefault="001B08B7" w:rsidP="00354CC4">
      <w:pPr>
        <w:pStyle w:val="Body"/>
        <w:rPr>
          <w:rFonts w:ascii="Times New Roman" w:hAnsi="Times New Roman"/>
          <w:szCs w:val="24"/>
        </w:rPr>
      </w:pPr>
      <w:r w:rsidRPr="009D17A3">
        <w:rPr>
          <w:rFonts w:ascii="Times New Roman" w:hAnsi="Times New Roman"/>
          <w:szCs w:val="24"/>
        </w:rPr>
        <w:t xml:space="preserve">The SPF SIG </w:t>
      </w:r>
      <w:r w:rsidR="00F9575B" w:rsidRPr="009D17A3">
        <w:rPr>
          <w:rFonts w:ascii="Times New Roman" w:hAnsi="Times New Roman"/>
          <w:szCs w:val="24"/>
        </w:rPr>
        <w:t xml:space="preserve">grant program </w:t>
      </w:r>
      <w:r w:rsidRPr="009D17A3">
        <w:rPr>
          <w:rFonts w:ascii="Times New Roman" w:hAnsi="Times New Roman"/>
          <w:szCs w:val="24"/>
        </w:rPr>
        <w:t>is a major investment by the Federal Government to improve state substance abuse prevention systems, and enhance the quality of prevention programs, primarily through the implementation of the SPF</w:t>
      </w:r>
      <w:r w:rsidR="0060105F" w:rsidRPr="009D17A3">
        <w:rPr>
          <w:rFonts w:ascii="Times New Roman" w:hAnsi="Times New Roman"/>
          <w:szCs w:val="24"/>
        </w:rPr>
        <w:t xml:space="preserve"> process</w:t>
      </w:r>
      <w:r w:rsidRPr="009D17A3">
        <w:rPr>
          <w:rFonts w:ascii="Times New Roman" w:hAnsi="Times New Roman"/>
          <w:szCs w:val="24"/>
        </w:rPr>
        <w:t xml:space="preserve">.  The goal of this initiative is </w:t>
      </w:r>
      <w:r w:rsidRPr="009D17A3">
        <w:rPr>
          <w:rFonts w:ascii="Times New Roman" w:eastAsia="MS Mincho" w:hAnsi="Times New Roman"/>
          <w:szCs w:val="24"/>
        </w:rPr>
        <w:t xml:space="preserve">to provide </w:t>
      </w:r>
      <w:r w:rsidR="00B21D81" w:rsidRPr="009D17A3">
        <w:rPr>
          <w:rFonts w:ascii="Times New Roman" w:eastAsia="MS Mincho" w:hAnsi="Times New Roman"/>
          <w:szCs w:val="24"/>
        </w:rPr>
        <w:t>states, Pacific jurisdictions, tribal entities</w:t>
      </w:r>
      <w:r w:rsidR="00CA3F2E" w:rsidRPr="009D17A3">
        <w:rPr>
          <w:rFonts w:ascii="Times New Roman" w:eastAsia="MS Mincho" w:hAnsi="Times New Roman"/>
          <w:szCs w:val="24"/>
        </w:rPr>
        <w:t>,</w:t>
      </w:r>
      <w:r w:rsidR="00B21D81" w:rsidRPr="009D17A3">
        <w:rPr>
          <w:rFonts w:ascii="Times New Roman" w:eastAsia="MS Mincho" w:hAnsi="Times New Roman"/>
          <w:szCs w:val="24"/>
        </w:rPr>
        <w:t xml:space="preserve"> </w:t>
      </w:r>
      <w:r w:rsidRPr="009D17A3">
        <w:rPr>
          <w:rFonts w:ascii="Times New Roman" w:eastAsia="MS Mincho" w:hAnsi="Times New Roman"/>
          <w:szCs w:val="24"/>
        </w:rPr>
        <w:t xml:space="preserve">and </w:t>
      </w:r>
      <w:r w:rsidR="00B831DC" w:rsidRPr="009D17A3">
        <w:rPr>
          <w:rFonts w:ascii="Times New Roman" w:eastAsia="MS Mincho" w:hAnsi="Times New Roman"/>
          <w:szCs w:val="24"/>
        </w:rPr>
        <w:t xml:space="preserve">the </w:t>
      </w:r>
      <w:r w:rsidRPr="009D17A3">
        <w:rPr>
          <w:rFonts w:ascii="Times New Roman" w:eastAsia="MS Mincho" w:hAnsi="Times New Roman"/>
          <w:szCs w:val="24"/>
        </w:rPr>
        <w:t xml:space="preserve">communities </w:t>
      </w:r>
      <w:r w:rsidR="0088358B" w:rsidRPr="009D17A3">
        <w:rPr>
          <w:rFonts w:ascii="Times New Roman" w:eastAsia="MS Mincho" w:hAnsi="Times New Roman"/>
          <w:szCs w:val="24"/>
        </w:rPr>
        <w:t xml:space="preserve">within them </w:t>
      </w:r>
      <w:r w:rsidRPr="009D17A3">
        <w:rPr>
          <w:rFonts w:ascii="Times New Roman" w:eastAsia="MS Mincho" w:hAnsi="Times New Roman"/>
          <w:szCs w:val="24"/>
        </w:rPr>
        <w:t xml:space="preserve">with the tools necessary to develop an effective prevention system with attention to the processes, directions, goals, expectations, and accountabilities necessary for functionality. </w:t>
      </w:r>
      <w:r w:rsidRPr="009D17A3">
        <w:rPr>
          <w:rFonts w:ascii="Times New Roman" w:hAnsi="Times New Roman"/>
          <w:szCs w:val="24"/>
        </w:rPr>
        <w:t xml:space="preserve">SAMHSA/CSAP needs to collect information </w:t>
      </w:r>
      <w:r w:rsidR="00F37B39" w:rsidRPr="009D17A3">
        <w:rPr>
          <w:rFonts w:ascii="Times New Roman" w:hAnsi="Times New Roman"/>
          <w:szCs w:val="24"/>
        </w:rPr>
        <w:t xml:space="preserve">over the course of the </w:t>
      </w:r>
      <w:r w:rsidR="00B831DC" w:rsidRPr="009D17A3">
        <w:rPr>
          <w:rFonts w:ascii="Times New Roman" w:hAnsi="Times New Roman"/>
          <w:szCs w:val="24"/>
        </w:rPr>
        <w:t xml:space="preserve">remaining </w:t>
      </w:r>
      <w:r w:rsidR="00F37B39" w:rsidRPr="009D17A3">
        <w:rPr>
          <w:rFonts w:ascii="Times New Roman" w:hAnsi="Times New Roman"/>
          <w:szCs w:val="24"/>
        </w:rPr>
        <w:t xml:space="preserve">grant period </w:t>
      </w:r>
      <w:r w:rsidRPr="009D17A3">
        <w:rPr>
          <w:rFonts w:ascii="Times New Roman" w:hAnsi="Times New Roman"/>
          <w:szCs w:val="24"/>
        </w:rPr>
        <w:t xml:space="preserve">to monitor the progress of the SPF SIG initiative, </w:t>
      </w:r>
      <w:r w:rsidR="00B831DC" w:rsidRPr="009D17A3">
        <w:rPr>
          <w:rFonts w:ascii="Times New Roman" w:hAnsi="Times New Roman"/>
          <w:szCs w:val="24"/>
        </w:rPr>
        <w:t>as well as</w:t>
      </w:r>
      <w:r w:rsidR="00073612" w:rsidRPr="009D17A3">
        <w:rPr>
          <w:rFonts w:ascii="Times New Roman" w:hAnsi="Times New Roman"/>
          <w:szCs w:val="24"/>
        </w:rPr>
        <w:t xml:space="preserve"> to</w:t>
      </w:r>
      <w:r w:rsidR="00B831DC" w:rsidRPr="009D17A3">
        <w:rPr>
          <w:rFonts w:ascii="Times New Roman" w:hAnsi="Times New Roman"/>
          <w:szCs w:val="24"/>
        </w:rPr>
        <w:t xml:space="preserve"> maintain continuity </w:t>
      </w:r>
      <w:r w:rsidR="00073612" w:rsidRPr="009D17A3">
        <w:rPr>
          <w:rFonts w:ascii="Times New Roman" w:hAnsi="Times New Roman"/>
          <w:szCs w:val="24"/>
        </w:rPr>
        <w:t xml:space="preserve">in </w:t>
      </w:r>
      <w:r w:rsidR="000B5B3C" w:rsidRPr="009D17A3">
        <w:rPr>
          <w:rFonts w:ascii="Times New Roman" w:hAnsi="Times New Roman"/>
          <w:szCs w:val="24"/>
        </w:rPr>
        <w:t xml:space="preserve">the data collection and analytic protocols </w:t>
      </w:r>
      <w:r w:rsidR="00073612" w:rsidRPr="009D17A3">
        <w:rPr>
          <w:rFonts w:ascii="Times New Roman" w:hAnsi="Times New Roman"/>
          <w:szCs w:val="24"/>
        </w:rPr>
        <w:t xml:space="preserve">(for Cohorts IV and V) </w:t>
      </w:r>
      <w:r w:rsidR="000B5B3C" w:rsidRPr="009D17A3">
        <w:rPr>
          <w:rFonts w:ascii="Times New Roman" w:hAnsi="Times New Roman"/>
          <w:szCs w:val="24"/>
        </w:rPr>
        <w:t>that have been</w:t>
      </w:r>
      <w:r w:rsidR="00073612" w:rsidRPr="009D17A3">
        <w:rPr>
          <w:rFonts w:ascii="Times New Roman" w:hAnsi="Times New Roman"/>
          <w:szCs w:val="24"/>
        </w:rPr>
        <w:t xml:space="preserve"> previously approved by OMB and used by earlier cohorts of SPF SIG grantees</w:t>
      </w:r>
      <w:r w:rsidR="001872E9" w:rsidRPr="009D17A3">
        <w:rPr>
          <w:rFonts w:ascii="Times New Roman" w:hAnsi="Times New Roman"/>
          <w:szCs w:val="24"/>
        </w:rPr>
        <w:t xml:space="preserve"> </w:t>
      </w:r>
      <w:r w:rsidR="00F9575B" w:rsidRPr="009D17A3">
        <w:rPr>
          <w:rFonts w:ascii="Times New Roman" w:hAnsi="Times New Roman"/>
          <w:szCs w:val="24"/>
        </w:rPr>
        <w:t>in order to complete the data collection for the SPFSIG program as cohort V reaches an end</w:t>
      </w:r>
      <w:r w:rsidRPr="009D17A3">
        <w:rPr>
          <w:rFonts w:ascii="Times New Roman" w:hAnsi="Times New Roman"/>
          <w:szCs w:val="24"/>
        </w:rPr>
        <w:t xml:space="preserve">. </w:t>
      </w:r>
      <w:r w:rsidR="00837471" w:rsidRPr="009D17A3">
        <w:rPr>
          <w:rFonts w:ascii="Times New Roman" w:hAnsi="Times New Roman"/>
          <w:szCs w:val="24"/>
        </w:rPr>
        <w:t>CSAP</w:t>
      </w:r>
      <w:r w:rsidRPr="009D17A3">
        <w:rPr>
          <w:rFonts w:ascii="Times New Roman" w:hAnsi="Times New Roman"/>
          <w:szCs w:val="24"/>
        </w:rPr>
        <w:t xml:space="preserve"> will use the findings from the cross-site evaluation</w:t>
      </w:r>
      <w:r w:rsidR="00802A36" w:rsidRPr="009D17A3">
        <w:rPr>
          <w:rFonts w:ascii="Times New Roman" w:hAnsi="Times New Roman"/>
          <w:szCs w:val="24"/>
        </w:rPr>
        <w:t>s</w:t>
      </w:r>
      <w:r w:rsidRPr="009D17A3">
        <w:rPr>
          <w:rFonts w:ascii="Times New Roman" w:hAnsi="Times New Roman"/>
          <w:szCs w:val="24"/>
        </w:rPr>
        <w:t xml:space="preserve"> to assess the implementation of the SPF, </w:t>
      </w:r>
      <w:r w:rsidR="0028296D" w:rsidRPr="009D17A3">
        <w:rPr>
          <w:rFonts w:ascii="Times New Roman" w:hAnsi="Times New Roman"/>
          <w:szCs w:val="24"/>
        </w:rPr>
        <w:t xml:space="preserve">the </w:t>
      </w:r>
      <w:r w:rsidRPr="009D17A3">
        <w:rPr>
          <w:rFonts w:ascii="Times New Roman" w:hAnsi="Times New Roman"/>
          <w:szCs w:val="24"/>
        </w:rPr>
        <w:t>infrastructure developmen</w:t>
      </w:r>
      <w:r w:rsidR="0028296D" w:rsidRPr="009D17A3">
        <w:rPr>
          <w:rFonts w:ascii="Times New Roman" w:hAnsi="Times New Roman"/>
          <w:szCs w:val="24"/>
        </w:rPr>
        <w:t>t</w:t>
      </w:r>
      <w:r w:rsidRPr="009D17A3">
        <w:rPr>
          <w:rFonts w:ascii="Times New Roman" w:hAnsi="Times New Roman"/>
          <w:szCs w:val="24"/>
        </w:rPr>
        <w:t xml:space="preserve"> </w:t>
      </w:r>
      <w:r w:rsidR="00F9575B" w:rsidRPr="009D17A3">
        <w:rPr>
          <w:rFonts w:ascii="Times New Roman" w:hAnsi="Times New Roman"/>
          <w:szCs w:val="24"/>
        </w:rPr>
        <w:t xml:space="preserve">and </w:t>
      </w:r>
      <w:r w:rsidR="0028296D" w:rsidRPr="009D17A3">
        <w:rPr>
          <w:rFonts w:ascii="Times New Roman" w:hAnsi="Times New Roman"/>
          <w:szCs w:val="24"/>
        </w:rPr>
        <w:t>i</w:t>
      </w:r>
      <w:r w:rsidR="00F9575B" w:rsidRPr="009D17A3">
        <w:rPr>
          <w:rFonts w:ascii="Times New Roman" w:hAnsi="Times New Roman"/>
          <w:szCs w:val="24"/>
        </w:rPr>
        <w:t xml:space="preserve">mplementation </w:t>
      </w:r>
      <w:r w:rsidRPr="009D17A3">
        <w:rPr>
          <w:rFonts w:ascii="Times New Roman" w:hAnsi="Times New Roman"/>
          <w:szCs w:val="24"/>
        </w:rPr>
        <w:t xml:space="preserve">at the </w:t>
      </w:r>
      <w:r w:rsidR="0088358B" w:rsidRPr="009D17A3">
        <w:rPr>
          <w:rFonts w:ascii="Times New Roman" w:hAnsi="Times New Roman"/>
          <w:szCs w:val="24"/>
        </w:rPr>
        <w:t>grantee</w:t>
      </w:r>
      <w:r w:rsidRPr="009D17A3">
        <w:rPr>
          <w:rFonts w:ascii="Times New Roman" w:hAnsi="Times New Roman"/>
          <w:szCs w:val="24"/>
        </w:rPr>
        <w:t xml:space="preserve"> and community level, and </w:t>
      </w:r>
      <w:r w:rsidR="00F9575B" w:rsidRPr="009D17A3">
        <w:rPr>
          <w:rFonts w:ascii="Times New Roman" w:hAnsi="Times New Roman"/>
          <w:szCs w:val="24"/>
        </w:rPr>
        <w:t xml:space="preserve">the impact of these activities on community and state level outcomes. </w:t>
      </w:r>
      <w:r w:rsidRPr="009D17A3">
        <w:rPr>
          <w:rFonts w:ascii="Times New Roman" w:hAnsi="Times New Roman"/>
          <w:szCs w:val="24"/>
        </w:rPr>
        <w:t>Without these data</w:t>
      </w:r>
      <w:r w:rsidR="00102B5E" w:rsidRPr="009D17A3">
        <w:rPr>
          <w:rFonts w:ascii="Times New Roman" w:hAnsi="Times New Roman"/>
          <w:szCs w:val="24"/>
        </w:rPr>
        <w:t>,</w:t>
      </w:r>
      <w:r w:rsidRPr="009D17A3">
        <w:rPr>
          <w:rFonts w:ascii="Times New Roman" w:hAnsi="Times New Roman"/>
          <w:szCs w:val="24"/>
        </w:rPr>
        <w:t xml:space="preserve"> the </w:t>
      </w:r>
      <w:r w:rsidR="000B5B3C" w:rsidRPr="009D17A3">
        <w:rPr>
          <w:rFonts w:ascii="Times New Roman" w:hAnsi="Times New Roman"/>
          <w:szCs w:val="24"/>
        </w:rPr>
        <w:t xml:space="preserve">extended </w:t>
      </w:r>
      <w:r w:rsidRPr="009D17A3">
        <w:rPr>
          <w:rFonts w:ascii="Times New Roman" w:hAnsi="Times New Roman"/>
          <w:szCs w:val="24"/>
        </w:rPr>
        <w:t>impact</w:t>
      </w:r>
      <w:r w:rsidR="000B5B3C" w:rsidRPr="009D17A3">
        <w:rPr>
          <w:rFonts w:ascii="Times New Roman" w:hAnsi="Times New Roman"/>
          <w:szCs w:val="24"/>
        </w:rPr>
        <w:t xml:space="preserve"> of the SPF process across various types of communities </w:t>
      </w:r>
      <w:r w:rsidR="00102B5E" w:rsidRPr="009D17A3">
        <w:rPr>
          <w:rFonts w:ascii="Times New Roman" w:hAnsi="Times New Roman"/>
          <w:szCs w:val="24"/>
        </w:rPr>
        <w:t>would</w:t>
      </w:r>
      <w:r w:rsidR="00F9575B" w:rsidRPr="009D17A3">
        <w:rPr>
          <w:rFonts w:ascii="Times New Roman" w:hAnsi="Times New Roman"/>
          <w:szCs w:val="24"/>
        </w:rPr>
        <w:t xml:space="preserve"> re</w:t>
      </w:r>
      <w:r w:rsidR="00102B5E" w:rsidRPr="009D17A3">
        <w:rPr>
          <w:rFonts w:ascii="Times New Roman" w:hAnsi="Times New Roman"/>
          <w:szCs w:val="24"/>
        </w:rPr>
        <w:t>m</w:t>
      </w:r>
      <w:r w:rsidR="00F9575B" w:rsidRPr="009D17A3">
        <w:rPr>
          <w:rFonts w:ascii="Times New Roman" w:hAnsi="Times New Roman"/>
          <w:szCs w:val="24"/>
        </w:rPr>
        <w:t>a</w:t>
      </w:r>
      <w:r w:rsidR="00102B5E" w:rsidRPr="009D17A3">
        <w:rPr>
          <w:rFonts w:ascii="Times New Roman" w:hAnsi="Times New Roman"/>
          <w:szCs w:val="24"/>
        </w:rPr>
        <w:t>in</w:t>
      </w:r>
      <w:r w:rsidR="00F9575B" w:rsidRPr="009D17A3">
        <w:rPr>
          <w:rFonts w:ascii="Times New Roman" w:hAnsi="Times New Roman"/>
          <w:szCs w:val="24"/>
        </w:rPr>
        <w:t xml:space="preserve"> unknown</w:t>
      </w:r>
      <w:r w:rsidR="00102B5E" w:rsidRPr="009D17A3">
        <w:rPr>
          <w:rFonts w:ascii="Times New Roman" w:hAnsi="Times New Roman"/>
          <w:szCs w:val="24"/>
        </w:rPr>
        <w:t xml:space="preserve">. </w:t>
      </w:r>
      <w:r w:rsidRPr="009D17A3">
        <w:rPr>
          <w:rFonts w:ascii="Times New Roman" w:hAnsi="Times New Roman"/>
          <w:szCs w:val="24"/>
        </w:rPr>
        <w:t xml:space="preserve">Additionally, findings from </w:t>
      </w:r>
      <w:r w:rsidR="00FC4D49" w:rsidRPr="009D17A3">
        <w:rPr>
          <w:rFonts w:ascii="Times New Roman" w:hAnsi="Times New Roman"/>
          <w:szCs w:val="24"/>
        </w:rPr>
        <w:t xml:space="preserve">this cross site </w:t>
      </w:r>
      <w:r w:rsidRPr="009D17A3">
        <w:rPr>
          <w:rFonts w:ascii="Times New Roman" w:hAnsi="Times New Roman"/>
          <w:szCs w:val="24"/>
        </w:rPr>
        <w:t xml:space="preserve">evaluation </w:t>
      </w:r>
      <w:r w:rsidR="00FC4D49" w:rsidRPr="009D17A3">
        <w:rPr>
          <w:rFonts w:ascii="Times New Roman" w:hAnsi="Times New Roman"/>
          <w:szCs w:val="24"/>
        </w:rPr>
        <w:t>will</w:t>
      </w:r>
      <w:r w:rsidRPr="009D17A3">
        <w:rPr>
          <w:rFonts w:ascii="Times New Roman" w:hAnsi="Times New Roman"/>
          <w:szCs w:val="24"/>
        </w:rPr>
        <w:t xml:space="preserve"> assist CSAP policymakers and program developers as they design and </w:t>
      </w:r>
      <w:r w:rsidR="000117F0" w:rsidRPr="009D17A3">
        <w:rPr>
          <w:rFonts w:ascii="Times New Roman" w:hAnsi="Times New Roman"/>
          <w:szCs w:val="24"/>
        </w:rPr>
        <w:t>implement future initiatives.</w:t>
      </w:r>
    </w:p>
    <w:p w:rsidR="00102B5E" w:rsidRPr="009D17A3" w:rsidRDefault="00102B5E" w:rsidP="00E61C99">
      <w:pPr>
        <w:pStyle w:val="Body"/>
        <w:rPr>
          <w:rFonts w:ascii="Times New Roman" w:hAnsi="Times New Roman"/>
          <w:szCs w:val="24"/>
        </w:rPr>
      </w:pPr>
      <w:r w:rsidRPr="009D17A3">
        <w:rPr>
          <w:rFonts w:ascii="Times New Roman" w:hAnsi="Times New Roman"/>
          <w:szCs w:val="24"/>
        </w:rPr>
        <w:t>Information on the</w:t>
      </w:r>
      <w:r w:rsidR="009B4B04" w:rsidRPr="009D17A3">
        <w:rPr>
          <w:rFonts w:ascii="Times New Roman" w:hAnsi="Times New Roman"/>
          <w:szCs w:val="24"/>
        </w:rPr>
        <w:t xml:space="preserve"> two GLIs and </w:t>
      </w:r>
      <w:r w:rsidR="001872E9" w:rsidRPr="009D17A3">
        <w:rPr>
          <w:rFonts w:ascii="Times New Roman" w:hAnsi="Times New Roman"/>
          <w:szCs w:val="24"/>
        </w:rPr>
        <w:t xml:space="preserve">the </w:t>
      </w:r>
      <w:r w:rsidR="009B4B04" w:rsidRPr="009D17A3">
        <w:rPr>
          <w:rFonts w:ascii="Times New Roman" w:hAnsi="Times New Roman"/>
          <w:szCs w:val="24"/>
        </w:rPr>
        <w:t>CLI</w:t>
      </w:r>
      <w:r w:rsidR="001872E9" w:rsidRPr="009D17A3">
        <w:rPr>
          <w:rFonts w:ascii="Times New Roman" w:hAnsi="Times New Roman"/>
          <w:szCs w:val="24"/>
        </w:rPr>
        <w:t xml:space="preserve"> Part I and Part II</w:t>
      </w:r>
      <w:r w:rsidR="009B4B04" w:rsidRPr="009D17A3">
        <w:rPr>
          <w:rFonts w:ascii="Times New Roman" w:hAnsi="Times New Roman"/>
          <w:szCs w:val="24"/>
        </w:rPr>
        <w:t xml:space="preserve"> </w:t>
      </w:r>
      <w:r w:rsidRPr="009D17A3">
        <w:rPr>
          <w:rFonts w:ascii="Times New Roman" w:hAnsi="Times New Roman"/>
          <w:szCs w:val="24"/>
        </w:rPr>
        <w:t>is presented below. SAMHSA is requesting to use the two GLIs and the CLI Parts</w:t>
      </w:r>
      <w:r w:rsidR="00526B02" w:rsidRPr="009D17A3">
        <w:rPr>
          <w:rFonts w:ascii="Times New Roman" w:hAnsi="Times New Roman"/>
          <w:szCs w:val="24"/>
        </w:rPr>
        <w:t xml:space="preserve"> I</w:t>
      </w:r>
      <w:r w:rsidRPr="009D17A3">
        <w:rPr>
          <w:rFonts w:ascii="Times New Roman" w:hAnsi="Times New Roman"/>
          <w:szCs w:val="24"/>
        </w:rPr>
        <w:t xml:space="preserve"> and </w:t>
      </w:r>
      <w:r w:rsidR="00526B02" w:rsidRPr="009D17A3">
        <w:rPr>
          <w:rFonts w:ascii="Times New Roman" w:hAnsi="Times New Roman"/>
          <w:szCs w:val="24"/>
        </w:rPr>
        <w:t>II</w:t>
      </w:r>
      <w:r w:rsidRPr="009D17A3">
        <w:rPr>
          <w:rFonts w:ascii="Times New Roman" w:hAnsi="Times New Roman"/>
          <w:szCs w:val="24"/>
        </w:rPr>
        <w:t xml:space="preserve"> surveys to complete data collection for Cohorts IV and V.</w:t>
      </w:r>
    </w:p>
    <w:p w:rsidR="005A35A6" w:rsidRPr="009D17A3" w:rsidRDefault="00C12097" w:rsidP="00F24C35">
      <w:pPr>
        <w:pStyle w:val="Heading3"/>
        <w:spacing w:before="120" w:line="360" w:lineRule="auto"/>
        <w:rPr>
          <w:rFonts w:ascii="Times New Roman" w:hAnsi="Times New Roman"/>
          <w:b w:val="0"/>
          <w:i w:val="0"/>
          <w:szCs w:val="24"/>
          <w:u w:val="single"/>
        </w:rPr>
      </w:pPr>
      <w:r w:rsidRPr="009D17A3">
        <w:rPr>
          <w:rFonts w:ascii="Times New Roman" w:hAnsi="Times New Roman"/>
          <w:b w:val="0"/>
          <w:i w:val="0"/>
          <w:szCs w:val="24"/>
          <w:u w:val="single"/>
        </w:rPr>
        <w:lastRenderedPageBreak/>
        <w:t xml:space="preserve">A2b1. </w:t>
      </w:r>
      <w:r w:rsidR="001B08B7" w:rsidRPr="009D17A3">
        <w:rPr>
          <w:rFonts w:ascii="Times New Roman" w:hAnsi="Times New Roman"/>
          <w:b w:val="0"/>
          <w:i w:val="0"/>
          <w:szCs w:val="24"/>
          <w:u w:val="single"/>
        </w:rPr>
        <w:t xml:space="preserve">Grantee-Level </w:t>
      </w:r>
      <w:r w:rsidR="009F41F1" w:rsidRPr="009D17A3">
        <w:rPr>
          <w:rFonts w:ascii="Times New Roman" w:hAnsi="Times New Roman"/>
          <w:b w:val="0"/>
          <w:i w:val="0"/>
          <w:szCs w:val="24"/>
          <w:u w:val="single"/>
        </w:rPr>
        <w:t>Instrument</w:t>
      </w:r>
      <w:r w:rsidR="001B08B7" w:rsidRPr="009D17A3">
        <w:rPr>
          <w:rFonts w:ascii="Times New Roman" w:hAnsi="Times New Roman"/>
          <w:b w:val="0"/>
          <w:i w:val="0"/>
          <w:szCs w:val="24"/>
          <w:u w:val="single"/>
        </w:rPr>
        <w:t>s</w:t>
      </w:r>
      <w:r w:rsidR="005B12DF" w:rsidRPr="009D17A3">
        <w:rPr>
          <w:rFonts w:ascii="Times New Roman" w:hAnsi="Times New Roman"/>
          <w:b w:val="0"/>
          <w:i w:val="0"/>
          <w:szCs w:val="24"/>
          <w:u w:val="single"/>
        </w:rPr>
        <w:t xml:space="preserve"> (GLI)</w:t>
      </w:r>
    </w:p>
    <w:p w:rsidR="00ED3382" w:rsidRPr="009D17A3" w:rsidRDefault="00204BF9" w:rsidP="00246EAF">
      <w:pPr>
        <w:pStyle w:val="Body"/>
        <w:rPr>
          <w:rFonts w:ascii="Times New Roman" w:hAnsi="Times New Roman"/>
          <w:szCs w:val="24"/>
        </w:rPr>
      </w:pPr>
      <w:r w:rsidRPr="009D17A3">
        <w:rPr>
          <w:rFonts w:ascii="Times New Roman" w:hAnsi="Times New Roman"/>
          <w:szCs w:val="24"/>
        </w:rPr>
        <w:t xml:space="preserve">Two </w:t>
      </w:r>
      <w:r w:rsidR="00D30127" w:rsidRPr="009D17A3">
        <w:rPr>
          <w:rFonts w:ascii="Times New Roman" w:hAnsi="Times New Roman"/>
          <w:szCs w:val="24"/>
        </w:rPr>
        <w:t>web-based surveys</w:t>
      </w:r>
      <w:r w:rsidRPr="009D17A3">
        <w:rPr>
          <w:rFonts w:ascii="Times New Roman" w:hAnsi="Times New Roman"/>
          <w:szCs w:val="24"/>
        </w:rPr>
        <w:t xml:space="preserve">, </w:t>
      </w:r>
      <w:r w:rsidR="009B4B04" w:rsidRPr="009D17A3">
        <w:rPr>
          <w:rFonts w:ascii="Times New Roman" w:hAnsi="Times New Roman"/>
          <w:szCs w:val="24"/>
        </w:rPr>
        <w:t xml:space="preserve">the </w:t>
      </w:r>
      <w:r w:rsidR="005B12DF" w:rsidRPr="009D17A3">
        <w:rPr>
          <w:rFonts w:ascii="Times New Roman" w:hAnsi="Times New Roman"/>
          <w:szCs w:val="24"/>
        </w:rPr>
        <w:t>GLI</w:t>
      </w:r>
      <w:r w:rsidRPr="009D17A3">
        <w:rPr>
          <w:rFonts w:ascii="Times New Roman" w:hAnsi="Times New Roman"/>
          <w:szCs w:val="24"/>
        </w:rPr>
        <w:t xml:space="preserve"> </w:t>
      </w:r>
      <w:r w:rsidR="005B12DF" w:rsidRPr="009D17A3">
        <w:rPr>
          <w:rFonts w:ascii="Times New Roman" w:hAnsi="Times New Roman"/>
          <w:szCs w:val="24"/>
        </w:rPr>
        <w:t>Infrastructure</w:t>
      </w:r>
      <w:r w:rsidRPr="009D17A3">
        <w:rPr>
          <w:rFonts w:ascii="Times New Roman" w:hAnsi="Times New Roman"/>
          <w:szCs w:val="24"/>
        </w:rPr>
        <w:t xml:space="preserve"> </w:t>
      </w:r>
      <w:r w:rsidR="007702EA" w:rsidRPr="009D17A3">
        <w:rPr>
          <w:rFonts w:ascii="Times New Roman" w:hAnsi="Times New Roman"/>
          <w:szCs w:val="24"/>
        </w:rPr>
        <w:t xml:space="preserve">Instrument </w:t>
      </w:r>
      <w:r w:rsidRPr="009D17A3">
        <w:rPr>
          <w:rFonts w:ascii="Times New Roman" w:hAnsi="Times New Roman"/>
          <w:szCs w:val="24"/>
        </w:rPr>
        <w:t xml:space="preserve">and </w:t>
      </w:r>
      <w:r w:rsidR="009B4B04" w:rsidRPr="009D17A3">
        <w:rPr>
          <w:rFonts w:ascii="Times New Roman" w:hAnsi="Times New Roman"/>
          <w:szCs w:val="24"/>
        </w:rPr>
        <w:t xml:space="preserve">the </w:t>
      </w:r>
      <w:r w:rsidR="005B12DF" w:rsidRPr="009D17A3">
        <w:rPr>
          <w:rFonts w:ascii="Times New Roman" w:hAnsi="Times New Roman"/>
          <w:szCs w:val="24"/>
        </w:rPr>
        <w:t>GLI</w:t>
      </w:r>
      <w:r w:rsidRPr="009D17A3">
        <w:rPr>
          <w:rFonts w:ascii="Times New Roman" w:hAnsi="Times New Roman"/>
          <w:szCs w:val="24"/>
        </w:rPr>
        <w:t xml:space="preserve"> </w:t>
      </w:r>
      <w:r w:rsidR="005B12DF" w:rsidRPr="009D17A3">
        <w:rPr>
          <w:rFonts w:ascii="Times New Roman" w:hAnsi="Times New Roman"/>
          <w:szCs w:val="24"/>
        </w:rPr>
        <w:t>Implementation</w:t>
      </w:r>
      <w:r w:rsidRPr="009D17A3">
        <w:rPr>
          <w:rFonts w:ascii="Times New Roman" w:hAnsi="Times New Roman"/>
          <w:szCs w:val="24"/>
        </w:rPr>
        <w:t xml:space="preserve"> </w:t>
      </w:r>
      <w:r w:rsidR="007702EA" w:rsidRPr="009D17A3">
        <w:rPr>
          <w:rFonts w:ascii="Times New Roman" w:hAnsi="Times New Roman"/>
          <w:szCs w:val="24"/>
        </w:rPr>
        <w:t>Instrument</w:t>
      </w:r>
      <w:r w:rsidR="004125CE" w:rsidRPr="009D17A3">
        <w:rPr>
          <w:rFonts w:ascii="Times New Roman" w:hAnsi="Times New Roman"/>
          <w:szCs w:val="24"/>
        </w:rPr>
        <w:t>,</w:t>
      </w:r>
      <w:r w:rsidRPr="009D17A3">
        <w:rPr>
          <w:rFonts w:ascii="Times New Roman" w:hAnsi="Times New Roman"/>
          <w:szCs w:val="24"/>
        </w:rPr>
        <w:t xml:space="preserve"> were developed for assessing grantee-level efforts and progress</w:t>
      </w:r>
      <w:r w:rsidR="00221611" w:rsidRPr="009D17A3">
        <w:rPr>
          <w:rFonts w:ascii="Times New Roman" w:hAnsi="Times New Roman"/>
          <w:szCs w:val="24"/>
        </w:rPr>
        <w:t xml:space="preserve"> (</w:t>
      </w:r>
      <w:r w:rsidR="00246EAF" w:rsidRPr="009D17A3">
        <w:rPr>
          <w:rFonts w:ascii="Times New Roman" w:hAnsi="Times New Roman"/>
          <w:szCs w:val="24"/>
        </w:rPr>
        <w:t xml:space="preserve">see </w:t>
      </w:r>
      <w:r w:rsidR="00221611" w:rsidRPr="009D17A3">
        <w:rPr>
          <w:rFonts w:ascii="Times New Roman" w:hAnsi="Times New Roman"/>
          <w:szCs w:val="24"/>
        </w:rPr>
        <w:t>Attachment</w:t>
      </w:r>
      <w:r w:rsidR="00C861C4" w:rsidRPr="009D17A3">
        <w:rPr>
          <w:rFonts w:ascii="Times New Roman" w:hAnsi="Times New Roman"/>
          <w:szCs w:val="24"/>
        </w:rPr>
        <w:t>s</w:t>
      </w:r>
      <w:r w:rsidR="00850A44" w:rsidRPr="009D17A3">
        <w:rPr>
          <w:rFonts w:ascii="Times New Roman" w:hAnsi="Times New Roman"/>
          <w:szCs w:val="24"/>
        </w:rPr>
        <w:t xml:space="preserve"> </w:t>
      </w:r>
      <w:r w:rsidR="00EC4CDA" w:rsidRPr="009D17A3">
        <w:rPr>
          <w:rFonts w:ascii="Times New Roman" w:hAnsi="Times New Roman"/>
          <w:szCs w:val="24"/>
        </w:rPr>
        <w:t>A</w:t>
      </w:r>
      <w:r w:rsidR="00A25EE7" w:rsidRPr="009D17A3">
        <w:rPr>
          <w:rFonts w:ascii="Times New Roman" w:hAnsi="Times New Roman"/>
          <w:szCs w:val="24"/>
        </w:rPr>
        <w:t>1</w:t>
      </w:r>
      <w:r w:rsidR="00A5364F" w:rsidRPr="009D17A3">
        <w:rPr>
          <w:rFonts w:ascii="Times New Roman" w:hAnsi="Times New Roman"/>
          <w:szCs w:val="24"/>
        </w:rPr>
        <w:t xml:space="preserve">a </w:t>
      </w:r>
      <w:r w:rsidR="0056609A" w:rsidRPr="009D17A3">
        <w:rPr>
          <w:rFonts w:ascii="Times New Roman" w:hAnsi="Times New Roman"/>
          <w:szCs w:val="24"/>
        </w:rPr>
        <w:t>and</w:t>
      </w:r>
      <w:r w:rsidR="00850A44" w:rsidRPr="009D17A3">
        <w:rPr>
          <w:rFonts w:ascii="Times New Roman" w:hAnsi="Times New Roman"/>
          <w:szCs w:val="24"/>
        </w:rPr>
        <w:t xml:space="preserve"> </w:t>
      </w:r>
      <w:r w:rsidR="00EC4CDA" w:rsidRPr="009D17A3">
        <w:rPr>
          <w:rFonts w:ascii="Times New Roman" w:hAnsi="Times New Roman"/>
          <w:szCs w:val="24"/>
        </w:rPr>
        <w:t>A</w:t>
      </w:r>
      <w:r w:rsidR="00A25EE7" w:rsidRPr="009D17A3">
        <w:rPr>
          <w:rFonts w:ascii="Times New Roman" w:hAnsi="Times New Roman"/>
          <w:szCs w:val="24"/>
        </w:rPr>
        <w:t>1</w:t>
      </w:r>
      <w:r w:rsidR="00A5364F" w:rsidRPr="009D17A3">
        <w:rPr>
          <w:rFonts w:ascii="Times New Roman" w:hAnsi="Times New Roman"/>
          <w:szCs w:val="24"/>
        </w:rPr>
        <w:t>b</w:t>
      </w:r>
      <w:r w:rsidR="00C861C4" w:rsidRPr="009D17A3">
        <w:rPr>
          <w:rFonts w:ascii="Times New Roman" w:hAnsi="Times New Roman"/>
          <w:szCs w:val="24"/>
        </w:rPr>
        <w:t>)</w:t>
      </w:r>
      <w:r w:rsidRPr="009D17A3">
        <w:rPr>
          <w:rFonts w:ascii="Times New Roman" w:hAnsi="Times New Roman"/>
          <w:szCs w:val="24"/>
        </w:rPr>
        <w:t xml:space="preserve">. </w:t>
      </w:r>
      <w:r w:rsidR="00981E4B" w:rsidRPr="009D17A3">
        <w:rPr>
          <w:rFonts w:ascii="Times New Roman" w:hAnsi="Times New Roman"/>
          <w:szCs w:val="24"/>
        </w:rPr>
        <w:t>More specifically, t</w:t>
      </w:r>
      <w:r w:rsidR="00301ADE" w:rsidRPr="009D17A3">
        <w:rPr>
          <w:rFonts w:ascii="Times New Roman" w:hAnsi="Times New Roman"/>
          <w:szCs w:val="24"/>
        </w:rPr>
        <w:t>he</w:t>
      </w:r>
      <w:r w:rsidR="00981E4B" w:rsidRPr="009D17A3">
        <w:rPr>
          <w:rFonts w:ascii="Times New Roman" w:hAnsi="Times New Roman"/>
          <w:szCs w:val="24"/>
        </w:rPr>
        <w:t xml:space="preserve"> </w:t>
      </w:r>
      <w:r w:rsidR="009B4B04" w:rsidRPr="009D17A3">
        <w:rPr>
          <w:rFonts w:ascii="Times New Roman" w:hAnsi="Times New Roman"/>
          <w:szCs w:val="24"/>
        </w:rPr>
        <w:t xml:space="preserve">two </w:t>
      </w:r>
      <w:r w:rsidR="00ED3382" w:rsidRPr="009D17A3">
        <w:rPr>
          <w:rFonts w:ascii="Times New Roman" w:hAnsi="Times New Roman"/>
          <w:szCs w:val="24"/>
        </w:rPr>
        <w:t>GLI</w:t>
      </w:r>
      <w:r w:rsidR="00526B02" w:rsidRPr="009D17A3">
        <w:rPr>
          <w:rFonts w:ascii="Times New Roman" w:hAnsi="Times New Roman"/>
          <w:szCs w:val="24"/>
        </w:rPr>
        <w:t xml:space="preserve">s </w:t>
      </w:r>
      <w:r w:rsidR="00E21463" w:rsidRPr="009D17A3">
        <w:rPr>
          <w:rFonts w:ascii="Times New Roman" w:hAnsi="Times New Roman"/>
          <w:szCs w:val="24"/>
        </w:rPr>
        <w:t>were developed to</w:t>
      </w:r>
      <w:r w:rsidR="00EC70EC" w:rsidRPr="009D17A3">
        <w:rPr>
          <w:rFonts w:ascii="Times New Roman" w:hAnsi="Times New Roman"/>
          <w:szCs w:val="24"/>
        </w:rPr>
        <w:t>:</w:t>
      </w:r>
      <w:r w:rsidR="00E21463" w:rsidRPr="009D17A3">
        <w:rPr>
          <w:rFonts w:ascii="Times New Roman" w:hAnsi="Times New Roman"/>
          <w:szCs w:val="24"/>
        </w:rPr>
        <w:t xml:space="preserve"> </w:t>
      </w:r>
      <w:r w:rsidR="001872E9" w:rsidRPr="009D17A3">
        <w:rPr>
          <w:rFonts w:ascii="Times New Roman" w:hAnsi="Times New Roman"/>
          <w:szCs w:val="24"/>
        </w:rPr>
        <w:t xml:space="preserve">a) </w:t>
      </w:r>
      <w:r w:rsidR="00E21463" w:rsidRPr="009D17A3">
        <w:rPr>
          <w:rFonts w:ascii="Times New Roman" w:hAnsi="Times New Roman"/>
          <w:szCs w:val="24"/>
        </w:rPr>
        <w:t xml:space="preserve">assess </w:t>
      </w:r>
      <w:r w:rsidR="00301ADE" w:rsidRPr="009D17A3">
        <w:rPr>
          <w:rFonts w:ascii="Times New Roman" w:hAnsi="Times New Roman"/>
          <w:szCs w:val="24"/>
        </w:rPr>
        <w:t xml:space="preserve">pre-SPF capacity and resources; </w:t>
      </w:r>
      <w:r w:rsidR="001872E9" w:rsidRPr="009D17A3">
        <w:rPr>
          <w:rFonts w:ascii="Times New Roman" w:hAnsi="Times New Roman"/>
          <w:szCs w:val="24"/>
        </w:rPr>
        <w:t xml:space="preserve">b) </w:t>
      </w:r>
      <w:r w:rsidR="00301ADE" w:rsidRPr="009D17A3">
        <w:rPr>
          <w:rFonts w:ascii="Times New Roman" w:hAnsi="Times New Roman"/>
          <w:szCs w:val="24"/>
        </w:rPr>
        <w:t>demonstrate processes for lever</w:t>
      </w:r>
      <w:r w:rsidR="00ED3382" w:rsidRPr="009D17A3">
        <w:rPr>
          <w:rFonts w:ascii="Times New Roman" w:hAnsi="Times New Roman"/>
          <w:szCs w:val="24"/>
        </w:rPr>
        <w:t>ag</w:t>
      </w:r>
      <w:r w:rsidR="00301ADE" w:rsidRPr="009D17A3">
        <w:rPr>
          <w:rFonts w:ascii="Times New Roman" w:hAnsi="Times New Roman"/>
          <w:szCs w:val="24"/>
        </w:rPr>
        <w:t xml:space="preserve">ing, realigning, and redirecting resources; </w:t>
      </w:r>
      <w:r w:rsidR="001872E9" w:rsidRPr="009D17A3">
        <w:rPr>
          <w:rFonts w:ascii="Times New Roman" w:hAnsi="Times New Roman"/>
          <w:szCs w:val="24"/>
        </w:rPr>
        <w:t xml:space="preserve">c) </w:t>
      </w:r>
      <w:r w:rsidR="00301ADE" w:rsidRPr="009D17A3">
        <w:rPr>
          <w:rFonts w:ascii="Times New Roman" w:hAnsi="Times New Roman"/>
          <w:szCs w:val="24"/>
        </w:rPr>
        <w:t>describe how data are managed for performance monitoring</w:t>
      </w:r>
      <w:r w:rsidR="00981E4B" w:rsidRPr="009D17A3">
        <w:rPr>
          <w:rFonts w:ascii="Times New Roman" w:hAnsi="Times New Roman"/>
          <w:szCs w:val="24"/>
        </w:rPr>
        <w:t xml:space="preserve">; </w:t>
      </w:r>
      <w:r w:rsidR="001872E9" w:rsidRPr="009D17A3">
        <w:rPr>
          <w:rFonts w:ascii="Times New Roman" w:hAnsi="Times New Roman"/>
          <w:szCs w:val="24"/>
        </w:rPr>
        <w:t xml:space="preserve">d) </w:t>
      </w:r>
      <w:r w:rsidR="00301ADE" w:rsidRPr="009D17A3">
        <w:rPr>
          <w:rFonts w:ascii="Times New Roman" w:hAnsi="Times New Roman"/>
          <w:szCs w:val="24"/>
        </w:rPr>
        <w:t>provide indicators of move</w:t>
      </w:r>
      <w:r w:rsidR="00ED3382" w:rsidRPr="009D17A3">
        <w:rPr>
          <w:rFonts w:ascii="Times New Roman" w:hAnsi="Times New Roman"/>
          <w:szCs w:val="24"/>
        </w:rPr>
        <w:t>ment th</w:t>
      </w:r>
      <w:r w:rsidR="00301ADE" w:rsidRPr="009D17A3">
        <w:rPr>
          <w:rFonts w:ascii="Times New Roman" w:hAnsi="Times New Roman"/>
          <w:szCs w:val="24"/>
        </w:rPr>
        <w:t>rough the different steps of the SPF</w:t>
      </w:r>
      <w:r w:rsidR="00981E4B" w:rsidRPr="009D17A3">
        <w:rPr>
          <w:rFonts w:ascii="Times New Roman" w:hAnsi="Times New Roman"/>
          <w:szCs w:val="24"/>
        </w:rPr>
        <w:t>;</w:t>
      </w:r>
      <w:r w:rsidR="00ED3382" w:rsidRPr="009D17A3">
        <w:rPr>
          <w:rFonts w:ascii="Times New Roman" w:hAnsi="Times New Roman"/>
          <w:szCs w:val="24"/>
        </w:rPr>
        <w:t xml:space="preserve"> and</w:t>
      </w:r>
      <w:r w:rsidR="00301ADE" w:rsidRPr="009D17A3">
        <w:rPr>
          <w:rFonts w:ascii="Times New Roman" w:hAnsi="Times New Roman"/>
          <w:szCs w:val="24"/>
        </w:rPr>
        <w:t xml:space="preserve"> </w:t>
      </w:r>
      <w:r w:rsidR="001872E9" w:rsidRPr="009D17A3">
        <w:rPr>
          <w:rFonts w:ascii="Times New Roman" w:hAnsi="Times New Roman"/>
          <w:szCs w:val="24"/>
        </w:rPr>
        <w:t>e) gather information to</w:t>
      </w:r>
      <w:r w:rsidR="00981E4B" w:rsidRPr="009D17A3">
        <w:rPr>
          <w:rFonts w:ascii="Times New Roman" w:hAnsi="Times New Roman"/>
          <w:szCs w:val="24"/>
        </w:rPr>
        <w:t xml:space="preserve"> explain t</w:t>
      </w:r>
      <w:r w:rsidR="00301ADE" w:rsidRPr="009D17A3">
        <w:rPr>
          <w:rFonts w:ascii="Times New Roman" w:hAnsi="Times New Roman"/>
          <w:szCs w:val="24"/>
        </w:rPr>
        <w:t xml:space="preserve">he relationship between SPF implementation and targeted outcomes. </w:t>
      </w:r>
      <w:r w:rsidR="00772EEB" w:rsidRPr="009D17A3">
        <w:rPr>
          <w:rFonts w:ascii="Times New Roman" w:hAnsi="Times New Roman"/>
          <w:szCs w:val="24"/>
        </w:rPr>
        <w:t xml:space="preserve"> </w:t>
      </w:r>
    </w:p>
    <w:p w:rsidR="00772EEB" w:rsidRPr="009D17A3" w:rsidRDefault="00ED3382" w:rsidP="00246EAF">
      <w:pPr>
        <w:pStyle w:val="Body"/>
        <w:rPr>
          <w:rFonts w:ascii="Times New Roman" w:hAnsi="Times New Roman"/>
          <w:szCs w:val="24"/>
        </w:rPr>
      </w:pPr>
      <w:r w:rsidRPr="009D17A3">
        <w:rPr>
          <w:rFonts w:ascii="Times New Roman" w:hAnsi="Times New Roman"/>
          <w:szCs w:val="24"/>
        </w:rPr>
        <w:t xml:space="preserve">The </w:t>
      </w:r>
      <w:r w:rsidR="007D3419" w:rsidRPr="009D17A3">
        <w:rPr>
          <w:rFonts w:ascii="Times New Roman" w:hAnsi="Times New Roman"/>
          <w:szCs w:val="24"/>
        </w:rPr>
        <w:t xml:space="preserve">GLI </w:t>
      </w:r>
      <w:r w:rsidR="00E21463" w:rsidRPr="009D17A3">
        <w:rPr>
          <w:rFonts w:ascii="Times New Roman" w:hAnsi="Times New Roman"/>
          <w:szCs w:val="24"/>
        </w:rPr>
        <w:t xml:space="preserve">Infrastructure </w:t>
      </w:r>
      <w:r w:rsidR="00FD5AED" w:rsidRPr="009D17A3">
        <w:rPr>
          <w:rFonts w:ascii="Times New Roman" w:hAnsi="Times New Roman"/>
          <w:szCs w:val="24"/>
        </w:rPr>
        <w:t>Instrument</w:t>
      </w:r>
      <w:r w:rsidR="00772EEB" w:rsidRPr="009D17A3">
        <w:rPr>
          <w:rFonts w:ascii="Times New Roman" w:hAnsi="Times New Roman"/>
          <w:szCs w:val="24"/>
        </w:rPr>
        <w:t xml:space="preserve"> is a web based</w:t>
      </w:r>
      <w:r w:rsidRPr="009D17A3">
        <w:rPr>
          <w:rFonts w:ascii="Times New Roman" w:hAnsi="Times New Roman"/>
          <w:szCs w:val="24"/>
        </w:rPr>
        <w:t xml:space="preserve"> survey</w:t>
      </w:r>
      <w:r w:rsidR="00772EEB" w:rsidRPr="009D17A3">
        <w:rPr>
          <w:rFonts w:ascii="Times New Roman" w:hAnsi="Times New Roman"/>
          <w:szCs w:val="24"/>
        </w:rPr>
        <w:t xml:space="preserve"> that is completed by the grantee when the award is made and again during the fifth year of the SPF</w:t>
      </w:r>
      <w:r w:rsidR="007D3419" w:rsidRPr="009D17A3">
        <w:rPr>
          <w:rFonts w:ascii="Times New Roman" w:hAnsi="Times New Roman"/>
          <w:szCs w:val="24"/>
        </w:rPr>
        <w:t xml:space="preserve">. </w:t>
      </w:r>
      <w:r w:rsidR="008432E8" w:rsidRPr="009D17A3">
        <w:rPr>
          <w:rFonts w:ascii="Times New Roman" w:hAnsi="Times New Roman"/>
          <w:szCs w:val="24"/>
        </w:rPr>
        <w:t>Baseline data after award has already been collected</w:t>
      </w:r>
      <w:r w:rsidR="00F105EC" w:rsidRPr="009D17A3">
        <w:rPr>
          <w:rFonts w:ascii="Times New Roman" w:hAnsi="Times New Roman"/>
          <w:szCs w:val="24"/>
        </w:rPr>
        <w:t xml:space="preserve">. </w:t>
      </w:r>
    </w:p>
    <w:p w:rsidR="00E21463" w:rsidRPr="009D17A3" w:rsidRDefault="005E02FB" w:rsidP="00246EAF">
      <w:pPr>
        <w:pStyle w:val="Body"/>
        <w:rPr>
          <w:rFonts w:ascii="Times New Roman" w:hAnsi="Times New Roman"/>
          <w:szCs w:val="24"/>
        </w:rPr>
      </w:pPr>
      <w:r w:rsidRPr="009D17A3">
        <w:rPr>
          <w:rFonts w:ascii="Times New Roman" w:hAnsi="Times New Roman"/>
          <w:szCs w:val="24"/>
        </w:rPr>
        <w:t xml:space="preserve">The GLI Implementation </w:t>
      </w:r>
      <w:r w:rsidR="00FD5AED" w:rsidRPr="009D17A3">
        <w:rPr>
          <w:rFonts w:ascii="Times New Roman" w:hAnsi="Times New Roman"/>
          <w:szCs w:val="24"/>
        </w:rPr>
        <w:t>Instrument</w:t>
      </w:r>
      <w:r w:rsidRPr="009D17A3">
        <w:rPr>
          <w:rFonts w:ascii="Times New Roman" w:hAnsi="Times New Roman"/>
          <w:szCs w:val="24"/>
        </w:rPr>
        <w:t xml:space="preserve"> is first completed immediately after CSAP’s Division of State Programs approves the grantee’s strategic plan. </w:t>
      </w:r>
      <w:r w:rsidR="00A64145" w:rsidRPr="009D17A3">
        <w:rPr>
          <w:rFonts w:ascii="Times New Roman" w:hAnsi="Times New Roman"/>
          <w:szCs w:val="24"/>
        </w:rPr>
        <w:t xml:space="preserve">The instrument is administered again approximately 36 months after approval of the strategic plan.  </w:t>
      </w:r>
      <w:r w:rsidRPr="009D17A3">
        <w:rPr>
          <w:rFonts w:ascii="Times New Roman" w:hAnsi="Times New Roman"/>
          <w:szCs w:val="24"/>
        </w:rPr>
        <w:t xml:space="preserve">The GLI </w:t>
      </w:r>
      <w:r w:rsidR="00FD5AED" w:rsidRPr="009D17A3">
        <w:rPr>
          <w:rFonts w:ascii="Times New Roman" w:hAnsi="Times New Roman"/>
          <w:szCs w:val="24"/>
        </w:rPr>
        <w:t>I</w:t>
      </w:r>
      <w:r w:rsidRPr="009D17A3">
        <w:rPr>
          <w:rFonts w:ascii="Times New Roman" w:hAnsi="Times New Roman"/>
          <w:szCs w:val="24"/>
        </w:rPr>
        <w:t>mp</w:t>
      </w:r>
      <w:r w:rsidR="002F57E8" w:rsidRPr="009D17A3">
        <w:rPr>
          <w:rFonts w:ascii="Times New Roman" w:hAnsi="Times New Roman"/>
          <w:szCs w:val="24"/>
        </w:rPr>
        <w:t xml:space="preserve">lementation </w:t>
      </w:r>
      <w:r w:rsidR="00526B02" w:rsidRPr="009D17A3">
        <w:rPr>
          <w:rFonts w:ascii="Times New Roman" w:hAnsi="Times New Roman"/>
          <w:szCs w:val="24"/>
        </w:rPr>
        <w:t>Instrument</w:t>
      </w:r>
      <w:r w:rsidR="002F57E8" w:rsidRPr="009D17A3">
        <w:rPr>
          <w:rFonts w:ascii="Times New Roman" w:hAnsi="Times New Roman"/>
          <w:szCs w:val="24"/>
        </w:rPr>
        <w:t xml:space="preserve"> </w:t>
      </w:r>
      <w:r w:rsidRPr="009D17A3">
        <w:rPr>
          <w:rFonts w:ascii="Times New Roman" w:hAnsi="Times New Roman"/>
          <w:szCs w:val="24"/>
        </w:rPr>
        <w:t xml:space="preserve">collects information specific to the execution of the five steps that comprise the </w:t>
      </w:r>
      <w:r w:rsidR="00FD5AED" w:rsidRPr="009D17A3">
        <w:rPr>
          <w:rFonts w:ascii="Times New Roman" w:hAnsi="Times New Roman"/>
          <w:szCs w:val="24"/>
        </w:rPr>
        <w:t>SPF</w:t>
      </w:r>
      <w:r w:rsidR="00872C3C" w:rsidRPr="009D17A3">
        <w:rPr>
          <w:rFonts w:ascii="Times New Roman" w:hAnsi="Times New Roman"/>
          <w:szCs w:val="24"/>
        </w:rPr>
        <w:t xml:space="preserve"> and </w:t>
      </w:r>
      <w:r w:rsidR="009A6449" w:rsidRPr="009D17A3">
        <w:rPr>
          <w:rFonts w:ascii="Times New Roman" w:hAnsi="Times New Roman"/>
          <w:szCs w:val="24"/>
        </w:rPr>
        <w:t xml:space="preserve">is </w:t>
      </w:r>
      <w:r w:rsidR="00E21463" w:rsidRPr="009D17A3">
        <w:rPr>
          <w:rFonts w:ascii="Times New Roman" w:hAnsi="Times New Roman"/>
          <w:szCs w:val="24"/>
        </w:rPr>
        <w:t xml:space="preserve">limited to </w:t>
      </w:r>
      <w:r w:rsidR="008D13B4" w:rsidRPr="009D17A3">
        <w:rPr>
          <w:rFonts w:ascii="Times New Roman" w:hAnsi="Times New Roman"/>
          <w:szCs w:val="24"/>
        </w:rPr>
        <w:t xml:space="preserve">assessing </w:t>
      </w:r>
      <w:r w:rsidR="00E21463" w:rsidRPr="009D17A3">
        <w:rPr>
          <w:rFonts w:ascii="Times New Roman" w:hAnsi="Times New Roman"/>
          <w:szCs w:val="24"/>
        </w:rPr>
        <w:t>actions that have occurred as a direct result of the SPF</w:t>
      </w:r>
      <w:r w:rsidR="002F57E8" w:rsidRPr="009D17A3">
        <w:rPr>
          <w:rFonts w:ascii="Times New Roman" w:hAnsi="Times New Roman"/>
          <w:szCs w:val="24"/>
        </w:rPr>
        <w:t xml:space="preserve">.  </w:t>
      </w:r>
    </w:p>
    <w:p w:rsidR="00E21463" w:rsidRPr="009D17A3" w:rsidRDefault="00E21463" w:rsidP="00F24C35">
      <w:pPr>
        <w:pStyle w:val="Body"/>
        <w:rPr>
          <w:rFonts w:ascii="Times New Roman" w:hAnsi="Times New Roman"/>
          <w:szCs w:val="24"/>
        </w:rPr>
      </w:pPr>
      <w:r w:rsidRPr="009D17A3">
        <w:rPr>
          <w:rFonts w:ascii="Times New Roman" w:hAnsi="Times New Roman"/>
          <w:szCs w:val="24"/>
        </w:rPr>
        <w:t xml:space="preserve">Both the </w:t>
      </w:r>
      <w:r w:rsidR="00526B02" w:rsidRPr="009D17A3">
        <w:rPr>
          <w:rFonts w:ascii="Times New Roman" w:hAnsi="Times New Roman"/>
          <w:szCs w:val="24"/>
        </w:rPr>
        <w:t xml:space="preserve">GLI </w:t>
      </w:r>
      <w:r w:rsidRPr="009D17A3">
        <w:rPr>
          <w:rFonts w:ascii="Times New Roman" w:hAnsi="Times New Roman"/>
          <w:szCs w:val="24"/>
        </w:rPr>
        <w:t xml:space="preserve">Infrastructure </w:t>
      </w:r>
      <w:r w:rsidR="007702EA" w:rsidRPr="009D17A3">
        <w:rPr>
          <w:rFonts w:ascii="Times New Roman" w:hAnsi="Times New Roman"/>
          <w:szCs w:val="24"/>
        </w:rPr>
        <w:t>Instrument</w:t>
      </w:r>
      <w:r w:rsidRPr="009D17A3">
        <w:rPr>
          <w:rFonts w:ascii="Times New Roman" w:hAnsi="Times New Roman"/>
          <w:szCs w:val="24"/>
        </w:rPr>
        <w:t xml:space="preserve"> and </w:t>
      </w:r>
      <w:r w:rsidR="00A1310E" w:rsidRPr="009D17A3">
        <w:rPr>
          <w:rFonts w:ascii="Times New Roman" w:hAnsi="Times New Roman"/>
          <w:szCs w:val="24"/>
        </w:rPr>
        <w:t xml:space="preserve">the </w:t>
      </w:r>
      <w:r w:rsidR="00526B02" w:rsidRPr="009D17A3">
        <w:rPr>
          <w:rFonts w:ascii="Times New Roman" w:hAnsi="Times New Roman"/>
          <w:szCs w:val="24"/>
        </w:rPr>
        <w:t>GLI Imp</w:t>
      </w:r>
      <w:r w:rsidR="00A1310E" w:rsidRPr="009D17A3">
        <w:rPr>
          <w:rFonts w:ascii="Times New Roman" w:hAnsi="Times New Roman"/>
          <w:szCs w:val="24"/>
        </w:rPr>
        <w:t xml:space="preserve">lementation </w:t>
      </w:r>
      <w:r w:rsidR="007702EA" w:rsidRPr="009D17A3">
        <w:rPr>
          <w:rFonts w:ascii="Times New Roman" w:hAnsi="Times New Roman"/>
          <w:szCs w:val="24"/>
        </w:rPr>
        <w:t xml:space="preserve">Instrument </w:t>
      </w:r>
      <w:r w:rsidR="00FC74A4" w:rsidRPr="009D17A3">
        <w:rPr>
          <w:rFonts w:ascii="Times New Roman" w:hAnsi="Times New Roman"/>
          <w:szCs w:val="24"/>
        </w:rPr>
        <w:t>are</w:t>
      </w:r>
      <w:r w:rsidRPr="009D17A3">
        <w:rPr>
          <w:rFonts w:ascii="Times New Roman" w:hAnsi="Times New Roman"/>
          <w:szCs w:val="24"/>
        </w:rPr>
        <w:t xml:space="preserve"> completed by the grantees’ evaluators twice over the life of the SPF SIG award. Detailed administration Question by Quest</w:t>
      </w:r>
      <w:r w:rsidR="005B12DF" w:rsidRPr="009D17A3">
        <w:rPr>
          <w:rFonts w:ascii="Times New Roman" w:hAnsi="Times New Roman"/>
          <w:szCs w:val="24"/>
        </w:rPr>
        <w:t xml:space="preserve">ion </w:t>
      </w:r>
      <w:r w:rsidR="00FD5AED" w:rsidRPr="009D17A3">
        <w:rPr>
          <w:rFonts w:ascii="Times New Roman" w:hAnsi="Times New Roman"/>
          <w:szCs w:val="24"/>
        </w:rPr>
        <w:t>g</w:t>
      </w:r>
      <w:r w:rsidRPr="009D17A3">
        <w:rPr>
          <w:rFonts w:ascii="Times New Roman" w:hAnsi="Times New Roman"/>
          <w:szCs w:val="24"/>
        </w:rPr>
        <w:t xml:space="preserve">uides </w:t>
      </w:r>
      <w:r w:rsidR="00FC74A4" w:rsidRPr="009D17A3">
        <w:rPr>
          <w:rFonts w:ascii="Times New Roman" w:hAnsi="Times New Roman"/>
          <w:szCs w:val="24"/>
        </w:rPr>
        <w:t>were</w:t>
      </w:r>
      <w:r w:rsidRPr="009D17A3">
        <w:rPr>
          <w:rFonts w:ascii="Times New Roman" w:hAnsi="Times New Roman"/>
          <w:szCs w:val="24"/>
        </w:rPr>
        <w:t xml:space="preserve"> developed to help improve the reliability and validity of the data collected</w:t>
      </w:r>
      <w:r w:rsidR="008410DF" w:rsidRPr="009D17A3">
        <w:rPr>
          <w:rFonts w:ascii="Times New Roman" w:hAnsi="Times New Roman"/>
          <w:szCs w:val="24"/>
        </w:rPr>
        <w:t>,</w:t>
      </w:r>
      <w:r w:rsidRPr="009D17A3">
        <w:rPr>
          <w:rFonts w:ascii="Times New Roman" w:hAnsi="Times New Roman"/>
          <w:szCs w:val="24"/>
        </w:rPr>
        <w:t xml:space="preserve"> thereby ensuring </w:t>
      </w:r>
      <w:r w:rsidR="008410DF" w:rsidRPr="009D17A3">
        <w:rPr>
          <w:rFonts w:ascii="Times New Roman" w:hAnsi="Times New Roman"/>
          <w:szCs w:val="24"/>
        </w:rPr>
        <w:t>high-</w:t>
      </w:r>
      <w:r w:rsidRPr="009D17A3">
        <w:rPr>
          <w:rFonts w:ascii="Times New Roman" w:hAnsi="Times New Roman"/>
          <w:szCs w:val="24"/>
        </w:rPr>
        <w:t>quality data with which to evaluate grantee-level progress.</w:t>
      </w:r>
    </w:p>
    <w:p w:rsidR="005A35A6" w:rsidRPr="009D17A3" w:rsidRDefault="002D7BAF" w:rsidP="009D17A3">
      <w:pPr>
        <w:pStyle w:val="Heading3"/>
        <w:spacing w:line="360" w:lineRule="auto"/>
        <w:rPr>
          <w:rFonts w:ascii="Times New Roman" w:hAnsi="Times New Roman"/>
          <w:b w:val="0"/>
          <w:i w:val="0"/>
          <w:szCs w:val="24"/>
          <w:u w:val="single"/>
        </w:rPr>
      </w:pPr>
      <w:r w:rsidRPr="009D17A3">
        <w:rPr>
          <w:rFonts w:ascii="Times New Roman" w:hAnsi="Times New Roman"/>
          <w:b w:val="0"/>
          <w:i w:val="0"/>
          <w:szCs w:val="24"/>
          <w:u w:val="single"/>
        </w:rPr>
        <w:t xml:space="preserve">A2b2. </w:t>
      </w:r>
      <w:r w:rsidR="001B08B7" w:rsidRPr="009D17A3">
        <w:rPr>
          <w:rFonts w:ascii="Times New Roman" w:hAnsi="Times New Roman"/>
          <w:b w:val="0"/>
          <w:i w:val="0"/>
          <w:szCs w:val="24"/>
          <w:u w:val="single"/>
        </w:rPr>
        <w:t xml:space="preserve">Community-Level </w:t>
      </w:r>
      <w:r w:rsidR="007702EA" w:rsidRPr="009D17A3">
        <w:rPr>
          <w:rFonts w:ascii="Times New Roman" w:hAnsi="Times New Roman"/>
          <w:b w:val="0"/>
          <w:i w:val="0"/>
          <w:szCs w:val="24"/>
          <w:u w:val="single"/>
        </w:rPr>
        <w:t>Instrument</w:t>
      </w:r>
      <w:r w:rsidR="005B12DF" w:rsidRPr="009D17A3">
        <w:rPr>
          <w:rFonts w:ascii="Times New Roman" w:hAnsi="Times New Roman"/>
          <w:b w:val="0"/>
          <w:i w:val="0"/>
          <w:szCs w:val="24"/>
          <w:u w:val="single"/>
        </w:rPr>
        <w:t xml:space="preserve"> (CLI)</w:t>
      </w:r>
    </w:p>
    <w:p w:rsidR="00660BCB" w:rsidRPr="009D17A3" w:rsidRDefault="0079355F" w:rsidP="00F24C35">
      <w:pPr>
        <w:pStyle w:val="Body"/>
        <w:rPr>
          <w:rFonts w:ascii="Times New Roman" w:hAnsi="Times New Roman"/>
          <w:szCs w:val="24"/>
        </w:rPr>
      </w:pPr>
      <w:r w:rsidRPr="009D17A3">
        <w:rPr>
          <w:rFonts w:ascii="Times New Roman" w:hAnsi="Times New Roman"/>
          <w:szCs w:val="24"/>
        </w:rPr>
        <w:t xml:space="preserve">The </w:t>
      </w:r>
      <w:r w:rsidR="00526B02" w:rsidRPr="009D17A3">
        <w:rPr>
          <w:rFonts w:ascii="Times New Roman" w:hAnsi="Times New Roman"/>
          <w:szCs w:val="24"/>
        </w:rPr>
        <w:t xml:space="preserve">CLI </w:t>
      </w:r>
      <w:r w:rsidRPr="009D17A3">
        <w:rPr>
          <w:rFonts w:ascii="Times New Roman" w:hAnsi="Times New Roman"/>
          <w:szCs w:val="24"/>
        </w:rPr>
        <w:t xml:space="preserve">is a two part, web-based </w:t>
      </w:r>
      <w:r w:rsidR="00C94D6E" w:rsidRPr="009D17A3">
        <w:rPr>
          <w:rFonts w:ascii="Times New Roman" w:hAnsi="Times New Roman"/>
          <w:szCs w:val="24"/>
        </w:rPr>
        <w:t xml:space="preserve">instrument </w:t>
      </w:r>
      <w:r w:rsidRPr="009D17A3">
        <w:rPr>
          <w:rFonts w:ascii="Times New Roman" w:hAnsi="Times New Roman"/>
          <w:szCs w:val="24"/>
        </w:rPr>
        <w:t xml:space="preserve">for capturing information about SPF SIG implementation at the </w:t>
      </w:r>
      <w:r w:rsidR="001342A4" w:rsidRPr="009D17A3">
        <w:rPr>
          <w:rFonts w:ascii="Times New Roman" w:hAnsi="Times New Roman"/>
          <w:szCs w:val="24"/>
        </w:rPr>
        <w:t>community sub</w:t>
      </w:r>
      <w:r w:rsidR="00C87769" w:rsidRPr="009D17A3">
        <w:rPr>
          <w:rFonts w:ascii="Times New Roman" w:hAnsi="Times New Roman"/>
          <w:szCs w:val="24"/>
        </w:rPr>
        <w:t>-</w:t>
      </w:r>
      <w:r w:rsidR="001342A4" w:rsidRPr="009D17A3">
        <w:rPr>
          <w:rFonts w:ascii="Times New Roman" w:hAnsi="Times New Roman"/>
          <w:szCs w:val="24"/>
        </w:rPr>
        <w:t>recipient</w:t>
      </w:r>
      <w:r w:rsidR="00CA2040" w:rsidRPr="009D17A3">
        <w:rPr>
          <w:rFonts w:ascii="Times New Roman" w:hAnsi="Times New Roman"/>
          <w:szCs w:val="24"/>
        </w:rPr>
        <w:t xml:space="preserve"> </w:t>
      </w:r>
      <w:r w:rsidRPr="009D17A3">
        <w:rPr>
          <w:rFonts w:ascii="Times New Roman" w:hAnsi="Times New Roman"/>
          <w:szCs w:val="24"/>
        </w:rPr>
        <w:t>level</w:t>
      </w:r>
      <w:r w:rsidR="001A52CE" w:rsidRPr="009D17A3">
        <w:rPr>
          <w:rFonts w:ascii="Times New Roman" w:hAnsi="Times New Roman"/>
          <w:szCs w:val="24"/>
        </w:rPr>
        <w:t xml:space="preserve"> (communities that receive SPF SIG funds from the Cohort</w:t>
      </w:r>
      <w:r w:rsidR="00B5291E" w:rsidRPr="009D17A3">
        <w:rPr>
          <w:rFonts w:ascii="Times New Roman" w:hAnsi="Times New Roman"/>
          <w:szCs w:val="24"/>
        </w:rPr>
        <w:t xml:space="preserve"> IV and V </w:t>
      </w:r>
      <w:r w:rsidR="001A52CE" w:rsidRPr="009D17A3">
        <w:rPr>
          <w:rFonts w:ascii="Times New Roman" w:hAnsi="Times New Roman"/>
          <w:szCs w:val="24"/>
        </w:rPr>
        <w:t>grantees)</w:t>
      </w:r>
      <w:r w:rsidR="00850A44" w:rsidRPr="009D17A3">
        <w:rPr>
          <w:rFonts w:ascii="Times New Roman" w:hAnsi="Times New Roman"/>
          <w:szCs w:val="24"/>
        </w:rPr>
        <w:t xml:space="preserve"> (</w:t>
      </w:r>
      <w:r w:rsidR="00246EAF" w:rsidRPr="009D17A3">
        <w:rPr>
          <w:rFonts w:ascii="Times New Roman" w:hAnsi="Times New Roman"/>
          <w:szCs w:val="24"/>
        </w:rPr>
        <w:t xml:space="preserve">see </w:t>
      </w:r>
      <w:r w:rsidR="00850A44" w:rsidRPr="009D17A3">
        <w:rPr>
          <w:rFonts w:ascii="Times New Roman" w:hAnsi="Times New Roman"/>
          <w:szCs w:val="24"/>
        </w:rPr>
        <w:t xml:space="preserve">Attachments </w:t>
      </w:r>
      <w:r w:rsidR="00EC4CDA" w:rsidRPr="009D17A3">
        <w:rPr>
          <w:rFonts w:ascii="Times New Roman" w:hAnsi="Times New Roman"/>
          <w:szCs w:val="24"/>
        </w:rPr>
        <w:t>A</w:t>
      </w:r>
      <w:r w:rsidR="00A25EE7" w:rsidRPr="009D17A3">
        <w:rPr>
          <w:rFonts w:ascii="Times New Roman" w:hAnsi="Times New Roman"/>
          <w:szCs w:val="24"/>
        </w:rPr>
        <w:t>1</w:t>
      </w:r>
      <w:r w:rsidR="00437480" w:rsidRPr="009D17A3">
        <w:rPr>
          <w:rFonts w:ascii="Times New Roman" w:hAnsi="Times New Roman"/>
          <w:szCs w:val="24"/>
        </w:rPr>
        <w:t>c</w:t>
      </w:r>
      <w:r w:rsidR="00850A44" w:rsidRPr="009D17A3">
        <w:rPr>
          <w:rFonts w:ascii="Times New Roman" w:hAnsi="Times New Roman"/>
          <w:szCs w:val="24"/>
        </w:rPr>
        <w:t xml:space="preserve"> and</w:t>
      </w:r>
      <w:r w:rsidR="00F81F6B" w:rsidRPr="009D17A3">
        <w:rPr>
          <w:rFonts w:ascii="Times New Roman" w:hAnsi="Times New Roman"/>
          <w:szCs w:val="24"/>
        </w:rPr>
        <w:t xml:space="preserve"> </w:t>
      </w:r>
      <w:r w:rsidR="00EC4CDA" w:rsidRPr="009D17A3">
        <w:rPr>
          <w:rFonts w:ascii="Times New Roman" w:hAnsi="Times New Roman"/>
          <w:szCs w:val="24"/>
        </w:rPr>
        <w:t>A</w:t>
      </w:r>
      <w:r w:rsidR="00A25EE7" w:rsidRPr="009D17A3">
        <w:rPr>
          <w:rFonts w:ascii="Times New Roman" w:hAnsi="Times New Roman"/>
          <w:szCs w:val="24"/>
        </w:rPr>
        <w:t>1</w:t>
      </w:r>
      <w:r w:rsidR="00437480" w:rsidRPr="009D17A3">
        <w:rPr>
          <w:rFonts w:ascii="Times New Roman" w:hAnsi="Times New Roman"/>
          <w:szCs w:val="24"/>
        </w:rPr>
        <w:t>d</w:t>
      </w:r>
      <w:r w:rsidR="00C861C4" w:rsidRPr="009D17A3">
        <w:rPr>
          <w:rFonts w:ascii="Times New Roman" w:hAnsi="Times New Roman"/>
          <w:szCs w:val="24"/>
        </w:rPr>
        <w:t>)</w:t>
      </w:r>
      <w:r w:rsidRPr="009D17A3">
        <w:rPr>
          <w:rFonts w:ascii="Times New Roman" w:hAnsi="Times New Roman"/>
          <w:szCs w:val="24"/>
        </w:rPr>
        <w:t xml:space="preserve">. </w:t>
      </w:r>
    </w:p>
    <w:p w:rsidR="003D330C" w:rsidRPr="009D17A3" w:rsidRDefault="003D330C" w:rsidP="00F24C35">
      <w:pPr>
        <w:pStyle w:val="Body"/>
        <w:rPr>
          <w:rFonts w:ascii="Times New Roman" w:hAnsi="Times New Roman"/>
          <w:szCs w:val="24"/>
        </w:rPr>
      </w:pPr>
      <w:r w:rsidRPr="009D17A3">
        <w:rPr>
          <w:rFonts w:ascii="Times New Roman" w:hAnsi="Times New Roman"/>
          <w:szCs w:val="24"/>
        </w:rPr>
        <w:t xml:space="preserve">Part 1 of the </w:t>
      </w:r>
      <w:r w:rsidR="00FD5AED" w:rsidRPr="009D17A3">
        <w:rPr>
          <w:rFonts w:ascii="Times New Roman" w:hAnsi="Times New Roman"/>
          <w:szCs w:val="24"/>
        </w:rPr>
        <w:t xml:space="preserve">CLI </w:t>
      </w:r>
      <w:r w:rsidRPr="009D17A3">
        <w:rPr>
          <w:rFonts w:ascii="Times New Roman" w:hAnsi="Times New Roman"/>
          <w:szCs w:val="24"/>
        </w:rPr>
        <w:t>gather</w:t>
      </w:r>
      <w:r w:rsidR="009B326D" w:rsidRPr="009D17A3">
        <w:rPr>
          <w:rFonts w:ascii="Times New Roman" w:hAnsi="Times New Roman"/>
          <w:szCs w:val="24"/>
        </w:rPr>
        <w:t>s</w:t>
      </w:r>
      <w:r w:rsidRPr="009D17A3">
        <w:rPr>
          <w:rFonts w:ascii="Times New Roman" w:hAnsi="Times New Roman"/>
          <w:szCs w:val="24"/>
        </w:rPr>
        <w:t xml:space="preserve"> information on the communities’ progress</w:t>
      </w:r>
      <w:r w:rsidR="00246EAF" w:rsidRPr="009D17A3">
        <w:rPr>
          <w:rFonts w:ascii="Times New Roman" w:hAnsi="Times New Roman"/>
          <w:szCs w:val="24"/>
        </w:rPr>
        <w:t xml:space="preserve"> in</w:t>
      </w:r>
      <w:r w:rsidRPr="009D17A3">
        <w:rPr>
          <w:rFonts w:ascii="Times New Roman" w:hAnsi="Times New Roman"/>
          <w:szCs w:val="24"/>
        </w:rPr>
        <w:t xml:space="preserve"> implementing the five SPF SIG steps and efforts taken to ensure cultural competency throughout the SPF SIG process. Sub</w:t>
      </w:r>
      <w:r w:rsidR="00C87769" w:rsidRPr="009D17A3">
        <w:rPr>
          <w:rFonts w:ascii="Times New Roman" w:hAnsi="Times New Roman"/>
          <w:szCs w:val="24"/>
        </w:rPr>
        <w:t>-</w:t>
      </w:r>
      <w:r w:rsidRPr="009D17A3">
        <w:rPr>
          <w:rFonts w:ascii="Times New Roman" w:hAnsi="Times New Roman"/>
          <w:szCs w:val="24"/>
        </w:rPr>
        <w:t>recipient communities receiving SPF SIG awards</w:t>
      </w:r>
      <w:r w:rsidR="009B326D" w:rsidRPr="009D17A3">
        <w:rPr>
          <w:rFonts w:ascii="Times New Roman" w:hAnsi="Times New Roman"/>
          <w:szCs w:val="24"/>
        </w:rPr>
        <w:t xml:space="preserve"> </w:t>
      </w:r>
      <w:r w:rsidR="003570B0" w:rsidRPr="009D17A3">
        <w:rPr>
          <w:rFonts w:ascii="Times New Roman" w:hAnsi="Times New Roman"/>
          <w:szCs w:val="24"/>
        </w:rPr>
        <w:t xml:space="preserve">from the grantees </w:t>
      </w:r>
      <w:r w:rsidR="009B326D" w:rsidRPr="009D17A3">
        <w:rPr>
          <w:rFonts w:ascii="Times New Roman" w:hAnsi="Times New Roman"/>
          <w:szCs w:val="24"/>
        </w:rPr>
        <w:t>are</w:t>
      </w:r>
      <w:r w:rsidRPr="009D17A3">
        <w:rPr>
          <w:rFonts w:ascii="Times New Roman" w:hAnsi="Times New Roman"/>
          <w:szCs w:val="24"/>
        </w:rPr>
        <w:t xml:space="preserve"> required to complete </w:t>
      </w:r>
      <w:r w:rsidR="00FD5AED" w:rsidRPr="009D17A3">
        <w:rPr>
          <w:rFonts w:ascii="Times New Roman" w:hAnsi="Times New Roman"/>
          <w:szCs w:val="24"/>
        </w:rPr>
        <w:t xml:space="preserve">the CLI </w:t>
      </w:r>
      <w:r w:rsidRPr="009D17A3">
        <w:rPr>
          <w:rFonts w:ascii="Times New Roman" w:hAnsi="Times New Roman"/>
          <w:szCs w:val="24"/>
        </w:rPr>
        <w:t xml:space="preserve">Part I annually. </w:t>
      </w:r>
      <w:r w:rsidR="00FD5AED" w:rsidRPr="009D17A3">
        <w:rPr>
          <w:rFonts w:ascii="Times New Roman" w:hAnsi="Times New Roman"/>
          <w:szCs w:val="24"/>
        </w:rPr>
        <w:t>The CLI</w:t>
      </w:r>
      <w:r w:rsidRPr="009D17A3">
        <w:rPr>
          <w:rFonts w:ascii="Times New Roman" w:hAnsi="Times New Roman"/>
          <w:szCs w:val="24"/>
        </w:rPr>
        <w:t xml:space="preserve"> Part </w:t>
      </w:r>
      <w:r w:rsidR="00471AF2" w:rsidRPr="009D17A3">
        <w:rPr>
          <w:rFonts w:ascii="Times New Roman" w:hAnsi="Times New Roman"/>
          <w:szCs w:val="24"/>
        </w:rPr>
        <w:t>II</w:t>
      </w:r>
      <w:r w:rsidRPr="009D17A3">
        <w:rPr>
          <w:rFonts w:ascii="Times New Roman" w:hAnsi="Times New Roman"/>
          <w:szCs w:val="24"/>
        </w:rPr>
        <w:t xml:space="preserve"> capture</w:t>
      </w:r>
      <w:r w:rsidR="009B326D" w:rsidRPr="009D17A3">
        <w:rPr>
          <w:rFonts w:ascii="Times New Roman" w:hAnsi="Times New Roman"/>
          <w:szCs w:val="24"/>
        </w:rPr>
        <w:t>s</w:t>
      </w:r>
      <w:r w:rsidRPr="009D17A3">
        <w:rPr>
          <w:rFonts w:ascii="Times New Roman" w:hAnsi="Times New Roman"/>
          <w:szCs w:val="24"/>
        </w:rPr>
        <w:t xml:space="preserve"> data on the specific prevention intervention(s) implemented at the community level.</w:t>
      </w:r>
      <w:r w:rsidR="00F105EC" w:rsidRPr="009D17A3">
        <w:rPr>
          <w:rFonts w:ascii="Times New Roman" w:hAnsi="Times New Roman"/>
          <w:szCs w:val="24"/>
        </w:rPr>
        <w:t xml:space="preserve"> </w:t>
      </w:r>
      <w:r w:rsidRPr="009D17A3">
        <w:rPr>
          <w:rFonts w:ascii="Times New Roman" w:hAnsi="Times New Roman"/>
          <w:szCs w:val="24"/>
        </w:rPr>
        <w:t xml:space="preserve">A </w:t>
      </w:r>
      <w:r w:rsidR="00FD5AED" w:rsidRPr="009D17A3">
        <w:rPr>
          <w:rFonts w:ascii="Times New Roman" w:hAnsi="Times New Roman"/>
          <w:szCs w:val="24"/>
        </w:rPr>
        <w:t xml:space="preserve">CLI Part </w:t>
      </w:r>
      <w:r w:rsidRPr="009D17A3">
        <w:rPr>
          <w:rFonts w:ascii="Times New Roman" w:hAnsi="Times New Roman"/>
          <w:szCs w:val="24"/>
        </w:rPr>
        <w:t xml:space="preserve">II </w:t>
      </w:r>
      <w:r w:rsidR="009B326D" w:rsidRPr="009D17A3">
        <w:rPr>
          <w:rFonts w:ascii="Times New Roman" w:hAnsi="Times New Roman"/>
          <w:szCs w:val="24"/>
        </w:rPr>
        <w:t xml:space="preserve">is </w:t>
      </w:r>
      <w:r w:rsidRPr="009D17A3">
        <w:rPr>
          <w:rFonts w:ascii="Times New Roman" w:hAnsi="Times New Roman"/>
          <w:szCs w:val="24"/>
        </w:rPr>
        <w:t xml:space="preserve">completed for each prevention intervention </w:t>
      </w:r>
      <w:r w:rsidRPr="009D17A3">
        <w:rPr>
          <w:rFonts w:ascii="Times New Roman" w:hAnsi="Times New Roman"/>
          <w:szCs w:val="24"/>
        </w:rPr>
        <w:lastRenderedPageBreak/>
        <w:t>strategy implemented during the specified reporting period.  I</w:t>
      </w:r>
      <w:r w:rsidRPr="009D17A3">
        <w:rPr>
          <w:rFonts w:ascii="Times New Roman" w:hAnsi="Times New Roman"/>
          <w:bCs/>
          <w:color w:val="000000"/>
          <w:szCs w:val="24"/>
        </w:rPr>
        <w:t>nformation collected on each strategy include</w:t>
      </w:r>
      <w:r w:rsidR="00885EF5" w:rsidRPr="009D17A3">
        <w:rPr>
          <w:rFonts w:ascii="Times New Roman" w:hAnsi="Times New Roman"/>
          <w:bCs/>
          <w:color w:val="000000"/>
          <w:szCs w:val="24"/>
        </w:rPr>
        <w:t>s</w:t>
      </w:r>
      <w:r w:rsidRPr="009D17A3">
        <w:rPr>
          <w:rFonts w:ascii="Times New Roman" w:hAnsi="Times New Roman"/>
          <w:bCs/>
          <w:color w:val="000000"/>
          <w:szCs w:val="24"/>
        </w:rPr>
        <w:t xml:space="preserve"> date of implementation, numbers of groups and participants</w:t>
      </w:r>
      <w:r w:rsidR="00EE477F" w:rsidRPr="009D17A3">
        <w:rPr>
          <w:rFonts w:ascii="Times New Roman" w:hAnsi="Times New Roman"/>
          <w:bCs/>
          <w:color w:val="000000"/>
          <w:szCs w:val="24"/>
        </w:rPr>
        <w:t xml:space="preserve"> </w:t>
      </w:r>
      <w:r w:rsidR="006B3C0B" w:rsidRPr="009D17A3">
        <w:rPr>
          <w:rFonts w:ascii="Times New Roman" w:hAnsi="Times New Roman"/>
          <w:bCs/>
          <w:color w:val="000000"/>
          <w:szCs w:val="24"/>
        </w:rPr>
        <w:t>served</w:t>
      </w:r>
      <w:r w:rsidRPr="009D17A3">
        <w:rPr>
          <w:rFonts w:ascii="Times New Roman" w:hAnsi="Times New Roman"/>
          <w:bCs/>
          <w:color w:val="000000"/>
          <w:szCs w:val="24"/>
        </w:rPr>
        <w:t xml:space="preserve"> frequency of activities, and gender, age, race, and ethnicity of</w:t>
      </w:r>
      <w:r w:rsidR="00FE0EEE" w:rsidRPr="009D17A3">
        <w:rPr>
          <w:rFonts w:ascii="Times New Roman" w:hAnsi="Times New Roman"/>
          <w:bCs/>
          <w:color w:val="000000"/>
          <w:szCs w:val="24"/>
        </w:rPr>
        <w:t xml:space="preserve"> the</w:t>
      </w:r>
      <w:r w:rsidRPr="009D17A3">
        <w:rPr>
          <w:rFonts w:ascii="Times New Roman" w:hAnsi="Times New Roman"/>
          <w:bCs/>
          <w:color w:val="000000"/>
          <w:szCs w:val="24"/>
        </w:rPr>
        <w:t xml:space="preserve"> population served/affected. Sub</w:t>
      </w:r>
      <w:r w:rsidR="00C87769" w:rsidRPr="009D17A3">
        <w:rPr>
          <w:rFonts w:ascii="Times New Roman" w:hAnsi="Times New Roman"/>
          <w:bCs/>
          <w:color w:val="000000"/>
          <w:szCs w:val="24"/>
        </w:rPr>
        <w:t>-</w:t>
      </w:r>
      <w:r w:rsidRPr="009D17A3">
        <w:rPr>
          <w:rFonts w:ascii="Times New Roman" w:hAnsi="Times New Roman"/>
          <w:bCs/>
          <w:color w:val="000000"/>
          <w:szCs w:val="24"/>
        </w:rPr>
        <w:t>recipient c</w:t>
      </w:r>
      <w:r w:rsidRPr="009D17A3">
        <w:rPr>
          <w:rFonts w:ascii="Times New Roman" w:hAnsi="Times New Roman"/>
          <w:szCs w:val="24"/>
        </w:rPr>
        <w:t xml:space="preserve">ommunities’ partners receiving SPF SIG awards </w:t>
      </w:r>
      <w:r w:rsidR="00885EF5" w:rsidRPr="009D17A3">
        <w:rPr>
          <w:rFonts w:ascii="Times New Roman" w:hAnsi="Times New Roman"/>
          <w:szCs w:val="24"/>
        </w:rPr>
        <w:t xml:space="preserve">are </w:t>
      </w:r>
      <w:r w:rsidRPr="009D17A3">
        <w:rPr>
          <w:rFonts w:ascii="Times New Roman" w:hAnsi="Times New Roman"/>
          <w:szCs w:val="24"/>
        </w:rPr>
        <w:t xml:space="preserve">required to update </w:t>
      </w:r>
      <w:r w:rsidR="00B42F7D" w:rsidRPr="009D17A3">
        <w:rPr>
          <w:rFonts w:ascii="Times New Roman" w:hAnsi="Times New Roman"/>
          <w:szCs w:val="24"/>
        </w:rPr>
        <w:t xml:space="preserve">the CLI </w:t>
      </w:r>
      <w:r w:rsidRPr="009D17A3">
        <w:rPr>
          <w:rFonts w:ascii="Times New Roman" w:hAnsi="Times New Roman"/>
          <w:szCs w:val="24"/>
        </w:rPr>
        <w:t>Part II every six months</w:t>
      </w:r>
      <w:r w:rsidR="00F105EC" w:rsidRPr="009D17A3">
        <w:rPr>
          <w:rFonts w:ascii="Times New Roman" w:hAnsi="Times New Roman"/>
          <w:szCs w:val="24"/>
        </w:rPr>
        <w:t>.</w:t>
      </w:r>
    </w:p>
    <w:p w:rsidR="00644A6C" w:rsidRPr="009D17A3" w:rsidRDefault="00644A6C" w:rsidP="00915242">
      <w:pPr>
        <w:pStyle w:val="Body"/>
        <w:spacing w:after="0"/>
        <w:rPr>
          <w:rFonts w:ascii="Times New Roman" w:eastAsia="MS Mincho" w:hAnsi="Times New Roman"/>
          <w:szCs w:val="24"/>
        </w:rPr>
      </w:pPr>
      <w:r w:rsidRPr="009D17A3">
        <w:rPr>
          <w:rFonts w:ascii="Times New Roman" w:hAnsi="Times New Roman"/>
          <w:szCs w:val="24"/>
        </w:rPr>
        <w:t>Data from th</w:t>
      </w:r>
      <w:r w:rsidR="00B42F7D" w:rsidRPr="009D17A3">
        <w:rPr>
          <w:rFonts w:ascii="Times New Roman" w:hAnsi="Times New Roman"/>
          <w:szCs w:val="24"/>
        </w:rPr>
        <w:t>e CLI (Parts I and II) w</w:t>
      </w:r>
      <w:r w:rsidRPr="009D17A3">
        <w:rPr>
          <w:rFonts w:ascii="Times New Roman" w:hAnsi="Times New Roman"/>
          <w:szCs w:val="24"/>
        </w:rPr>
        <w:t>ill a</w:t>
      </w:r>
      <w:r w:rsidRPr="009D17A3">
        <w:rPr>
          <w:rFonts w:ascii="Times New Roman" w:eastAsia="MS Mincho" w:hAnsi="Times New Roman"/>
          <w:szCs w:val="24"/>
        </w:rPr>
        <w:t>llow CSAP to assess the progress of the communities in their implementation of both the SPF and prevention-related interventions funded under the initiative.  The</w:t>
      </w:r>
      <w:r w:rsidR="00B42F7D" w:rsidRPr="009D17A3">
        <w:rPr>
          <w:rFonts w:ascii="Times New Roman" w:eastAsia="MS Mincho" w:hAnsi="Times New Roman"/>
          <w:szCs w:val="24"/>
        </w:rPr>
        <w:t>se</w:t>
      </w:r>
      <w:r w:rsidRPr="009D17A3">
        <w:rPr>
          <w:rFonts w:ascii="Times New Roman" w:eastAsia="MS Mincho" w:hAnsi="Times New Roman"/>
          <w:szCs w:val="24"/>
        </w:rPr>
        <w:t xml:space="preserve"> data may also be used to assess obstacles to the implementation of the SPF and prevention-related interventions and facilitate mid-course corrections for communities experiencing implementation difficulties. Without these data, it would be impossible to determine </w:t>
      </w:r>
      <w:r w:rsidR="00B42F7D" w:rsidRPr="009D17A3">
        <w:rPr>
          <w:rFonts w:ascii="Times New Roman" w:eastAsia="MS Mincho" w:hAnsi="Times New Roman"/>
          <w:szCs w:val="24"/>
        </w:rPr>
        <w:t xml:space="preserve">whether </w:t>
      </w:r>
      <w:r w:rsidRPr="009D17A3">
        <w:rPr>
          <w:rFonts w:ascii="Times New Roman" w:eastAsia="MS Mincho" w:hAnsi="Times New Roman"/>
          <w:szCs w:val="24"/>
        </w:rPr>
        <w:t xml:space="preserve">the SPF SIG initiative had an effect on changes in community- and participant-level NOMs or </w:t>
      </w:r>
      <w:r w:rsidR="00F105EC" w:rsidRPr="009D17A3">
        <w:rPr>
          <w:rFonts w:ascii="Times New Roman" w:eastAsia="MS Mincho" w:hAnsi="Times New Roman"/>
          <w:szCs w:val="24"/>
        </w:rPr>
        <w:t xml:space="preserve">to identify </w:t>
      </w:r>
      <w:r w:rsidRPr="009D17A3">
        <w:rPr>
          <w:rFonts w:ascii="Times New Roman" w:eastAsia="MS Mincho" w:hAnsi="Times New Roman"/>
          <w:szCs w:val="24"/>
        </w:rPr>
        <w:t xml:space="preserve">which components of the SPF process were responsible for the observed changes.  </w:t>
      </w:r>
    </w:p>
    <w:p w:rsidR="005A35A6" w:rsidRPr="009D17A3" w:rsidRDefault="00F37B39" w:rsidP="009D17A3">
      <w:pPr>
        <w:pStyle w:val="Heading2"/>
        <w:spacing w:line="360" w:lineRule="auto"/>
        <w:rPr>
          <w:rFonts w:ascii="Times New Roman" w:hAnsi="Times New Roman"/>
          <w:sz w:val="24"/>
          <w:szCs w:val="24"/>
        </w:rPr>
      </w:pPr>
      <w:r w:rsidRPr="009D17A3">
        <w:rPr>
          <w:rFonts w:ascii="Times New Roman" w:hAnsi="Times New Roman"/>
          <w:sz w:val="24"/>
          <w:szCs w:val="24"/>
        </w:rPr>
        <w:t>A3. Use of Information Technology</w:t>
      </w:r>
    </w:p>
    <w:p w:rsidR="005A35A6" w:rsidRPr="009D17A3" w:rsidRDefault="008C566C" w:rsidP="001B411B">
      <w:pPr>
        <w:keepNext/>
        <w:spacing w:before="120" w:after="120" w:line="360" w:lineRule="auto"/>
      </w:pPr>
      <w:r w:rsidRPr="009D17A3">
        <w:t xml:space="preserve">Information technology has been used to minimize respondent burden </w:t>
      </w:r>
      <w:r w:rsidR="00F47DA6" w:rsidRPr="009D17A3">
        <w:t>for Cohorts IV and V in the</w:t>
      </w:r>
      <w:r w:rsidR="00380D98" w:rsidRPr="009D17A3">
        <w:t xml:space="preserve"> </w:t>
      </w:r>
      <w:r w:rsidR="00EF6121" w:rsidRPr="009D17A3">
        <w:t xml:space="preserve">SPF SIG </w:t>
      </w:r>
      <w:r w:rsidR="00380D98" w:rsidRPr="009D17A3">
        <w:t>C</w:t>
      </w:r>
      <w:r w:rsidR="00EF6121" w:rsidRPr="009D17A3">
        <w:t xml:space="preserve">ross-site </w:t>
      </w:r>
      <w:r w:rsidR="00380D98" w:rsidRPr="009D17A3">
        <w:t>E</w:t>
      </w:r>
      <w:r w:rsidR="00EF6121" w:rsidRPr="009D17A3">
        <w:t>valuation</w:t>
      </w:r>
      <w:r w:rsidRPr="009D17A3">
        <w:t>.</w:t>
      </w:r>
      <w:r w:rsidR="002A6708" w:rsidRPr="009D17A3">
        <w:t xml:space="preserve"> </w:t>
      </w:r>
      <w:r w:rsidR="00083924" w:rsidRPr="009D17A3">
        <w:t xml:space="preserve">The </w:t>
      </w:r>
      <w:r w:rsidR="00EF6121" w:rsidRPr="009D17A3">
        <w:t>GLI</w:t>
      </w:r>
      <w:r w:rsidR="00E21463" w:rsidRPr="009D17A3">
        <w:t xml:space="preserve"> </w:t>
      </w:r>
      <w:r w:rsidR="00083924" w:rsidRPr="009D17A3">
        <w:t xml:space="preserve">Implementation </w:t>
      </w:r>
      <w:r w:rsidR="007963CD" w:rsidRPr="009D17A3">
        <w:t xml:space="preserve">and Infrastructure </w:t>
      </w:r>
      <w:r w:rsidR="007702EA" w:rsidRPr="009D17A3">
        <w:t>Instrument</w:t>
      </w:r>
      <w:r w:rsidR="007963CD" w:rsidRPr="009D17A3">
        <w:t>s</w:t>
      </w:r>
      <w:r w:rsidR="00083924" w:rsidRPr="009D17A3">
        <w:t xml:space="preserve"> and the </w:t>
      </w:r>
      <w:r w:rsidR="00DF31E3" w:rsidRPr="009D17A3">
        <w:t>CLI</w:t>
      </w:r>
      <w:r w:rsidR="00083924" w:rsidRPr="009D17A3">
        <w:t xml:space="preserve"> (Parts I and II) are web-based surveys and </w:t>
      </w:r>
      <w:r w:rsidR="00E929E7" w:rsidRPr="009D17A3">
        <w:t>will be</w:t>
      </w:r>
      <w:r w:rsidR="00EA45C4" w:rsidRPr="009D17A3">
        <w:t xml:space="preserve"> </w:t>
      </w:r>
      <w:r w:rsidR="00083924" w:rsidRPr="009D17A3">
        <w:t xml:space="preserve">completed online </w:t>
      </w:r>
      <w:r w:rsidR="00437480" w:rsidRPr="009D17A3">
        <w:t>through SAMHSA/CSAP’s</w:t>
      </w:r>
      <w:r w:rsidR="00B5291E" w:rsidRPr="009D17A3">
        <w:t xml:space="preserve"> Prevention Management and Reporting System (PMRTS)</w:t>
      </w:r>
      <w:r w:rsidR="00083924" w:rsidRPr="009D17A3">
        <w:t xml:space="preserve">. Web-based administration of the </w:t>
      </w:r>
      <w:r w:rsidR="009F41F1" w:rsidRPr="009D17A3">
        <w:t xml:space="preserve">instruments </w:t>
      </w:r>
      <w:r w:rsidR="00083924" w:rsidRPr="009D17A3">
        <w:t>increase</w:t>
      </w:r>
      <w:r w:rsidR="00EA45C4" w:rsidRPr="009D17A3">
        <w:t>s</w:t>
      </w:r>
      <w:r w:rsidR="00083924" w:rsidRPr="009D17A3">
        <w:t xml:space="preserve"> the efficiency of data submission and improve</w:t>
      </w:r>
      <w:r w:rsidR="00EA45C4" w:rsidRPr="009D17A3">
        <w:t>s</w:t>
      </w:r>
      <w:r w:rsidR="00083924" w:rsidRPr="009D17A3">
        <w:t xml:space="preserve"> data quality.  Additionally, completion of the </w:t>
      </w:r>
      <w:r w:rsidR="009F41F1" w:rsidRPr="009D17A3">
        <w:t xml:space="preserve">instruments </w:t>
      </w:r>
      <w:r w:rsidR="00083924" w:rsidRPr="009D17A3">
        <w:t>online reduce</w:t>
      </w:r>
      <w:r w:rsidR="00EA45C4" w:rsidRPr="009D17A3">
        <w:t>s</w:t>
      </w:r>
      <w:r w:rsidR="00083924" w:rsidRPr="009D17A3">
        <w:t xml:space="preserve"> the burden on grantees and communities, as some items </w:t>
      </w:r>
      <w:r w:rsidR="00E929E7" w:rsidRPr="009D17A3">
        <w:t>will be</w:t>
      </w:r>
      <w:r w:rsidR="00083924" w:rsidRPr="009D17A3">
        <w:t xml:space="preserve"> pre-filled based on information from the initial submission. In the </w:t>
      </w:r>
      <w:r w:rsidR="00305083" w:rsidRPr="009D17A3">
        <w:t>CLI</w:t>
      </w:r>
      <w:r w:rsidR="00083924" w:rsidRPr="009D17A3">
        <w:t xml:space="preserve">, some items in Part II </w:t>
      </w:r>
      <w:r w:rsidR="00E929E7" w:rsidRPr="009D17A3">
        <w:t>will be</w:t>
      </w:r>
      <w:r w:rsidR="00EA45C4" w:rsidRPr="009D17A3">
        <w:t xml:space="preserve"> </w:t>
      </w:r>
      <w:r w:rsidR="00083924" w:rsidRPr="009D17A3">
        <w:t xml:space="preserve">pre-filled with information from Part I of the instrument.  </w:t>
      </w:r>
    </w:p>
    <w:p w:rsidR="005A35A6" w:rsidRPr="009D17A3" w:rsidRDefault="00083924" w:rsidP="00EF61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rPr>
          <w:rFonts w:eastAsia="MS Mincho"/>
        </w:rPr>
      </w:pPr>
      <w:r w:rsidRPr="009D17A3">
        <w:tab/>
      </w:r>
      <w:r w:rsidR="00380D98" w:rsidRPr="009D17A3">
        <w:t xml:space="preserve">The </w:t>
      </w:r>
      <w:r w:rsidR="00B5291E" w:rsidRPr="009D17A3">
        <w:t xml:space="preserve">PMRTS </w:t>
      </w:r>
      <w:r w:rsidR="0034430D" w:rsidRPr="009D17A3">
        <w:t>is</w:t>
      </w:r>
      <w:r w:rsidRPr="009D17A3">
        <w:t xml:space="preserve"> maintained by CSAP’s Data </w:t>
      </w:r>
      <w:r w:rsidR="008C566C" w:rsidRPr="009D17A3">
        <w:t xml:space="preserve">Collection, </w:t>
      </w:r>
      <w:r w:rsidR="00EF6121" w:rsidRPr="009D17A3">
        <w:t xml:space="preserve">Analyses, and </w:t>
      </w:r>
      <w:r w:rsidR="008C566C" w:rsidRPr="009D17A3">
        <w:t>Reporting (DCAR)</w:t>
      </w:r>
      <w:r w:rsidRPr="009D17A3">
        <w:t xml:space="preserve">.  Data entered online by grantees </w:t>
      </w:r>
      <w:r w:rsidR="00315DBA" w:rsidRPr="009D17A3">
        <w:t>will be</w:t>
      </w:r>
      <w:r w:rsidRPr="009D17A3">
        <w:t xml:space="preserve"> periodically extracted</w:t>
      </w:r>
      <w:r w:rsidR="005C01CB" w:rsidRPr="009D17A3">
        <w:t xml:space="preserve"> and analyzed </w:t>
      </w:r>
      <w:r w:rsidRPr="009D17A3">
        <w:t xml:space="preserve">by </w:t>
      </w:r>
      <w:r w:rsidR="005C01CB" w:rsidRPr="009D17A3">
        <w:t xml:space="preserve">the </w:t>
      </w:r>
      <w:r w:rsidR="008C566C" w:rsidRPr="009D17A3">
        <w:t>DCAR</w:t>
      </w:r>
      <w:r w:rsidR="005C01CB" w:rsidRPr="009D17A3">
        <w:t>.</w:t>
      </w:r>
      <w:r w:rsidR="008C566C" w:rsidRPr="009D17A3">
        <w:t xml:space="preserve"> </w:t>
      </w:r>
      <w:r w:rsidRPr="009D17A3">
        <w:t>Grantees</w:t>
      </w:r>
      <w:r w:rsidR="005C01CB" w:rsidRPr="009D17A3">
        <w:t xml:space="preserve"> can access</w:t>
      </w:r>
      <w:r w:rsidRPr="009D17A3">
        <w:t xml:space="preserve"> the data they enter</w:t>
      </w:r>
      <w:r w:rsidR="00837317" w:rsidRPr="009D17A3">
        <w:t>ed</w:t>
      </w:r>
      <w:r w:rsidRPr="009D17A3">
        <w:t xml:space="preserve"> online</w:t>
      </w:r>
      <w:r w:rsidR="005C01CB" w:rsidRPr="009D17A3">
        <w:t xml:space="preserve"> by</w:t>
      </w:r>
      <w:r w:rsidRPr="009D17A3">
        <w:t xml:space="preserve"> download</w:t>
      </w:r>
      <w:r w:rsidR="005C01CB" w:rsidRPr="009D17A3">
        <w:t>ing</w:t>
      </w:r>
      <w:r w:rsidRPr="009D17A3">
        <w:t xml:space="preserve">, in spreadsheet form, the raw data they have entered as soon as </w:t>
      </w:r>
      <w:r w:rsidR="005C01CB" w:rsidRPr="009D17A3">
        <w:t xml:space="preserve">it is </w:t>
      </w:r>
      <w:r w:rsidRPr="009D17A3">
        <w:t xml:space="preserve">submitted. </w:t>
      </w:r>
    </w:p>
    <w:p w:rsidR="005A35A6" w:rsidRPr="009D17A3" w:rsidRDefault="00083924" w:rsidP="00F24C35">
      <w:pPr>
        <w:spacing w:before="120" w:after="120" w:line="360" w:lineRule="auto"/>
        <w:rPr>
          <w:rFonts w:eastAsia="MS Mincho"/>
        </w:rPr>
      </w:pPr>
      <w:r w:rsidRPr="009D17A3">
        <w:t xml:space="preserve">Finally, technology </w:t>
      </w:r>
      <w:r w:rsidR="00837317" w:rsidRPr="009D17A3">
        <w:t>is</w:t>
      </w:r>
      <w:r w:rsidRPr="009D17A3">
        <w:t xml:space="preserve"> used to facilitate communication and provide updates to SPF SIG personnel.  Through a SPF SIG </w:t>
      </w:r>
      <w:r w:rsidR="005C01CB" w:rsidRPr="009D17A3">
        <w:t>listserv</w:t>
      </w:r>
      <w:r w:rsidRPr="009D17A3">
        <w:t>, grantee evaluators, project directors, coordinators</w:t>
      </w:r>
      <w:r w:rsidR="00837317" w:rsidRPr="009D17A3">
        <w:t>,</w:t>
      </w:r>
      <w:r w:rsidRPr="009D17A3">
        <w:t xml:space="preserve"> and other key staff </w:t>
      </w:r>
      <w:r w:rsidR="00315DBA" w:rsidRPr="009D17A3">
        <w:t xml:space="preserve">will </w:t>
      </w:r>
      <w:r w:rsidRPr="009D17A3">
        <w:t xml:space="preserve">have the opportunity to exchange valuable advice; find guidance and resource materials; and receive announcements and clarifications from CSAP, other SPF SIG grantees, </w:t>
      </w:r>
      <w:r w:rsidRPr="009D17A3">
        <w:lastRenderedPageBreak/>
        <w:t xml:space="preserve">and the cross-site evaluation team. In addition to the </w:t>
      </w:r>
      <w:r w:rsidR="005C01CB" w:rsidRPr="009D17A3">
        <w:t>listserv</w:t>
      </w:r>
      <w:r w:rsidRPr="009D17A3">
        <w:t xml:space="preserve">, the cross-site evaluation team will also send electronic copies of guidance and resource materials via email and CD to SPF SIG grantees upon request.  </w:t>
      </w:r>
    </w:p>
    <w:p w:rsidR="005A35A6" w:rsidRPr="009D17A3" w:rsidRDefault="00E7401F" w:rsidP="009D17A3">
      <w:pPr>
        <w:pStyle w:val="Heading2"/>
        <w:spacing w:line="360" w:lineRule="auto"/>
        <w:rPr>
          <w:rFonts w:ascii="Times New Roman" w:hAnsi="Times New Roman"/>
          <w:sz w:val="24"/>
          <w:szCs w:val="24"/>
        </w:rPr>
      </w:pPr>
      <w:r w:rsidRPr="009D17A3">
        <w:rPr>
          <w:rFonts w:ascii="Times New Roman" w:hAnsi="Times New Roman"/>
          <w:sz w:val="24"/>
          <w:szCs w:val="24"/>
        </w:rPr>
        <w:t>A4. Efforts to Identify Duplication</w:t>
      </w:r>
    </w:p>
    <w:p w:rsidR="00AA7606" w:rsidRDefault="00B005C0" w:rsidP="00915242">
      <w:pPr>
        <w:pStyle w:val="Body"/>
        <w:rPr>
          <w:rFonts w:ascii="Times New Roman" w:hAnsi="Times New Roman"/>
          <w:szCs w:val="24"/>
        </w:rPr>
      </w:pPr>
      <w:r w:rsidRPr="009D17A3">
        <w:rPr>
          <w:rFonts w:ascii="Times New Roman" w:hAnsi="Times New Roman"/>
          <w:szCs w:val="24"/>
        </w:rPr>
        <w:t xml:space="preserve">The information being collected </w:t>
      </w:r>
      <w:r w:rsidR="00D20408" w:rsidRPr="009D17A3">
        <w:rPr>
          <w:rFonts w:ascii="Times New Roman" w:hAnsi="Times New Roman"/>
          <w:szCs w:val="24"/>
        </w:rPr>
        <w:t>for</w:t>
      </w:r>
      <w:r w:rsidRPr="009D17A3">
        <w:rPr>
          <w:rFonts w:ascii="Times New Roman" w:hAnsi="Times New Roman"/>
          <w:szCs w:val="24"/>
        </w:rPr>
        <w:t xml:space="preserve"> </w:t>
      </w:r>
      <w:r w:rsidR="00640682" w:rsidRPr="009D17A3">
        <w:rPr>
          <w:rFonts w:ascii="Times New Roman" w:hAnsi="Times New Roman"/>
          <w:szCs w:val="24"/>
        </w:rPr>
        <w:t xml:space="preserve">the cross-site evaluations for </w:t>
      </w:r>
      <w:r w:rsidRPr="009D17A3">
        <w:rPr>
          <w:rFonts w:ascii="Times New Roman" w:hAnsi="Times New Roman"/>
          <w:szCs w:val="24"/>
        </w:rPr>
        <w:t xml:space="preserve">SPF SIG </w:t>
      </w:r>
      <w:r w:rsidR="00640682" w:rsidRPr="009D17A3">
        <w:rPr>
          <w:rFonts w:ascii="Times New Roman" w:hAnsi="Times New Roman"/>
          <w:szCs w:val="24"/>
        </w:rPr>
        <w:t xml:space="preserve">Cohorts </w:t>
      </w:r>
      <w:r w:rsidR="00B5291E" w:rsidRPr="009D17A3">
        <w:rPr>
          <w:rFonts w:ascii="Times New Roman" w:hAnsi="Times New Roman"/>
          <w:szCs w:val="24"/>
        </w:rPr>
        <w:t xml:space="preserve">IV and V </w:t>
      </w:r>
      <w:r w:rsidR="00A25EE7" w:rsidRPr="009D17A3">
        <w:rPr>
          <w:rFonts w:ascii="Times New Roman" w:hAnsi="Times New Roman"/>
          <w:szCs w:val="24"/>
        </w:rPr>
        <w:t>is specific to the program and is not available elsewhere</w:t>
      </w:r>
      <w:r w:rsidR="00BE7A33" w:rsidRPr="009D17A3">
        <w:rPr>
          <w:rFonts w:ascii="Times New Roman" w:hAnsi="Times New Roman"/>
          <w:szCs w:val="24"/>
        </w:rPr>
        <w:t>.</w:t>
      </w:r>
    </w:p>
    <w:p w:rsidR="005A35A6" w:rsidRPr="009D17A3" w:rsidRDefault="00E7401F" w:rsidP="009D17A3">
      <w:pPr>
        <w:pStyle w:val="Heading2"/>
        <w:spacing w:line="360" w:lineRule="auto"/>
        <w:rPr>
          <w:rFonts w:ascii="Times New Roman" w:hAnsi="Times New Roman"/>
          <w:sz w:val="24"/>
          <w:szCs w:val="24"/>
        </w:rPr>
      </w:pPr>
      <w:r w:rsidRPr="009D17A3">
        <w:rPr>
          <w:rFonts w:ascii="Times New Roman" w:hAnsi="Times New Roman"/>
          <w:sz w:val="24"/>
          <w:szCs w:val="24"/>
        </w:rPr>
        <w:t>A5. Involvement of Small Entities</w:t>
      </w:r>
    </w:p>
    <w:p w:rsidR="006D23CB" w:rsidRPr="009D17A3" w:rsidRDefault="006D23CB" w:rsidP="00F24C35">
      <w:pPr>
        <w:pStyle w:val="Body"/>
        <w:rPr>
          <w:rFonts w:ascii="Times New Roman" w:hAnsi="Times New Roman"/>
          <w:szCs w:val="24"/>
        </w:rPr>
      </w:pPr>
      <w:r w:rsidRPr="009D17A3">
        <w:rPr>
          <w:rFonts w:ascii="Times New Roman" w:hAnsi="Times New Roman"/>
          <w:szCs w:val="24"/>
        </w:rPr>
        <w:t xml:space="preserve">The primary entities for </w:t>
      </w:r>
      <w:r w:rsidR="0059140A" w:rsidRPr="009D17A3">
        <w:rPr>
          <w:rFonts w:ascii="Times New Roman" w:hAnsi="Times New Roman"/>
          <w:szCs w:val="24"/>
        </w:rPr>
        <w:t xml:space="preserve">the </w:t>
      </w:r>
      <w:r w:rsidR="00AC4CAE" w:rsidRPr="009D17A3">
        <w:rPr>
          <w:rFonts w:ascii="Times New Roman" w:hAnsi="Times New Roman"/>
          <w:szCs w:val="24"/>
        </w:rPr>
        <w:t>Cohort</w:t>
      </w:r>
      <w:r w:rsidR="00B5291E" w:rsidRPr="009D17A3">
        <w:rPr>
          <w:rFonts w:ascii="Times New Roman" w:hAnsi="Times New Roman"/>
          <w:szCs w:val="24"/>
        </w:rPr>
        <w:t xml:space="preserve"> IV and V </w:t>
      </w:r>
      <w:r w:rsidR="00AC4CAE" w:rsidRPr="009D17A3">
        <w:rPr>
          <w:rFonts w:ascii="Times New Roman" w:hAnsi="Times New Roman"/>
          <w:szCs w:val="24"/>
        </w:rPr>
        <w:t>studies</w:t>
      </w:r>
      <w:r w:rsidRPr="009D17A3">
        <w:rPr>
          <w:rFonts w:ascii="Times New Roman" w:hAnsi="Times New Roman"/>
          <w:szCs w:val="24"/>
        </w:rPr>
        <w:t xml:space="preserve"> are states, jurisdictions, and tribal territories and the communities funded within these entities.</w:t>
      </w:r>
      <w:r w:rsidR="00A252B4" w:rsidRPr="009D17A3">
        <w:rPr>
          <w:rFonts w:ascii="Times New Roman" w:hAnsi="Times New Roman"/>
          <w:szCs w:val="24"/>
        </w:rPr>
        <w:t xml:space="preserve"> </w:t>
      </w:r>
      <w:r w:rsidRPr="009D17A3">
        <w:rPr>
          <w:rFonts w:ascii="Times New Roman" w:hAnsi="Times New Roman"/>
          <w:bCs/>
          <w:szCs w:val="24"/>
        </w:rPr>
        <w:t>Because grantees and funded communities involve government or tribal agencies, universities, hospitals, or other large organizations, the evaluation will have no significant economic impact o</w:t>
      </w:r>
      <w:r w:rsidR="00AC4CAE" w:rsidRPr="009D17A3">
        <w:rPr>
          <w:rFonts w:ascii="Times New Roman" w:hAnsi="Times New Roman"/>
          <w:bCs/>
          <w:szCs w:val="24"/>
        </w:rPr>
        <w:t>n</w:t>
      </w:r>
      <w:r w:rsidRPr="009D17A3">
        <w:rPr>
          <w:rFonts w:ascii="Times New Roman" w:hAnsi="Times New Roman"/>
          <w:bCs/>
          <w:szCs w:val="24"/>
        </w:rPr>
        <w:t xml:space="preserve"> small entities or small businesses.  </w:t>
      </w:r>
    </w:p>
    <w:p w:rsidR="005A35A6" w:rsidRPr="009D17A3" w:rsidRDefault="006818C1" w:rsidP="009D17A3">
      <w:pPr>
        <w:pStyle w:val="Heading2"/>
        <w:spacing w:before="360" w:line="360" w:lineRule="auto"/>
        <w:rPr>
          <w:rFonts w:ascii="Times New Roman" w:hAnsi="Times New Roman"/>
          <w:sz w:val="24"/>
          <w:szCs w:val="24"/>
        </w:rPr>
      </w:pPr>
      <w:r w:rsidRPr="009D17A3">
        <w:rPr>
          <w:rFonts w:ascii="Times New Roman" w:hAnsi="Times New Roman"/>
          <w:sz w:val="24"/>
          <w:szCs w:val="24"/>
        </w:rPr>
        <w:t>A6. Consequences If Information Collected Less Frequently</w:t>
      </w:r>
    </w:p>
    <w:p w:rsidR="00197FEE" w:rsidRPr="009D17A3" w:rsidRDefault="00922208" w:rsidP="00F24C35">
      <w:pPr>
        <w:pStyle w:val="Body"/>
        <w:rPr>
          <w:rFonts w:ascii="Times New Roman" w:hAnsi="Times New Roman"/>
          <w:szCs w:val="24"/>
        </w:rPr>
      </w:pPr>
      <w:r w:rsidRPr="009D17A3">
        <w:rPr>
          <w:rFonts w:ascii="Times New Roman" w:hAnsi="Times New Roman"/>
          <w:szCs w:val="24"/>
        </w:rPr>
        <w:t xml:space="preserve">The </w:t>
      </w:r>
      <w:r w:rsidR="00380D98" w:rsidRPr="009D17A3">
        <w:rPr>
          <w:rFonts w:ascii="Times New Roman" w:hAnsi="Times New Roman"/>
          <w:szCs w:val="24"/>
        </w:rPr>
        <w:t>C</w:t>
      </w:r>
      <w:r w:rsidRPr="009D17A3">
        <w:rPr>
          <w:rFonts w:ascii="Times New Roman" w:hAnsi="Times New Roman"/>
          <w:szCs w:val="24"/>
        </w:rPr>
        <w:t xml:space="preserve">ross-site </w:t>
      </w:r>
      <w:r w:rsidR="00380D98" w:rsidRPr="009D17A3">
        <w:rPr>
          <w:rFonts w:ascii="Times New Roman" w:hAnsi="Times New Roman"/>
          <w:szCs w:val="24"/>
        </w:rPr>
        <w:t>E</w:t>
      </w:r>
      <w:r w:rsidRPr="009D17A3">
        <w:rPr>
          <w:rFonts w:ascii="Times New Roman" w:hAnsi="Times New Roman"/>
          <w:szCs w:val="24"/>
        </w:rPr>
        <w:t>valuation of the SPF SIG program provide</w:t>
      </w:r>
      <w:r w:rsidR="00380D98" w:rsidRPr="009D17A3">
        <w:rPr>
          <w:rFonts w:ascii="Times New Roman" w:hAnsi="Times New Roman"/>
          <w:szCs w:val="24"/>
        </w:rPr>
        <w:t>s</w:t>
      </w:r>
      <w:r w:rsidRPr="009D17A3">
        <w:rPr>
          <w:rFonts w:ascii="Times New Roman" w:hAnsi="Times New Roman"/>
          <w:szCs w:val="24"/>
        </w:rPr>
        <w:t xml:space="preserve"> an important opportunity for the field of </w:t>
      </w:r>
      <w:r w:rsidR="00393D29" w:rsidRPr="009D17A3">
        <w:rPr>
          <w:rFonts w:ascii="Times New Roman" w:hAnsi="Times New Roman"/>
          <w:szCs w:val="24"/>
        </w:rPr>
        <w:t xml:space="preserve">substance </w:t>
      </w:r>
      <w:r w:rsidR="00A63778" w:rsidRPr="009D17A3">
        <w:rPr>
          <w:rFonts w:ascii="Times New Roman" w:hAnsi="Times New Roman"/>
          <w:szCs w:val="24"/>
        </w:rPr>
        <w:t>ab</w:t>
      </w:r>
      <w:r w:rsidR="00393D29" w:rsidRPr="009D17A3">
        <w:rPr>
          <w:rFonts w:ascii="Times New Roman" w:hAnsi="Times New Roman"/>
          <w:szCs w:val="24"/>
        </w:rPr>
        <w:t xml:space="preserve">use </w:t>
      </w:r>
      <w:r w:rsidRPr="009D17A3">
        <w:rPr>
          <w:rFonts w:ascii="Times New Roman" w:hAnsi="Times New Roman"/>
          <w:szCs w:val="24"/>
        </w:rPr>
        <w:t xml:space="preserve">prevention.  Not conducting this data collection would significantly impede SAMHSA’s ability to </w:t>
      </w:r>
      <w:r w:rsidR="00837F67" w:rsidRPr="009D17A3">
        <w:rPr>
          <w:rFonts w:ascii="Times New Roman" w:hAnsi="Times New Roman"/>
          <w:szCs w:val="24"/>
        </w:rPr>
        <w:t>asses</w:t>
      </w:r>
      <w:r w:rsidR="00197FEE" w:rsidRPr="009D17A3">
        <w:rPr>
          <w:rFonts w:ascii="Times New Roman" w:hAnsi="Times New Roman"/>
          <w:szCs w:val="24"/>
        </w:rPr>
        <w:t>s</w:t>
      </w:r>
      <w:r w:rsidR="00837F67" w:rsidRPr="009D17A3">
        <w:rPr>
          <w:rFonts w:ascii="Times New Roman" w:hAnsi="Times New Roman"/>
          <w:szCs w:val="24"/>
        </w:rPr>
        <w:t xml:space="preserve"> </w:t>
      </w:r>
      <w:r w:rsidRPr="009D17A3">
        <w:rPr>
          <w:rFonts w:ascii="Times New Roman" w:hAnsi="Times New Roman"/>
          <w:szCs w:val="24"/>
        </w:rPr>
        <w:t xml:space="preserve">the </w:t>
      </w:r>
      <w:r w:rsidR="00837F67" w:rsidRPr="009D17A3">
        <w:rPr>
          <w:rFonts w:ascii="Times New Roman" w:hAnsi="Times New Roman"/>
          <w:szCs w:val="24"/>
        </w:rPr>
        <w:t xml:space="preserve">implementation of the </w:t>
      </w:r>
      <w:r w:rsidRPr="009D17A3">
        <w:rPr>
          <w:rFonts w:ascii="Times New Roman" w:hAnsi="Times New Roman"/>
          <w:szCs w:val="24"/>
        </w:rPr>
        <w:t>SPF SIG process</w:t>
      </w:r>
      <w:r w:rsidR="005B12DF" w:rsidRPr="009D17A3">
        <w:rPr>
          <w:rFonts w:ascii="Times New Roman" w:hAnsi="Times New Roman"/>
          <w:szCs w:val="24"/>
        </w:rPr>
        <w:t xml:space="preserve"> and</w:t>
      </w:r>
      <w:r w:rsidRPr="009D17A3">
        <w:rPr>
          <w:rFonts w:ascii="Times New Roman" w:hAnsi="Times New Roman"/>
          <w:szCs w:val="24"/>
        </w:rPr>
        <w:t xml:space="preserve"> </w:t>
      </w:r>
      <w:r w:rsidR="00837F67" w:rsidRPr="009D17A3">
        <w:rPr>
          <w:rFonts w:ascii="Times New Roman" w:hAnsi="Times New Roman"/>
          <w:szCs w:val="24"/>
        </w:rPr>
        <w:t>measure</w:t>
      </w:r>
      <w:r w:rsidRPr="009D17A3">
        <w:rPr>
          <w:rFonts w:ascii="Times New Roman" w:hAnsi="Times New Roman"/>
          <w:szCs w:val="24"/>
        </w:rPr>
        <w:t xml:space="preserve"> improvements in</w:t>
      </w:r>
      <w:r w:rsidR="005B12DF" w:rsidRPr="009D17A3">
        <w:rPr>
          <w:rFonts w:ascii="Times New Roman" w:hAnsi="Times New Roman"/>
          <w:szCs w:val="24"/>
        </w:rPr>
        <w:t xml:space="preserve">: </w:t>
      </w:r>
      <w:r w:rsidRPr="009D17A3">
        <w:rPr>
          <w:rFonts w:ascii="Times New Roman" w:hAnsi="Times New Roman"/>
          <w:szCs w:val="24"/>
        </w:rPr>
        <w:t>strategic plan</w:t>
      </w:r>
      <w:r w:rsidR="00837F67" w:rsidRPr="009D17A3">
        <w:rPr>
          <w:rFonts w:ascii="Times New Roman" w:hAnsi="Times New Roman"/>
          <w:szCs w:val="24"/>
        </w:rPr>
        <w:t>ning</w:t>
      </w:r>
      <w:r w:rsidR="00CB6A7C" w:rsidRPr="009D17A3">
        <w:rPr>
          <w:rFonts w:ascii="Times New Roman" w:hAnsi="Times New Roman"/>
          <w:szCs w:val="24"/>
        </w:rPr>
        <w:t>;</w:t>
      </w:r>
      <w:r w:rsidR="00837F67" w:rsidRPr="009D17A3">
        <w:rPr>
          <w:rFonts w:ascii="Times New Roman" w:hAnsi="Times New Roman"/>
          <w:szCs w:val="24"/>
        </w:rPr>
        <w:t xml:space="preserve"> </w:t>
      </w:r>
      <w:r w:rsidR="00CB6A7C" w:rsidRPr="009D17A3">
        <w:rPr>
          <w:rFonts w:ascii="Times New Roman" w:hAnsi="Times New Roman"/>
          <w:szCs w:val="24"/>
        </w:rPr>
        <w:t xml:space="preserve">capacity and </w:t>
      </w:r>
      <w:r w:rsidR="00837F67" w:rsidRPr="009D17A3">
        <w:rPr>
          <w:rFonts w:ascii="Times New Roman" w:hAnsi="Times New Roman"/>
          <w:szCs w:val="24"/>
        </w:rPr>
        <w:t>infrastructure development</w:t>
      </w:r>
      <w:r w:rsidR="00CB6A7C" w:rsidRPr="009D17A3">
        <w:rPr>
          <w:rFonts w:ascii="Times New Roman" w:hAnsi="Times New Roman"/>
          <w:szCs w:val="24"/>
        </w:rPr>
        <w:t>;</w:t>
      </w:r>
      <w:r w:rsidR="00837F67" w:rsidRPr="009D17A3">
        <w:rPr>
          <w:rFonts w:ascii="Times New Roman" w:hAnsi="Times New Roman"/>
          <w:szCs w:val="24"/>
        </w:rPr>
        <w:t xml:space="preserve"> data-driven decision making</w:t>
      </w:r>
      <w:r w:rsidR="00CB6A7C" w:rsidRPr="009D17A3">
        <w:rPr>
          <w:rFonts w:ascii="Times New Roman" w:hAnsi="Times New Roman"/>
          <w:szCs w:val="24"/>
        </w:rPr>
        <w:t>;</w:t>
      </w:r>
      <w:r w:rsidR="00837F67" w:rsidRPr="009D17A3">
        <w:rPr>
          <w:rFonts w:ascii="Times New Roman" w:hAnsi="Times New Roman"/>
          <w:szCs w:val="24"/>
        </w:rPr>
        <w:t xml:space="preserve"> </w:t>
      </w:r>
      <w:r w:rsidR="00CB6A7C" w:rsidRPr="009D17A3">
        <w:rPr>
          <w:rFonts w:ascii="Times New Roman" w:hAnsi="Times New Roman"/>
          <w:szCs w:val="24"/>
        </w:rPr>
        <w:t xml:space="preserve">and </w:t>
      </w:r>
      <w:r w:rsidRPr="009D17A3">
        <w:rPr>
          <w:rFonts w:ascii="Times New Roman" w:hAnsi="Times New Roman"/>
          <w:szCs w:val="24"/>
        </w:rPr>
        <w:t>implementation of evidence-based prevention programs</w:t>
      </w:r>
      <w:r w:rsidR="005B12DF" w:rsidRPr="009D17A3">
        <w:rPr>
          <w:rFonts w:ascii="Times New Roman" w:hAnsi="Times New Roman"/>
          <w:szCs w:val="24"/>
        </w:rPr>
        <w:t xml:space="preserve">. </w:t>
      </w:r>
      <w:r w:rsidR="00CB6A7C" w:rsidRPr="009D17A3">
        <w:rPr>
          <w:rFonts w:ascii="Times New Roman" w:hAnsi="Times New Roman"/>
          <w:szCs w:val="24"/>
        </w:rPr>
        <w:t xml:space="preserve"> </w:t>
      </w:r>
      <w:r w:rsidR="005B12DF" w:rsidRPr="009D17A3">
        <w:rPr>
          <w:rFonts w:ascii="Times New Roman" w:hAnsi="Times New Roman"/>
          <w:szCs w:val="24"/>
        </w:rPr>
        <w:t xml:space="preserve">Less frequent data collection would also impede CSAP’s ability to </w:t>
      </w:r>
      <w:r w:rsidR="00CB6A7C" w:rsidRPr="009D17A3">
        <w:rPr>
          <w:rFonts w:ascii="Times New Roman" w:hAnsi="Times New Roman"/>
          <w:szCs w:val="24"/>
        </w:rPr>
        <w:t xml:space="preserve">track changes in </w:t>
      </w:r>
      <w:r w:rsidR="00A63778" w:rsidRPr="009D17A3">
        <w:rPr>
          <w:rFonts w:ascii="Times New Roman" w:hAnsi="Times New Roman"/>
          <w:szCs w:val="24"/>
        </w:rPr>
        <w:t xml:space="preserve">both </w:t>
      </w:r>
      <w:r w:rsidR="00CB6A7C" w:rsidRPr="009D17A3">
        <w:rPr>
          <w:rFonts w:ascii="Times New Roman" w:hAnsi="Times New Roman"/>
          <w:szCs w:val="24"/>
        </w:rPr>
        <w:t>substance use and substance use</w:t>
      </w:r>
      <w:r w:rsidR="001B411B" w:rsidRPr="009D17A3">
        <w:rPr>
          <w:rFonts w:ascii="Times New Roman" w:hAnsi="Times New Roman"/>
          <w:szCs w:val="24"/>
        </w:rPr>
        <w:t>-</w:t>
      </w:r>
      <w:r w:rsidR="00CB6A7C" w:rsidRPr="009D17A3">
        <w:rPr>
          <w:rFonts w:ascii="Times New Roman" w:hAnsi="Times New Roman"/>
          <w:szCs w:val="24"/>
        </w:rPr>
        <w:t xml:space="preserve">related problems.  </w:t>
      </w:r>
      <w:r w:rsidR="0031671F" w:rsidRPr="009D17A3">
        <w:rPr>
          <w:rFonts w:ascii="Times New Roman" w:hAnsi="Times New Roman"/>
          <w:szCs w:val="24"/>
        </w:rPr>
        <w:t xml:space="preserve">If data collection is not continued, SAMHSA will </w:t>
      </w:r>
      <w:r w:rsidR="009E267A" w:rsidRPr="009D17A3">
        <w:rPr>
          <w:rFonts w:ascii="Times New Roman" w:hAnsi="Times New Roman"/>
          <w:szCs w:val="24"/>
        </w:rPr>
        <w:t>have an in</w:t>
      </w:r>
      <w:r w:rsidR="0031671F" w:rsidRPr="009D17A3">
        <w:rPr>
          <w:rFonts w:ascii="Times New Roman" w:hAnsi="Times New Roman"/>
          <w:szCs w:val="24"/>
        </w:rPr>
        <w:t xml:space="preserve">complete dataset for the entire program and will lose critical information from tribes who comprise a significant portion of the </w:t>
      </w:r>
      <w:r w:rsidR="00A252B4" w:rsidRPr="009D17A3">
        <w:rPr>
          <w:rFonts w:ascii="Times New Roman" w:hAnsi="Times New Roman"/>
          <w:szCs w:val="24"/>
        </w:rPr>
        <w:t>C</w:t>
      </w:r>
      <w:r w:rsidR="0031671F" w:rsidRPr="009D17A3">
        <w:rPr>
          <w:rFonts w:ascii="Times New Roman" w:hAnsi="Times New Roman"/>
          <w:szCs w:val="24"/>
        </w:rPr>
        <w:t>ohort IV and V grantees.</w:t>
      </w:r>
    </w:p>
    <w:p w:rsidR="00922208" w:rsidRPr="009D17A3" w:rsidRDefault="007D3899" w:rsidP="00F24C35">
      <w:pPr>
        <w:pStyle w:val="Body"/>
        <w:rPr>
          <w:rFonts w:ascii="Times New Roman" w:hAnsi="Times New Roman"/>
          <w:szCs w:val="24"/>
        </w:rPr>
      </w:pPr>
      <w:r w:rsidRPr="009D17A3">
        <w:rPr>
          <w:rFonts w:ascii="Times New Roman" w:hAnsi="Times New Roman"/>
          <w:szCs w:val="24"/>
        </w:rPr>
        <w:t>The specific schedule of data collection is dependent upon the data being collected</w:t>
      </w:r>
      <w:r w:rsidR="00306B3E" w:rsidRPr="009D17A3">
        <w:rPr>
          <w:rFonts w:ascii="Times New Roman" w:hAnsi="Times New Roman"/>
          <w:szCs w:val="24"/>
        </w:rPr>
        <w:t xml:space="preserve">.  </w:t>
      </w:r>
      <w:r w:rsidR="001511B2" w:rsidRPr="009D17A3">
        <w:rPr>
          <w:rFonts w:ascii="Times New Roman" w:hAnsi="Times New Roman"/>
          <w:szCs w:val="24"/>
        </w:rPr>
        <w:t>T</w:t>
      </w:r>
      <w:r w:rsidRPr="009D17A3">
        <w:rPr>
          <w:rFonts w:ascii="Times New Roman" w:hAnsi="Times New Roman"/>
          <w:szCs w:val="24"/>
        </w:rPr>
        <w:t xml:space="preserve">he </w:t>
      </w:r>
      <w:r w:rsidR="009B4B04" w:rsidRPr="009D17A3">
        <w:rPr>
          <w:rFonts w:ascii="Times New Roman" w:hAnsi="Times New Roman"/>
          <w:szCs w:val="24"/>
        </w:rPr>
        <w:t xml:space="preserve">GLI </w:t>
      </w:r>
      <w:r w:rsidR="007702EA" w:rsidRPr="009D17A3">
        <w:rPr>
          <w:rFonts w:ascii="Times New Roman" w:hAnsi="Times New Roman"/>
          <w:szCs w:val="24"/>
        </w:rPr>
        <w:t>I</w:t>
      </w:r>
      <w:r w:rsidRPr="009D17A3">
        <w:rPr>
          <w:rFonts w:ascii="Times New Roman" w:hAnsi="Times New Roman"/>
          <w:szCs w:val="24"/>
        </w:rPr>
        <w:t xml:space="preserve">nfrastructure and </w:t>
      </w:r>
      <w:r w:rsidR="009B4B04" w:rsidRPr="009D17A3">
        <w:rPr>
          <w:rFonts w:ascii="Times New Roman" w:hAnsi="Times New Roman"/>
          <w:szCs w:val="24"/>
        </w:rPr>
        <w:t xml:space="preserve">the GLI </w:t>
      </w:r>
      <w:r w:rsidR="007702EA" w:rsidRPr="009D17A3">
        <w:rPr>
          <w:rFonts w:ascii="Times New Roman" w:hAnsi="Times New Roman"/>
          <w:szCs w:val="24"/>
        </w:rPr>
        <w:t>I</w:t>
      </w:r>
      <w:r w:rsidRPr="009D17A3">
        <w:rPr>
          <w:rFonts w:ascii="Times New Roman" w:hAnsi="Times New Roman"/>
          <w:szCs w:val="24"/>
        </w:rPr>
        <w:t xml:space="preserve">mplementation </w:t>
      </w:r>
      <w:r w:rsidR="007702EA" w:rsidRPr="009D17A3">
        <w:rPr>
          <w:rFonts w:ascii="Times New Roman" w:hAnsi="Times New Roman"/>
          <w:szCs w:val="24"/>
        </w:rPr>
        <w:t>Instrument</w:t>
      </w:r>
      <w:r w:rsidRPr="009D17A3">
        <w:rPr>
          <w:rFonts w:ascii="Times New Roman" w:hAnsi="Times New Roman"/>
          <w:szCs w:val="24"/>
        </w:rPr>
        <w:t xml:space="preserve">s are </w:t>
      </w:r>
      <w:r w:rsidR="005B12DF" w:rsidRPr="009D17A3">
        <w:rPr>
          <w:rFonts w:ascii="Times New Roman" w:hAnsi="Times New Roman"/>
          <w:szCs w:val="24"/>
        </w:rPr>
        <w:t>completed</w:t>
      </w:r>
      <w:r w:rsidRPr="009D17A3">
        <w:rPr>
          <w:rFonts w:ascii="Times New Roman" w:hAnsi="Times New Roman"/>
          <w:szCs w:val="24"/>
        </w:rPr>
        <w:t xml:space="preserve"> twice over the grant period</w:t>
      </w:r>
      <w:r w:rsidR="00C03167" w:rsidRPr="009D17A3">
        <w:rPr>
          <w:rFonts w:ascii="Times New Roman" w:hAnsi="Times New Roman"/>
          <w:szCs w:val="24"/>
        </w:rPr>
        <w:t xml:space="preserve"> (only once remaining)</w:t>
      </w:r>
      <w:r w:rsidR="00B547B3" w:rsidRPr="009D17A3">
        <w:rPr>
          <w:rFonts w:ascii="Times New Roman" w:hAnsi="Times New Roman"/>
          <w:szCs w:val="24"/>
        </w:rPr>
        <w:t xml:space="preserve">; </w:t>
      </w:r>
      <w:r w:rsidRPr="009D17A3">
        <w:rPr>
          <w:rFonts w:ascii="Times New Roman" w:hAnsi="Times New Roman"/>
          <w:szCs w:val="24"/>
        </w:rPr>
        <w:t xml:space="preserve">the </w:t>
      </w:r>
      <w:r w:rsidR="00C911A9" w:rsidRPr="009D17A3">
        <w:rPr>
          <w:rFonts w:ascii="Times New Roman" w:hAnsi="Times New Roman"/>
          <w:szCs w:val="24"/>
        </w:rPr>
        <w:t>CLI</w:t>
      </w:r>
      <w:r w:rsidR="007702EA" w:rsidRPr="009D17A3" w:rsidDel="007702EA">
        <w:rPr>
          <w:rFonts w:ascii="Times New Roman" w:hAnsi="Times New Roman"/>
          <w:szCs w:val="24"/>
        </w:rPr>
        <w:t xml:space="preserve"> </w:t>
      </w:r>
      <w:r w:rsidRPr="009D17A3">
        <w:rPr>
          <w:rFonts w:ascii="Times New Roman" w:hAnsi="Times New Roman"/>
          <w:szCs w:val="24"/>
        </w:rPr>
        <w:t xml:space="preserve">(Part </w:t>
      </w:r>
      <w:r w:rsidR="0043373B" w:rsidRPr="009D17A3">
        <w:rPr>
          <w:rFonts w:ascii="Times New Roman" w:hAnsi="Times New Roman"/>
          <w:szCs w:val="24"/>
        </w:rPr>
        <w:t>I</w:t>
      </w:r>
      <w:r w:rsidRPr="009D17A3">
        <w:rPr>
          <w:rFonts w:ascii="Times New Roman" w:hAnsi="Times New Roman"/>
          <w:szCs w:val="24"/>
        </w:rPr>
        <w:t xml:space="preserve">) is </w:t>
      </w:r>
      <w:r w:rsidR="006479EE" w:rsidRPr="009D17A3">
        <w:rPr>
          <w:rFonts w:ascii="Times New Roman" w:hAnsi="Times New Roman"/>
          <w:szCs w:val="24"/>
        </w:rPr>
        <w:t>collected</w:t>
      </w:r>
      <w:r w:rsidRPr="009D17A3">
        <w:rPr>
          <w:rFonts w:ascii="Times New Roman" w:hAnsi="Times New Roman"/>
          <w:szCs w:val="24"/>
        </w:rPr>
        <w:t xml:space="preserve"> annually, </w:t>
      </w:r>
      <w:r w:rsidR="00EF6121" w:rsidRPr="009D17A3">
        <w:rPr>
          <w:rFonts w:ascii="Times New Roman" w:hAnsi="Times New Roman"/>
          <w:szCs w:val="24"/>
        </w:rPr>
        <w:t xml:space="preserve">and </w:t>
      </w:r>
      <w:r w:rsidRPr="009D17A3">
        <w:rPr>
          <w:rFonts w:ascii="Times New Roman" w:hAnsi="Times New Roman"/>
          <w:szCs w:val="24"/>
        </w:rPr>
        <w:t xml:space="preserve">the </w:t>
      </w:r>
      <w:r w:rsidR="00C911A9" w:rsidRPr="009D17A3">
        <w:rPr>
          <w:rFonts w:ascii="Times New Roman" w:hAnsi="Times New Roman"/>
          <w:szCs w:val="24"/>
        </w:rPr>
        <w:t>CLI</w:t>
      </w:r>
      <w:r w:rsidRPr="009D17A3">
        <w:rPr>
          <w:rFonts w:ascii="Times New Roman" w:hAnsi="Times New Roman"/>
          <w:szCs w:val="24"/>
        </w:rPr>
        <w:t xml:space="preserve"> (Part </w:t>
      </w:r>
      <w:r w:rsidR="0043373B" w:rsidRPr="009D17A3">
        <w:rPr>
          <w:rFonts w:ascii="Times New Roman" w:hAnsi="Times New Roman"/>
          <w:szCs w:val="24"/>
        </w:rPr>
        <w:t>II</w:t>
      </w:r>
      <w:r w:rsidRPr="009D17A3">
        <w:rPr>
          <w:rFonts w:ascii="Times New Roman" w:hAnsi="Times New Roman"/>
          <w:szCs w:val="24"/>
        </w:rPr>
        <w:t xml:space="preserve">) is </w:t>
      </w:r>
      <w:r w:rsidR="006479EE" w:rsidRPr="009D17A3">
        <w:rPr>
          <w:rFonts w:ascii="Times New Roman" w:hAnsi="Times New Roman"/>
          <w:szCs w:val="24"/>
        </w:rPr>
        <w:t xml:space="preserve">collected </w:t>
      </w:r>
      <w:r w:rsidRPr="009D17A3">
        <w:rPr>
          <w:rFonts w:ascii="Times New Roman" w:hAnsi="Times New Roman"/>
          <w:szCs w:val="24"/>
        </w:rPr>
        <w:t>every 6</w:t>
      </w:r>
      <w:r w:rsidR="00380D98" w:rsidRPr="009D17A3">
        <w:rPr>
          <w:rFonts w:ascii="Times New Roman" w:hAnsi="Times New Roman"/>
          <w:szCs w:val="24"/>
        </w:rPr>
        <w:t xml:space="preserve"> </w:t>
      </w:r>
      <w:r w:rsidRPr="009D17A3">
        <w:rPr>
          <w:rFonts w:ascii="Times New Roman" w:hAnsi="Times New Roman"/>
          <w:szCs w:val="24"/>
        </w:rPr>
        <w:t>months</w:t>
      </w:r>
      <w:r w:rsidR="00C03167" w:rsidRPr="009D17A3">
        <w:rPr>
          <w:rFonts w:ascii="Times New Roman" w:hAnsi="Times New Roman"/>
          <w:szCs w:val="24"/>
        </w:rPr>
        <w:t xml:space="preserve"> to assure completeness and accuracy of the data, to assist in monitoring the grantees</w:t>
      </w:r>
      <w:r w:rsidR="00315DBA" w:rsidRPr="009D17A3">
        <w:rPr>
          <w:rFonts w:ascii="Times New Roman" w:hAnsi="Times New Roman"/>
          <w:szCs w:val="24"/>
        </w:rPr>
        <w:t>’</w:t>
      </w:r>
      <w:r w:rsidR="00C03167" w:rsidRPr="009D17A3">
        <w:rPr>
          <w:rFonts w:ascii="Times New Roman" w:hAnsi="Times New Roman"/>
          <w:szCs w:val="24"/>
        </w:rPr>
        <w:t xml:space="preserve"> work, to enable report on progress</w:t>
      </w:r>
      <w:r w:rsidR="00306B3E" w:rsidRPr="009D17A3">
        <w:rPr>
          <w:rFonts w:ascii="Times New Roman" w:hAnsi="Times New Roman"/>
          <w:szCs w:val="24"/>
        </w:rPr>
        <w:t>,</w:t>
      </w:r>
      <w:r w:rsidR="00C03167" w:rsidRPr="009D17A3">
        <w:rPr>
          <w:rFonts w:ascii="Times New Roman" w:hAnsi="Times New Roman"/>
          <w:szCs w:val="24"/>
        </w:rPr>
        <w:t xml:space="preserve"> and to reduce the need to enter years of data at one time.</w:t>
      </w:r>
      <w:r w:rsidR="008B33F8" w:rsidRPr="009D17A3">
        <w:rPr>
          <w:rFonts w:ascii="Times New Roman" w:hAnsi="Times New Roman"/>
          <w:szCs w:val="24"/>
        </w:rPr>
        <w:t xml:space="preserve"> </w:t>
      </w:r>
      <w:r w:rsidR="00DD0AC3" w:rsidRPr="009D17A3">
        <w:rPr>
          <w:rFonts w:ascii="Times New Roman" w:hAnsi="Times New Roman"/>
          <w:szCs w:val="24"/>
        </w:rPr>
        <w:t>D</w:t>
      </w:r>
      <w:r w:rsidR="00193C33" w:rsidRPr="009D17A3">
        <w:rPr>
          <w:rFonts w:ascii="Times New Roman" w:hAnsi="Times New Roman"/>
          <w:szCs w:val="24"/>
        </w:rPr>
        <w:t xml:space="preserve">ata from multiple time periods </w:t>
      </w:r>
      <w:r w:rsidR="005B12DF" w:rsidRPr="009D17A3">
        <w:rPr>
          <w:rFonts w:ascii="Times New Roman" w:hAnsi="Times New Roman"/>
          <w:szCs w:val="24"/>
        </w:rPr>
        <w:t>are</w:t>
      </w:r>
      <w:r w:rsidR="00193C33" w:rsidRPr="009D17A3">
        <w:rPr>
          <w:rFonts w:ascii="Times New Roman" w:hAnsi="Times New Roman"/>
          <w:szCs w:val="24"/>
        </w:rPr>
        <w:t xml:space="preserve"> essential for monitoring the progress of states and </w:t>
      </w:r>
      <w:r w:rsidR="00193C33" w:rsidRPr="009D17A3">
        <w:rPr>
          <w:rFonts w:ascii="Times New Roman" w:hAnsi="Times New Roman"/>
          <w:szCs w:val="24"/>
        </w:rPr>
        <w:lastRenderedPageBreak/>
        <w:t>communities as they implement the SPF</w:t>
      </w:r>
      <w:r w:rsidR="00DD0AC3" w:rsidRPr="009D17A3">
        <w:rPr>
          <w:rFonts w:ascii="Times New Roman" w:hAnsi="Times New Roman"/>
          <w:szCs w:val="24"/>
        </w:rPr>
        <w:t xml:space="preserve"> and</w:t>
      </w:r>
      <w:r w:rsidR="00193C33" w:rsidRPr="009D17A3">
        <w:rPr>
          <w:rFonts w:ascii="Times New Roman" w:hAnsi="Times New Roman"/>
          <w:szCs w:val="24"/>
        </w:rPr>
        <w:t xml:space="preserve"> </w:t>
      </w:r>
      <w:r w:rsidR="00DD0AC3" w:rsidRPr="009D17A3">
        <w:rPr>
          <w:rFonts w:ascii="Times New Roman" w:hAnsi="Times New Roman"/>
          <w:szCs w:val="24"/>
        </w:rPr>
        <w:t>deliver ev</w:t>
      </w:r>
      <w:r w:rsidR="00B1585D" w:rsidRPr="009D17A3">
        <w:rPr>
          <w:rFonts w:ascii="Times New Roman" w:hAnsi="Times New Roman"/>
          <w:szCs w:val="24"/>
        </w:rPr>
        <w:t>idence-based strategies</w:t>
      </w:r>
      <w:r w:rsidR="00B547B3" w:rsidRPr="009D17A3">
        <w:rPr>
          <w:rFonts w:ascii="Times New Roman" w:hAnsi="Times New Roman"/>
          <w:szCs w:val="24"/>
        </w:rPr>
        <w:t xml:space="preserve"> as well as </w:t>
      </w:r>
      <w:r w:rsidR="00B1585D" w:rsidRPr="009D17A3">
        <w:rPr>
          <w:rFonts w:ascii="Times New Roman" w:hAnsi="Times New Roman"/>
          <w:szCs w:val="24"/>
        </w:rPr>
        <w:t>for</w:t>
      </w:r>
      <w:r w:rsidR="00DD0AC3" w:rsidRPr="009D17A3">
        <w:rPr>
          <w:rFonts w:ascii="Times New Roman" w:hAnsi="Times New Roman"/>
          <w:szCs w:val="24"/>
        </w:rPr>
        <w:t xml:space="preserve"> </w:t>
      </w:r>
      <w:r w:rsidR="00193C33" w:rsidRPr="009D17A3">
        <w:rPr>
          <w:rFonts w:ascii="Times New Roman" w:hAnsi="Times New Roman"/>
          <w:szCs w:val="24"/>
        </w:rPr>
        <w:t>identifying communities that are experiencing obstacles</w:t>
      </w:r>
      <w:r w:rsidR="00DD0AC3" w:rsidRPr="009D17A3">
        <w:rPr>
          <w:rFonts w:ascii="Times New Roman" w:hAnsi="Times New Roman"/>
          <w:szCs w:val="24"/>
        </w:rPr>
        <w:t xml:space="preserve"> and may need technical assistance.  </w:t>
      </w:r>
    </w:p>
    <w:p w:rsidR="005A35A6" w:rsidRPr="009D17A3" w:rsidRDefault="00C40C4F" w:rsidP="009D17A3">
      <w:pPr>
        <w:pStyle w:val="Heading2"/>
        <w:spacing w:line="360" w:lineRule="auto"/>
        <w:rPr>
          <w:rFonts w:ascii="Times New Roman" w:hAnsi="Times New Roman"/>
          <w:sz w:val="24"/>
          <w:szCs w:val="24"/>
        </w:rPr>
      </w:pPr>
      <w:r w:rsidRPr="009D17A3">
        <w:rPr>
          <w:rFonts w:ascii="Times New Roman" w:hAnsi="Times New Roman"/>
          <w:sz w:val="24"/>
          <w:szCs w:val="24"/>
        </w:rPr>
        <w:t xml:space="preserve">A7.  Consistency </w:t>
      </w:r>
      <w:r w:rsidR="00316423" w:rsidRPr="009D17A3">
        <w:rPr>
          <w:rFonts w:ascii="Times New Roman" w:hAnsi="Times New Roman"/>
          <w:sz w:val="24"/>
          <w:szCs w:val="24"/>
        </w:rPr>
        <w:t>with</w:t>
      </w:r>
      <w:r w:rsidRPr="009D17A3">
        <w:rPr>
          <w:rFonts w:ascii="Times New Roman" w:hAnsi="Times New Roman"/>
          <w:sz w:val="24"/>
          <w:szCs w:val="24"/>
        </w:rPr>
        <w:t xml:space="preserve"> Guidelines in 5 CFR 1320.5(d</w:t>
      </w:r>
      <w:r w:rsidR="003B17ED" w:rsidRPr="009D17A3">
        <w:rPr>
          <w:rFonts w:ascii="Times New Roman" w:hAnsi="Times New Roman"/>
          <w:sz w:val="24"/>
          <w:szCs w:val="24"/>
        </w:rPr>
        <w:t>) (</w:t>
      </w:r>
      <w:r w:rsidRPr="009D17A3">
        <w:rPr>
          <w:rFonts w:ascii="Times New Roman" w:hAnsi="Times New Roman"/>
          <w:sz w:val="24"/>
          <w:szCs w:val="24"/>
        </w:rPr>
        <w:t>2)</w:t>
      </w:r>
    </w:p>
    <w:p w:rsidR="00C40C4F" w:rsidRPr="009D17A3" w:rsidRDefault="00C40C4F" w:rsidP="00F24C35">
      <w:pPr>
        <w:pStyle w:val="Body"/>
        <w:rPr>
          <w:rFonts w:ascii="Times New Roman" w:hAnsi="Times New Roman"/>
          <w:szCs w:val="24"/>
        </w:rPr>
      </w:pPr>
      <w:r w:rsidRPr="009D17A3">
        <w:rPr>
          <w:rFonts w:ascii="Times New Roman" w:hAnsi="Times New Roman"/>
          <w:szCs w:val="24"/>
        </w:rPr>
        <w:t xml:space="preserve">The proposed </w:t>
      </w:r>
      <w:r w:rsidR="00D20408" w:rsidRPr="009D17A3">
        <w:rPr>
          <w:rFonts w:ascii="Times New Roman" w:hAnsi="Times New Roman"/>
          <w:szCs w:val="24"/>
        </w:rPr>
        <w:t xml:space="preserve">continuation of </w:t>
      </w:r>
      <w:r w:rsidRPr="009D17A3">
        <w:rPr>
          <w:rFonts w:ascii="Times New Roman" w:hAnsi="Times New Roman"/>
          <w:szCs w:val="24"/>
        </w:rPr>
        <w:t>data collection</w:t>
      </w:r>
      <w:r w:rsidR="0059140A" w:rsidRPr="009D17A3">
        <w:rPr>
          <w:rFonts w:ascii="Times New Roman" w:hAnsi="Times New Roman"/>
          <w:szCs w:val="24"/>
        </w:rPr>
        <w:t xml:space="preserve"> for </w:t>
      </w:r>
      <w:r w:rsidR="007628C9" w:rsidRPr="009D17A3">
        <w:rPr>
          <w:rFonts w:ascii="Times New Roman" w:hAnsi="Times New Roman"/>
          <w:szCs w:val="24"/>
        </w:rPr>
        <w:t xml:space="preserve">Cohorts </w:t>
      </w:r>
      <w:r w:rsidR="00756E60" w:rsidRPr="009D17A3">
        <w:rPr>
          <w:rFonts w:ascii="Times New Roman" w:hAnsi="Times New Roman"/>
          <w:szCs w:val="24"/>
        </w:rPr>
        <w:t xml:space="preserve">IV </w:t>
      </w:r>
      <w:r w:rsidR="00756E60" w:rsidRPr="009D17A3">
        <w:rPr>
          <w:rFonts w:ascii="Times New Roman" w:hAnsi="Times New Roman"/>
          <w:color w:val="000000"/>
          <w:szCs w:val="24"/>
        </w:rPr>
        <w:t>and V</w:t>
      </w:r>
      <w:r w:rsidR="00756E60" w:rsidRPr="009D17A3">
        <w:rPr>
          <w:rFonts w:ascii="Times New Roman" w:hAnsi="Times New Roman"/>
          <w:szCs w:val="24"/>
        </w:rPr>
        <w:t xml:space="preserve"> </w:t>
      </w:r>
      <w:r w:rsidRPr="009D17A3">
        <w:rPr>
          <w:rFonts w:ascii="Times New Roman" w:hAnsi="Times New Roman"/>
          <w:szCs w:val="24"/>
        </w:rPr>
        <w:t>fully complies with all guidelines of 5 CFR 1320.5.</w:t>
      </w:r>
    </w:p>
    <w:p w:rsidR="005A35A6" w:rsidRPr="009D17A3" w:rsidRDefault="00C40C4F" w:rsidP="009D17A3">
      <w:pPr>
        <w:pStyle w:val="Heading2"/>
        <w:spacing w:line="360" w:lineRule="auto"/>
        <w:rPr>
          <w:rFonts w:ascii="Times New Roman" w:hAnsi="Times New Roman"/>
          <w:sz w:val="24"/>
          <w:szCs w:val="24"/>
        </w:rPr>
      </w:pPr>
      <w:r w:rsidRPr="009D17A3">
        <w:rPr>
          <w:rFonts w:ascii="Times New Roman" w:hAnsi="Times New Roman"/>
          <w:sz w:val="24"/>
          <w:szCs w:val="24"/>
        </w:rPr>
        <w:t xml:space="preserve">A8.  Consultation </w:t>
      </w:r>
      <w:proofErr w:type="gramStart"/>
      <w:r w:rsidRPr="009D17A3">
        <w:rPr>
          <w:rFonts w:ascii="Times New Roman" w:hAnsi="Times New Roman"/>
          <w:sz w:val="24"/>
          <w:szCs w:val="24"/>
        </w:rPr>
        <w:t>Outside</w:t>
      </w:r>
      <w:proofErr w:type="gramEnd"/>
      <w:r w:rsidRPr="009D17A3">
        <w:rPr>
          <w:rFonts w:ascii="Times New Roman" w:hAnsi="Times New Roman"/>
          <w:sz w:val="24"/>
          <w:szCs w:val="24"/>
        </w:rPr>
        <w:t xml:space="preserve"> the Agency</w:t>
      </w:r>
    </w:p>
    <w:p w:rsidR="005A35A6" w:rsidRPr="009D17A3" w:rsidRDefault="003576A1" w:rsidP="00F24C35">
      <w:pPr>
        <w:pStyle w:val="Heading3"/>
        <w:spacing w:before="120" w:line="360" w:lineRule="auto"/>
        <w:rPr>
          <w:rFonts w:ascii="Times New Roman" w:hAnsi="Times New Roman"/>
          <w:szCs w:val="24"/>
        </w:rPr>
      </w:pPr>
      <w:r w:rsidRPr="009D17A3">
        <w:rPr>
          <w:rFonts w:ascii="Times New Roman" w:hAnsi="Times New Roman"/>
          <w:szCs w:val="24"/>
        </w:rPr>
        <w:t>A8a. Federal Registry Announcement</w:t>
      </w:r>
    </w:p>
    <w:p w:rsidR="003576A1" w:rsidRPr="009D17A3" w:rsidRDefault="003576A1" w:rsidP="00F24C35">
      <w:pPr>
        <w:pStyle w:val="Body"/>
        <w:rPr>
          <w:rFonts w:ascii="Times New Roman" w:hAnsi="Times New Roman"/>
          <w:szCs w:val="24"/>
        </w:rPr>
      </w:pPr>
      <w:r w:rsidRPr="009D17A3">
        <w:rPr>
          <w:rFonts w:ascii="Times New Roman" w:hAnsi="Times New Roman"/>
          <w:szCs w:val="24"/>
        </w:rPr>
        <w:t xml:space="preserve">The notice required in 5 CFR 1320.8(d) was published in the </w:t>
      </w:r>
      <w:r w:rsidRPr="009D17A3">
        <w:rPr>
          <w:rFonts w:ascii="Times New Roman" w:hAnsi="Times New Roman"/>
          <w:i/>
          <w:szCs w:val="24"/>
        </w:rPr>
        <w:t xml:space="preserve">Federal Register </w:t>
      </w:r>
      <w:r w:rsidRPr="009D17A3">
        <w:rPr>
          <w:rFonts w:ascii="Times New Roman" w:hAnsi="Times New Roman"/>
          <w:szCs w:val="24"/>
        </w:rPr>
        <w:t xml:space="preserve">on </w:t>
      </w:r>
      <w:r w:rsidR="005F6363">
        <w:rPr>
          <w:rFonts w:ascii="Times New Roman" w:hAnsi="Times New Roman"/>
          <w:szCs w:val="24"/>
        </w:rPr>
        <w:t>September 3, 2013</w:t>
      </w:r>
      <w:r w:rsidR="002F7167" w:rsidRPr="009D17A3">
        <w:rPr>
          <w:rFonts w:ascii="Times New Roman" w:hAnsi="Times New Roman"/>
          <w:szCs w:val="24"/>
        </w:rPr>
        <w:t xml:space="preserve"> (Vol. </w:t>
      </w:r>
      <w:r w:rsidR="005F6363">
        <w:rPr>
          <w:rFonts w:ascii="Times New Roman" w:hAnsi="Times New Roman"/>
          <w:szCs w:val="24"/>
        </w:rPr>
        <w:t>78</w:t>
      </w:r>
      <w:r w:rsidR="002F7167" w:rsidRPr="009D17A3">
        <w:rPr>
          <w:rFonts w:ascii="Times New Roman" w:hAnsi="Times New Roman"/>
          <w:szCs w:val="24"/>
        </w:rPr>
        <w:t xml:space="preserve">, Page </w:t>
      </w:r>
      <w:r w:rsidR="005F6363">
        <w:rPr>
          <w:rFonts w:ascii="Times New Roman" w:hAnsi="Times New Roman"/>
          <w:szCs w:val="24"/>
        </w:rPr>
        <w:t>54263</w:t>
      </w:r>
      <w:r w:rsidR="002F7167" w:rsidRPr="009D17A3">
        <w:rPr>
          <w:rFonts w:ascii="Times New Roman" w:hAnsi="Times New Roman"/>
          <w:szCs w:val="24"/>
        </w:rPr>
        <w:t>).</w:t>
      </w:r>
      <w:r w:rsidRPr="009D17A3">
        <w:rPr>
          <w:rFonts w:ascii="Times New Roman" w:hAnsi="Times New Roman"/>
          <w:szCs w:val="24"/>
        </w:rPr>
        <w:t xml:space="preserve">  </w:t>
      </w:r>
    </w:p>
    <w:p w:rsidR="005A35A6" w:rsidRPr="009D17A3" w:rsidRDefault="003576A1" w:rsidP="00F24C35">
      <w:pPr>
        <w:pStyle w:val="Heading3"/>
        <w:spacing w:before="120" w:line="360" w:lineRule="auto"/>
        <w:rPr>
          <w:rFonts w:ascii="Times New Roman" w:hAnsi="Times New Roman"/>
          <w:szCs w:val="24"/>
        </w:rPr>
      </w:pPr>
      <w:r w:rsidRPr="009D17A3">
        <w:rPr>
          <w:rFonts w:ascii="Times New Roman" w:hAnsi="Times New Roman"/>
          <w:szCs w:val="24"/>
        </w:rPr>
        <w:t xml:space="preserve">A8b. Consultations </w:t>
      </w:r>
      <w:proofErr w:type="gramStart"/>
      <w:r w:rsidRPr="009D17A3">
        <w:rPr>
          <w:rFonts w:ascii="Times New Roman" w:hAnsi="Times New Roman"/>
          <w:szCs w:val="24"/>
        </w:rPr>
        <w:t>Outside</w:t>
      </w:r>
      <w:proofErr w:type="gramEnd"/>
      <w:r w:rsidRPr="009D17A3">
        <w:rPr>
          <w:rFonts w:ascii="Times New Roman" w:hAnsi="Times New Roman"/>
          <w:szCs w:val="24"/>
        </w:rPr>
        <w:t xml:space="preserve"> the Agency</w:t>
      </w:r>
    </w:p>
    <w:p w:rsidR="00BC32AA" w:rsidRPr="009D17A3" w:rsidRDefault="003576A1" w:rsidP="00F24C35">
      <w:pPr>
        <w:pStyle w:val="Body"/>
        <w:rPr>
          <w:rFonts w:ascii="Times New Roman" w:hAnsi="Times New Roman"/>
          <w:szCs w:val="24"/>
        </w:rPr>
      </w:pPr>
      <w:r w:rsidRPr="009D17A3">
        <w:rPr>
          <w:rFonts w:ascii="Times New Roman" w:hAnsi="Times New Roman"/>
          <w:szCs w:val="24"/>
        </w:rPr>
        <w:t>The evaluation design</w:t>
      </w:r>
      <w:r w:rsidR="00BC32AA" w:rsidRPr="009D17A3">
        <w:rPr>
          <w:rFonts w:ascii="Times New Roman" w:hAnsi="Times New Roman"/>
          <w:szCs w:val="24"/>
        </w:rPr>
        <w:t xml:space="preserve"> and</w:t>
      </w:r>
      <w:r w:rsidRPr="009D17A3">
        <w:rPr>
          <w:rFonts w:ascii="Times New Roman" w:hAnsi="Times New Roman"/>
          <w:szCs w:val="24"/>
        </w:rPr>
        <w:t xml:space="preserve"> data analysis plan</w:t>
      </w:r>
      <w:r w:rsidR="00BC32AA" w:rsidRPr="009D17A3">
        <w:rPr>
          <w:rFonts w:ascii="Times New Roman" w:hAnsi="Times New Roman"/>
          <w:szCs w:val="24"/>
        </w:rPr>
        <w:t xml:space="preserve"> for th</w:t>
      </w:r>
      <w:r w:rsidR="00380D98" w:rsidRPr="009D17A3">
        <w:rPr>
          <w:rFonts w:ascii="Times New Roman" w:hAnsi="Times New Roman"/>
          <w:szCs w:val="24"/>
        </w:rPr>
        <w:t>is</w:t>
      </w:r>
      <w:r w:rsidR="00EF6121" w:rsidRPr="009D17A3">
        <w:rPr>
          <w:rFonts w:ascii="Times New Roman" w:hAnsi="Times New Roman"/>
          <w:szCs w:val="24"/>
        </w:rPr>
        <w:t xml:space="preserve"> SPF SIG </w:t>
      </w:r>
      <w:r w:rsidR="00380D98" w:rsidRPr="009D17A3">
        <w:rPr>
          <w:rFonts w:ascii="Times New Roman" w:hAnsi="Times New Roman"/>
          <w:szCs w:val="24"/>
        </w:rPr>
        <w:t>C</w:t>
      </w:r>
      <w:r w:rsidR="00BC32AA" w:rsidRPr="009D17A3">
        <w:rPr>
          <w:rFonts w:ascii="Times New Roman" w:hAnsi="Times New Roman"/>
          <w:szCs w:val="24"/>
        </w:rPr>
        <w:t>ross-site evaluation ha</w:t>
      </w:r>
      <w:r w:rsidR="00F47DA6" w:rsidRPr="009D17A3">
        <w:rPr>
          <w:rFonts w:ascii="Times New Roman" w:hAnsi="Times New Roman"/>
          <w:szCs w:val="24"/>
        </w:rPr>
        <w:t>ve</w:t>
      </w:r>
      <w:r w:rsidR="00BC32AA" w:rsidRPr="009D17A3">
        <w:rPr>
          <w:rFonts w:ascii="Times New Roman" w:hAnsi="Times New Roman"/>
          <w:szCs w:val="24"/>
        </w:rPr>
        <w:t xml:space="preserve"> not changed since the previous OMB approval.  The instruments have been revised in consultation with the CSAP SPF SIG Project Officer, DCAR Project Officer, and DCAR team members.</w:t>
      </w:r>
      <w:r w:rsidR="00413896" w:rsidRPr="009D17A3">
        <w:rPr>
          <w:rFonts w:ascii="Times New Roman" w:hAnsi="Times New Roman"/>
          <w:szCs w:val="24"/>
        </w:rPr>
        <w:t xml:space="preserve">  </w:t>
      </w:r>
      <w:r w:rsidR="008B6F15" w:rsidRPr="009D17A3">
        <w:rPr>
          <w:rFonts w:ascii="Times New Roman" w:hAnsi="Times New Roman"/>
          <w:szCs w:val="24"/>
        </w:rPr>
        <w:t xml:space="preserve">The following individuals </w:t>
      </w:r>
      <w:r w:rsidR="00413896" w:rsidRPr="009D17A3">
        <w:rPr>
          <w:rFonts w:ascii="Times New Roman" w:hAnsi="Times New Roman"/>
          <w:szCs w:val="24"/>
        </w:rPr>
        <w:t>consulted on these instrument revisions</w:t>
      </w:r>
      <w:r w:rsidR="008B6F15" w:rsidRPr="009D17A3">
        <w:rPr>
          <w:rFonts w:ascii="Times New Roman" w:hAnsi="Times New Roman"/>
          <w:szCs w:val="24"/>
        </w:rPr>
        <w:t>:</w:t>
      </w:r>
    </w:p>
    <w:p w:rsidR="00EF6121" w:rsidRPr="009D17A3" w:rsidRDefault="00EF6121" w:rsidP="00BE614A">
      <w:pPr>
        <w:ind w:firstLine="720"/>
      </w:pPr>
    </w:p>
    <w:p w:rsidR="00BE614A" w:rsidRPr="009D17A3" w:rsidRDefault="00BE614A" w:rsidP="00BE614A">
      <w:pPr>
        <w:ind w:firstLine="720"/>
      </w:pPr>
      <w:r w:rsidRPr="009D17A3">
        <w:t xml:space="preserve">Donna </w:t>
      </w:r>
      <w:r w:rsidR="005819D6" w:rsidRPr="009D17A3">
        <w:t xml:space="preserve">Durant </w:t>
      </w:r>
      <w:r w:rsidRPr="009D17A3">
        <w:t>Atkinson, Ph.D.</w:t>
      </w:r>
    </w:p>
    <w:p w:rsidR="004A5152" w:rsidRPr="009D17A3" w:rsidRDefault="004A5152" w:rsidP="00BE614A">
      <w:pPr>
        <w:ind w:firstLine="720"/>
      </w:pPr>
      <w:r w:rsidRPr="009D17A3">
        <w:t>DCAR Project Director</w:t>
      </w:r>
    </w:p>
    <w:p w:rsidR="00BE614A" w:rsidRPr="009D17A3" w:rsidRDefault="00BE614A" w:rsidP="00BE614A">
      <w:pPr>
        <w:ind w:firstLine="720"/>
      </w:pPr>
      <w:r w:rsidRPr="009D17A3">
        <w:t>Westat</w:t>
      </w:r>
    </w:p>
    <w:p w:rsidR="00BE614A" w:rsidRPr="009D17A3" w:rsidRDefault="00BE614A" w:rsidP="00BE614A">
      <w:pPr>
        <w:ind w:firstLine="720"/>
      </w:pPr>
      <w:r w:rsidRPr="009D17A3">
        <w:t xml:space="preserve">Rockville, MD </w:t>
      </w:r>
    </w:p>
    <w:p w:rsidR="00BE614A" w:rsidRPr="009D17A3" w:rsidRDefault="00BE614A" w:rsidP="00BE614A">
      <w:pPr>
        <w:ind w:firstLine="720"/>
      </w:pPr>
    </w:p>
    <w:p w:rsidR="00BE614A" w:rsidRPr="009D17A3" w:rsidRDefault="00BE614A" w:rsidP="00BE614A">
      <w:pPr>
        <w:ind w:firstLine="720"/>
      </w:pPr>
      <w:r w:rsidRPr="009D17A3">
        <w:t>Ilene Klein, Ph.D.</w:t>
      </w:r>
    </w:p>
    <w:p w:rsidR="004A5152" w:rsidRPr="009D17A3" w:rsidRDefault="004A5152" w:rsidP="00BE614A">
      <w:pPr>
        <w:ind w:firstLine="720"/>
      </w:pPr>
      <w:r w:rsidRPr="009D17A3">
        <w:t>DCAR Associate Project Director</w:t>
      </w:r>
    </w:p>
    <w:p w:rsidR="00BE614A" w:rsidRPr="009D17A3" w:rsidRDefault="00BE614A" w:rsidP="00BE614A">
      <w:pPr>
        <w:ind w:firstLine="720"/>
      </w:pPr>
      <w:r w:rsidRPr="009D17A3">
        <w:t>Westat</w:t>
      </w:r>
    </w:p>
    <w:p w:rsidR="00BE614A" w:rsidRPr="009D17A3" w:rsidRDefault="00BE614A" w:rsidP="00BE614A">
      <w:pPr>
        <w:ind w:firstLine="720"/>
      </w:pPr>
      <w:r w:rsidRPr="009D17A3">
        <w:t xml:space="preserve">Rockville, MD </w:t>
      </w:r>
    </w:p>
    <w:p w:rsidR="004A5152" w:rsidRPr="009D17A3" w:rsidRDefault="004A5152" w:rsidP="004A5152">
      <w:pPr>
        <w:rPr>
          <w:b/>
        </w:rPr>
      </w:pPr>
    </w:p>
    <w:p w:rsidR="004A5152" w:rsidRPr="009D17A3" w:rsidRDefault="004A5152" w:rsidP="004A5152">
      <w:pPr>
        <w:ind w:firstLine="720"/>
      </w:pPr>
      <w:r w:rsidRPr="009D17A3">
        <w:t>Robert Orwin, Ph.D.</w:t>
      </w:r>
    </w:p>
    <w:p w:rsidR="004A5152" w:rsidRPr="009D17A3" w:rsidRDefault="004A5152" w:rsidP="004A5152">
      <w:pPr>
        <w:ind w:firstLine="720"/>
      </w:pPr>
      <w:r w:rsidRPr="009D17A3">
        <w:t>Senior Study Director</w:t>
      </w:r>
    </w:p>
    <w:p w:rsidR="004A5152" w:rsidRPr="009D17A3" w:rsidRDefault="004A5152" w:rsidP="004A5152">
      <w:pPr>
        <w:ind w:firstLine="720"/>
      </w:pPr>
      <w:r w:rsidRPr="009D17A3">
        <w:t>Westat</w:t>
      </w:r>
    </w:p>
    <w:p w:rsidR="004A5152" w:rsidRPr="009D17A3" w:rsidRDefault="004A5152" w:rsidP="004A5152">
      <w:pPr>
        <w:ind w:firstLine="720"/>
      </w:pPr>
      <w:r w:rsidRPr="009D17A3">
        <w:t xml:space="preserve">Rockville, MD 20850 </w:t>
      </w:r>
    </w:p>
    <w:p w:rsidR="004A5152" w:rsidRPr="009D17A3" w:rsidRDefault="004A5152" w:rsidP="004A5152">
      <w:pPr>
        <w:rPr>
          <w:b/>
        </w:rPr>
      </w:pPr>
    </w:p>
    <w:p w:rsidR="004A5152" w:rsidRPr="009D17A3" w:rsidRDefault="004A5152" w:rsidP="004A5152">
      <w:pPr>
        <w:ind w:firstLine="720"/>
      </w:pPr>
      <w:r w:rsidRPr="009D17A3">
        <w:t>Leanne Candura</w:t>
      </w:r>
    </w:p>
    <w:p w:rsidR="004A5152" w:rsidRPr="009D17A3" w:rsidRDefault="004A5152" w:rsidP="004A5152">
      <w:pPr>
        <w:ind w:firstLine="720"/>
      </w:pPr>
      <w:r w:rsidRPr="009D17A3">
        <w:t>DACCC Project Manager</w:t>
      </w:r>
    </w:p>
    <w:p w:rsidR="004A5152" w:rsidRPr="009D17A3" w:rsidRDefault="004A5152" w:rsidP="004A5152">
      <w:pPr>
        <w:ind w:firstLine="720"/>
      </w:pPr>
      <w:r w:rsidRPr="009D17A3">
        <w:t>Human Services Research Institute</w:t>
      </w:r>
    </w:p>
    <w:p w:rsidR="004A5152" w:rsidRPr="009D17A3" w:rsidRDefault="004A5152" w:rsidP="004A5152">
      <w:pPr>
        <w:ind w:firstLine="720"/>
      </w:pPr>
      <w:r w:rsidRPr="009D17A3">
        <w:t>Cambridge, MA</w:t>
      </w:r>
    </w:p>
    <w:p w:rsidR="004A5152" w:rsidRPr="009D17A3" w:rsidRDefault="004A5152" w:rsidP="004A5152">
      <w:pPr>
        <w:ind w:firstLine="720"/>
      </w:pPr>
    </w:p>
    <w:p w:rsidR="004A5152" w:rsidRPr="009D17A3" w:rsidRDefault="004A5152" w:rsidP="004A5152">
      <w:pPr>
        <w:ind w:firstLine="720"/>
      </w:pPr>
    </w:p>
    <w:p w:rsidR="004A5152" w:rsidRPr="009D17A3" w:rsidRDefault="004A5152" w:rsidP="004A5152">
      <w:pPr>
        <w:ind w:firstLine="720"/>
      </w:pPr>
      <w:r w:rsidRPr="009D17A3">
        <w:lastRenderedPageBreak/>
        <w:t>Roy Gabriel</w:t>
      </w:r>
    </w:p>
    <w:p w:rsidR="004A5152" w:rsidRPr="009D17A3" w:rsidRDefault="004A5152" w:rsidP="004A5152">
      <w:pPr>
        <w:ind w:firstLine="720"/>
      </w:pPr>
      <w:r w:rsidRPr="009D17A3">
        <w:t>Senior Research Associate</w:t>
      </w:r>
    </w:p>
    <w:p w:rsidR="004A5152" w:rsidRPr="009D17A3" w:rsidRDefault="004A5152" w:rsidP="004A5152">
      <w:pPr>
        <w:ind w:firstLine="720"/>
      </w:pPr>
      <w:r w:rsidRPr="009D17A3">
        <w:t>RMC</w:t>
      </w:r>
    </w:p>
    <w:p w:rsidR="004A5152" w:rsidRPr="009D17A3" w:rsidRDefault="004A5152" w:rsidP="004A5152">
      <w:pPr>
        <w:ind w:firstLine="720"/>
      </w:pPr>
      <w:r w:rsidRPr="009D17A3">
        <w:t>Portland, OR</w:t>
      </w:r>
    </w:p>
    <w:p w:rsidR="004A5152" w:rsidRPr="009D17A3" w:rsidRDefault="004A5152" w:rsidP="004A5152">
      <w:pPr>
        <w:ind w:firstLine="720"/>
      </w:pPr>
    </w:p>
    <w:p w:rsidR="004A5152" w:rsidRPr="009D17A3" w:rsidRDefault="004A5152" w:rsidP="004A5152">
      <w:pPr>
        <w:ind w:firstLine="720"/>
      </w:pPr>
      <w:r w:rsidRPr="009D17A3">
        <w:t>Jane Grover</w:t>
      </w:r>
    </w:p>
    <w:p w:rsidR="004A5152" w:rsidRPr="009D17A3" w:rsidRDefault="004A5152" w:rsidP="004A5152">
      <w:pPr>
        <w:ind w:firstLine="720"/>
      </w:pPr>
      <w:r w:rsidRPr="009D17A3">
        <w:t>Research Associate</w:t>
      </w:r>
    </w:p>
    <w:p w:rsidR="004A5152" w:rsidRPr="009D17A3" w:rsidRDefault="004A5152" w:rsidP="004A5152">
      <w:pPr>
        <w:ind w:firstLine="720"/>
      </w:pPr>
      <w:r w:rsidRPr="009D17A3">
        <w:t>RMC</w:t>
      </w:r>
    </w:p>
    <w:p w:rsidR="004A5152" w:rsidRPr="009D17A3" w:rsidRDefault="004A5152" w:rsidP="004A5152">
      <w:pPr>
        <w:ind w:firstLine="720"/>
      </w:pPr>
      <w:r w:rsidRPr="009D17A3">
        <w:t>Portland, OR</w:t>
      </w:r>
    </w:p>
    <w:p w:rsidR="004A5152" w:rsidRPr="009D17A3" w:rsidRDefault="004A5152" w:rsidP="004A5152">
      <w:pPr>
        <w:ind w:firstLine="720"/>
      </w:pPr>
    </w:p>
    <w:p w:rsidR="004A5152" w:rsidRPr="009D17A3" w:rsidRDefault="004A5152" w:rsidP="004A5152">
      <w:pPr>
        <w:ind w:firstLine="720"/>
      </w:pPr>
      <w:r w:rsidRPr="009D17A3">
        <w:t>Nilufer Isvan, Ph.D.</w:t>
      </w:r>
    </w:p>
    <w:p w:rsidR="004A5152" w:rsidRPr="009D17A3" w:rsidRDefault="004A5152" w:rsidP="004A5152">
      <w:pPr>
        <w:ind w:firstLine="720"/>
      </w:pPr>
      <w:r w:rsidRPr="009D17A3">
        <w:t>DACCC Data Analysis Team Lead</w:t>
      </w:r>
    </w:p>
    <w:p w:rsidR="004A5152" w:rsidRPr="009D17A3" w:rsidRDefault="004A5152" w:rsidP="004A5152">
      <w:pPr>
        <w:ind w:firstLine="720"/>
      </w:pPr>
      <w:r w:rsidRPr="009D17A3">
        <w:t>Human Services Research Institute</w:t>
      </w:r>
    </w:p>
    <w:p w:rsidR="004A5152" w:rsidRPr="009D17A3" w:rsidRDefault="004A5152" w:rsidP="004A5152">
      <w:pPr>
        <w:ind w:firstLine="720"/>
      </w:pPr>
      <w:r w:rsidRPr="009D17A3">
        <w:t>Cambridge, MA</w:t>
      </w:r>
    </w:p>
    <w:p w:rsidR="004A5152" w:rsidRPr="009D17A3" w:rsidRDefault="004A5152" w:rsidP="004A5152">
      <w:pPr>
        <w:ind w:firstLine="720"/>
      </w:pPr>
    </w:p>
    <w:p w:rsidR="004A5152" w:rsidRPr="009D17A3" w:rsidRDefault="004A5152" w:rsidP="004A5152">
      <w:pPr>
        <w:ind w:firstLine="720"/>
      </w:pPr>
      <w:r w:rsidRPr="009D17A3">
        <w:t>Virginia Mulkern, Ph.D.</w:t>
      </w:r>
    </w:p>
    <w:p w:rsidR="004A5152" w:rsidRPr="009D17A3" w:rsidRDefault="004A5152" w:rsidP="004A5152">
      <w:pPr>
        <w:ind w:firstLine="720"/>
      </w:pPr>
      <w:r w:rsidRPr="009D17A3">
        <w:t>DACCC Project Director</w:t>
      </w:r>
    </w:p>
    <w:p w:rsidR="004A5152" w:rsidRPr="009D17A3" w:rsidRDefault="004A5152" w:rsidP="004A5152">
      <w:pPr>
        <w:ind w:firstLine="720"/>
      </w:pPr>
      <w:r w:rsidRPr="009D17A3">
        <w:t>Human Services Research Institute</w:t>
      </w:r>
    </w:p>
    <w:p w:rsidR="004A5152" w:rsidRPr="009D17A3" w:rsidRDefault="004A5152" w:rsidP="004A5152">
      <w:pPr>
        <w:ind w:firstLine="720"/>
      </w:pPr>
      <w:r w:rsidRPr="009D17A3">
        <w:t>Cambridge, MA</w:t>
      </w:r>
    </w:p>
    <w:p w:rsidR="004A5152" w:rsidRPr="009D17A3" w:rsidRDefault="004A5152" w:rsidP="004A5152">
      <w:pPr>
        <w:ind w:firstLine="720"/>
      </w:pPr>
    </w:p>
    <w:p w:rsidR="004A5152" w:rsidRPr="009D17A3" w:rsidRDefault="004A5152" w:rsidP="004A5152">
      <w:pPr>
        <w:ind w:firstLine="720"/>
      </w:pPr>
      <w:r w:rsidRPr="009D17A3">
        <w:t>Kelly Vander Ley</w:t>
      </w:r>
    </w:p>
    <w:p w:rsidR="004A5152" w:rsidRPr="009D17A3" w:rsidRDefault="004A5152" w:rsidP="004A5152">
      <w:pPr>
        <w:ind w:firstLine="720"/>
      </w:pPr>
      <w:r w:rsidRPr="009D17A3">
        <w:t>Senior Research Associate</w:t>
      </w:r>
    </w:p>
    <w:p w:rsidR="004A5152" w:rsidRPr="009D17A3" w:rsidRDefault="004A5152" w:rsidP="004A5152">
      <w:pPr>
        <w:ind w:firstLine="720"/>
      </w:pPr>
      <w:r w:rsidRPr="009D17A3">
        <w:t>RMC</w:t>
      </w:r>
    </w:p>
    <w:p w:rsidR="004A5152" w:rsidRPr="009D17A3" w:rsidRDefault="004A5152" w:rsidP="004A5152">
      <w:pPr>
        <w:ind w:firstLine="720"/>
      </w:pPr>
      <w:r w:rsidRPr="009D17A3">
        <w:t>Portland, OR</w:t>
      </w:r>
    </w:p>
    <w:p w:rsidR="004A5152" w:rsidRPr="009D17A3" w:rsidRDefault="004A5152" w:rsidP="004A5152">
      <w:pPr>
        <w:rPr>
          <w:b/>
          <w:u w:val="single"/>
        </w:rPr>
      </w:pPr>
    </w:p>
    <w:p w:rsidR="005A35A6" w:rsidRPr="009D17A3" w:rsidRDefault="00654B5B" w:rsidP="00F24C35">
      <w:pPr>
        <w:pStyle w:val="Heading2"/>
        <w:spacing w:before="120" w:line="360" w:lineRule="auto"/>
        <w:rPr>
          <w:rFonts w:ascii="Times New Roman" w:hAnsi="Times New Roman"/>
          <w:sz w:val="24"/>
          <w:szCs w:val="24"/>
        </w:rPr>
      </w:pPr>
      <w:r w:rsidRPr="009D17A3">
        <w:rPr>
          <w:rFonts w:ascii="Times New Roman" w:hAnsi="Times New Roman"/>
          <w:sz w:val="24"/>
          <w:szCs w:val="24"/>
        </w:rPr>
        <w:t>A9.  Payment to Respondents</w:t>
      </w:r>
    </w:p>
    <w:p w:rsidR="00810902" w:rsidRPr="009D17A3" w:rsidRDefault="00810902" w:rsidP="00F24C35">
      <w:pPr>
        <w:pStyle w:val="Body"/>
        <w:rPr>
          <w:rFonts w:ascii="Times New Roman" w:hAnsi="Times New Roman"/>
          <w:szCs w:val="24"/>
        </w:rPr>
      </w:pPr>
      <w:r w:rsidRPr="009D17A3">
        <w:rPr>
          <w:rFonts w:ascii="Times New Roman" w:hAnsi="Times New Roman"/>
          <w:szCs w:val="24"/>
        </w:rPr>
        <w:t xml:space="preserve">There is no payment </w:t>
      </w:r>
      <w:r w:rsidR="00195AB9" w:rsidRPr="009D17A3">
        <w:rPr>
          <w:rFonts w:ascii="Times New Roman" w:hAnsi="Times New Roman"/>
          <w:szCs w:val="24"/>
        </w:rPr>
        <w:t>to any</w:t>
      </w:r>
      <w:r w:rsidRPr="009D17A3">
        <w:rPr>
          <w:rFonts w:ascii="Times New Roman" w:hAnsi="Times New Roman"/>
          <w:szCs w:val="24"/>
        </w:rPr>
        <w:t xml:space="preserve"> respondent.</w:t>
      </w:r>
    </w:p>
    <w:p w:rsidR="005A35A6" w:rsidRPr="009D17A3" w:rsidRDefault="009118A5" w:rsidP="009D17A3">
      <w:pPr>
        <w:pStyle w:val="Heading2"/>
        <w:spacing w:line="360" w:lineRule="auto"/>
        <w:rPr>
          <w:rFonts w:ascii="Times New Roman" w:hAnsi="Times New Roman"/>
          <w:sz w:val="24"/>
          <w:szCs w:val="24"/>
        </w:rPr>
      </w:pPr>
      <w:r w:rsidRPr="009D17A3">
        <w:rPr>
          <w:rFonts w:ascii="Times New Roman" w:hAnsi="Times New Roman"/>
          <w:sz w:val="24"/>
          <w:szCs w:val="24"/>
        </w:rPr>
        <w:t>A10.  Assurance of Confidentiality</w:t>
      </w:r>
      <w:r w:rsidR="009A7364" w:rsidRPr="009D17A3">
        <w:rPr>
          <w:rFonts w:ascii="Times New Roman" w:hAnsi="Times New Roman"/>
          <w:sz w:val="24"/>
          <w:szCs w:val="24"/>
        </w:rPr>
        <w:t xml:space="preserve"> </w:t>
      </w:r>
    </w:p>
    <w:p w:rsidR="009006FF" w:rsidRPr="009D17A3" w:rsidRDefault="009006FF" w:rsidP="00F24C35">
      <w:pPr>
        <w:pStyle w:val="Body"/>
        <w:rPr>
          <w:rFonts w:ascii="Times New Roman" w:hAnsi="Times New Roman"/>
          <w:szCs w:val="24"/>
        </w:rPr>
      </w:pPr>
      <w:r w:rsidRPr="009D17A3">
        <w:rPr>
          <w:rFonts w:ascii="Times New Roman" w:hAnsi="Times New Roman"/>
          <w:szCs w:val="24"/>
        </w:rPr>
        <w:t xml:space="preserve">All information gathered through the administration of the </w:t>
      </w:r>
      <w:r w:rsidR="00CD77A1" w:rsidRPr="009D17A3">
        <w:rPr>
          <w:rFonts w:ascii="Times New Roman" w:hAnsi="Times New Roman"/>
          <w:szCs w:val="24"/>
        </w:rPr>
        <w:t>G</w:t>
      </w:r>
      <w:r w:rsidR="00492108" w:rsidRPr="009D17A3">
        <w:rPr>
          <w:rFonts w:ascii="Times New Roman" w:hAnsi="Times New Roman"/>
          <w:szCs w:val="24"/>
        </w:rPr>
        <w:t>LI</w:t>
      </w:r>
      <w:r w:rsidR="0043373B" w:rsidRPr="009D17A3">
        <w:rPr>
          <w:rFonts w:ascii="Times New Roman" w:hAnsi="Times New Roman"/>
          <w:szCs w:val="24"/>
        </w:rPr>
        <w:t xml:space="preserve"> </w:t>
      </w:r>
      <w:r w:rsidR="00CD77A1" w:rsidRPr="009D17A3">
        <w:rPr>
          <w:rFonts w:ascii="Times New Roman" w:hAnsi="Times New Roman"/>
          <w:szCs w:val="24"/>
        </w:rPr>
        <w:t>Infrastructure</w:t>
      </w:r>
      <w:r w:rsidR="00E929E7" w:rsidRPr="009D17A3">
        <w:rPr>
          <w:rFonts w:ascii="Times New Roman" w:hAnsi="Times New Roman"/>
          <w:szCs w:val="24"/>
        </w:rPr>
        <w:t xml:space="preserve"> and Implementation</w:t>
      </w:r>
      <w:r w:rsidR="0043373B" w:rsidRPr="009D17A3">
        <w:rPr>
          <w:rFonts w:ascii="Times New Roman" w:hAnsi="Times New Roman"/>
          <w:szCs w:val="24"/>
        </w:rPr>
        <w:t xml:space="preserve"> Instrument</w:t>
      </w:r>
      <w:r w:rsidR="00E929E7" w:rsidRPr="009D17A3">
        <w:rPr>
          <w:rFonts w:ascii="Times New Roman" w:hAnsi="Times New Roman"/>
          <w:szCs w:val="24"/>
        </w:rPr>
        <w:t>s</w:t>
      </w:r>
      <w:r w:rsidR="00CD77A1" w:rsidRPr="009D17A3">
        <w:rPr>
          <w:rFonts w:ascii="Times New Roman" w:hAnsi="Times New Roman"/>
          <w:szCs w:val="24"/>
        </w:rPr>
        <w:t xml:space="preserve"> and </w:t>
      </w:r>
      <w:r w:rsidR="00492108" w:rsidRPr="009D17A3">
        <w:rPr>
          <w:rFonts w:ascii="Times New Roman" w:hAnsi="Times New Roman"/>
          <w:szCs w:val="24"/>
        </w:rPr>
        <w:t xml:space="preserve">CLI </w:t>
      </w:r>
      <w:r w:rsidRPr="009D17A3">
        <w:rPr>
          <w:rFonts w:ascii="Times New Roman" w:eastAsia="MS Mincho" w:hAnsi="Times New Roman"/>
          <w:szCs w:val="24"/>
        </w:rPr>
        <w:t>(</w:t>
      </w:r>
      <w:r w:rsidR="00C543B0" w:rsidRPr="009D17A3">
        <w:rPr>
          <w:rFonts w:ascii="Times New Roman" w:eastAsia="MS Mincho" w:hAnsi="Times New Roman"/>
          <w:szCs w:val="24"/>
        </w:rPr>
        <w:t>P</w:t>
      </w:r>
      <w:r w:rsidRPr="009D17A3">
        <w:rPr>
          <w:rFonts w:ascii="Times New Roman" w:eastAsia="MS Mincho" w:hAnsi="Times New Roman"/>
          <w:szCs w:val="24"/>
        </w:rPr>
        <w:t>arts I and II)</w:t>
      </w:r>
      <w:r w:rsidRPr="009D17A3">
        <w:rPr>
          <w:rFonts w:ascii="Times New Roman" w:hAnsi="Times New Roman"/>
          <w:szCs w:val="24"/>
        </w:rPr>
        <w:t xml:space="preserve"> focus on organizational activities undertaken as part of the SPF SIG program, rather than information about individuals.  However, all respondents to the</w:t>
      </w:r>
      <w:r w:rsidR="0043373B" w:rsidRPr="009D17A3">
        <w:rPr>
          <w:rFonts w:ascii="Times New Roman" w:hAnsi="Times New Roman"/>
          <w:szCs w:val="24"/>
        </w:rPr>
        <w:t xml:space="preserve"> GLI and CLI </w:t>
      </w:r>
      <w:r w:rsidRPr="009D17A3">
        <w:rPr>
          <w:rFonts w:ascii="Times New Roman" w:hAnsi="Times New Roman"/>
          <w:szCs w:val="24"/>
        </w:rPr>
        <w:t>Instrument</w:t>
      </w:r>
      <w:r w:rsidR="00CD77A1" w:rsidRPr="009D17A3">
        <w:rPr>
          <w:rFonts w:ascii="Times New Roman" w:hAnsi="Times New Roman"/>
          <w:szCs w:val="24"/>
        </w:rPr>
        <w:t>s</w:t>
      </w:r>
      <w:r w:rsidRPr="009D17A3">
        <w:rPr>
          <w:rFonts w:ascii="Times New Roman" w:hAnsi="Times New Roman"/>
          <w:szCs w:val="24"/>
        </w:rPr>
        <w:t xml:space="preserve"> </w:t>
      </w:r>
      <w:r w:rsidR="00315DBA" w:rsidRPr="009D17A3">
        <w:rPr>
          <w:rFonts w:ascii="Times New Roman" w:hAnsi="Times New Roman"/>
          <w:szCs w:val="24"/>
        </w:rPr>
        <w:t>are</w:t>
      </w:r>
      <w:r w:rsidR="00C709A2" w:rsidRPr="009D17A3">
        <w:rPr>
          <w:rFonts w:ascii="Times New Roman" w:hAnsi="Times New Roman"/>
          <w:szCs w:val="24"/>
        </w:rPr>
        <w:t xml:space="preserve"> </w:t>
      </w:r>
      <w:r w:rsidRPr="009D17A3">
        <w:rPr>
          <w:rFonts w:ascii="Times New Roman" w:hAnsi="Times New Roman"/>
          <w:szCs w:val="24"/>
        </w:rPr>
        <w:t xml:space="preserve">required to register with the online survey site where the </w:t>
      </w:r>
      <w:r w:rsidR="007702EA" w:rsidRPr="009D17A3">
        <w:rPr>
          <w:rFonts w:ascii="Times New Roman" w:hAnsi="Times New Roman"/>
          <w:color w:val="000000"/>
          <w:szCs w:val="24"/>
        </w:rPr>
        <w:t>instrument</w:t>
      </w:r>
      <w:r w:rsidR="007702EA" w:rsidRPr="009D17A3">
        <w:rPr>
          <w:rFonts w:ascii="Times New Roman" w:hAnsi="Times New Roman"/>
          <w:szCs w:val="24"/>
        </w:rPr>
        <w:t xml:space="preserve"> </w:t>
      </w:r>
      <w:r w:rsidR="00C709A2" w:rsidRPr="009D17A3">
        <w:rPr>
          <w:rFonts w:ascii="Times New Roman" w:hAnsi="Times New Roman"/>
          <w:szCs w:val="24"/>
        </w:rPr>
        <w:t>is</w:t>
      </w:r>
      <w:r w:rsidRPr="009D17A3">
        <w:rPr>
          <w:rFonts w:ascii="Times New Roman" w:hAnsi="Times New Roman"/>
          <w:szCs w:val="24"/>
        </w:rPr>
        <w:t xml:space="preserve"> completed.  As part of this registration, it </w:t>
      </w:r>
      <w:r w:rsidR="00C709A2" w:rsidRPr="009D17A3">
        <w:rPr>
          <w:rFonts w:ascii="Times New Roman" w:hAnsi="Times New Roman"/>
          <w:szCs w:val="24"/>
        </w:rPr>
        <w:t xml:space="preserve">is </w:t>
      </w:r>
      <w:r w:rsidRPr="009D17A3">
        <w:rPr>
          <w:rFonts w:ascii="Times New Roman" w:hAnsi="Times New Roman"/>
          <w:szCs w:val="24"/>
        </w:rPr>
        <w:t xml:space="preserve">necessary to obtain identifying information about these individuals (i.e., name, email address, organizational affiliation, and title/position).  This information </w:t>
      </w:r>
      <w:r w:rsidR="00C709A2" w:rsidRPr="009D17A3">
        <w:rPr>
          <w:rFonts w:ascii="Times New Roman" w:hAnsi="Times New Roman"/>
          <w:szCs w:val="24"/>
        </w:rPr>
        <w:t>is</w:t>
      </w:r>
      <w:r w:rsidRPr="009D17A3">
        <w:rPr>
          <w:rFonts w:ascii="Times New Roman" w:hAnsi="Times New Roman"/>
          <w:szCs w:val="24"/>
        </w:rPr>
        <w:t xml:space="preserve"> used for the creation of a user profile and every attempt </w:t>
      </w:r>
      <w:r w:rsidR="00C709A2" w:rsidRPr="009D17A3">
        <w:rPr>
          <w:rFonts w:ascii="Times New Roman" w:hAnsi="Times New Roman"/>
          <w:szCs w:val="24"/>
        </w:rPr>
        <w:t>is</w:t>
      </w:r>
      <w:r w:rsidRPr="009D17A3">
        <w:rPr>
          <w:rFonts w:ascii="Times New Roman" w:hAnsi="Times New Roman"/>
          <w:szCs w:val="24"/>
        </w:rPr>
        <w:t xml:space="preserve"> made to keep this information </w:t>
      </w:r>
      <w:r w:rsidR="00195AB9" w:rsidRPr="009D17A3">
        <w:rPr>
          <w:rFonts w:ascii="Times New Roman" w:hAnsi="Times New Roman"/>
          <w:szCs w:val="24"/>
        </w:rPr>
        <w:t>private</w:t>
      </w:r>
      <w:r w:rsidRPr="009D17A3">
        <w:rPr>
          <w:rFonts w:ascii="Times New Roman" w:hAnsi="Times New Roman"/>
          <w:szCs w:val="24"/>
        </w:rPr>
        <w:t xml:space="preserve">. </w:t>
      </w:r>
      <w:r w:rsidR="00380D98" w:rsidRPr="009D17A3">
        <w:rPr>
          <w:rFonts w:ascii="Times New Roman" w:hAnsi="Times New Roman"/>
          <w:szCs w:val="24"/>
        </w:rPr>
        <w:t xml:space="preserve"> </w:t>
      </w:r>
      <w:r w:rsidRPr="009D17A3">
        <w:rPr>
          <w:rFonts w:ascii="Times New Roman" w:hAnsi="Times New Roman"/>
          <w:szCs w:val="24"/>
        </w:rPr>
        <w:t>After participants have registered with the website</w:t>
      </w:r>
      <w:r w:rsidR="001D2680" w:rsidRPr="009D17A3">
        <w:rPr>
          <w:rFonts w:ascii="Times New Roman" w:hAnsi="Times New Roman"/>
          <w:szCs w:val="24"/>
        </w:rPr>
        <w:t>,</w:t>
      </w:r>
      <w:r w:rsidRPr="009D17A3">
        <w:rPr>
          <w:rFonts w:ascii="Times New Roman" w:hAnsi="Times New Roman"/>
          <w:szCs w:val="24"/>
        </w:rPr>
        <w:t xml:space="preserve"> they </w:t>
      </w:r>
      <w:r w:rsidR="00C709A2" w:rsidRPr="009D17A3">
        <w:rPr>
          <w:rFonts w:ascii="Times New Roman" w:hAnsi="Times New Roman"/>
          <w:szCs w:val="24"/>
        </w:rPr>
        <w:t xml:space="preserve">are </w:t>
      </w:r>
      <w:r w:rsidRPr="009D17A3">
        <w:rPr>
          <w:rFonts w:ascii="Times New Roman" w:hAnsi="Times New Roman"/>
          <w:szCs w:val="24"/>
        </w:rPr>
        <w:t>provided with a User</w:t>
      </w:r>
      <w:r w:rsidR="00394652" w:rsidRPr="009D17A3">
        <w:rPr>
          <w:rFonts w:ascii="Times New Roman" w:hAnsi="Times New Roman"/>
          <w:szCs w:val="24"/>
        </w:rPr>
        <w:t xml:space="preserve"> </w:t>
      </w:r>
      <w:r w:rsidRPr="009D17A3">
        <w:rPr>
          <w:rFonts w:ascii="Times New Roman" w:hAnsi="Times New Roman"/>
          <w:szCs w:val="24"/>
        </w:rPr>
        <w:t xml:space="preserve">ID and temporary password </w:t>
      </w:r>
      <w:r w:rsidR="0043373B" w:rsidRPr="009D17A3">
        <w:rPr>
          <w:rFonts w:ascii="Times New Roman" w:hAnsi="Times New Roman"/>
          <w:szCs w:val="24"/>
        </w:rPr>
        <w:t xml:space="preserve">and are prompted to create their own secure password. This ensures participants’ </w:t>
      </w:r>
      <w:r w:rsidRPr="009D17A3">
        <w:rPr>
          <w:rFonts w:ascii="Times New Roman" w:hAnsi="Times New Roman"/>
          <w:szCs w:val="24"/>
        </w:rPr>
        <w:t xml:space="preserve">survey responses remain </w:t>
      </w:r>
      <w:r w:rsidR="00195AB9" w:rsidRPr="009D17A3">
        <w:rPr>
          <w:rFonts w:ascii="Times New Roman" w:hAnsi="Times New Roman"/>
          <w:szCs w:val="24"/>
        </w:rPr>
        <w:t>private</w:t>
      </w:r>
      <w:r w:rsidR="0043373B" w:rsidRPr="009D17A3">
        <w:rPr>
          <w:rFonts w:ascii="Times New Roman" w:hAnsi="Times New Roman"/>
          <w:szCs w:val="24"/>
        </w:rPr>
        <w:t xml:space="preserve">. </w:t>
      </w:r>
      <w:r w:rsidRPr="009D17A3">
        <w:rPr>
          <w:rFonts w:ascii="Times New Roman" w:hAnsi="Times New Roman"/>
          <w:szCs w:val="24"/>
        </w:rPr>
        <w:lastRenderedPageBreak/>
        <w:t xml:space="preserve">Additionally, no survey responses </w:t>
      </w:r>
      <w:r w:rsidR="005E2E7C" w:rsidRPr="009D17A3">
        <w:rPr>
          <w:rFonts w:ascii="Times New Roman" w:hAnsi="Times New Roman"/>
          <w:szCs w:val="24"/>
        </w:rPr>
        <w:t>will be</w:t>
      </w:r>
      <w:r w:rsidR="00C709A2" w:rsidRPr="009D17A3">
        <w:rPr>
          <w:rFonts w:ascii="Times New Roman" w:hAnsi="Times New Roman"/>
          <w:szCs w:val="24"/>
        </w:rPr>
        <w:t xml:space="preserve"> associated with </w:t>
      </w:r>
      <w:r w:rsidRPr="009D17A3">
        <w:rPr>
          <w:rFonts w:ascii="Times New Roman" w:hAnsi="Times New Roman"/>
          <w:szCs w:val="24"/>
        </w:rPr>
        <w:t xml:space="preserve">a specific individual in any reports </w:t>
      </w:r>
      <w:r w:rsidR="00C709A2" w:rsidRPr="009D17A3">
        <w:rPr>
          <w:rFonts w:ascii="Times New Roman" w:hAnsi="Times New Roman"/>
          <w:szCs w:val="24"/>
        </w:rPr>
        <w:t xml:space="preserve">written using this </w:t>
      </w:r>
      <w:r w:rsidRPr="009D17A3">
        <w:rPr>
          <w:rFonts w:ascii="Times New Roman" w:hAnsi="Times New Roman"/>
          <w:szCs w:val="24"/>
        </w:rPr>
        <w:t>data.</w:t>
      </w:r>
    </w:p>
    <w:p w:rsidR="009006FF" w:rsidRPr="009D17A3" w:rsidRDefault="0043373B" w:rsidP="00F24C35">
      <w:pPr>
        <w:pStyle w:val="Body"/>
        <w:rPr>
          <w:rFonts w:ascii="Times New Roman" w:hAnsi="Times New Roman"/>
          <w:szCs w:val="24"/>
        </w:rPr>
      </w:pPr>
      <w:r w:rsidRPr="009D17A3">
        <w:rPr>
          <w:rFonts w:ascii="Times New Roman" w:hAnsi="Times New Roman"/>
          <w:szCs w:val="24"/>
        </w:rPr>
        <w:t xml:space="preserve">The GLI and CLI </w:t>
      </w:r>
      <w:r w:rsidR="00CD77A1" w:rsidRPr="009D17A3">
        <w:rPr>
          <w:rFonts w:ascii="Times New Roman" w:hAnsi="Times New Roman"/>
          <w:szCs w:val="24"/>
        </w:rPr>
        <w:t>respondents</w:t>
      </w:r>
      <w:r w:rsidR="009006FF" w:rsidRPr="009D17A3">
        <w:rPr>
          <w:rFonts w:ascii="Times New Roman" w:hAnsi="Times New Roman"/>
          <w:szCs w:val="24"/>
        </w:rPr>
        <w:t xml:space="preserve"> </w:t>
      </w:r>
      <w:r w:rsidR="00C709A2" w:rsidRPr="009D17A3">
        <w:rPr>
          <w:rFonts w:ascii="Times New Roman" w:hAnsi="Times New Roman"/>
          <w:szCs w:val="24"/>
        </w:rPr>
        <w:t>are also</w:t>
      </w:r>
      <w:r w:rsidR="009006FF" w:rsidRPr="009D17A3">
        <w:rPr>
          <w:rFonts w:ascii="Times New Roman" w:hAnsi="Times New Roman"/>
          <w:szCs w:val="24"/>
        </w:rPr>
        <w:t xml:space="preserve"> provided with the following information </w:t>
      </w:r>
      <w:r w:rsidR="00C709A2" w:rsidRPr="009D17A3">
        <w:rPr>
          <w:rFonts w:ascii="Times New Roman" w:hAnsi="Times New Roman"/>
          <w:szCs w:val="24"/>
        </w:rPr>
        <w:t xml:space="preserve">before </w:t>
      </w:r>
      <w:r w:rsidR="009006FF" w:rsidRPr="009D17A3">
        <w:rPr>
          <w:rFonts w:ascii="Times New Roman" w:hAnsi="Times New Roman"/>
          <w:szCs w:val="24"/>
        </w:rPr>
        <w:t xml:space="preserve">completing the </w:t>
      </w:r>
      <w:r w:rsidR="007702EA" w:rsidRPr="009D17A3">
        <w:rPr>
          <w:rFonts w:ascii="Times New Roman" w:hAnsi="Times New Roman"/>
          <w:color w:val="000000"/>
          <w:szCs w:val="24"/>
        </w:rPr>
        <w:t>instrument</w:t>
      </w:r>
      <w:r w:rsidR="009006FF" w:rsidRPr="009D17A3">
        <w:rPr>
          <w:rFonts w:ascii="Times New Roman" w:hAnsi="Times New Roman"/>
          <w:szCs w:val="24"/>
        </w:rPr>
        <w:t xml:space="preserve">: </w:t>
      </w:r>
      <w:r w:rsidRPr="009D17A3">
        <w:rPr>
          <w:rFonts w:ascii="Times New Roman" w:hAnsi="Times New Roman"/>
          <w:szCs w:val="24"/>
        </w:rPr>
        <w:t xml:space="preserve">the </w:t>
      </w:r>
      <w:r w:rsidR="009006FF" w:rsidRPr="009D17A3">
        <w:rPr>
          <w:rFonts w:ascii="Times New Roman" w:hAnsi="Times New Roman"/>
          <w:szCs w:val="24"/>
        </w:rPr>
        <w:t xml:space="preserve">purpose of the </w:t>
      </w:r>
      <w:r w:rsidR="007702EA" w:rsidRPr="009D17A3">
        <w:rPr>
          <w:rFonts w:ascii="Times New Roman" w:hAnsi="Times New Roman"/>
          <w:color w:val="000000"/>
          <w:szCs w:val="24"/>
        </w:rPr>
        <w:t>instrument</w:t>
      </w:r>
      <w:r w:rsidR="009006FF" w:rsidRPr="009D17A3">
        <w:rPr>
          <w:rFonts w:ascii="Times New Roman" w:hAnsi="Times New Roman"/>
          <w:szCs w:val="24"/>
        </w:rPr>
        <w:t xml:space="preserve">; </w:t>
      </w:r>
      <w:r w:rsidRPr="009D17A3">
        <w:rPr>
          <w:rFonts w:ascii="Times New Roman" w:hAnsi="Times New Roman"/>
          <w:szCs w:val="24"/>
        </w:rPr>
        <w:t xml:space="preserve">an explanation of </w:t>
      </w:r>
      <w:r w:rsidR="009006FF" w:rsidRPr="009D17A3">
        <w:rPr>
          <w:rFonts w:ascii="Times New Roman" w:hAnsi="Times New Roman"/>
          <w:szCs w:val="24"/>
        </w:rPr>
        <w:t xml:space="preserve">how the </w:t>
      </w:r>
      <w:r w:rsidR="00C709A2" w:rsidRPr="009D17A3">
        <w:rPr>
          <w:rFonts w:ascii="Times New Roman" w:hAnsi="Times New Roman"/>
          <w:szCs w:val="24"/>
        </w:rPr>
        <w:t>data</w:t>
      </w:r>
      <w:r w:rsidR="009006FF" w:rsidRPr="009D17A3">
        <w:rPr>
          <w:rFonts w:ascii="Times New Roman" w:hAnsi="Times New Roman"/>
          <w:szCs w:val="24"/>
        </w:rPr>
        <w:t xml:space="preserve"> will be used; </w:t>
      </w:r>
      <w:r w:rsidRPr="009D17A3">
        <w:rPr>
          <w:rFonts w:ascii="Times New Roman" w:hAnsi="Times New Roman"/>
          <w:szCs w:val="24"/>
        </w:rPr>
        <w:t xml:space="preserve">notification </w:t>
      </w:r>
      <w:r w:rsidR="009006FF" w:rsidRPr="009D17A3">
        <w:rPr>
          <w:rFonts w:ascii="Times New Roman" w:hAnsi="Times New Roman"/>
          <w:szCs w:val="24"/>
        </w:rPr>
        <w:t xml:space="preserve">that responses will be kept </w:t>
      </w:r>
      <w:r w:rsidR="00C45F6F" w:rsidRPr="009D17A3">
        <w:rPr>
          <w:rFonts w:ascii="Times New Roman" w:hAnsi="Times New Roman"/>
          <w:szCs w:val="24"/>
        </w:rPr>
        <w:t>private</w:t>
      </w:r>
      <w:r w:rsidR="009006FF" w:rsidRPr="009D17A3">
        <w:rPr>
          <w:rFonts w:ascii="Times New Roman" w:hAnsi="Times New Roman"/>
          <w:szCs w:val="24"/>
        </w:rPr>
        <w:t xml:space="preserve"> to the extent possible; </w:t>
      </w:r>
      <w:r w:rsidRPr="009D17A3">
        <w:rPr>
          <w:rFonts w:ascii="Times New Roman" w:hAnsi="Times New Roman"/>
          <w:szCs w:val="24"/>
        </w:rPr>
        <w:t xml:space="preserve">notification </w:t>
      </w:r>
      <w:r w:rsidR="009006FF" w:rsidRPr="009D17A3">
        <w:rPr>
          <w:rFonts w:ascii="Times New Roman" w:hAnsi="Times New Roman"/>
          <w:szCs w:val="24"/>
        </w:rPr>
        <w:t>that individual names and positions will not be connected with any responses in any reports prepared from the data; and</w:t>
      </w:r>
      <w:r w:rsidR="000B0BEE" w:rsidRPr="009D17A3">
        <w:rPr>
          <w:rFonts w:ascii="Times New Roman" w:hAnsi="Times New Roman"/>
          <w:szCs w:val="24"/>
        </w:rPr>
        <w:t>,</w:t>
      </w:r>
      <w:r w:rsidR="009006FF" w:rsidRPr="009D17A3">
        <w:rPr>
          <w:rFonts w:ascii="Times New Roman" w:hAnsi="Times New Roman"/>
          <w:szCs w:val="24"/>
        </w:rPr>
        <w:t xml:space="preserve"> </w:t>
      </w:r>
      <w:r w:rsidRPr="009D17A3">
        <w:rPr>
          <w:rFonts w:ascii="Times New Roman" w:hAnsi="Times New Roman"/>
          <w:szCs w:val="24"/>
        </w:rPr>
        <w:t xml:space="preserve">notification </w:t>
      </w:r>
      <w:r w:rsidR="009006FF" w:rsidRPr="009D17A3">
        <w:rPr>
          <w:rFonts w:ascii="Times New Roman" w:hAnsi="Times New Roman"/>
          <w:szCs w:val="24"/>
        </w:rPr>
        <w:t xml:space="preserve">that all individual responses will be </w:t>
      </w:r>
      <w:r w:rsidR="00C709A2" w:rsidRPr="009D17A3">
        <w:rPr>
          <w:rFonts w:ascii="Times New Roman" w:hAnsi="Times New Roman"/>
          <w:szCs w:val="24"/>
        </w:rPr>
        <w:t>aggregated wi</w:t>
      </w:r>
      <w:r w:rsidR="009006FF" w:rsidRPr="009D17A3">
        <w:rPr>
          <w:rFonts w:ascii="Times New Roman" w:hAnsi="Times New Roman"/>
          <w:szCs w:val="24"/>
        </w:rPr>
        <w:t xml:space="preserve">th the responses of others </w:t>
      </w:r>
      <w:r w:rsidR="00C709A2" w:rsidRPr="009D17A3">
        <w:rPr>
          <w:rFonts w:ascii="Times New Roman" w:hAnsi="Times New Roman"/>
          <w:szCs w:val="24"/>
        </w:rPr>
        <w:t>in all reports based on the data</w:t>
      </w:r>
      <w:r w:rsidRPr="009D17A3">
        <w:rPr>
          <w:rFonts w:ascii="Times New Roman" w:hAnsi="Times New Roman"/>
          <w:szCs w:val="24"/>
        </w:rPr>
        <w:t xml:space="preserve"> obtained using the GLI and CLI surveys.</w:t>
      </w:r>
    </w:p>
    <w:p w:rsidR="005A35A6" w:rsidRPr="009D17A3" w:rsidRDefault="00A8077A" w:rsidP="009D17A3">
      <w:pPr>
        <w:pStyle w:val="Heading2"/>
        <w:spacing w:line="360" w:lineRule="auto"/>
        <w:rPr>
          <w:rFonts w:ascii="Times New Roman" w:hAnsi="Times New Roman"/>
          <w:sz w:val="24"/>
          <w:szCs w:val="24"/>
        </w:rPr>
      </w:pPr>
      <w:r w:rsidRPr="009D17A3">
        <w:rPr>
          <w:rFonts w:ascii="Times New Roman" w:hAnsi="Times New Roman"/>
          <w:sz w:val="24"/>
          <w:szCs w:val="24"/>
        </w:rPr>
        <w:t>A11.  Questions of a Sensitive Nature</w:t>
      </w:r>
      <w:r w:rsidR="0016083B" w:rsidRPr="009D17A3">
        <w:rPr>
          <w:rFonts w:ascii="Times New Roman" w:hAnsi="Times New Roman"/>
          <w:sz w:val="24"/>
          <w:szCs w:val="24"/>
        </w:rPr>
        <w:t xml:space="preserve">  </w:t>
      </w:r>
    </w:p>
    <w:p w:rsidR="00836406" w:rsidRPr="009D17A3" w:rsidRDefault="00CC33E6" w:rsidP="0017143D">
      <w:pPr>
        <w:pStyle w:val="Body"/>
        <w:rPr>
          <w:rFonts w:ascii="Times New Roman" w:hAnsi="Times New Roman"/>
          <w:szCs w:val="24"/>
        </w:rPr>
      </w:pPr>
      <w:r w:rsidRPr="009D17A3">
        <w:rPr>
          <w:rFonts w:ascii="Times New Roman" w:hAnsi="Times New Roman"/>
          <w:szCs w:val="24"/>
        </w:rPr>
        <w:t xml:space="preserve">No information of a sensitive nature will be directly collected </w:t>
      </w:r>
      <w:r w:rsidR="009974EA" w:rsidRPr="009D17A3">
        <w:rPr>
          <w:rFonts w:ascii="Times New Roman" w:hAnsi="Times New Roman"/>
          <w:szCs w:val="24"/>
        </w:rPr>
        <w:t>as part of</w:t>
      </w:r>
      <w:r w:rsidRPr="009D17A3">
        <w:rPr>
          <w:rFonts w:ascii="Times New Roman" w:hAnsi="Times New Roman"/>
          <w:szCs w:val="24"/>
        </w:rPr>
        <w:t xml:space="preserve"> the </w:t>
      </w:r>
      <w:r w:rsidR="00640455" w:rsidRPr="009D17A3">
        <w:rPr>
          <w:rFonts w:ascii="Times New Roman" w:hAnsi="Times New Roman"/>
          <w:szCs w:val="24"/>
        </w:rPr>
        <w:t>GLI and CLI.</w:t>
      </w:r>
      <w:r w:rsidRPr="009D17A3">
        <w:rPr>
          <w:rFonts w:ascii="Times New Roman" w:hAnsi="Times New Roman"/>
          <w:szCs w:val="24"/>
        </w:rPr>
        <w:t xml:space="preserve">  </w:t>
      </w:r>
    </w:p>
    <w:p w:rsidR="005A35A6" w:rsidRPr="009D17A3" w:rsidRDefault="003C15FA" w:rsidP="009D17A3">
      <w:pPr>
        <w:pStyle w:val="Heading2"/>
        <w:spacing w:line="360" w:lineRule="auto"/>
        <w:rPr>
          <w:rFonts w:ascii="Times New Roman" w:hAnsi="Times New Roman"/>
          <w:sz w:val="24"/>
          <w:szCs w:val="24"/>
        </w:rPr>
      </w:pPr>
      <w:r w:rsidRPr="009D17A3">
        <w:rPr>
          <w:rFonts w:ascii="Times New Roman" w:hAnsi="Times New Roman"/>
          <w:sz w:val="24"/>
          <w:szCs w:val="24"/>
        </w:rPr>
        <w:t xml:space="preserve">A12.  Estimates of </w:t>
      </w:r>
      <w:r w:rsidR="00AF26BB" w:rsidRPr="009D17A3">
        <w:rPr>
          <w:rFonts w:ascii="Times New Roman" w:hAnsi="Times New Roman"/>
          <w:sz w:val="24"/>
          <w:szCs w:val="24"/>
        </w:rPr>
        <w:t xml:space="preserve">Average </w:t>
      </w:r>
      <w:r w:rsidRPr="009D17A3">
        <w:rPr>
          <w:rFonts w:ascii="Times New Roman" w:hAnsi="Times New Roman"/>
          <w:sz w:val="24"/>
          <w:szCs w:val="24"/>
        </w:rPr>
        <w:t>Annualized Hour Burden</w:t>
      </w:r>
    </w:p>
    <w:p w:rsidR="004C0B6E" w:rsidRPr="009D17A3" w:rsidRDefault="003C7513" w:rsidP="004C0B6E">
      <w:pPr>
        <w:pStyle w:val="Body"/>
        <w:rPr>
          <w:rFonts w:ascii="Times New Roman" w:hAnsi="Times New Roman"/>
          <w:szCs w:val="24"/>
        </w:rPr>
      </w:pPr>
      <w:r w:rsidRPr="009D17A3">
        <w:rPr>
          <w:rFonts w:ascii="Times New Roman" w:hAnsi="Times New Roman"/>
          <w:szCs w:val="24"/>
        </w:rPr>
        <w:t xml:space="preserve">The estimated annualized hour burden </w:t>
      </w:r>
      <w:r w:rsidR="00AF26BB" w:rsidRPr="009D17A3">
        <w:rPr>
          <w:rFonts w:ascii="Times New Roman" w:hAnsi="Times New Roman"/>
          <w:szCs w:val="24"/>
        </w:rPr>
        <w:t>for</w:t>
      </w:r>
      <w:r w:rsidRPr="009D17A3">
        <w:rPr>
          <w:rFonts w:ascii="Times New Roman" w:hAnsi="Times New Roman"/>
          <w:szCs w:val="24"/>
        </w:rPr>
        <w:t xml:space="preserve"> </w:t>
      </w:r>
      <w:r w:rsidR="00D87255" w:rsidRPr="009D17A3">
        <w:rPr>
          <w:rFonts w:ascii="Times New Roman" w:hAnsi="Times New Roman"/>
          <w:szCs w:val="24"/>
        </w:rPr>
        <w:t xml:space="preserve">continuing </w:t>
      </w:r>
      <w:r w:rsidRPr="009D17A3">
        <w:rPr>
          <w:rFonts w:ascii="Times New Roman" w:hAnsi="Times New Roman"/>
          <w:szCs w:val="24"/>
        </w:rPr>
        <w:t xml:space="preserve">the </w:t>
      </w:r>
      <w:r w:rsidR="00D87255" w:rsidRPr="009D17A3">
        <w:rPr>
          <w:rFonts w:ascii="Times New Roman" w:hAnsi="Times New Roman"/>
          <w:szCs w:val="24"/>
        </w:rPr>
        <w:t>C</w:t>
      </w:r>
      <w:r w:rsidRPr="009D17A3">
        <w:rPr>
          <w:rFonts w:ascii="Times New Roman" w:hAnsi="Times New Roman"/>
          <w:szCs w:val="24"/>
        </w:rPr>
        <w:t xml:space="preserve">ross-site </w:t>
      </w:r>
      <w:r w:rsidR="00D87255" w:rsidRPr="009D17A3">
        <w:rPr>
          <w:rFonts w:ascii="Times New Roman" w:hAnsi="Times New Roman"/>
          <w:szCs w:val="24"/>
        </w:rPr>
        <w:t>E</w:t>
      </w:r>
      <w:r w:rsidRPr="009D17A3">
        <w:rPr>
          <w:rFonts w:ascii="Times New Roman" w:hAnsi="Times New Roman"/>
          <w:szCs w:val="24"/>
        </w:rPr>
        <w:t xml:space="preserve">valuations of SPF SIG </w:t>
      </w:r>
      <w:r w:rsidR="00D87255" w:rsidRPr="009D17A3">
        <w:rPr>
          <w:rFonts w:ascii="Times New Roman" w:hAnsi="Times New Roman"/>
          <w:szCs w:val="24"/>
        </w:rPr>
        <w:t xml:space="preserve">for </w:t>
      </w:r>
      <w:r w:rsidR="00C46D82" w:rsidRPr="009D17A3">
        <w:rPr>
          <w:rFonts w:ascii="Times New Roman" w:hAnsi="Times New Roman"/>
          <w:szCs w:val="24"/>
        </w:rPr>
        <w:t>C</w:t>
      </w:r>
      <w:r w:rsidRPr="009D17A3">
        <w:rPr>
          <w:rFonts w:ascii="Times New Roman" w:hAnsi="Times New Roman"/>
          <w:szCs w:val="24"/>
        </w:rPr>
        <w:t xml:space="preserve">ohorts </w:t>
      </w:r>
      <w:r w:rsidR="00B5291E" w:rsidRPr="009D17A3">
        <w:rPr>
          <w:rFonts w:ascii="Times New Roman" w:hAnsi="Times New Roman"/>
          <w:szCs w:val="24"/>
        </w:rPr>
        <w:t xml:space="preserve">IV and V </w:t>
      </w:r>
      <w:r w:rsidRPr="009D17A3">
        <w:rPr>
          <w:rFonts w:ascii="Times New Roman" w:hAnsi="Times New Roman"/>
          <w:szCs w:val="24"/>
        </w:rPr>
        <w:t>is</w:t>
      </w:r>
      <w:r w:rsidR="00937C62" w:rsidRPr="009D17A3">
        <w:rPr>
          <w:rFonts w:ascii="Times New Roman" w:hAnsi="Times New Roman"/>
          <w:szCs w:val="24"/>
        </w:rPr>
        <w:t xml:space="preserve"> presented in Table </w:t>
      </w:r>
      <w:r w:rsidR="00AF3DF2" w:rsidRPr="009D17A3">
        <w:rPr>
          <w:rFonts w:ascii="Times New Roman" w:hAnsi="Times New Roman"/>
          <w:szCs w:val="24"/>
        </w:rPr>
        <w:t>1</w:t>
      </w:r>
      <w:r w:rsidR="003F6C4B" w:rsidRPr="009D17A3">
        <w:rPr>
          <w:rFonts w:ascii="Times New Roman" w:hAnsi="Times New Roman"/>
          <w:szCs w:val="24"/>
        </w:rPr>
        <w:t>.</w:t>
      </w:r>
      <w:r w:rsidR="005363C4" w:rsidRPr="009D17A3">
        <w:rPr>
          <w:rFonts w:ascii="Times New Roman" w:hAnsi="Times New Roman"/>
          <w:szCs w:val="24"/>
        </w:rPr>
        <w:t xml:space="preserve"> Estimates of total and annualized reporting for Cohorts IV and V grantee-level and community-level personnel and participants are based on the completion of </w:t>
      </w:r>
      <w:proofErr w:type="gramStart"/>
      <w:r w:rsidR="005363C4" w:rsidRPr="009D17A3">
        <w:rPr>
          <w:rFonts w:ascii="Times New Roman" w:hAnsi="Times New Roman"/>
          <w:szCs w:val="24"/>
        </w:rPr>
        <w:t>the two</w:t>
      </w:r>
      <w:r w:rsidR="000B74FB" w:rsidRPr="009D17A3">
        <w:rPr>
          <w:rFonts w:ascii="Times New Roman" w:hAnsi="Times New Roman"/>
          <w:szCs w:val="24"/>
        </w:rPr>
        <w:t xml:space="preserve"> </w:t>
      </w:r>
      <w:r w:rsidR="005363C4" w:rsidRPr="009D17A3">
        <w:rPr>
          <w:rFonts w:ascii="Times New Roman" w:hAnsi="Times New Roman"/>
          <w:szCs w:val="24"/>
        </w:rPr>
        <w:t>Grantee-Level Instruments (GLI),</w:t>
      </w:r>
      <w:proofErr w:type="gramEnd"/>
      <w:r w:rsidR="005363C4" w:rsidRPr="009D17A3">
        <w:rPr>
          <w:rFonts w:ascii="Times New Roman" w:hAnsi="Times New Roman"/>
          <w:szCs w:val="24"/>
        </w:rPr>
        <w:t xml:space="preserve"> and the two-part Community-Level Instrument (CLI).   </w:t>
      </w:r>
      <w:r w:rsidR="004C0B6E" w:rsidRPr="004253F8">
        <w:rPr>
          <w:rFonts w:ascii="Times New Roman" w:hAnsi="Times New Roman"/>
          <w:szCs w:val="24"/>
        </w:rPr>
        <w:t>The estimate</w:t>
      </w:r>
      <w:r w:rsidR="004C0B6E">
        <w:rPr>
          <w:rFonts w:ascii="Times New Roman" w:hAnsi="Times New Roman"/>
          <w:szCs w:val="24"/>
        </w:rPr>
        <w:t>s have</w:t>
      </w:r>
      <w:r w:rsidR="004C0B6E" w:rsidRPr="004253F8">
        <w:rPr>
          <w:rFonts w:ascii="Times New Roman" w:hAnsi="Times New Roman"/>
          <w:szCs w:val="24"/>
        </w:rPr>
        <w:t xml:space="preserve"> been maintained since the previous package and no adjustment</w:t>
      </w:r>
      <w:r w:rsidR="004C0B6E">
        <w:rPr>
          <w:rFonts w:ascii="Times New Roman" w:hAnsi="Times New Roman"/>
          <w:szCs w:val="24"/>
        </w:rPr>
        <w:t>s</w:t>
      </w:r>
      <w:r w:rsidR="004C0B6E" w:rsidRPr="004253F8">
        <w:rPr>
          <w:rFonts w:ascii="Times New Roman" w:hAnsi="Times New Roman"/>
          <w:szCs w:val="24"/>
        </w:rPr>
        <w:t xml:space="preserve"> ha</w:t>
      </w:r>
      <w:r w:rsidR="004C0B6E">
        <w:rPr>
          <w:rFonts w:ascii="Times New Roman" w:hAnsi="Times New Roman"/>
          <w:szCs w:val="24"/>
        </w:rPr>
        <w:t>ve</w:t>
      </w:r>
      <w:r w:rsidR="004C0B6E" w:rsidRPr="004253F8">
        <w:rPr>
          <w:rFonts w:ascii="Times New Roman" w:hAnsi="Times New Roman"/>
          <w:szCs w:val="24"/>
        </w:rPr>
        <w:t xml:space="preserve"> been warranted thus far.</w:t>
      </w:r>
    </w:p>
    <w:p w:rsidR="00080D77" w:rsidRPr="009D17A3" w:rsidRDefault="005363C4" w:rsidP="00415885">
      <w:pPr>
        <w:pStyle w:val="Body"/>
        <w:rPr>
          <w:rFonts w:ascii="Times New Roman" w:hAnsi="Times New Roman"/>
          <w:szCs w:val="24"/>
        </w:rPr>
      </w:pPr>
      <w:r w:rsidRPr="009D17A3">
        <w:rPr>
          <w:rFonts w:ascii="Times New Roman" w:hAnsi="Times New Roman"/>
          <w:szCs w:val="24"/>
        </w:rPr>
        <w:t>E</w:t>
      </w:r>
      <w:r w:rsidR="00080D77" w:rsidRPr="009D17A3">
        <w:rPr>
          <w:rFonts w:ascii="Times New Roman" w:hAnsi="Times New Roman"/>
          <w:szCs w:val="24"/>
        </w:rPr>
        <w:t>stimated burden of the</w:t>
      </w:r>
      <w:r w:rsidR="00ED63D1" w:rsidRPr="009D17A3">
        <w:rPr>
          <w:rFonts w:ascii="Times New Roman" w:hAnsi="Times New Roman"/>
          <w:szCs w:val="24"/>
        </w:rPr>
        <w:t xml:space="preserve"> GLI Infrastructure and GLI Implementation Instruments </w:t>
      </w:r>
      <w:r w:rsidR="00080D77" w:rsidRPr="009D17A3">
        <w:rPr>
          <w:rFonts w:ascii="Times New Roman" w:hAnsi="Times New Roman"/>
          <w:szCs w:val="24"/>
        </w:rPr>
        <w:t>is based on the current 24 grantees funded in Cohort IV and 10 grantees funded in Cohort V, all of whom have completed these instruments once at baseline</w:t>
      </w:r>
      <w:r w:rsidR="005E2E7C" w:rsidRPr="009D17A3">
        <w:rPr>
          <w:rFonts w:ascii="Times New Roman" w:hAnsi="Times New Roman"/>
          <w:szCs w:val="24"/>
        </w:rPr>
        <w:t xml:space="preserve"> </w:t>
      </w:r>
      <w:r w:rsidR="00080D77" w:rsidRPr="009D17A3">
        <w:rPr>
          <w:rFonts w:ascii="Times New Roman" w:hAnsi="Times New Roman"/>
          <w:szCs w:val="24"/>
        </w:rPr>
        <w:t xml:space="preserve">and will complete these instruments one more time during the three year reporting period. </w:t>
      </w:r>
      <w:r w:rsidRPr="009D17A3">
        <w:rPr>
          <w:rFonts w:ascii="Times New Roman" w:hAnsi="Times New Roman"/>
          <w:szCs w:val="24"/>
        </w:rPr>
        <w:t>E</w:t>
      </w:r>
      <w:r w:rsidR="00080D77" w:rsidRPr="009D17A3">
        <w:rPr>
          <w:rFonts w:ascii="Times New Roman" w:hAnsi="Times New Roman"/>
          <w:szCs w:val="24"/>
        </w:rPr>
        <w:t xml:space="preserve">stimated burden of the </w:t>
      </w:r>
      <w:r w:rsidR="0095200D" w:rsidRPr="009D17A3">
        <w:rPr>
          <w:rFonts w:ascii="Times New Roman" w:hAnsi="Times New Roman"/>
          <w:szCs w:val="24"/>
        </w:rPr>
        <w:t>CLI Part I and CLI Part II</w:t>
      </w:r>
      <w:r w:rsidR="00A90447" w:rsidRPr="009D17A3">
        <w:rPr>
          <w:rFonts w:ascii="Times New Roman" w:hAnsi="Times New Roman"/>
          <w:szCs w:val="24"/>
        </w:rPr>
        <w:t xml:space="preserve"> assum</w:t>
      </w:r>
      <w:r w:rsidR="00080D77" w:rsidRPr="009D17A3">
        <w:rPr>
          <w:rFonts w:ascii="Times New Roman" w:hAnsi="Times New Roman"/>
          <w:szCs w:val="24"/>
        </w:rPr>
        <w:t>es an average of 15 communities per grantee, annual completion of the CLI Part I, two instrument updates per year for the CLI Part II, and an average of three distinct prevention intervention strategies implemented by each community during a 6-month period.</w:t>
      </w:r>
    </w:p>
    <w:p w:rsidR="009D17A3" w:rsidRDefault="009D17A3">
      <w:pPr>
        <w:rPr>
          <w:b/>
          <w:kern w:val="28"/>
        </w:rPr>
      </w:pPr>
      <w:r>
        <w:br w:type="page"/>
      </w:r>
    </w:p>
    <w:p w:rsidR="00DE1D84" w:rsidRPr="009D17A3" w:rsidRDefault="0000419F" w:rsidP="009E0ED2">
      <w:pPr>
        <w:pStyle w:val="Exhibit"/>
        <w:spacing w:before="0"/>
        <w:jc w:val="left"/>
        <w:rPr>
          <w:rFonts w:ascii="Times New Roman" w:hAnsi="Times New Roman"/>
          <w:b w:val="0"/>
          <w:szCs w:val="24"/>
        </w:rPr>
      </w:pPr>
      <w:proofErr w:type="gramStart"/>
      <w:r w:rsidRPr="009D17A3">
        <w:rPr>
          <w:rFonts w:ascii="Times New Roman" w:hAnsi="Times New Roman"/>
          <w:szCs w:val="24"/>
        </w:rPr>
        <w:lastRenderedPageBreak/>
        <w:t>Table 1.</w:t>
      </w:r>
      <w:proofErr w:type="gramEnd"/>
      <w:r w:rsidRPr="009D17A3">
        <w:rPr>
          <w:rFonts w:ascii="Times New Roman" w:hAnsi="Times New Roman"/>
          <w:szCs w:val="24"/>
        </w:rPr>
        <w:t xml:space="preserve"> </w:t>
      </w:r>
      <w:r w:rsidR="000B74FB" w:rsidRPr="009D17A3">
        <w:rPr>
          <w:rFonts w:ascii="Times New Roman" w:hAnsi="Times New Roman"/>
          <w:szCs w:val="24"/>
        </w:rPr>
        <w:t xml:space="preserve"> </w:t>
      </w:r>
      <w:r w:rsidRPr="009D17A3">
        <w:rPr>
          <w:rFonts w:ascii="Times New Roman" w:hAnsi="Times New Roman"/>
          <w:szCs w:val="24"/>
        </w:rPr>
        <w:t>Estimates of Annualized Hour and Cost Burden to Responden</w:t>
      </w:r>
      <w:r w:rsidR="005E2E7C" w:rsidRPr="009D17A3">
        <w:rPr>
          <w:rFonts w:ascii="Times New Roman" w:hAnsi="Times New Roman"/>
          <w:szCs w:val="24"/>
        </w:rPr>
        <w:t xml:space="preserve">ts for </w:t>
      </w:r>
      <w:r w:rsidR="00A50634" w:rsidRPr="009D17A3">
        <w:rPr>
          <w:rFonts w:ascii="Times New Roman" w:hAnsi="Times New Roman"/>
          <w:szCs w:val="24"/>
        </w:rPr>
        <w:t>Cohorts IV and V</w:t>
      </w:r>
    </w:p>
    <w:tbl>
      <w:tblPr>
        <w:tblW w:w="10890" w:type="dxa"/>
        <w:tblInd w:w="-5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710"/>
        <w:gridCol w:w="1350"/>
        <w:gridCol w:w="990"/>
        <w:gridCol w:w="1350"/>
        <w:gridCol w:w="1260"/>
        <w:gridCol w:w="1170"/>
        <w:gridCol w:w="990"/>
        <w:gridCol w:w="990"/>
        <w:gridCol w:w="1080"/>
      </w:tblGrid>
      <w:tr w:rsidR="00515E9E" w:rsidRPr="009D17A3" w:rsidTr="00E23CF9">
        <w:trPr>
          <w:trHeight w:val="510"/>
          <w:tblHeader/>
        </w:trPr>
        <w:tc>
          <w:tcPr>
            <w:tcW w:w="1710" w:type="dxa"/>
            <w:tcBorders>
              <w:bottom w:val="single" w:sz="4" w:space="0" w:color="A6A6A6"/>
            </w:tcBorders>
            <w:vAlign w:val="center"/>
          </w:tcPr>
          <w:p w:rsidR="00515E9E" w:rsidRPr="009D17A3" w:rsidRDefault="00515E9E" w:rsidP="00E61C99">
            <w:pPr>
              <w:jc w:val="center"/>
              <w:rPr>
                <w:b/>
                <w:bCs/>
                <w:color w:val="000000"/>
                <w:sz w:val="22"/>
                <w:szCs w:val="22"/>
              </w:rPr>
            </w:pPr>
            <w:r w:rsidRPr="009D17A3">
              <w:rPr>
                <w:b/>
                <w:bCs/>
                <w:color w:val="000000"/>
                <w:sz w:val="22"/>
                <w:szCs w:val="22"/>
              </w:rPr>
              <w:t>Instrument Type</w:t>
            </w:r>
          </w:p>
        </w:tc>
        <w:tc>
          <w:tcPr>
            <w:tcW w:w="1350" w:type="dxa"/>
            <w:tcBorders>
              <w:bottom w:val="single" w:sz="4" w:space="0" w:color="A6A6A6"/>
            </w:tcBorders>
            <w:vAlign w:val="center"/>
          </w:tcPr>
          <w:p w:rsidR="00515E9E" w:rsidRPr="009D17A3" w:rsidRDefault="00515E9E" w:rsidP="00E61C99">
            <w:pPr>
              <w:jc w:val="center"/>
              <w:rPr>
                <w:b/>
                <w:bCs/>
                <w:color w:val="000000"/>
                <w:sz w:val="22"/>
                <w:szCs w:val="22"/>
              </w:rPr>
            </w:pPr>
            <w:proofErr w:type="spellStart"/>
            <w:r w:rsidRPr="009D17A3">
              <w:rPr>
                <w:b/>
                <w:bCs/>
                <w:color w:val="000000"/>
                <w:sz w:val="22"/>
                <w:szCs w:val="22"/>
              </w:rPr>
              <w:t>Respon</w:t>
            </w:r>
            <w:proofErr w:type="spellEnd"/>
            <w:r w:rsidR="004143C7" w:rsidRPr="009D17A3">
              <w:rPr>
                <w:b/>
                <w:bCs/>
                <w:color w:val="000000"/>
                <w:sz w:val="22"/>
                <w:szCs w:val="22"/>
              </w:rPr>
              <w:t>-</w:t>
            </w:r>
            <w:r w:rsidRPr="009D17A3">
              <w:rPr>
                <w:b/>
                <w:bCs/>
                <w:color w:val="000000"/>
                <w:sz w:val="22"/>
                <w:szCs w:val="22"/>
              </w:rPr>
              <w:t>dent</w:t>
            </w:r>
          </w:p>
        </w:tc>
        <w:tc>
          <w:tcPr>
            <w:tcW w:w="990" w:type="dxa"/>
            <w:tcBorders>
              <w:bottom w:val="single" w:sz="4" w:space="0" w:color="A6A6A6"/>
            </w:tcBorders>
            <w:vAlign w:val="center"/>
          </w:tcPr>
          <w:p w:rsidR="00515E9E" w:rsidRPr="009D17A3" w:rsidRDefault="00515E9E" w:rsidP="002F7B2E">
            <w:pPr>
              <w:jc w:val="center"/>
              <w:rPr>
                <w:b/>
                <w:bCs/>
                <w:color w:val="000000"/>
                <w:sz w:val="22"/>
                <w:szCs w:val="22"/>
              </w:rPr>
            </w:pPr>
            <w:r w:rsidRPr="009D17A3">
              <w:rPr>
                <w:b/>
                <w:bCs/>
                <w:color w:val="000000"/>
                <w:sz w:val="22"/>
                <w:szCs w:val="22"/>
              </w:rPr>
              <w:t xml:space="preserve">No. of </w:t>
            </w:r>
            <w:proofErr w:type="spellStart"/>
            <w:r w:rsidRPr="009D17A3">
              <w:rPr>
                <w:b/>
                <w:bCs/>
                <w:color w:val="000000"/>
                <w:sz w:val="22"/>
                <w:szCs w:val="22"/>
              </w:rPr>
              <w:t>Respon</w:t>
            </w:r>
            <w:proofErr w:type="spellEnd"/>
            <w:r w:rsidRPr="009D17A3">
              <w:rPr>
                <w:b/>
                <w:bCs/>
                <w:color w:val="000000"/>
                <w:sz w:val="22"/>
                <w:szCs w:val="22"/>
              </w:rPr>
              <w:t>-dents</w:t>
            </w:r>
          </w:p>
        </w:tc>
        <w:tc>
          <w:tcPr>
            <w:tcW w:w="1350" w:type="dxa"/>
            <w:tcBorders>
              <w:bottom w:val="single" w:sz="4" w:space="0" w:color="A6A6A6"/>
            </w:tcBorders>
          </w:tcPr>
          <w:p w:rsidR="00515E9E" w:rsidRPr="009D17A3" w:rsidRDefault="00515E9E" w:rsidP="002F7B2E">
            <w:pPr>
              <w:jc w:val="center"/>
              <w:rPr>
                <w:b/>
                <w:bCs/>
                <w:color w:val="000000"/>
                <w:sz w:val="22"/>
                <w:szCs w:val="22"/>
              </w:rPr>
            </w:pPr>
            <w:r w:rsidRPr="009D17A3">
              <w:rPr>
                <w:b/>
                <w:bCs/>
                <w:color w:val="000000"/>
                <w:sz w:val="22"/>
                <w:szCs w:val="22"/>
              </w:rPr>
              <w:t>No. of Responses per Respondent</w:t>
            </w:r>
          </w:p>
        </w:tc>
        <w:tc>
          <w:tcPr>
            <w:tcW w:w="1260" w:type="dxa"/>
            <w:tcBorders>
              <w:bottom w:val="single" w:sz="4" w:space="0" w:color="A6A6A6"/>
            </w:tcBorders>
            <w:vAlign w:val="center"/>
          </w:tcPr>
          <w:p w:rsidR="00515E9E" w:rsidRPr="009D17A3" w:rsidRDefault="00515E9E" w:rsidP="002F7B2E">
            <w:pPr>
              <w:jc w:val="center"/>
              <w:rPr>
                <w:b/>
                <w:bCs/>
                <w:color w:val="000000"/>
                <w:sz w:val="22"/>
                <w:szCs w:val="22"/>
              </w:rPr>
            </w:pPr>
            <w:r w:rsidRPr="009D17A3">
              <w:rPr>
                <w:b/>
                <w:bCs/>
                <w:color w:val="000000"/>
                <w:sz w:val="22"/>
                <w:szCs w:val="22"/>
              </w:rPr>
              <w:t>Total No. of Responses</w:t>
            </w:r>
          </w:p>
        </w:tc>
        <w:tc>
          <w:tcPr>
            <w:tcW w:w="1170" w:type="dxa"/>
            <w:tcBorders>
              <w:bottom w:val="single" w:sz="4" w:space="0" w:color="A6A6A6"/>
            </w:tcBorders>
            <w:vAlign w:val="center"/>
          </w:tcPr>
          <w:p w:rsidR="00515E9E" w:rsidRPr="009D17A3" w:rsidRDefault="00515E9E" w:rsidP="00ED403B">
            <w:pPr>
              <w:jc w:val="center"/>
              <w:rPr>
                <w:b/>
                <w:bCs/>
                <w:color w:val="000000"/>
                <w:sz w:val="22"/>
                <w:szCs w:val="22"/>
              </w:rPr>
            </w:pPr>
            <w:r w:rsidRPr="009D17A3">
              <w:rPr>
                <w:b/>
                <w:bCs/>
                <w:color w:val="000000"/>
                <w:sz w:val="22"/>
                <w:szCs w:val="22"/>
              </w:rPr>
              <w:t>Burden per Response (Hrs.)</w:t>
            </w:r>
          </w:p>
        </w:tc>
        <w:tc>
          <w:tcPr>
            <w:tcW w:w="990" w:type="dxa"/>
            <w:tcBorders>
              <w:bottom w:val="single" w:sz="4" w:space="0" w:color="A6A6A6"/>
            </w:tcBorders>
            <w:vAlign w:val="center"/>
          </w:tcPr>
          <w:p w:rsidR="00515E9E" w:rsidRPr="009D17A3" w:rsidRDefault="00515E9E" w:rsidP="002F7B2E">
            <w:pPr>
              <w:jc w:val="center"/>
              <w:rPr>
                <w:b/>
                <w:bCs/>
                <w:color w:val="000000"/>
                <w:sz w:val="22"/>
                <w:szCs w:val="22"/>
              </w:rPr>
            </w:pPr>
            <w:r w:rsidRPr="009D17A3">
              <w:rPr>
                <w:b/>
                <w:bCs/>
                <w:color w:val="000000"/>
                <w:sz w:val="22"/>
                <w:szCs w:val="22"/>
              </w:rPr>
              <w:t>Total Burden (Hrs.)</w:t>
            </w:r>
          </w:p>
        </w:tc>
        <w:tc>
          <w:tcPr>
            <w:tcW w:w="990" w:type="dxa"/>
            <w:tcBorders>
              <w:bottom w:val="single" w:sz="4" w:space="0" w:color="A6A6A6"/>
            </w:tcBorders>
            <w:vAlign w:val="center"/>
          </w:tcPr>
          <w:p w:rsidR="00515E9E" w:rsidRPr="009D17A3" w:rsidRDefault="00E23CF9" w:rsidP="002F7B2E">
            <w:pPr>
              <w:jc w:val="center"/>
              <w:rPr>
                <w:b/>
                <w:bCs/>
                <w:color w:val="000000"/>
                <w:sz w:val="22"/>
                <w:szCs w:val="22"/>
              </w:rPr>
            </w:pPr>
            <w:r w:rsidRPr="00E23CF9">
              <w:rPr>
                <w:b/>
                <w:bCs/>
                <w:color w:val="000000"/>
                <w:sz w:val="22"/>
                <w:szCs w:val="22"/>
                <w:vertAlign w:val="superscript"/>
              </w:rPr>
              <w:t>1</w:t>
            </w:r>
            <w:r w:rsidR="00515E9E" w:rsidRPr="009D17A3">
              <w:rPr>
                <w:b/>
                <w:bCs/>
                <w:color w:val="000000"/>
                <w:sz w:val="22"/>
                <w:szCs w:val="22"/>
              </w:rPr>
              <w:t>Hourly Wage Cost</w:t>
            </w:r>
          </w:p>
        </w:tc>
        <w:tc>
          <w:tcPr>
            <w:tcW w:w="1080" w:type="dxa"/>
            <w:tcBorders>
              <w:bottom w:val="single" w:sz="4" w:space="0" w:color="A6A6A6"/>
            </w:tcBorders>
            <w:vAlign w:val="center"/>
          </w:tcPr>
          <w:p w:rsidR="00515E9E" w:rsidRPr="009D17A3" w:rsidRDefault="00515E9E" w:rsidP="00ED403B">
            <w:pPr>
              <w:jc w:val="center"/>
              <w:rPr>
                <w:b/>
                <w:bCs/>
                <w:color w:val="000000"/>
                <w:sz w:val="22"/>
                <w:szCs w:val="22"/>
              </w:rPr>
            </w:pPr>
            <w:r w:rsidRPr="009D17A3">
              <w:rPr>
                <w:b/>
                <w:bCs/>
                <w:color w:val="000000"/>
                <w:sz w:val="22"/>
                <w:szCs w:val="22"/>
              </w:rPr>
              <w:t>Total Cost</w:t>
            </w:r>
          </w:p>
        </w:tc>
      </w:tr>
      <w:tr w:rsidR="00515E9E" w:rsidRPr="009D17A3" w:rsidTr="00E23CF9">
        <w:trPr>
          <w:trHeight w:val="255"/>
        </w:trPr>
        <w:tc>
          <w:tcPr>
            <w:tcW w:w="10890" w:type="dxa"/>
            <w:gridSpan w:val="9"/>
            <w:shd w:val="clear" w:color="auto" w:fill="A6A6A6" w:themeFill="background1" w:themeFillShade="A6"/>
          </w:tcPr>
          <w:p w:rsidR="00515E9E" w:rsidRPr="009D17A3" w:rsidRDefault="00515E9E" w:rsidP="00E61C99">
            <w:pPr>
              <w:spacing w:before="120" w:after="120"/>
              <w:jc w:val="center"/>
              <w:rPr>
                <w:b/>
                <w:bCs/>
                <w:color w:val="000000"/>
              </w:rPr>
            </w:pPr>
            <w:r w:rsidRPr="009D17A3">
              <w:rPr>
                <w:b/>
                <w:bCs/>
                <w:color w:val="000000"/>
              </w:rPr>
              <w:t>Grantee-Level Burden</w:t>
            </w:r>
          </w:p>
        </w:tc>
      </w:tr>
      <w:tr w:rsidR="00515E9E" w:rsidRPr="009D17A3" w:rsidTr="00E23CF9">
        <w:trPr>
          <w:trHeight w:val="255"/>
        </w:trPr>
        <w:tc>
          <w:tcPr>
            <w:tcW w:w="1710" w:type="dxa"/>
            <w:noWrap/>
          </w:tcPr>
          <w:p w:rsidR="00515E9E" w:rsidRPr="009D17A3" w:rsidRDefault="00515E9E" w:rsidP="00915242">
            <w:pPr>
              <w:spacing w:before="120" w:after="120"/>
              <w:rPr>
                <w:bCs/>
                <w:color w:val="000000"/>
                <w:sz w:val="22"/>
                <w:szCs w:val="22"/>
              </w:rPr>
            </w:pPr>
            <w:r w:rsidRPr="009D17A3">
              <w:rPr>
                <w:bCs/>
                <w:color w:val="000000"/>
                <w:sz w:val="22"/>
                <w:szCs w:val="22"/>
              </w:rPr>
              <w:t xml:space="preserve">GLI Infrastructure Instrument </w:t>
            </w:r>
          </w:p>
        </w:tc>
        <w:tc>
          <w:tcPr>
            <w:tcW w:w="1350" w:type="dxa"/>
            <w:noWrap/>
            <w:vAlign w:val="center"/>
          </w:tcPr>
          <w:p w:rsidR="00515E9E" w:rsidRPr="009D17A3" w:rsidRDefault="00515E9E" w:rsidP="00D828EB">
            <w:pPr>
              <w:rPr>
                <w:bCs/>
                <w:color w:val="000000"/>
                <w:sz w:val="22"/>
                <w:szCs w:val="22"/>
              </w:rPr>
            </w:pPr>
            <w:r w:rsidRPr="009D17A3">
              <w:rPr>
                <w:bCs/>
                <w:color w:val="000000"/>
                <w:sz w:val="22"/>
                <w:szCs w:val="22"/>
              </w:rPr>
              <w:t>Grantee</w:t>
            </w:r>
          </w:p>
        </w:tc>
        <w:tc>
          <w:tcPr>
            <w:tcW w:w="990" w:type="dxa"/>
            <w:noWrap/>
            <w:vAlign w:val="center"/>
          </w:tcPr>
          <w:p w:rsidR="00515E9E" w:rsidRPr="009D17A3" w:rsidRDefault="00515E9E" w:rsidP="00D828EB">
            <w:pPr>
              <w:jc w:val="center"/>
              <w:rPr>
                <w:color w:val="000000"/>
                <w:sz w:val="22"/>
                <w:szCs w:val="22"/>
              </w:rPr>
            </w:pPr>
            <w:r w:rsidRPr="009D17A3">
              <w:rPr>
                <w:color w:val="000000"/>
                <w:sz w:val="22"/>
                <w:szCs w:val="22"/>
              </w:rPr>
              <w:t>34</w:t>
            </w:r>
          </w:p>
        </w:tc>
        <w:tc>
          <w:tcPr>
            <w:tcW w:w="1350" w:type="dxa"/>
            <w:vAlign w:val="center"/>
          </w:tcPr>
          <w:p w:rsidR="00515E9E" w:rsidRPr="009D17A3" w:rsidRDefault="00515E9E" w:rsidP="00D828EB">
            <w:pPr>
              <w:jc w:val="center"/>
              <w:rPr>
                <w:color w:val="000000"/>
                <w:sz w:val="22"/>
                <w:szCs w:val="22"/>
              </w:rPr>
            </w:pPr>
            <w:r w:rsidRPr="009D17A3">
              <w:rPr>
                <w:color w:val="000000"/>
                <w:sz w:val="22"/>
                <w:szCs w:val="22"/>
              </w:rPr>
              <w:t>1</w:t>
            </w:r>
          </w:p>
        </w:tc>
        <w:tc>
          <w:tcPr>
            <w:tcW w:w="1260" w:type="dxa"/>
            <w:noWrap/>
            <w:vAlign w:val="center"/>
          </w:tcPr>
          <w:p w:rsidR="00515E9E" w:rsidRPr="009D17A3" w:rsidRDefault="00515E9E" w:rsidP="00D828EB">
            <w:pPr>
              <w:jc w:val="center"/>
              <w:rPr>
                <w:color w:val="000000"/>
                <w:sz w:val="22"/>
                <w:szCs w:val="22"/>
              </w:rPr>
            </w:pPr>
            <w:r w:rsidRPr="009D17A3">
              <w:rPr>
                <w:color w:val="000000"/>
                <w:sz w:val="22"/>
                <w:szCs w:val="22"/>
              </w:rPr>
              <w:t>34</w:t>
            </w:r>
          </w:p>
        </w:tc>
        <w:tc>
          <w:tcPr>
            <w:tcW w:w="1170" w:type="dxa"/>
            <w:vAlign w:val="center"/>
          </w:tcPr>
          <w:p w:rsidR="00515E9E" w:rsidRPr="009D17A3" w:rsidRDefault="00515E9E" w:rsidP="00D828EB">
            <w:pPr>
              <w:jc w:val="center"/>
              <w:rPr>
                <w:color w:val="000000"/>
                <w:sz w:val="22"/>
                <w:szCs w:val="22"/>
              </w:rPr>
            </w:pPr>
            <w:r w:rsidRPr="009D17A3">
              <w:rPr>
                <w:color w:val="000000"/>
                <w:sz w:val="22"/>
                <w:szCs w:val="22"/>
              </w:rPr>
              <w:t>2.22</w:t>
            </w:r>
          </w:p>
        </w:tc>
        <w:tc>
          <w:tcPr>
            <w:tcW w:w="990" w:type="dxa"/>
            <w:vAlign w:val="center"/>
          </w:tcPr>
          <w:p w:rsidR="00515E9E" w:rsidRPr="009D17A3" w:rsidRDefault="005768A5" w:rsidP="00D828EB">
            <w:pPr>
              <w:jc w:val="center"/>
              <w:rPr>
                <w:color w:val="000000"/>
                <w:sz w:val="22"/>
                <w:szCs w:val="22"/>
              </w:rPr>
            </w:pPr>
            <w:r w:rsidRPr="009D17A3">
              <w:rPr>
                <w:color w:val="000000"/>
                <w:sz w:val="22"/>
                <w:szCs w:val="22"/>
              </w:rPr>
              <w:t>75</w:t>
            </w:r>
            <w:r w:rsidR="00D717EB" w:rsidRPr="009D17A3">
              <w:rPr>
                <w:color w:val="000000"/>
                <w:sz w:val="22"/>
                <w:szCs w:val="22"/>
              </w:rPr>
              <w:t>.48</w:t>
            </w:r>
          </w:p>
        </w:tc>
        <w:tc>
          <w:tcPr>
            <w:tcW w:w="990" w:type="dxa"/>
            <w:shd w:val="clear" w:color="auto" w:fill="auto"/>
            <w:noWrap/>
            <w:vAlign w:val="center"/>
          </w:tcPr>
          <w:p w:rsidR="00515E9E" w:rsidRPr="00E23CF9" w:rsidRDefault="00515E9E" w:rsidP="00DD4798">
            <w:pPr>
              <w:jc w:val="center"/>
              <w:rPr>
                <w:b/>
                <w:bCs/>
                <w:color w:val="000000"/>
                <w:sz w:val="22"/>
                <w:szCs w:val="22"/>
              </w:rPr>
            </w:pPr>
            <w:r w:rsidRPr="00E23CF9">
              <w:rPr>
                <w:color w:val="000000"/>
                <w:sz w:val="22"/>
                <w:szCs w:val="22"/>
              </w:rPr>
              <w:t>$42.</w:t>
            </w:r>
            <w:r w:rsidR="00DD4798" w:rsidRPr="00E23CF9">
              <w:rPr>
                <w:color w:val="000000"/>
                <w:sz w:val="22"/>
                <w:szCs w:val="22"/>
              </w:rPr>
              <w:t>59</w:t>
            </w:r>
          </w:p>
        </w:tc>
        <w:tc>
          <w:tcPr>
            <w:tcW w:w="1080" w:type="dxa"/>
            <w:shd w:val="clear" w:color="auto" w:fill="auto"/>
            <w:vAlign w:val="center"/>
          </w:tcPr>
          <w:p w:rsidR="00515E9E" w:rsidRPr="00E23CF9" w:rsidRDefault="00515E9E" w:rsidP="00DD4798">
            <w:pPr>
              <w:jc w:val="center"/>
              <w:rPr>
                <w:bCs/>
                <w:color w:val="000000"/>
                <w:sz w:val="22"/>
                <w:szCs w:val="22"/>
              </w:rPr>
            </w:pPr>
            <w:r w:rsidRPr="00E23CF9">
              <w:rPr>
                <w:bCs/>
                <w:color w:val="000000"/>
                <w:sz w:val="22"/>
                <w:szCs w:val="22"/>
              </w:rPr>
              <w:t>$</w:t>
            </w:r>
            <w:r w:rsidR="00103709" w:rsidRPr="00E23CF9">
              <w:rPr>
                <w:bCs/>
                <w:color w:val="000000"/>
                <w:sz w:val="22"/>
                <w:szCs w:val="22"/>
              </w:rPr>
              <w:t>3</w:t>
            </w:r>
            <w:r w:rsidR="00D717EB" w:rsidRPr="00E23CF9">
              <w:rPr>
                <w:bCs/>
                <w:color w:val="000000"/>
                <w:sz w:val="22"/>
                <w:szCs w:val="22"/>
              </w:rPr>
              <w:t>,</w:t>
            </w:r>
            <w:r w:rsidR="00DD4798" w:rsidRPr="00E23CF9">
              <w:rPr>
                <w:bCs/>
                <w:color w:val="000000"/>
                <w:sz w:val="22"/>
                <w:szCs w:val="22"/>
              </w:rPr>
              <w:t>2</w:t>
            </w:r>
            <w:r w:rsidR="00D717EB" w:rsidRPr="00E23CF9">
              <w:rPr>
                <w:bCs/>
                <w:color w:val="000000"/>
                <w:sz w:val="22"/>
                <w:szCs w:val="22"/>
              </w:rPr>
              <w:t>1</w:t>
            </w:r>
            <w:r w:rsidR="00DD4798" w:rsidRPr="00E23CF9">
              <w:rPr>
                <w:bCs/>
                <w:color w:val="000000"/>
                <w:sz w:val="22"/>
                <w:szCs w:val="22"/>
              </w:rPr>
              <w:t>5</w:t>
            </w:r>
          </w:p>
        </w:tc>
      </w:tr>
      <w:tr w:rsidR="00515E9E" w:rsidRPr="009D17A3" w:rsidTr="00E23CF9">
        <w:trPr>
          <w:trHeight w:val="255"/>
        </w:trPr>
        <w:tc>
          <w:tcPr>
            <w:tcW w:w="1710" w:type="dxa"/>
            <w:noWrap/>
          </w:tcPr>
          <w:p w:rsidR="00515E9E" w:rsidRPr="009D17A3" w:rsidRDefault="00515E9E" w:rsidP="00915242">
            <w:pPr>
              <w:spacing w:before="120" w:after="120"/>
              <w:rPr>
                <w:bCs/>
                <w:color w:val="000000"/>
                <w:sz w:val="22"/>
                <w:szCs w:val="22"/>
              </w:rPr>
            </w:pPr>
            <w:r w:rsidRPr="009D17A3">
              <w:rPr>
                <w:bCs/>
                <w:color w:val="000000"/>
                <w:sz w:val="22"/>
                <w:szCs w:val="22"/>
              </w:rPr>
              <w:t xml:space="preserve">GLI Implementation Instrument </w:t>
            </w:r>
          </w:p>
        </w:tc>
        <w:tc>
          <w:tcPr>
            <w:tcW w:w="1350" w:type="dxa"/>
            <w:noWrap/>
            <w:vAlign w:val="center"/>
          </w:tcPr>
          <w:p w:rsidR="00515E9E" w:rsidRPr="009D17A3" w:rsidRDefault="00515E9E" w:rsidP="00D828EB">
            <w:pPr>
              <w:rPr>
                <w:bCs/>
                <w:color w:val="000000"/>
                <w:sz w:val="22"/>
                <w:szCs w:val="22"/>
              </w:rPr>
            </w:pPr>
            <w:r w:rsidRPr="009D17A3">
              <w:rPr>
                <w:bCs/>
                <w:color w:val="000000"/>
                <w:sz w:val="22"/>
                <w:szCs w:val="22"/>
              </w:rPr>
              <w:t>Grantee</w:t>
            </w:r>
          </w:p>
        </w:tc>
        <w:tc>
          <w:tcPr>
            <w:tcW w:w="990" w:type="dxa"/>
            <w:noWrap/>
            <w:vAlign w:val="center"/>
          </w:tcPr>
          <w:p w:rsidR="00515E9E" w:rsidRPr="009D17A3" w:rsidRDefault="00515E9E" w:rsidP="00D828EB">
            <w:pPr>
              <w:jc w:val="center"/>
              <w:rPr>
                <w:color w:val="000000"/>
                <w:sz w:val="22"/>
                <w:szCs w:val="22"/>
              </w:rPr>
            </w:pPr>
            <w:r w:rsidRPr="009D17A3">
              <w:rPr>
                <w:color w:val="000000"/>
                <w:sz w:val="22"/>
                <w:szCs w:val="22"/>
              </w:rPr>
              <w:t>34</w:t>
            </w:r>
          </w:p>
        </w:tc>
        <w:tc>
          <w:tcPr>
            <w:tcW w:w="1350" w:type="dxa"/>
            <w:vAlign w:val="center"/>
          </w:tcPr>
          <w:p w:rsidR="00515E9E" w:rsidRPr="009D17A3" w:rsidRDefault="00515E9E" w:rsidP="00D828EB">
            <w:pPr>
              <w:jc w:val="center"/>
              <w:rPr>
                <w:color w:val="000000"/>
                <w:sz w:val="22"/>
                <w:szCs w:val="22"/>
              </w:rPr>
            </w:pPr>
            <w:r w:rsidRPr="009D17A3">
              <w:rPr>
                <w:color w:val="000000"/>
                <w:sz w:val="22"/>
                <w:szCs w:val="22"/>
              </w:rPr>
              <w:t>1</w:t>
            </w:r>
          </w:p>
        </w:tc>
        <w:tc>
          <w:tcPr>
            <w:tcW w:w="1260" w:type="dxa"/>
            <w:noWrap/>
            <w:vAlign w:val="center"/>
          </w:tcPr>
          <w:p w:rsidR="00515E9E" w:rsidRPr="009D17A3" w:rsidRDefault="00515E9E" w:rsidP="00D828EB">
            <w:pPr>
              <w:jc w:val="center"/>
              <w:rPr>
                <w:color w:val="000000"/>
                <w:sz w:val="22"/>
                <w:szCs w:val="22"/>
              </w:rPr>
            </w:pPr>
            <w:r w:rsidRPr="009D17A3">
              <w:rPr>
                <w:color w:val="000000"/>
                <w:sz w:val="22"/>
                <w:szCs w:val="22"/>
              </w:rPr>
              <w:t>34</w:t>
            </w:r>
          </w:p>
        </w:tc>
        <w:tc>
          <w:tcPr>
            <w:tcW w:w="1170" w:type="dxa"/>
            <w:vAlign w:val="center"/>
          </w:tcPr>
          <w:p w:rsidR="00515E9E" w:rsidRPr="009D17A3" w:rsidRDefault="00515E9E" w:rsidP="00D828EB">
            <w:pPr>
              <w:jc w:val="center"/>
              <w:rPr>
                <w:color w:val="000000"/>
                <w:sz w:val="22"/>
                <w:szCs w:val="22"/>
              </w:rPr>
            </w:pPr>
            <w:r w:rsidRPr="009D17A3">
              <w:rPr>
                <w:color w:val="000000"/>
                <w:sz w:val="22"/>
                <w:szCs w:val="22"/>
              </w:rPr>
              <w:t>1.95</w:t>
            </w:r>
          </w:p>
        </w:tc>
        <w:tc>
          <w:tcPr>
            <w:tcW w:w="990" w:type="dxa"/>
            <w:vAlign w:val="center"/>
          </w:tcPr>
          <w:p w:rsidR="00515E9E" w:rsidRPr="009D17A3" w:rsidRDefault="005768A5" w:rsidP="00D828EB">
            <w:pPr>
              <w:jc w:val="center"/>
              <w:rPr>
                <w:color w:val="000000"/>
                <w:sz w:val="22"/>
                <w:szCs w:val="22"/>
              </w:rPr>
            </w:pPr>
            <w:r w:rsidRPr="009D17A3">
              <w:rPr>
                <w:color w:val="000000"/>
                <w:sz w:val="22"/>
                <w:szCs w:val="22"/>
              </w:rPr>
              <w:t>66</w:t>
            </w:r>
            <w:r w:rsidR="00D717EB" w:rsidRPr="009D17A3">
              <w:rPr>
                <w:color w:val="000000"/>
                <w:sz w:val="22"/>
                <w:szCs w:val="22"/>
              </w:rPr>
              <w:t>.30</w:t>
            </w:r>
          </w:p>
        </w:tc>
        <w:tc>
          <w:tcPr>
            <w:tcW w:w="990" w:type="dxa"/>
            <w:shd w:val="clear" w:color="auto" w:fill="auto"/>
            <w:noWrap/>
            <w:vAlign w:val="center"/>
          </w:tcPr>
          <w:p w:rsidR="00515E9E" w:rsidRPr="00E23CF9" w:rsidRDefault="00515E9E" w:rsidP="00DD4798">
            <w:pPr>
              <w:jc w:val="center"/>
              <w:rPr>
                <w:bCs/>
                <w:color w:val="000000"/>
                <w:sz w:val="22"/>
                <w:szCs w:val="22"/>
              </w:rPr>
            </w:pPr>
            <w:r w:rsidRPr="00E23CF9">
              <w:rPr>
                <w:color w:val="000000"/>
                <w:sz w:val="22"/>
                <w:szCs w:val="22"/>
              </w:rPr>
              <w:t>$42.</w:t>
            </w:r>
            <w:r w:rsidR="00DD4798" w:rsidRPr="00E23CF9">
              <w:rPr>
                <w:color w:val="000000"/>
                <w:sz w:val="22"/>
                <w:szCs w:val="22"/>
              </w:rPr>
              <w:t>59</w:t>
            </w:r>
          </w:p>
        </w:tc>
        <w:tc>
          <w:tcPr>
            <w:tcW w:w="1080" w:type="dxa"/>
            <w:shd w:val="clear" w:color="auto" w:fill="auto"/>
            <w:vAlign w:val="center"/>
          </w:tcPr>
          <w:p w:rsidR="00515E9E" w:rsidRPr="00E23CF9" w:rsidRDefault="00515E9E" w:rsidP="00DD4798">
            <w:pPr>
              <w:jc w:val="center"/>
              <w:rPr>
                <w:bCs/>
                <w:color w:val="000000"/>
                <w:sz w:val="22"/>
                <w:szCs w:val="22"/>
              </w:rPr>
            </w:pPr>
            <w:r w:rsidRPr="00E23CF9">
              <w:rPr>
                <w:color w:val="000000"/>
                <w:sz w:val="22"/>
                <w:szCs w:val="22"/>
              </w:rPr>
              <w:t>$</w:t>
            </w:r>
            <w:r w:rsidR="00103709" w:rsidRPr="00E23CF9">
              <w:rPr>
                <w:color w:val="000000"/>
                <w:sz w:val="22"/>
                <w:szCs w:val="22"/>
              </w:rPr>
              <w:t>2,</w:t>
            </w:r>
            <w:r w:rsidR="00D717EB" w:rsidRPr="00E23CF9">
              <w:rPr>
                <w:color w:val="000000"/>
                <w:sz w:val="22"/>
                <w:szCs w:val="22"/>
              </w:rPr>
              <w:t>8</w:t>
            </w:r>
            <w:r w:rsidR="00DD4798" w:rsidRPr="00E23CF9">
              <w:rPr>
                <w:color w:val="000000"/>
                <w:sz w:val="22"/>
                <w:szCs w:val="22"/>
              </w:rPr>
              <w:t>2</w:t>
            </w:r>
            <w:r w:rsidR="00D717EB" w:rsidRPr="00E23CF9">
              <w:rPr>
                <w:color w:val="000000"/>
                <w:sz w:val="22"/>
                <w:szCs w:val="22"/>
              </w:rPr>
              <w:t>4</w:t>
            </w:r>
          </w:p>
        </w:tc>
      </w:tr>
      <w:tr w:rsidR="00515E9E" w:rsidRPr="009D17A3" w:rsidTr="00E23CF9">
        <w:trPr>
          <w:trHeight w:val="255"/>
        </w:trPr>
        <w:tc>
          <w:tcPr>
            <w:tcW w:w="1710" w:type="dxa"/>
            <w:noWrap/>
          </w:tcPr>
          <w:p w:rsidR="00515E9E" w:rsidRPr="009D17A3" w:rsidRDefault="00515E9E" w:rsidP="00915242">
            <w:pPr>
              <w:spacing w:before="120" w:after="120"/>
              <w:rPr>
                <w:b/>
                <w:bCs/>
                <w:color w:val="000000"/>
                <w:sz w:val="22"/>
                <w:szCs w:val="22"/>
              </w:rPr>
            </w:pPr>
            <w:r w:rsidRPr="009D17A3">
              <w:rPr>
                <w:bCs/>
                <w:color w:val="000000"/>
                <w:sz w:val="22"/>
                <w:szCs w:val="22"/>
              </w:rPr>
              <w:t>CLI Part I, 1—20: Community Contact Information —Updates</w:t>
            </w:r>
          </w:p>
        </w:tc>
        <w:tc>
          <w:tcPr>
            <w:tcW w:w="1350" w:type="dxa"/>
            <w:noWrap/>
            <w:vAlign w:val="center"/>
          </w:tcPr>
          <w:p w:rsidR="00515E9E" w:rsidRPr="009D17A3" w:rsidRDefault="00515E9E" w:rsidP="00D828EB">
            <w:pPr>
              <w:rPr>
                <w:bCs/>
                <w:color w:val="000000"/>
                <w:sz w:val="22"/>
                <w:szCs w:val="22"/>
              </w:rPr>
            </w:pPr>
            <w:r w:rsidRPr="009D17A3">
              <w:rPr>
                <w:bCs/>
                <w:color w:val="000000"/>
                <w:sz w:val="22"/>
                <w:szCs w:val="22"/>
              </w:rPr>
              <w:t>Grantee</w:t>
            </w:r>
          </w:p>
        </w:tc>
        <w:tc>
          <w:tcPr>
            <w:tcW w:w="990" w:type="dxa"/>
            <w:noWrap/>
            <w:vAlign w:val="center"/>
          </w:tcPr>
          <w:p w:rsidR="00515E9E" w:rsidRPr="009D17A3" w:rsidRDefault="00515E9E" w:rsidP="00D828EB">
            <w:pPr>
              <w:jc w:val="center"/>
              <w:rPr>
                <w:color w:val="000000"/>
                <w:sz w:val="22"/>
                <w:szCs w:val="22"/>
              </w:rPr>
            </w:pPr>
            <w:r w:rsidRPr="009D17A3">
              <w:rPr>
                <w:color w:val="000000"/>
                <w:sz w:val="22"/>
                <w:szCs w:val="22"/>
              </w:rPr>
              <w:t>34</w:t>
            </w:r>
          </w:p>
        </w:tc>
        <w:tc>
          <w:tcPr>
            <w:tcW w:w="1350" w:type="dxa"/>
            <w:vAlign w:val="center"/>
          </w:tcPr>
          <w:p w:rsidR="00515E9E" w:rsidRPr="009D17A3" w:rsidRDefault="00515E9E" w:rsidP="00D828EB">
            <w:pPr>
              <w:jc w:val="center"/>
              <w:rPr>
                <w:color w:val="000000"/>
                <w:sz w:val="22"/>
                <w:szCs w:val="22"/>
              </w:rPr>
            </w:pPr>
            <w:r w:rsidRPr="009D17A3">
              <w:rPr>
                <w:color w:val="000000"/>
                <w:sz w:val="22"/>
                <w:szCs w:val="22"/>
              </w:rPr>
              <w:t>3</w:t>
            </w:r>
          </w:p>
        </w:tc>
        <w:tc>
          <w:tcPr>
            <w:tcW w:w="1260" w:type="dxa"/>
            <w:noWrap/>
            <w:vAlign w:val="center"/>
          </w:tcPr>
          <w:p w:rsidR="00515E9E" w:rsidRPr="009D17A3" w:rsidRDefault="00515E9E" w:rsidP="00D828EB">
            <w:pPr>
              <w:jc w:val="center"/>
              <w:rPr>
                <w:color w:val="000000"/>
                <w:sz w:val="22"/>
                <w:szCs w:val="22"/>
              </w:rPr>
            </w:pPr>
            <w:r w:rsidRPr="009D17A3">
              <w:rPr>
                <w:color w:val="000000"/>
                <w:sz w:val="22"/>
                <w:szCs w:val="22"/>
              </w:rPr>
              <w:t>102</w:t>
            </w:r>
          </w:p>
        </w:tc>
        <w:tc>
          <w:tcPr>
            <w:tcW w:w="1170" w:type="dxa"/>
            <w:vAlign w:val="center"/>
          </w:tcPr>
          <w:p w:rsidR="00515E9E" w:rsidRPr="009D17A3" w:rsidRDefault="00515E9E" w:rsidP="00D828EB">
            <w:pPr>
              <w:jc w:val="center"/>
              <w:rPr>
                <w:color w:val="000000"/>
                <w:sz w:val="22"/>
                <w:szCs w:val="22"/>
              </w:rPr>
            </w:pPr>
            <w:r w:rsidRPr="009D17A3">
              <w:rPr>
                <w:color w:val="000000"/>
                <w:sz w:val="22"/>
                <w:szCs w:val="22"/>
              </w:rPr>
              <w:t>0.25</w:t>
            </w:r>
          </w:p>
        </w:tc>
        <w:tc>
          <w:tcPr>
            <w:tcW w:w="990" w:type="dxa"/>
            <w:vAlign w:val="center"/>
          </w:tcPr>
          <w:p w:rsidR="00515E9E" w:rsidRPr="009D17A3" w:rsidRDefault="005768A5" w:rsidP="00D828EB">
            <w:pPr>
              <w:jc w:val="center"/>
              <w:rPr>
                <w:color w:val="000000"/>
                <w:sz w:val="22"/>
                <w:szCs w:val="22"/>
              </w:rPr>
            </w:pPr>
            <w:r w:rsidRPr="009D17A3">
              <w:rPr>
                <w:color w:val="000000"/>
                <w:sz w:val="22"/>
                <w:szCs w:val="22"/>
              </w:rPr>
              <w:t>2</w:t>
            </w:r>
            <w:r w:rsidR="00D717EB" w:rsidRPr="009D17A3">
              <w:rPr>
                <w:color w:val="000000"/>
                <w:sz w:val="22"/>
                <w:szCs w:val="22"/>
              </w:rPr>
              <w:t>5.50</w:t>
            </w:r>
          </w:p>
        </w:tc>
        <w:tc>
          <w:tcPr>
            <w:tcW w:w="990" w:type="dxa"/>
            <w:shd w:val="clear" w:color="auto" w:fill="auto"/>
            <w:noWrap/>
            <w:vAlign w:val="center"/>
          </w:tcPr>
          <w:p w:rsidR="00515E9E" w:rsidRPr="00E23CF9" w:rsidRDefault="00515E9E" w:rsidP="00DD4798">
            <w:pPr>
              <w:jc w:val="center"/>
              <w:rPr>
                <w:b/>
                <w:bCs/>
                <w:color w:val="000000"/>
                <w:sz w:val="22"/>
                <w:szCs w:val="22"/>
              </w:rPr>
            </w:pPr>
            <w:r w:rsidRPr="00E23CF9">
              <w:rPr>
                <w:color w:val="000000"/>
                <w:sz w:val="22"/>
                <w:szCs w:val="22"/>
              </w:rPr>
              <w:t>$42.</w:t>
            </w:r>
            <w:r w:rsidR="00DD4798" w:rsidRPr="00E23CF9">
              <w:rPr>
                <w:color w:val="000000"/>
                <w:sz w:val="22"/>
                <w:szCs w:val="22"/>
              </w:rPr>
              <w:t>59</w:t>
            </w:r>
          </w:p>
        </w:tc>
        <w:tc>
          <w:tcPr>
            <w:tcW w:w="1080" w:type="dxa"/>
            <w:shd w:val="clear" w:color="auto" w:fill="auto"/>
            <w:vAlign w:val="center"/>
          </w:tcPr>
          <w:p w:rsidR="00515E9E" w:rsidRPr="00E23CF9" w:rsidRDefault="00515E9E" w:rsidP="00DD4798">
            <w:pPr>
              <w:jc w:val="center"/>
              <w:rPr>
                <w:bCs/>
                <w:color w:val="000000"/>
                <w:sz w:val="22"/>
                <w:szCs w:val="22"/>
              </w:rPr>
            </w:pPr>
            <w:r w:rsidRPr="00E23CF9">
              <w:rPr>
                <w:color w:val="000000"/>
                <w:sz w:val="22"/>
                <w:szCs w:val="22"/>
              </w:rPr>
              <w:t>$</w:t>
            </w:r>
            <w:r w:rsidR="00103709" w:rsidRPr="00E23CF9">
              <w:rPr>
                <w:color w:val="000000"/>
                <w:sz w:val="22"/>
                <w:szCs w:val="22"/>
              </w:rPr>
              <w:t>1,0</w:t>
            </w:r>
            <w:r w:rsidR="00DD4798" w:rsidRPr="00E23CF9">
              <w:rPr>
                <w:color w:val="000000"/>
                <w:sz w:val="22"/>
                <w:szCs w:val="22"/>
              </w:rPr>
              <w:t>86</w:t>
            </w:r>
          </w:p>
        </w:tc>
      </w:tr>
      <w:tr w:rsidR="00515E9E" w:rsidRPr="009D17A3" w:rsidTr="00E23CF9">
        <w:trPr>
          <w:trHeight w:val="255"/>
        </w:trPr>
        <w:tc>
          <w:tcPr>
            <w:tcW w:w="1710" w:type="dxa"/>
            <w:tcBorders>
              <w:bottom w:val="single" w:sz="4" w:space="0" w:color="A6A6A6"/>
            </w:tcBorders>
            <w:noWrap/>
          </w:tcPr>
          <w:p w:rsidR="00515E9E" w:rsidRPr="009D17A3" w:rsidRDefault="00515E9E" w:rsidP="00ED403B">
            <w:pPr>
              <w:spacing w:before="120"/>
              <w:rPr>
                <w:bCs/>
                <w:color w:val="000000"/>
                <w:sz w:val="22"/>
                <w:szCs w:val="22"/>
              </w:rPr>
            </w:pPr>
            <w:r w:rsidRPr="009D17A3">
              <w:rPr>
                <w:bCs/>
                <w:color w:val="000000"/>
                <w:sz w:val="22"/>
                <w:szCs w:val="22"/>
              </w:rPr>
              <w:t xml:space="preserve">Total Grantee-Level Burden </w:t>
            </w:r>
          </w:p>
        </w:tc>
        <w:tc>
          <w:tcPr>
            <w:tcW w:w="1350" w:type="dxa"/>
            <w:tcBorders>
              <w:bottom w:val="single" w:sz="4" w:space="0" w:color="A6A6A6"/>
            </w:tcBorders>
            <w:noWrap/>
            <w:vAlign w:val="center"/>
          </w:tcPr>
          <w:p w:rsidR="00515E9E" w:rsidRPr="009D17A3" w:rsidRDefault="00515E9E" w:rsidP="00D828EB">
            <w:pPr>
              <w:rPr>
                <w:b/>
                <w:bCs/>
                <w:color w:val="000000"/>
                <w:sz w:val="22"/>
                <w:szCs w:val="22"/>
              </w:rPr>
            </w:pPr>
            <w:r w:rsidRPr="009D17A3">
              <w:rPr>
                <w:b/>
                <w:bCs/>
                <w:color w:val="000000"/>
                <w:sz w:val="22"/>
                <w:szCs w:val="22"/>
              </w:rPr>
              <w:t>Grantee</w:t>
            </w:r>
          </w:p>
        </w:tc>
        <w:tc>
          <w:tcPr>
            <w:tcW w:w="990" w:type="dxa"/>
            <w:tcBorders>
              <w:bottom w:val="single" w:sz="4" w:space="0" w:color="A6A6A6"/>
            </w:tcBorders>
            <w:noWrap/>
            <w:vAlign w:val="center"/>
          </w:tcPr>
          <w:p w:rsidR="00515E9E" w:rsidRPr="009D17A3" w:rsidRDefault="00515E9E" w:rsidP="00D828EB">
            <w:pPr>
              <w:jc w:val="center"/>
              <w:rPr>
                <w:b/>
                <w:color w:val="000000"/>
                <w:sz w:val="22"/>
                <w:szCs w:val="22"/>
              </w:rPr>
            </w:pPr>
            <w:r w:rsidRPr="009D17A3">
              <w:rPr>
                <w:b/>
                <w:color w:val="000000"/>
                <w:sz w:val="22"/>
                <w:szCs w:val="22"/>
              </w:rPr>
              <w:t>34</w:t>
            </w:r>
          </w:p>
        </w:tc>
        <w:tc>
          <w:tcPr>
            <w:tcW w:w="1350" w:type="dxa"/>
            <w:tcBorders>
              <w:bottom w:val="single" w:sz="4" w:space="0" w:color="A6A6A6"/>
            </w:tcBorders>
            <w:vAlign w:val="center"/>
          </w:tcPr>
          <w:p w:rsidR="00515E9E" w:rsidRPr="009D17A3" w:rsidRDefault="00515E9E" w:rsidP="00D828EB">
            <w:pPr>
              <w:jc w:val="center"/>
              <w:rPr>
                <w:b/>
                <w:color w:val="000000"/>
                <w:sz w:val="22"/>
                <w:szCs w:val="22"/>
              </w:rPr>
            </w:pPr>
          </w:p>
        </w:tc>
        <w:tc>
          <w:tcPr>
            <w:tcW w:w="1260" w:type="dxa"/>
            <w:tcBorders>
              <w:bottom w:val="single" w:sz="4" w:space="0" w:color="A6A6A6"/>
            </w:tcBorders>
            <w:noWrap/>
            <w:vAlign w:val="center"/>
          </w:tcPr>
          <w:p w:rsidR="00515E9E" w:rsidRPr="009D17A3" w:rsidRDefault="00515E9E" w:rsidP="00D828EB">
            <w:pPr>
              <w:jc w:val="center"/>
              <w:rPr>
                <w:b/>
                <w:color w:val="000000"/>
                <w:sz w:val="22"/>
                <w:szCs w:val="22"/>
              </w:rPr>
            </w:pPr>
            <w:r w:rsidRPr="009D17A3">
              <w:rPr>
                <w:b/>
                <w:color w:val="000000"/>
                <w:sz w:val="22"/>
                <w:szCs w:val="22"/>
              </w:rPr>
              <w:t>170</w:t>
            </w:r>
          </w:p>
        </w:tc>
        <w:tc>
          <w:tcPr>
            <w:tcW w:w="1170" w:type="dxa"/>
            <w:tcBorders>
              <w:bottom w:val="single" w:sz="4" w:space="0" w:color="A6A6A6"/>
            </w:tcBorders>
            <w:vAlign w:val="center"/>
          </w:tcPr>
          <w:p w:rsidR="00515E9E" w:rsidRPr="009D17A3" w:rsidRDefault="00515E9E" w:rsidP="00D828EB">
            <w:pPr>
              <w:jc w:val="center"/>
              <w:rPr>
                <w:b/>
                <w:color w:val="000000"/>
                <w:sz w:val="22"/>
                <w:szCs w:val="22"/>
              </w:rPr>
            </w:pPr>
          </w:p>
        </w:tc>
        <w:tc>
          <w:tcPr>
            <w:tcW w:w="990" w:type="dxa"/>
            <w:tcBorders>
              <w:bottom w:val="single" w:sz="4" w:space="0" w:color="A6A6A6"/>
            </w:tcBorders>
            <w:vAlign w:val="center"/>
          </w:tcPr>
          <w:p w:rsidR="00515E9E" w:rsidRPr="009D17A3" w:rsidRDefault="00103709" w:rsidP="00D828EB">
            <w:pPr>
              <w:jc w:val="center"/>
              <w:rPr>
                <w:b/>
                <w:color w:val="000000"/>
                <w:sz w:val="22"/>
                <w:szCs w:val="22"/>
              </w:rPr>
            </w:pPr>
            <w:r w:rsidRPr="009D17A3">
              <w:rPr>
                <w:b/>
                <w:color w:val="000000"/>
                <w:sz w:val="22"/>
                <w:szCs w:val="22"/>
              </w:rPr>
              <w:t>167</w:t>
            </w:r>
            <w:r w:rsidR="00D717EB" w:rsidRPr="009D17A3">
              <w:rPr>
                <w:b/>
                <w:color w:val="000000"/>
                <w:sz w:val="22"/>
                <w:szCs w:val="22"/>
              </w:rPr>
              <w:t>.28</w:t>
            </w:r>
          </w:p>
        </w:tc>
        <w:tc>
          <w:tcPr>
            <w:tcW w:w="990" w:type="dxa"/>
            <w:tcBorders>
              <w:bottom w:val="single" w:sz="4" w:space="0" w:color="A6A6A6"/>
            </w:tcBorders>
            <w:shd w:val="clear" w:color="auto" w:fill="auto"/>
            <w:noWrap/>
            <w:vAlign w:val="center"/>
          </w:tcPr>
          <w:p w:rsidR="00515E9E" w:rsidRPr="00E23CF9" w:rsidRDefault="00515E9E" w:rsidP="00D828EB">
            <w:pPr>
              <w:jc w:val="center"/>
              <w:rPr>
                <w:b/>
                <w:color w:val="000000"/>
                <w:sz w:val="22"/>
                <w:szCs w:val="22"/>
              </w:rPr>
            </w:pPr>
          </w:p>
        </w:tc>
        <w:tc>
          <w:tcPr>
            <w:tcW w:w="1080" w:type="dxa"/>
            <w:tcBorders>
              <w:bottom w:val="single" w:sz="4" w:space="0" w:color="A6A6A6"/>
            </w:tcBorders>
            <w:shd w:val="clear" w:color="auto" w:fill="auto"/>
            <w:vAlign w:val="center"/>
          </w:tcPr>
          <w:p w:rsidR="00515E9E" w:rsidRPr="00E23CF9" w:rsidRDefault="00515E9E" w:rsidP="00DD4798">
            <w:pPr>
              <w:jc w:val="center"/>
              <w:rPr>
                <w:b/>
                <w:bCs/>
                <w:color w:val="000000"/>
                <w:sz w:val="22"/>
                <w:szCs w:val="22"/>
              </w:rPr>
            </w:pPr>
            <w:r w:rsidRPr="00E23CF9">
              <w:rPr>
                <w:b/>
                <w:color w:val="000000"/>
                <w:sz w:val="22"/>
                <w:szCs w:val="22"/>
              </w:rPr>
              <w:t>$</w:t>
            </w:r>
            <w:r w:rsidR="00103709" w:rsidRPr="00E23CF9">
              <w:rPr>
                <w:b/>
                <w:color w:val="000000"/>
                <w:sz w:val="22"/>
                <w:szCs w:val="22"/>
              </w:rPr>
              <w:t>7,</w:t>
            </w:r>
            <w:r w:rsidR="00DD4798" w:rsidRPr="00E23CF9">
              <w:rPr>
                <w:b/>
                <w:color w:val="000000"/>
                <w:sz w:val="22"/>
                <w:szCs w:val="22"/>
              </w:rPr>
              <w:t>1</w:t>
            </w:r>
            <w:r w:rsidR="00D717EB" w:rsidRPr="00E23CF9">
              <w:rPr>
                <w:b/>
                <w:color w:val="000000"/>
                <w:sz w:val="22"/>
                <w:szCs w:val="22"/>
              </w:rPr>
              <w:t>25</w:t>
            </w:r>
          </w:p>
        </w:tc>
      </w:tr>
      <w:tr w:rsidR="00515E9E" w:rsidRPr="009D17A3" w:rsidTr="00E23CF9">
        <w:trPr>
          <w:trHeight w:val="255"/>
        </w:trPr>
        <w:tc>
          <w:tcPr>
            <w:tcW w:w="10890" w:type="dxa"/>
            <w:gridSpan w:val="9"/>
            <w:shd w:val="clear" w:color="auto" w:fill="A6A6A6" w:themeFill="background1" w:themeFillShade="A6"/>
            <w:vAlign w:val="center"/>
          </w:tcPr>
          <w:p w:rsidR="00515E9E" w:rsidRPr="00E23CF9" w:rsidRDefault="00515E9E" w:rsidP="00D828EB">
            <w:pPr>
              <w:spacing w:before="120" w:after="120"/>
              <w:jc w:val="center"/>
              <w:rPr>
                <w:b/>
                <w:bCs/>
                <w:color w:val="000000"/>
              </w:rPr>
            </w:pPr>
            <w:r w:rsidRPr="00E23CF9">
              <w:rPr>
                <w:b/>
                <w:bCs/>
                <w:color w:val="000000"/>
              </w:rPr>
              <w:t>Community-Level</w:t>
            </w:r>
          </w:p>
        </w:tc>
      </w:tr>
      <w:tr w:rsidR="004143C7" w:rsidRPr="009D17A3" w:rsidTr="00E23CF9">
        <w:trPr>
          <w:trHeight w:val="255"/>
        </w:trPr>
        <w:tc>
          <w:tcPr>
            <w:tcW w:w="1710" w:type="dxa"/>
            <w:shd w:val="clear" w:color="auto" w:fill="FFFFFF"/>
            <w:noWrap/>
          </w:tcPr>
          <w:p w:rsidR="00515E9E" w:rsidRPr="009D17A3" w:rsidRDefault="00515E9E" w:rsidP="00B82F1F">
            <w:pPr>
              <w:spacing w:before="120" w:after="120"/>
              <w:rPr>
                <w:bCs/>
                <w:color w:val="000000"/>
                <w:sz w:val="22"/>
                <w:szCs w:val="22"/>
              </w:rPr>
            </w:pPr>
            <w:r w:rsidRPr="009D17A3">
              <w:rPr>
                <w:bCs/>
                <w:color w:val="000000"/>
                <w:sz w:val="22"/>
                <w:szCs w:val="22"/>
              </w:rPr>
              <w:t>CLI Part I, 21–17</w:t>
            </w:r>
            <w:r w:rsidR="00B82F1F">
              <w:rPr>
                <w:bCs/>
                <w:color w:val="000000"/>
                <w:sz w:val="22"/>
                <w:szCs w:val="22"/>
              </w:rPr>
              <w:t>8</w:t>
            </w:r>
            <w:r w:rsidRPr="009D17A3">
              <w:rPr>
                <w:bCs/>
                <w:color w:val="000000"/>
                <w:sz w:val="22"/>
                <w:szCs w:val="22"/>
              </w:rPr>
              <w:t>: Community SPF Activities –Updates</w:t>
            </w:r>
          </w:p>
        </w:tc>
        <w:tc>
          <w:tcPr>
            <w:tcW w:w="1350" w:type="dxa"/>
            <w:shd w:val="clear" w:color="auto" w:fill="FFFFFF"/>
            <w:noWrap/>
            <w:vAlign w:val="center"/>
          </w:tcPr>
          <w:p w:rsidR="00515E9E" w:rsidRPr="009D17A3" w:rsidRDefault="00515E9E" w:rsidP="00D828EB">
            <w:pPr>
              <w:rPr>
                <w:bCs/>
                <w:color w:val="000000"/>
                <w:sz w:val="22"/>
                <w:szCs w:val="22"/>
              </w:rPr>
            </w:pPr>
            <w:r w:rsidRPr="009D17A3">
              <w:rPr>
                <w:bCs/>
                <w:color w:val="000000"/>
                <w:sz w:val="22"/>
                <w:szCs w:val="22"/>
              </w:rPr>
              <w:t>Community</w:t>
            </w:r>
          </w:p>
        </w:tc>
        <w:tc>
          <w:tcPr>
            <w:tcW w:w="990" w:type="dxa"/>
            <w:shd w:val="clear" w:color="auto" w:fill="FFFFFF"/>
            <w:noWrap/>
            <w:vAlign w:val="center"/>
          </w:tcPr>
          <w:p w:rsidR="00515E9E" w:rsidRPr="009D17A3" w:rsidRDefault="00515E9E" w:rsidP="00D828EB">
            <w:pPr>
              <w:jc w:val="center"/>
              <w:rPr>
                <w:color w:val="000000"/>
                <w:sz w:val="22"/>
                <w:szCs w:val="22"/>
              </w:rPr>
            </w:pPr>
            <w:r w:rsidRPr="009D17A3">
              <w:rPr>
                <w:color w:val="000000"/>
                <w:sz w:val="22"/>
                <w:szCs w:val="22"/>
              </w:rPr>
              <w:t>510</w:t>
            </w:r>
          </w:p>
        </w:tc>
        <w:tc>
          <w:tcPr>
            <w:tcW w:w="1350" w:type="dxa"/>
            <w:shd w:val="clear" w:color="auto" w:fill="FFFFFF"/>
            <w:vAlign w:val="center"/>
          </w:tcPr>
          <w:p w:rsidR="00515E9E" w:rsidRPr="009D17A3" w:rsidRDefault="00515E9E" w:rsidP="00D828EB">
            <w:pPr>
              <w:jc w:val="center"/>
              <w:rPr>
                <w:color w:val="000000"/>
                <w:sz w:val="22"/>
                <w:szCs w:val="22"/>
              </w:rPr>
            </w:pPr>
            <w:r w:rsidRPr="009D17A3">
              <w:rPr>
                <w:color w:val="000000"/>
                <w:sz w:val="22"/>
                <w:szCs w:val="22"/>
              </w:rPr>
              <w:t>3</w:t>
            </w:r>
          </w:p>
        </w:tc>
        <w:tc>
          <w:tcPr>
            <w:tcW w:w="1260" w:type="dxa"/>
            <w:shd w:val="clear" w:color="auto" w:fill="FFFFFF"/>
            <w:noWrap/>
            <w:vAlign w:val="center"/>
          </w:tcPr>
          <w:p w:rsidR="00515E9E" w:rsidRPr="009D17A3" w:rsidRDefault="00515E9E" w:rsidP="00D828EB">
            <w:pPr>
              <w:jc w:val="center"/>
              <w:rPr>
                <w:color w:val="000000"/>
                <w:sz w:val="22"/>
                <w:szCs w:val="22"/>
              </w:rPr>
            </w:pPr>
            <w:r w:rsidRPr="009D17A3">
              <w:rPr>
                <w:color w:val="000000"/>
                <w:sz w:val="22"/>
                <w:szCs w:val="22"/>
              </w:rPr>
              <w:t>1,530</w:t>
            </w:r>
          </w:p>
        </w:tc>
        <w:tc>
          <w:tcPr>
            <w:tcW w:w="1170" w:type="dxa"/>
            <w:shd w:val="clear" w:color="auto" w:fill="FFFFFF"/>
            <w:vAlign w:val="center"/>
          </w:tcPr>
          <w:p w:rsidR="00515E9E" w:rsidRPr="009D17A3" w:rsidRDefault="00515E9E" w:rsidP="00D828EB">
            <w:pPr>
              <w:jc w:val="center"/>
              <w:rPr>
                <w:color w:val="000000"/>
                <w:sz w:val="22"/>
                <w:szCs w:val="22"/>
              </w:rPr>
            </w:pPr>
            <w:r w:rsidRPr="009D17A3">
              <w:rPr>
                <w:color w:val="000000"/>
                <w:sz w:val="22"/>
                <w:szCs w:val="22"/>
              </w:rPr>
              <w:t>0.75</w:t>
            </w:r>
          </w:p>
        </w:tc>
        <w:tc>
          <w:tcPr>
            <w:tcW w:w="990" w:type="dxa"/>
            <w:shd w:val="clear" w:color="auto" w:fill="FFFFFF"/>
            <w:vAlign w:val="center"/>
          </w:tcPr>
          <w:p w:rsidR="00515E9E" w:rsidRPr="009D17A3" w:rsidRDefault="00D717EB" w:rsidP="00D828EB">
            <w:pPr>
              <w:jc w:val="center"/>
              <w:rPr>
                <w:color w:val="000000"/>
                <w:sz w:val="22"/>
                <w:szCs w:val="22"/>
              </w:rPr>
            </w:pPr>
            <w:r w:rsidRPr="009D17A3">
              <w:rPr>
                <w:color w:val="000000"/>
                <w:sz w:val="22"/>
                <w:szCs w:val="22"/>
              </w:rPr>
              <w:t>1,147.50</w:t>
            </w:r>
          </w:p>
        </w:tc>
        <w:tc>
          <w:tcPr>
            <w:tcW w:w="990" w:type="dxa"/>
            <w:shd w:val="clear" w:color="auto" w:fill="FFFFFF"/>
            <w:noWrap/>
            <w:vAlign w:val="center"/>
          </w:tcPr>
          <w:p w:rsidR="00515E9E" w:rsidRPr="00E23CF9" w:rsidRDefault="00515E9E" w:rsidP="00DD4798">
            <w:pPr>
              <w:jc w:val="center"/>
              <w:rPr>
                <w:b/>
                <w:bCs/>
                <w:color w:val="000000"/>
                <w:sz w:val="22"/>
                <w:szCs w:val="22"/>
              </w:rPr>
            </w:pPr>
            <w:r w:rsidRPr="00E23CF9">
              <w:rPr>
                <w:color w:val="000000"/>
                <w:sz w:val="22"/>
                <w:szCs w:val="22"/>
              </w:rPr>
              <w:t>$32.</w:t>
            </w:r>
            <w:r w:rsidR="00DD4798" w:rsidRPr="00E23CF9">
              <w:rPr>
                <w:color w:val="000000"/>
                <w:sz w:val="22"/>
                <w:szCs w:val="22"/>
              </w:rPr>
              <w:t>53</w:t>
            </w:r>
          </w:p>
        </w:tc>
        <w:tc>
          <w:tcPr>
            <w:tcW w:w="1080" w:type="dxa"/>
            <w:shd w:val="clear" w:color="auto" w:fill="FFFFFF"/>
            <w:vAlign w:val="center"/>
          </w:tcPr>
          <w:p w:rsidR="00515E9E" w:rsidRPr="00E23CF9" w:rsidRDefault="00515E9E" w:rsidP="00DD4798">
            <w:pPr>
              <w:jc w:val="center"/>
              <w:rPr>
                <w:bCs/>
                <w:color w:val="000000"/>
                <w:sz w:val="22"/>
                <w:szCs w:val="22"/>
              </w:rPr>
            </w:pPr>
            <w:r w:rsidRPr="00E23CF9">
              <w:rPr>
                <w:color w:val="000000"/>
                <w:sz w:val="22"/>
                <w:szCs w:val="22"/>
              </w:rPr>
              <w:t>$</w:t>
            </w:r>
            <w:r w:rsidR="00D717EB" w:rsidRPr="00E23CF9">
              <w:rPr>
                <w:color w:val="000000"/>
                <w:sz w:val="22"/>
                <w:szCs w:val="22"/>
              </w:rPr>
              <w:t>3</w:t>
            </w:r>
            <w:r w:rsidR="00DD4798" w:rsidRPr="00E23CF9">
              <w:rPr>
                <w:color w:val="000000"/>
                <w:sz w:val="22"/>
                <w:szCs w:val="22"/>
              </w:rPr>
              <w:t>7</w:t>
            </w:r>
            <w:r w:rsidR="00D717EB" w:rsidRPr="00E23CF9">
              <w:rPr>
                <w:color w:val="000000"/>
                <w:sz w:val="22"/>
                <w:szCs w:val="22"/>
              </w:rPr>
              <w:t>,</w:t>
            </w:r>
            <w:r w:rsidR="00DD4798" w:rsidRPr="00E23CF9">
              <w:rPr>
                <w:color w:val="000000"/>
                <w:sz w:val="22"/>
                <w:szCs w:val="22"/>
              </w:rPr>
              <w:t>328</w:t>
            </w:r>
          </w:p>
        </w:tc>
      </w:tr>
      <w:tr w:rsidR="004143C7" w:rsidRPr="009D17A3" w:rsidTr="00E23CF9">
        <w:trPr>
          <w:trHeight w:val="255"/>
        </w:trPr>
        <w:tc>
          <w:tcPr>
            <w:tcW w:w="1710" w:type="dxa"/>
            <w:shd w:val="clear" w:color="auto" w:fill="FFFFFF"/>
            <w:noWrap/>
          </w:tcPr>
          <w:p w:rsidR="00515E9E" w:rsidRPr="009D17A3" w:rsidRDefault="00515E9E" w:rsidP="00915242">
            <w:pPr>
              <w:spacing w:before="120" w:after="120"/>
              <w:rPr>
                <w:bCs/>
                <w:color w:val="000000"/>
                <w:sz w:val="22"/>
                <w:szCs w:val="22"/>
              </w:rPr>
            </w:pPr>
            <w:r w:rsidRPr="009D17A3">
              <w:rPr>
                <w:bCs/>
                <w:color w:val="000000"/>
                <w:sz w:val="22"/>
                <w:szCs w:val="22"/>
              </w:rPr>
              <w:t>CLI Part II —Updates</w:t>
            </w:r>
          </w:p>
        </w:tc>
        <w:tc>
          <w:tcPr>
            <w:tcW w:w="1350" w:type="dxa"/>
            <w:shd w:val="clear" w:color="auto" w:fill="FFFFFF"/>
            <w:noWrap/>
            <w:vAlign w:val="center"/>
          </w:tcPr>
          <w:p w:rsidR="00515E9E" w:rsidRPr="009D17A3" w:rsidRDefault="00515E9E" w:rsidP="00D828EB">
            <w:pPr>
              <w:rPr>
                <w:color w:val="000000"/>
                <w:sz w:val="22"/>
                <w:szCs w:val="22"/>
              </w:rPr>
            </w:pPr>
            <w:r w:rsidRPr="009D17A3">
              <w:rPr>
                <w:color w:val="000000"/>
                <w:sz w:val="22"/>
                <w:szCs w:val="22"/>
              </w:rPr>
              <w:t>Community</w:t>
            </w:r>
          </w:p>
        </w:tc>
        <w:tc>
          <w:tcPr>
            <w:tcW w:w="990" w:type="dxa"/>
            <w:shd w:val="clear" w:color="auto" w:fill="FFFFFF"/>
            <w:noWrap/>
            <w:vAlign w:val="center"/>
          </w:tcPr>
          <w:p w:rsidR="00515E9E" w:rsidRPr="009D17A3" w:rsidRDefault="00515E9E" w:rsidP="00D828EB">
            <w:pPr>
              <w:jc w:val="center"/>
              <w:rPr>
                <w:color w:val="000000"/>
                <w:sz w:val="22"/>
                <w:szCs w:val="22"/>
              </w:rPr>
            </w:pPr>
            <w:r w:rsidRPr="009D17A3">
              <w:rPr>
                <w:color w:val="000000"/>
                <w:sz w:val="22"/>
                <w:szCs w:val="22"/>
              </w:rPr>
              <w:t>510</w:t>
            </w:r>
          </w:p>
        </w:tc>
        <w:tc>
          <w:tcPr>
            <w:tcW w:w="1350" w:type="dxa"/>
            <w:shd w:val="clear" w:color="auto" w:fill="FFFFFF"/>
            <w:vAlign w:val="center"/>
          </w:tcPr>
          <w:p w:rsidR="00515E9E" w:rsidRPr="009D17A3" w:rsidRDefault="00515E9E" w:rsidP="00D828EB">
            <w:pPr>
              <w:jc w:val="center"/>
              <w:rPr>
                <w:color w:val="000000"/>
                <w:sz w:val="22"/>
                <w:szCs w:val="22"/>
              </w:rPr>
            </w:pPr>
            <w:r w:rsidRPr="009D17A3">
              <w:rPr>
                <w:color w:val="000000"/>
                <w:sz w:val="22"/>
                <w:szCs w:val="22"/>
              </w:rPr>
              <w:t>18</w:t>
            </w:r>
          </w:p>
        </w:tc>
        <w:tc>
          <w:tcPr>
            <w:tcW w:w="1260" w:type="dxa"/>
            <w:shd w:val="clear" w:color="auto" w:fill="FFFFFF"/>
            <w:noWrap/>
            <w:vAlign w:val="center"/>
          </w:tcPr>
          <w:p w:rsidR="00515E9E" w:rsidRPr="009D17A3" w:rsidRDefault="00515E9E" w:rsidP="00D828EB">
            <w:pPr>
              <w:jc w:val="center"/>
              <w:rPr>
                <w:color w:val="000000"/>
                <w:sz w:val="22"/>
                <w:szCs w:val="22"/>
              </w:rPr>
            </w:pPr>
            <w:r w:rsidRPr="009D17A3">
              <w:rPr>
                <w:color w:val="000000"/>
                <w:sz w:val="22"/>
                <w:szCs w:val="22"/>
              </w:rPr>
              <w:t>9,180</w:t>
            </w:r>
          </w:p>
        </w:tc>
        <w:tc>
          <w:tcPr>
            <w:tcW w:w="1170" w:type="dxa"/>
            <w:shd w:val="clear" w:color="auto" w:fill="FFFFFF"/>
            <w:vAlign w:val="center"/>
          </w:tcPr>
          <w:p w:rsidR="00515E9E" w:rsidRPr="009D17A3" w:rsidRDefault="00515E9E" w:rsidP="00D828EB">
            <w:pPr>
              <w:jc w:val="center"/>
              <w:rPr>
                <w:color w:val="000000"/>
                <w:sz w:val="22"/>
                <w:szCs w:val="22"/>
              </w:rPr>
            </w:pPr>
            <w:r w:rsidRPr="009D17A3">
              <w:rPr>
                <w:color w:val="000000"/>
                <w:sz w:val="22"/>
                <w:szCs w:val="22"/>
              </w:rPr>
              <w:t>0.50</w:t>
            </w:r>
          </w:p>
        </w:tc>
        <w:tc>
          <w:tcPr>
            <w:tcW w:w="990" w:type="dxa"/>
            <w:shd w:val="clear" w:color="auto" w:fill="FFFFFF"/>
            <w:vAlign w:val="center"/>
          </w:tcPr>
          <w:p w:rsidR="00515E9E" w:rsidRPr="009D17A3" w:rsidRDefault="00D717EB" w:rsidP="00D828EB">
            <w:pPr>
              <w:jc w:val="center"/>
              <w:rPr>
                <w:color w:val="000000"/>
                <w:sz w:val="22"/>
                <w:szCs w:val="22"/>
              </w:rPr>
            </w:pPr>
            <w:r w:rsidRPr="009D17A3">
              <w:rPr>
                <w:color w:val="000000"/>
                <w:sz w:val="22"/>
                <w:szCs w:val="22"/>
              </w:rPr>
              <w:t>4,590.00</w:t>
            </w:r>
          </w:p>
        </w:tc>
        <w:tc>
          <w:tcPr>
            <w:tcW w:w="990" w:type="dxa"/>
            <w:shd w:val="clear" w:color="auto" w:fill="FFFFFF"/>
            <w:noWrap/>
            <w:vAlign w:val="center"/>
          </w:tcPr>
          <w:p w:rsidR="00515E9E" w:rsidRPr="00E23CF9" w:rsidRDefault="00515E9E" w:rsidP="00DD4798">
            <w:pPr>
              <w:jc w:val="center"/>
              <w:rPr>
                <w:b/>
                <w:bCs/>
                <w:color w:val="000000"/>
                <w:sz w:val="22"/>
                <w:szCs w:val="22"/>
              </w:rPr>
            </w:pPr>
            <w:r w:rsidRPr="00E23CF9">
              <w:rPr>
                <w:color w:val="000000"/>
                <w:sz w:val="22"/>
                <w:szCs w:val="22"/>
              </w:rPr>
              <w:t>$32.</w:t>
            </w:r>
            <w:r w:rsidR="00DD4798" w:rsidRPr="00E23CF9">
              <w:rPr>
                <w:color w:val="000000"/>
                <w:sz w:val="22"/>
                <w:szCs w:val="22"/>
              </w:rPr>
              <w:t>53</w:t>
            </w:r>
          </w:p>
        </w:tc>
        <w:tc>
          <w:tcPr>
            <w:tcW w:w="1080" w:type="dxa"/>
            <w:shd w:val="clear" w:color="auto" w:fill="FFFFFF"/>
            <w:vAlign w:val="center"/>
          </w:tcPr>
          <w:p w:rsidR="00515E9E" w:rsidRPr="00E23CF9" w:rsidRDefault="00515E9E" w:rsidP="00DD4798">
            <w:pPr>
              <w:jc w:val="center"/>
              <w:rPr>
                <w:bCs/>
                <w:color w:val="000000"/>
                <w:sz w:val="22"/>
                <w:szCs w:val="22"/>
              </w:rPr>
            </w:pPr>
            <w:r w:rsidRPr="00E23CF9">
              <w:rPr>
                <w:color w:val="000000"/>
                <w:sz w:val="22"/>
                <w:szCs w:val="22"/>
              </w:rPr>
              <w:t>$</w:t>
            </w:r>
            <w:r w:rsidR="00D717EB" w:rsidRPr="00E23CF9">
              <w:rPr>
                <w:color w:val="000000"/>
                <w:sz w:val="22"/>
                <w:szCs w:val="22"/>
              </w:rPr>
              <w:t>14</w:t>
            </w:r>
            <w:r w:rsidR="00DD4798" w:rsidRPr="00E23CF9">
              <w:rPr>
                <w:color w:val="000000"/>
                <w:sz w:val="22"/>
                <w:szCs w:val="22"/>
              </w:rPr>
              <w:t>9</w:t>
            </w:r>
            <w:r w:rsidR="00D717EB" w:rsidRPr="00E23CF9">
              <w:rPr>
                <w:color w:val="000000"/>
                <w:sz w:val="22"/>
                <w:szCs w:val="22"/>
              </w:rPr>
              <w:t>,</w:t>
            </w:r>
            <w:r w:rsidR="00DD4798" w:rsidRPr="00E23CF9">
              <w:rPr>
                <w:color w:val="000000"/>
                <w:sz w:val="22"/>
                <w:szCs w:val="22"/>
              </w:rPr>
              <w:t>313</w:t>
            </w:r>
          </w:p>
        </w:tc>
      </w:tr>
      <w:tr w:rsidR="004143C7" w:rsidRPr="009D17A3" w:rsidTr="00E23CF9">
        <w:trPr>
          <w:trHeight w:val="255"/>
        </w:trPr>
        <w:tc>
          <w:tcPr>
            <w:tcW w:w="1710" w:type="dxa"/>
            <w:shd w:val="clear" w:color="auto" w:fill="FFFFFF"/>
            <w:noWrap/>
          </w:tcPr>
          <w:p w:rsidR="00515E9E" w:rsidRPr="009D17A3" w:rsidRDefault="00515E9E" w:rsidP="00ED403B">
            <w:pPr>
              <w:spacing w:before="120" w:after="120"/>
              <w:ind w:left="-18"/>
              <w:rPr>
                <w:bCs/>
                <w:color w:val="000000"/>
                <w:sz w:val="22"/>
                <w:szCs w:val="22"/>
              </w:rPr>
            </w:pPr>
            <w:r w:rsidRPr="009D17A3">
              <w:rPr>
                <w:bCs/>
                <w:color w:val="000000"/>
                <w:sz w:val="22"/>
                <w:szCs w:val="22"/>
              </w:rPr>
              <w:t>Total Community-Level Burden</w:t>
            </w:r>
          </w:p>
        </w:tc>
        <w:tc>
          <w:tcPr>
            <w:tcW w:w="1350" w:type="dxa"/>
            <w:shd w:val="clear" w:color="auto" w:fill="FFFFFF"/>
            <w:noWrap/>
            <w:vAlign w:val="center"/>
          </w:tcPr>
          <w:p w:rsidR="00515E9E" w:rsidRPr="009D17A3" w:rsidRDefault="00515E9E" w:rsidP="00D828EB">
            <w:pPr>
              <w:ind w:left="-18" w:right="-108"/>
              <w:rPr>
                <w:b/>
                <w:bCs/>
                <w:color w:val="000000"/>
                <w:sz w:val="22"/>
                <w:szCs w:val="22"/>
              </w:rPr>
            </w:pPr>
            <w:r w:rsidRPr="009D17A3">
              <w:rPr>
                <w:b/>
                <w:bCs/>
                <w:color w:val="000000"/>
                <w:sz w:val="22"/>
                <w:szCs w:val="22"/>
              </w:rPr>
              <w:t>Community</w:t>
            </w:r>
          </w:p>
        </w:tc>
        <w:tc>
          <w:tcPr>
            <w:tcW w:w="990" w:type="dxa"/>
            <w:shd w:val="clear" w:color="auto" w:fill="FFFFFF"/>
            <w:noWrap/>
            <w:vAlign w:val="center"/>
          </w:tcPr>
          <w:p w:rsidR="00515E9E" w:rsidRPr="009D17A3" w:rsidRDefault="00515E9E" w:rsidP="00D828EB">
            <w:pPr>
              <w:jc w:val="center"/>
              <w:rPr>
                <w:b/>
                <w:color w:val="000000"/>
                <w:sz w:val="22"/>
                <w:szCs w:val="22"/>
              </w:rPr>
            </w:pPr>
            <w:r w:rsidRPr="009D17A3">
              <w:rPr>
                <w:b/>
                <w:color w:val="000000"/>
                <w:sz w:val="22"/>
                <w:szCs w:val="22"/>
              </w:rPr>
              <w:t>510</w:t>
            </w:r>
          </w:p>
        </w:tc>
        <w:tc>
          <w:tcPr>
            <w:tcW w:w="1350" w:type="dxa"/>
            <w:shd w:val="clear" w:color="auto" w:fill="FFFFFF"/>
            <w:vAlign w:val="center"/>
          </w:tcPr>
          <w:p w:rsidR="00515E9E" w:rsidRPr="009D17A3" w:rsidRDefault="00515E9E" w:rsidP="00D828EB">
            <w:pPr>
              <w:jc w:val="center"/>
              <w:rPr>
                <w:b/>
                <w:color w:val="000000"/>
                <w:sz w:val="22"/>
                <w:szCs w:val="22"/>
              </w:rPr>
            </w:pPr>
          </w:p>
        </w:tc>
        <w:tc>
          <w:tcPr>
            <w:tcW w:w="1260" w:type="dxa"/>
            <w:shd w:val="clear" w:color="auto" w:fill="FFFFFF"/>
            <w:noWrap/>
            <w:vAlign w:val="center"/>
          </w:tcPr>
          <w:p w:rsidR="00515E9E" w:rsidRPr="009D17A3" w:rsidRDefault="00515E9E" w:rsidP="00D828EB">
            <w:pPr>
              <w:jc w:val="center"/>
              <w:rPr>
                <w:b/>
                <w:color w:val="000000"/>
                <w:sz w:val="22"/>
                <w:szCs w:val="22"/>
              </w:rPr>
            </w:pPr>
            <w:r w:rsidRPr="009D17A3">
              <w:rPr>
                <w:b/>
                <w:color w:val="000000"/>
                <w:sz w:val="22"/>
                <w:szCs w:val="22"/>
              </w:rPr>
              <w:t>10,710</w:t>
            </w:r>
          </w:p>
        </w:tc>
        <w:tc>
          <w:tcPr>
            <w:tcW w:w="1170" w:type="dxa"/>
            <w:shd w:val="clear" w:color="auto" w:fill="FFFFFF"/>
            <w:vAlign w:val="center"/>
          </w:tcPr>
          <w:p w:rsidR="00515E9E" w:rsidRPr="009D17A3" w:rsidRDefault="00515E9E" w:rsidP="00D828EB">
            <w:pPr>
              <w:jc w:val="center"/>
              <w:rPr>
                <w:b/>
                <w:color w:val="000000"/>
                <w:sz w:val="22"/>
                <w:szCs w:val="22"/>
              </w:rPr>
            </w:pPr>
          </w:p>
        </w:tc>
        <w:tc>
          <w:tcPr>
            <w:tcW w:w="990" w:type="dxa"/>
            <w:shd w:val="clear" w:color="auto" w:fill="FFFFFF"/>
            <w:vAlign w:val="center"/>
          </w:tcPr>
          <w:p w:rsidR="00515E9E" w:rsidRPr="009D17A3" w:rsidRDefault="00D717EB" w:rsidP="00D828EB">
            <w:pPr>
              <w:jc w:val="center"/>
              <w:rPr>
                <w:b/>
                <w:color w:val="000000"/>
                <w:sz w:val="22"/>
                <w:szCs w:val="22"/>
              </w:rPr>
            </w:pPr>
            <w:r w:rsidRPr="009D17A3">
              <w:rPr>
                <w:b/>
                <w:color w:val="000000"/>
                <w:sz w:val="22"/>
                <w:szCs w:val="22"/>
              </w:rPr>
              <w:t>5,737.50</w:t>
            </w:r>
          </w:p>
        </w:tc>
        <w:tc>
          <w:tcPr>
            <w:tcW w:w="990" w:type="dxa"/>
            <w:shd w:val="clear" w:color="auto" w:fill="FFFFFF"/>
            <w:noWrap/>
            <w:vAlign w:val="center"/>
          </w:tcPr>
          <w:p w:rsidR="00515E9E" w:rsidRPr="00E23CF9" w:rsidRDefault="00515E9E" w:rsidP="00D828EB">
            <w:pPr>
              <w:jc w:val="center"/>
              <w:rPr>
                <w:b/>
                <w:color w:val="000000"/>
                <w:sz w:val="22"/>
                <w:szCs w:val="22"/>
              </w:rPr>
            </w:pPr>
          </w:p>
        </w:tc>
        <w:tc>
          <w:tcPr>
            <w:tcW w:w="1080" w:type="dxa"/>
            <w:shd w:val="clear" w:color="auto" w:fill="FFFFFF"/>
            <w:vAlign w:val="center"/>
          </w:tcPr>
          <w:p w:rsidR="00515E9E" w:rsidRPr="00E23CF9" w:rsidRDefault="00515E9E" w:rsidP="00DD4798">
            <w:pPr>
              <w:jc w:val="center"/>
              <w:rPr>
                <w:b/>
                <w:bCs/>
                <w:color w:val="000000"/>
                <w:sz w:val="22"/>
                <w:szCs w:val="22"/>
              </w:rPr>
            </w:pPr>
            <w:r w:rsidRPr="00E23CF9">
              <w:rPr>
                <w:b/>
                <w:color w:val="000000"/>
                <w:sz w:val="22"/>
                <w:szCs w:val="22"/>
              </w:rPr>
              <w:t>$</w:t>
            </w:r>
            <w:r w:rsidR="00D717EB" w:rsidRPr="00E23CF9">
              <w:rPr>
                <w:b/>
                <w:color w:val="000000"/>
                <w:sz w:val="22"/>
                <w:szCs w:val="22"/>
              </w:rPr>
              <w:t>18</w:t>
            </w:r>
            <w:r w:rsidR="00DD4798" w:rsidRPr="00E23CF9">
              <w:rPr>
                <w:b/>
                <w:color w:val="000000"/>
                <w:sz w:val="22"/>
                <w:szCs w:val="22"/>
              </w:rPr>
              <w:t>6,641</w:t>
            </w:r>
          </w:p>
        </w:tc>
      </w:tr>
    </w:tbl>
    <w:p w:rsidR="00AA7606" w:rsidRPr="004253F8" w:rsidRDefault="00E23CF9" w:rsidP="004253F8">
      <w:pPr>
        <w:pStyle w:val="Heading2"/>
        <w:spacing w:before="0" w:after="0"/>
        <w:ind w:left="-634"/>
        <w:rPr>
          <w:rFonts w:ascii="Times New Roman" w:hAnsi="Times New Roman"/>
          <w:b w:val="0"/>
          <w:sz w:val="18"/>
          <w:szCs w:val="18"/>
        </w:rPr>
      </w:pPr>
      <w:r w:rsidRPr="00E23CF9">
        <w:rPr>
          <w:rFonts w:ascii="Times New Roman" w:hAnsi="Times New Roman"/>
          <w:b w:val="0"/>
          <w:sz w:val="18"/>
          <w:szCs w:val="18"/>
          <w:vertAlign w:val="superscript"/>
        </w:rPr>
        <w:t>1</w:t>
      </w:r>
      <w:r w:rsidRPr="00E23CF9">
        <w:rPr>
          <w:rFonts w:ascii="Times New Roman" w:hAnsi="Times New Roman"/>
          <w:b w:val="0"/>
          <w:sz w:val="18"/>
          <w:szCs w:val="18"/>
        </w:rPr>
        <w:t>The hourly wage cost is taken from the Bureau of Labor Statistics</w:t>
      </w:r>
      <w:r>
        <w:rPr>
          <w:rFonts w:ascii="Times New Roman" w:hAnsi="Times New Roman"/>
          <w:b w:val="0"/>
          <w:sz w:val="18"/>
          <w:szCs w:val="18"/>
        </w:rPr>
        <w:t>:</w:t>
      </w:r>
      <w:r w:rsidRPr="00E23CF9">
        <w:rPr>
          <w:rFonts w:ascii="Times New Roman" w:hAnsi="Times New Roman"/>
          <w:b w:val="0"/>
          <w:sz w:val="18"/>
          <w:szCs w:val="18"/>
        </w:rPr>
        <w:t xml:space="preserve"> </w:t>
      </w:r>
      <w:hyperlink r:id="rId9" w:anchor="21-0000" w:history="1">
        <w:r w:rsidRPr="00E23CF9">
          <w:rPr>
            <w:rStyle w:val="Hyperlink"/>
            <w:sz w:val="18"/>
            <w:szCs w:val="18"/>
          </w:rPr>
          <w:t>http://www.bls.gov/oes/current/oes_nat.htm#21-0000</w:t>
        </w:r>
      </w:hyperlink>
      <w:r w:rsidR="00B036D8" w:rsidRPr="004253F8">
        <w:rPr>
          <w:rStyle w:val="Hyperlink"/>
          <w:rFonts w:ascii="Times New Roman" w:hAnsi="Times New Roman"/>
          <w:b w:val="0"/>
          <w:sz w:val="18"/>
          <w:szCs w:val="18"/>
          <w:u w:val="none"/>
        </w:rPr>
        <w:t xml:space="preserve">. </w:t>
      </w:r>
      <w:r w:rsidR="00B036D8" w:rsidRPr="004253F8">
        <w:rPr>
          <w:rStyle w:val="Hyperlink"/>
          <w:rFonts w:ascii="Times New Roman" w:hAnsi="Times New Roman"/>
          <w:b w:val="0"/>
          <w:color w:val="auto"/>
          <w:sz w:val="18"/>
          <w:szCs w:val="18"/>
          <w:u w:val="none"/>
        </w:rPr>
        <w:t>The m</w:t>
      </w:r>
      <w:r w:rsidR="00E63666" w:rsidRPr="004253F8">
        <w:rPr>
          <w:rStyle w:val="Hyperlink"/>
          <w:rFonts w:ascii="Times New Roman" w:hAnsi="Times New Roman"/>
          <w:b w:val="0"/>
          <w:color w:val="auto"/>
          <w:sz w:val="18"/>
          <w:szCs w:val="18"/>
          <w:u w:val="none"/>
        </w:rPr>
        <w:t>edian rate for ps</w:t>
      </w:r>
      <w:bookmarkStart w:id="0" w:name="_GoBack"/>
      <w:bookmarkEnd w:id="0"/>
      <w:r w:rsidR="00E63666" w:rsidRPr="004253F8">
        <w:rPr>
          <w:rStyle w:val="Hyperlink"/>
          <w:rFonts w:ascii="Times New Roman" w:hAnsi="Times New Roman"/>
          <w:b w:val="0"/>
          <w:color w:val="auto"/>
          <w:sz w:val="18"/>
          <w:szCs w:val="18"/>
          <w:u w:val="none"/>
        </w:rPr>
        <w:t>ychologists is $32.53, and the median rate for medical and health services managers is $42.59.</w:t>
      </w:r>
    </w:p>
    <w:p w:rsidR="005A35A6" w:rsidRPr="009D17A3" w:rsidRDefault="003C15FA" w:rsidP="0003178A">
      <w:pPr>
        <w:pStyle w:val="Heading2"/>
        <w:spacing w:before="120" w:line="360" w:lineRule="auto"/>
        <w:rPr>
          <w:rFonts w:ascii="Times New Roman" w:hAnsi="Times New Roman"/>
          <w:sz w:val="24"/>
          <w:szCs w:val="24"/>
        </w:rPr>
      </w:pPr>
      <w:r w:rsidRPr="009D17A3">
        <w:rPr>
          <w:rFonts w:ascii="Times New Roman" w:hAnsi="Times New Roman"/>
          <w:sz w:val="24"/>
          <w:szCs w:val="24"/>
        </w:rPr>
        <w:t>A13.  Estimates of Annualized Cost Burden to Respondents</w:t>
      </w:r>
    </w:p>
    <w:p w:rsidR="00195AB9" w:rsidRPr="009D17A3" w:rsidRDefault="00195AB9" w:rsidP="00F24C35">
      <w:pPr>
        <w:pStyle w:val="Body"/>
        <w:rPr>
          <w:rFonts w:ascii="Times New Roman" w:hAnsi="Times New Roman"/>
          <w:szCs w:val="24"/>
        </w:rPr>
      </w:pPr>
      <w:r w:rsidRPr="009D17A3">
        <w:rPr>
          <w:rFonts w:ascii="Times New Roman" w:hAnsi="Times New Roman"/>
          <w:szCs w:val="24"/>
        </w:rPr>
        <w:t xml:space="preserve">There are no capital/startup costs or operational/maintenance of services costs associated with this project. </w:t>
      </w:r>
    </w:p>
    <w:p w:rsidR="00915242" w:rsidRPr="009D17A3" w:rsidRDefault="00915242" w:rsidP="00F24C35">
      <w:pPr>
        <w:pStyle w:val="Heading2"/>
        <w:spacing w:before="120" w:line="360" w:lineRule="auto"/>
        <w:rPr>
          <w:rFonts w:ascii="Times New Roman" w:hAnsi="Times New Roman"/>
          <w:sz w:val="24"/>
          <w:szCs w:val="24"/>
        </w:rPr>
        <w:sectPr w:rsidR="00915242" w:rsidRPr="009D17A3" w:rsidSect="00A96494">
          <w:footerReference w:type="default" r:id="rId10"/>
          <w:headerReference w:type="first" r:id="rId11"/>
          <w:footnotePr>
            <w:numRestart w:val="eachSect"/>
          </w:footnotePr>
          <w:pgSz w:w="12240" w:h="15840"/>
          <w:pgMar w:top="1296" w:right="1440" w:bottom="1440" w:left="1440" w:header="547" w:footer="720" w:gutter="0"/>
          <w:cols w:space="720"/>
          <w:docGrid w:linePitch="326"/>
        </w:sectPr>
      </w:pPr>
    </w:p>
    <w:p w:rsidR="005A35A6" w:rsidRPr="009D17A3" w:rsidRDefault="003C15FA" w:rsidP="009D17A3">
      <w:pPr>
        <w:pStyle w:val="Heading2"/>
        <w:spacing w:before="0" w:line="360" w:lineRule="auto"/>
        <w:rPr>
          <w:rFonts w:ascii="Times New Roman" w:hAnsi="Times New Roman"/>
          <w:sz w:val="24"/>
          <w:szCs w:val="24"/>
        </w:rPr>
      </w:pPr>
      <w:r w:rsidRPr="009D17A3">
        <w:rPr>
          <w:rFonts w:ascii="Times New Roman" w:hAnsi="Times New Roman"/>
          <w:sz w:val="24"/>
          <w:szCs w:val="24"/>
        </w:rPr>
        <w:lastRenderedPageBreak/>
        <w:t>A14.  Estimates of Annualized Cost to the Government</w:t>
      </w:r>
    </w:p>
    <w:p w:rsidR="00A56979" w:rsidRPr="009D17A3" w:rsidRDefault="00D32722" w:rsidP="00F24C35">
      <w:pPr>
        <w:pStyle w:val="Body"/>
        <w:rPr>
          <w:rFonts w:ascii="Times New Roman" w:hAnsi="Times New Roman"/>
          <w:szCs w:val="24"/>
        </w:rPr>
      </w:pPr>
      <w:r w:rsidRPr="009D17A3">
        <w:rPr>
          <w:rFonts w:ascii="Times New Roman" w:hAnsi="Times New Roman"/>
          <w:szCs w:val="24"/>
        </w:rPr>
        <w:t xml:space="preserve">The estimated annual cost to the Federal government of </w:t>
      </w:r>
      <w:r w:rsidR="00420C31" w:rsidRPr="009D17A3">
        <w:rPr>
          <w:rFonts w:ascii="Times New Roman" w:hAnsi="Times New Roman"/>
          <w:szCs w:val="24"/>
        </w:rPr>
        <w:t>collecting cross-site evaluation data for Cohorts IV and V</w:t>
      </w:r>
      <w:r w:rsidR="002E20B2" w:rsidRPr="009D17A3">
        <w:rPr>
          <w:rFonts w:ascii="Times New Roman" w:hAnsi="Times New Roman"/>
          <w:szCs w:val="24"/>
        </w:rPr>
        <w:t xml:space="preserve"> </w:t>
      </w:r>
      <w:r w:rsidRPr="009D17A3">
        <w:rPr>
          <w:rFonts w:ascii="Times New Roman" w:hAnsi="Times New Roman"/>
          <w:szCs w:val="24"/>
        </w:rPr>
        <w:t xml:space="preserve">is </w:t>
      </w:r>
      <w:r w:rsidR="00471AF2" w:rsidRPr="009D17A3">
        <w:rPr>
          <w:rFonts w:ascii="Times New Roman" w:hAnsi="Times New Roman"/>
          <w:szCs w:val="24"/>
        </w:rPr>
        <w:t>$</w:t>
      </w:r>
      <w:r w:rsidR="00175337" w:rsidRPr="009D17A3">
        <w:rPr>
          <w:rFonts w:ascii="Times New Roman" w:hAnsi="Times New Roman"/>
          <w:szCs w:val="24"/>
        </w:rPr>
        <w:t>529,104</w:t>
      </w:r>
      <w:r w:rsidR="00687582" w:rsidRPr="009D17A3">
        <w:rPr>
          <w:rFonts w:ascii="Times New Roman" w:hAnsi="Times New Roman"/>
          <w:szCs w:val="24"/>
        </w:rPr>
        <w:t>.</w:t>
      </w:r>
      <w:r w:rsidRPr="009D17A3">
        <w:rPr>
          <w:rFonts w:ascii="Times New Roman" w:hAnsi="Times New Roman"/>
          <w:szCs w:val="24"/>
        </w:rPr>
        <w:t xml:space="preserve"> </w:t>
      </w:r>
      <w:r w:rsidR="00687582" w:rsidRPr="009D17A3">
        <w:rPr>
          <w:rFonts w:ascii="Times New Roman" w:hAnsi="Times New Roman"/>
          <w:szCs w:val="24"/>
        </w:rPr>
        <w:t xml:space="preserve"> </w:t>
      </w:r>
      <w:r w:rsidR="00A56979" w:rsidRPr="009D17A3">
        <w:rPr>
          <w:rFonts w:ascii="Times New Roman" w:hAnsi="Times New Roman"/>
          <w:szCs w:val="24"/>
        </w:rPr>
        <w:t>Th</w:t>
      </w:r>
      <w:r w:rsidR="00D87255" w:rsidRPr="009D17A3">
        <w:rPr>
          <w:rFonts w:ascii="Times New Roman" w:hAnsi="Times New Roman"/>
          <w:szCs w:val="24"/>
        </w:rPr>
        <w:t xml:space="preserve">is </w:t>
      </w:r>
      <w:r w:rsidR="00A56979" w:rsidRPr="009D17A3">
        <w:rPr>
          <w:rFonts w:ascii="Times New Roman" w:hAnsi="Times New Roman"/>
          <w:szCs w:val="24"/>
        </w:rPr>
        <w:t xml:space="preserve">estimated cost to the Federal government is based on the government contracted cost of the data collection and related </w:t>
      </w:r>
      <w:r w:rsidR="00C94D6E" w:rsidRPr="009D17A3">
        <w:rPr>
          <w:rFonts w:ascii="Times New Roman" w:hAnsi="Times New Roman"/>
          <w:szCs w:val="24"/>
        </w:rPr>
        <w:t xml:space="preserve">evaluation </w:t>
      </w:r>
      <w:r w:rsidR="00A56979" w:rsidRPr="009D17A3">
        <w:rPr>
          <w:rFonts w:ascii="Times New Roman" w:hAnsi="Times New Roman"/>
          <w:szCs w:val="24"/>
        </w:rPr>
        <w:t xml:space="preserve">activities along with the personnel cost of government employees involved in oversight and/or analysis. The </w:t>
      </w:r>
      <w:r w:rsidR="00420C31" w:rsidRPr="009D17A3">
        <w:rPr>
          <w:rFonts w:ascii="Times New Roman" w:hAnsi="Times New Roman"/>
          <w:szCs w:val="24"/>
        </w:rPr>
        <w:t xml:space="preserve">annual cost to the government for </w:t>
      </w:r>
      <w:r w:rsidR="00D26026" w:rsidRPr="009D17A3">
        <w:rPr>
          <w:rFonts w:ascii="Times New Roman" w:hAnsi="Times New Roman"/>
          <w:szCs w:val="24"/>
        </w:rPr>
        <w:t xml:space="preserve">this task within </w:t>
      </w:r>
      <w:r w:rsidR="00420C31" w:rsidRPr="009D17A3">
        <w:rPr>
          <w:rFonts w:ascii="Times New Roman" w:hAnsi="Times New Roman"/>
          <w:szCs w:val="24"/>
        </w:rPr>
        <w:t xml:space="preserve">the </w:t>
      </w:r>
      <w:r w:rsidR="00A56979" w:rsidRPr="009D17A3">
        <w:rPr>
          <w:rFonts w:ascii="Times New Roman" w:hAnsi="Times New Roman"/>
          <w:szCs w:val="24"/>
        </w:rPr>
        <w:t>D</w:t>
      </w:r>
      <w:r w:rsidR="00420C31" w:rsidRPr="009D17A3">
        <w:rPr>
          <w:rFonts w:ascii="Times New Roman" w:hAnsi="Times New Roman"/>
          <w:szCs w:val="24"/>
        </w:rPr>
        <w:t>CAR contract, (which collects and analy</w:t>
      </w:r>
      <w:r w:rsidR="00C73952" w:rsidRPr="009D17A3">
        <w:rPr>
          <w:rFonts w:ascii="Times New Roman" w:hAnsi="Times New Roman"/>
          <w:szCs w:val="24"/>
        </w:rPr>
        <w:t>z</w:t>
      </w:r>
      <w:r w:rsidR="00420C31" w:rsidRPr="009D17A3">
        <w:rPr>
          <w:rFonts w:ascii="Times New Roman" w:hAnsi="Times New Roman"/>
          <w:szCs w:val="24"/>
        </w:rPr>
        <w:t>es the data</w:t>
      </w:r>
      <w:r w:rsidR="0014003C" w:rsidRPr="009D17A3">
        <w:rPr>
          <w:rFonts w:ascii="Times New Roman" w:hAnsi="Times New Roman"/>
          <w:szCs w:val="24"/>
        </w:rPr>
        <w:t xml:space="preserve"> </w:t>
      </w:r>
      <w:r w:rsidR="004765D6" w:rsidRPr="009D17A3">
        <w:rPr>
          <w:rFonts w:ascii="Times New Roman" w:hAnsi="Times New Roman"/>
          <w:szCs w:val="24"/>
        </w:rPr>
        <w:t xml:space="preserve">for </w:t>
      </w:r>
      <w:r w:rsidR="00A56979" w:rsidRPr="009D17A3">
        <w:rPr>
          <w:rFonts w:ascii="Times New Roman" w:hAnsi="Times New Roman"/>
          <w:szCs w:val="24"/>
        </w:rPr>
        <w:t>which OMB approval is currently being requested</w:t>
      </w:r>
      <w:r w:rsidR="00420C31" w:rsidRPr="009D17A3">
        <w:rPr>
          <w:rFonts w:ascii="Times New Roman" w:hAnsi="Times New Roman"/>
          <w:szCs w:val="24"/>
        </w:rPr>
        <w:t>)</w:t>
      </w:r>
      <w:r w:rsidR="00A56979" w:rsidRPr="009D17A3">
        <w:rPr>
          <w:rFonts w:ascii="Times New Roman" w:hAnsi="Times New Roman"/>
          <w:szCs w:val="24"/>
        </w:rPr>
        <w:t>, is $</w:t>
      </w:r>
      <w:r w:rsidR="00BC32AA" w:rsidRPr="009D17A3">
        <w:rPr>
          <w:rFonts w:ascii="Times New Roman" w:hAnsi="Times New Roman"/>
          <w:szCs w:val="24"/>
        </w:rPr>
        <w:t>500,000</w:t>
      </w:r>
      <w:r w:rsidR="00A56979" w:rsidRPr="009D17A3">
        <w:rPr>
          <w:rFonts w:ascii="Times New Roman" w:hAnsi="Times New Roman"/>
          <w:szCs w:val="24"/>
        </w:rPr>
        <w:t xml:space="preserve">. </w:t>
      </w:r>
      <w:r w:rsidR="000C4B5E" w:rsidRPr="009D17A3">
        <w:rPr>
          <w:rFonts w:ascii="Times New Roman" w:hAnsi="Times New Roman"/>
          <w:szCs w:val="24"/>
        </w:rPr>
        <w:t xml:space="preserve">In addition, </w:t>
      </w:r>
      <w:r w:rsidR="00420C31" w:rsidRPr="009D17A3">
        <w:rPr>
          <w:rFonts w:ascii="Times New Roman" w:hAnsi="Times New Roman"/>
          <w:szCs w:val="24"/>
        </w:rPr>
        <w:t>t</w:t>
      </w:r>
      <w:r w:rsidR="000C4B5E" w:rsidRPr="009D17A3">
        <w:rPr>
          <w:rFonts w:ascii="Times New Roman" w:hAnsi="Times New Roman"/>
          <w:szCs w:val="24"/>
        </w:rPr>
        <w:t xml:space="preserve">he annual cost </w:t>
      </w:r>
      <w:r w:rsidR="00576A13" w:rsidRPr="009D17A3">
        <w:rPr>
          <w:rFonts w:ascii="Times New Roman" w:hAnsi="Times New Roman"/>
          <w:szCs w:val="24"/>
        </w:rPr>
        <w:t xml:space="preserve">to the government </w:t>
      </w:r>
      <w:r w:rsidR="00420C31" w:rsidRPr="009D17A3">
        <w:rPr>
          <w:rFonts w:ascii="Times New Roman" w:hAnsi="Times New Roman"/>
          <w:szCs w:val="24"/>
        </w:rPr>
        <w:t>includes</w:t>
      </w:r>
      <w:r w:rsidR="00A4537B" w:rsidRPr="009D17A3">
        <w:rPr>
          <w:rFonts w:ascii="Times New Roman" w:hAnsi="Times New Roman"/>
          <w:szCs w:val="24"/>
        </w:rPr>
        <w:t xml:space="preserve"> </w:t>
      </w:r>
      <w:r w:rsidR="00A56979" w:rsidRPr="009D17A3">
        <w:rPr>
          <w:rFonts w:ascii="Times New Roman" w:hAnsi="Times New Roman"/>
          <w:szCs w:val="24"/>
        </w:rPr>
        <w:t xml:space="preserve">25 percent </w:t>
      </w:r>
      <w:r w:rsidR="00D87255" w:rsidRPr="009D17A3">
        <w:rPr>
          <w:rFonts w:ascii="Times New Roman" w:hAnsi="Times New Roman"/>
          <w:szCs w:val="24"/>
        </w:rPr>
        <w:t xml:space="preserve">time </w:t>
      </w:r>
      <w:r w:rsidR="00D17FCF" w:rsidRPr="009D17A3">
        <w:rPr>
          <w:rFonts w:ascii="Times New Roman" w:hAnsi="Times New Roman"/>
          <w:szCs w:val="24"/>
        </w:rPr>
        <w:t>for</w:t>
      </w:r>
      <w:r w:rsidR="00A56979" w:rsidRPr="009D17A3">
        <w:rPr>
          <w:rFonts w:ascii="Times New Roman" w:hAnsi="Times New Roman"/>
          <w:szCs w:val="24"/>
        </w:rPr>
        <w:t xml:space="preserve"> a GS-14 CSAP project officer</w:t>
      </w:r>
      <w:r w:rsidR="00A4537B" w:rsidRPr="009D17A3">
        <w:rPr>
          <w:rFonts w:ascii="Times New Roman" w:hAnsi="Times New Roman"/>
          <w:szCs w:val="24"/>
        </w:rPr>
        <w:t xml:space="preserve"> ($29,104)</w:t>
      </w:r>
      <w:r w:rsidR="00420C31" w:rsidRPr="009D17A3">
        <w:rPr>
          <w:rFonts w:ascii="Times New Roman" w:hAnsi="Times New Roman"/>
          <w:szCs w:val="24"/>
        </w:rPr>
        <w:t>.</w:t>
      </w:r>
      <w:r w:rsidR="00A56979" w:rsidRPr="009D17A3">
        <w:rPr>
          <w:rFonts w:ascii="Times New Roman" w:hAnsi="Times New Roman"/>
          <w:szCs w:val="24"/>
        </w:rPr>
        <w:t xml:space="preserve"> Thus, the total annual cost to the government </w:t>
      </w:r>
      <w:r w:rsidR="00701709" w:rsidRPr="009D17A3">
        <w:rPr>
          <w:rFonts w:ascii="Times New Roman" w:hAnsi="Times New Roman"/>
          <w:szCs w:val="24"/>
        </w:rPr>
        <w:t xml:space="preserve">for this </w:t>
      </w:r>
      <w:r w:rsidR="00576A13" w:rsidRPr="009D17A3">
        <w:rPr>
          <w:rFonts w:ascii="Times New Roman" w:hAnsi="Times New Roman"/>
          <w:szCs w:val="24"/>
        </w:rPr>
        <w:t>Cross-site</w:t>
      </w:r>
      <w:r w:rsidR="00701709" w:rsidRPr="009D17A3">
        <w:rPr>
          <w:rFonts w:ascii="Times New Roman" w:hAnsi="Times New Roman"/>
          <w:szCs w:val="24"/>
        </w:rPr>
        <w:t xml:space="preserve"> </w:t>
      </w:r>
      <w:r w:rsidR="00A56979" w:rsidRPr="009D17A3">
        <w:rPr>
          <w:rFonts w:ascii="Times New Roman" w:hAnsi="Times New Roman"/>
          <w:szCs w:val="24"/>
        </w:rPr>
        <w:t>evaluation is $</w:t>
      </w:r>
      <w:r w:rsidR="00175337" w:rsidRPr="009D17A3">
        <w:rPr>
          <w:rFonts w:ascii="Times New Roman" w:hAnsi="Times New Roman"/>
          <w:szCs w:val="24"/>
        </w:rPr>
        <w:t>529,104</w:t>
      </w:r>
      <w:r w:rsidR="00A56979" w:rsidRPr="009D17A3">
        <w:rPr>
          <w:rFonts w:ascii="Times New Roman" w:hAnsi="Times New Roman"/>
          <w:szCs w:val="24"/>
        </w:rPr>
        <w:t>.</w:t>
      </w:r>
      <w:r w:rsidR="00AF7F10" w:rsidRPr="009D17A3">
        <w:rPr>
          <w:rFonts w:ascii="Times New Roman" w:hAnsi="Times New Roman"/>
          <w:szCs w:val="24"/>
        </w:rPr>
        <w:t xml:space="preserve"> </w:t>
      </w:r>
    </w:p>
    <w:p w:rsidR="005A35A6" w:rsidRPr="009D17A3" w:rsidRDefault="001B7AFA" w:rsidP="009D17A3">
      <w:pPr>
        <w:pStyle w:val="Heading2"/>
        <w:spacing w:line="360" w:lineRule="auto"/>
        <w:rPr>
          <w:rFonts w:ascii="Times New Roman" w:hAnsi="Times New Roman"/>
          <w:sz w:val="24"/>
          <w:szCs w:val="24"/>
        </w:rPr>
      </w:pPr>
      <w:r w:rsidRPr="009D17A3">
        <w:rPr>
          <w:rFonts w:ascii="Times New Roman" w:hAnsi="Times New Roman"/>
          <w:sz w:val="24"/>
          <w:szCs w:val="24"/>
        </w:rPr>
        <w:t>A15.  Changes in Burden</w:t>
      </w:r>
    </w:p>
    <w:p w:rsidR="00AF3DF2" w:rsidRPr="009D17A3" w:rsidRDefault="00D56A47" w:rsidP="00F24C35">
      <w:pPr>
        <w:pStyle w:val="Body"/>
        <w:rPr>
          <w:rFonts w:ascii="Times New Roman" w:hAnsi="Times New Roman"/>
          <w:szCs w:val="24"/>
        </w:rPr>
      </w:pPr>
      <w:r w:rsidRPr="009D17A3">
        <w:rPr>
          <w:rFonts w:ascii="Times New Roman" w:hAnsi="Times New Roman"/>
          <w:szCs w:val="24"/>
        </w:rPr>
        <w:t xml:space="preserve">This is a reinstatement of the SPFSIG data collection request and therefore is a new collection. There is no change </w:t>
      </w:r>
      <w:r w:rsidR="00D85775" w:rsidRPr="009D17A3">
        <w:rPr>
          <w:rFonts w:ascii="Times New Roman" w:hAnsi="Times New Roman"/>
          <w:szCs w:val="24"/>
        </w:rPr>
        <w:t xml:space="preserve">in burden </w:t>
      </w:r>
      <w:r w:rsidRPr="009D17A3">
        <w:rPr>
          <w:rFonts w:ascii="Times New Roman" w:hAnsi="Times New Roman"/>
          <w:szCs w:val="24"/>
        </w:rPr>
        <w:t>as it is a new collection.</w:t>
      </w:r>
    </w:p>
    <w:p w:rsidR="005A35A6" w:rsidRPr="009D17A3" w:rsidRDefault="00C71E78" w:rsidP="009D17A3">
      <w:pPr>
        <w:pStyle w:val="Heading2"/>
        <w:spacing w:line="360" w:lineRule="auto"/>
        <w:rPr>
          <w:rFonts w:ascii="Times New Roman" w:hAnsi="Times New Roman"/>
          <w:sz w:val="24"/>
          <w:szCs w:val="24"/>
        </w:rPr>
      </w:pPr>
      <w:bookmarkStart w:id="1" w:name="_Toc189457721"/>
      <w:r w:rsidRPr="009D17A3">
        <w:rPr>
          <w:rFonts w:ascii="Times New Roman" w:hAnsi="Times New Roman"/>
          <w:sz w:val="24"/>
          <w:szCs w:val="24"/>
        </w:rPr>
        <w:t>A16.</w:t>
      </w:r>
      <w:r w:rsidRPr="009D17A3">
        <w:rPr>
          <w:rFonts w:ascii="Times New Roman" w:hAnsi="Times New Roman"/>
          <w:sz w:val="24"/>
          <w:szCs w:val="24"/>
        </w:rPr>
        <w:tab/>
      </w:r>
      <w:bookmarkStart w:id="2" w:name="_Toc515165886"/>
      <w:bookmarkStart w:id="3" w:name="_Toc79290372"/>
      <w:r w:rsidRPr="009D17A3">
        <w:rPr>
          <w:rFonts w:ascii="Times New Roman" w:hAnsi="Times New Roman"/>
          <w:sz w:val="24"/>
          <w:szCs w:val="24"/>
        </w:rPr>
        <w:t>Time Schedule, Analysis and Publication Plans</w:t>
      </w:r>
      <w:bookmarkEnd w:id="1"/>
      <w:bookmarkEnd w:id="2"/>
      <w:bookmarkEnd w:id="3"/>
    </w:p>
    <w:p w:rsidR="00400D9A" w:rsidRPr="009D17A3" w:rsidRDefault="00DF5554" w:rsidP="00F24C35">
      <w:pPr>
        <w:pStyle w:val="Body"/>
        <w:rPr>
          <w:rFonts w:ascii="Times New Roman" w:hAnsi="Times New Roman"/>
          <w:szCs w:val="24"/>
        </w:rPr>
      </w:pPr>
      <w:r w:rsidRPr="009D17A3">
        <w:rPr>
          <w:rFonts w:ascii="Times New Roman" w:hAnsi="Times New Roman"/>
          <w:szCs w:val="24"/>
        </w:rPr>
        <w:t xml:space="preserve">The analyses, tabulation, and publication plans are presented below, along with the </w:t>
      </w:r>
      <w:r w:rsidR="00C71E78" w:rsidRPr="009D17A3">
        <w:rPr>
          <w:rFonts w:ascii="Times New Roman" w:hAnsi="Times New Roman"/>
          <w:szCs w:val="24"/>
        </w:rPr>
        <w:t>evaluation schedule</w:t>
      </w:r>
      <w:r w:rsidRPr="009D17A3">
        <w:rPr>
          <w:rFonts w:ascii="Times New Roman" w:hAnsi="Times New Roman"/>
          <w:szCs w:val="24"/>
        </w:rPr>
        <w:t>.</w:t>
      </w:r>
    </w:p>
    <w:p w:rsidR="00C71E78" w:rsidRPr="009D17A3" w:rsidRDefault="00C71E78" w:rsidP="00F24C35">
      <w:pPr>
        <w:pStyle w:val="Body"/>
        <w:rPr>
          <w:rFonts w:ascii="Times New Roman" w:hAnsi="Times New Roman"/>
          <w:color w:val="000000"/>
          <w:szCs w:val="24"/>
          <w:u w:val="single"/>
        </w:rPr>
      </w:pPr>
      <w:r w:rsidRPr="009D17A3">
        <w:rPr>
          <w:rFonts w:ascii="Times New Roman" w:hAnsi="Times New Roman"/>
          <w:color w:val="000000"/>
          <w:szCs w:val="24"/>
          <w:u w:val="single"/>
        </w:rPr>
        <w:t>Research Questions</w:t>
      </w:r>
    </w:p>
    <w:p w:rsidR="005A35A6" w:rsidRPr="009D17A3" w:rsidRDefault="00C71E78" w:rsidP="00F24C35">
      <w:pPr>
        <w:spacing w:before="120" w:after="120" w:line="360" w:lineRule="auto"/>
      </w:pPr>
      <w:r w:rsidRPr="009D17A3">
        <w:t xml:space="preserve">Eight </w:t>
      </w:r>
      <w:r w:rsidR="00D85775" w:rsidRPr="009D17A3">
        <w:t>research</w:t>
      </w:r>
      <w:r w:rsidRPr="009D17A3">
        <w:t xml:space="preserve"> questions </w:t>
      </w:r>
      <w:r w:rsidR="003570B0" w:rsidRPr="009D17A3">
        <w:t>guide</w:t>
      </w:r>
      <w:r w:rsidRPr="009D17A3">
        <w:t xml:space="preserve"> the SPF SIG </w:t>
      </w:r>
      <w:r w:rsidR="009F3449">
        <w:t>cross-site</w:t>
      </w:r>
      <w:r w:rsidR="009F3449" w:rsidRPr="009D17A3">
        <w:t xml:space="preserve"> </w:t>
      </w:r>
      <w:r w:rsidRPr="009D17A3">
        <w:t xml:space="preserve">evaluation. </w:t>
      </w:r>
      <w:r w:rsidR="009F3449">
        <w:t xml:space="preserve">They </w:t>
      </w:r>
      <w:r w:rsidR="001376A9">
        <w:t xml:space="preserve">are derived from those in the original design for the Cohorts I and II evaluation and </w:t>
      </w:r>
      <w:r w:rsidR="009F3449">
        <w:t xml:space="preserve">have </w:t>
      </w:r>
      <w:r w:rsidR="001376A9">
        <w:t xml:space="preserve">here </w:t>
      </w:r>
      <w:r w:rsidR="009F3449">
        <w:t xml:space="preserve">been further specified and reinterpreted to </w:t>
      </w:r>
      <w:r w:rsidR="001376A9">
        <w:t>reflect both the differences in the later cohorts and the history and results of the Cohorts I and II cro</w:t>
      </w:r>
      <w:r w:rsidR="006A0679">
        <w:t>s</w:t>
      </w:r>
      <w:r w:rsidR="001376A9">
        <w:t xml:space="preserve">s-site evaluation.  </w:t>
      </w:r>
      <w:r w:rsidR="009F3449">
        <w:t xml:space="preserve">For example </w:t>
      </w:r>
      <w:r w:rsidRPr="009D17A3">
        <w:t xml:space="preserve">Questions 4a and 4b referring to participant-level improvements </w:t>
      </w:r>
      <w:r w:rsidR="001376A9">
        <w:t xml:space="preserve">are </w:t>
      </w:r>
      <w:r w:rsidR="00470BEE" w:rsidRPr="009D17A3">
        <w:t xml:space="preserve">specific to Cohorts </w:t>
      </w:r>
      <w:r w:rsidR="00A13A47" w:rsidRPr="009D17A3">
        <w:t>III, IV, and V</w:t>
      </w:r>
      <w:r w:rsidR="001376A9">
        <w:t>, in which some communities submitted participant-level data</w:t>
      </w:r>
      <w:r w:rsidR="00470BEE" w:rsidRPr="009D17A3">
        <w:t>.</w:t>
      </w:r>
      <w:r w:rsidRPr="009D17A3">
        <w:t xml:space="preserve">  The eight </w:t>
      </w:r>
      <w:r w:rsidR="003C6CAD">
        <w:t xml:space="preserve">broad </w:t>
      </w:r>
      <w:r w:rsidRPr="009D17A3">
        <w:t xml:space="preserve">questions </w:t>
      </w:r>
      <w:r w:rsidR="009F3449">
        <w:t xml:space="preserve">address </w:t>
      </w:r>
      <w:r w:rsidRPr="009D17A3">
        <w:t xml:space="preserve">whether observed </w:t>
      </w:r>
      <w:r w:rsidR="009F3449">
        <w:t xml:space="preserve">changes in </w:t>
      </w:r>
      <w:r w:rsidRPr="009D17A3">
        <w:t>conditions</w:t>
      </w:r>
      <w:r w:rsidR="009F3449">
        <w:t xml:space="preserve"> or </w:t>
      </w:r>
      <w:r w:rsidRPr="009D17A3">
        <w:t xml:space="preserve">events </w:t>
      </w:r>
      <w:r w:rsidR="009F3449">
        <w:t xml:space="preserve">in states and communities </w:t>
      </w:r>
      <w:r w:rsidRPr="009D17A3">
        <w:t xml:space="preserve">can be attributed to </w:t>
      </w:r>
      <w:r w:rsidR="009F3449">
        <w:t xml:space="preserve">the </w:t>
      </w:r>
      <w:r w:rsidRPr="009D17A3">
        <w:t xml:space="preserve">SPF SIG </w:t>
      </w:r>
      <w:r w:rsidR="009F3449">
        <w:t xml:space="preserve">grants and </w:t>
      </w:r>
      <w:r w:rsidRPr="009D17A3">
        <w:t xml:space="preserve">programmatic interventions.  </w:t>
      </w:r>
    </w:p>
    <w:p w:rsidR="005A35A6" w:rsidRPr="009D17A3" w:rsidRDefault="00C71E78" w:rsidP="00F24C35">
      <w:pPr>
        <w:spacing w:line="360" w:lineRule="auto"/>
        <w:ind w:left="1080" w:hanging="360"/>
      </w:pPr>
      <w:r w:rsidRPr="009D17A3">
        <w:t>1a. Did SPF funding improve grantee-wide performance on NOMs and other outcomes</w:t>
      </w:r>
      <w:r w:rsidR="00515259">
        <w:t xml:space="preserve">, </w:t>
      </w:r>
      <w:r w:rsidR="006A0679">
        <w:t>(e.g.</w:t>
      </w:r>
      <w:proofErr w:type="gramStart"/>
      <w:r w:rsidR="006A0679">
        <w:t xml:space="preserve">, </w:t>
      </w:r>
      <w:r w:rsidR="00515259">
        <w:t xml:space="preserve"> did</w:t>
      </w:r>
      <w:proofErr w:type="gramEnd"/>
      <w:r w:rsidR="00515259">
        <w:t xml:space="preserve"> NOMs </w:t>
      </w:r>
      <w:r w:rsidR="00BC4FFB">
        <w:t>improve over the course of the SPF SIG grants</w:t>
      </w:r>
      <w:r w:rsidR="006A0679">
        <w:t>)</w:t>
      </w:r>
      <w:r w:rsidRPr="009D17A3">
        <w:t>?</w:t>
      </w:r>
    </w:p>
    <w:p w:rsidR="005A35A6" w:rsidRPr="009D17A3" w:rsidRDefault="00C71E78" w:rsidP="00F24C35">
      <w:pPr>
        <w:spacing w:line="360" w:lineRule="auto"/>
        <w:ind w:left="1080" w:hanging="360"/>
      </w:pPr>
      <w:r w:rsidRPr="009D17A3">
        <w:t xml:space="preserve">1b. </w:t>
      </w:r>
      <w:proofErr w:type="gramStart"/>
      <w:r w:rsidRPr="009D17A3">
        <w:t>What</w:t>
      </w:r>
      <w:proofErr w:type="gramEnd"/>
      <w:r w:rsidRPr="009D17A3">
        <w:t xml:space="preserve"> accounted for </w:t>
      </w:r>
      <w:r w:rsidR="00BC4FFB">
        <w:t xml:space="preserve">the </w:t>
      </w:r>
      <w:r w:rsidRPr="009D17A3">
        <w:t>variation in NOMs and other outcomes performance across SPF grantees?</w:t>
      </w:r>
    </w:p>
    <w:p w:rsidR="005A35A6" w:rsidRPr="009D17A3" w:rsidRDefault="00C137F1" w:rsidP="00F24C35">
      <w:pPr>
        <w:spacing w:line="360" w:lineRule="auto"/>
        <w:ind w:left="1080" w:hanging="360"/>
      </w:pPr>
      <w:r w:rsidRPr="009D17A3">
        <w:lastRenderedPageBreak/>
        <w:t xml:space="preserve">2a. </w:t>
      </w:r>
      <w:proofErr w:type="gramStart"/>
      <w:r w:rsidRPr="009D17A3">
        <w:t>Within</w:t>
      </w:r>
      <w:proofErr w:type="gramEnd"/>
      <w:r w:rsidRPr="009D17A3">
        <w:t xml:space="preserve"> grantees</w:t>
      </w:r>
      <w:r w:rsidR="00C71E78" w:rsidRPr="009D17A3">
        <w:t xml:space="preserve">, did SPF funding lead to community-level improvement on NOMs and other outcomes? </w:t>
      </w:r>
    </w:p>
    <w:p w:rsidR="005A35A6" w:rsidRPr="009D17A3" w:rsidRDefault="00C71E78" w:rsidP="00F24C35">
      <w:pPr>
        <w:tabs>
          <w:tab w:val="left" w:pos="900"/>
        </w:tabs>
        <w:spacing w:line="360" w:lineRule="auto"/>
        <w:ind w:left="1080" w:hanging="360"/>
      </w:pPr>
      <w:r w:rsidRPr="009D17A3">
        <w:t xml:space="preserve">2b. </w:t>
      </w:r>
      <w:proofErr w:type="gramStart"/>
      <w:r w:rsidRPr="009D17A3">
        <w:t>Within</w:t>
      </w:r>
      <w:proofErr w:type="gramEnd"/>
      <w:r w:rsidRPr="009D17A3">
        <w:t xml:space="preserve"> grantees, what accounted for variation in NOMs and other outcomes performance across funded communities?</w:t>
      </w:r>
    </w:p>
    <w:p w:rsidR="005A35A6" w:rsidRPr="009D17A3" w:rsidRDefault="00C137F1" w:rsidP="00F24C35">
      <w:pPr>
        <w:tabs>
          <w:tab w:val="left" w:pos="900"/>
        </w:tabs>
        <w:spacing w:line="360" w:lineRule="auto"/>
        <w:ind w:left="1080" w:hanging="360"/>
      </w:pPr>
      <w:r w:rsidRPr="009D17A3">
        <w:t xml:space="preserve">3a. </w:t>
      </w:r>
      <w:proofErr w:type="gramStart"/>
      <w:r w:rsidRPr="009D17A3">
        <w:t>Across</w:t>
      </w:r>
      <w:proofErr w:type="gramEnd"/>
      <w:r w:rsidRPr="009D17A3">
        <w:t xml:space="preserve"> </w:t>
      </w:r>
      <w:r w:rsidR="00C71E78" w:rsidRPr="009D17A3">
        <w:t>grantees, did SPF funding lead to community-level improvement on NOMs and other outcomes?</w:t>
      </w:r>
    </w:p>
    <w:p w:rsidR="005A35A6" w:rsidRPr="009D17A3" w:rsidRDefault="00C137F1" w:rsidP="00F24C35">
      <w:pPr>
        <w:tabs>
          <w:tab w:val="left" w:pos="900"/>
        </w:tabs>
        <w:spacing w:line="360" w:lineRule="auto"/>
        <w:ind w:left="1080" w:hanging="360"/>
      </w:pPr>
      <w:r w:rsidRPr="009D17A3">
        <w:t xml:space="preserve">3b. </w:t>
      </w:r>
      <w:proofErr w:type="gramStart"/>
      <w:r w:rsidRPr="009D17A3">
        <w:t>Across</w:t>
      </w:r>
      <w:proofErr w:type="gramEnd"/>
      <w:r w:rsidRPr="009D17A3">
        <w:t xml:space="preserve"> </w:t>
      </w:r>
      <w:r w:rsidR="00C71E78" w:rsidRPr="009D17A3">
        <w:t>grantees, what accounted for variation in NOMs and other outcomes performance across funded communities?</w:t>
      </w:r>
    </w:p>
    <w:p w:rsidR="005A35A6" w:rsidRPr="009D17A3" w:rsidRDefault="00C71E78" w:rsidP="00F24C35">
      <w:pPr>
        <w:pStyle w:val="Body"/>
        <w:spacing w:before="0" w:after="0"/>
        <w:ind w:left="1080" w:hanging="360"/>
        <w:rPr>
          <w:rFonts w:ascii="Times New Roman" w:hAnsi="Times New Roman"/>
          <w:szCs w:val="24"/>
        </w:rPr>
      </w:pPr>
      <w:proofErr w:type="gramStart"/>
      <w:r w:rsidRPr="009D17A3">
        <w:rPr>
          <w:rFonts w:ascii="Times New Roman" w:hAnsi="Times New Roman"/>
          <w:szCs w:val="24"/>
        </w:rPr>
        <w:t>4a. Did SPF funding lead to participant-level improvement on NOMs and other outcomes?</w:t>
      </w:r>
      <w:proofErr w:type="gramEnd"/>
    </w:p>
    <w:p w:rsidR="005A35A6" w:rsidRPr="009D17A3" w:rsidRDefault="00C71E78" w:rsidP="00F24C35">
      <w:pPr>
        <w:tabs>
          <w:tab w:val="left" w:pos="900"/>
        </w:tabs>
        <w:spacing w:line="360" w:lineRule="auto"/>
        <w:ind w:left="1080" w:hanging="360"/>
      </w:pPr>
      <w:r w:rsidRPr="009D17A3">
        <w:t xml:space="preserve">4b. </w:t>
      </w:r>
      <w:proofErr w:type="gramStart"/>
      <w:r w:rsidRPr="009D17A3">
        <w:t>What</w:t>
      </w:r>
      <w:proofErr w:type="gramEnd"/>
      <w:r w:rsidRPr="009D17A3">
        <w:t xml:space="preserve"> accounted for variation in participant-level NOMs and other outcomes performance across funded grantees and communities?</w:t>
      </w:r>
    </w:p>
    <w:p w:rsidR="005A35A6" w:rsidRDefault="00C71E78" w:rsidP="00F24C35">
      <w:pPr>
        <w:spacing w:before="120" w:after="120" w:line="360" w:lineRule="auto"/>
        <w:rPr>
          <w:rFonts w:eastAsia="MS Mincho"/>
        </w:rPr>
      </w:pPr>
      <w:r w:rsidRPr="009D17A3">
        <w:t xml:space="preserve">In addition to these </w:t>
      </w:r>
      <w:r w:rsidR="0033491E" w:rsidRPr="009D17A3">
        <w:t xml:space="preserve">eight </w:t>
      </w:r>
      <w:r w:rsidRPr="009D17A3">
        <w:t>outcome research questions</w:t>
      </w:r>
      <w:r w:rsidR="00AC1386" w:rsidRPr="009D17A3">
        <w:t>,</w:t>
      </w:r>
      <w:r w:rsidRPr="009D17A3">
        <w:t xml:space="preserve"> which are the central focus of the SPF SIG evaluation, the evaluation design includes </w:t>
      </w:r>
      <w:r w:rsidR="003C6CAD">
        <w:t xml:space="preserve">a number of </w:t>
      </w:r>
      <w:r w:rsidRPr="009D17A3">
        <w:t>research questions</w:t>
      </w:r>
      <w:r w:rsidR="003C6CAD">
        <w:t xml:space="preserve"> related to program process</w:t>
      </w:r>
      <w:r w:rsidRPr="009D17A3">
        <w:t xml:space="preserve">.  </w:t>
      </w:r>
      <w:r w:rsidR="003C6CAD">
        <w:t>Data collection related to these</w:t>
      </w:r>
      <w:r w:rsidR="006A0679">
        <w:t xml:space="preserve"> questions </w:t>
      </w:r>
      <w:r w:rsidRPr="009D17A3">
        <w:t>provide</w:t>
      </w:r>
      <w:r w:rsidR="003C6CAD">
        <w:t>s</w:t>
      </w:r>
      <w:r w:rsidRPr="009D17A3">
        <w:t xml:space="preserve"> information necessary </w:t>
      </w:r>
      <w:r w:rsidR="003C6CAD">
        <w:t xml:space="preserve">to </w:t>
      </w:r>
      <w:r w:rsidRPr="009D17A3">
        <w:t xml:space="preserve">interpret the </w:t>
      </w:r>
      <w:r w:rsidR="006A0679">
        <w:t xml:space="preserve">evaluation </w:t>
      </w:r>
      <w:r w:rsidRPr="009D17A3">
        <w:t>outcomes</w:t>
      </w:r>
      <w:r w:rsidR="003C6CAD">
        <w:t>.  The process questions focus on i</w:t>
      </w:r>
      <w:r w:rsidRPr="009D17A3">
        <w:t xml:space="preserve">nterpreting the effects of project-related activities; identifying </w:t>
      </w:r>
      <w:r w:rsidR="003C6CAD">
        <w:t xml:space="preserve">apparently </w:t>
      </w:r>
      <w:r w:rsidRPr="009D17A3">
        <w:t xml:space="preserve">effective program and policy elements </w:t>
      </w:r>
      <w:r w:rsidR="003C6CAD">
        <w:t>including the</w:t>
      </w:r>
      <w:r w:rsidRPr="009D17A3">
        <w:t xml:space="preserve"> conditions </w:t>
      </w:r>
      <w:r w:rsidR="003C6CAD">
        <w:t xml:space="preserve">in which </w:t>
      </w:r>
      <w:r w:rsidRPr="009D17A3">
        <w:t>programs</w:t>
      </w:r>
      <w:r w:rsidR="003C6CAD">
        <w:t xml:space="preserve"> appeared to be effective and the </w:t>
      </w:r>
      <w:r w:rsidRPr="009D17A3">
        <w:t xml:space="preserve">populations for whom programs </w:t>
      </w:r>
      <w:r w:rsidR="003C6CAD">
        <w:t xml:space="preserve">were </w:t>
      </w:r>
      <w:r w:rsidRPr="009D17A3">
        <w:t>effectiv</w:t>
      </w:r>
      <w:r w:rsidR="003C6CAD">
        <w:t xml:space="preserve">e. </w:t>
      </w:r>
      <w:r w:rsidRPr="009D17A3">
        <w:t xml:space="preserve"> </w:t>
      </w:r>
      <w:r w:rsidR="003C6CAD">
        <w:t xml:space="preserve">They also </w:t>
      </w:r>
      <w:proofErr w:type="gramStart"/>
      <w:r w:rsidRPr="009D17A3">
        <w:t>assess</w:t>
      </w:r>
      <w:r w:rsidR="003C6CAD">
        <w:t xml:space="preserve"> </w:t>
      </w:r>
      <w:r w:rsidRPr="009D17A3">
        <w:t xml:space="preserve"> </w:t>
      </w:r>
      <w:r w:rsidR="003C6CAD">
        <w:t>some</w:t>
      </w:r>
      <w:proofErr w:type="gramEnd"/>
      <w:r w:rsidR="003C6CAD">
        <w:t xml:space="preserve"> of the </w:t>
      </w:r>
      <w:r w:rsidRPr="009D17A3">
        <w:t xml:space="preserve">contextual factors </w:t>
      </w:r>
      <w:r w:rsidR="003C6CAD">
        <w:t xml:space="preserve">in states and communities that may </w:t>
      </w:r>
      <w:proofErr w:type="spellStart"/>
      <w:r w:rsidR="003C6CAD">
        <w:t>effect</w:t>
      </w:r>
      <w:proofErr w:type="spellEnd"/>
      <w:r w:rsidR="003C6CAD">
        <w:t xml:space="preserve"> </w:t>
      </w:r>
      <w:r w:rsidRPr="009D17A3">
        <w:t xml:space="preserve">SPF SIG outcomes.  Some examples of </w:t>
      </w:r>
      <w:r w:rsidR="003C6CAD">
        <w:t xml:space="preserve">the </w:t>
      </w:r>
      <w:r w:rsidRPr="009D17A3">
        <w:t xml:space="preserve">process-related research questions:  </w:t>
      </w:r>
      <w:r w:rsidRPr="009D17A3">
        <w:rPr>
          <w:rFonts w:eastAsia="MS Mincho"/>
        </w:rPr>
        <w:t>What changes in allocation of resources for substance abuse prevention programs occu</w:t>
      </w:r>
      <w:r w:rsidR="00D64568" w:rsidRPr="009D17A3">
        <w:rPr>
          <w:rFonts w:eastAsia="MS Mincho"/>
        </w:rPr>
        <w:t>rred at the</w:t>
      </w:r>
      <w:r w:rsidRPr="009D17A3">
        <w:rPr>
          <w:rFonts w:eastAsia="MS Mincho"/>
        </w:rPr>
        <w:t xml:space="preserve"> grantee</w:t>
      </w:r>
      <w:r w:rsidR="00D64568" w:rsidRPr="009D17A3">
        <w:rPr>
          <w:rFonts w:eastAsia="MS Mincho"/>
        </w:rPr>
        <w:t xml:space="preserve"> and community-levels</w:t>
      </w:r>
      <w:r w:rsidR="003C6CAD">
        <w:rPr>
          <w:rFonts w:eastAsia="MS Mincho"/>
        </w:rPr>
        <w:t xml:space="preserve">? </w:t>
      </w:r>
      <w:r w:rsidR="00D64568" w:rsidRPr="009D17A3">
        <w:rPr>
          <w:rFonts w:eastAsia="MS Mincho"/>
        </w:rPr>
        <w:t xml:space="preserve"> </w:t>
      </w:r>
      <w:r w:rsidR="00A11BE1">
        <w:rPr>
          <w:rFonts w:eastAsia="MS Mincho"/>
        </w:rPr>
        <w:t>W</w:t>
      </w:r>
      <w:r w:rsidR="00D64568" w:rsidRPr="009D17A3">
        <w:rPr>
          <w:rFonts w:eastAsia="MS Mincho"/>
        </w:rPr>
        <w:t>hat</w:t>
      </w:r>
      <w:r w:rsidRPr="009D17A3">
        <w:rPr>
          <w:rFonts w:eastAsia="MS Mincho"/>
        </w:rPr>
        <w:t xml:space="preserve"> grantee and community</w:t>
      </w:r>
      <w:r w:rsidR="00A11BE1">
        <w:rPr>
          <w:rFonts w:eastAsia="MS Mincho"/>
        </w:rPr>
        <w:t>-</w:t>
      </w:r>
      <w:r w:rsidRPr="009D17A3">
        <w:rPr>
          <w:rFonts w:eastAsia="MS Mincho"/>
        </w:rPr>
        <w:t xml:space="preserve">level mobilization and capacity building activities </w:t>
      </w:r>
      <w:r w:rsidR="00A11BE1">
        <w:rPr>
          <w:rFonts w:eastAsia="MS Mincho"/>
        </w:rPr>
        <w:t>took place? H</w:t>
      </w:r>
      <w:r w:rsidRPr="009D17A3">
        <w:rPr>
          <w:rFonts w:eastAsia="MS Mincho"/>
        </w:rPr>
        <w:t>as cultural competence been integrated into prevention programs, policies</w:t>
      </w:r>
      <w:r w:rsidR="006A0679">
        <w:rPr>
          <w:rFonts w:eastAsia="MS Mincho"/>
        </w:rPr>
        <w:t xml:space="preserve"> </w:t>
      </w:r>
      <w:r w:rsidRPr="009D17A3">
        <w:rPr>
          <w:rFonts w:eastAsia="MS Mincho"/>
        </w:rPr>
        <w:t>and practices in states, jurisdictions, and tribal entities</w:t>
      </w:r>
      <w:r w:rsidR="00A11BE1">
        <w:rPr>
          <w:rFonts w:eastAsia="MS Mincho"/>
        </w:rPr>
        <w:t xml:space="preserve">? </w:t>
      </w:r>
      <w:r w:rsidRPr="009D17A3">
        <w:rPr>
          <w:rFonts w:eastAsia="MS Mincho"/>
        </w:rPr>
        <w:t xml:space="preserve"> </w:t>
      </w:r>
      <w:r w:rsidR="00A11BE1">
        <w:t>T</w:t>
      </w:r>
      <w:r w:rsidRPr="009D17A3">
        <w:t>o what extent has the prevention infrastructure improved</w:t>
      </w:r>
      <w:r w:rsidR="00A11BE1">
        <w:t xml:space="preserve">? </w:t>
      </w:r>
      <w:r w:rsidRPr="009D17A3">
        <w:t xml:space="preserve"> </w:t>
      </w:r>
      <w:r w:rsidR="00A11BE1">
        <w:t>T</w:t>
      </w:r>
      <w:r w:rsidRPr="009D17A3">
        <w:rPr>
          <w:rFonts w:eastAsia="MS Mincho"/>
        </w:rPr>
        <w:t xml:space="preserve">o what extent </w:t>
      </w:r>
      <w:r w:rsidR="00A11BE1">
        <w:rPr>
          <w:rFonts w:eastAsia="MS Mincho"/>
        </w:rPr>
        <w:t xml:space="preserve">were the prevention programs </w:t>
      </w:r>
      <w:r w:rsidRPr="009D17A3">
        <w:rPr>
          <w:rFonts w:eastAsia="MS Mincho"/>
        </w:rPr>
        <w:t xml:space="preserve">selected </w:t>
      </w:r>
      <w:r w:rsidR="00A11BE1">
        <w:rPr>
          <w:rFonts w:eastAsia="MS Mincho"/>
        </w:rPr>
        <w:t xml:space="preserve">by community partners </w:t>
      </w:r>
      <w:r w:rsidRPr="009D17A3">
        <w:rPr>
          <w:rFonts w:eastAsia="MS Mincho"/>
        </w:rPr>
        <w:t>evidence-based</w:t>
      </w:r>
      <w:r w:rsidR="00A11BE1">
        <w:rPr>
          <w:rFonts w:eastAsia="MS Mincho"/>
        </w:rPr>
        <w:t xml:space="preserve">? </w:t>
      </w:r>
      <w:r w:rsidRPr="009D17A3">
        <w:rPr>
          <w:rFonts w:eastAsia="MS Mincho"/>
        </w:rPr>
        <w:t xml:space="preserve"> </w:t>
      </w:r>
      <w:r w:rsidR="00A11BE1">
        <w:rPr>
          <w:rFonts w:eastAsia="MS Mincho"/>
        </w:rPr>
        <w:t>T</w:t>
      </w:r>
      <w:r w:rsidRPr="009D17A3">
        <w:rPr>
          <w:rFonts w:eastAsia="MS Mincho"/>
        </w:rPr>
        <w:t xml:space="preserve">o what extent </w:t>
      </w:r>
      <w:r w:rsidR="00A11BE1">
        <w:rPr>
          <w:rFonts w:eastAsia="MS Mincho"/>
        </w:rPr>
        <w:t xml:space="preserve">were the </w:t>
      </w:r>
      <w:r w:rsidRPr="009D17A3">
        <w:rPr>
          <w:rFonts w:eastAsia="MS Mincho"/>
        </w:rPr>
        <w:t>selected programs implemented with fidelity?</w:t>
      </w:r>
      <w:r w:rsidR="00A11BE1">
        <w:rPr>
          <w:rFonts w:eastAsia="MS Mincho"/>
        </w:rPr>
        <w:t xml:space="preserve">  </w:t>
      </w:r>
      <w:r w:rsidR="00E91341">
        <w:rPr>
          <w:rFonts w:eastAsia="MS Mincho"/>
        </w:rPr>
        <w:t>Is implementation fidelity related to changes in outcomes?</w:t>
      </w:r>
    </w:p>
    <w:p w:rsidR="00A11BE1" w:rsidRDefault="00A11BE1" w:rsidP="00A11BE1">
      <w:pPr>
        <w:pStyle w:val="Body"/>
        <w:rPr>
          <w:rFonts w:ascii="Times New Roman" w:hAnsi="Times New Roman"/>
          <w:szCs w:val="24"/>
          <w:u w:val="single"/>
        </w:rPr>
      </w:pPr>
      <w:r w:rsidRPr="009D17A3">
        <w:rPr>
          <w:rFonts w:ascii="Times New Roman" w:hAnsi="Times New Roman"/>
          <w:szCs w:val="24"/>
          <w:u w:val="single"/>
        </w:rPr>
        <w:t xml:space="preserve">Plans for Tabulation and Analysis </w:t>
      </w:r>
    </w:p>
    <w:p w:rsidR="00C67A1B" w:rsidRDefault="00C67A1B" w:rsidP="00C67A1B">
      <w:pPr>
        <w:pStyle w:val="Body"/>
        <w:rPr>
          <w:rFonts w:ascii="Times New Roman" w:hAnsi="Times New Roman"/>
          <w:szCs w:val="24"/>
        </w:rPr>
      </w:pPr>
      <w:r w:rsidRPr="00C67A1B">
        <w:rPr>
          <w:rFonts w:ascii="Times New Roman" w:hAnsi="Times New Roman"/>
          <w:szCs w:val="24"/>
        </w:rPr>
        <w:t xml:space="preserve">The answers to the evaluation questions will be answered through a number of </w:t>
      </w:r>
      <w:r>
        <w:rPr>
          <w:rFonts w:ascii="Times New Roman" w:hAnsi="Times New Roman"/>
          <w:szCs w:val="24"/>
        </w:rPr>
        <w:t xml:space="preserve">tabulations and </w:t>
      </w:r>
      <w:r w:rsidRPr="00C67A1B">
        <w:rPr>
          <w:rFonts w:ascii="Times New Roman" w:hAnsi="Times New Roman"/>
          <w:szCs w:val="24"/>
        </w:rPr>
        <w:t xml:space="preserve">analytical comparisons, including </w:t>
      </w:r>
      <w:r>
        <w:rPr>
          <w:rFonts w:ascii="Times New Roman" w:hAnsi="Times New Roman"/>
          <w:szCs w:val="24"/>
        </w:rPr>
        <w:t xml:space="preserve">displays of </w:t>
      </w:r>
      <w:r w:rsidRPr="00C67A1B">
        <w:rPr>
          <w:rFonts w:ascii="Times New Roman" w:hAnsi="Times New Roman"/>
          <w:szCs w:val="24"/>
        </w:rPr>
        <w:t>change</w:t>
      </w:r>
      <w:r>
        <w:rPr>
          <w:rFonts w:ascii="Times New Roman" w:hAnsi="Times New Roman"/>
          <w:szCs w:val="24"/>
        </w:rPr>
        <w:t>s</w:t>
      </w:r>
      <w:r w:rsidRPr="00C67A1B">
        <w:rPr>
          <w:rFonts w:ascii="Times New Roman" w:hAnsi="Times New Roman"/>
          <w:szCs w:val="24"/>
        </w:rPr>
        <w:t xml:space="preserve"> over time after grantees are funded and </w:t>
      </w:r>
      <w:r w:rsidRPr="00C67A1B">
        <w:rPr>
          <w:rFonts w:ascii="Times New Roman" w:hAnsi="Times New Roman"/>
          <w:szCs w:val="24"/>
        </w:rPr>
        <w:lastRenderedPageBreak/>
        <w:t xml:space="preserve">implement SPF steps, </w:t>
      </w:r>
      <w:r>
        <w:rPr>
          <w:rFonts w:ascii="Times New Roman" w:hAnsi="Times New Roman"/>
          <w:szCs w:val="24"/>
        </w:rPr>
        <w:t xml:space="preserve">and </w:t>
      </w:r>
      <w:r w:rsidRPr="00C67A1B">
        <w:rPr>
          <w:rFonts w:ascii="Times New Roman" w:hAnsi="Times New Roman"/>
          <w:szCs w:val="24"/>
        </w:rPr>
        <w:t>comparison</w:t>
      </w:r>
      <w:r>
        <w:rPr>
          <w:rFonts w:ascii="Times New Roman" w:hAnsi="Times New Roman"/>
          <w:szCs w:val="24"/>
        </w:rPr>
        <w:t>s</w:t>
      </w:r>
      <w:r w:rsidRPr="00C67A1B">
        <w:rPr>
          <w:rFonts w:ascii="Times New Roman" w:hAnsi="Times New Roman"/>
          <w:szCs w:val="24"/>
        </w:rPr>
        <w:t xml:space="preserve"> among grantees and communities, making use of the different data sources in some of the planned analyses as shown in Table </w:t>
      </w:r>
      <w:r w:rsidR="00820056">
        <w:rPr>
          <w:rFonts w:ascii="Times New Roman" w:hAnsi="Times New Roman"/>
          <w:szCs w:val="24"/>
        </w:rPr>
        <w:t>2</w:t>
      </w:r>
      <w:r w:rsidRPr="00C67A1B">
        <w:rPr>
          <w:rFonts w:ascii="Times New Roman" w:hAnsi="Times New Roman"/>
          <w:szCs w:val="24"/>
        </w:rPr>
        <w:t>.</w:t>
      </w:r>
    </w:p>
    <w:p w:rsidR="00C67A1B" w:rsidRPr="00820056" w:rsidRDefault="00820056" w:rsidP="00C67A1B">
      <w:pPr>
        <w:pStyle w:val="Body"/>
        <w:rPr>
          <w:rFonts w:ascii="Times New Roman" w:hAnsi="Times New Roman"/>
          <w:b/>
          <w:szCs w:val="24"/>
        </w:rPr>
      </w:pPr>
      <w:proofErr w:type="gramStart"/>
      <w:r>
        <w:rPr>
          <w:rFonts w:ascii="Times New Roman" w:hAnsi="Times New Roman"/>
          <w:b/>
          <w:szCs w:val="24"/>
        </w:rPr>
        <w:t>Table 2</w:t>
      </w:r>
      <w:r w:rsidR="00C67A1B" w:rsidRPr="00820056">
        <w:rPr>
          <w:rFonts w:ascii="Times New Roman" w:hAnsi="Times New Roman"/>
          <w:b/>
          <w:szCs w:val="24"/>
        </w:rPr>
        <w:t>.</w:t>
      </w:r>
      <w:proofErr w:type="gramEnd"/>
      <w:r w:rsidR="00C67A1B" w:rsidRPr="00820056">
        <w:rPr>
          <w:rFonts w:ascii="Times New Roman" w:hAnsi="Times New Roman"/>
          <w:b/>
          <w:szCs w:val="24"/>
        </w:rPr>
        <w:t xml:space="preserve"> Evaluation Questions, Comparisons, Data Sources, and Analyses</w:t>
      </w:r>
    </w:p>
    <w:tbl>
      <w:tblPr>
        <w:tblStyle w:val="TableGrid"/>
        <w:tblW w:w="0" w:type="auto"/>
        <w:tblLook w:val="04A0" w:firstRow="1" w:lastRow="0" w:firstColumn="1" w:lastColumn="0" w:noHBand="0" w:noVBand="1"/>
      </w:tblPr>
      <w:tblGrid>
        <w:gridCol w:w="2394"/>
        <w:gridCol w:w="2394"/>
        <w:gridCol w:w="2394"/>
        <w:gridCol w:w="2394"/>
      </w:tblGrid>
      <w:tr w:rsidR="00C67A1B" w:rsidTr="006A04A2">
        <w:tc>
          <w:tcPr>
            <w:tcW w:w="2394" w:type="dxa"/>
          </w:tcPr>
          <w:p w:rsidR="00C67A1B" w:rsidRPr="00A628A0" w:rsidRDefault="00C67A1B" w:rsidP="00B82F1F">
            <w:pPr>
              <w:keepNext/>
              <w:spacing w:afterLines="40" w:after="96"/>
              <w:jc w:val="center"/>
              <w:rPr>
                <w:b/>
              </w:rPr>
            </w:pPr>
            <w:r w:rsidRPr="00A628A0">
              <w:rPr>
                <w:b/>
              </w:rPr>
              <w:t>Question</w:t>
            </w:r>
            <w:r>
              <w:rPr>
                <w:b/>
              </w:rPr>
              <w:t>s</w:t>
            </w:r>
          </w:p>
        </w:tc>
        <w:tc>
          <w:tcPr>
            <w:tcW w:w="2394" w:type="dxa"/>
          </w:tcPr>
          <w:p w:rsidR="00C67A1B" w:rsidRPr="00A628A0" w:rsidRDefault="00C67A1B" w:rsidP="00B82F1F">
            <w:pPr>
              <w:keepNext/>
              <w:spacing w:afterLines="40" w:after="96"/>
              <w:rPr>
                <w:b/>
              </w:rPr>
            </w:pPr>
            <w:r w:rsidRPr="00A628A0">
              <w:rPr>
                <w:b/>
              </w:rPr>
              <w:t>Comparison</w:t>
            </w:r>
            <w:r>
              <w:rPr>
                <w:b/>
              </w:rPr>
              <w:t>s</w:t>
            </w:r>
          </w:p>
        </w:tc>
        <w:tc>
          <w:tcPr>
            <w:tcW w:w="2394" w:type="dxa"/>
          </w:tcPr>
          <w:p w:rsidR="00C67A1B" w:rsidRPr="00E53DB3" w:rsidRDefault="00C67A1B" w:rsidP="006A04A2">
            <w:pPr>
              <w:rPr>
                <w:b/>
              </w:rPr>
            </w:pPr>
            <w:r w:rsidRPr="00E53DB3">
              <w:rPr>
                <w:b/>
              </w:rPr>
              <w:t>Data Sources</w:t>
            </w:r>
          </w:p>
        </w:tc>
        <w:tc>
          <w:tcPr>
            <w:tcW w:w="2394" w:type="dxa"/>
          </w:tcPr>
          <w:p w:rsidR="00C67A1B" w:rsidRPr="00E53DB3" w:rsidRDefault="00C67A1B" w:rsidP="006A04A2">
            <w:pPr>
              <w:rPr>
                <w:b/>
              </w:rPr>
            </w:pPr>
            <w:r w:rsidRPr="00E53DB3">
              <w:rPr>
                <w:b/>
              </w:rPr>
              <w:t>Analyses</w:t>
            </w:r>
          </w:p>
        </w:tc>
      </w:tr>
      <w:tr w:rsidR="00C67A1B" w:rsidTr="006A04A2">
        <w:tc>
          <w:tcPr>
            <w:tcW w:w="2394" w:type="dxa"/>
          </w:tcPr>
          <w:p w:rsidR="00C67A1B" w:rsidRPr="006A0679" w:rsidRDefault="00515259" w:rsidP="00515259">
            <w:r w:rsidRPr="006A0679">
              <w:t xml:space="preserve">1a. Did SPF funding </w:t>
            </w:r>
            <w:proofErr w:type="gramStart"/>
            <w:r w:rsidRPr="006A0679">
              <w:t>improve</w:t>
            </w:r>
            <w:proofErr w:type="gramEnd"/>
            <w:r w:rsidRPr="006A0679">
              <w:t xml:space="preserve"> grantee-wide performance on NOMs and other outcomes, that is, did NOMs improve over the course of the SPF SIG grants?</w:t>
            </w:r>
          </w:p>
        </w:tc>
        <w:tc>
          <w:tcPr>
            <w:tcW w:w="2394" w:type="dxa"/>
          </w:tcPr>
          <w:p w:rsidR="00C67A1B" w:rsidRPr="006A0679" w:rsidRDefault="00C67A1B" w:rsidP="006A04A2">
            <w:r w:rsidRPr="00E92054">
              <w:t xml:space="preserve">Change in outcomes before and after SPF funding; </w:t>
            </w:r>
          </w:p>
        </w:tc>
        <w:tc>
          <w:tcPr>
            <w:tcW w:w="2394" w:type="dxa"/>
          </w:tcPr>
          <w:p w:rsidR="00C67A1B" w:rsidRPr="00E92054" w:rsidRDefault="00C67A1B" w:rsidP="00B82F1F">
            <w:pPr>
              <w:keepNext/>
              <w:spacing w:before="60" w:afterLines="40" w:after="96"/>
            </w:pPr>
            <w:r w:rsidRPr="00E92054">
              <w:t>SEDS</w:t>
            </w:r>
          </w:p>
          <w:p w:rsidR="00C67A1B" w:rsidRPr="00E92054" w:rsidRDefault="00C67A1B" w:rsidP="00B82F1F">
            <w:pPr>
              <w:keepNext/>
              <w:spacing w:afterLines="40" w:after="96"/>
            </w:pPr>
            <w:r w:rsidRPr="00E92054">
              <w:t xml:space="preserve">Relevant DCAR data </w:t>
            </w:r>
          </w:p>
          <w:p w:rsidR="00C67A1B" w:rsidRPr="00E92054" w:rsidRDefault="00C67A1B" w:rsidP="00B82F1F">
            <w:pPr>
              <w:keepNext/>
              <w:spacing w:afterLines="40" w:after="96"/>
            </w:pPr>
            <w:r w:rsidRPr="00E92054">
              <w:t>Census data</w:t>
            </w:r>
          </w:p>
          <w:p w:rsidR="00C67A1B" w:rsidRPr="00E92054" w:rsidRDefault="00C67A1B" w:rsidP="00B82F1F">
            <w:pPr>
              <w:keepNext/>
              <w:spacing w:afterLines="40" w:after="96"/>
            </w:pPr>
            <w:r w:rsidRPr="00E92054">
              <w:t>Other federal data sources (non-substance abuse related)</w:t>
            </w:r>
          </w:p>
        </w:tc>
        <w:tc>
          <w:tcPr>
            <w:tcW w:w="2394" w:type="dxa"/>
          </w:tcPr>
          <w:p w:rsidR="00C67A1B" w:rsidRPr="006A0679" w:rsidRDefault="00C67A1B" w:rsidP="006A04A2">
            <w:r w:rsidRPr="00E92054">
              <w:t>Statistical tests of differences between (pooled) pre and post outcome values; longitudinal analyses as available data series permit.</w:t>
            </w:r>
          </w:p>
        </w:tc>
      </w:tr>
      <w:tr w:rsidR="00C67A1B" w:rsidTr="006A04A2">
        <w:tc>
          <w:tcPr>
            <w:tcW w:w="2394" w:type="dxa"/>
          </w:tcPr>
          <w:p w:rsidR="00C67A1B" w:rsidRPr="00E92054" w:rsidRDefault="00C67A1B" w:rsidP="00515259">
            <w:pPr>
              <w:spacing w:before="60" w:after="60"/>
            </w:pPr>
            <w:r w:rsidRPr="006A0679">
              <w:t xml:space="preserve">1b. What accounted for variation in NOM and other outcomes performance across SPF </w:t>
            </w:r>
            <w:r w:rsidR="00515259" w:rsidRPr="006A0679">
              <w:t>grantees</w:t>
            </w:r>
            <w:r w:rsidRPr="006A0679">
              <w:t>?</w:t>
            </w:r>
          </w:p>
        </w:tc>
        <w:tc>
          <w:tcPr>
            <w:tcW w:w="2394" w:type="dxa"/>
          </w:tcPr>
          <w:p w:rsidR="00C67A1B" w:rsidRPr="00E92054" w:rsidRDefault="00EB05C2" w:rsidP="00EB05C2">
            <w:pPr>
              <w:spacing w:before="60" w:after="60"/>
            </w:pPr>
            <w:r w:rsidRPr="006A0679">
              <w:t>Comparison with o</w:t>
            </w:r>
            <w:r w:rsidR="00C67A1B" w:rsidRPr="006A0679">
              <w:t>ther SPF SIG grantees, within and across cohorts</w:t>
            </w:r>
          </w:p>
        </w:tc>
        <w:tc>
          <w:tcPr>
            <w:tcW w:w="2394" w:type="dxa"/>
          </w:tcPr>
          <w:p w:rsidR="00C67A1B" w:rsidRPr="00E92054" w:rsidRDefault="00C67A1B" w:rsidP="00B82F1F">
            <w:pPr>
              <w:keepNext/>
              <w:spacing w:before="60" w:afterLines="40" w:after="96"/>
            </w:pPr>
            <w:r w:rsidRPr="00E92054">
              <w:t>Periodic updates of federal data sources</w:t>
            </w:r>
          </w:p>
        </w:tc>
        <w:tc>
          <w:tcPr>
            <w:tcW w:w="2394" w:type="dxa"/>
          </w:tcPr>
          <w:p w:rsidR="00C67A1B" w:rsidRPr="00E92054" w:rsidRDefault="00C67A1B" w:rsidP="006A04A2">
            <w:pPr>
              <w:spacing w:before="60" w:after="60"/>
            </w:pPr>
            <w:r w:rsidRPr="006A0679">
              <w:t>Cross-tabulations and correlations of outcomes with state characteristics</w:t>
            </w:r>
          </w:p>
        </w:tc>
      </w:tr>
      <w:tr w:rsidR="00C67A1B" w:rsidTr="006A04A2">
        <w:tc>
          <w:tcPr>
            <w:tcW w:w="2394" w:type="dxa"/>
          </w:tcPr>
          <w:p w:rsidR="00C67A1B" w:rsidRPr="00E92054" w:rsidRDefault="00515259" w:rsidP="006A04A2">
            <w:pPr>
              <w:spacing w:before="60" w:after="60"/>
            </w:pPr>
            <w:r w:rsidRPr="006A0679">
              <w:t>Within grantees, did SPF funding lead to community-level improvement on NOMs and other outcomes?</w:t>
            </w:r>
          </w:p>
        </w:tc>
        <w:tc>
          <w:tcPr>
            <w:tcW w:w="2394" w:type="dxa"/>
          </w:tcPr>
          <w:p w:rsidR="00C67A1B" w:rsidRPr="00E92054" w:rsidRDefault="00C67A1B" w:rsidP="006A04A2">
            <w:pPr>
              <w:spacing w:before="60" w:after="60"/>
            </w:pPr>
            <w:r w:rsidRPr="006A0679">
              <w:t>Changes in outcomes over time and among cohorts</w:t>
            </w:r>
          </w:p>
        </w:tc>
        <w:tc>
          <w:tcPr>
            <w:tcW w:w="2394" w:type="dxa"/>
          </w:tcPr>
          <w:p w:rsidR="00C67A1B" w:rsidRPr="00E92054" w:rsidRDefault="00C67A1B" w:rsidP="006A04A2">
            <w:pPr>
              <w:spacing w:before="60" w:after="60"/>
            </w:pPr>
            <w:r w:rsidRPr="006A0679">
              <w:t>CLI, community outcome data sources</w:t>
            </w:r>
          </w:p>
        </w:tc>
        <w:tc>
          <w:tcPr>
            <w:tcW w:w="2394" w:type="dxa"/>
          </w:tcPr>
          <w:p w:rsidR="00C67A1B" w:rsidRPr="006A0679" w:rsidRDefault="00C67A1B" w:rsidP="006A04A2">
            <w:r w:rsidRPr="00E92054">
              <w:t>Statistical tests of differences between (pooled) pre and post outcome values; longitudinal analyses as available data series permit.</w:t>
            </w:r>
          </w:p>
        </w:tc>
      </w:tr>
      <w:tr w:rsidR="00C67A1B" w:rsidTr="006A04A2">
        <w:tc>
          <w:tcPr>
            <w:tcW w:w="2394" w:type="dxa"/>
          </w:tcPr>
          <w:p w:rsidR="00C67A1B" w:rsidRPr="00E92054" w:rsidRDefault="00C67A1B" w:rsidP="006A04A2">
            <w:pPr>
              <w:spacing w:before="60" w:after="60"/>
            </w:pPr>
            <w:r w:rsidRPr="006A0679">
              <w:t>2b. Within SPF states, what accounted for variation in NOM and other outcomes performance across funded communities?</w:t>
            </w:r>
          </w:p>
        </w:tc>
        <w:tc>
          <w:tcPr>
            <w:tcW w:w="2394" w:type="dxa"/>
          </w:tcPr>
          <w:p w:rsidR="00EB05C2" w:rsidRPr="00E92054" w:rsidRDefault="00EB05C2" w:rsidP="006A04A2">
            <w:pPr>
              <w:spacing w:before="60" w:after="60"/>
            </w:pPr>
            <w:r w:rsidRPr="006A0679">
              <w:t xml:space="preserve">Comparisons among communities, their characteristics, and whether they target outcomes </w:t>
            </w:r>
          </w:p>
        </w:tc>
        <w:tc>
          <w:tcPr>
            <w:tcW w:w="2394" w:type="dxa"/>
          </w:tcPr>
          <w:p w:rsidR="00EB05C2" w:rsidRPr="00E92054" w:rsidRDefault="00EB05C2" w:rsidP="006A04A2">
            <w:pPr>
              <w:spacing w:before="60" w:after="60"/>
            </w:pPr>
            <w:r w:rsidRPr="006A0679">
              <w:t>CLI, NOMs</w:t>
            </w:r>
          </w:p>
          <w:p w:rsidR="00C67A1B" w:rsidRPr="006A0679" w:rsidRDefault="00EB05C2" w:rsidP="00EB05C2">
            <w:r w:rsidRPr="006A0679">
              <w:t xml:space="preserve">Community outcomes </w:t>
            </w:r>
          </w:p>
        </w:tc>
        <w:tc>
          <w:tcPr>
            <w:tcW w:w="2394" w:type="dxa"/>
          </w:tcPr>
          <w:p w:rsidR="00C67A1B" w:rsidRPr="00E92054" w:rsidRDefault="00C67A1B" w:rsidP="006A04A2">
            <w:pPr>
              <w:spacing w:before="60" w:after="60"/>
            </w:pPr>
            <w:r w:rsidRPr="006A0679">
              <w:t>Cross-tabulations and correlations of outcomes with state characteristics</w:t>
            </w:r>
            <w:r w:rsidR="00EB05C2" w:rsidRPr="006A0679">
              <w:t>;</w:t>
            </w:r>
          </w:p>
          <w:p w:rsidR="00EB05C2" w:rsidRPr="006A0679" w:rsidRDefault="00EB05C2" w:rsidP="006A04A2">
            <w:r w:rsidRPr="006A0679">
              <w:t>HLM when data permit</w:t>
            </w:r>
          </w:p>
        </w:tc>
      </w:tr>
      <w:tr w:rsidR="00C67A1B" w:rsidTr="006A04A2">
        <w:tc>
          <w:tcPr>
            <w:tcW w:w="2394" w:type="dxa"/>
          </w:tcPr>
          <w:p w:rsidR="00C67A1B" w:rsidRPr="00E92054" w:rsidRDefault="00515259" w:rsidP="00EB05C2">
            <w:pPr>
              <w:spacing w:before="60" w:after="60"/>
            </w:pPr>
            <w:r w:rsidRPr="006A0679">
              <w:t>3a. Across grantees, did SPF funding lead to community-level improvement on NOMs and other outcomes?</w:t>
            </w:r>
          </w:p>
        </w:tc>
        <w:tc>
          <w:tcPr>
            <w:tcW w:w="2394" w:type="dxa"/>
          </w:tcPr>
          <w:p w:rsidR="00C67A1B" w:rsidRPr="00E92054" w:rsidRDefault="00EB05C2" w:rsidP="006A04A2">
            <w:pPr>
              <w:spacing w:before="60" w:after="60"/>
            </w:pPr>
            <w:r w:rsidRPr="006A0679">
              <w:t>Comparisons of communities with similar characteristics and available data across states</w:t>
            </w:r>
          </w:p>
        </w:tc>
        <w:tc>
          <w:tcPr>
            <w:tcW w:w="2394" w:type="dxa"/>
          </w:tcPr>
          <w:p w:rsidR="00C67A1B" w:rsidRPr="00E92054" w:rsidRDefault="00EB05C2" w:rsidP="00EB05C2">
            <w:pPr>
              <w:spacing w:before="60" w:after="60"/>
            </w:pPr>
            <w:r w:rsidRPr="006A0679">
              <w:t xml:space="preserve">CLI, NOMs and other community outcomes </w:t>
            </w:r>
          </w:p>
        </w:tc>
        <w:tc>
          <w:tcPr>
            <w:tcW w:w="2394" w:type="dxa"/>
          </w:tcPr>
          <w:p w:rsidR="00C67A1B" w:rsidRPr="00E92054" w:rsidRDefault="00EB05C2" w:rsidP="006A0679">
            <w:pPr>
              <w:spacing w:before="60" w:after="60"/>
            </w:pPr>
            <w:r w:rsidRPr="006A0679">
              <w:t xml:space="preserve">Pooling </w:t>
            </w:r>
            <w:r w:rsidR="002621B3" w:rsidRPr="006A0679">
              <w:t xml:space="preserve">community </w:t>
            </w:r>
            <w:r w:rsidRPr="006A0679">
              <w:t>outcomes</w:t>
            </w:r>
            <w:r w:rsidR="002621B3" w:rsidRPr="006A0679">
              <w:t>, comparisons over time pre and post SPF implementation</w:t>
            </w:r>
          </w:p>
        </w:tc>
      </w:tr>
      <w:tr w:rsidR="00C67A1B" w:rsidTr="006A04A2">
        <w:tc>
          <w:tcPr>
            <w:tcW w:w="2394" w:type="dxa"/>
          </w:tcPr>
          <w:p w:rsidR="00C67A1B" w:rsidRPr="00E92054" w:rsidRDefault="00C67A1B" w:rsidP="006A04A2">
            <w:pPr>
              <w:spacing w:before="60" w:after="60"/>
            </w:pPr>
            <w:r w:rsidRPr="006A0679">
              <w:t>3b. Across SPF states, what accounted for variation in NOM and other outcomes performance across funded communities?</w:t>
            </w:r>
          </w:p>
        </w:tc>
        <w:tc>
          <w:tcPr>
            <w:tcW w:w="2394" w:type="dxa"/>
          </w:tcPr>
          <w:p w:rsidR="00C67A1B" w:rsidRPr="00E92054" w:rsidRDefault="00EB05C2" w:rsidP="006A04A2">
            <w:pPr>
              <w:spacing w:before="60" w:after="60"/>
            </w:pPr>
            <w:r w:rsidRPr="006A0679">
              <w:t>Comparisons of outcomes across states; cohorts</w:t>
            </w:r>
          </w:p>
        </w:tc>
        <w:tc>
          <w:tcPr>
            <w:tcW w:w="2394" w:type="dxa"/>
          </w:tcPr>
          <w:p w:rsidR="00C67A1B" w:rsidRPr="00E92054" w:rsidRDefault="00EB05C2" w:rsidP="006A04A2">
            <w:pPr>
              <w:spacing w:before="60" w:after="60"/>
            </w:pPr>
            <w:r w:rsidRPr="006A0679">
              <w:t>GLI, NOMs</w:t>
            </w:r>
          </w:p>
        </w:tc>
        <w:tc>
          <w:tcPr>
            <w:tcW w:w="2394" w:type="dxa"/>
          </w:tcPr>
          <w:p w:rsidR="00C67A1B" w:rsidRPr="00E92054" w:rsidRDefault="00EB05C2" w:rsidP="006A04A2">
            <w:pPr>
              <w:spacing w:before="60" w:after="60"/>
            </w:pPr>
            <w:r w:rsidRPr="006A0679">
              <w:t>Cross-tabulations and correlations of community characteristics and outcomes</w:t>
            </w:r>
          </w:p>
        </w:tc>
      </w:tr>
      <w:tr w:rsidR="00C67A1B" w:rsidTr="006A04A2">
        <w:tc>
          <w:tcPr>
            <w:tcW w:w="2394" w:type="dxa"/>
          </w:tcPr>
          <w:p w:rsidR="00C67A1B" w:rsidRPr="00E92054" w:rsidRDefault="00515259" w:rsidP="006A04A2">
            <w:pPr>
              <w:spacing w:before="60" w:after="60"/>
            </w:pPr>
            <w:r w:rsidRPr="006A0679">
              <w:lastRenderedPageBreak/>
              <w:t>Did SPF funding lead to participant-level improvement on NOMs and other outcomes?</w:t>
            </w:r>
          </w:p>
        </w:tc>
        <w:tc>
          <w:tcPr>
            <w:tcW w:w="2394" w:type="dxa"/>
          </w:tcPr>
          <w:p w:rsidR="00C67A1B" w:rsidRPr="00E92054" w:rsidRDefault="00EB05C2" w:rsidP="00AA0230">
            <w:pPr>
              <w:spacing w:before="60" w:after="60"/>
            </w:pPr>
            <w:r w:rsidRPr="006A0679">
              <w:t>Changes over time and among communities in submitted PLI</w:t>
            </w:r>
            <w:r w:rsidR="00AA0230">
              <w:t>*</w:t>
            </w:r>
            <w:r w:rsidRPr="006A0679">
              <w:t xml:space="preserve"> data </w:t>
            </w:r>
          </w:p>
        </w:tc>
        <w:tc>
          <w:tcPr>
            <w:tcW w:w="2394" w:type="dxa"/>
          </w:tcPr>
          <w:p w:rsidR="00C67A1B" w:rsidRPr="00E92054" w:rsidRDefault="00EB05C2" w:rsidP="006A04A2">
            <w:pPr>
              <w:spacing w:before="60" w:after="60"/>
            </w:pPr>
            <w:r w:rsidRPr="006A0679">
              <w:t>CLI, PLI, NOMs and other community outcomes</w:t>
            </w:r>
          </w:p>
        </w:tc>
        <w:tc>
          <w:tcPr>
            <w:tcW w:w="2394" w:type="dxa"/>
          </w:tcPr>
          <w:p w:rsidR="00C67A1B" w:rsidRPr="006A0679" w:rsidRDefault="00C67A1B" w:rsidP="006A04A2"/>
        </w:tc>
      </w:tr>
      <w:tr w:rsidR="00C67A1B" w:rsidTr="006A04A2">
        <w:tc>
          <w:tcPr>
            <w:tcW w:w="2394" w:type="dxa"/>
          </w:tcPr>
          <w:p w:rsidR="00C67A1B" w:rsidRPr="00E92054" w:rsidRDefault="00515259" w:rsidP="006A04A2">
            <w:pPr>
              <w:spacing w:before="60" w:after="60"/>
            </w:pPr>
            <w:r w:rsidRPr="006A0679">
              <w:t>4b. What accounted for variation in participant-level NOMs and other outcomes performance across funded grantees and communities?</w:t>
            </w:r>
          </w:p>
        </w:tc>
        <w:tc>
          <w:tcPr>
            <w:tcW w:w="2394" w:type="dxa"/>
          </w:tcPr>
          <w:p w:rsidR="00C67A1B" w:rsidRPr="00E92054" w:rsidRDefault="00FA4D26" w:rsidP="00FA4D26">
            <w:pPr>
              <w:spacing w:before="60" w:after="60"/>
            </w:pPr>
            <w:r w:rsidRPr="006A0679">
              <w:t xml:space="preserve">Comparisons change over time and across interventions targeting the same </w:t>
            </w:r>
            <w:r w:rsidR="00AA0230" w:rsidRPr="006A0679">
              <w:t>outcomes</w:t>
            </w:r>
            <w:r w:rsidRPr="006A0679">
              <w:t xml:space="preserve">, taking into account both community and individual </w:t>
            </w:r>
            <w:r w:rsidR="00AA0230" w:rsidRPr="006A0679">
              <w:t>characteristics</w:t>
            </w:r>
          </w:p>
        </w:tc>
        <w:tc>
          <w:tcPr>
            <w:tcW w:w="2394" w:type="dxa"/>
          </w:tcPr>
          <w:p w:rsidR="00C67A1B" w:rsidRPr="00E92054" w:rsidRDefault="00FA4D26" w:rsidP="00E53DB3">
            <w:pPr>
              <w:spacing w:before="60" w:after="60"/>
            </w:pPr>
            <w:r w:rsidRPr="006A0679">
              <w:t>CLI, PLI</w:t>
            </w:r>
          </w:p>
        </w:tc>
        <w:tc>
          <w:tcPr>
            <w:tcW w:w="2394" w:type="dxa"/>
          </w:tcPr>
          <w:p w:rsidR="00C67A1B" w:rsidRPr="00E92054" w:rsidRDefault="00EB05C2" w:rsidP="00EB05C2">
            <w:pPr>
              <w:spacing w:before="60" w:after="60"/>
            </w:pPr>
            <w:proofErr w:type="spellStart"/>
            <w:r w:rsidRPr="006A0679">
              <w:t>Crosstabulations</w:t>
            </w:r>
            <w:proofErr w:type="spellEnd"/>
            <w:r w:rsidRPr="006A0679">
              <w:t xml:space="preserve"> and Correlations of program and community characteristics with changes in ou</w:t>
            </w:r>
            <w:r w:rsidR="006A0679">
              <w:t>t</w:t>
            </w:r>
            <w:r w:rsidRPr="006A0679">
              <w:t>comes; HLM if individual data permit</w:t>
            </w:r>
          </w:p>
        </w:tc>
      </w:tr>
    </w:tbl>
    <w:p w:rsidR="00C67A1B" w:rsidRDefault="00E53DB3" w:rsidP="00E53DB3">
      <w:pPr>
        <w:pStyle w:val="Body"/>
        <w:spacing w:line="240" w:lineRule="auto"/>
        <w:rPr>
          <w:rFonts w:ascii="Times New Roman" w:hAnsi="Times New Roman"/>
          <w:szCs w:val="24"/>
        </w:rPr>
      </w:pPr>
      <w:r>
        <w:rPr>
          <w:rFonts w:ascii="Times New Roman" w:hAnsi="Times New Roman"/>
          <w:szCs w:val="24"/>
        </w:rPr>
        <w:t>* PLI refers to the Participant-level Instrument, this instrument is included in a separate OMB submission (</w:t>
      </w:r>
      <w:r w:rsidRPr="00E53DB3">
        <w:rPr>
          <w:rFonts w:ascii="Times New Roman" w:hAnsi="Times New Roman"/>
          <w:szCs w:val="24"/>
        </w:rPr>
        <w:t>OMB No. 0930-0230 expiration 2/28/13)</w:t>
      </w:r>
    </w:p>
    <w:p w:rsidR="00E53DB3" w:rsidRDefault="00E53DB3" w:rsidP="00E53DB3">
      <w:pPr>
        <w:pStyle w:val="Body"/>
        <w:spacing w:line="240" w:lineRule="auto"/>
        <w:rPr>
          <w:rFonts w:ascii="Times New Roman" w:hAnsi="Times New Roman"/>
          <w:szCs w:val="24"/>
        </w:rPr>
      </w:pPr>
    </w:p>
    <w:p w:rsidR="00C67A1B" w:rsidRPr="009D17A3" w:rsidRDefault="00C67A1B" w:rsidP="00C67A1B">
      <w:pPr>
        <w:spacing w:before="120" w:after="120" w:line="360" w:lineRule="auto"/>
        <w:rPr>
          <w:color w:val="000000"/>
        </w:rPr>
      </w:pPr>
      <w:r>
        <w:t>T</w:t>
      </w:r>
      <w:r w:rsidRPr="009D17A3">
        <w:t>abulation</w:t>
      </w:r>
      <w:r>
        <w:t>s</w:t>
      </w:r>
      <w:r w:rsidRPr="009D17A3">
        <w:t xml:space="preserve"> and analys</w:t>
      </w:r>
      <w:r>
        <w:t>e</w:t>
      </w:r>
      <w:r w:rsidRPr="009D17A3">
        <w:t xml:space="preserve">s </w:t>
      </w:r>
      <w:r>
        <w:t xml:space="preserve">will </w:t>
      </w:r>
      <w:r w:rsidRPr="009D17A3">
        <w:t xml:space="preserve">include qualitative and quantitative analyses of data collected and graphic and tabular displays of the key findings.  </w:t>
      </w:r>
      <w:r w:rsidRPr="009D17A3">
        <w:rPr>
          <w:color w:val="000000"/>
        </w:rPr>
        <w:t xml:space="preserve">The community-level epidemiological data and participant-level NOMs will be used to answer questions 1a, 2a, 3a, and 4a listed in section A16.  The GLI Infrastructure Instrument, the GLI Implementation Instrument, and the CLI </w:t>
      </w:r>
      <w:r w:rsidRPr="009D17A3">
        <w:rPr>
          <w:rFonts w:eastAsia="MS Mincho"/>
        </w:rPr>
        <w:t xml:space="preserve">(Parts I and II) </w:t>
      </w:r>
      <w:r w:rsidRPr="009D17A3">
        <w:rPr>
          <w:color w:val="000000"/>
        </w:rPr>
        <w:t xml:space="preserve">will be used to gather data to address the effect of the SPF SIG initiative on grantee- and community-level system outcomes and community- and participant-level NOMs outcomes. Specifically, the four questions address the moderators and mediators of outcome variation across SPF SIG funded grantees and their </w:t>
      </w:r>
      <w:proofErr w:type="spellStart"/>
      <w:r w:rsidRPr="009D17A3">
        <w:rPr>
          <w:color w:val="000000"/>
        </w:rPr>
        <w:t>subrecipient</w:t>
      </w:r>
      <w:proofErr w:type="spellEnd"/>
      <w:r w:rsidRPr="009D17A3">
        <w:rPr>
          <w:color w:val="000000"/>
        </w:rPr>
        <w:t xml:space="preserve"> communities. Data from the CLI (Parts I and II) in particular will be used to identify similarities and differences in the way SPF SIG is being implemented across grantees and their </w:t>
      </w:r>
      <w:proofErr w:type="spellStart"/>
      <w:r w:rsidRPr="009D17A3">
        <w:rPr>
          <w:color w:val="000000"/>
        </w:rPr>
        <w:t>subrecipient</w:t>
      </w:r>
      <w:proofErr w:type="spellEnd"/>
      <w:r w:rsidRPr="009D17A3">
        <w:rPr>
          <w:color w:val="000000"/>
        </w:rPr>
        <w:t xml:space="preserve"> communities including the specific prevention-intervention programs and strategy-types being implemented and the populations served. </w:t>
      </w:r>
    </w:p>
    <w:p w:rsidR="00A11BE1" w:rsidRPr="009D17A3" w:rsidRDefault="00A11BE1" w:rsidP="00A11BE1">
      <w:pPr>
        <w:spacing w:line="360" w:lineRule="auto"/>
        <w:rPr>
          <w:color w:val="000000"/>
        </w:rPr>
      </w:pPr>
      <w:proofErr w:type="gramStart"/>
      <w:r w:rsidRPr="009D17A3">
        <w:rPr>
          <w:i/>
          <w:color w:val="000000"/>
        </w:rPr>
        <w:t>Data reduction, scoring and scaling</w:t>
      </w:r>
      <w:r w:rsidRPr="009D17A3">
        <w:rPr>
          <w:b/>
          <w:color w:val="000000"/>
        </w:rPr>
        <w:t>.</w:t>
      </w:r>
      <w:proofErr w:type="gramEnd"/>
      <w:r w:rsidRPr="009D17A3">
        <w:rPr>
          <w:b/>
          <w:color w:val="000000"/>
        </w:rPr>
        <w:t xml:space="preserve">  </w:t>
      </w:r>
      <w:r w:rsidRPr="009D17A3">
        <w:rPr>
          <w:color w:val="000000"/>
        </w:rPr>
        <w:t xml:space="preserve">The first phase of data analysis will consist of reviewing, coding, scoring, and scaling of responses within each domain with the goal of reducing the data to a set of reliable scales that will be used in subsequent analyses.  For each domain, a summary score or index will be developed.  Attention will be given to developing reliable and valid measures of the constructs in each domain, including assessment of inter-coder reliabilities and relationships among both the items within potential summary scores and between the domains.  In addition to our scoring (or quantifying) of the responses, we will use the open-ended </w:t>
      </w:r>
      <w:r w:rsidRPr="009D17A3">
        <w:rPr>
          <w:color w:val="000000"/>
        </w:rPr>
        <w:lastRenderedPageBreak/>
        <w:t>responses to provide contextual qualitative data to support and enrich the quantitative scores.  The qualitative information will be included as narrative in our reports to help explain the scores regarding the prevention infrastructure and sustainability domains and to provide concrete illustrations of how these domain scores manifest themselves within each state.</w:t>
      </w:r>
    </w:p>
    <w:p w:rsidR="00A11BE1" w:rsidRPr="009D17A3" w:rsidRDefault="00A11BE1" w:rsidP="00A11BE1">
      <w:pPr>
        <w:spacing w:before="120" w:after="120" w:line="360" w:lineRule="auto"/>
        <w:rPr>
          <w:color w:val="000000"/>
        </w:rPr>
      </w:pPr>
      <w:proofErr w:type="gramStart"/>
      <w:r w:rsidRPr="009D17A3">
        <w:rPr>
          <w:i/>
          <w:color w:val="000000"/>
        </w:rPr>
        <w:t>Outcome analyses.</w:t>
      </w:r>
      <w:proofErr w:type="gramEnd"/>
      <w:r w:rsidRPr="009D17A3">
        <w:rPr>
          <w:b/>
          <w:color w:val="000000"/>
        </w:rPr>
        <w:t xml:space="preserve">  </w:t>
      </w:r>
      <w:r w:rsidRPr="009D17A3">
        <w:rPr>
          <w:color w:val="000000"/>
        </w:rPr>
        <w:t xml:space="preserve">The data gathered will be used to conduct a variety of quantitative and qualitative analyses related to the eight outcome evaluation questions and the process-related research questions.  As part of these analyses, the distributional characteristics of the data, as well as the baseline differences among the groups being compared, will be assessed.  Then, within-grantee and across-grantee outcome analyses will be conducted using </w:t>
      </w:r>
      <w:r w:rsidRPr="009D17A3">
        <w:rPr>
          <w:i/>
          <w:color w:val="000000"/>
        </w:rPr>
        <w:t>multilevel statistical modeling methods</w:t>
      </w:r>
      <w:r w:rsidRPr="009D17A3">
        <w:rPr>
          <w:color w:val="000000"/>
        </w:rPr>
        <w:t xml:space="preserve"> that account for the “nested” nature of the data (i.e., the data are not independent, they are nested within the communities and within the states).  </w:t>
      </w:r>
    </w:p>
    <w:p w:rsidR="00A11BE1" w:rsidRPr="009D17A3" w:rsidRDefault="00C67A1B" w:rsidP="00A11BE1">
      <w:pPr>
        <w:spacing w:before="120" w:after="120" w:line="360" w:lineRule="auto"/>
        <w:rPr>
          <w:color w:val="000000"/>
        </w:rPr>
      </w:pPr>
      <w:r>
        <w:t>Basic statistical tests of differences over time and between states and communities being compared will be conducted, including z-tests of differences between survey summary statistics and chi-square analyses of state and community characteristics.  Some s</w:t>
      </w:r>
      <w:r w:rsidR="00A11BE1" w:rsidRPr="009D17A3">
        <w:t xml:space="preserve">tatistical modeling methods will be performed using </w:t>
      </w:r>
      <w:r w:rsidR="00A11BE1" w:rsidRPr="009D17A3">
        <w:rPr>
          <w:iCs/>
        </w:rPr>
        <w:t>Hierarchical Linear Modeling (</w:t>
      </w:r>
      <w:r w:rsidR="00A11BE1" w:rsidRPr="009D17A3">
        <w:t>HLM) Version 6 (</w:t>
      </w:r>
      <w:proofErr w:type="spellStart"/>
      <w:r w:rsidR="00A11BE1" w:rsidRPr="009D17A3">
        <w:t>Raudenbush</w:t>
      </w:r>
      <w:proofErr w:type="spellEnd"/>
      <w:r w:rsidR="00A11BE1" w:rsidRPr="009D17A3">
        <w:t xml:space="preserve"> et al., 2002)</w:t>
      </w:r>
      <w:r w:rsidR="00A11BE1" w:rsidRPr="009D17A3">
        <w:rPr>
          <w:rStyle w:val="FootnoteReference"/>
        </w:rPr>
        <w:footnoteReference w:id="1"/>
      </w:r>
      <w:r w:rsidR="00A11BE1" w:rsidRPr="009D17A3">
        <w:t>.  The coefficients estimated by the HLM model are applicable to a hierarchical data structure with up to three levels of random variation. In our case, the three levels will be: 1) State, 2) community, and 3) time. HLM also accommodates sampling weights in both linear and nonlinear models. This is relevant to our analysis because 1) most of the NOMs and other outcomes will not meet normality assumptions and therefore require nonlinear models, and 2) states will contribute unequal numbers of communities and population sizes to the cross-site database. Therefore, inverse weighting by these inequalities at the appropriate level will increase the generalizability of the findings. Note that the two GLIs will support analyses of variation at level 3, the CLI will support analyses of variation at level 2, and both will support analyses of variation at level 1 through repeated administrations over time.</w:t>
      </w:r>
    </w:p>
    <w:p w:rsidR="00A11BE1" w:rsidRPr="009D17A3" w:rsidRDefault="00A11BE1" w:rsidP="00A11BE1">
      <w:pPr>
        <w:pStyle w:val="P1-StandPara"/>
        <w:spacing w:before="120" w:after="120" w:line="360" w:lineRule="auto"/>
        <w:rPr>
          <w:rFonts w:ascii="Times New Roman" w:hAnsi="Times New Roman"/>
        </w:rPr>
      </w:pPr>
      <w:r w:rsidRPr="009D17A3">
        <w:rPr>
          <w:rFonts w:ascii="Times New Roman" w:hAnsi="Times New Roman"/>
          <w:color w:val="000000"/>
        </w:rPr>
        <w:t xml:space="preserve">One system-level outcome of interest will be changes in prevention infrastructure over time.  Data from the two GLIs and </w:t>
      </w:r>
      <w:r w:rsidRPr="009D17A3">
        <w:rPr>
          <w:rFonts w:ascii="Times New Roman" w:eastAsia="MS Mincho" w:hAnsi="Times New Roman"/>
        </w:rPr>
        <w:t xml:space="preserve">CLI (Part I) </w:t>
      </w:r>
      <w:r w:rsidRPr="009D17A3">
        <w:rPr>
          <w:rFonts w:ascii="Times New Roman" w:hAnsi="Times New Roman"/>
          <w:color w:val="000000"/>
        </w:rPr>
        <w:t xml:space="preserve">will be used to measure State systems infrastructure. </w:t>
      </w:r>
      <w:r w:rsidRPr="009D17A3">
        <w:rPr>
          <w:rFonts w:ascii="Times New Roman" w:hAnsi="Times New Roman"/>
          <w:color w:val="000000"/>
        </w:rPr>
        <w:lastRenderedPageBreak/>
        <w:t xml:space="preserve">This includes changes in planning capacity, training capacity, and support for the implementation of evidence-based practices.  Thus, data from these instruments will serve as outcome data for grantee systems change and as mediators of changes in population- and participant-level consumption and consequence outcomes.  The construct of prevention infrastructure is, however, too complex to be captured by a single summary statistic. In addition to the global index, therefore, indexes will also be developed based on specific infrastructure domains (planning, workforce development, etc.).  Analyses of these indexes will help show whether some domains appear more critical to outcomes than others. Other analyses will focus on the relationship between SPF implementation and observed variation in outcomes across grantees. </w:t>
      </w:r>
    </w:p>
    <w:p w:rsidR="00A11BE1" w:rsidRPr="009D17A3" w:rsidRDefault="00A11BE1" w:rsidP="00A11BE1">
      <w:pPr>
        <w:pStyle w:val="P1-StandPara"/>
        <w:spacing w:before="120" w:after="120" w:line="360" w:lineRule="auto"/>
        <w:rPr>
          <w:rFonts w:ascii="Times New Roman" w:hAnsi="Times New Roman"/>
          <w:color w:val="000000"/>
        </w:rPr>
      </w:pPr>
      <w:r w:rsidRPr="009D17A3">
        <w:rPr>
          <w:rFonts w:ascii="Times New Roman" w:hAnsi="Times New Roman"/>
          <w:color w:val="000000"/>
        </w:rPr>
        <w:t xml:space="preserve">Community-level analyses conducted with the data gathered from the </w:t>
      </w:r>
      <w:r w:rsidRPr="009D17A3">
        <w:rPr>
          <w:rFonts w:ascii="Times New Roman" w:eastAsia="MS Mincho" w:hAnsi="Times New Roman"/>
        </w:rPr>
        <w:t xml:space="preserve">CLI (Parts I and II) </w:t>
      </w:r>
      <w:r w:rsidRPr="009D17A3">
        <w:rPr>
          <w:rFonts w:ascii="Times New Roman" w:hAnsi="Times New Roman"/>
          <w:color w:val="000000"/>
        </w:rPr>
        <w:t xml:space="preserve">will aim to identify characteristics of community-level interventions that are most effective in producing desired population and participant-level outcomes.  These analyses will focus on: 1) comparisons of community-level outcomes from funded communities across multiple states with state and national data; and 2) comparisons of systems-level outcomes across the funded communities, exploring the relationships between different types of community approaches, target populations, levels of implementation and fidelity, mix of strategy types, and aggregated community-and participant-level outcomes.  Systems-level outcomes to be included in these analyses include changes in the number and operation of coalitions as assessed by the </w:t>
      </w:r>
      <w:r w:rsidRPr="009D17A3">
        <w:rPr>
          <w:rFonts w:ascii="Times New Roman" w:eastAsia="MS Mincho" w:hAnsi="Times New Roman"/>
        </w:rPr>
        <w:t>CLI (Parts I and II)</w:t>
      </w:r>
      <w:r w:rsidRPr="009D17A3">
        <w:rPr>
          <w:rFonts w:ascii="Times New Roman" w:hAnsi="Times New Roman"/>
          <w:color w:val="000000"/>
        </w:rPr>
        <w:t xml:space="preserve">.  Population outcomes will focus on changes in consumption and consequences NOMs and other outcomes over time.  </w:t>
      </w:r>
    </w:p>
    <w:p w:rsidR="00C71E78" w:rsidRPr="009D17A3" w:rsidRDefault="00C71E78" w:rsidP="00F24C35">
      <w:pPr>
        <w:pStyle w:val="Body"/>
        <w:rPr>
          <w:rFonts w:ascii="Times New Roman" w:hAnsi="Times New Roman"/>
          <w:szCs w:val="24"/>
          <w:u w:val="single"/>
        </w:rPr>
      </w:pPr>
      <w:r w:rsidRPr="009D17A3">
        <w:rPr>
          <w:rFonts w:ascii="Times New Roman" w:hAnsi="Times New Roman"/>
          <w:szCs w:val="24"/>
          <w:u w:val="single"/>
        </w:rPr>
        <w:t>Evaluation Timeline</w:t>
      </w:r>
    </w:p>
    <w:p w:rsidR="00AA7606" w:rsidRPr="009D17A3" w:rsidRDefault="00C71E78" w:rsidP="00915242">
      <w:pPr>
        <w:spacing w:before="120" w:after="120" w:line="360" w:lineRule="auto"/>
        <w:rPr>
          <w:b/>
        </w:rPr>
      </w:pPr>
      <w:r w:rsidRPr="009D17A3">
        <w:t xml:space="preserve">Table </w:t>
      </w:r>
      <w:r w:rsidR="00820056">
        <w:t>3</w:t>
      </w:r>
      <w:r w:rsidR="00FA43A9" w:rsidRPr="009D17A3">
        <w:t xml:space="preserve"> </w:t>
      </w:r>
      <w:r w:rsidRPr="009D17A3">
        <w:t xml:space="preserve">shows the schedule for the </w:t>
      </w:r>
      <w:r w:rsidR="0008711A" w:rsidRPr="009D17A3">
        <w:t xml:space="preserve">remaining </w:t>
      </w:r>
      <w:r w:rsidRPr="009D17A3">
        <w:t xml:space="preserve">cross-site evaluation </w:t>
      </w:r>
      <w:r w:rsidR="0008711A" w:rsidRPr="009D17A3">
        <w:t xml:space="preserve">activities </w:t>
      </w:r>
      <w:r w:rsidR="00193FBB" w:rsidRPr="009D17A3">
        <w:t>for Cohorts IV and V</w:t>
      </w:r>
      <w:r w:rsidRPr="009D17A3">
        <w:t xml:space="preserve">.  </w:t>
      </w:r>
      <w:r w:rsidR="00AA7606" w:rsidRPr="009D17A3">
        <w:rPr>
          <w:b/>
        </w:rPr>
        <w:br w:type="page"/>
      </w:r>
    </w:p>
    <w:p w:rsidR="00DE3FCC" w:rsidRPr="009D17A3" w:rsidRDefault="00DE3FCC" w:rsidP="00915242">
      <w:pPr>
        <w:spacing w:after="120" w:line="360" w:lineRule="auto"/>
        <w:rPr>
          <w:b/>
        </w:rPr>
      </w:pPr>
      <w:proofErr w:type="gramStart"/>
      <w:r w:rsidRPr="009D17A3">
        <w:rPr>
          <w:b/>
        </w:rPr>
        <w:lastRenderedPageBreak/>
        <w:t xml:space="preserve">Table </w:t>
      </w:r>
      <w:r w:rsidR="00820056">
        <w:rPr>
          <w:b/>
        </w:rPr>
        <w:t>3.</w:t>
      </w:r>
      <w:proofErr w:type="gramEnd"/>
      <w:r w:rsidRPr="009D17A3">
        <w:rPr>
          <w:b/>
        </w:rPr>
        <w:t xml:space="preserve">  SPF SIG Evaluation Time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DE3FCC" w:rsidRPr="009D17A3" w:rsidTr="000A1D1F">
        <w:trPr>
          <w:trHeight w:val="431"/>
          <w:tblHeader/>
        </w:trPr>
        <w:tc>
          <w:tcPr>
            <w:tcW w:w="9576" w:type="dxa"/>
            <w:gridSpan w:val="2"/>
            <w:shd w:val="clear" w:color="auto" w:fill="D9D9D9"/>
            <w:vAlign w:val="center"/>
          </w:tcPr>
          <w:p w:rsidR="00DE3FCC" w:rsidRPr="009D17A3" w:rsidRDefault="00DE3FCC" w:rsidP="00F24C35">
            <w:pPr>
              <w:jc w:val="center"/>
              <w:rPr>
                <w:b/>
              </w:rPr>
            </w:pPr>
            <w:r w:rsidRPr="009D17A3">
              <w:rPr>
                <w:b/>
              </w:rPr>
              <w:t>Data Collection, Analysis, and Reporting Timeline</w:t>
            </w:r>
          </w:p>
          <w:p w:rsidR="00D85775" w:rsidRPr="009D17A3" w:rsidRDefault="00D85775" w:rsidP="00F24C35">
            <w:pPr>
              <w:jc w:val="center"/>
              <w:rPr>
                <w:b/>
              </w:rPr>
            </w:pPr>
            <w:r w:rsidRPr="009D17A3">
              <w:rPr>
                <w:b/>
              </w:rPr>
              <w:t>Cohorts IV and V</w:t>
            </w:r>
          </w:p>
        </w:tc>
      </w:tr>
      <w:tr w:rsidR="00DE3FCC" w:rsidRPr="009D17A3" w:rsidTr="000A1D1F">
        <w:trPr>
          <w:trHeight w:val="431"/>
          <w:tblHeader/>
        </w:trPr>
        <w:tc>
          <w:tcPr>
            <w:tcW w:w="4788" w:type="dxa"/>
            <w:shd w:val="clear" w:color="auto" w:fill="D9D9D9"/>
            <w:vAlign w:val="center"/>
          </w:tcPr>
          <w:p w:rsidR="00DE3FCC" w:rsidRPr="009D17A3" w:rsidRDefault="00DE3FCC" w:rsidP="00F24C35">
            <w:pPr>
              <w:tabs>
                <w:tab w:val="center" w:pos="4414"/>
                <w:tab w:val="left" w:pos="4536"/>
                <w:tab w:val="left" w:pos="5040"/>
                <w:tab w:val="left" w:pos="5544"/>
                <w:tab w:val="left" w:pos="6048"/>
                <w:tab w:val="left" w:pos="6552"/>
                <w:tab w:val="left" w:pos="7056"/>
                <w:tab w:val="left" w:pos="7560"/>
                <w:tab w:val="left" w:pos="8064"/>
                <w:tab w:val="left" w:pos="8568"/>
              </w:tabs>
              <w:jc w:val="center"/>
              <w:rPr>
                <w:b/>
              </w:rPr>
            </w:pPr>
            <w:r w:rsidRPr="009D17A3">
              <w:rPr>
                <w:b/>
              </w:rPr>
              <w:t>Evaluation Activity</w:t>
            </w:r>
          </w:p>
        </w:tc>
        <w:tc>
          <w:tcPr>
            <w:tcW w:w="4788" w:type="dxa"/>
            <w:shd w:val="clear" w:color="auto" w:fill="D9D9D9"/>
            <w:vAlign w:val="center"/>
          </w:tcPr>
          <w:p w:rsidR="00DE3FCC" w:rsidRPr="009D17A3" w:rsidRDefault="00DE3FCC" w:rsidP="00F24C35">
            <w:pPr>
              <w:tabs>
                <w:tab w:val="center" w:pos="4414"/>
                <w:tab w:val="left" w:pos="4536"/>
                <w:tab w:val="left" w:pos="5040"/>
                <w:tab w:val="left" w:pos="5544"/>
                <w:tab w:val="left" w:pos="6048"/>
                <w:tab w:val="left" w:pos="6552"/>
                <w:tab w:val="left" w:pos="7056"/>
                <w:tab w:val="left" w:pos="7560"/>
                <w:tab w:val="left" w:pos="8064"/>
                <w:tab w:val="left" w:pos="8568"/>
              </w:tabs>
              <w:jc w:val="center"/>
              <w:rPr>
                <w:b/>
              </w:rPr>
            </w:pPr>
            <w:r w:rsidRPr="009D17A3">
              <w:rPr>
                <w:b/>
              </w:rPr>
              <w:t>Date</w:t>
            </w:r>
          </w:p>
        </w:tc>
      </w:tr>
      <w:tr w:rsidR="00DE3FCC" w:rsidRPr="009D17A3" w:rsidTr="000A1D1F">
        <w:trPr>
          <w:trHeight w:val="428"/>
        </w:trPr>
        <w:tc>
          <w:tcPr>
            <w:tcW w:w="4788" w:type="dxa"/>
          </w:tcPr>
          <w:p w:rsidR="00DE3FCC" w:rsidRPr="009D17A3" w:rsidRDefault="00DE3FCC" w:rsidP="00F24C35">
            <w:r w:rsidRPr="009D17A3">
              <w:t xml:space="preserve">GLI Infrastructure Data Collection </w:t>
            </w:r>
          </w:p>
        </w:tc>
        <w:tc>
          <w:tcPr>
            <w:tcW w:w="4788" w:type="dxa"/>
          </w:tcPr>
          <w:p w:rsidR="00DE3FCC" w:rsidRPr="009D17A3" w:rsidRDefault="0008711A" w:rsidP="0008711A">
            <w:r w:rsidRPr="009D17A3">
              <w:t>November</w:t>
            </w:r>
            <w:r w:rsidR="00DE3FCC" w:rsidRPr="009D17A3">
              <w:t xml:space="preserve">  2014</w:t>
            </w:r>
            <w:r w:rsidR="003570B0" w:rsidRPr="009D17A3">
              <w:t xml:space="preserve">- </w:t>
            </w:r>
            <w:r w:rsidR="004C1933" w:rsidRPr="009D17A3">
              <w:t>IV</w:t>
            </w:r>
            <w:r w:rsidR="003570B0" w:rsidRPr="009D17A3">
              <w:t xml:space="preserve"> </w:t>
            </w:r>
          </w:p>
          <w:p w:rsidR="004C1933" w:rsidRPr="009D17A3" w:rsidRDefault="004C1933" w:rsidP="0008711A">
            <w:r w:rsidRPr="009D17A3">
              <w:t>Nov</w:t>
            </w:r>
            <w:r w:rsidR="00D85775" w:rsidRPr="009D17A3">
              <w:t>ember</w:t>
            </w:r>
            <w:r w:rsidRPr="009D17A3">
              <w:t xml:space="preserve"> 2015</w:t>
            </w:r>
            <w:r w:rsidR="003570B0" w:rsidRPr="009D17A3">
              <w:t xml:space="preserve"> </w:t>
            </w:r>
            <w:r w:rsidR="00BC4FFB">
              <w:t>–</w:t>
            </w:r>
            <w:r w:rsidRPr="009D17A3">
              <w:t>V</w:t>
            </w:r>
          </w:p>
        </w:tc>
      </w:tr>
      <w:tr w:rsidR="00DE3FCC" w:rsidRPr="009D17A3" w:rsidTr="002738BD">
        <w:trPr>
          <w:trHeight w:val="548"/>
        </w:trPr>
        <w:tc>
          <w:tcPr>
            <w:tcW w:w="4788" w:type="dxa"/>
          </w:tcPr>
          <w:p w:rsidR="00DE3FCC" w:rsidRPr="009D17A3" w:rsidRDefault="00DE3FCC" w:rsidP="00F24C35">
            <w:r w:rsidRPr="009D17A3">
              <w:t xml:space="preserve">GLI SPF Implementation Data Collection </w:t>
            </w:r>
          </w:p>
        </w:tc>
        <w:tc>
          <w:tcPr>
            <w:tcW w:w="4788" w:type="dxa"/>
          </w:tcPr>
          <w:p w:rsidR="00DE3FCC" w:rsidRPr="009D17A3" w:rsidRDefault="0008711A" w:rsidP="0008711A">
            <w:r w:rsidRPr="009D17A3">
              <w:t>N</w:t>
            </w:r>
            <w:r w:rsidR="004C1933" w:rsidRPr="009D17A3">
              <w:t>o</w:t>
            </w:r>
            <w:r w:rsidRPr="009D17A3">
              <w:t>vember</w:t>
            </w:r>
            <w:r w:rsidR="00DE3FCC" w:rsidRPr="009D17A3">
              <w:t xml:space="preserve"> 2014 </w:t>
            </w:r>
            <w:r w:rsidR="00D85775" w:rsidRPr="009D17A3">
              <w:t>-</w:t>
            </w:r>
            <w:r w:rsidR="003570B0" w:rsidRPr="009D17A3">
              <w:t xml:space="preserve"> </w:t>
            </w:r>
            <w:r w:rsidR="00D85775" w:rsidRPr="009D17A3">
              <w:t>IV</w:t>
            </w:r>
          </w:p>
          <w:p w:rsidR="004C1933" w:rsidRPr="009D17A3" w:rsidRDefault="004C1933" w:rsidP="0008711A">
            <w:r w:rsidRPr="009D17A3">
              <w:t>Nov</w:t>
            </w:r>
            <w:r w:rsidR="00D85775" w:rsidRPr="009D17A3">
              <w:t>ember</w:t>
            </w:r>
            <w:r w:rsidRPr="009D17A3">
              <w:t xml:space="preserve"> 2015</w:t>
            </w:r>
            <w:r w:rsidR="003570B0" w:rsidRPr="009D17A3">
              <w:t xml:space="preserve"> </w:t>
            </w:r>
            <w:r w:rsidR="00BC4FFB">
              <w:t>–</w:t>
            </w:r>
            <w:r w:rsidRPr="009D17A3">
              <w:t xml:space="preserve"> V</w:t>
            </w:r>
          </w:p>
        </w:tc>
      </w:tr>
      <w:tr w:rsidR="00DE3FCC" w:rsidRPr="009D17A3" w:rsidTr="000A1D1F">
        <w:trPr>
          <w:trHeight w:val="727"/>
        </w:trPr>
        <w:tc>
          <w:tcPr>
            <w:tcW w:w="4788" w:type="dxa"/>
          </w:tcPr>
          <w:p w:rsidR="00DE3FCC" w:rsidRPr="009D17A3" w:rsidRDefault="00DE3FCC" w:rsidP="00F24C35">
            <w:r w:rsidRPr="009D17A3">
              <w:t>CLI (Part 1)</w:t>
            </w:r>
            <w:r w:rsidR="00D85775" w:rsidRPr="009D17A3">
              <w:t xml:space="preserve"> </w:t>
            </w:r>
            <w:r w:rsidRPr="009D17A3">
              <w:t>Data Collection</w:t>
            </w:r>
            <w:r w:rsidR="00466350">
              <w:t>*</w:t>
            </w:r>
            <w:r w:rsidRPr="009D17A3">
              <w:t xml:space="preserve"> </w:t>
            </w:r>
          </w:p>
        </w:tc>
        <w:tc>
          <w:tcPr>
            <w:tcW w:w="4788" w:type="dxa"/>
          </w:tcPr>
          <w:p w:rsidR="0008711A" w:rsidRPr="009D17A3" w:rsidRDefault="0008711A" w:rsidP="00F24C35">
            <w:r w:rsidRPr="009D17A3">
              <w:t>May 2013</w:t>
            </w:r>
            <w:r w:rsidR="00D85775" w:rsidRPr="009D17A3">
              <w:t xml:space="preserve"> –</w:t>
            </w:r>
            <w:r w:rsidR="003570B0" w:rsidRPr="009D17A3">
              <w:t xml:space="preserve"> </w:t>
            </w:r>
            <w:r w:rsidR="00D85775" w:rsidRPr="009D17A3">
              <w:t>IV &amp; V</w:t>
            </w:r>
            <w:r w:rsidR="00466350">
              <w:t xml:space="preserve"> or </w:t>
            </w:r>
            <w:r w:rsidR="00DE3FCC" w:rsidRPr="009D17A3">
              <w:t xml:space="preserve">November 2013 </w:t>
            </w:r>
            <w:r w:rsidR="00D85775" w:rsidRPr="009D17A3">
              <w:t>–</w:t>
            </w:r>
            <w:r w:rsidR="003570B0" w:rsidRPr="009D17A3">
              <w:t xml:space="preserve"> </w:t>
            </w:r>
            <w:r w:rsidR="00D85775" w:rsidRPr="009D17A3">
              <w:t>IV &amp; V</w:t>
            </w:r>
          </w:p>
          <w:p w:rsidR="0008711A" w:rsidRPr="009D17A3" w:rsidRDefault="0008711A" w:rsidP="00F24C35">
            <w:r w:rsidRPr="009D17A3">
              <w:t>May 2014</w:t>
            </w:r>
            <w:r w:rsidR="00D85775" w:rsidRPr="009D17A3">
              <w:t xml:space="preserve"> –</w:t>
            </w:r>
            <w:r w:rsidR="003570B0" w:rsidRPr="009D17A3">
              <w:t xml:space="preserve"> </w:t>
            </w:r>
            <w:r w:rsidR="00D85775" w:rsidRPr="009D17A3">
              <w:t>IV &amp; V</w:t>
            </w:r>
            <w:r w:rsidR="00466350">
              <w:t xml:space="preserve"> or</w:t>
            </w:r>
          </w:p>
          <w:p w:rsidR="00DE3FCC" w:rsidRPr="009D17A3" w:rsidRDefault="0008711A" w:rsidP="00B119A1">
            <w:r w:rsidRPr="009D17A3">
              <w:t>November 2014</w:t>
            </w:r>
            <w:r w:rsidR="00D85775" w:rsidRPr="009D17A3">
              <w:t xml:space="preserve"> –</w:t>
            </w:r>
            <w:r w:rsidR="003570B0" w:rsidRPr="009D17A3">
              <w:t xml:space="preserve"> </w:t>
            </w:r>
            <w:r w:rsidR="00D85775" w:rsidRPr="009D17A3">
              <w:t>IV &amp; V</w:t>
            </w:r>
          </w:p>
          <w:p w:rsidR="004C1933" w:rsidRPr="009D17A3" w:rsidRDefault="004C1933" w:rsidP="00B119A1">
            <w:r w:rsidRPr="009D17A3">
              <w:t>May 2015</w:t>
            </w:r>
            <w:r w:rsidR="00D85775" w:rsidRPr="009D17A3">
              <w:t xml:space="preserve"> –</w:t>
            </w:r>
            <w:r w:rsidR="003570B0" w:rsidRPr="009D17A3">
              <w:t xml:space="preserve"> </w:t>
            </w:r>
            <w:r w:rsidR="00D85775" w:rsidRPr="009D17A3">
              <w:t>V</w:t>
            </w:r>
            <w:r w:rsidR="00466350">
              <w:t xml:space="preserve"> or</w:t>
            </w:r>
          </w:p>
          <w:p w:rsidR="004C1933" w:rsidRPr="009D17A3" w:rsidRDefault="004C1933" w:rsidP="00B119A1">
            <w:r w:rsidRPr="009D17A3">
              <w:t>Nov</w:t>
            </w:r>
            <w:r w:rsidR="00D85775" w:rsidRPr="009D17A3">
              <w:t>ember</w:t>
            </w:r>
            <w:r w:rsidRPr="009D17A3">
              <w:t xml:space="preserve"> 2015</w:t>
            </w:r>
            <w:r w:rsidR="00D85775" w:rsidRPr="009D17A3">
              <w:t xml:space="preserve"> –</w:t>
            </w:r>
            <w:r w:rsidR="003570B0" w:rsidRPr="009D17A3">
              <w:t xml:space="preserve"> </w:t>
            </w:r>
            <w:r w:rsidR="00D85775" w:rsidRPr="009D17A3">
              <w:t>V</w:t>
            </w:r>
          </w:p>
        </w:tc>
      </w:tr>
      <w:tr w:rsidR="00DE3FCC" w:rsidRPr="009D17A3" w:rsidTr="000A1D1F">
        <w:trPr>
          <w:trHeight w:val="727"/>
        </w:trPr>
        <w:tc>
          <w:tcPr>
            <w:tcW w:w="4788" w:type="dxa"/>
          </w:tcPr>
          <w:p w:rsidR="00DE3FCC" w:rsidRPr="009D17A3" w:rsidRDefault="00DE3FCC" w:rsidP="00F24C35">
            <w:r w:rsidRPr="009D17A3">
              <w:t>CLI (Part 2)</w:t>
            </w:r>
            <w:r w:rsidR="003570B0" w:rsidRPr="009D17A3">
              <w:t xml:space="preserve"> </w:t>
            </w:r>
            <w:r w:rsidRPr="009D17A3">
              <w:t xml:space="preserve">Data Collection </w:t>
            </w:r>
          </w:p>
        </w:tc>
        <w:tc>
          <w:tcPr>
            <w:tcW w:w="4788" w:type="dxa"/>
          </w:tcPr>
          <w:p w:rsidR="00D85775" w:rsidRPr="009D17A3" w:rsidRDefault="00D85775" w:rsidP="00D85775">
            <w:r w:rsidRPr="009D17A3">
              <w:t>May 2013 –</w:t>
            </w:r>
            <w:r w:rsidR="003570B0" w:rsidRPr="009D17A3">
              <w:t xml:space="preserve"> </w:t>
            </w:r>
            <w:r w:rsidRPr="009D17A3">
              <w:t>IV &amp; V</w:t>
            </w:r>
          </w:p>
          <w:p w:rsidR="00D85775" w:rsidRPr="009D17A3" w:rsidRDefault="00D85775" w:rsidP="00D85775">
            <w:r w:rsidRPr="009D17A3">
              <w:t>November 2013 –</w:t>
            </w:r>
            <w:r w:rsidR="003570B0" w:rsidRPr="009D17A3">
              <w:t xml:space="preserve"> </w:t>
            </w:r>
            <w:r w:rsidRPr="009D17A3">
              <w:t>IV &amp; V</w:t>
            </w:r>
          </w:p>
          <w:p w:rsidR="00D85775" w:rsidRPr="009D17A3" w:rsidRDefault="00D85775" w:rsidP="00D85775">
            <w:r w:rsidRPr="009D17A3">
              <w:t>May 2014 –</w:t>
            </w:r>
            <w:r w:rsidR="003570B0" w:rsidRPr="009D17A3">
              <w:t xml:space="preserve"> </w:t>
            </w:r>
            <w:r w:rsidRPr="009D17A3">
              <w:t>IV &amp; V</w:t>
            </w:r>
          </w:p>
          <w:p w:rsidR="00D85775" w:rsidRPr="009D17A3" w:rsidRDefault="00D85775" w:rsidP="00D85775">
            <w:r w:rsidRPr="009D17A3">
              <w:t>November 2014 –</w:t>
            </w:r>
            <w:r w:rsidR="003570B0" w:rsidRPr="009D17A3">
              <w:t xml:space="preserve"> </w:t>
            </w:r>
            <w:r w:rsidRPr="009D17A3">
              <w:t>IV &amp; V</w:t>
            </w:r>
          </w:p>
          <w:p w:rsidR="00D85775" w:rsidRPr="009D17A3" w:rsidRDefault="00D85775" w:rsidP="00D85775">
            <w:r w:rsidRPr="009D17A3">
              <w:t>May 2015 –</w:t>
            </w:r>
            <w:r w:rsidR="003570B0" w:rsidRPr="009D17A3">
              <w:t xml:space="preserve"> </w:t>
            </w:r>
            <w:r w:rsidRPr="009D17A3">
              <w:t>V</w:t>
            </w:r>
          </w:p>
          <w:p w:rsidR="00DE3FCC" w:rsidRPr="009D17A3" w:rsidRDefault="00D85775" w:rsidP="0008711A">
            <w:r w:rsidRPr="009D17A3">
              <w:t>November 2015 –</w:t>
            </w:r>
            <w:r w:rsidR="003570B0" w:rsidRPr="009D17A3">
              <w:t xml:space="preserve"> </w:t>
            </w:r>
            <w:r w:rsidRPr="009D17A3">
              <w:t>V</w:t>
            </w:r>
          </w:p>
        </w:tc>
      </w:tr>
      <w:tr w:rsidR="00DE3FCC" w:rsidRPr="009D17A3" w:rsidTr="000A1D1F">
        <w:trPr>
          <w:trHeight w:val="185"/>
        </w:trPr>
        <w:tc>
          <w:tcPr>
            <w:tcW w:w="4788" w:type="dxa"/>
          </w:tcPr>
          <w:p w:rsidR="00DE3FCC" w:rsidRPr="009D17A3" w:rsidRDefault="00DE3FCC" w:rsidP="00F24C35">
            <w:r w:rsidRPr="009D17A3">
              <w:t>Annual Evaluation Reports</w:t>
            </w:r>
          </w:p>
        </w:tc>
        <w:tc>
          <w:tcPr>
            <w:tcW w:w="4788" w:type="dxa"/>
          </w:tcPr>
          <w:p w:rsidR="00DE3FCC" w:rsidRPr="009D17A3" w:rsidRDefault="0008711A" w:rsidP="00F24C35">
            <w:r w:rsidRPr="009D17A3">
              <w:t>August</w:t>
            </w:r>
            <w:r w:rsidR="00DE3FCC" w:rsidRPr="009D17A3">
              <w:t xml:space="preserve"> 2013</w:t>
            </w:r>
            <w:r w:rsidR="00D85775" w:rsidRPr="009D17A3">
              <w:t xml:space="preserve"> –</w:t>
            </w:r>
            <w:r w:rsidR="003570B0" w:rsidRPr="009D17A3">
              <w:t xml:space="preserve"> </w:t>
            </w:r>
            <w:r w:rsidR="00D85775" w:rsidRPr="009D17A3">
              <w:t>IV &amp; V</w:t>
            </w:r>
          </w:p>
          <w:p w:rsidR="00DE3FCC" w:rsidRPr="009D17A3" w:rsidRDefault="0008711A" w:rsidP="0008711A">
            <w:r w:rsidRPr="009D17A3">
              <w:t>August</w:t>
            </w:r>
            <w:r w:rsidR="00DE3FCC" w:rsidRPr="009D17A3">
              <w:t xml:space="preserve"> 2014</w:t>
            </w:r>
            <w:r w:rsidR="00D85775" w:rsidRPr="009D17A3">
              <w:t xml:space="preserve"> -</w:t>
            </w:r>
            <w:r w:rsidR="003570B0" w:rsidRPr="009D17A3">
              <w:t xml:space="preserve"> </w:t>
            </w:r>
            <w:r w:rsidR="00D85775" w:rsidRPr="009D17A3">
              <w:t>IV &amp; V</w:t>
            </w:r>
          </w:p>
          <w:p w:rsidR="0008711A" w:rsidRPr="009D17A3" w:rsidRDefault="0008711A" w:rsidP="0008711A">
            <w:r w:rsidRPr="009D17A3">
              <w:t>August 2015</w:t>
            </w:r>
            <w:r w:rsidR="00D85775" w:rsidRPr="009D17A3">
              <w:t xml:space="preserve"> –</w:t>
            </w:r>
            <w:r w:rsidR="003570B0" w:rsidRPr="009D17A3">
              <w:t xml:space="preserve"> </w:t>
            </w:r>
            <w:r w:rsidR="00D85775" w:rsidRPr="009D17A3">
              <w:t>IV &amp; V</w:t>
            </w:r>
          </w:p>
          <w:p w:rsidR="00D85775" w:rsidRPr="009D17A3" w:rsidRDefault="00D85775" w:rsidP="0008711A">
            <w:r w:rsidRPr="009D17A3">
              <w:t xml:space="preserve">August 2016 </w:t>
            </w:r>
            <w:r w:rsidR="00BC4FFB">
              <w:t>–</w:t>
            </w:r>
            <w:r w:rsidR="003570B0" w:rsidRPr="009D17A3">
              <w:t xml:space="preserve"> </w:t>
            </w:r>
            <w:r w:rsidRPr="009D17A3">
              <w:t>V</w:t>
            </w:r>
          </w:p>
        </w:tc>
      </w:tr>
    </w:tbl>
    <w:p w:rsidR="00DE3FCC" w:rsidRPr="009D17A3" w:rsidRDefault="00466350" w:rsidP="00F24C35">
      <w:r>
        <w:t xml:space="preserve">* </w:t>
      </w:r>
      <w:r w:rsidRPr="00E92054">
        <w:rPr>
          <w:rFonts w:eastAsia="MS Mincho"/>
        </w:rPr>
        <w:t xml:space="preserve">Grantees submit CLI (Part I) data in either May </w:t>
      </w:r>
      <w:r w:rsidR="00E92054">
        <w:rPr>
          <w:rFonts w:eastAsia="MS Mincho"/>
        </w:rPr>
        <w:t xml:space="preserve">or November </w:t>
      </w:r>
      <w:r w:rsidRPr="00E92054">
        <w:rPr>
          <w:rFonts w:eastAsia="MS Mincho"/>
        </w:rPr>
        <w:t>within a single fiscal year, not in both reporting periods.</w:t>
      </w:r>
    </w:p>
    <w:p w:rsidR="005A35A6" w:rsidRPr="009D17A3" w:rsidRDefault="003E29F7" w:rsidP="00F24C35">
      <w:pPr>
        <w:pStyle w:val="Heading2"/>
        <w:spacing w:before="120" w:line="360" w:lineRule="auto"/>
        <w:rPr>
          <w:rFonts w:ascii="Times New Roman" w:eastAsia="MS Mincho" w:hAnsi="Times New Roman"/>
          <w:b w:val="0"/>
          <w:sz w:val="24"/>
          <w:szCs w:val="24"/>
          <w:u w:val="single"/>
        </w:rPr>
      </w:pPr>
      <w:r w:rsidRPr="009D17A3">
        <w:rPr>
          <w:rFonts w:ascii="Times New Roman" w:eastAsia="MS Mincho" w:hAnsi="Times New Roman"/>
          <w:b w:val="0"/>
          <w:sz w:val="24"/>
          <w:szCs w:val="24"/>
          <w:u w:val="single"/>
        </w:rPr>
        <w:t>Public Use Data and Publication Plans</w:t>
      </w:r>
    </w:p>
    <w:p w:rsidR="005A35A6" w:rsidRPr="009D17A3" w:rsidRDefault="003E29F7" w:rsidP="00F24C35">
      <w:pPr>
        <w:pStyle w:val="P1-StandPara"/>
        <w:spacing w:before="120" w:after="120" w:line="360" w:lineRule="auto"/>
        <w:rPr>
          <w:rFonts w:ascii="Times New Roman" w:eastAsia="MS Mincho" w:hAnsi="Times New Roman"/>
        </w:rPr>
      </w:pPr>
      <w:r w:rsidRPr="009D17A3">
        <w:rPr>
          <w:rFonts w:ascii="Times New Roman" w:eastAsia="MS Mincho" w:hAnsi="Times New Roman"/>
        </w:rPr>
        <w:t xml:space="preserve">The </w:t>
      </w:r>
      <w:r w:rsidR="00C137F1" w:rsidRPr="009D17A3">
        <w:rPr>
          <w:rFonts w:ascii="Times New Roman" w:eastAsia="MS Mincho" w:hAnsi="Times New Roman"/>
        </w:rPr>
        <w:t>c</w:t>
      </w:r>
      <w:r w:rsidRPr="009D17A3">
        <w:rPr>
          <w:rFonts w:ascii="Times New Roman" w:eastAsia="MS Mincho" w:hAnsi="Times New Roman"/>
        </w:rPr>
        <w:t xml:space="preserve">ross-site team will provide CSAP with the reports necessary to determine, in consultation with the relevant </w:t>
      </w:r>
      <w:r w:rsidR="00C137F1" w:rsidRPr="009D17A3">
        <w:rPr>
          <w:rFonts w:ascii="Times New Roman" w:eastAsia="MS Mincho" w:hAnsi="Times New Roman"/>
        </w:rPr>
        <w:t>federal</w:t>
      </w:r>
      <w:r w:rsidRPr="009D17A3">
        <w:rPr>
          <w:rFonts w:ascii="Times New Roman" w:eastAsia="MS Mincho" w:hAnsi="Times New Roman"/>
        </w:rPr>
        <w:t xml:space="preserve"> staff, if the overall quality and quantity of the evaluation data are adequate for public release. Once it is determined that the data will be released, the cross-site team will perform a disclosure analysis of the data to detect both direct and indirect identifiers within the data, as well as the most likely sources for a possible breach of </w:t>
      </w:r>
      <w:r w:rsidR="00195AB9" w:rsidRPr="009D17A3">
        <w:rPr>
          <w:rFonts w:ascii="Times New Roman" w:eastAsia="MS Mincho" w:hAnsi="Times New Roman"/>
        </w:rPr>
        <w:t>privacy</w:t>
      </w:r>
      <w:r w:rsidRPr="009D17A3">
        <w:rPr>
          <w:rFonts w:ascii="Times New Roman" w:eastAsia="MS Mincho" w:hAnsi="Times New Roman"/>
        </w:rPr>
        <w:t>. Based on the standards published by the Standing Review Committee for Disclosure Analysis at the Inter-University Consortium for Political and Social Research (ICPSR)</w:t>
      </w:r>
      <w:r w:rsidR="0001077D" w:rsidRPr="009D17A3">
        <w:rPr>
          <w:rFonts w:ascii="Times New Roman" w:eastAsia="MS Mincho" w:hAnsi="Times New Roman"/>
        </w:rPr>
        <w:t>,</w:t>
      </w:r>
      <w:r w:rsidRPr="009D17A3">
        <w:rPr>
          <w:rFonts w:ascii="Times New Roman" w:eastAsia="MS Mincho" w:hAnsi="Times New Roman"/>
        </w:rPr>
        <w:t xml:space="preserve"> the cross-site team will recommend a plan for each detected identifier. Once the disclosure plan is approved by CSAP, the cross-site team will produce a public use data file in compliance with ICPSR recommendations for public use data.  Data will also be made available to the prevention community through the </w:t>
      </w:r>
      <w:r w:rsidR="00F60A4D" w:rsidRPr="009D17A3">
        <w:rPr>
          <w:rFonts w:ascii="Times New Roman" w:eastAsia="MS Mincho" w:hAnsi="Times New Roman"/>
        </w:rPr>
        <w:t>DITIC</w:t>
      </w:r>
      <w:r w:rsidRPr="009D17A3">
        <w:rPr>
          <w:rFonts w:ascii="Times New Roman" w:eastAsia="MS Mincho" w:hAnsi="Times New Roman"/>
        </w:rPr>
        <w:t>.</w:t>
      </w:r>
    </w:p>
    <w:p w:rsidR="005A35A6" w:rsidRPr="009D17A3" w:rsidRDefault="00BC727C" w:rsidP="009D17A3">
      <w:pPr>
        <w:pStyle w:val="Heading2"/>
        <w:spacing w:line="360" w:lineRule="auto"/>
        <w:rPr>
          <w:rFonts w:ascii="Times New Roman" w:hAnsi="Times New Roman"/>
          <w:sz w:val="24"/>
          <w:szCs w:val="24"/>
        </w:rPr>
      </w:pPr>
      <w:r w:rsidRPr="009D17A3">
        <w:rPr>
          <w:rFonts w:ascii="Times New Roman" w:hAnsi="Times New Roman"/>
          <w:sz w:val="24"/>
          <w:szCs w:val="24"/>
        </w:rPr>
        <w:lastRenderedPageBreak/>
        <w:t>A17.  Display of Expiration Date</w:t>
      </w:r>
    </w:p>
    <w:p w:rsidR="00BC727C" w:rsidRPr="009D17A3" w:rsidRDefault="00BC727C" w:rsidP="00F24C35">
      <w:pPr>
        <w:pStyle w:val="Body"/>
        <w:rPr>
          <w:rFonts w:ascii="Times New Roman" w:hAnsi="Times New Roman"/>
          <w:szCs w:val="24"/>
        </w:rPr>
      </w:pPr>
      <w:r w:rsidRPr="009D17A3">
        <w:rPr>
          <w:rFonts w:ascii="Times New Roman" w:hAnsi="Times New Roman"/>
          <w:szCs w:val="24"/>
        </w:rPr>
        <w:t>The expiration date for OMB approval will be displayed</w:t>
      </w:r>
      <w:r w:rsidR="00D6777A" w:rsidRPr="009D17A3">
        <w:rPr>
          <w:rFonts w:ascii="Times New Roman" w:hAnsi="Times New Roman"/>
          <w:szCs w:val="24"/>
        </w:rPr>
        <w:t xml:space="preserve"> on all approved instruments</w:t>
      </w:r>
      <w:r w:rsidRPr="009D17A3">
        <w:rPr>
          <w:rFonts w:ascii="Times New Roman" w:hAnsi="Times New Roman"/>
          <w:szCs w:val="24"/>
        </w:rPr>
        <w:t>.</w:t>
      </w:r>
    </w:p>
    <w:p w:rsidR="005A35A6" w:rsidRPr="009D17A3" w:rsidRDefault="00BC727C" w:rsidP="009D17A3">
      <w:pPr>
        <w:pStyle w:val="Heading2"/>
        <w:spacing w:line="360" w:lineRule="auto"/>
        <w:rPr>
          <w:rFonts w:ascii="Times New Roman" w:hAnsi="Times New Roman"/>
          <w:sz w:val="24"/>
          <w:szCs w:val="24"/>
        </w:rPr>
      </w:pPr>
      <w:r w:rsidRPr="009D17A3">
        <w:rPr>
          <w:rFonts w:ascii="Times New Roman" w:hAnsi="Times New Roman"/>
          <w:sz w:val="24"/>
          <w:szCs w:val="24"/>
        </w:rPr>
        <w:t>A18.  Exceptions to Certification Statement</w:t>
      </w:r>
    </w:p>
    <w:p w:rsidR="00BC727C" w:rsidRPr="009D17A3" w:rsidRDefault="00BC727C" w:rsidP="00F24C35">
      <w:pPr>
        <w:pStyle w:val="Body"/>
        <w:rPr>
          <w:rFonts w:ascii="Times New Roman" w:hAnsi="Times New Roman"/>
          <w:szCs w:val="24"/>
        </w:rPr>
      </w:pPr>
      <w:r w:rsidRPr="009D17A3">
        <w:rPr>
          <w:rFonts w:ascii="Times New Roman" w:hAnsi="Times New Roman"/>
          <w:szCs w:val="24"/>
        </w:rPr>
        <w:t xml:space="preserve">This collection of information involves no exceptions to the Certification for Paperwork Reduction Act Submissions.  </w:t>
      </w:r>
    </w:p>
    <w:p w:rsidR="00392DBB" w:rsidRPr="009D17A3" w:rsidRDefault="00392DBB" w:rsidP="00F24C35">
      <w:pPr>
        <w:pStyle w:val="Body"/>
        <w:rPr>
          <w:rFonts w:ascii="Times New Roman" w:hAnsi="Times New Roman"/>
          <w:szCs w:val="24"/>
        </w:rPr>
      </w:pPr>
    </w:p>
    <w:p w:rsidR="00392DBB" w:rsidRPr="009D17A3" w:rsidRDefault="00392DBB" w:rsidP="00F24C35">
      <w:pPr>
        <w:pStyle w:val="Body"/>
        <w:rPr>
          <w:rFonts w:ascii="Times New Roman" w:hAnsi="Times New Roman"/>
          <w:szCs w:val="24"/>
        </w:rPr>
        <w:sectPr w:rsidR="00392DBB" w:rsidRPr="009D17A3" w:rsidSect="00A96494">
          <w:footnotePr>
            <w:numRestart w:val="eachSect"/>
          </w:footnotePr>
          <w:pgSz w:w="12240" w:h="15840"/>
          <w:pgMar w:top="1296" w:right="1440" w:bottom="1440" w:left="1440" w:header="547" w:footer="720" w:gutter="0"/>
          <w:cols w:space="720"/>
          <w:docGrid w:linePitch="326"/>
        </w:sectPr>
      </w:pPr>
    </w:p>
    <w:p w:rsidR="00392DBB" w:rsidRPr="009D17A3" w:rsidRDefault="00392DBB" w:rsidP="00F24C35">
      <w:pPr>
        <w:pStyle w:val="Body"/>
        <w:rPr>
          <w:rFonts w:ascii="Times New Roman" w:hAnsi="Times New Roman"/>
          <w:b/>
          <w:szCs w:val="24"/>
        </w:rPr>
      </w:pPr>
      <w:r w:rsidRPr="009D17A3">
        <w:rPr>
          <w:rFonts w:ascii="Times New Roman" w:hAnsi="Times New Roman"/>
          <w:b/>
          <w:szCs w:val="24"/>
        </w:rPr>
        <w:lastRenderedPageBreak/>
        <w:t>Attachments</w:t>
      </w:r>
      <w:r w:rsidR="0029513A" w:rsidRPr="009D17A3">
        <w:rPr>
          <w:rFonts w:ascii="Times New Roman" w:hAnsi="Times New Roman"/>
          <w:b/>
          <w:szCs w:val="24"/>
        </w:rPr>
        <w:t>:</w:t>
      </w:r>
    </w:p>
    <w:p w:rsidR="00392DBB" w:rsidRPr="009D17A3" w:rsidRDefault="00392DBB" w:rsidP="00F24C35">
      <w:pPr>
        <w:pStyle w:val="Body"/>
        <w:rPr>
          <w:rFonts w:ascii="Times New Roman" w:hAnsi="Times New Roman"/>
          <w:szCs w:val="24"/>
        </w:rPr>
      </w:pPr>
      <w:r w:rsidRPr="009D17A3">
        <w:rPr>
          <w:rFonts w:ascii="Times New Roman" w:hAnsi="Times New Roman"/>
          <w:szCs w:val="24"/>
        </w:rPr>
        <w:t xml:space="preserve">A1a: SPF SIG IV and V GLI Implementation </w:t>
      </w:r>
    </w:p>
    <w:p w:rsidR="00392DBB" w:rsidRPr="009D17A3" w:rsidRDefault="00392DBB" w:rsidP="00F24C35">
      <w:pPr>
        <w:pStyle w:val="Body"/>
        <w:rPr>
          <w:rFonts w:ascii="Times New Roman" w:hAnsi="Times New Roman"/>
          <w:szCs w:val="24"/>
        </w:rPr>
      </w:pPr>
      <w:r w:rsidRPr="009D17A3">
        <w:rPr>
          <w:rFonts w:ascii="Times New Roman" w:hAnsi="Times New Roman"/>
          <w:szCs w:val="24"/>
        </w:rPr>
        <w:t>A1b: SPF SIG IV and V GLI Infrastructure</w:t>
      </w:r>
    </w:p>
    <w:p w:rsidR="00392DBB" w:rsidRPr="009D17A3" w:rsidRDefault="00392DBB" w:rsidP="00F24C35">
      <w:pPr>
        <w:pStyle w:val="Body"/>
        <w:rPr>
          <w:rFonts w:ascii="Times New Roman" w:hAnsi="Times New Roman"/>
          <w:szCs w:val="24"/>
        </w:rPr>
      </w:pPr>
      <w:proofErr w:type="gramStart"/>
      <w:r w:rsidRPr="009D17A3">
        <w:rPr>
          <w:rFonts w:ascii="Times New Roman" w:hAnsi="Times New Roman"/>
          <w:szCs w:val="24"/>
        </w:rPr>
        <w:t>A1c</w:t>
      </w:r>
      <w:proofErr w:type="gramEnd"/>
      <w:r w:rsidRPr="009D17A3">
        <w:rPr>
          <w:rFonts w:ascii="Times New Roman" w:hAnsi="Times New Roman"/>
          <w:szCs w:val="24"/>
        </w:rPr>
        <w:t>: SPF SIG IV and V CLI Part I</w:t>
      </w:r>
    </w:p>
    <w:p w:rsidR="00392DBB" w:rsidRPr="009D17A3" w:rsidRDefault="00392DBB" w:rsidP="00F24C35">
      <w:pPr>
        <w:pStyle w:val="Body"/>
        <w:rPr>
          <w:rFonts w:ascii="Times New Roman" w:hAnsi="Times New Roman"/>
          <w:szCs w:val="24"/>
        </w:rPr>
      </w:pPr>
      <w:r w:rsidRPr="009D17A3">
        <w:rPr>
          <w:rFonts w:ascii="Times New Roman" w:hAnsi="Times New Roman"/>
          <w:szCs w:val="24"/>
        </w:rPr>
        <w:t>A1d: SPF SIG IV and V CLI Part II</w:t>
      </w:r>
    </w:p>
    <w:sectPr w:rsidR="00392DBB" w:rsidRPr="009D17A3" w:rsidSect="00A96494">
      <w:footnotePr>
        <w:numRestart w:val="eachSect"/>
      </w:footnotePr>
      <w:pgSz w:w="12240" w:h="15840"/>
      <w:pgMar w:top="1296" w:right="1440" w:bottom="1440" w:left="1440" w:header="54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54" w:rsidRDefault="00CB0554">
      <w:r>
        <w:separator/>
      </w:r>
    </w:p>
  </w:endnote>
  <w:endnote w:type="continuationSeparator" w:id="0">
    <w:p w:rsidR="00CB0554" w:rsidRDefault="00CB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236745"/>
      <w:docPartObj>
        <w:docPartGallery w:val="Page Numbers (Bottom of Page)"/>
        <w:docPartUnique/>
      </w:docPartObj>
    </w:sdtPr>
    <w:sdtEndPr>
      <w:rPr>
        <w:noProof/>
      </w:rPr>
    </w:sdtEndPr>
    <w:sdtContent>
      <w:p w:rsidR="003A1FAC" w:rsidRDefault="003A1FAC" w:rsidP="00BD785F">
        <w:pPr>
          <w:pStyle w:val="Footer"/>
          <w:jc w:val="center"/>
        </w:pPr>
        <w:r>
          <w:tab/>
        </w:r>
        <w:r w:rsidR="00E012FF">
          <w:fldChar w:fldCharType="begin"/>
        </w:r>
        <w:r>
          <w:instrText xml:space="preserve"> PAGE   \* MERGEFORMAT </w:instrText>
        </w:r>
        <w:r w:rsidR="00E012FF">
          <w:fldChar w:fldCharType="separate"/>
        </w:r>
        <w:r w:rsidR="004253F8">
          <w:rPr>
            <w:noProof/>
          </w:rPr>
          <w:t>11</w:t>
        </w:r>
        <w:r w:rsidR="00E012FF">
          <w:rPr>
            <w:noProof/>
          </w:rPr>
          <w:fldChar w:fldCharType="end"/>
        </w:r>
        <w:r>
          <w:rPr>
            <w:noProof/>
          </w:rPr>
          <w:tab/>
        </w:r>
        <w:r w:rsidR="00E012FF">
          <w:rPr>
            <w:noProof/>
          </w:rPr>
          <w:fldChar w:fldCharType="begin"/>
        </w:r>
        <w:r>
          <w:rPr>
            <w:noProof/>
          </w:rPr>
          <w:instrText xml:space="preserve"> DATE  \@ "d MMMM yyyy"  \* MERGEFORMAT </w:instrText>
        </w:r>
        <w:r w:rsidR="00E012FF">
          <w:rPr>
            <w:noProof/>
          </w:rPr>
          <w:fldChar w:fldCharType="separate"/>
        </w:r>
        <w:r w:rsidR="00415885">
          <w:rPr>
            <w:noProof/>
          </w:rPr>
          <w:t>6 February 2014</w:t>
        </w:r>
        <w:r w:rsidR="00E012F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54" w:rsidRDefault="00CB0554">
      <w:r>
        <w:separator/>
      </w:r>
    </w:p>
  </w:footnote>
  <w:footnote w:type="continuationSeparator" w:id="0">
    <w:p w:rsidR="00CB0554" w:rsidRDefault="00CB0554">
      <w:r>
        <w:continuationSeparator/>
      </w:r>
    </w:p>
  </w:footnote>
  <w:footnote w:id="1">
    <w:p w:rsidR="003A1FAC" w:rsidRPr="00E23CAB" w:rsidRDefault="003A1FAC" w:rsidP="00A11BE1">
      <w:pPr>
        <w:pStyle w:val="hcp1"/>
        <w:keepNext/>
        <w:spacing w:before="0" w:beforeAutospacing="0" w:after="0" w:line="288" w:lineRule="auto"/>
        <w:ind w:left="720" w:hanging="720"/>
      </w:pPr>
      <w:r>
        <w:rPr>
          <w:rStyle w:val="FootnoteReference"/>
        </w:rPr>
        <w:footnoteRef/>
      </w:r>
      <w:r>
        <w:t xml:space="preserve"> </w:t>
      </w:r>
      <w:bookmarkStart w:id="4" w:name="Raudenbush_and_Bryk__2002_text"/>
      <w:proofErr w:type="spellStart"/>
      <w:proofErr w:type="gramStart"/>
      <w:r w:rsidRPr="00E23CAB">
        <w:t>Raudenbush</w:t>
      </w:r>
      <w:proofErr w:type="spellEnd"/>
      <w:r w:rsidRPr="00E23CAB">
        <w:t xml:space="preserve">, S. W., &amp; </w:t>
      </w:r>
      <w:proofErr w:type="spellStart"/>
      <w:r w:rsidRPr="00E23CAB">
        <w:t>Bryk</w:t>
      </w:r>
      <w:proofErr w:type="spellEnd"/>
      <w:r w:rsidRPr="00E23CAB">
        <w:t>, A. S. (2002).</w:t>
      </w:r>
      <w:proofErr w:type="gramEnd"/>
      <w:r w:rsidRPr="00E23CAB">
        <w:t xml:space="preserve"> </w:t>
      </w:r>
      <w:r w:rsidRPr="00E23CAB">
        <w:rPr>
          <w:i/>
          <w:iCs/>
        </w:rPr>
        <w:t>Hierarchical linear models: Applications and data analysis methods, Second Edition.</w:t>
      </w:r>
      <w:r w:rsidRPr="00E23CAB">
        <w:t xml:space="preserve"> Newbury Park, CA: Sage.</w:t>
      </w:r>
      <w:bookmarkEnd w:id="4"/>
    </w:p>
    <w:p w:rsidR="003A1FAC" w:rsidRPr="00E23CAB" w:rsidRDefault="003A1FAC" w:rsidP="00A11BE1">
      <w:pPr>
        <w:pStyle w:val="hcp1"/>
        <w:keepNext/>
        <w:spacing w:before="0" w:beforeAutospacing="0" w:after="0" w:line="288" w:lineRule="auto"/>
        <w:ind w:left="720" w:hanging="720"/>
      </w:pPr>
    </w:p>
    <w:p w:rsidR="003A1FAC" w:rsidRDefault="003A1FAC" w:rsidP="00A11B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AC" w:rsidRDefault="003A1FAC" w:rsidP="00A1310E">
    <w:pPr>
      <w:tabs>
        <w:tab w:val="center" w:pos="4680"/>
        <w:tab w:val="left" w:pos="6785"/>
      </w:tabs>
      <w:spacing w:line="287" w:lineRule="atLeast"/>
      <w:outlineLvl w:val="0"/>
      <w:rPr>
        <w:b/>
      </w:rPr>
    </w:pPr>
    <w:r>
      <w:rPr>
        <w:b/>
      </w:rPr>
      <w:tab/>
    </w:r>
  </w:p>
  <w:p w:rsidR="003A1FAC" w:rsidRDefault="003A1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17B"/>
    <w:multiLevelType w:val="hybridMultilevel"/>
    <w:tmpl w:val="EA7E699E"/>
    <w:lvl w:ilvl="0" w:tplc="7F66E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15E9369C"/>
    <w:multiLevelType w:val="hybridMultilevel"/>
    <w:tmpl w:val="9DB84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4">
    <w:nsid w:val="3AAE56FF"/>
    <w:multiLevelType w:val="hybridMultilevel"/>
    <w:tmpl w:val="B6FA3C2E"/>
    <w:lvl w:ilvl="0" w:tplc="B3266DB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7">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425583"/>
    <w:multiLevelType w:val="hybridMultilevel"/>
    <w:tmpl w:val="0806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E18EC"/>
    <w:multiLevelType w:val="hybridMultilevel"/>
    <w:tmpl w:val="0298BB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960041D"/>
    <w:multiLevelType w:val="hybridMultilevel"/>
    <w:tmpl w:val="0F5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1353C7"/>
    <w:multiLevelType w:val="hybridMultilevel"/>
    <w:tmpl w:val="8A742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13">
    <w:nsid w:val="6F9A3000"/>
    <w:multiLevelType w:val="hybridMultilevel"/>
    <w:tmpl w:val="3C5A9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A70D38"/>
    <w:multiLevelType w:val="hybridMultilevel"/>
    <w:tmpl w:val="EA7E699E"/>
    <w:lvl w:ilvl="0" w:tplc="7F66E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B53734B"/>
    <w:multiLevelType w:val="hybridMultilevel"/>
    <w:tmpl w:val="A87C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23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D4A4592"/>
    <w:multiLevelType w:val="hybridMultilevel"/>
    <w:tmpl w:val="1214F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5"/>
  </w:num>
  <w:num w:numId="5">
    <w:abstractNumId w:val="6"/>
  </w:num>
  <w:num w:numId="6">
    <w:abstractNumId w:val="15"/>
  </w:num>
  <w:num w:numId="7">
    <w:abstractNumId w:val="11"/>
  </w:num>
  <w:num w:numId="8">
    <w:abstractNumId w:val="17"/>
  </w:num>
  <w:num w:numId="9">
    <w:abstractNumId w:val="14"/>
  </w:num>
  <w:num w:numId="10">
    <w:abstractNumId w:val="0"/>
  </w:num>
  <w:num w:numId="11">
    <w:abstractNumId w:val="10"/>
  </w:num>
  <w:num w:numId="12">
    <w:abstractNumId w:val="8"/>
  </w:num>
  <w:num w:numId="13">
    <w:abstractNumId w:val="13"/>
  </w:num>
  <w:num w:numId="14">
    <w:abstractNumId w:val="4"/>
  </w:num>
  <w:num w:numId="15">
    <w:abstractNumId w:val="18"/>
  </w:num>
  <w:num w:numId="16">
    <w:abstractNumId w:val="2"/>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76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9"/>
    <w:rsid w:val="000016BB"/>
    <w:rsid w:val="000017C1"/>
    <w:rsid w:val="00003AA8"/>
    <w:rsid w:val="0000419F"/>
    <w:rsid w:val="00004788"/>
    <w:rsid w:val="000058D3"/>
    <w:rsid w:val="00007692"/>
    <w:rsid w:val="0001077D"/>
    <w:rsid w:val="000109B5"/>
    <w:rsid w:val="000112E9"/>
    <w:rsid w:val="000117F0"/>
    <w:rsid w:val="000154EF"/>
    <w:rsid w:val="000172FF"/>
    <w:rsid w:val="00021223"/>
    <w:rsid w:val="00023C1D"/>
    <w:rsid w:val="00023CBF"/>
    <w:rsid w:val="00024F68"/>
    <w:rsid w:val="0002551E"/>
    <w:rsid w:val="00025D14"/>
    <w:rsid w:val="000263AE"/>
    <w:rsid w:val="00030206"/>
    <w:rsid w:val="0003035E"/>
    <w:rsid w:val="00030382"/>
    <w:rsid w:val="0003178A"/>
    <w:rsid w:val="00031CA3"/>
    <w:rsid w:val="0003290C"/>
    <w:rsid w:val="00034FF5"/>
    <w:rsid w:val="00037347"/>
    <w:rsid w:val="000373B4"/>
    <w:rsid w:val="00037D9C"/>
    <w:rsid w:val="000400D2"/>
    <w:rsid w:val="00040809"/>
    <w:rsid w:val="00040C8B"/>
    <w:rsid w:val="000456C5"/>
    <w:rsid w:val="00050F96"/>
    <w:rsid w:val="00051933"/>
    <w:rsid w:val="00051D7D"/>
    <w:rsid w:val="000524F2"/>
    <w:rsid w:val="00053723"/>
    <w:rsid w:val="00053F4E"/>
    <w:rsid w:val="0005759B"/>
    <w:rsid w:val="000631B3"/>
    <w:rsid w:val="00063802"/>
    <w:rsid w:val="0006382B"/>
    <w:rsid w:val="000648C5"/>
    <w:rsid w:val="00064E23"/>
    <w:rsid w:val="00065413"/>
    <w:rsid w:val="0007148E"/>
    <w:rsid w:val="00073612"/>
    <w:rsid w:val="00073E55"/>
    <w:rsid w:val="00073FC9"/>
    <w:rsid w:val="00075981"/>
    <w:rsid w:val="00076567"/>
    <w:rsid w:val="00076667"/>
    <w:rsid w:val="00080B98"/>
    <w:rsid w:val="00080D77"/>
    <w:rsid w:val="0008261F"/>
    <w:rsid w:val="00083924"/>
    <w:rsid w:val="00084C3F"/>
    <w:rsid w:val="00085FF2"/>
    <w:rsid w:val="00086D01"/>
    <w:rsid w:val="0008711A"/>
    <w:rsid w:val="00090C7F"/>
    <w:rsid w:val="00091239"/>
    <w:rsid w:val="00093DF7"/>
    <w:rsid w:val="0009415C"/>
    <w:rsid w:val="0009467E"/>
    <w:rsid w:val="00094BB7"/>
    <w:rsid w:val="0009605E"/>
    <w:rsid w:val="000963E4"/>
    <w:rsid w:val="000A0291"/>
    <w:rsid w:val="000A0A6C"/>
    <w:rsid w:val="000A1D1F"/>
    <w:rsid w:val="000A38B2"/>
    <w:rsid w:val="000A3B5F"/>
    <w:rsid w:val="000A3C50"/>
    <w:rsid w:val="000A63AB"/>
    <w:rsid w:val="000B0BEE"/>
    <w:rsid w:val="000B21A1"/>
    <w:rsid w:val="000B5B3C"/>
    <w:rsid w:val="000B6397"/>
    <w:rsid w:val="000B64CA"/>
    <w:rsid w:val="000B7438"/>
    <w:rsid w:val="000B74FB"/>
    <w:rsid w:val="000B78E2"/>
    <w:rsid w:val="000C27DD"/>
    <w:rsid w:val="000C3363"/>
    <w:rsid w:val="000C4B5E"/>
    <w:rsid w:val="000C7993"/>
    <w:rsid w:val="000D0D68"/>
    <w:rsid w:val="000D114D"/>
    <w:rsid w:val="000D2848"/>
    <w:rsid w:val="000D505A"/>
    <w:rsid w:val="000E12F4"/>
    <w:rsid w:val="000E3447"/>
    <w:rsid w:val="000E45C4"/>
    <w:rsid w:val="000E7712"/>
    <w:rsid w:val="000E7D40"/>
    <w:rsid w:val="000F3032"/>
    <w:rsid w:val="000F3204"/>
    <w:rsid w:val="000F3A14"/>
    <w:rsid w:val="000F4039"/>
    <w:rsid w:val="000F4D37"/>
    <w:rsid w:val="000F5845"/>
    <w:rsid w:val="000F58BE"/>
    <w:rsid w:val="000F6D31"/>
    <w:rsid w:val="00101A49"/>
    <w:rsid w:val="001023B5"/>
    <w:rsid w:val="0010254F"/>
    <w:rsid w:val="00102B5E"/>
    <w:rsid w:val="00102D70"/>
    <w:rsid w:val="0010314B"/>
    <w:rsid w:val="00103366"/>
    <w:rsid w:val="00103709"/>
    <w:rsid w:val="00103B2E"/>
    <w:rsid w:val="00104B44"/>
    <w:rsid w:val="00105BAB"/>
    <w:rsid w:val="00106BCA"/>
    <w:rsid w:val="00110103"/>
    <w:rsid w:val="00110EEA"/>
    <w:rsid w:val="00112EE8"/>
    <w:rsid w:val="00114D4D"/>
    <w:rsid w:val="00122BF6"/>
    <w:rsid w:val="00122EEB"/>
    <w:rsid w:val="001269E2"/>
    <w:rsid w:val="0013087F"/>
    <w:rsid w:val="00130F71"/>
    <w:rsid w:val="00131724"/>
    <w:rsid w:val="00131EB2"/>
    <w:rsid w:val="001342A4"/>
    <w:rsid w:val="00134C85"/>
    <w:rsid w:val="00134ED3"/>
    <w:rsid w:val="00135DC2"/>
    <w:rsid w:val="001376A9"/>
    <w:rsid w:val="0014003C"/>
    <w:rsid w:val="001432D6"/>
    <w:rsid w:val="00144288"/>
    <w:rsid w:val="00144F83"/>
    <w:rsid w:val="00146446"/>
    <w:rsid w:val="001511B2"/>
    <w:rsid w:val="001517DD"/>
    <w:rsid w:val="00152BEA"/>
    <w:rsid w:val="00153EF5"/>
    <w:rsid w:val="001543F5"/>
    <w:rsid w:val="00154C6C"/>
    <w:rsid w:val="0016048B"/>
    <w:rsid w:val="001604E8"/>
    <w:rsid w:val="0016083B"/>
    <w:rsid w:val="0016259E"/>
    <w:rsid w:val="0016314B"/>
    <w:rsid w:val="00165868"/>
    <w:rsid w:val="001706F4"/>
    <w:rsid w:val="001710BC"/>
    <w:rsid w:val="0017143D"/>
    <w:rsid w:val="00173FB2"/>
    <w:rsid w:val="00174284"/>
    <w:rsid w:val="00174BE3"/>
    <w:rsid w:val="00175337"/>
    <w:rsid w:val="00176017"/>
    <w:rsid w:val="0017764F"/>
    <w:rsid w:val="001776D3"/>
    <w:rsid w:val="001809BE"/>
    <w:rsid w:val="00180B38"/>
    <w:rsid w:val="00181291"/>
    <w:rsid w:val="00181900"/>
    <w:rsid w:val="00181B75"/>
    <w:rsid w:val="001872E9"/>
    <w:rsid w:val="001903AC"/>
    <w:rsid w:val="00190BDA"/>
    <w:rsid w:val="001918A6"/>
    <w:rsid w:val="001931EB"/>
    <w:rsid w:val="00193C33"/>
    <w:rsid w:val="00193FBB"/>
    <w:rsid w:val="00194AE6"/>
    <w:rsid w:val="00195041"/>
    <w:rsid w:val="00195AB9"/>
    <w:rsid w:val="00197025"/>
    <w:rsid w:val="00197FEE"/>
    <w:rsid w:val="001A025F"/>
    <w:rsid w:val="001A0D2F"/>
    <w:rsid w:val="001A26A7"/>
    <w:rsid w:val="001A4155"/>
    <w:rsid w:val="001A52CE"/>
    <w:rsid w:val="001A6BBA"/>
    <w:rsid w:val="001B08B7"/>
    <w:rsid w:val="001B411B"/>
    <w:rsid w:val="001B4D9D"/>
    <w:rsid w:val="001B6735"/>
    <w:rsid w:val="001B67E9"/>
    <w:rsid w:val="001B7123"/>
    <w:rsid w:val="001B7AFA"/>
    <w:rsid w:val="001B7ECA"/>
    <w:rsid w:val="001C24E2"/>
    <w:rsid w:val="001C35B0"/>
    <w:rsid w:val="001C3FD3"/>
    <w:rsid w:val="001D0018"/>
    <w:rsid w:val="001D00E3"/>
    <w:rsid w:val="001D1A7C"/>
    <w:rsid w:val="001D20B3"/>
    <w:rsid w:val="001D2680"/>
    <w:rsid w:val="001D388F"/>
    <w:rsid w:val="001D7D9B"/>
    <w:rsid w:val="001D7E30"/>
    <w:rsid w:val="001E118B"/>
    <w:rsid w:val="001E1826"/>
    <w:rsid w:val="001E433E"/>
    <w:rsid w:val="001E60D2"/>
    <w:rsid w:val="001E7CFD"/>
    <w:rsid w:val="001F1002"/>
    <w:rsid w:val="001F57ED"/>
    <w:rsid w:val="001F5FE6"/>
    <w:rsid w:val="001F6145"/>
    <w:rsid w:val="001F698C"/>
    <w:rsid w:val="001F7A20"/>
    <w:rsid w:val="0020191B"/>
    <w:rsid w:val="00202025"/>
    <w:rsid w:val="002030A3"/>
    <w:rsid w:val="00204BF9"/>
    <w:rsid w:val="00205565"/>
    <w:rsid w:val="00205CBC"/>
    <w:rsid w:val="00206036"/>
    <w:rsid w:val="00206379"/>
    <w:rsid w:val="002075DD"/>
    <w:rsid w:val="0020768E"/>
    <w:rsid w:val="00210B54"/>
    <w:rsid w:val="0021107F"/>
    <w:rsid w:val="00211570"/>
    <w:rsid w:val="00211AAD"/>
    <w:rsid w:val="002121F5"/>
    <w:rsid w:val="002157CA"/>
    <w:rsid w:val="002201F9"/>
    <w:rsid w:val="00221611"/>
    <w:rsid w:val="00221A57"/>
    <w:rsid w:val="002223C4"/>
    <w:rsid w:val="00223E05"/>
    <w:rsid w:val="00225750"/>
    <w:rsid w:val="002308C3"/>
    <w:rsid w:val="00230AF2"/>
    <w:rsid w:val="002327FF"/>
    <w:rsid w:val="00232EFD"/>
    <w:rsid w:val="00234D4A"/>
    <w:rsid w:val="0023575D"/>
    <w:rsid w:val="00236EA6"/>
    <w:rsid w:val="002378B7"/>
    <w:rsid w:val="002414BD"/>
    <w:rsid w:val="00242809"/>
    <w:rsid w:val="00243123"/>
    <w:rsid w:val="00243C3B"/>
    <w:rsid w:val="00244663"/>
    <w:rsid w:val="00244BF4"/>
    <w:rsid w:val="0024560C"/>
    <w:rsid w:val="00245D39"/>
    <w:rsid w:val="00246EAF"/>
    <w:rsid w:val="002475E8"/>
    <w:rsid w:val="00247AAD"/>
    <w:rsid w:val="00247B33"/>
    <w:rsid w:val="00250E83"/>
    <w:rsid w:val="00251959"/>
    <w:rsid w:val="00251E9B"/>
    <w:rsid w:val="002520B4"/>
    <w:rsid w:val="00252687"/>
    <w:rsid w:val="00252809"/>
    <w:rsid w:val="0025303D"/>
    <w:rsid w:val="0025453B"/>
    <w:rsid w:val="002547F1"/>
    <w:rsid w:val="00254DB7"/>
    <w:rsid w:val="00255926"/>
    <w:rsid w:val="00262101"/>
    <w:rsid w:val="00262117"/>
    <w:rsid w:val="002621B3"/>
    <w:rsid w:val="00262A4A"/>
    <w:rsid w:val="00263DE7"/>
    <w:rsid w:val="002670D5"/>
    <w:rsid w:val="00267C0F"/>
    <w:rsid w:val="002724A0"/>
    <w:rsid w:val="00272599"/>
    <w:rsid w:val="00273329"/>
    <w:rsid w:val="002738BD"/>
    <w:rsid w:val="00276C3A"/>
    <w:rsid w:val="00277DD0"/>
    <w:rsid w:val="002816AF"/>
    <w:rsid w:val="002818B2"/>
    <w:rsid w:val="00281AA5"/>
    <w:rsid w:val="0028296D"/>
    <w:rsid w:val="00283B4E"/>
    <w:rsid w:val="002841CA"/>
    <w:rsid w:val="00284601"/>
    <w:rsid w:val="00285343"/>
    <w:rsid w:val="002861A3"/>
    <w:rsid w:val="00287E29"/>
    <w:rsid w:val="00291743"/>
    <w:rsid w:val="002920E7"/>
    <w:rsid w:val="00294339"/>
    <w:rsid w:val="00294A52"/>
    <w:rsid w:val="00294B4D"/>
    <w:rsid w:val="0029513A"/>
    <w:rsid w:val="002952A1"/>
    <w:rsid w:val="00295620"/>
    <w:rsid w:val="00295D2A"/>
    <w:rsid w:val="002963CB"/>
    <w:rsid w:val="002963E1"/>
    <w:rsid w:val="002971D7"/>
    <w:rsid w:val="0029782A"/>
    <w:rsid w:val="002A0ECE"/>
    <w:rsid w:val="002A20E2"/>
    <w:rsid w:val="002A3E18"/>
    <w:rsid w:val="002A6708"/>
    <w:rsid w:val="002A782F"/>
    <w:rsid w:val="002B027E"/>
    <w:rsid w:val="002B152B"/>
    <w:rsid w:val="002B2A11"/>
    <w:rsid w:val="002B5CC8"/>
    <w:rsid w:val="002B6CC5"/>
    <w:rsid w:val="002C04CF"/>
    <w:rsid w:val="002C10DE"/>
    <w:rsid w:val="002C11C0"/>
    <w:rsid w:val="002C11D3"/>
    <w:rsid w:val="002C28B9"/>
    <w:rsid w:val="002C3896"/>
    <w:rsid w:val="002D1AFE"/>
    <w:rsid w:val="002D2148"/>
    <w:rsid w:val="002D231A"/>
    <w:rsid w:val="002D2375"/>
    <w:rsid w:val="002D3696"/>
    <w:rsid w:val="002D458C"/>
    <w:rsid w:val="002D7BAF"/>
    <w:rsid w:val="002E0566"/>
    <w:rsid w:val="002E0A9E"/>
    <w:rsid w:val="002E14B9"/>
    <w:rsid w:val="002E20B2"/>
    <w:rsid w:val="002E31FC"/>
    <w:rsid w:val="002E5FE2"/>
    <w:rsid w:val="002F00A2"/>
    <w:rsid w:val="002F0E26"/>
    <w:rsid w:val="002F3ED5"/>
    <w:rsid w:val="002F5246"/>
    <w:rsid w:val="002F57E8"/>
    <w:rsid w:val="002F7167"/>
    <w:rsid w:val="002F7A29"/>
    <w:rsid w:val="002F7B2E"/>
    <w:rsid w:val="002F7D6E"/>
    <w:rsid w:val="003012EE"/>
    <w:rsid w:val="00301ADE"/>
    <w:rsid w:val="00305051"/>
    <w:rsid w:val="00305083"/>
    <w:rsid w:val="00305712"/>
    <w:rsid w:val="00305E7F"/>
    <w:rsid w:val="00306B3E"/>
    <w:rsid w:val="00310CAD"/>
    <w:rsid w:val="0031129E"/>
    <w:rsid w:val="003133D0"/>
    <w:rsid w:val="00313E13"/>
    <w:rsid w:val="00315685"/>
    <w:rsid w:val="00315963"/>
    <w:rsid w:val="00315DBA"/>
    <w:rsid w:val="00316423"/>
    <w:rsid w:val="0031671F"/>
    <w:rsid w:val="0031773D"/>
    <w:rsid w:val="00322E04"/>
    <w:rsid w:val="003235BC"/>
    <w:rsid w:val="00323AF2"/>
    <w:rsid w:val="0032448A"/>
    <w:rsid w:val="00324A07"/>
    <w:rsid w:val="003268F5"/>
    <w:rsid w:val="003300C3"/>
    <w:rsid w:val="00332157"/>
    <w:rsid w:val="0033240B"/>
    <w:rsid w:val="00333EA4"/>
    <w:rsid w:val="0033491E"/>
    <w:rsid w:val="00335BAD"/>
    <w:rsid w:val="00341CA4"/>
    <w:rsid w:val="0034274E"/>
    <w:rsid w:val="00343061"/>
    <w:rsid w:val="0034430D"/>
    <w:rsid w:val="00344878"/>
    <w:rsid w:val="00344D72"/>
    <w:rsid w:val="00344F56"/>
    <w:rsid w:val="00345487"/>
    <w:rsid w:val="00346273"/>
    <w:rsid w:val="00350F67"/>
    <w:rsid w:val="003532A6"/>
    <w:rsid w:val="00353964"/>
    <w:rsid w:val="00354CC4"/>
    <w:rsid w:val="00355C24"/>
    <w:rsid w:val="00356D70"/>
    <w:rsid w:val="003570B0"/>
    <w:rsid w:val="00357103"/>
    <w:rsid w:val="003576A1"/>
    <w:rsid w:val="00360AC8"/>
    <w:rsid w:val="00363E03"/>
    <w:rsid w:val="00363EEF"/>
    <w:rsid w:val="00364623"/>
    <w:rsid w:val="0036536C"/>
    <w:rsid w:val="003659C4"/>
    <w:rsid w:val="00370118"/>
    <w:rsid w:val="00370ACB"/>
    <w:rsid w:val="00373E4A"/>
    <w:rsid w:val="00374993"/>
    <w:rsid w:val="003758D6"/>
    <w:rsid w:val="003760D9"/>
    <w:rsid w:val="00380569"/>
    <w:rsid w:val="00380D98"/>
    <w:rsid w:val="00381175"/>
    <w:rsid w:val="00381644"/>
    <w:rsid w:val="00383259"/>
    <w:rsid w:val="003852E9"/>
    <w:rsid w:val="00385CC2"/>
    <w:rsid w:val="00386AF9"/>
    <w:rsid w:val="0038760A"/>
    <w:rsid w:val="003900DA"/>
    <w:rsid w:val="00391B2A"/>
    <w:rsid w:val="00391BEC"/>
    <w:rsid w:val="00391E11"/>
    <w:rsid w:val="00391F57"/>
    <w:rsid w:val="00392DBB"/>
    <w:rsid w:val="00393D29"/>
    <w:rsid w:val="0039416B"/>
    <w:rsid w:val="00394652"/>
    <w:rsid w:val="00394F7F"/>
    <w:rsid w:val="00396407"/>
    <w:rsid w:val="003A0EC4"/>
    <w:rsid w:val="003A17C0"/>
    <w:rsid w:val="003A1FAC"/>
    <w:rsid w:val="003A3572"/>
    <w:rsid w:val="003A459B"/>
    <w:rsid w:val="003A660D"/>
    <w:rsid w:val="003A6D19"/>
    <w:rsid w:val="003B111F"/>
    <w:rsid w:val="003B17ED"/>
    <w:rsid w:val="003B2116"/>
    <w:rsid w:val="003B27B0"/>
    <w:rsid w:val="003B3B07"/>
    <w:rsid w:val="003B3BB3"/>
    <w:rsid w:val="003B3CA7"/>
    <w:rsid w:val="003B3CEF"/>
    <w:rsid w:val="003B5785"/>
    <w:rsid w:val="003B5B6F"/>
    <w:rsid w:val="003B674F"/>
    <w:rsid w:val="003B678E"/>
    <w:rsid w:val="003B7392"/>
    <w:rsid w:val="003B7425"/>
    <w:rsid w:val="003C0EE0"/>
    <w:rsid w:val="003C15FA"/>
    <w:rsid w:val="003C2098"/>
    <w:rsid w:val="003C24EB"/>
    <w:rsid w:val="003C4673"/>
    <w:rsid w:val="003C4B3D"/>
    <w:rsid w:val="003C6383"/>
    <w:rsid w:val="003C6CAD"/>
    <w:rsid w:val="003C74B5"/>
    <w:rsid w:val="003C7513"/>
    <w:rsid w:val="003D1AA0"/>
    <w:rsid w:val="003D330C"/>
    <w:rsid w:val="003D3761"/>
    <w:rsid w:val="003D4697"/>
    <w:rsid w:val="003D48BF"/>
    <w:rsid w:val="003D5175"/>
    <w:rsid w:val="003D610F"/>
    <w:rsid w:val="003D63B9"/>
    <w:rsid w:val="003E0137"/>
    <w:rsid w:val="003E04CE"/>
    <w:rsid w:val="003E29F7"/>
    <w:rsid w:val="003E3C8A"/>
    <w:rsid w:val="003E409A"/>
    <w:rsid w:val="003E603B"/>
    <w:rsid w:val="003E6A92"/>
    <w:rsid w:val="003F1686"/>
    <w:rsid w:val="003F1B94"/>
    <w:rsid w:val="003F557D"/>
    <w:rsid w:val="003F5D05"/>
    <w:rsid w:val="003F60A9"/>
    <w:rsid w:val="003F6C4B"/>
    <w:rsid w:val="003F788F"/>
    <w:rsid w:val="003F7921"/>
    <w:rsid w:val="003F7D46"/>
    <w:rsid w:val="00400010"/>
    <w:rsid w:val="00400D9A"/>
    <w:rsid w:val="0040105B"/>
    <w:rsid w:val="00401B28"/>
    <w:rsid w:val="00401EB2"/>
    <w:rsid w:val="0040337F"/>
    <w:rsid w:val="00404EC8"/>
    <w:rsid w:val="004060C9"/>
    <w:rsid w:val="004074FF"/>
    <w:rsid w:val="0040768E"/>
    <w:rsid w:val="004125CE"/>
    <w:rsid w:val="004133F4"/>
    <w:rsid w:val="00413896"/>
    <w:rsid w:val="004143C7"/>
    <w:rsid w:val="00415109"/>
    <w:rsid w:val="00415885"/>
    <w:rsid w:val="00415AEA"/>
    <w:rsid w:val="004170C9"/>
    <w:rsid w:val="00420C31"/>
    <w:rsid w:val="00421C9C"/>
    <w:rsid w:val="004223E9"/>
    <w:rsid w:val="004235D4"/>
    <w:rsid w:val="004242DC"/>
    <w:rsid w:val="004253F8"/>
    <w:rsid w:val="00426276"/>
    <w:rsid w:val="004316E4"/>
    <w:rsid w:val="004323E5"/>
    <w:rsid w:val="004332C7"/>
    <w:rsid w:val="0043373B"/>
    <w:rsid w:val="00435B42"/>
    <w:rsid w:val="00435F54"/>
    <w:rsid w:val="00437480"/>
    <w:rsid w:val="0044200C"/>
    <w:rsid w:val="00444502"/>
    <w:rsid w:val="00445053"/>
    <w:rsid w:val="0044576A"/>
    <w:rsid w:val="00445A49"/>
    <w:rsid w:val="00445FEA"/>
    <w:rsid w:val="0044680E"/>
    <w:rsid w:val="004472DF"/>
    <w:rsid w:val="004476D0"/>
    <w:rsid w:val="00450D88"/>
    <w:rsid w:val="00454A58"/>
    <w:rsid w:val="00456CAE"/>
    <w:rsid w:val="00457FCD"/>
    <w:rsid w:val="00462C4D"/>
    <w:rsid w:val="00464734"/>
    <w:rsid w:val="00466350"/>
    <w:rsid w:val="004674BB"/>
    <w:rsid w:val="00470BEE"/>
    <w:rsid w:val="00471AF2"/>
    <w:rsid w:val="004721F1"/>
    <w:rsid w:val="00473DB2"/>
    <w:rsid w:val="00473EA1"/>
    <w:rsid w:val="00475553"/>
    <w:rsid w:val="0047605D"/>
    <w:rsid w:val="0047637C"/>
    <w:rsid w:val="0047657A"/>
    <w:rsid w:val="004765D6"/>
    <w:rsid w:val="004804F2"/>
    <w:rsid w:val="004820AE"/>
    <w:rsid w:val="0048450D"/>
    <w:rsid w:val="00486000"/>
    <w:rsid w:val="00486606"/>
    <w:rsid w:val="00487766"/>
    <w:rsid w:val="00491925"/>
    <w:rsid w:val="00492108"/>
    <w:rsid w:val="004927BB"/>
    <w:rsid w:val="004930F1"/>
    <w:rsid w:val="0049321D"/>
    <w:rsid w:val="00493F93"/>
    <w:rsid w:val="00495DFE"/>
    <w:rsid w:val="004975CB"/>
    <w:rsid w:val="004A243A"/>
    <w:rsid w:val="004A297D"/>
    <w:rsid w:val="004A2B4E"/>
    <w:rsid w:val="004A2D99"/>
    <w:rsid w:val="004A45C3"/>
    <w:rsid w:val="004A4FB7"/>
    <w:rsid w:val="004A5152"/>
    <w:rsid w:val="004A5F36"/>
    <w:rsid w:val="004A6317"/>
    <w:rsid w:val="004B0A92"/>
    <w:rsid w:val="004B1A56"/>
    <w:rsid w:val="004B3857"/>
    <w:rsid w:val="004B6C52"/>
    <w:rsid w:val="004B6DFB"/>
    <w:rsid w:val="004C0B6E"/>
    <w:rsid w:val="004C1933"/>
    <w:rsid w:val="004C2387"/>
    <w:rsid w:val="004C3726"/>
    <w:rsid w:val="004C710A"/>
    <w:rsid w:val="004D0895"/>
    <w:rsid w:val="004D0B9E"/>
    <w:rsid w:val="004D12B0"/>
    <w:rsid w:val="004D24A8"/>
    <w:rsid w:val="004D386B"/>
    <w:rsid w:val="004D4BF8"/>
    <w:rsid w:val="004D6485"/>
    <w:rsid w:val="004D71F2"/>
    <w:rsid w:val="004E04E7"/>
    <w:rsid w:val="004E0D98"/>
    <w:rsid w:val="004E2239"/>
    <w:rsid w:val="004E5680"/>
    <w:rsid w:val="004E5888"/>
    <w:rsid w:val="004E75F4"/>
    <w:rsid w:val="004F0EAE"/>
    <w:rsid w:val="004F2ECB"/>
    <w:rsid w:val="004F72FD"/>
    <w:rsid w:val="004F7FEB"/>
    <w:rsid w:val="005041CD"/>
    <w:rsid w:val="00504572"/>
    <w:rsid w:val="005077CA"/>
    <w:rsid w:val="00507FBD"/>
    <w:rsid w:val="0051292F"/>
    <w:rsid w:val="00514B35"/>
    <w:rsid w:val="00514F49"/>
    <w:rsid w:val="00515259"/>
    <w:rsid w:val="0051532C"/>
    <w:rsid w:val="00515B6F"/>
    <w:rsid w:val="00515E9E"/>
    <w:rsid w:val="0051643F"/>
    <w:rsid w:val="00517777"/>
    <w:rsid w:val="00521E7F"/>
    <w:rsid w:val="00522A8D"/>
    <w:rsid w:val="00522FCB"/>
    <w:rsid w:val="005260F2"/>
    <w:rsid w:val="005269B2"/>
    <w:rsid w:val="00526B02"/>
    <w:rsid w:val="00527019"/>
    <w:rsid w:val="0052769C"/>
    <w:rsid w:val="00530E51"/>
    <w:rsid w:val="005332A8"/>
    <w:rsid w:val="00533734"/>
    <w:rsid w:val="005343D4"/>
    <w:rsid w:val="005363C4"/>
    <w:rsid w:val="005407E7"/>
    <w:rsid w:val="0054098B"/>
    <w:rsid w:val="005415DA"/>
    <w:rsid w:val="005441AE"/>
    <w:rsid w:val="005448AD"/>
    <w:rsid w:val="0054506E"/>
    <w:rsid w:val="005459DD"/>
    <w:rsid w:val="0054700A"/>
    <w:rsid w:val="005504EA"/>
    <w:rsid w:val="00551030"/>
    <w:rsid w:val="00551EC1"/>
    <w:rsid w:val="00552BC1"/>
    <w:rsid w:val="00552F1B"/>
    <w:rsid w:val="00552FD8"/>
    <w:rsid w:val="00556B32"/>
    <w:rsid w:val="0055732C"/>
    <w:rsid w:val="00560498"/>
    <w:rsid w:val="00561F24"/>
    <w:rsid w:val="00562409"/>
    <w:rsid w:val="00563276"/>
    <w:rsid w:val="005634B3"/>
    <w:rsid w:val="0056490B"/>
    <w:rsid w:val="00565508"/>
    <w:rsid w:val="00565DDD"/>
    <w:rsid w:val="0056609A"/>
    <w:rsid w:val="00567DA2"/>
    <w:rsid w:val="00567ED1"/>
    <w:rsid w:val="00572BB6"/>
    <w:rsid w:val="00573B18"/>
    <w:rsid w:val="005747F6"/>
    <w:rsid w:val="005768A5"/>
    <w:rsid w:val="00576A13"/>
    <w:rsid w:val="005776DD"/>
    <w:rsid w:val="00580873"/>
    <w:rsid w:val="00580968"/>
    <w:rsid w:val="005813B7"/>
    <w:rsid w:val="005819D6"/>
    <w:rsid w:val="0058382C"/>
    <w:rsid w:val="00583B5B"/>
    <w:rsid w:val="0059140A"/>
    <w:rsid w:val="005929AB"/>
    <w:rsid w:val="005935CD"/>
    <w:rsid w:val="005A23E0"/>
    <w:rsid w:val="005A3087"/>
    <w:rsid w:val="005A35A6"/>
    <w:rsid w:val="005A6215"/>
    <w:rsid w:val="005A6BD5"/>
    <w:rsid w:val="005B01FC"/>
    <w:rsid w:val="005B12DF"/>
    <w:rsid w:val="005B1814"/>
    <w:rsid w:val="005B52A0"/>
    <w:rsid w:val="005B6C22"/>
    <w:rsid w:val="005B7AEE"/>
    <w:rsid w:val="005B7EB4"/>
    <w:rsid w:val="005C01CB"/>
    <w:rsid w:val="005C15BE"/>
    <w:rsid w:val="005C1955"/>
    <w:rsid w:val="005C43A9"/>
    <w:rsid w:val="005C4639"/>
    <w:rsid w:val="005C6EDD"/>
    <w:rsid w:val="005D0D96"/>
    <w:rsid w:val="005D1146"/>
    <w:rsid w:val="005D12DD"/>
    <w:rsid w:val="005D20EF"/>
    <w:rsid w:val="005D42E6"/>
    <w:rsid w:val="005D4A13"/>
    <w:rsid w:val="005D565C"/>
    <w:rsid w:val="005D5C0A"/>
    <w:rsid w:val="005D6487"/>
    <w:rsid w:val="005D7117"/>
    <w:rsid w:val="005D76C7"/>
    <w:rsid w:val="005E025D"/>
    <w:rsid w:val="005E02FB"/>
    <w:rsid w:val="005E0428"/>
    <w:rsid w:val="005E2001"/>
    <w:rsid w:val="005E23E8"/>
    <w:rsid w:val="005E2CC3"/>
    <w:rsid w:val="005E2E7C"/>
    <w:rsid w:val="005E2F81"/>
    <w:rsid w:val="005E40F0"/>
    <w:rsid w:val="005E6BD6"/>
    <w:rsid w:val="005E6C23"/>
    <w:rsid w:val="005E73B5"/>
    <w:rsid w:val="005F0CBF"/>
    <w:rsid w:val="005F5482"/>
    <w:rsid w:val="005F6363"/>
    <w:rsid w:val="005F78EF"/>
    <w:rsid w:val="0060105F"/>
    <w:rsid w:val="00601941"/>
    <w:rsid w:val="00601C51"/>
    <w:rsid w:val="00602148"/>
    <w:rsid w:val="006025C5"/>
    <w:rsid w:val="00605AF9"/>
    <w:rsid w:val="00610680"/>
    <w:rsid w:val="0061399C"/>
    <w:rsid w:val="00613AE5"/>
    <w:rsid w:val="00620684"/>
    <w:rsid w:val="00622594"/>
    <w:rsid w:val="0062586D"/>
    <w:rsid w:val="0062755D"/>
    <w:rsid w:val="00627C5F"/>
    <w:rsid w:val="00634538"/>
    <w:rsid w:val="006353C5"/>
    <w:rsid w:val="00635D46"/>
    <w:rsid w:val="00636CC2"/>
    <w:rsid w:val="0063782A"/>
    <w:rsid w:val="00640455"/>
    <w:rsid w:val="00640682"/>
    <w:rsid w:val="006427BF"/>
    <w:rsid w:val="00642D75"/>
    <w:rsid w:val="00642D7E"/>
    <w:rsid w:val="006447D5"/>
    <w:rsid w:val="00644A6C"/>
    <w:rsid w:val="006479EE"/>
    <w:rsid w:val="0065445E"/>
    <w:rsid w:val="00654B5B"/>
    <w:rsid w:val="00654DAA"/>
    <w:rsid w:val="006575F1"/>
    <w:rsid w:val="00660BCB"/>
    <w:rsid w:val="006619CA"/>
    <w:rsid w:val="00662422"/>
    <w:rsid w:val="00663374"/>
    <w:rsid w:val="0066458E"/>
    <w:rsid w:val="00664A47"/>
    <w:rsid w:val="006651CF"/>
    <w:rsid w:val="0066541E"/>
    <w:rsid w:val="006661E0"/>
    <w:rsid w:val="00671BE8"/>
    <w:rsid w:val="00672532"/>
    <w:rsid w:val="0067282A"/>
    <w:rsid w:val="00672A2A"/>
    <w:rsid w:val="0067387C"/>
    <w:rsid w:val="00677429"/>
    <w:rsid w:val="006818C1"/>
    <w:rsid w:val="00687582"/>
    <w:rsid w:val="00690DCD"/>
    <w:rsid w:val="00691FBE"/>
    <w:rsid w:val="00693788"/>
    <w:rsid w:val="00694705"/>
    <w:rsid w:val="006951F8"/>
    <w:rsid w:val="00696728"/>
    <w:rsid w:val="0069798C"/>
    <w:rsid w:val="006A0679"/>
    <w:rsid w:val="006A1858"/>
    <w:rsid w:val="006A2D34"/>
    <w:rsid w:val="006A329E"/>
    <w:rsid w:val="006A32F2"/>
    <w:rsid w:val="006A37F1"/>
    <w:rsid w:val="006A3D69"/>
    <w:rsid w:val="006A4515"/>
    <w:rsid w:val="006A4A99"/>
    <w:rsid w:val="006A51A7"/>
    <w:rsid w:val="006B0973"/>
    <w:rsid w:val="006B3BDB"/>
    <w:rsid w:val="006B3C0B"/>
    <w:rsid w:val="006B717B"/>
    <w:rsid w:val="006C0E33"/>
    <w:rsid w:val="006C3C86"/>
    <w:rsid w:val="006D00A5"/>
    <w:rsid w:val="006D111C"/>
    <w:rsid w:val="006D1DC7"/>
    <w:rsid w:val="006D23CB"/>
    <w:rsid w:val="006D2C25"/>
    <w:rsid w:val="006D3027"/>
    <w:rsid w:val="006D3FBD"/>
    <w:rsid w:val="006D44BF"/>
    <w:rsid w:val="006D4CC6"/>
    <w:rsid w:val="006D4E1D"/>
    <w:rsid w:val="006D55C9"/>
    <w:rsid w:val="006D626F"/>
    <w:rsid w:val="006D628E"/>
    <w:rsid w:val="006D6F8D"/>
    <w:rsid w:val="006D70B7"/>
    <w:rsid w:val="006D7134"/>
    <w:rsid w:val="006D7456"/>
    <w:rsid w:val="006D784C"/>
    <w:rsid w:val="006D7D89"/>
    <w:rsid w:val="006E0D5A"/>
    <w:rsid w:val="006E117C"/>
    <w:rsid w:val="006E1466"/>
    <w:rsid w:val="006E2614"/>
    <w:rsid w:val="006E3015"/>
    <w:rsid w:val="006E38F3"/>
    <w:rsid w:val="006E58D6"/>
    <w:rsid w:val="006E5974"/>
    <w:rsid w:val="006E66E2"/>
    <w:rsid w:val="006E6BCF"/>
    <w:rsid w:val="006E7D5C"/>
    <w:rsid w:val="006F06AD"/>
    <w:rsid w:val="006F3FC8"/>
    <w:rsid w:val="006F6858"/>
    <w:rsid w:val="007008F8"/>
    <w:rsid w:val="00701044"/>
    <w:rsid w:val="0070151F"/>
    <w:rsid w:val="00701709"/>
    <w:rsid w:val="00701798"/>
    <w:rsid w:val="0070183F"/>
    <w:rsid w:val="00703DE0"/>
    <w:rsid w:val="007065C1"/>
    <w:rsid w:val="00711C7C"/>
    <w:rsid w:val="0071241F"/>
    <w:rsid w:val="007135DA"/>
    <w:rsid w:val="007201DD"/>
    <w:rsid w:val="007203C0"/>
    <w:rsid w:val="00723A01"/>
    <w:rsid w:val="0072439C"/>
    <w:rsid w:val="007243D5"/>
    <w:rsid w:val="00724D3C"/>
    <w:rsid w:val="0072658B"/>
    <w:rsid w:val="00731E95"/>
    <w:rsid w:val="007328E6"/>
    <w:rsid w:val="00734BB1"/>
    <w:rsid w:val="00735D9D"/>
    <w:rsid w:val="00741DB2"/>
    <w:rsid w:val="0074268A"/>
    <w:rsid w:val="007433FF"/>
    <w:rsid w:val="0074547E"/>
    <w:rsid w:val="007456DA"/>
    <w:rsid w:val="00746412"/>
    <w:rsid w:val="00746696"/>
    <w:rsid w:val="0074718E"/>
    <w:rsid w:val="007524DA"/>
    <w:rsid w:val="00753944"/>
    <w:rsid w:val="00753A9F"/>
    <w:rsid w:val="00755E97"/>
    <w:rsid w:val="00756E60"/>
    <w:rsid w:val="0076043D"/>
    <w:rsid w:val="0076055D"/>
    <w:rsid w:val="007608A8"/>
    <w:rsid w:val="007628C9"/>
    <w:rsid w:val="00764617"/>
    <w:rsid w:val="00764CB2"/>
    <w:rsid w:val="007675FE"/>
    <w:rsid w:val="00767642"/>
    <w:rsid w:val="007702EA"/>
    <w:rsid w:val="0077090C"/>
    <w:rsid w:val="007719B1"/>
    <w:rsid w:val="0077222B"/>
    <w:rsid w:val="007728A3"/>
    <w:rsid w:val="00772AB6"/>
    <w:rsid w:val="00772EEB"/>
    <w:rsid w:val="007805DC"/>
    <w:rsid w:val="00781163"/>
    <w:rsid w:val="00792A5A"/>
    <w:rsid w:val="0079355F"/>
    <w:rsid w:val="00793DAE"/>
    <w:rsid w:val="0079497E"/>
    <w:rsid w:val="00795489"/>
    <w:rsid w:val="007963CD"/>
    <w:rsid w:val="007A0E00"/>
    <w:rsid w:val="007A0FCD"/>
    <w:rsid w:val="007A1467"/>
    <w:rsid w:val="007A1E65"/>
    <w:rsid w:val="007A2175"/>
    <w:rsid w:val="007A2B3E"/>
    <w:rsid w:val="007A698C"/>
    <w:rsid w:val="007A6FCD"/>
    <w:rsid w:val="007A785D"/>
    <w:rsid w:val="007B1941"/>
    <w:rsid w:val="007B1CBB"/>
    <w:rsid w:val="007B44EE"/>
    <w:rsid w:val="007B482D"/>
    <w:rsid w:val="007B4E6E"/>
    <w:rsid w:val="007B5742"/>
    <w:rsid w:val="007B6D80"/>
    <w:rsid w:val="007B6ECE"/>
    <w:rsid w:val="007B7020"/>
    <w:rsid w:val="007B7AB4"/>
    <w:rsid w:val="007C0488"/>
    <w:rsid w:val="007C1428"/>
    <w:rsid w:val="007C1B48"/>
    <w:rsid w:val="007C2FC0"/>
    <w:rsid w:val="007C4CB1"/>
    <w:rsid w:val="007C4E01"/>
    <w:rsid w:val="007C5929"/>
    <w:rsid w:val="007C6E86"/>
    <w:rsid w:val="007D0156"/>
    <w:rsid w:val="007D0B01"/>
    <w:rsid w:val="007D0EE5"/>
    <w:rsid w:val="007D3419"/>
    <w:rsid w:val="007D3899"/>
    <w:rsid w:val="007D3933"/>
    <w:rsid w:val="007D59B0"/>
    <w:rsid w:val="007E056F"/>
    <w:rsid w:val="007E4AF3"/>
    <w:rsid w:val="007E5C43"/>
    <w:rsid w:val="007E73E8"/>
    <w:rsid w:val="007E7538"/>
    <w:rsid w:val="007E782D"/>
    <w:rsid w:val="007F0B38"/>
    <w:rsid w:val="007F1E6D"/>
    <w:rsid w:val="007F2433"/>
    <w:rsid w:val="007F32F2"/>
    <w:rsid w:val="007F5770"/>
    <w:rsid w:val="007F6DE6"/>
    <w:rsid w:val="007F7CFE"/>
    <w:rsid w:val="007F7FB4"/>
    <w:rsid w:val="00800486"/>
    <w:rsid w:val="00801058"/>
    <w:rsid w:val="0080175B"/>
    <w:rsid w:val="008023DA"/>
    <w:rsid w:val="00802A36"/>
    <w:rsid w:val="0080435B"/>
    <w:rsid w:val="00804394"/>
    <w:rsid w:val="00804630"/>
    <w:rsid w:val="00806536"/>
    <w:rsid w:val="00810902"/>
    <w:rsid w:val="00810CAC"/>
    <w:rsid w:val="00810E30"/>
    <w:rsid w:val="00811AF4"/>
    <w:rsid w:val="008121DE"/>
    <w:rsid w:val="00813CAC"/>
    <w:rsid w:val="00814A7F"/>
    <w:rsid w:val="00814B41"/>
    <w:rsid w:val="00820056"/>
    <w:rsid w:val="00820513"/>
    <w:rsid w:val="00820720"/>
    <w:rsid w:val="0082243E"/>
    <w:rsid w:val="00830164"/>
    <w:rsid w:val="008315DB"/>
    <w:rsid w:val="008319B6"/>
    <w:rsid w:val="0083320F"/>
    <w:rsid w:val="008348D6"/>
    <w:rsid w:val="00836406"/>
    <w:rsid w:val="00836FD1"/>
    <w:rsid w:val="00837317"/>
    <w:rsid w:val="00837471"/>
    <w:rsid w:val="00837D5A"/>
    <w:rsid w:val="00837F67"/>
    <w:rsid w:val="0084031E"/>
    <w:rsid w:val="008410DF"/>
    <w:rsid w:val="00842667"/>
    <w:rsid w:val="00842ECB"/>
    <w:rsid w:val="008432E8"/>
    <w:rsid w:val="0084453E"/>
    <w:rsid w:val="008504B3"/>
    <w:rsid w:val="00850A44"/>
    <w:rsid w:val="008515BC"/>
    <w:rsid w:val="00856393"/>
    <w:rsid w:val="008607CD"/>
    <w:rsid w:val="00861E87"/>
    <w:rsid w:val="008637EC"/>
    <w:rsid w:val="00870230"/>
    <w:rsid w:val="0087033B"/>
    <w:rsid w:val="00872C3C"/>
    <w:rsid w:val="00874DD0"/>
    <w:rsid w:val="008760B8"/>
    <w:rsid w:val="008777E0"/>
    <w:rsid w:val="00880E84"/>
    <w:rsid w:val="008818B9"/>
    <w:rsid w:val="0088206F"/>
    <w:rsid w:val="00883584"/>
    <w:rsid w:val="0088358B"/>
    <w:rsid w:val="00884398"/>
    <w:rsid w:val="008847D1"/>
    <w:rsid w:val="00885EF5"/>
    <w:rsid w:val="008861AD"/>
    <w:rsid w:val="00886600"/>
    <w:rsid w:val="00886610"/>
    <w:rsid w:val="008903F4"/>
    <w:rsid w:val="00890A1D"/>
    <w:rsid w:val="00891160"/>
    <w:rsid w:val="00895032"/>
    <w:rsid w:val="008963A1"/>
    <w:rsid w:val="008966FF"/>
    <w:rsid w:val="008A0270"/>
    <w:rsid w:val="008A05B9"/>
    <w:rsid w:val="008A0C07"/>
    <w:rsid w:val="008A1417"/>
    <w:rsid w:val="008A22E8"/>
    <w:rsid w:val="008A2562"/>
    <w:rsid w:val="008A2D85"/>
    <w:rsid w:val="008A369A"/>
    <w:rsid w:val="008A3E39"/>
    <w:rsid w:val="008A4903"/>
    <w:rsid w:val="008A4A5C"/>
    <w:rsid w:val="008A5E1C"/>
    <w:rsid w:val="008A721F"/>
    <w:rsid w:val="008B21AE"/>
    <w:rsid w:val="008B33F8"/>
    <w:rsid w:val="008B4956"/>
    <w:rsid w:val="008B4F92"/>
    <w:rsid w:val="008B6F15"/>
    <w:rsid w:val="008C01DB"/>
    <w:rsid w:val="008C0654"/>
    <w:rsid w:val="008C280B"/>
    <w:rsid w:val="008C3630"/>
    <w:rsid w:val="008C566C"/>
    <w:rsid w:val="008C7917"/>
    <w:rsid w:val="008C7F26"/>
    <w:rsid w:val="008D13B4"/>
    <w:rsid w:val="008D1BA9"/>
    <w:rsid w:val="008D27DC"/>
    <w:rsid w:val="008D3BC9"/>
    <w:rsid w:val="008D60D9"/>
    <w:rsid w:val="008D79B0"/>
    <w:rsid w:val="008E0662"/>
    <w:rsid w:val="008E0749"/>
    <w:rsid w:val="008E11A1"/>
    <w:rsid w:val="008E1690"/>
    <w:rsid w:val="008E1D72"/>
    <w:rsid w:val="008E2164"/>
    <w:rsid w:val="008E33F7"/>
    <w:rsid w:val="008E38F3"/>
    <w:rsid w:val="008E526F"/>
    <w:rsid w:val="008E5623"/>
    <w:rsid w:val="008E634C"/>
    <w:rsid w:val="008F1AAF"/>
    <w:rsid w:val="008F3347"/>
    <w:rsid w:val="008F36D3"/>
    <w:rsid w:val="008F370A"/>
    <w:rsid w:val="008F3F83"/>
    <w:rsid w:val="008F4736"/>
    <w:rsid w:val="008F7575"/>
    <w:rsid w:val="00900161"/>
    <w:rsid w:val="009006FF"/>
    <w:rsid w:val="00901B2F"/>
    <w:rsid w:val="009022DE"/>
    <w:rsid w:val="00902B88"/>
    <w:rsid w:val="00902DE6"/>
    <w:rsid w:val="00906F0A"/>
    <w:rsid w:val="0091067F"/>
    <w:rsid w:val="00911448"/>
    <w:rsid w:val="009118A5"/>
    <w:rsid w:val="00911C78"/>
    <w:rsid w:val="009121AB"/>
    <w:rsid w:val="00914712"/>
    <w:rsid w:val="00915242"/>
    <w:rsid w:val="009161E0"/>
    <w:rsid w:val="0091787F"/>
    <w:rsid w:val="00922208"/>
    <w:rsid w:val="00923251"/>
    <w:rsid w:val="00924EDA"/>
    <w:rsid w:val="00927777"/>
    <w:rsid w:val="0093232A"/>
    <w:rsid w:val="009324E7"/>
    <w:rsid w:val="0093278B"/>
    <w:rsid w:val="0093521C"/>
    <w:rsid w:val="00937C62"/>
    <w:rsid w:val="00937DBA"/>
    <w:rsid w:val="00940D09"/>
    <w:rsid w:val="00942A7A"/>
    <w:rsid w:val="00942F90"/>
    <w:rsid w:val="009437DF"/>
    <w:rsid w:val="00943E2C"/>
    <w:rsid w:val="0094434A"/>
    <w:rsid w:val="00944811"/>
    <w:rsid w:val="00947223"/>
    <w:rsid w:val="00947C77"/>
    <w:rsid w:val="00950B52"/>
    <w:rsid w:val="00950FD6"/>
    <w:rsid w:val="00951A95"/>
    <w:rsid w:val="0095200D"/>
    <w:rsid w:val="0095223D"/>
    <w:rsid w:val="009537FD"/>
    <w:rsid w:val="00954389"/>
    <w:rsid w:val="0095628A"/>
    <w:rsid w:val="009562CC"/>
    <w:rsid w:val="00956836"/>
    <w:rsid w:val="00957971"/>
    <w:rsid w:val="009611DA"/>
    <w:rsid w:val="009620AF"/>
    <w:rsid w:val="009625B0"/>
    <w:rsid w:val="0096544E"/>
    <w:rsid w:val="00965779"/>
    <w:rsid w:val="00965E55"/>
    <w:rsid w:val="00966071"/>
    <w:rsid w:val="00966EB5"/>
    <w:rsid w:val="0096741C"/>
    <w:rsid w:val="00967C90"/>
    <w:rsid w:val="009740DC"/>
    <w:rsid w:val="00976452"/>
    <w:rsid w:val="00976CCB"/>
    <w:rsid w:val="00980710"/>
    <w:rsid w:val="00980D87"/>
    <w:rsid w:val="00981767"/>
    <w:rsid w:val="00981E4B"/>
    <w:rsid w:val="00982E8D"/>
    <w:rsid w:val="0098455C"/>
    <w:rsid w:val="00986FE3"/>
    <w:rsid w:val="009875EF"/>
    <w:rsid w:val="009901CD"/>
    <w:rsid w:val="00990635"/>
    <w:rsid w:val="00992838"/>
    <w:rsid w:val="009942B5"/>
    <w:rsid w:val="00995156"/>
    <w:rsid w:val="0099590C"/>
    <w:rsid w:val="0099671E"/>
    <w:rsid w:val="00996CDD"/>
    <w:rsid w:val="009974EA"/>
    <w:rsid w:val="00997720"/>
    <w:rsid w:val="009A0415"/>
    <w:rsid w:val="009A060B"/>
    <w:rsid w:val="009A082F"/>
    <w:rsid w:val="009A13EA"/>
    <w:rsid w:val="009A187F"/>
    <w:rsid w:val="009A1FF4"/>
    <w:rsid w:val="009A31FE"/>
    <w:rsid w:val="009A3DBA"/>
    <w:rsid w:val="009A6449"/>
    <w:rsid w:val="009A68EE"/>
    <w:rsid w:val="009A7364"/>
    <w:rsid w:val="009A7C75"/>
    <w:rsid w:val="009B1058"/>
    <w:rsid w:val="009B10DE"/>
    <w:rsid w:val="009B326D"/>
    <w:rsid w:val="009B4076"/>
    <w:rsid w:val="009B4B04"/>
    <w:rsid w:val="009B5A0C"/>
    <w:rsid w:val="009C0AFF"/>
    <w:rsid w:val="009C20A9"/>
    <w:rsid w:val="009C3A2F"/>
    <w:rsid w:val="009C5A74"/>
    <w:rsid w:val="009C664B"/>
    <w:rsid w:val="009C7284"/>
    <w:rsid w:val="009C7E5D"/>
    <w:rsid w:val="009D17A3"/>
    <w:rsid w:val="009D3070"/>
    <w:rsid w:val="009D3265"/>
    <w:rsid w:val="009D6244"/>
    <w:rsid w:val="009D65CF"/>
    <w:rsid w:val="009D6F46"/>
    <w:rsid w:val="009D7417"/>
    <w:rsid w:val="009D7595"/>
    <w:rsid w:val="009E0ED2"/>
    <w:rsid w:val="009E1D0C"/>
    <w:rsid w:val="009E267A"/>
    <w:rsid w:val="009E2858"/>
    <w:rsid w:val="009E3222"/>
    <w:rsid w:val="009E4908"/>
    <w:rsid w:val="009E4ACD"/>
    <w:rsid w:val="009E677E"/>
    <w:rsid w:val="009E75D0"/>
    <w:rsid w:val="009E7CE3"/>
    <w:rsid w:val="009F0D95"/>
    <w:rsid w:val="009F181E"/>
    <w:rsid w:val="009F188B"/>
    <w:rsid w:val="009F2564"/>
    <w:rsid w:val="009F3449"/>
    <w:rsid w:val="009F41F1"/>
    <w:rsid w:val="009F426D"/>
    <w:rsid w:val="009F58C9"/>
    <w:rsid w:val="009F5AA9"/>
    <w:rsid w:val="009F6F98"/>
    <w:rsid w:val="00A01785"/>
    <w:rsid w:val="00A0199B"/>
    <w:rsid w:val="00A02049"/>
    <w:rsid w:val="00A02CCD"/>
    <w:rsid w:val="00A05799"/>
    <w:rsid w:val="00A06151"/>
    <w:rsid w:val="00A061DB"/>
    <w:rsid w:val="00A0679A"/>
    <w:rsid w:val="00A069CE"/>
    <w:rsid w:val="00A10CDD"/>
    <w:rsid w:val="00A11BE1"/>
    <w:rsid w:val="00A11E6A"/>
    <w:rsid w:val="00A121D8"/>
    <w:rsid w:val="00A12DB7"/>
    <w:rsid w:val="00A1310E"/>
    <w:rsid w:val="00A13A47"/>
    <w:rsid w:val="00A14F6F"/>
    <w:rsid w:val="00A1523B"/>
    <w:rsid w:val="00A15DD6"/>
    <w:rsid w:val="00A16568"/>
    <w:rsid w:val="00A176A1"/>
    <w:rsid w:val="00A21A5D"/>
    <w:rsid w:val="00A22567"/>
    <w:rsid w:val="00A2443D"/>
    <w:rsid w:val="00A24F29"/>
    <w:rsid w:val="00A252B4"/>
    <w:rsid w:val="00A25655"/>
    <w:rsid w:val="00A25983"/>
    <w:rsid w:val="00A25EE7"/>
    <w:rsid w:val="00A2656C"/>
    <w:rsid w:val="00A27EE4"/>
    <w:rsid w:val="00A33F21"/>
    <w:rsid w:val="00A34B9A"/>
    <w:rsid w:val="00A37771"/>
    <w:rsid w:val="00A40496"/>
    <w:rsid w:val="00A40C85"/>
    <w:rsid w:val="00A40F69"/>
    <w:rsid w:val="00A41104"/>
    <w:rsid w:val="00A42A94"/>
    <w:rsid w:val="00A43949"/>
    <w:rsid w:val="00A44083"/>
    <w:rsid w:val="00A44407"/>
    <w:rsid w:val="00A449DE"/>
    <w:rsid w:val="00A4537B"/>
    <w:rsid w:val="00A46630"/>
    <w:rsid w:val="00A50634"/>
    <w:rsid w:val="00A506B4"/>
    <w:rsid w:val="00A50E8E"/>
    <w:rsid w:val="00A52B70"/>
    <w:rsid w:val="00A5364F"/>
    <w:rsid w:val="00A53A15"/>
    <w:rsid w:val="00A54F99"/>
    <w:rsid w:val="00A55B28"/>
    <w:rsid w:val="00A56979"/>
    <w:rsid w:val="00A56C54"/>
    <w:rsid w:val="00A60FB9"/>
    <w:rsid w:val="00A612C3"/>
    <w:rsid w:val="00A62C57"/>
    <w:rsid w:val="00A63778"/>
    <w:rsid w:val="00A64145"/>
    <w:rsid w:val="00A65B82"/>
    <w:rsid w:val="00A7117A"/>
    <w:rsid w:val="00A74260"/>
    <w:rsid w:val="00A74CFE"/>
    <w:rsid w:val="00A76D55"/>
    <w:rsid w:val="00A8077A"/>
    <w:rsid w:val="00A82DB2"/>
    <w:rsid w:val="00A84F44"/>
    <w:rsid w:val="00A90447"/>
    <w:rsid w:val="00A90B3B"/>
    <w:rsid w:val="00A914DD"/>
    <w:rsid w:val="00A927B7"/>
    <w:rsid w:val="00A96494"/>
    <w:rsid w:val="00A97DB6"/>
    <w:rsid w:val="00AA0230"/>
    <w:rsid w:val="00AA258C"/>
    <w:rsid w:val="00AA3A91"/>
    <w:rsid w:val="00AA7606"/>
    <w:rsid w:val="00AA776F"/>
    <w:rsid w:val="00AA778E"/>
    <w:rsid w:val="00AB0E08"/>
    <w:rsid w:val="00AB1943"/>
    <w:rsid w:val="00AB2280"/>
    <w:rsid w:val="00AB255E"/>
    <w:rsid w:val="00AB2946"/>
    <w:rsid w:val="00AB46F4"/>
    <w:rsid w:val="00AC04D9"/>
    <w:rsid w:val="00AC1386"/>
    <w:rsid w:val="00AC1EB0"/>
    <w:rsid w:val="00AC4CAE"/>
    <w:rsid w:val="00AC52BA"/>
    <w:rsid w:val="00AC6A2A"/>
    <w:rsid w:val="00AC7301"/>
    <w:rsid w:val="00AC79D8"/>
    <w:rsid w:val="00AD0F49"/>
    <w:rsid w:val="00AD13B1"/>
    <w:rsid w:val="00AD5A3B"/>
    <w:rsid w:val="00AD717D"/>
    <w:rsid w:val="00AD7865"/>
    <w:rsid w:val="00AD7E63"/>
    <w:rsid w:val="00AF084B"/>
    <w:rsid w:val="00AF2298"/>
    <w:rsid w:val="00AF26BB"/>
    <w:rsid w:val="00AF3DF2"/>
    <w:rsid w:val="00AF5045"/>
    <w:rsid w:val="00AF596A"/>
    <w:rsid w:val="00AF5EC5"/>
    <w:rsid w:val="00AF637C"/>
    <w:rsid w:val="00AF64E5"/>
    <w:rsid w:val="00AF7B8F"/>
    <w:rsid w:val="00AF7F10"/>
    <w:rsid w:val="00B005C0"/>
    <w:rsid w:val="00B02249"/>
    <w:rsid w:val="00B03249"/>
    <w:rsid w:val="00B036D8"/>
    <w:rsid w:val="00B04A71"/>
    <w:rsid w:val="00B05D1F"/>
    <w:rsid w:val="00B06BB4"/>
    <w:rsid w:val="00B06D46"/>
    <w:rsid w:val="00B073D7"/>
    <w:rsid w:val="00B102B3"/>
    <w:rsid w:val="00B10F0C"/>
    <w:rsid w:val="00B119A1"/>
    <w:rsid w:val="00B11E13"/>
    <w:rsid w:val="00B12302"/>
    <w:rsid w:val="00B136AD"/>
    <w:rsid w:val="00B14FAF"/>
    <w:rsid w:val="00B1585D"/>
    <w:rsid w:val="00B1610D"/>
    <w:rsid w:val="00B17E48"/>
    <w:rsid w:val="00B21D81"/>
    <w:rsid w:val="00B22A9E"/>
    <w:rsid w:val="00B23576"/>
    <w:rsid w:val="00B24FE9"/>
    <w:rsid w:val="00B26D16"/>
    <w:rsid w:val="00B31A0E"/>
    <w:rsid w:val="00B31E9F"/>
    <w:rsid w:val="00B33191"/>
    <w:rsid w:val="00B34F3D"/>
    <w:rsid w:val="00B35F21"/>
    <w:rsid w:val="00B376EB"/>
    <w:rsid w:val="00B37F24"/>
    <w:rsid w:val="00B40190"/>
    <w:rsid w:val="00B40A35"/>
    <w:rsid w:val="00B41527"/>
    <w:rsid w:val="00B42424"/>
    <w:rsid w:val="00B42CDA"/>
    <w:rsid w:val="00B42F7D"/>
    <w:rsid w:val="00B44B91"/>
    <w:rsid w:val="00B46280"/>
    <w:rsid w:val="00B46CB2"/>
    <w:rsid w:val="00B51F10"/>
    <w:rsid w:val="00B5291E"/>
    <w:rsid w:val="00B539DD"/>
    <w:rsid w:val="00B547B3"/>
    <w:rsid w:val="00B559E5"/>
    <w:rsid w:val="00B56E3C"/>
    <w:rsid w:val="00B62318"/>
    <w:rsid w:val="00B62647"/>
    <w:rsid w:val="00B64B06"/>
    <w:rsid w:val="00B66338"/>
    <w:rsid w:val="00B673AA"/>
    <w:rsid w:val="00B6782B"/>
    <w:rsid w:val="00B709CD"/>
    <w:rsid w:val="00B716E6"/>
    <w:rsid w:val="00B72236"/>
    <w:rsid w:val="00B7396A"/>
    <w:rsid w:val="00B74D74"/>
    <w:rsid w:val="00B755CB"/>
    <w:rsid w:val="00B824C7"/>
    <w:rsid w:val="00B82AE9"/>
    <w:rsid w:val="00B82F1F"/>
    <w:rsid w:val="00B831DC"/>
    <w:rsid w:val="00B83939"/>
    <w:rsid w:val="00B841E8"/>
    <w:rsid w:val="00B84582"/>
    <w:rsid w:val="00B868D3"/>
    <w:rsid w:val="00B90FD2"/>
    <w:rsid w:val="00B91B18"/>
    <w:rsid w:val="00B9258F"/>
    <w:rsid w:val="00B927EC"/>
    <w:rsid w:val="00B9529C"/>
    <w:rsid w:val="00B96668"/>
    <w:rsid w:val="00B96E99"/>
    <w:rsid w:val="00B97A68"/>
    <w:rsid w:val="00B97C49"/>
    <w:rsid w:val="00B97E37"/>
    <w:rsid w:val="00BA063F"/>
    <w:rsid w:val="00BA0DF9"/>
    <w:rsid w:val="00BA3B62"/>
    <w:rsid w:val="00BA46A6"/>
    <w:rsid w:val="00BA6EE4"/>
    <w:rsid w:val="00BB1375"/>
    <w:rsid w:val="00BB27D1"/>
    <w:rsid w:val="00BB6406"/>
    <w:rsid w:val="00BB68E4"/>
    <w:rsid w:val="00BB6A48"/>
    <w:rsid w:val="00BB6FE0"/>
    <w:rsid w:val="00BC0758"/>
    <w:rsid w:val="00BC32AA"/>
    <w:rsid w:val="00BC4FFB"/>
    <w:rsid w:val="00BC6022"/>
    <w:rsid w:val="00BC60C8"/>
    <w:rsid w:val="00BC6EAE"/>
    <w:rsid w:val="00BC727C"/>
    <w:rsid w:val="00BC7818"/>
    <w:rsid w:val="00BC7DAE"/>
    <w:rsid w:val="00BD3878"/>
    <w:rsid w:val="00BD58A5"/>
    <w:rsid w:val="00BD680F"/>
    <w:rsid w:val="00BD730F"/>
    <w:rsid w:val="00BD785F"/>
    <w:rsid w:val="00BD7B33"/>
    <w:rsid w:val="00BD7C8D"/>
    <w:rsid w:val="00BD7F0C"/>
    <w:rsid w:val="00BE0336"/>
    <w:rsid w:val="00BE082C"/>
    <w:rsid w:val="00BE12FA"/>
    <w:rsid w:val="00BE3F38"/>
    <w:rsid w:val="00BE614A"/>
    <w:rsid w:val="00BE6DBF"/>
    <w:rsid w:val="00BE7A33"/>
    <w:rsid w:val="00BE7DD1"/>
    <w:rsid w:val="00BF376F"/>
    <w:rsid w:val="00BF627D"/>
    <w:rsid w:val="00BF673B"/>
    <w:rsid w:val="00C0109B"/>
    <w:rsid w:val="00C022CD"/>
    <w:rsid w:val="00C0266D"/>
    <w:rsid w:val="00C03167"/>
    <w:rsid w:val="00C05B3E"/>
    <w:rsid w:val="00C10719"/>
    <w:rsid w:val="00C10DD8"/>
    <w:rsid w:val="00C115DE"/>
    <w:rsid w:val="00C11B05"/>
    <w:rsid w:val="00C12097"/>
    <w:rsid w:val="00C12B02"/>
    <w:rsid w:val="00C137F1"/>
    <w:rsid w:val="00C161D1"/>
    <w:rsid w:val="00C17045"/>
    <w:rsid w:val="00C203D5"/>
    <w:rsid w:val="00C2042F"/>
    <w:rsid w:val="00C20E0F"/>
    <w:rsid w:val="00C23B65"/>
    <w:rsid w:val="00C25089"/>
    <w:rsid w:val="00C25A29"/>
    <w:rsid w:val="00C267C6"/>
    <w:rsid w:val="00C30E52"/>
    <w:rsid w:val="00C32197"/>
    <w:rsid w:val="00C34146"/>
    <w:rsid w:val="00C35668"/>
    <w:rsid w:val="00C3593A"/>
    <w:rsid w:val="00C37474"/>
    <w:rsid w:val="00C37B38"/>
    <w:rsid w:val="00C40C4F"/>
    <w:rsid w:val="00C42FD0"/>
    <w:rsid w:val="00C44773"/>
    <w:rsid w:val="00C45F6F"/>
    <w:rsid w:val="00C46D82"/>
    <w:rsid w:val="00C5129D"/>
    <w:rsid w:val="00C5152B"/>
    <w:rsid w:val="00C51B09"/>
    <w:rsid w:val="00C53A2B"/>
    <w:rsid w:val="00C543B0"/>
    <w:rsid w:val="00C548D1"/>
    <w:rsid w:val="00C560AE"/>
    <w:rsid w:val="00C57415"/>
    <w:rsid w:val="00C62068"/>
    <w:rsid w:val="00C62DD0"/>
    <w:rsid w:val="00C67A1B"/>
    <w:rsid w:val="00C67DE9"/>
    <w:rsid w:val="00C709A2"/>
    <w:rsid w:val="00C71E78"/>
    <w:rsid w:val="00C72282"/>
    <w:rsid w:val="00C73952"/>
    <w:rsid w:val="00C74072"/>
    <w:rsid w:val="00C74591"/>
    <w:rsid w:val="00C747DC"/>
    <w:rsid w:val="00C75FB0"/>
    <w:rsid w:val="00C761C2"/>
    <w:rsid w:val="00C76284"/>
    <w:rsid w:val="00C76555"/>
    <w:rsid w:val="00C77665"/>
    <w:rsid w:val="00C7785F"/>
    <w:rsid w:val="00C77C09"/>
    <w:rsid w:val="00C80098"/>
    <w:rsid w:val="00C81358"/>
    <w:rsid w:val="00C82E7D"/>
    <w:rsid w:val="00C83312"/>
    <w:rsid w:val="00C83DE5"/>
    <w:rsid w:val="00C861C4"/>
    <w:rsid w:val="00C86221"/>
    <w:rsid w:val="00C86652"/>
    <w:rsid w:val="00C87769"/>
    <w:rsid w:val="00C90B58"/>
    <w:rsid w:val="00C911A9"/>
    <w:rsid w:val="00C918D1"/>
    <w:rsid w:val="00C91AA9"/>
    <w:rsid w:val="00C91E26"/>
    <w:rsid w:val="00C92E67"/>
    <w:rsid w:val="00C937F3"/>
    <w:rsid w:val="00C9462D"/>
    <w:rsid w:val="00C94D6E"/>
    <w:rsid w:val="00C96315"/>
    <w:rsid w:val="00C97019"/>
    <w:rsid w:val="00C97431"/>
    <w:rsid w:val="00CA171E"/>
    <w:rsid w:val="00CA2040"/>
    <w:rsid w:val="00CA3D17"/>
    <w:rsid w:val="00CA3F2E"/>
    <w:rsid w:val="00CA5126"/>
    <w:rsid w:val="00CA5954"/>
    <w:rsid w:val="00CA5AAD"/>
    <w:rsid w:val="00CA5B3C"/>
    <w:rsid w:val="00CA6121"/>
    <w:rsid w:val="00CA6A16"/>
    <w:rsid w:val="00CB0554"/>
    <w:rsid w:val="00CB1EC0"/>
    <w:rsid w:val="00CB33A6"/>
    <w:rsid w:val="00CB3F06"/>
    <w:rsid w:val="00CB4277"/>
    <w:rsid w:val="00CB5DC9"/>
    <w:rsid w:val="00CB67FD"/>
    <w:rsid w:val="00CB694C"/>
    <w:rsid w:val="00CB6A18"/>
    <w:rsid w:val="00CB6A7C"/>
    <w:rsid w:val="00CB75C6"/>
    <w:rsid w:val="00CC174B"/>
    <w:rsid w:val="00CC1B9D"/>
    <w:rsid w:val="00CC1C99"/>
    <w:rsid w:val="00CC214B"/>
    <w:rsid w:val="00CC33E6"/>
    <w:rsid w:val="00CC752C"/>
    <w:rsid w:val="00CC7BB3"/>
    <w:rsid w:val="00CD02C1"/>
    <w:rsid w:val="00CD0B38"/>
    <w:rsid w:val="00CD55E0"/>
    <w:rsid w:val="00CD57B8"/>
    <w:rsid w:val="00CD73BD"/>
    <w:rsid w:val="00CD77A1"/>
    <w:rsid w:val="00CD7DD1"/>
    <w:rsid w:val="00CD7FDC"/>
    <w:rsid w:val="00CE434C"/>
    <w:rsid w:val="00CE4831"/>
    <w:rsid w:val="00CE52A5"/>
    <w:rsid w:val="00CE5851"/>
    <w:rsid w:val="00CE7221"/>
    <w:rsid w:val="00CE7674"/>
    <w:rsid w:val="00CF0364"/>
    <w:rsid w:val="00CF036C"/>
    <w:rsid w:val="00CF3C7B"/>
    <w:rsid w:val="00CF4893"/>
    <w:rsid w:val="00CF4A23"/>
    <w:rsid w:val="00CF5371"/>
    <w:rsid w:val="00CF7224"/>
    <w:rsid w:val="00D01A5E"/>
    <w:rsid w:val="00D0202D"/>
    <w:rsid w:val="00D027BB"/>
    <w:rsid w:val="00D063EE"/>
    <w:rsid w:val="00D10DBA"/>
    <w:rsid w:val="00D110C4"/>
    <w:rsid w:val="00D135C7"/>
    <w:rsid w:val="00D13B7F"/>
    <w:rsid w:val="00D14F23"/>
    <w:rsid w:val="00D15545"/>
    <w:rsid w:val="00D163E8"/>
    <w:rsid w:val="00D171B6"/>
    <w:rsid w:val="00D172B2"/>
    <w:rsid w:val="00D17FCF"/>
    <w:rsid w:val="00D20408"/>
    <w:rsid w:val="00D2104C"/>
    <w:rsid w:val="00D21370"/>
    <w:rsid w:val="00D21DB2"/>
    <w:rsid w:val="00D2274F"/>
    <w:rsid w:val="00D231E8"/>
    <w:rsid w:val="00D2367F"/>
    <w:rsid w:val="00D26026"/>
    <w:rsid w:val="00D26735"/>
    <w:rsid w:val="00D271AD"/>
    <w:rsid w:val="00D27330"/>
    <w:rsid w:val="00D30127"/>
    <w:rsid w:val="00D30F52"/>
    <w:rsid w:val="00D31093"/>
    <w:rsid w:val="00D31AF1"/>
    <w:rsid w:val="00D32722"/>
    <w:rsid w:val="00D3321B"/>
    <w:rsid w:val="00D332FE"/>
    <w:rsid w:val="00D346BB"/>
    <w:rsid w:val="00D346DD"/>
    <w:rsid w:val="00D36D67"/>
    <w:rsid w:val="00D4027E"/>
    <w:rsid w:val="00D40FE1"/>
    <w:rsid w:val="00D42BC1"/>
    <w:rsid w:val="00D4652D"/>
    <w:rsid w:val="00D522B7"/>
    <w:rsid w:val="00D536A2"/>
    <w:rsid w:val="00D5477A"/>
    <w:rsid w:val="00D565D2"/>
    <w:rsid w:val="00D56A47"/>
    <w:rsid w:val="00D57425"/>
    <w:rsid w:val="00D5757E"/>
    <w:rsid w:val="00D57A7B"/>
    <w:rsid w:val="00D6257A"/>
    <w:rsid w:val="00D6454F"/>
    <w:rsid w:val="00D64568"/>
    <w:rsid w:val="00D6777A"/>
    <w:rsid w:val="00D71086"/>
    <w:rsid w:val="00D71408"/>
    <w:rsid w:val="00D717EB"/>
    <w:rsid w:val="00D724A4"/>
    <w:rsid w:val="00D72F40"/>
    <w:rsid w:val="00D73B45"/>
    <w:rsid w:val="00D74FB6"/>
    <w:rsid w:val="00D7782C"/>
    <w:rsid w:val="00D779E1"/>
    <w:rsid w:val="00D80D81"/>
    <w:rsid w:val="00D828EB"/>
    <w:rsid w:val="00D851A2"/>
    <w:rsid w:val="00D85775"/>
    <w:rsid w:val="00D857AF"/>
    <w:rsid w:val="00D85E6A"/>
    <w:rsid w:val="00D87255"/>
    <w:rsid w:val="00D90DD8"/>
    <w:rsid w:val="00D917BF"/>
    <w:rsid w:val="00D9191E"/>
    <w:rsid w:val="00D94EAE"/>
    <w:rsid w:val="00D95238"/>
    <w:rsid w:val="00D97A54"/>
    <w:rsid w:val="00D97D5E"/>
    <w:rsid w:val="00DA09C2"/>
    <w:rsid w:val="00DA1BE9"/>
    <w:rsid w:val="00DA3739"/>
    <w:rsid w:val="00DA3A8F"/>
    <w:rsid w:val="00DA4823"/>
    <w:rsid w:val="00DA5537"/>
    <w:rsid w:val="00DA746D"/>
    <w:rsid w:val="00DB0709"/>
    <w:rsid w:val="00DB3204"/>
    <w:rsid w:val="00DB48F9"/>
    <w:rsid w:val="00DB4FB7"/>
    <w:rsid w:val="00DB6946"/>
    <w:rsid w:val="00DC439F"/>
    <w:rsid w:val="00DC4D99"/>
    <w:rsid w:val="00DD0AC3"/>
    <w:rsid w:val="00DD0CCE"/>
    <w:rsid w:val="00DD1181"/>
    <w:rsid w:val="00DD119A"/>
    <w:rsid w:val="00DD13DA"/>
    <w:rsid w:val="00DD16CF"/>
    <w:rsid w:val="00DD26C7"/>
    <w:rsid w:val="00DD2E2C"/>
    <w:rsid w:val="00DD36FC"/>
    <w:rsid w:val="00DD412D"/>
    <w:rsid w:val="00DD4798"/>
    <w:rsid w:val="00DD7498"/>
    <w:rsid w:val="00DE1D84"/>
    <w:rsid w:val="00DE3FCC"/>
    <w:rsid w:val="00DE4969"/>
    <w:rsid w:val="00DF07BF"/>
    <w:rsid w:val="00DF19FD"/>
    <w:rsid w:val="00DF31E3"/>
    <w:rsid w:val="00DF4400"/>
    <w:rsid w:val="00DF5554"/>
    <w:rsid w:val="00DF63EE"/>
    <w:rsid w:val="00DF661B"/>
    <w:rsid w:val="00E012FF"/>
    <w:rsid w:val="00E05349"/>
    <w:rsid w:val="00E0743A"/>
    <w:rsid w:val="00E0787A"/>
    <w:rsid w:val="00E126F3"/>
    <w:rsid w:val="00E13226"/>
    <w:rsid w:val="00E13878"/>
    <w:rsid w:val="00E2039C"/>
    <w:rsid w:val="00E21463"/>
    <w:rsid w:val="00E22297"/>
    <w:rsid w:val="00E2271C"/>
    <w:rsid w:val="00E239E8"/>
    <w:rsid w:val="00E23CF9"/>
    <w:rsid w:val="00E26F52"/>
    <w:rsid w:val="00E322D0"/>
    <w:rsid w:val="00E37D0B"/>
    <w:rsid w:val="00E40687"/>
    <w:rsid w:val="00E415D2"/>
    <w:rsid w:val="00E42538"/>
    <w:rsid w:val="00E43AAD"/>
    <w:rsid w:val="00E53DB3"/>
    <w:rsid w:val="00E55A07"/>
    <w:rsid w:val="00E56767"/>
    <w:rsid w:val="00E604ED"/>
    <w:rsid w:val="00E60B98"/>
    <w:rsid w:val="00E61579"/>
    <w:rsid w:val="00E61C99"/>
    <w:rsid w:val="00E62081"/>
    <w:rsid w:val="00E62131"/>
    <w:rsid w:val="00E6246C"/>
    <w:rsid w:val="00E63666"/>
    <w:rsid w:val="00E645E8"/>
    <w:rsid w:val="00E653E6"/>
    <w:rsid w:val="00E66B8A"/>
    <w:rsid w:val="00E67773"/>
    <w:rsid w:val="00E67D64"/>
    <w:rsid w:val="00E7011E"/>
    <w:rsid w:val="00E70337"/>
    <w:rsid w:val="00E7048F"/>
    <w:rsid w:val="00E72B5F"/>
    <w:rsid w:val="00E732CB"/>
    <w:rsid w:val="00E73D1B"/>
    <w:rsid w:val="00E73D81"/>
    <w:rsid w:val="00E7401F"/>
    <w:rsid w:val="00E76036"/>
    <w:rsid w:val="00E763B4"/>
    <w:rsid w:val="00E76759"/>
    <w:rsid w:val="00E7770C"/>
    <w:rsid w:val="00E80896"/>
    <w:rsid w:val="00E83594"/>
    <w:rsid w:val="00E84C89"/>
    <w:rsid w:val="00E85085"/>
    <w:rsid w:val="00E854BD"/>
    <w:rsid w:val="00E858CC"/>
    <w:rsid w:val="00E91341"/>
    <w:rsid w:val="00E919FD"/>
    <w:rsid w:val="00E92054"/>
    <w:rsid w:val="00E922DA"/>
    <w:rsid w:val="00E929E7"/>
    <w:rsid w:val="00E9376D"/>
    <w:rsid w:val="00E940ED"/>
    <w:rsid w:val="00E966E5"/>
    <w:rsid w:val="00EA45C4"/>
    <w:rsid w:val="00EA56F4"/>
    <w:rsid w:val="00EA60C1"/>
    <w:rsid w:val="00EA7210"/>
    <w:rsid w:val="00EB05C2"/>
    <w:rsid w:val="00EB093B"/>
    <w:rsid w:val="00EB228C"/>
    <w:rsid w:val="00EB25B6"/>
    <w:rsid w:val="00EB718C"/>
    <w:rsid w:val="00EB79FA"/>
    <w:rsid w:val="00EC045D"/>
    <w:rsid w:val="00EC0C89"/>
    <w:rsid w:val="00EC2AB7"/>
    <w:rsid w:val="00EC4CDA"/>
    <w:rsid w:val="00EC4E9C"/>
    <w:rsid w:val="00EC70EC"/>
    <w:rsid w:val="00ED1681"/>
    <w:rsid w:val="00ED3382"/>
    <w:rsid w:val="00ED33AD"/>
    <w:rsid w:val="00ED403B"/>
    <w:rsid w:val="00ED478D"/>
    <w:rsid w:val="00ED4DDD"/>
    <w:rsid w:val="00ED5F3C"/>
    <w:rsid w:val="00ED63D1"/>
    <w:rsid w:val="00ED7266"/>
    <w:rsid w:val="00EE05F9"/>
    <w:rsid w:val="00EE19D6"/>
    <w:rsid w:val="00EE31E7"/>
    <w:rsid w:val="00EE477F"/>
    <w:rsid w:val="00EE5DA7"/>
    <w:rsid w:val="00EF0727"/>
    <w:rsid w:val="00EF3CE4"/>
    <w:rsid w:val="00EF3F34"/>
    <w:rsid w:val="00EF502A"/>
    <w:rsid w:val="00EF6121"/>
    <w:rsid w:val="00EF6670"/>
    <w:rsid w:val="00EF6E84"/>
    <w:rsid w:val="00F01157"/>
    <w:rsid w:val="00F016A2"/>
    <w:rsid w:val="00F105EC"/>
    <w:rsid w:val="00F10FE0"/>
    <w:rsid w:val="00F128A9"/>
    <w:rsid w:val="00F15D19"/>
    <w:rsid w:val="00F20856"/>
    <w:rsid w:val="00F20D5F"/>
    <w:rsid w:val="00F21C7E"/>
    <w:rsid w:val="00F21FD0"/>
    <w:rsid w:val="00F224E3"/>
    <w:rsid w:val="00F22A5B"/>
    <w:rsid w:val="00F24544"/>
    <w:rsid w:val="00F24C35"/>
    <w:rsid w:val="00F2576E"/>
    <w:rsid w:val="00F2595B"/>
    <w:rsid w:val="00F26555"/>
    <w:rsid w:val="00F26DB5"/>
    <w:rsid w:val="00F2743F"/>
    <w:rsid w:val="00F27EE7"/>
    <w:rsid w:val="00F32034"/>
    <w:rsid w:val="00F32E1A"/>
    <w:rsid w:val="00F32E2C"/>
    <w:rsid w:val="00F3309A"/>
    <w:rsid w:val="00F3403B"/>
    <w:rsid w:val="00F343E7"/>
    <w:rsid w:val="00F352ED"/>
    <w:rsid w:val="00F37B39"/>
    <w:rsid w:val="00F37BFA"/>
    <w:rsid w:val="00F443C6"/>
    <w:rsid w:val="00F45FD8"/>
    <w:rsid w:val="00F47DA6"/>
    <w:rsid w:val="00F50FF9"/>
    <w:rsid w:val="00F510D4"/>
    <w:rsid w:val="00F52A02"/>
    <w:rsid w:val="00F5360A"/>
    <w:rsid w:val="00F55591"/>
    <w:rsid w:val="00F57338"/>
    <w:rsid w:val="00F60A4D"/>
    <w:rsid w:val="00F60EE7"/>
    <w:rsid w:val="00F6292A"/>
    <w:rsid w:val="00F64B91"/>
    <w:rsid w:val="00F64C6E"/>
    <w:rsid w:val="00F64ED5"/>
    <w:rsid w:val="00F676C4"/>
    <w:rsid w:val="00F704B9"/>
    <w:rsid w:val="00F7082E"/>
    <w:rsid w:val="00F70CED"/>
    <w:rsid w:val="00F737F0"/>
    <w:rsid w:val="00F73C85"/>
    <w:rsid w:val="00F73F93"/>
    <w:rsid w:val="00F74557"/>
    <w:rsid w:val="00F747BB"/>
    <w:rsid w:val="00F74986"/>
    <w:rsid w:val="00F75068"/>
    <w:rsid w:val="00F760B7"/>
    <w:rsid w:val="00F80404"/>
    <w:rsid w:val="00F808A6"/>
    <w:rsid w:val="00F80B75"/>
    <w:rsid w:val="00F81F6B"/>
    <w:rsid w:val="00F829D1"/>
    <w:rsid w:val="00F83BA3"/>
    <w:rsid w:val="00F8699E"/>
    <w:rsid w:val="00F907BA"/>
    <w:rsid w:val="00F91793"/>
    <w:rsid w:val="00F92854"/>
    <w:rsid w:val="00F92CE9"/>
    <w:rsid w:val="00F94E08"/>
    <w:rsid w:val="00F9575B"/>
    <w:rsid w:val="00FA056C"/>
    <w:rsid w:val="00FA3CFB"/>
    <w:rsid w:val="00FA411E"/>
    <w:rsid w:val="00FA43A9"/>
    <w:rsid w:val="00FA4D26"/>
    <w:rsid w:val="00FA67B0"/>
    <w:rsid w:val="00FA71B5"/>
    <w:rsid w:val="00FA7962"/>
    <w:rsid w:val="00FB1430"/>
    <w:rsid w:val="00FB2EA0"/>
    <w:rsid w:val="00FC3082"/>
    <w:rsid w:val="00FC3F5C"/>
    <w:rsid w:val="00FC4D49"/>
    <w:rsid w:val="00FC4E1A"/>
    <w:rsid w:val="00FC6AE1"/>
    <w:rsid w:val="00FC6EFE"/>
    <w:rsid w:val="00FC74A4"/>
    <w:rsid w:val="00FD0BB4"/>
    <w:rsid w:val="00FD123E"/>
    <w:rsid w:val="00FD22F9"/>
    <w:rsid w:val="00FD26F9"/>
    <w:rsid w:val="00FD534F"/>
    <w:rsid w:val="00FD5AED"/>
    <w:rsid w:val="00FD5BA1"/>
    <w:rsid w:val="00FD5CA4"/>
    <w:rsid w:val="00FD60B1"/>
    <w:rsid w:val="00FE0EEE"/>
    <w:rsid w:val="00FE37E7"/>
    <w:rsid w:val="00FE50F8"/>
    <w:rsid w:val="00FE5116"/>
    <w:rsid w:val="00FE668D"/>
    <w:rsid w:val="00FF04A5"/>
    <w:rsid w:val="00FF0A27"/>
    <w:rsid w:val="00FF30C3"/>
    <w:rsid w:val="00FF5425"/>
    <w:rsid w:val="00FF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link w:val="PlainTextChar"/>
    <w:uiPriority w:val="99"/>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rsid w:val="00D346BB"/>
    <w:pPr>
      <w:spacing w:before="100" w:beforeAutospacing="1" w:after="100" w:afterAutospacing="1"/>
    </w:pPr>
  </w:style>
  <w:style w:type="character" w:styleId="FootnoteReference">
    <w:name w:val="footnote reference"/>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LogicModelText">
    <w:name w:val="Logic Model Text"/>
    <w:basedOn w:val="Normal"/>
    <w:rsid w:val="00A96494"/>
    <w:pPr>
      <w:spacing w:before="60" w:after="60"/>
      <w:jc w:val="center"/>
    </w:pPr>
    <w:rPr>
      <w:rFonts w:ascii="Arial Narrow" w:hAnsi="Arial Narrow"/>
      <w:b/>
      <w:sz w:val="18"/>
      <w:szCs w:val="20"/>
    </w:rPr>
  </w:style>
  <w:style w:type="paragraph" w:customStyle="1" w:styleId="DocumentHeader-EvenPage">
    <w:name w:val="Document Header - Even Page"/>
    <w:uiPriority w:val="90"/>
    <w:qFormat/>
    <w:rsid w:val="00A96494"/>
    <w:pPr>
      <w:pBdr>
        <w:bottom w:val="single" w:sz="4" w:space="4" w:color="BFBFBF"/>
      </w:pBdr>
      <w:spacing w:after="360"/>
    </w:pPr>
    <w:rPr>
      <w:rFonts w:ascii="Arial" w:eastAsia="Calibri" w:hAnsi="Arial"/>
      <w:sz w:val="16"/>
      <w:szCs w:val="22"/>
    </w:rPr>
  </w:style>
  <w:style w:type="paragraph" w:customStyle="1" w:styleId="DocumentFooter-EvenPage">
    <w:name w:val="Document Footer - Even Page"/>
    <w:basedOn w:val="DocumentHeader-EvenPage"/>
    <w:uiPriority w:val="92"/>
    <w:qFormat/>
    <w:rsid w:val="00A96494"/>
    <w:pPr>
      <w:pBdr>
        <w:top w:val="single" w:sz="4" w:space="4" w:color="BFBFBF"/>
        <w:bottom w:val="none" w:sz="0" w:space="0" w:color="auto"/>
      </w:pBdr>
      <w:spacing w:before="360" w:after="0"/>
    </w:pPr>
  </w:style>
  <w:style w:type="paragraph" w:customStyle="1" w:styleId="DocumentFooter-OddPage">
    <w:name w:val="Document Footer - Odd Page"/>
    <w:basedOn w:val="DocumentFooter-EvenPage"/>
    <w:uiPriority w:val="99"/>
    <w:qFormat/>
    <w:rsid w:val="00A96494"/>
    <w:pPr>
      <w:jc w:val="right"/>
    </w:pPr>
  </w:style>
  <w:style w:type="paragraph" w:customStyle="1" w:styleId="DocumentHeader-OddPage">
    <w:name w:val="Document Header - Odd Page"/>
    <w:basedOn w:val="DocumentHeader-EvenPage"/>
    <w:uiPriority w:val="99"/>
    <w:qFormat/>
    <w:rsid w:val="00A96494"/>
    <w:pPr>
      <w:jc w:val="right"/>
    </w:pPr>
  </w:style>
  <w:style w:type="paragraph" w:customStyle="1" w:styleId="Graph-Title">
    <w:name w:val="Graph - Title"/>
    <w:basedOn w:val="Normal"/>
    <w:next w:val="Normal"/>
    <w:uiPriority w:val="29"/>
    <w:qFormat/>
    <w:rsid w:val="00A96494"/>
    <w:pPr>
      <w:keepNext/>
      <w:spacing w:before="100" w:beforeAutospacing="1" w:after="120"/>
      <w:ind w:right="288"/>
    </w:pPr>
    <w:rPr>
      <w:rFonts w:ascii="Arial Bold" w:hAnsi="Arial Bold" w:cs="Cambria"/>
      <w:b/>
      <w:color w:val="000000"/>
      <w:sz w:val="28"/>
    </w:rPr>
  </w:style>
  <w:style w:type="character" w:customStyle="1" w:styleId="FooterChar">
    <w:name w:val="Footer Char"/>
    <w:basedOn w:val="DefaultParagraphFont"/>
    <w:link w:val="Footer"/>
    <w:uiPriority w:val="99"/>
    <w:rsid w:val="00D15545"/>
    <w:rPr>
      <w:rFonts w:ascii="Arial" w:hAnsi="Arial"/>
      <w:sz w:val="18"/>
    </w:rPr>
  </w:style>
  <w:style w:type="character" w:styleId="FollowedHyperlink">
    <w:name w:val="FollowedHyperlink"/>
    <w:basedOn w:val="DefaultParagraphFont"/>
    <w:uiPriority w:val="99"/>
    <w:semiHidden/>
    <w:unhideWhenUsed/>
    <w:rsid w:val="0040105B"/>
    <w:rPr>
      <w:color w:val="800080" w:themeColor="followedHyperlink"/>
      <w:u w:val="single"/>
    </w:rPr>
  </w:style>
  <w:style w:type="character" w:customStyle="1" w:styleId="PlainTextChar">
    <w:name w:val="Plain Text Char"/>
    <w:basedOn w:val="DefaultParagraphFont"/>
    <w:link w:val="PlainText"/>
    <w:uiPriority w:val="99"/>
    <w:rsid w:val="004C0B6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link w:val="PlainTextChar"/>
    <w:uiPriority w:val="99"/>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rsid w:val="00D346BB"/>
    <w:pPr>
      <w:spacing w:before="100" w:beforeAutospacing="1" w:after="100" w:afterAutospacing="1"/>
    </w:pPr>
  </w:style>
  <w:style w:type="character" w:styleId="FootnoteReference">
    <w:name w:val="footnote reference"/>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LogicModelText">
    <w:name w:val="Logic Model Text"/>
    <w:basedOn w:val="Normal"/>
    <w:rsid w:val="00A96494"/>
    <w:pPr>
      <w:spacing w:before="60" w:after="60"/>
      <w:jc w:val="center"/>
    </w:pPr>
    <w:rPr>
      <w:rFonts w:ascii="Arial Narrow" w:hAnsi="Arial Narrow"/>
      <w:b/>
      <w:sz w:val="18"/>
      <w:szCs w:val="20"/>
    </w:rPr>
  </w:style>
  <w:style w:type="paragraph" w:customStyle="1" w:styleId="DocumentHeader-EvenPage">
    <w:name w:val="Document Header - Even Page"/>
    <w:uiPriority w:val="90"/>
    <w:qFormat/>
    <w:rsid w:val="00A96494"/>
    <w:pPr>
      <w:pBdr>
        <w:bottom w:val="single" w:sz="4" w:space="4" w:color="BFBFBF"/>
      </w:pBdr>
      <w:spacing w:after="360"/>
    </w:pPr>
    <w:rPr>
      <w:rFonts w:ascii="Arial" w:eastAsia="Calibri" w:hAnsi="Arial"/>
      <w:sz w:val="16"/>
      <w:szCs w:val="22"/>
    </w:rPr>
  </w:style>
  <w:style w:type="paragraph" w:customStyle="1" w:styleId="DocumentFooter-EvenPage">
    <w:name w:val="Document Footer - Even Page"/>
    <w:basedOn w:val="DocumentHeader-EvenPage"/>
    <w:uiPriority w:val="92"/>
    <w:qFormat/>
    <w:rsid w:val="00A96494"/>
    <w:pPr>
      <w:pBdr>
        <w:top w:val="single" w:sz="4" w:space="4" w:color="BFBFBF"/>
        <w:bottom w:val="none" w:sz="0" w:space="0" w:color="auto"/>
      </w:pBdr>
      <w:spacing w:before="360" w:after="0"/>
    </w:pPr>
  </w:style>
  <w:style w:type="paragraph" w:customStyle="1" w:styleId="DocumentFooter-OddPage">
    <w:name w:val="Document Footer - Odd Page"/>
    <w:basedOn w:val="DocumentFooter-EvenPage"/>
    <w:uiPriority w:val="99"/>
    <w:qFormat/>
    <w:rsid w:val="00A96494"/>
    <w:pPr>
      <w:jc w:val="right"/>
    </w:pPr>
  </w:style>
  <w:style w:type="paragraph" w:customStyle="1" w:styleId="DocumentHeader-OddPage">
    <w:name w:val="Document Header - Odd Page"/>
    <w:basedOn w:val="DocumentHeader-EvenPage"/>
    <w:uiPriority w:val="99"/>
    <w:qFormat/>
    <w:rsid w:val="00A96494"/>
    <w:pPr>
      <w:jc w:val="right"/>
    </w:pPr>
  </w:style>
  <w:style w:type="paragraph" w:customStyle="1" w:styleId="Graph-Title">
    <w:name w:val="Graph - Title"/>
    <w:basedOn w:val="Normal"/>
    <w:next w:val="Normal"/>
    <w:uiPriority w:val="29"/>
    <w:qFormat/>
    <w:rsid w:val="00A96494"/>
    <w:pPr>
      <w:keepNext/>
      <w:spacing w:before="100" w:beforeAutospacing="1" w:after="120"/>
      <w:ind w:right="288"/>
    </w:pPr>
    <w:rPr>
      <w:rFonts w:ascii="Arial Bold" w:hAnsi="Arial Bold" w:cs="Cambria"/>
      <w:b/>
      <w:color w:val="000000"/>
      <w:sz w:val="28"/>
    </w:rPr>
  </w:style>
  <w:style w:type="character" w:customStyle="1" w:styleId="FooterChar">
    <w:name w:val="Footer Char"/>
    <w:basedOn w:val="DefaultParagraphFont"/>
    <w:link w:val="Footer"/>
    <w:uiPriority w:val="99"/>
    <w:rsid w:val="00D15545"/>
    <w:rPr>
      <w:rFonts w:ascii="Arial" w:hAnsi="Arial"/>
      <w:sz w:val="18"/>
    </w:rPr>
  </w:style>
  <w:style w:type="character" w:styleId="FollowedHyperlink">
    <w:name w:val="FollowedHyperlink"/>
    <w:basedOn w:val="DefaultParagraphFont"/>
    <w:uiPriority w:val="99"/>
    <w:semiHidden/>
    <w:unhideWhenUsed/>
    <w:rsid w:val="0040105B"/>
    <w:rPr>
      <w:color w:val="800080" w:themeColor="followedHyperlink"/>
      <w:u w:val="single"/>
    </w:rPr>
  </w:style>
  <w:style w:type="character" w:customStyle="1" w:styleId="PlainTextChar">
    <w:name w:val="Plain Text Char"/>
    <w:basedOn w:val="DefaultParagraphFont"/>
    <w:link w:val="PlainText"/>
    <w:uiPriority w:val="99"/>
    <w:rsid w:val="004C0B6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166">
      <w:bodyDiv w:val="1"/>
      <w:marLeft w:val="0"/>
      <w:marRight w:val="0"/>
      <w:marTop w:val="0"/>
      <w:marBottom w:val="0"/>
      <w:divBdr>
        <w:top w:val="none" w:sz="0" w:space="0" w:color="auto"/>
        <w:left w:val="none" w:sz="0" w:space="0" w:color="auto"/>
        <w:bottom w:val="none" w:sz="0" w:space="0" w:color="auto"/>
        <w:right w:val="none" w:sz="0" w:space="0" w:color="auto"/>
      </w:divBdr>
    </w:div>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272711263">
      <w:bodyDiv w:val="1"/>
      <w:marLeft w:val="0"/>
      <w:marRight w:val="0"/>
      <w:marTop w:val="0"/>
      <w:marBottom w:val="0"/>
      <w:divBdr>
        <w:top w:val="none" w:sz="0" w:space="0" w:color="auto"/>
        <w:left w:val="none" w:sz="0" w:space="0" w:color="auto"/>
        <w:bottom w:val="none" w:sz="0" w:space="0" w:color="auto"/>
        <w:right w:val="none" w:sz="0" w:space="0" w:color="auto"/>
      </w:divBdr>
    </w:div>
    <w:div w:id="569578826">
      <w:bodyDiv w:val="1"/>
      <w:marLeft w:val="0"/>
      <w:marRight w:val="0"/>
      <w:marTop w:val="0"/>
      <w:marBottom w:val="0"/>
      <w:divBdr>
        <w:top w:val="none" w:sz="0" w:space="0" w:color="auto"/>
        <w:left w:val="none" w:sz="0" w:space="0" w:color="auto"/>
        <w:bottom w:val="none" w:sz="0" w:space="0" w:color="auto"/>
        <w:right w:val="none" w:sz="0" w:space="0" w:color="auto"/>
      </w:divBdr>
    </w:div>
    <w:div w:id="664430231">
      <w:bodyDiv w:val="1"/>
      <w:marLeft w:val="0"/>
      <w:marRight w:val="0"/>
      <w:marTop w:val="0"/>
      <w:marBottom w:val="0"/>
      <w:divBdr>
        <w:top w:val="none" w:sz="0" w:space="0" w:color="auto"/>
        <w:left w:val="none" w:sz="0" w:space="0" w:color="auto"/>
        <w:bottom w:val="none" w:sz="0" w:space="0" w:color="auto"/>
        <w:right w:val="none" w:sz="0" w:space="0" w:color="auto"/>
      </w:divBdr>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978388357">
      <w:bodyDiv w:val="1"/>
      <w:marLeft w:val="0"/>
      <w:marRight w:val="0"/>
      <w:marTop w:val="0"/>
      <w:marBottom w:val="0"/>
      <w:divBdr>
        <w:top w:val="none" w:sz="0" w:space="0" w:color="auto"/>
        <w:left w:val="none" w:sz="0" w:space="0" w:color="auto"/>
        <w:bottom w:val="none" w:sz="0" w:space="0" w:color="auto"/>
        <w:right w:val="none" w:sz="0" w:space="0" w:color="auto"/>
      </w:divBdr>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450509255">
      <w:bodyDiv w:val="1"/>
      <w:marLeft w:val="0"/>
      <w:marRight w:val="0"/>
      <w:marTop w:val="0"/>
      <w:marBottom w:val="0"/>
      <w:divBdr>
        <w:top w:val="none" w:sz="0" w:space="0" w:color="auto"/>
        <w:left w:val="none" w:sz="0" w:space="0" w:color="auto"/>
        <w:bottom w:val="none" w:sz="0" w:space="0" w:color="auto"/>
        <w:right w:val="none" w:sz="0" w:space="0" w:color="auto"/>
      </w:divBdr>
    </w:div>
    <w:div w:id="1698659698">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E16F-612E-441C-81F3-678A513B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6D32C019.dotm</Template>
  <TotalTime>1</TotalTime>
  <Pages>20</Pages>
  <Words>5706</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38301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RMC Research Corporation</dc:creator>
  <cp:keywords>report, proposal</cp:keywords>
  <dc:description>Template was changed to doublesided odd/even header and footer format in March 2000.</dc:description>
  <cp:lastModifiedBy>Donna Atkinson</cp:lastModifiedBy>
  <cp:revision>3</cp:revision>
  <cp:lastPrinted>2014-02-06T20:29:00Z</cp:lastPrinted>
  <dcterms:created xsi:type="dcterms:W3CDTF">2014-02-06T20:49:00Z</dcterms:created>
  <dcterms:modified xsi:type="dcterms:W3CDTF">2014-02-06T20:50:00Z</dcterms:modified>
  <cp:category>RMC template</cp:category>
</cp:coreProperties>
</file>