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5AC" w:rsidRPr="00BF708D" w:rsidRDefault="00C525AC" w:rsidP="00C525AC">
      <w:pPr>
        <w:tabs>
          <w:tab w:val="left" w:pos="450"/>
          <w:tab w:val="left" w:pos="720"/>
        </w:tabs>
        <w:jc w:val="center"/>
        <w:rPr>
          <w:b/>
        </w:rPr>
      </w:pPr>
      <w:r w:rsidRPr="00BF708D">
        <w:rPr>
          <w:b/>
        </w:rPr>
        <w:t>Paperwork Reduction Act Supporting Statement</w:t>
      </w:r>
    </w:p>
    <w:p w:rsidR="00C525AC" w:rsidRPr="00BF708D" w:rsidRDefault="0011458B" w:rsidP="00C525AC">
      <w:pPr>
        <w:tabs>
          <w:tab w:val="left" w:pos="450"/>
          <w:tab w:val="left" w:pos="720"/>
        </w:tabs>
        <w:jc w:val="center"/>
        <w:rPr>
          <w:b/>
        </w:rPr>
      </w:pPr>
      <w:r w:rsidRPr="00BF708D">
        <w:rPr>
          <w:b/>
        </w:rPr>
        <w:t>Report of Theft or Loss of Controlled Substance</w:t>
      </w:r>
      <w:r w:rsidR="00964BFF" w:rsidRPr="00BF708D">
        <w:rPr>
          <w:b/>
        </w:rPr>
        <w:t xml:space="preserve"> – DEA Form 106</w:t>
      </w:r>
    </w:p>
    <w:p w:rsidR="00C525AC" w:rsidRPr="00BF708D" w:rsidRDefault="00964BFF" w:rsidP="00C525AC">
      <w:pPr>
        <w:tabs>
          <w:tab w:val="left" w:pos="450"/>
          <w:tab w:val="left" w:pos="720"/>
        </w:tabs>
        <w:jc w:val="center"/>
        <w:rPr>
          <w:b/>
        </w:rPr>
      </w:pPr>
      <w:r w:rsidRPr="00BF708D">
        <w:rPr>
          <w:b/>
        </w:rPr>
        <w:t>OMB Approval # 1117-0001</w:t>
      </w:r>
    </w:p>
    <w:p w:rsidR="00C525AC" w:rsidRPr="00BF708D" w:rsidRDefault="00C525AC" w:rsidP="00C525AC">
      <w:pPr>
        <w:tabs>
          <w:tab w:val="left" w:pos="450"/>
          <w:tab w:val="left" w:pos="720"/>
        </w:tabs>
        <w:rPr>
          <w:b/>
        </w:rPr>
      </w:pPr>
    </w:p>
    <w:p w:rsidR="00C525AC" w:rsidRDefault="00C525AC" w:rsidP="00C525AC">
      <w:pPr>
        <w:tabs>
          <w:tab w:val="left" w:pos="450"/>
          <w:tab w:val="left" w:pos="720"/>
        </w:tabs>
        <w:ind w:firstLine="720"/>
      </w:pPr>
      <w:r w:rsidRPr="00BF708D">
        <w:t xml:space="preserve">The Drug Enforcement Administration (DEA) seeks </w:t>
      </w:r>
      <w:r w:rsidR="00E42457" w:rsidRPr="00BF708D">
        <w:t>Office and Management and Budget (</w:t>
      </w:r>
      <w:r w:rsidRPr="00BF708D">
        <w:t>OMB</w:t>
      </w:r>
      <w:r w:rsidR="00E42457" w:rsidRPr="00BF708D">
        <w:t>)</w:t>
      </w:r>
      <w:r w:rsidRPr="00BF708D">
        <w:t xml:space="preserve"> approval for </w:t>
      </w:r>
      <w:r w:rsidR="0011458B" w:rsidRPr="00BF708D">
        <w:t xml:space="preserve">revision </w:t>
      </w:r>
      <w:r w:rsidRPr="00BF708D">
        <w:t>to an existing collection of information that was previously approved by OMB – OMB Approval Number 1117-00</w:t>
      </w:r>
      <w:r w:rsidR="00446AC9" w:rsidRPr="00BF708D">
        <w:t>0</w:t>
      </w:r>
      <w:r w:rsidR="00964BFF" w:rsidRPr="00BF708D">
        <w:t>1</w:t>
      </w:r>
      <w:r w:rsidR="00FF2631" w:rsidRPr="00BF708D">
        <w:t>, Report of Theft o</w:t>
      </w:r>
      <w:r w:rsidR="007D49A8">
        <w:t>r</w:t>
      </w:r>
      <w:r w:rsidR="00FF2631" w:rsidRPr="00BF708D">
        <w:t xml:space="preserve"> Loss of Controlled Substances</w:t>
      </w:r>
      <w:r w:rsidR="00964BFF" w:rsidRPr="00BF708D">
        <w:t>, DEA Form 106</w:t>
      </w:r>
      <w:r w:rsidRPr="00BF708D">
        <w:t xml:space="preserve">.  </w:t>
      </w:r>
    </w:p>
    <w:p w:rsidR="00A21B57" w:rsidRDefault="00A21B57" w:rsidP="00A21B57">
      <w:pPr>
        <w:tabs>
          <w:tab w:val="left" w:pos="450"/>
          <w:tab w:val="left" w:pos="720"/>
        </w:tabs>
      </w:pPr>
    </w:p>
    <w:p w:rsidR="00A21B57" w:rsidRPr="00BF708D" w:rsidRDefault="00A21B57" w:rsidP="00A21B57">
      <w:pPr>
        <w:tabs>
          <w:tab w:val="left" w:pos="450"/>
          <w:tab w:val="left" w:pos="720"/>
        </w:tabs>
      </w:pPr>
      <w:r>
        <w:tab/>
      </w:r>
      <w:r w:rsidRPr="00C356B0">
        <w:t>The existing DEA Form 106</w:t>
      </w:r>
      <w:proofErr w:type="gramStart"/>
      <w:r w:rsidR="000136B0">
        <w:t>,which</w:t>
      </w:r>
      <w:bookmarkStart w:id="0" w:name="_GoBack"/>
      <w:bookmarkEnd w:id="0"/>
      <w:proofErr w:type="gramEnd"/>
      <w:r w:rsidRPr="00C356B0">
        <w:t xml:space="preserve"> expires on August 31, 2014, and was approved by OMB on August 24, 2011, will remain in effect and should be used by all registrants until the effective date of the Disposal of Controlled Substances final rule.</w:t>
      </w:r>
      <w:r>
        <w:t xml:space="preserve"> </w:t>
      </w:r>
    </w:p>
    <w:p w:rsidR="00C525AC" w:rsidRPr="00BF708D" w:rsidRDefault="00C525AC" w:rsidP="00C525AC">
      <w:pPr>
        <w:tabs>
          <w:tab w:val="left" w:pos="450"/>
          <w:tab w:val="left" w:pos="720"/>
        </w:tabs>
        <w:rPr>
          <w:b/>
        </w:rPr>
      </w:pPr>
    </w:p>
    <w:p w:rsidR="00C525AC" w:rsidRPr="00BF708D" w:rsidRDefault="00C525AC" w:rsidP="00C525AC">
      <w:pPr>
        <w:tabs>
          <w:tab w:val="left" w:pos="450"/>
          <w:tab w:val="left" w:pos="720"/>
        </w:tabs>
        <w:rPr>
          <w:b/>
        </w:rPr>
      </w:pPr>
      <w:r w:rsidRPr="00BF708D">
        <w:rPr>
          <w:b/>
        </w:rPr>
        <w:t>A.  JUSTIFICATION</w:t>
      </w:r>
    </w:p>
    <w:p w:rsidR="00C525AC" w:rsidRPr="00BF708D" w:rsidRDefault="00C525AC" w:rsidP="00C525AC">
      <w:pPr>
        <w:tabs>
          <w:tab w:val="left" w:pos="450"/>
          <w:tab w:val="left" w:pos="720"/>
        </w:tabs>
      </w:pPr>
    </w:p>
    <w:p w:rsidR="00C525AC" w:rsidRPr="00BF708D" w:rsidRDefault="00AE17AE" w:rsidP="00C525AC">
      <w:pPr>
        <w:numPr>
          <w:ilvl w:val="0"/>
          <w:numId w:val="1"/>
        </w:numPr>
        <w:tabs>
          <w:tab w:val="left" w:pos="450"/>
          <w:tab w:val="left" w:pos="720"/>
        </w:tabs>
        <w:rPr>
          <w:u w:val="single"/>
        </w:rPr>
      </w:pPr>
      <w:r w:rsidRPr="00BF708D">
        <w:rPr>
          <w:u w:val="single"/>
        </w:rPr>
        <w:t>Necessity of Information</w:t>
      </w:r>
    </w:p>
    <w:p w:rsidR="00C525AC" w:rsidRPr="00BF708D" w:rsidRDefault="00C525AC" w:rsidP="00C525AC">
      <w:pPr>
        <w:tabs>
          <w:tab w:val="left" w:pos="450"/>
          <w:tab w:val="left" w:pos="720"/>
        </w:tabs>
        <w:ind w:left="720"/>
      </w:pPr>
    </w:p>
    <w:p w:rsidR="00C525AC" w:rsidRPr="00BF708D" w:rsidRDefault="00C525AC" w:rsidP="00C525AC">
      <w:pPr>
        <w:tabs>
          <w:tab w:val="left" w:pos="450"/>
          <w:tab w:val="left" w:pos="720"/>
        </w:tabs>
        <w:ind w:firstLine="720"/>
      </w:pPr>
      <w:r w:rsidRPr="00BF708D">
        <w:t>In accordance with the Controlled Substance Act (CSA), every DEA registrant must make a biennial inventory and maintain, on a current basis, a complete and accurate record of each controlled substance manufactured, received, sold, delivered, or otherwise dis</w:t>
      </w:r>
      <w:r w:rsidR="00FE2964" w:rsidRPr="00BF708D">
        <w:t xml:space="preserve">posed of.  </w:t>
      </w:r>
      <w:proofErr w:type="gramStart"/>
      <w:r w:rsidR="00FE2964" w:rsidRPr="00BF708D">
        <w:t>21 U.S.C. 827 and 958</w:t>
      </w:r>
      <w:r w:rsidRPr="007A0DC3">
        <w:t>.</w:t>
      </w:r>
      <w:proofErr w:type="gramEnd"/>
      <w:r w:rsidRPr="007A0DC3">
        <w:t xml:space="preserve">  </w:t>
      </w:r>
      <w:r w:rsidRPr="005626DC">
        <w:t>These records must be maintained separately from all other records of the registrant or, alternatively, in the case of non-narcotic controlled substances, be in such form that required information is readily retrievable from the ordinary business records</w:t>
      </w:r>
      <w:r w:rsidRPr="00BF708D">
        <w:t xml:space="preserve"> of the registrant.  21 U.S.C. 827(b</w:t>
      </w:r>
      <w:proofErr w:type="gramStart"/>
      <w:r w:rsidRPr="00BF708D">
        <w:t>)(</w:t>
      </w:r>
      <w:proofErr w:type="gramEnd"/>
      <w:r w:rsidRPr="00BF708D">
        <w:t>2).  The records must be kept and be available for at least two years for inspection and copying by officers or employees of the United States authorized by the Attorney General.  21 U.S.C. 827(b</w:t>
      </w:r>
      <w:proofErr w:type="gramStart"/>
      <w:r w:rsidRPr="00BF708D">
        <w:t>)(</w:t>
      </w:r>
      <w:proofErr w:type="gramEnd"/>
      <w:r w:rsidRPr="00BF708D">
        <w:t xml:space="preserve">3).  The records must be in accordance with and contain such relevant information as may be required by regulations promulgated by </w:t>
      </w:r>
      <w:r w:rsidR="008033B7" w:rsidRPr="00BF708D">
        <w:t xml:space="preserve">the </w:t>
      </w:r>
      <w:r w:rsidRPr="00BF708D">
        <w:t>DEA.</w:t>
      </w:r>
      <w:r w:rsidR="007C3911">
        <w:t xml:space="preserve">  </w:t>
      </w:r>
      <w:r w:rsidRPr="00BF708D">
        <w:t>21 U.S.C. 827(b</w:t>
      </w:r>
      <w:proofErr w:type="gramStart"/>
      <w:r w:rsidRPr="00BF708D">
        <w:t>)(</w:t>
      </w:r>
      <w:proofErr w:type="gramEnd"/>
      <w:r w:rsidRPr="00BF708D">
        <w:t xml:space="preserve">1).  </w:t>
      </w:r>
      <w:r w:rsidR="00E43165">
        <w:t>These r</w:t>
      </w:r>
      <w:r w:rsidR="00E43165" w:rsidRPr="001E13F0">
        <w:t xml:space="preserve">ecord requirements </w:t>
      </w:r>
      <w:r w:rsidR="00E43165">
        <w:t>help to deter and detect diversion of controlled substances</w:t>
      </w:r>
      <w:r w:rsidR="00E43165" w:rsidRPr="001E13F0">
        <w:t xml:space="preserve"> and ensure that registrants </w:t>
      </w:r>
      <w:r w:rsidR="00E43165">
        <w:t>remain accountable for all controlled substances within their possession and/or control</w:t>
      </w:r>
      <w:r w:rsidR="00E43165" w:rsidRPr="001E13F0">
        <w:t xml:space="preserve">.  </w:t>
      </w:r>
    </w:p>
    <w:p w:rsidR="00C525AC" w:rsidRPr="00BF708D" w:rsidRDefault="00C525AC" w:rsidP="00C525AC">
      <w:pPr>
        <w:tabs>
          <w:tab w:val="left" w:pos="450"/>
          <w:tab w:val="left" w:pos="720"/>
        </w:tabs>
        <w:ind w:firstLine="720"/>
      </w:pPr>
    </w:p>
    <w:p w:rsidR="00E43165" w:rsidRPr="001E13F0" w:rsidRDefault="00E43165" w:rsidP="00E43165">
      <w:pPr>
        <w:tabs>
          <w:tab w:val="left" w:pos="450"/>
          <w:tab w:val="left" w:pos="720"/>
        </w:tabs>
        <w:ind w:firstLine="720"/>
      </w:pPr>
      <w:r>
        <w:t xml:space="preserve">The existing collection of information is affected by the new regulations that implement the Secure and Responsible Drug Disposal Act of 2010. </w:t>
      </w:r>
      <w:r w:rsidRPr="001E13F0">
        <w:rPr>
          <w:iCs/>
        </w:rPr>
        <w:t xml:space="preserve">(Disposal Act) </w:t>
      </w:r>
      <w:proofErr w:type="gramStart"/>
      <w:r w:rsidRPr="001E13F0">
        <w:rPr>
          <w:iCs/>
        </w:rPr>
        <w:t>(Pub.</w:t>
      </w:r>
      <w:proofErr w:type="gramEnd"/>
      <w:r w:rsidRPr="001E13F0">
        <w:rPr>
          <w:iCs/>
        </w:rPr>
        <w:t xml:space="preserve"> L. 111-273).  The </w:t>
      </w:r>
      <w:r>
        <w:rPr>
          <w:iCs/>
        </w:rPr>
        <w:t xml:space="preserve">Disposal of Controlled Substances final </w:t>
      </w:r>
      <w:r w:rsidRPr="001E13F0">
        <w:t>rule</w:t>
      </w:r>
      <w:r>
        <w:t xml:space="preserve"> (RIN 1117–AB18)</w:t>
      </w:r>
      <w:r w:rsidRPr="001E13F0">
        <w:t xml:space="preserve">, </w:t>
      </w:r>
      <w:r>
        <w:t xml:space="preserve">expands </w:t>
      </w:r>
      <w:r w:rsidRPr="001E13F0">
        <w:t xml:space="preserve">disposal options for ultimate users, reorganizes and consolidates existing regulations on </w:t>
      </w:r>
      <w:r>
        <w:t xml:space="preserve">the </w:t>
      </w:r>
      <w:r w:rsidRPr="001E13F0">
        <w:t>disposal of controlled substances</w:t>
      </w:r>
      <w:r>
        <w:t>,</w:t>
      </w:r>
      <w:r w:rsidRPr="001E13F0">
        <w:t xml:space="preserve"> and establishes a comprehensive regulatory framework for the collection and destruction of controlled substances consistent with the Controlled Substances Act.    </w:t>
      </w:r>
    </w:p>
    <w:p w:rsidR="00E43165" w:rsidRDefault="00E43165" w:rsidP="00FE2964">
      <w:pPr>
        <w:tabs>
          <w:tab w:val="left" w:pos="450"/>
          <w:tab w:val="left" w:pos="720"/>
        </w:tabs>
      </w:pPr>
    </w:p>
    <w:p w:rsidR="00C525AC" w:rsidRPr="00BF708D" w:rsidRDefault="00AE17AE" w:rsidP="00C525AC">
      <w:pPr>
        <w:numPr>
          <w:ilvl w:val="0"/>
          <w:numId w:val="1"/>
        </w:numPr>
        <w:tabs>
          <w:tab w:val="left" w:pos="450"/>
          <w:tab w:val="left" w:pos="720"/>
        </w:tabs>
        <w:rPr>
          <w:u w:val="single"/>
        </w:rPr>
      </w:pPr>
      <w:r w:rsidRPr="00BF708D">
        <w:rPr>
          <w:u w:val="single"/>
        </w:rPr>
        <w:t>Needs and Uses</w:t>
      </w:r>
    </w:p>
    <w:p w:rsidR="00C525AC" w:rsidRPr="00BF708D" w:rsidRDefault="00C525AC" w:rsidP="00C525AC">
      <w:pPr>
        <w:tabs>
          <w:tab w:val="left" w:pos="450"/>
          <w:tab w:val="left" w:pos="720"/>
        </w:tabs>
      </w:pPr>
    </w:p>
    <w:p w:rsidR="00FE2964" w:rsidRPr="00BF708D" w:rsidRDefault="008E648F" w:rsidP="00FF2631">
      <w:pPr>
        <w:tabs>
          <w:tab w:val="left" w:pos="450"/>
          <w:tab w:val="left" w:pos="720"/>
        </w:tabs>
        <w:ind w:firstLine="720"/>
      </w:pPr>
      <w:r w:rsidRPr="00BF708D">
        <w:t>In accordance with current 21 CFR 1301.74, a DEA registrant must notify the Field Division Office of the Administrat</w:t>
      </w:r>
      <w:r w:rsidR="0064343E">
        <w:t>ion</w:t>
      </w:r>
      <w:r w:rsidRPr="00BF708D">
        <w:t xml:space="preserve"> in writing, of any theft or significant loss of any controlled substance within one business day of discovery of the theft or loss, and must complete </w:t>
      </w:r>
      <w:r w:rsidR="00F11280">
        <w:t xml:space="preserve">and send to the DEA a </w:t>
      </w:r>
      <w:r w:rsidRPr="00BF708D">
        <w:t xml:space="preserve">DEA Form 106 upon determination of a theft or significant loss.  </w:t>
      </w:r>
      <w:r w:rsidR="00FE2964" w:rsidRPr="00BF708D">
        <w:t xml:space="preserve">The DEA Form 106 is designed to provide a </w:t>
      </w:r>
      <w:r w:rsidR="00350792">
        <w:t xml:space="preserve">uniform method of reporting and </w:t>
      </w:r>
      <w:r w:rsidR="007F2EC5">
        <w:t xml:space="preserve">recording </w:t>
      </w:r>
      <w:r w:rsidR="00FE2964" w:rsidRPr="00BF708D">
        <w:t>theft</w:t>
      </w:r>
      <w:r w:rsidR="00350792">
        <w:t>s</w:t>
      </w:r>
      <w:r w:rsidR="00FE2964" w:rsidRPr="00BF708D">
        <w:t xml:space="preserve"> </w:t>
      </w:r>
      <w:r w:rsidR="00350792">
        <w:t>and</w:t>
      </w:r>
      <w:r w:rsidR="00FE2964" w:rsidRPr="00BF708D">
        <w:t xml:space="preserve"> loss</w:t>
      </w:r>
      <w:r w:rsidR="00350792">
        <w:t>es</w:t>
      </w:r>
      <w:r w:rsidR="00FE2964" w:rsidRPr="00BF708D">
        <w:t xml:space="preserve"> of controlled substances as required by 21 U.S.C. 827</w:t>
      </w:r>
      <w:r w:rsidR="007F2EC5">
        <w:t>,</w:t>
      </w:r>
      <w:r w:rsidR="00FE2964" w:rsidRPr="00BF708D">
        <w:t xml:space="preserve"> 21 CFR 1301.74(c) and 1301.76(b).  The </w:t>
      </w:r>
      <w:r w:rsidR="00FE2964" w:rsidRPr="00BF708D">
        <w:lastRenderedPageBreak/>
        <w:t xml:space="preserve">form is entitled “Report of Theft or Loss of Controlled Substances” and </w:t>
      </w:r>
      <w:r w:rsidR="00FB5009">
        <w:t>i</w:t>
      </w:r>
      <w:r w:rsidR="00FE2964" w:rsidRPr="00BF708D">
        <w:t xml:space="preserve">t is used by the DEA to help determine the quantities </w:t>
      </w:r>
      <w:r w:rsidR="00C00C5B">
        <w:t xml:space="preserve">and types </w:t>
      </w:r>
      <w:r w:rsidR="00FE2964" w:rsidRPr="00BF708D">
        <w:t xml:space="preserve">of controlled substances </w:t>
      </w:r>
      <w:r w:rsidR="00FB5009">
        <w:t>that are stolen or lost</w:t>
      </w:r>
      <w:r w:rsidR="007F28BD">
        <w:t>.  I</w:t>
      </w:r>
      <w:r w:rsidR="00FB5009">
        <w:t xml:space="preserve">t may </w:t>
      </w:r>
      <w:r w:rsidR="007F28BD">
        <w:t xml:space="preserve">also </w:t>
      </w:r>
      <w:r w:rsidR="00FB5009">
        <w:t xml:space="preserve">serve as a record </w:t>
      </w:r>
      <w:r w:rsidR="00E9474F">
        <w:t xml:space="preserve">of the theft or loss </w:t>
      </w:r>
      <w:r w:rsidR="00FB5009">
        <w:t>for the registrant.</w:t>
      </w:r>
      <w:r w:rsidR="00FE2964" w:rsidRPr="00BF708D">
        <w:t xml:space="preserve"> </w:t>
      </w:r>
    </w:p>
    <w:p w:rsidR="00FE2964" w:rsidRPr="00BF708D" w:rsidRDefault="00FE2964" w:rsidP="00DF1AAC">
      <w:pPr>
        <w:widowControl w:val="0"/>
        <w:tabs>
          <w:tab w:val="left" w:pos="450"/>
          <w:tab w:val="left" w:pos="720"/>
        </w:tabs>
      </w:pPr>
    </w:p>
    <w:p w:rsidR="00C525AC" w:rsidRPr="00BF708D" w:rsidRDefault="00303C3C" w:rsidP="00C525AC">
      <w:pPr>
        <w:widowControl w:val="0"/>
        <w:tabs>
          <w:tab w:val="left" w:pos="450"/>
          <w:tab w:val="left" w:pos="720"/>
        </w:tabs>
        <w:ind w:firstLine="720"/>
      </w:pPr>
      <w:r w:rsidRPr="00BF708D">
        <w:t xml:space="preserve">The </w:t>
      </w:r>
      <w:r w:rsidR="00FB5009">
        <w:t xml:space="preserve">existing DEA Form 106 </w:t>
      </w:r>
      <w:r w:rsidR="00C525AC" w:rsidRPr="00BF708D">
        <w:t>must i</w:t>
      </w:r>
      <w:r w:rsidR="00EF48AD" w:rsidRPr="00BF708D">
        <w:t>nclude the signature of the person completing the form</w:t>
      </w:r>
      <w:r w:rsidR="00C525AC" w:rsidRPr="00BF708D">
        <w:t>, in addition to information about th</w:t>
      </w:r>
      <w:r w:rsidR="00EF48AD" w:rsidRPr="00BF708D">
        <w:t xml:space="preserve">e controlled substances </w:t>
      </w:r>
      <w:r w:rsidR="00FB5009">
        <w:t xml:space="preserve">stolen or </w:t>
      </w:r>
      <w:r w:rsidR="00EF48AD" w:rsidRPr="00BF708D">
        <w:t>lost</w:t>
      </w:r>
      <w:r w:rsidR="00FB5009">
        <w:t>,</w:t>
      </w:r>
      <w:r w:rsidR="00EF48AD" w:rsidRPr="00BF708D">
        <w:t xml:space="preserve"> and an itemized list of </w:t>
      </w:r>
      <w:r w:rsidR="00FB5009">
        <w:t xml:space="preserve">the </w:t>
      </w:r>
      <w:r w:rsidR="00EF48AD" w:rsidRPr="00BF708D">
        <w:t xml:space="preserve">controlled substances </w:t>
      </w:r>
      <w:r w:rsidR="00FB5009">
        <w:t xml:space="preserve">being reported as </w:t>
      </w:r>
      <w:r w:rsidR="0011458B" w:rsidRPr="00BF708D">
        <w:t>stolen</w:t>
      </w:r>
      <w:r w:rsidR="00FB5009">
        <w:t xml:space="preserve"> or lost</w:t>
      </w:r>
      <w:r w:rsidR="00C525AC" w:rsidRPr="00BF708D">
        <w:t xml:space="preserve">.  </w:t>
      </w:r>
      <w:r w:rsidR="002467E9">
        <w:t xml:space="preserve">Registrants may collect pharmaceutical controlled substances from ultimate users for the purpose of destruction in accordance with the </w:t>
      </w:r>
      <w:r w:rsidR="00FB5009">
        <w:t>Disposal of Controlled Substances final rule</w:t>
      </w:r>
      <w:r w:rsidR="002467E9">
        <w:t>.  Accordingly, registrants are</w:t>
      </w:r>
      <w:r w:rsidR="00FB5009">
        <w:t xml:space="preserve"> require</w:t>
      </w:r>
      <w:r w:rsidR="002D6A47">
        <w:t>d</w:t>
      </w:r>
      <w:r w:rsidR="002467E9">
        <w:t xml:space="preserve"> to report the theft or loss of sealed inner liners and returned mail-back packages to the DEA on DEA Form 106.  </w:t>
      </w:r>
      <w:r w:rsidR="00C525AC" w:rsidRPr="00BF708D">
        <w:t>DEA i</w:t>
      </w:r>
      <w:r w:rsidR="00EF48AD" w:rsidRPr="00BF708D">
        <w:t xml:space="preserve">s </w:t>
      </w:r>
      <w:r w:rsidR="00AE17AE" w:rsidRPr="00BF708D">
        <w:t xml:space="preserve">revising </w:t>
      </w:r>
      <w:r w:rsidR="00FF2631" w:rsidRPr="00BF708D">
        <w:t>the</w:t>
      </w:r>
      <w:r w:rsidR="00EF48AD" w:rsidRPr="00BF708D">
        <w:t xml:space="preserve"> existing DEA Form 106 to include </w:t>
      </w:r>
      <w:r w:rsidR="00BA3B3A">
        <w:t xml:space="preserve">information regarding </w:t>
      </w:r>
      <w:r w:rsidR="00EF48AD" w:rsidRPr="00BF708D">
        <w:t xml:space="preserve">the theft </w:t>
      </w:r>
      <w:r w:rsidR="0011458B" w:rsidRPr="00BF708D">
        <w:t xml:space="preserve">or </w:t>
      </w:r>
      <w:r w:rsidR="00EF48AD" w:rsidRPr="00BF708D">
        <w:t>loss of sealed inner liners and returned mail-back packages</w:t>
      </w:r>
      <w:r w:rsidR="0011458B" w:rsidRPr="00BF708D">
        <w:t>.</w:t>
      </w:r>
      <w:r w:rsidR="00C63259" w:rsidRPr="00BF708D">
        <w:t xml:space="preserve"> </w:t>
      </w:r>
      <w:r w:rsidR="00EF48AD" w:rsidRPr="00BF708D">
        <w:t xml:space="preserve"> The </w:t>
      </w:r>
      <w:r w:rsidR="002D6A47">
        <w:t>revised</w:t>
      </w:r>
      <w:r w:rsidR="00EF48AD" w:rsidRPr="00BF708D">
        <w:t xml:space="preserve"> DEA Form 106 will include an additional page for the signature of the person completing the form and </w:t>
      </w:r>
      <w:r w:rsidR="00BA3B3A">
        <w:t xml:space="preserve">information columns for </w:t>
      </w:r>
      <w:r w:rsidR="00EF48AD" w:rsidRPr="00BF708D">
        <w:t>an itemized list of all sealed inner liners and returned mail-back</w:t>
      </w:r>
      <w:r w:rsidR="00524876" w:rsidRPr="00BF708D">
        <w:t xml:space="preserve"> packages </w:t>
      </w:r>
      <w:r w:rsidR="00BA3B3A">
        <w:t xml:space="preserve">being reported as </w:t>
      </w:r>
      <w:r w:rsidR="00524876" w:rsidRPr="00BF708D">
        <w:t>lost</w:t>
      </w:r>
      <w:r w:rsidR="0011458B" w:rsidRPr="00BF708D">
        <w:t xml:space="preserve"> or stolen</w:t>
      </w:r>
      <w:r w:rsidR="00C63259" w:rsidRPr="00BF708D">
        <w:t>.</w:t>
      </w:r>
      <w:r w:rsidR="00524876" w:rsidRPr="00BF708D">
        <w:t xml:space="preserve">  T</w:t>
      </w:r>
      <w:r w:rsidR="00EF48AD" w:rsidRPr="00BF708D">
        <w:t xml:space="preserve">he </w:t>
      </w:r>
      <w:r w:rsidR="002D6A47">
        <w:t>revised</w:t>
      </w:r>
      <w:r w:rsidR="00524876" w:rsidRPr="00BF708D">
        <w:t xml:space="preserve"> DEA </w:t>
      </w:r>
      <w:r w:rsidR="00F93078">
        <w:t xml:space="preserve">Form </w:t>
      </w:r>
      <w:r w:rsidR="00524876" w:rsidRPr="00BF708D">
        <w:t xml:space="preserve">106 will </w:t>
      </w:r>
      <w:r w:rsidR="00B4391B" w:rsidRPr="00BF708D">
        <w:t xml:space="preserve">also </w:t>
      </w:r>
      <w:r w:rsidR="00524876" w:rsidRPr="00BF708D">
        <w:t>require</w:t>
      </w:r>
      <w:r w:rsidR="00EF48AD" w:rsidRPr="00BF708D">
        <w:t xml:space="preserve"> an authorized retail pharmacy </w:t>
      </w:r>
      <w:r w:rsidR="00524876" w:rsidRPr="00BF708D">
        <w:t>or hospital/clinic with an on-site pharmacy reporting a theft or loss</w:t>
      </w:r>
      <w:r w:rsidR="00FF2631" w:rsidRPr="00BF708D">
        <w:t xml:space="preserve"> of</w:t>
      </w:r>
      <w:r w:rsidR="00524876" w:rsidRPr="00BF708D">
        <w:t xml:space="preserve"> a long-term care </w:t>
      </w:r>
      <w:r w:rsidR="00F93078">
        <w:t xml:space="preserve">facility </w:t>
      </w:r>
      <w:r w:rsidR="00524876" w:rsidRPr="00BF708D">
        <w:t xml:space="preserve">inner liner, to include the name and address of the long-term care facility.  </w:t>
      </w:r>
      <w:r w:rsidR="00FF2631" w:rsidRPr="00BF708D">
        <w:t xml:space="preserve">The </w:t>
      </w:r>
      <w:r w:rsidR="00524876" w:rsidRPr="00BF708D">
        <w:t>DEA Form 106</w:t>
      </w:r>
      <w:r w:rsidR="00C525AC" w:rsidRPr="00BF708D">
        <w:t xml:space="preserve"> has previously been approved by OMB and was assigned OMB control number</w:t>
      </w:r>
      <w:r w:rsidR="00524876" w:rsidRPr="00BF708D">
        <w:t xml:space="preserve"> 1117-0001</w:t>
      </w:r>
      <w:r w:rsidR="00C525AC" w:rsidRPr="00BF708D">
        <w:t xml:space="preserve">.  </w:t>
      </w:r>
    </w:p>
    <w:p w:rsidR="00C525AC" w:rsidRPr="00BF708D" w:rsidRDefault="00C525AC" w:rsidP="00C525AC">
      <w:pPr>
        <w:tabs>
          <w:tab w:val="left" w:pos="450"/>
          <w:tab w:val="left" w:pos="720"/>
        </w:tabs>
        <w:ind w:firstLine="720"/>
      </w:pPr>
    </w:p>
    <w:p w:rsidR="00C525AC" w:rsidRPr="00BF708D" w:rsidRDefault="009D47C0" w:rsidP="00C525AC">
      <w:pPr>
        <w:tabs>
          <w:tab w:val="left" w:pos="450"/>
          <w:tab w:val="left" w:pos="720"/>
        </w:tabs>
        <w:ind w:firstLine="720"/>
      </w:pPr>
      <w:r w:rsidRPr="00BF708D">
        <w:t xml:space="preserve">The DEA is </w:t>
      </w:r>
      <w:r w:rsidR="00AE17AE" w:rsidRPr="00BF708D">
        <w:t xml:space="preserve">revising </w:t>
      </w:r>
      <w:r w:rsidRPr="00BF708D">
        <w:t>DEA Form 106</w:t>
      </w:r>
      <w:r w:rsidR="00C525AC" w:rsidRPr="00BF708D">
        <w:t xml:space="preserve"> to be a complete registrant record for the </w:t>
      </w:r>
      <w:r w:rsidRPr="00BF708D">
        <w:t>theft and loss</w:t>
      </w:r>
      <w:r w:rsidR="00C525AC" w:rsidRPr="00BF708D">
        <w:t xml:space="preserve"> of controlled substances</w:t>
      </w:r>
      <w:r w:rsidRPr="00BF708D">
        <w:t xml:space="preserve">, including </w:t>
      </w:r>
      <w:r w:rsidR="001A1F7A" w:rsidRPr="00BF708D">
        <w:t>collected substances</w:t>
      </w:r>
      <w:r w:rsidR="00C525AC" w:rsidRPr="00BF708D">
        <w:t xml:space="preserve">.  </w:t>
      </w:r>
      <w:r w:rsidR="00D54298">
        <w:t xml:space="preserve">DEA regulations </w:t>
      </w:r>
      <w:r w:rsidRPr="00BF708D">
        <w:t xml:space="preserve">require all registrants to account for all theft and losses of controlled substances, </w:t>
      </w:r>
      <w:r w:rsidR="00D54298">
        <w:t xml:space="preserve">including </w:t>
      </w:r>
      <w:r w:rsidRPr="00BF708D">
        <w:t xml:space="preserve">sealed inner liners and returned mail-back packages. </w:t>
      </w:r>
      <w:r w:rsidR="002C799D" w:rsidRPr="00BF708D">
        <w:t xml:space="preserve"> </w:t>
      </w:r>
      <w:r w:rsidR="00C525AC" w:rsidRPr="00BF708D">
        <w:t xml:space="preserve">These requirements help the DEA to fulfill its mission to enforce </w:t>
      </w:r>
      <w:r w:rsidR="002C799D" w:rsidRPr="00BF708D">
        <w:t>United States</w:t>
      </w:r>
      <w:r w:rsidR="00C525AC" w:rsidRPr="00BF708D">
        <w:t xml:space="preserve"> controlled substances laws and regulations.</w:t>
      </w:r>
    </w:p>
    <w:p w:rsidR="00C525AC" w:rsidRPr="00BF708D" w:rsidRDefault="00C525AC" w:rsidP="00C525AC">
      <w:pPr>
        <w:tabs>
          <w:tab w:val="left" w:pos="450"/>
          <w:tab w:val="left" w:pos="720"/>
        </w:tabs>
        <w:ind w:firstLine="720"/>
      </w:pPr>
    </w:p>
    <w:p w:rsidR="00C525AC" w:rsidRPr="00BF708D" w:rsidRDefault="00C525AC" w:rsidP="00C525AC">
      <w:pPr>
        <w:numPr>
          <w:ilvl w:val="0"/>
          <w:numId w:val="1"/>
        </w:numPr>
        <w:tabs>
          <w:tab w:val="left" w:pos="450"/>
          <w:tab w:val="left" w:pos="720"/>
        </w:tabs>
        <w:rPr>
          <w:u w:val="single"/>
        </w:rPr>
      </w:pPr>
      <w:r w:rsidRPr="00BF708D">
        <w:rPr>
          <w:u w:val="single"/>
        </w:rPr>
        <w:t>Use of Information Technology</w:t>
      </w:r>
    </w:p>
    <w:p w:rsidR="00C525AC" w:rsidRPr="00BF708D" w:rsidRDefault="00C525AC" w:rsidP="00C525AC">
      <w:pPr>
        <w:tabs>
          <w:tab w:val="left" w:pos="450"/>
          <w:tab w:val="left" w:pos="720"/>
        </w:tabs>
      </w:pPr>
    </w:p>
    <w:p w:rsidR="00C525AC" w:rsidRPr="00BF708D" w:rsidRDefault="009D47C0" w:rsidP="00C525AC">
      <w:pPr>
        <w:tabs>
          <w:tab w:val="left" w:pos="450"/>
          <w:tab w:val="left" w:pos="720"/>
        </w:tabs>
        <w:ind w:firstLine="720"/>
      </w:pPr>
      <w:r w:rsidRPr="003B2C73">
        <w:t>DEA Form 106</w:t>
      </w:r>
      <w:r w:rsidR="00C525AC" w:rsidRPr="003B2C73">
        <w:t xml:space="preserve"> </w:t>
      </w:r>
      <w:r w:rsidR="00230CB6" w:rsidRPr="003B2C73">
        <w:t xml:space="preserve">is available </w:t>
      </w:r>
      <w:r w:rsidR="003B2C73" w:rsidRPr="003B2C73">
        <w:t>online for printing.  The form can be printed and completed manually.  Additionally, the form</w:t>
      </w:r>
      <w:r w:rsidR="003B2C73">
        <w:t xml:space="preserve"> </w:t>
      </w:r>
      <w:r w:rsidR="00921456" w:rsidRPr="003B2C73">
        <w:t>may be completed online</w:t>
      </w:r>
      <w:r w:rsidR="00230CB6" w:rsidRPr="003B2C73">
        <w:t xml:space="preserve"> and submitted electronically </w:t>
      </w:r>
      <w:r w:rsidR="00692B66" w:rsidRPr="003B2C73">
        <w:t xml:space="preserve">via </w:t>
      </w:r>
      <w:r w:rsidR="00230CB6" w:rsidRPr="003B2C73">
        <w:t xml:space="preserve">the DEA </w:t>
      </w:r>
      <w:r w:rsidR="00583187" w:rsidRPr="003B2C73">
        <w:t xml:space="preserve">Office of </w:t>
      </w:r>
      <w:r w:rsidR="00230CB6" w:rsidRPr="003B2C73">
        <w:t>Diversion Control website</w:t>
      </w:r>
      <w:r w:rsidR="00583187" w:rsidRPr="003B2C73">
        <w:t xml:space="preserve"> at http://www.DEAdiversion.usdoj.gov.</w:t>
      </w:r>
      <w:r w:rsidR="00230CB6" w:rsidRPr="003B2C73">
        <w:t xml:space="preserve"> </w:t>
      </w:r>
      <w:r w:rsidR="002C799D" w:rsidRPr="003B2C73">
        <w:t xml:space="preserve"> </w:t>
      </w:r>
      <w:r w:rsidR="00230CB6" w:rsidRPr="003B2C73">
        <w:t>The DEA estimate</w:t>
      </w:r>
      <w:r w:rsidR="00230CB6" w:rsidRPr="00BF708D">
        <w:t xml:space="preserve">s </w:t>
      </w:r>
      <w:r w:rsidR="00720EEA">
        <w:t xml:space="preserve">that 5% of </w:t>
      </w:r>
      <w:r w:rsidR="00230CB6" w:rsidRPr="00BF708D">
        <w:t>DEA Form 106</w:t>
      </w:r>
      <w:r w:rsidR="00720EEA">
        <w:t>s</w:t>
      </w:r>
      <w:r w:rsidR="00230CB6" w:rsidRPr="00BF708D">
        <w:t xml:space="preserve"> will be </w:t>
      </w:r>
      <w:r w:rsidR="00720EEA">
        <w:t xml:space="preserve">submitted on paper and </w:t>
      </w:r>
      <w:r w:rsidR="00AE17AE" w:rsidRPr="00BF708D">
        <w:t>9</w:t>
      </w:r>
      <w:r w:rsidR="00230CB6" w:rsidRPr="00BF708D">
        <w:t xml:space="preserve">5% </w:t>
      </w:r>
      <w:r w:rsidR="00720EEA">
        <w:t xml:space="preserve">will be submitted </w:t>
      </w:r>
      <w:r w:rsidR="00230CB6" w:rsidRPr="00BF708D">
        <w:t>electronically.</w:t>
      </w:r>
      <w:r w:rsidR="00C525AC" w:rsidRPr="00BF708D">
        <w:t xml:space="preserve"> </w:t>
      </w:r>
    </w:p>
    <w:p w:rsidR="00C525AC" w:rsidRPr="00BF708D" w:rsidRDefault="00C525AC" w:rsidP="00C525AC">
      <w:pPr>
        <w:tabs>
          <w:tab w:val="left" w:pos="450"/>
          <w:tab w:val="left" w:pos="720"/>
        </w:tabs>
      </w:pPr>
    </w:p>
    <w:p w:rsidR="00C525AC" w:rsidRPr="00BF708D" w:rsidRDefault="00C525AC" w:rsidP="00C525AC">
      <w:pPr>
        <w:numPr>
          <w:ilvl w:val="0"/>
          <w:numId w:val="1"/>
        </w:numPr>
        <w:tabs>
          <w:tab w:val="left" w:pos="450"/>
          <w:tab w:val="left" w:pos="720"/>
        </w:tabs>
        <w:rPr>
          <w:u w:val="single"/>
        </w:rPr>
      </w:pPr>
      <w:r w:rsidRPr="00BF708D">
        <w:rPr>
          <w:u w:val="single"/>
        </w:rPr>
        <w:t>Efforts to Identify Duplication</w:t>
      </w:r>
    </w:p>
    <w:p w:rsidR="00C525AC" w:rsidRPr="00BF708D" w:rsidRDefault="00C525AC" w:rsidP="00C525AC">
      <w:pPr>
        <w:tabs>
          <w:tab w:val="left" w:pos="450"/>
          <w:tab w:val="left" w:pos="720"/>
        </w:tabs>
        <w:ind w:firstLine="720"/>
      </w:pPr>
    </w:p>
    <w:p w:rsidR="00C525AC" w:rsidRPr="007A0DC3" w:rsidRDefault="00C525AC" w:rsidP="00C525AC">
      <w:pPr>
        <w:tabs>
          <w:tab w:val="left" w:pos="450"/>
          <w:tab w:val="left" w:pos="720"/>
        </w:tabs>
        <w:ind w:firstLine="720"/>
      </w:pPr>
      <w:r w:rsidRPr="00BF708D">
        <w:t>The DEA has made efforts to identify and prevent duplication of the collection of inform</w:t>
      </w:r>
      <w:r w:rsidR="001A1192" w:rsidRPr="00BF708D">
        <w:t>ation.  The existing DEA Form 106</w:t>
      </w:r>
      <w:r w:rsidRPr="00BF708D">
        <w:t xml:space="preserve"> is not duplicative and is being </w:t>
      </w:r>
      <w:r w:rsidR="002D6A47">
        <w:t>revised</w:t>
      </w:r>
      <w:r w:rsidRPr="00BF708D">
        <w:t xml:space="preserve"> </w:t>
      </w:r>
      <w:r w:rsidR="00210545">
        <w:t xml:space="preserve">for consistency with </w:t>
      </w:r>
      <w:r w:rsidRPr="00BF708D">
        <w:t xml:space="preserve">the new </w:t>
      </w:r>
      <w:r w:rsidR="00210545">
        <w:t xml:space="preserve">regulations on </w:t>
      </w:r>
      <w:r w:rsidR="001A1192" w:rsidRPr="00BF708D">
        <w:t>disposal.  DEA Form 106</w:t>
      </w:r>
      <w:r w:rsidRPr="00BF708D">
        <w:t xml:space="preserve"> is also being </w:t>
      </w:r>
      <w:r w:rsidR="002D6A47">
        <w:t>revised</w:t>
      </w:r>
      <w:r w:rsidRPr="00BF708D">
        <w:t xml:space="preserve"> to account f</w:t>
      </w:r>
      <w:r w:rsidR="001A1192" w:rsidRPr="00BF708D">
        <w:t xml:space="preserve">or theft and loss </w:t>
      </w:r>
      <w:r w:rsidRPr="00BF708D">
        <w:t>of controlled substances collected from ultimate users and other non-registrants pursuant to the Disposal Act.  This particular aspect of the collection of information is associated with new statutory authority and new implementing regulations that do not already exist</w:t>
      </w:r>
      <w:r w:rsidR="00984D60">
        <w:t>.</w:t>
      </w:r>
      <w:r w:rsidRPr="00BF708D">
        <w:t xml:space="preserve"> </w:t>
      </w:r>
      <w:r w:rsidR="00984D60">
        <w:t xml:space="preserve"> T</w:t>
      </w:r>
      <w:r w:rsidR="00EB2ACE" w:rsidRPr="00BF708D">
        <w:t>he</w:t>
      </w:r>
      <w:r w:rsidRPr="00BF708D">
        <w:t xml:space="preserve"> DEA does not believe </w:t>
      </w:r>
      <w:r w:rsidRPr="006F1408">
        <w:t>there is duplication of an existing collection of information.</w:t>
      </w:r>
      <w:r w:rsidRPr="007A0DC3">
        <w:t xml:space="preserve">   </w:t>
      </w:r>
    </w:p>
    <w:p w:rsidR="00C525AC" w:rsidRPr="007A0DC3" w:rsidRDefault="00C525AC" w:rsidP="00C525AC">
      <w:pPr>
        <w:tabs>
          <w:tab w:val="left" w:pos="450"/>
          <w:tab w:val="left" w:pos="720"/>
        </w:tabs>
        <w:ind w:left="720"/>
      </w:pPr>
    </w:p>
    <w:p w:rsidR="00C525AC" w:rsidRPr="007A0DC3" w:rsidRDefault="00C525AC" w:rsidP="00C525AC">
      <w:pPr>
        <w:numPr>
          <w:ilvl w:val="0"/>
          <w:numId w:val="1"/>
        </w:numPr>
        <w:tabs>
          <w:tab w:val="left" w:pos="450"/>
          <w:tab w:val="left" w:pos="720"/>
        </w:tabs>
        <w:rPr>
          <w:u w:val="single"/>
        </w:rPr>
      </w:pPr>
      <w:r w:rsidRPr="007A0DC3">
        <w:rPr>
          <w:u w:val="single"/>
        </w:rPr>
        <w:t>Impact on Small Businesses or Entities</w:t>
      </w:r>
    </w:p>
    <w:p w:rsidR="00C525AC" w:rsidRPr="005626DC" w:rsidRDefault="00C525AC" w:rsidP="00C525AC">
      <w:pPr>
        <w:tabs>
          <w:tab w:val="left" w:pos="450"/>
          <w:tab w:val="left" w:pos="720"/>
        </w:tabs>
      </w:pPr>
    </w:p>
    <w:p w:rsidR="00C525AC" w:rsidRPr="00BF708D" w:rsidRDefault="00E92470" w:rsidP="00C525AC">
      <w:pPr>
        <w:tabs>
          <w:tab w:val="left" w:pos="450"/>
          <w:tab w:val="left" w:pos="720"/>
        </w:tabs>
        <w:ind w:firstLine="720"/>
      </w:pPr>
      <w:r w:rsidRPr="00BF708D">
        <w:lastRenderedPageBreak/>
        <w:t>The DEA has considered alternatives for this collection of information and evaluated the impact o</w:t>
      </w:r>
      <w:r w:rsidR="00F52BFE">
        <w:t>f</w:t>
      </w:r>
      <w:r w:rsidRPr="00BF708D">
        <w:t xml:space="preserve"> this proposed rule on small entities.  </w:t>
      </w:r>
      <w:r w:rsidR="00DF1AAC" w:rsidRPr="00571C1B">
        <w:t>The DEA has concluded that the rule will not have a significant economic impact on a substantial number of small entities.  For more information, see the DEA’s Regulatory Flexibility Act analysis included in the final rule.</w:t>
      </w:r>
      <w:r w:rsidR="00DF1AAC" w:rsidRPr="001E13F0">
        <w:t xml:space="preserve"> </w:t>
      </w:r>
    </w:p>
    <w:p w:rsidR="00C525AC" w:rsidRPr="00BF708D" w:rsidRDefault="00C525AC" w:rsidP="00C525AC">
      <w:pPr>
        <w:tabs>
          <w:tab w:val="left" w:pos="450"/>
          <w:tab w:val="left" w:pos="720"/>
        </w:tabs>
        <w:ind w:left="720"/>
      </w:pPr>
    </w:p>
    <w:p w:rsidR="00C525AC" w:rsidRPr="00BF708D" w:rsidRDefault="00C525AC" w:rsidP="00C525AC">
      <w:pPr>
        <w:numPr>
          <w:ilvl w:val="0"/>
          <w:numId w:val="1"/>
        </w:numPr>
        <w:tabs>
          <w:tab w:val="left" w:pos="450"/>
          <w:tab w:val="left" w:pos="720"/>
        </w:tabs>
        <w:rPr>
          <w:u w:val="single"/>
        </w:rPr>
      </w:pPr>
      <w:r w:rsidRPr="00BF708D">
        <w:rPr>
          <w:u w:val="single"/>
        </w:rPr>
        <w:t xml:space="preserve">Consequence </w:t>
      </w:r>
      <w:r w:rsidR="00583187" w:rsidRPr="00BF708D">
        <w:rPr>
          <w:u w:val="single"/>
        </w:rPr>
        <w:t xml:space="preserve">of </w:t>
      </w:r>
      <w:r w:rsidRPr="00BF708D">
        <w:rPr>
          <w:u w:val="single"/>
        </w:rPr>
        <w:t>Less Frequent</w:t>
      </w:r>
      <w:r w:rsidR="00583187" w:rsidRPr="00BF708D">
        <w:rPr>
          <w:u w:val="single"/>
        </w:rPr>
        <w:t xml:space="preserve"> Collection</w:t>
      </w:r>
    </w:p>
    <w:p w:rsidR="00C525AC" w:rsidRPr="00BF708D" w:rsidRDefault="00C525AC" w:rsidP="00C525AC">
      <w:pPr>
        <w:tabs>
          <w:tab w:val="left" w:pos="450"/>
          <w:tab w:val="left" w:pos="720"/>
        </w:tabs>
        <w:ind w:left="720"/>
      </w:pPr>
    </w:p>
    <w:p w:rsidR="00C525AC" w:rsidRPr="00BF708D" w:rsidRDefault="00230CB6" w:rsidP="00C525AC">
      <w:pPr>
        <w:tabs>
          <w:tab w:val="left" w:pos="450"/>
          <w:tab w:val="left" w:pos="720"/>
        </w:tabs>
        <w:ind w:firstLine="720"/>
      </w:pPr>
      <w:r w:rsidRPr="00BF708D">
        <w:t xml:space="preserve">The collection information must take place upon each occurrence of theft or loss to </w:t>
      </w:r>
      <w:r w:rsidR="00AE5FEA">
        <w:t>ensure accountability within the</w:t>
      </w:r>
      <w:r w:rsidRPr="00BF708D">
        <w:t xml:space="preserve"> closed system of distribution of controlled substances.  </w:t>
      </w:r>
      <w:r w:rsidR="00C525AC" w:rsidRPr="00BF708D">
        <w:t xml:space="preserve">If the collection of information is not conducted or is conducted less frequently, there </w:t>
      </w:r>
      <w:r w:rsidR="006E5A42">
        <w:t>will be an increased</w:t>
      </w:r>
      <w:r w:rsidR="00C525AC" w:rsidRPr="00BF708D">
        <w:t xml:space="preserve"> risk of diversion.  The info</w:t>
      </w:r>
      <w:r w:rsidR="001A1192" w:rsidRPr="00BF708D">
        <w:t>rmation collected on DEA Form 106</w:t>
      </w:r>
      <w:r w:rsidR="00C525AC" w:rsidRPr="00BF708D">
        <w:t xml:space="preserve"> is vital to the enforcement of the Controlled Substances</w:t>
      </w:r>
      <w:r w:rsidR="00AA7448" w:rsidRPr="00BF708D">
        <w:t xml:space="preserve"> Act</w:t>
      </w:r>
      <w:r w:rsidR="00E87B4F">
        <w:t>, ensures accountability,</w:t>
      </w:r>
      <w:r w:rsidR="00AA7448" w:rsidRPr="00BF708D">
        <w:t xml:space="preserve"> and helps </w:t>
      </w:r>
      <w:r w:rsidR="00E87B4F">
        <w:t xml:space="preserve">to deter and detect </w:t>
      </w:r>
      <w:r w:rsidR="00C525AC" w:rsidRPr="00BF708D">
        <w:t xml:space="preserve">the diversion of controlled substances outside of legitimate channels into the illicit market.  Furthermore, the information collected, in accordance with the Disposal Act, helps to </w:t>
      </w:r>
      <w:r w:rsidR="00E87B4F">
        <w:t>prevent controlled substances from being diverted during the disposal process</w:t>
      </w:r>
      <w:r w:rsidR="00C525AC" w:rsidRPr="00BF708D">
        <w:t>.  In implementing the Disposal Act, the DEA was required to issue disposal regulations that prevent the diversion of controlled substances.  21 U.S.C. 822(g</w:t>
      </w:r>
      <w:proofErr w:type="gramStart"/>
      <w:r w:rsidR="00C525AC" w:rsidRPr="00BF708D">
        <w:t>)(</w:t>
      </w:r>
      <w:proofErr w:type="gramEnd"/>
      <w:r w:rsidR="00C525AC" w:rsidRPr="00BF708D">
        <w:t xml:space="preserve">1).  </w:t>
      </w:r>
      <w:r w:rsidR="00947ADD">
        <w:t>According</w:t>
      </w:r>
      <w:r w:rsidR="00E84BEA">
        <w:t>ly</w:t>
      </w:r>
      <w:r w:rsidR="00947ADD">
        <w:t xml:space="preserve">, the disposal final rule requires thefts or losses of collected substances to be reported to the DEA on a DEA Form 106.  </w:t>
      </w:r>
      <w:r w:rsidR="00C525AC" w:rsidRPr="00BF708D">
        <w:t xml:space="preserve">    </w:t>
      </w:r>
    </w:p>
    <w:p w:rsidR="00C525AC" w:rsidRPr="00BF708D" w:rsidRDefault="00C525AC" w:rsidP="00C525AC">
      <w:pPr>
        <w:tabs>
          <w:tab w:val="left" w:pos="450"/>
          <w:tab w:val="left" w:pos="720"/>
        </w:tabs>
        <w:ind w:firstLine="720"/>
      </w:pPr>
      <w:r w:rsidRPr="00BF708D">
        <w:t xml:space="preserve">  </w:t>
      </w:r>
    </w:p>
    <w:p w:rsidR="00C525AC" w:rsidRPr="00BF708D" w:rsidRDefault="00C525AC" w:rsidP="00C525AC">
      <w:pPr>
        <w:numPr>
          <w:ilvl w:val="0"/>
          <w:numId w:val="1"/>
        </w:numPr>
        <w:tabs>
          <w:tab w:val="left" w:pos="450"/>
          <w:tab w:val="left" w:pos="720"/>
        </w:tabs>
        <w:rPr>
          <w:u w:val="single"/>
        </w:rPr>
      </w:pPr>
      <w:r w:rsidRPr="00BF708D">
        <w:rPr>
          <w:u w:val="single"/>
        </w:rPr>
        <w:t>Special Circumstances</w:t>
      </w:r>
      <w:r w:rsidR="00D1765F" w:rsidRPr="00BF708D">
        <w:rPr>
          <w:u w:val="single"/>
        </w:rPr>
        <w:t xml:space="preserve"> Influencing Collection</w:t>
      </w:r>
    </w:p>
    <w:p w:rsidR="00C525AC" w:rsidRPr="00BF708D" w:rsidRDefault="00C525AC" w:rsidP="00C525AC">
      <w:pPr>
        <w:tabs>
          <w:tab w:val="left" w:pos="450"/>
          <w:tab w:val="left" w:pos="720"/>
        </w:tabs>
      </w:pPr>
    </w:p>
    <w:p w:rsidR="00C525AC" w:rsidRDefault="00C525AC" w:rsidP="00C525AC">
      <w:pPr>
        <w:tabs>
          <w:tab w:val="left" w:pos="450"/>
          <w:tab w:val="left" w:pos="720"/>
        </w:tabs>
        <w:ind w:firstLine="720"/>
      </w:pPr>
      <w:r w:rsidRPr="00BF708D">
        <w:t>The DEA does not foresee any special circumstances that would cause an information collection to be conducted in a particular manner</w:t>
      </w:r>
      <w:r w:rsidR="0064556A">
        <w:t>, e.g.,</w:t>
      </w:r>
      <w:r w:rsidRPr="00BF708D">
        <w:t xml:space="preserve"> requiring respondents to report information to the agency more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 </w:t>
      </w:r>
    </w:p>
    <w:p w:rsidR="00A25575" w:rsidRPr="00BF708D" w:rsidRDefault="00A25575" w:rsidP="00C525AC">
      <w:pPr>
        <w:tabs>
          <w:tab w:val="left" w:pos="450"/>
          <w:tab w:val="left" w:pos="720"/>
        </w:tabs>
        <w:ind w:firstLine="720"/>
      </w:pPr>
    </w:p>
    <w:p w:rsidR="004C26AE" w:rsidRPr="00BF708D" w:rsidRDefault="004C26AE" w:rsidP="006F1408">
      <w:pPr>
        <w:numPr>
          <w:ilvl w:val="0"/>
          <w:numId w:val="1"/>
        </w:numPr>
        <w:tabs>
          <w:tab w:val="left" w:pos="450"/>
          <w:tab w:val="left" w:pos="720"/>
        </w:tabs>
        <w:rPr>
          <w:u w:val="single"/>
        </w:rPr>
      </w:pPr>
      <w:r w:rsidRPr="00BF708D">
        <w:rPr>
          <w:u w:val="single"/>
        </w:rPr>
        <w:t>Consultations With Persons Outside the Agency</w:t>
      </w:r>
    </w:p>
    <w:p w:rsidR="00C525AC" w:rsidRPr="00BF708D" w:rsidRDefault="00C525AC" w:rsidP="00C525AC">
      <w:pPr>
        <w:tabs>
          <w:tab w:val="left" w:pos="450"/>
          <w:tab w:val="left" w:pos="720"/>
        </w:tabs>
      </w:pPr>
    </w:p>
    <w:p w:rsidR="00DF1AAC" w:rsidRPr="001E13F0" w:rsidRDefault="00DF1AAC" w:rsidP="00DF1AAC">
      <w:pPr>
        <w:tabs>
          <w:tab w:val="left" w:pos="450"/>
          <w:tab w:val="left" w:pos="720"/>
        </w:tabs>
        <w:ind w:firstLine="720"/>
      </w:pPr>
      <w:r w:rsidRPr="001E13F0">
        <w:t>On January 19 and 20, 2011, the DEA held a public meeting to receive comments regarding the implementation of the Disposal Act (75 FR 80536, December 22, 2010).</w:t>
      </w:r>
      <w:r w:rsidRPr="001E13F0">
        <w:rPr>
          <w:rStyle w:val="FootnoteReference"/>
        </w:rPr>
        <w:footnoteReference w:id="1"/>
      </w:r>
      <w:r w:rsidRPr="001E13F0">
        <w:t xml:space="preserve">  T</w:t>
      </w:r>
      <w:r w:rsidRPr="001E13F0">
        <w:rPr>
          <w:color w:val="000000"/>
        </w:rPr>
        <w:t xml:space="preserve">his meeting allowed all interested persons – the general public, including ultimate users, pharmacies, </w:t>
      </w:r>
      <w:r w:rsidRPr="00E84BEA">
        <w:rPr>
          <w:color w:val="000000"/>
        </w:rPr>
        <w:t xml:space="preserve">law enforcement personnel, reverse distributors, and other third parties – to express their views regarding safe and effective methods of disposal of controlled substances consistent with the CSA.  Representatives of various industries as well as various federal, state, and local agencies spoke at the meeting and provided information and suggestions on the implementation of the Disposal Act.  </w:t>
      </w:r>
      <w:r w:rsidRPr="00E84BEA">
        <w:t>The DEA has met with other federal agencies, the Office of National Drug</w:t>
      </w:r>
      <w:r w:rsidRPr="00696977">
        <w:rPr>
          <w:u w:val="single"/>
        </w:rPr>
        <w:t xml:space="preserve"> </w:t>
      </w:r>
      <w:r w:rsidRPr="001E13F0">
        <w:t>Control Policy</w:t>
      </w:r>
      <w:r>
        <w:t>, congressional staffs, and pharmacy and reverse distributor representatives</w:t>
      </w:r>
      <w:r w:rsidRPr="001E13F0">
        <w:t xml:space="preserve"> to discuss and receive feedback on both the proposed rule and the final rule.  </w:t>
      </w:r>
    </w:p>
    <w:p w:rsidR="00DF1AAC" w:rsidRPr="001E13F0" w:rsidRDefault="00DF1AAC" w:rsidP="00DF1AAC">
      <w:pPr>
        <w:tabs>
          <w:tab w:val="left" w:pos="450"/>
          <w:tab w:val="left" w:pos="720"/>
        </w:tabs>
        <w:rPr>
          <w:color w:val="000000"/>
        </w:rPr>
      </w:pPr>
    </w:p>
    <w:p w:rsidR="00DF1AAC" w:rsidRPr="001E13F0" w:rsidRDefault="00DF1AAC" w:rsidP="00DF1AAC">
      <w:pPr>
        <w:tabs>
          <w:tab w:val="left" w:pos="450"/>
          <w:tab w:val="left" w:pos="720"/>
        </w:tabs>
        <w:ind w:firstLine="720"/>
      </w:pPr>
      <w:r w:rsidRPr="001E13F0">
        <w:t xml:space="preserve">The </w:t>
      </w:r>
      <w:r>
        <w:t>Notice of Proposed Rulemaking</w:t>
      </w:r>
      <w:r w:rsidRPr="001E13F0">
        <w:t xml:space="preserve"> on the Disposal of Controlled Substances (RIN 1117-AB18) was published in the Federal Register on December 21, 2012, with a request for public comment.  </w:t>
      </w:r>
      <w:proofErr w:type="gramStart"/>
      <w:r w:rsidRPr="001E13F0">
        <w:t>(77 FR 75784).</w:t>
      </w:r>
      <w:proofErr w:type="gramEnd"/>
      <w:r w:rsidRPr="001E13F0">
        <w:t xml:space="preserve">  The comments the DEA received regarding DEA Form 1</w:t>
      </w:r>
      <w:r w:rsidR="00C741FB">
        <w:t>06</w:t>
      </w:r>
      <w:r w:rsidRPr="001E13F0">
        <w:t xml:space="preserve"> addressed a variety of topics; including which records must be kept, when the form must be used, and form requirements.</w:t>
      </w:r>
    </w:p>
    <w:p w:rsidR="0052755A" w:rsidRPr="00BF708D" w:rsidRDefault="0052755A" w:rsidP="0052755A">
      <w:pPr>
        <w:tabs>
          <w:tab w:val="left" w:pos="450"/>
          <w:tab w:val="left" w:pos="720"/>
        </w:tabs>
      </w:pPr>
    </w:p>
    <w:p w:rsidR="0052755A" w:rsidRPr="00BF708D" w:rsidRDefault="0052755A" w:rsidP="0052755A">
      <w:pPr>
        <w:tabs>
          <w:tab w:val="left" w:pos="450"/>
          <w:tab w:val="left" w:pos="720"/>
        </w:tabs>
        <w:ind w:firstLine="720"/>
      </w:pPr>
      <w:r w:rsidRPr="00BF708D">
        <w:t xml:space="preserve">The DEA responded that the records that registrants are required to maintain pursuant to law are a vital component of the DEA’s enforcement and </w:t>
      </w:r>
      <w:r w:rsidR="007E1113">
        <w:t>oversight</w:t>
      </w:r>
      <w:r w:rsidRPr="00BF708D">
        <w:t xml:space="preserve"> responsibilities</w:t>
      </w:r>
      <w:r w:rsidR="00107293" w:rsidRPr="00BF708D">
        <w:t xml:space="preserve"> </w:t>
      </w:r>
      <w:r w:rsidR="00107293" w:rsidRPr="00BF708D">
        <w:rPr>
          <w:color w:val="000000"/>
        </w:rPr>
        <w:t xml:space="preserve">– </w:t>
      </w:r>
      <w:r w:rsidRPr="00BF708D">
        <w:t xml:space="preserve">such records </w:t>
      </w:r>
      <w:r w:rsidR="007E1113">
        <w:t>ensure accountability and help to deter and detect diversion.</w:t>
      </w:r>
      <w:r w:rsidRPr="00BF708D">
        <w:t xml:space="preserve">  The DEA is requiring registrants involved in the destruction of controlled substances to re</w:t>
      </w:r>
      <w:r w:rsidR="009927F1">
        <w:t>port</w:t>
      </w:r>
      <w:r w:rsidRPr="00BF708D">
        <w:t xml:space="preserve"> certain information.  DEA Form </w:t>
      </w:r>
      <w:r w:rsidR="008405EC" w:rsidRPr="00BF708D">
        <w:t>106</w:t>
      </w:r>
      <w:r w:rsidRPr="00BF708D">
        <w:t xml:space="preserve"> has previously been approved by OMB and assigned OMB control number 1117-</w:t>
      </w:r>
      <w:r w:rsidR="00107293" w:rsidRPr="00BF708D">
        <w:t>0001</w:t>
      </w:r>
      <w:r w:rsidRPr="00BF708D">
        <w:t xml:space="preserve">.  </w:t>
      </w:r>
    </w:p>
    <w:p w:rsidR="00C525AC" w:rsidRPr="00BF708D" w:rsidRDefault="00C525AC" w:rsidP="00C525AC">
      <w:pPr>
        <w:tabs>
          <w:tab w:val="left" w:pos="450"/>
          <w:tab w:val="left" w:pos="720"/>
        </w:tabs>
      </w:pPr>
    </w:p>
    <w:p w:rsidR="00C525AC" w:rsidRPr="00BF708D" w:rsidRDefault="00C525AC" w:rsidP="00C525AC">
      <w:pPr>
        <w:numPr>
          <w:ilvl w:val="0"/>
          <w:numId w:val="1"/>
        </w:numPr>
        <w:tabs>
          <w:tab w:val="left" w:pos="450"/>
          <w:tab w:val="left" w:pos="720"/>
        </w:tabs>
        <w:rPr>
          <w:u w:val="single"/>
        </w:rPr>
      </w:pPr>
      <w:r w:rsidRPr="00BF708D">
        <w:rPr>
          <w:u w:val="single"/>
        </w:rPr>
        <w:t>Payment or Gift</w:t>
      </w:r>
      <w:r w:rsidR="00C20656" w:rsidRPr="00BF708D">
        <w:rPr>
          <w:u w:val="single"/>
        </w:rPr>
        <w:t xml:space="preserve"> To Claimants</w:t>
      </w:r>
    </w:p>
    <w:p w:rsidR="00C525AC" w:rsidRPr="00BF708D" w:rsidRDefault="00C525AC" w:rsidP="00C525AC">
      <w:pPr>
        <w:tabs>
          <w:tab w:val="left" w:pos="450"/>
          <w:tab w:val="left" w:pos="720"/>
        </w:tabs>
      </w:pPr>
    </w:p>
    <w:p w:rsidR="00C525AC" w:rsidRPr="00BF708D" w:rsidRDefault="00C525AC" w:rsidP="00C525AC">
      <w:pPr>
        <w:tabs>
          <w:tab w:val="left" w:pos="450"/>
          <w:tab w:val="left" w:pos="720"/>
        </w:tabs>
        <w:ind w:firstLine="720"/>
      </w:pPr>
      <w:r w:rsidRPr="00BF708D">
        <w:t>This collection of information does not propose to provide any payment or gift to respondents.</w:t>
      </w:r>
    </w:p>
    <w:p w:rsidR="00C525AC" w:rsidRPr="00BF708D" w:rsidRDefault="00C525AC" w:rsidP="00C525AC">
      <w:pPr>
        <w:tabs>
          <w:tab w:val="left" w:pos="450"/>
          <w:tab w:val="left" w:pos="720"/>
        </w:tabs>
      </w:pPr>
    </w:p>
    <w:p w:rsidR="00C525AC" w:rsidRPr="00BF708D" w:rsidRDefault="00C525AC" w:rsidP="00C525AC">
      <w:pPr>
        <w:numPr>
          <w:ilvl w:val="0"/>
          <w:numId w:val="1"/>
        </w:numPr>
        <w:tabs>
          <w:tab w:val="left" w:pos="450"/>
          <w:tab w:val="left" w:pos="720"/>
        </w:tabs>
        <w:rPr>
          <w:u w:val="single"/>
        </w:rPr>
      </w:pPr>
      <w:r w:rsidRPr="00BF708D">
        <w:rPr>
          <w:u w:val="single"/>
        </w:rPr>
        <w:t>Assurance</w:t>
      </w:r>
      <w:r w:rsidR="002E6455" w:rsidRPr="00BF708D">
        <w:rPr>
          <w:u w:val="single"/>
        </w:rPr>
        <w:t xml:space="preserve"> of Confidentiality</w:t>
      </w:r>
    </w:p>
    <w:p w:rsidR="00C525AC" w:rsidRPr="00BF708D" w:rsidRDefault="00C525AC" w:rsidP="00C525AC">
      <w:pPr>
        <w:tabs>
          <w:tab w:val="left" w:pos="450"/>
          <w:tab w:val="left" w:pos="720"/>
        </w:tabs>
      </w:pPr>
    </w:p>
    <w:p w:rsidR="00C525AC" w:rsidRPr="00BF708D" w:rsidRDefault="00C525AC" w:rsidP="00C525AC">
      <w:pPr>
        <w:tabs>
          <w:tab w:val="left" w:pos="450"/>
          <w:tab w:val="left" w:pos="720"/>
        </w:tabs>
        <w:ind w:firstLine="720"/>
      </w:pPr>
      <w:r w:rsidRPr="00BF708D">
        <w:t>Information provided pursuant to the requirements of th</w:t>
      </w:r>
      <w:r w:rsidR="00D0209A">
        <w:t>e</w:t>
      </w:r>
      <w:r w:rsidRPr="00BF708D">
        <w:t xml:space="preserve"> </w:t>
      </w:r>
      <w:r w:rsidR="00D0209A">
        <w:t>disposal</w:t>
      </w:r>
      <w:r w:rsidRPr="00BF708D">
        <w:t xml:space="preserve"> rule and to 21 U.S.C. 827(b)(3) may be considered confidential business information if marked as such in accordance with 28 CFR 16.8(c) and Exemption 4 of the Freedom of Information Act.  The information is protected by </w:t>
      </w:r>
      <w:r w:rsidR="00AA7448" w:rsidRPr="00BF708D">
        <w:t xml:space="preserve">the </w:t>
      </w:r>
      <w:r w:rsidRPr="00BF708D">
        <w:t>DEA through secure storage, limited acc</w:t>
      </w:r>
      <w:r w:rsidR="00AA7448" w:rsidRPr="00BF708D">
        <w:t xml:space="preserve">ess, and federal regulatory and </w:t>
      </w:r>
      <w:r w:rsidRPr="00BF708D">
        <w:t xml:space="preserve">DEA procedures.  </w:t>
      </w:r>
    </w:p>
    <w:p w:rsidR="00C525AC" w:rsidRPr="00BF708D" w:rsidRDefault="00C525AC" w:rsidP="00C525AC">
      <w:pPr>
        <w:tabs>
          <w:tab w:val="left" w:pos="450"/>
          <w:tab w:val="left" w:pos="720"/>
        </w:tabs>
      </w:pPr>
    </w:p>
    <w:p w:rsidR="00C525AC" w:rsidRPr="00BF708D" w:rsidRDefault="00C525AC" w:rsidP="00C525AC">
      <w:pPr>
        <w:numPr>
          <w:ilvl w:val="0"/>
          <w:numId w:val="1"/>
        </w:numPr>
        <w:tabs>
          <w:tab w:val="left" w:pos="450"/>
          <w:tab w:val="left" w:pos="720"/>
        </w:tabs>
        <w:rPr>
          <w:u w:val="single"/>
        </w:rPr>
      </w:pPr>
      <w:r w:rsidRPr="00BF708D">
        <w:rPr>
          <w:u w:val="single"/>
        </w:rPr>
        <w:t>Justification for Questions of a Sensitive Nature</w:t>
      </w:r>
    </w:p>
    <w:p w:rsidR="00C525AC" w:rsidRPr="00BF708D" w:rsidRDefault="00C525AC" w:rsidP="00C525AC">
      <w:pPr>
        <w:tabs>
          <w:tab w:val="left" w:pos="450"/>
          <w:tab w:val="left" w:pos="720"/>
        </w:tabs>
      </w:pPr>
    </w:p>
    <w:p w:rsidR="00C525AC" w:rsidRPr="00BF708D" w:rsidRDefault="00107293" w:rsidP="00C525AC">
      <w:pPr>
        <w:tabs>
          <w:tab w:val="left" w:pos="450"/>
          <w:tab w:val="left" w:pos="720"/>
        </w:tabs>
      </w:pPr>
      <w:r w:rsidRPr="00BF708D">
        <w:tab/>
      </w:r>
      <w:r w:rsidRPr="00BF708D">
        <w:tab/>
      </w:r>
      <w:r w:rsidR="00C525AC" w:rsidRPr="00BF708D">
        <w:t>This collection of information does not ask any questions of a sensitive nature.</w:t>
      </w:r>
    </w:p>
    <w:p w:rsidR="00C525AC" w:rsidRPr="00BF708D" w:rsidRDefault="00C525AC" w:rsidP="00C525AC">
      <w:pPr>
        <w:tabs>
          <w:tab w:val="left" w:pos="450"/>
          <w:tab w:val="left" w:pos="720"/>
        </w:tabs>
        <w:ind w:left="720"/>
      </w:pPr>
    </w:p>
    <w:p w:rsidR="00C525AC" w:rsidRPr="00BF708D" w:rsidRDefault="00C525AC" w:rsidP="00C525AC">
      <w:pPr>
        <w:numPr>
          <w:ilvl w:val="0"/>
          <w:numId w:val="1"/>
        </w:numPr>
        <w:tabs>
          <w:tab w:val="left" w:pos="450"/>
          <w:tab w:val="left" w:pos="720"/>
        </w:tabs>
        <w:rPr>
          <w:u w:val="single"/>
        </w:rPr>
      </w:pPr>
      <w:r w:rsidRPr="00BF708D">
        <w:rPr>
          <w:u w:val="single"/>
        </w:rPr>
        <w:t>Estimated Hour Burden of the Collection of Information</w:t>
      </w:r>
    </w:p>
    <w:p w:rsidR="00C525AC" w:rsidRPr="00BF708D" w:rsidRDefault="00C525AC" w:rsidP="00C525AC">
      <w:pPr>
        <w:tabs>
          <w:tab w:val="left" w:pos="450"/>
          <w:tab w:val="left" w:pos="720"/>
        </w:tabs>
        <w:ind w:left="720"/>
      </w:pPr>
    </w:p>
    <w:p w:rsidR="00C525AC" w:rsidRPr="00BF708D" w:rsidRDefault="00C525AC" w:rsidP="00C525AC">
      <w:pPr>
        <w:tabs>
          <w:tab w:val="left" w:pos="450"/>
          <w:tab w:val="left" w:pos="720"/>
        </w:tabs>
      </w:pPr>
      <w:r w:rsidRPr="00BF708D">
        <w:rPr>
          <w:u w:val="single"/>
        </w:rPr>
        <w:t>Number of respondents</w:t>
      </w:r>
      <w:r w:rsidR="00291245" w:rsidRPr="00BF708D">
        <w:t xml:space="preserve">: </w:t>
      </w:r>
      <w:r w:rsidRPr="00BF708D">
        <w:t xml:space="preserve"> </w:t>
      </w:r>
      <w:r w:rsidR="00291245" w:rsidRPr="00BF708D">
        <w:t>9,655 registrants</w:t>
      </w:r>
    </w:p>
    <w:p w:rsidR="00C525AC" w:rsidRPr="00BF708D" w:rsidRDefault="00C525AC" w:rsidP="00C525AC">
      <w:pPr>
        <w:tabs>
          <w:tab w:val="left" w:pos="450"/>
          <w:tab w:val="left" w:pos="720"/>
        </w:tabs>
      </w:pPr>
    </w:p>
    <w:p w:rsidR="00291245" w:rsidRPr="00BF708D" w:rsidRDefault="001A1192" w:rsidP="00C525AC">
      <w:pPr>
        <w:tabs>
          <w:tab w:val="left" w:pos="450"/>
          <w:tab w:val="left" w:pos="720"/>
        </w:tabs>
        <w:rPr>
          <w:i/>
        </w:rPr>
      </w:pPr>
      <w:r w:rsidRPr="00BF708D">
        <w:rPr>
          <w:i/>
        </w:rPr>
        <w:t>Note:  DEA Form 106</w:t>
      </w:r>
      <w:r w:rsidR="00C525AC" w:rsidRPr="00BF708D">
        <w:rPr>
          <w:i/>
        </w:rPr>
        <w:t xml:space="preserve"> is com</w:t>
      </w:r>
      <w:r w:rsidRPr="00BF708D">
        <w:rPr>
          <w:i/>
        </w:rPr>
        <w:t>pleted by registrants reporting a theft o</w:t>
      </w:r>
      <w:r w:rsidR="00291245" w:rsidRPr="00BF708D">
        <w:rPr>
          <w:i/>
        </w:rPr>
        <w:t>r loss of controlled substances.</w:t>
      </w:r>
    </w:p>
    <w:p w:rsidR="00291245" w:rsidRPr="00BF708D" w:rsidRDefault="00291245" w:rsidP="00C525AC">
      <w:pPr>
        <w:tabs>
          <w:tab w:val="left" w:pos="450"/>
          <w:tab w:val="left" w:pos="720"/>
        </w:tabs>
        <w:rPr>
          <w:i/>
        </w:rPr>
      </w:pPr>
    </w:p>
    <w:p w:rsidR="00C525AC" w:rsidRPr="00BF708D" w:rsidRDefault="00C525AC" w:rsidP="00C525AC">
      <w:pPr>
        <w:tabs>
          <w:tab w:val="left" w:pos="450"/>
          <w:tab w:val="left" w:pos="720"/>
        </w:tabs>
      </w:pPr>
      <w:r w:rsidRPr="00BF708D">
        <w:rPr>
          <w:u w:val="single"/>
        </w:rPr>
        <w:t>Frequency of response</w:t>
      </w:r>
      <w:r w:rsidR="00291245" w:rsidRPr="00BF708D">
        <w:t>:  Varies</w:t>
      </w:r>
      <w:r w:rsidRPr="00BF708D">
        <w:t>.</w:t>
      </w:r>
    </w:p>
    <w:p w:rsidR="00C525AC" w:rsidRPr="00BF708D" w:rsidRDefault="00C525AC" w:rsidP="00C525AC">
      <w:pPr>
        <w:tabs>
          <w:tab w:val="left" w:pos="450"/>
          <w:tab w:val="left" w:pos="720"/>
        </w:tabs>
      </w:pPr>
      <w:r w:rsidRPr="00BF708D">
        <w:t xml:space="preserve">The DEA estimates that the frequency of response will vary because, in accordance with 21 U.S.C. 827(a), registrants maintain, on a current basis, a complete and accurate record of each controlled substance manufactured, received, sold, delivered, or otherwise disposed of.  </w:t>
      </w:r>
    </w:p>
    <w:p w:rsidR="00C525AC" w:rsidRPr="00BF708D" w:rsidRDefault="00C525AC" w:rsidP="00C525AC">
      <w:pPr>
        <w:tabs>
          <w:tab w:val="left" w:pos="450"/>
          <w:tab w:val="left" w:pos="720"/>
        </w:tabs>
      </w:pPr>
    </w:p>
    <w:p w:rsidR="00282E1E" w:rsidRPr="006F1408" w:rsidRDefault="00282E1E" w:rsidP="00C525AC">
      <w:pPr>
        <w:tabs>
          <w:tab w:val="left" w:pos="450"/>
          <w:tab w:val="left" w:pos="720"/>
        </w:tabs>
      </w:pPr>
      <w:r w:rsidRPr="00BF708D">
        <w:rPr>
          <w:u w:val="single"/>
        </w:rPr>
        <w:t>Total annual responses</w:t>
      </w:r>
      <w:r w:rsidRPr="006F1408">
        <w:t>:  25,430 (24,189 electronic/1,241 paper)</w:t>
      </w:r>
    </w:p>
    <w:p w:rsidR="00282E1E" w:rsidRPr="007A0DC3" w:rsidRDefault="00282E1E" w:rsidP="00C525AC">
      <w:pPr>
        <w:tabs>
          <w:tab w:val="left" w:pos="450"/>
          <w:tab w:val="left" w:pos="720"/>
        </w:tabs>
        <w:rPr>
          <w:u w:val="single"/>
        </w:rPr>
      </w:pPr>
    </w:p>
    <w:p w:rsidR="00C525AC" w:rsidRPr="005626DC" w:rsidRDefault="00C525AC" w:rsidP="00C525AC">
      <w:pPr>
        <w:tabs>
          <w:tab w:val="left" w:pos="450"/>
          <w:tab w:val="left" w:pos="720"/>
        </w:tabs>
      </w:pPr>
      <w:r w:rsidRPr="007A0DC3">
        <w:rPr>
          <w:u w:val="single"/>
        </w:rPr>
        <w:t>Average time per response</w:t>
      </w:r>
      <w:r w:rsidR="00291245" w:rsidRPr="007A0DC3">
        <w:t>:  2</w:t>
      </w:r>
      <w:r w:rsidRPr="005626DC">
        <w:t>0 minutes</w:t>
      </w:r>
    </w:p>
    <w:p w:rsidR="00C525AC" w:rsidRPr="00BF708D" w:rsidRDefault="00C525AC" w:rsidP="00C525AC">
      <w:pPr>
        <w:tabs>
          <w:tab w:val="left" w:pos="450"/>
          <w:tab w:val="left" w:pos="720"/>
        </w:tabs>
      </w:pPr>
      <w:r w:rsidRPr="00BF708D">
        <w:rPr>
          <w:u w:val="single"/>
        </w:rPr>
        <w:t>Total Annual burden</w:t>
      </w:r>
      <w:r w:rsidR="00291245" w:rsidRPr="00BF708D">
        <w:t>:  8,477</w:t>
      </w:r>
      <w:r w:rsidRPr="00BF708D">
        <w:t xml:space="preserve"> hours</w:t>
      </w:r>
    </w:p>
    <w:p w:rsidR="00C525AC" w:rsidRPr="00BF708D" w:rsidRDefault="00C525AC" w:rsidP="00C525AC">
      <w:pPr>
        <w:tabs>
          <w:tab w:val="left" w:pos="450"/>
          <w:tab w:val="left" w:pos="720"/>
        </w:tabs>
        <w:ind w:left="720"/>
        <w:rPr>
          <w:highlight w:val="yellow"/>
        </w:rPr>
      </w:pPr>
    </w:p>
    <w:p w:rsidR="00C525AC" w:rsidRPr="00BF708D" w:rsidRDefault="00C525AC" w:rsidP="00C525AC">
      <w:pPr>
        <w:numPr>
          <w:ilvl w:val="0"/>
          <w:numId w:val="1"/>
        </w:numPr>
        <w:tabs>
          <w:tab w:val="left" w:pos="450"/>
          <w:tab w:val="left" w:pos="720"/>
        </w:tabs>
        <w:rPr>
          <w:u w:val="single"/>
        </w:rPr>
      </w:pPr>
      <w:r w:rsidRPr="00BF708D">
        <w:rPr>
          <w:u w:val="single"/>
        </w:rPr>
        <w:t>Estimated Total Annual Cost Burden</w:t>
      </w:r>
    </w:p>
    <w:p w:rsidR="00C525AC" w:rsidRPr="00BF708D" w:rsidRDefault="00C525AC" w:rsidP="00C525AC">
      <w:pPr>
        <w:tabs>
          <w:tab w:val="left" w:pos="450"/>
          <w:tab w:val="left" w:pos="720"/>
        </w:tabs>
      </w:pPr>
    </w:p>
    <w:p w:rsidR="00C525AC" w:rsidRPr="00BF708D" w:rsidRDefault="00C525AC" w:rsidP="00C525AC">
      <w:pPr>
        <w:tabs>
          <w:tab w:val="left" w:pos="450"/>
          <w:tab w:val="left" w:pos="720"/>
        </w:tabs>
      </w:pPr>
      <w:r w:rsidRPr="00BF708D">
        <w:t>Estimated Total Annual Cost Burden:  $</w:t>
      </w:r>
      <w:r w:rsidR="00C27311" w:rsidRPr="00BF708D">
        <w:t>475,060</w:t>
      </w:r>
    </w:p>
    <w:p w:rsidR="00C525AC" w:rsidRPr="00BF708D" w:rsidRDefault="00C525AC" w:rsidP="00C525AC">
      <w:pPr>
        <w:tabs>
          <w:tab w:val="left" w:pos="450"/>
          <w:tab w:val="left" w:pos="720"/>
        </w:tabs>
      </w:pPr>
    </w:p>
    <w:p w:rsidR="0080722B" w:rsidRPr="006F1408" w:rsidRDefault="0080722B" w:rsidP="0080722B">
      <w:pPr>
        <w:tabs>
          <w:tab w:val="left" w:pos="450"/>
          <w:tab w:val="left" w:pos="720"/>
        </w:tabs>
      </w:pPr>
      <w:r w:rsidRPr="006F1408">
        <w:t>The total cost is based on cost estimates for labor and materials.</w:t>
      </w:r>
    </w:p>
    <w:p w:rsidR="0080722B" w:rsidRPr="006F1408" w:rsidRDefault="0080722B" w:rsidP="0080722B">
      <w:pPr>
        <w:tabs>
          <w:tab w:val="left" w:pos="450"/>
          <w:tab w:val="left" w:pos="720"/>
        </w:tabs>
      </w:pPr>
    </w:p>
    <w:p w:rsidR="0080722B" w:rsidRPr="007A0DC3" w:rsidRDefault="0080722B" w:rsidP="0080722B">
      <w:pPr>
        <w:tabs>
          <w:tab w:val="left" w:pos="450"/>
          <w:tab w:val="left" w:pos="720"/>
        </w:tabs>
      </w:pPr>
      <w:r w:rsidRPr="006F1408">
        <w:t>The DEA used the median hourly wage of $39.34 for occupation code 11-3071 Transportation, Storage, and Distribution Man</w:t>
      </w:r>
      <w:r w:rsidR="008033B7" w:rsidRPr="006F1408">
        <w:t>a</w:t>
      </w:r>
      <w:r w:rsidRPr="006F1408">
        <w:t xml:space="preserve">gers from the Bureau of Labor Statistics </w:t>
      </w:r>
      <w:r w:rsidRPr="007A0DC3">
        <w:t xml:space="preserve">May 2012 Occupational Employment and Wages data and applied a 42.25% load for taxes and benefits.  Therefore, the </w:t>
      </w:r>
      <w:r w:rsidR="00352343">
        <w:t xml:space="preserve">estimated </w:t>
      </w:r>
      <w:r w:rsidRPr="007A0DC3">
        <w:t>cost of burden hours is $474,364.</w:t>
      </w:r>
    </w:p>
    <w:p w:rsidR="0080722B" w:rsidRPr="007A0DC3" w:rsidRDefault="0080722B" w:rsidP="0080722B">
      <w:pPr>
        <w:tabs>
          <w:tab w:val="left" w:pos="450"/>
          <w:tab w:val="left" w:pos="720"/>
        </w:tabs>
      </w:pPr>
    </w:p>
    <w:p w:rsidR="00C525AC" w:rsidRPr="00BF708D" w:rsidRDefault="00A61079" w:rsidP="00C525AC">
      <w:pPr>
        <w:tabs>
          <w:tab w:val="left" w:pos="450"/>
          <w:tab w:val="left" w:pos="720"/>
        </w:tabs>
      </w:pPr>
      <w:r w:rsidRPr="005626DC">
        <w:t>Like the current DEA Form 106</w:t>
      </w:r>
      <w:r w:rsidR="00C525AC" w:rsidRPr="00BF708D">
        <w:t xml:space="preserve">, the </w:t>
      </w:r>
      <w:r w:rsidR="002D6A47">
        <w:t>revised</w:t>
      </w:r>
      <w:r w:rsidR="00C525AC" w:rsidRPr="00BF708D">
        <w:t xml:space="preserve"> form </w:t>
      </w:r>
      <w:r w:rsidRPr="00BF708D">
        <w:t>can</w:t>
      </w:r>
      <w:r w:rsidR="00C525AC" w:rsidRPr="00BF708D">
        <w:t xml:space="preserve"> be submitted </w:t>
      </w:r>
      <w:r w:rsidRPr="00BF708D">
        <w:t xml:space="preserve">on line or </w:t>
      </w:r>
      <w:r w:rsidR="00C525AC" w:rsidRPr="00BF708D">
        <w:t xml:space="preserve">to the DEA </w:t>
      </w:r>
      <w:r w:rsidRPr="00BF708D">
        <w:t>Field Division Office</w:t>
      </w:r>
      <w:r w:rsidR="00C525AC" w:rsidRPr="00BF708D">
        <w:t xml:space="preserve">.  </w:t>
      </w:r>
      <w:r w:rsidR="00C27311" w:rsidRPr="00BF708D">
        <w:t>For the estimated 1,241 paper responses, the respondents are estimated to incur additional costs for postage, paper, and envelop</w:t>
      </w:r>
      <w:r w:rsidR="00E64A59">
        <w:t>e</w:t>
      </w:r>
      <w:r w:rsidR="00C27311" w:rsidRPr="00BF708D">
        <w:t>.  O</w:t>
      </w:r>
      <w:r w:rsidR="00C525AC" w:rsidRPr="00BF708D">
        <w:t>ther cost</w:t>
      </w:r>
      <w:r w:rsidR="0080722B" w:rsidRPr="00BF708D">
        <w:t>s,</w:t>
      </w:r>
      <w:r w:rsidR="00C525AC" w:rsidRPr="00BF708D">
        <w:t xml:space="preserve"> </w:t>
      </w:r>
      <w:r w:rsidR="0080722B" w:rsidRPr="00BF708D">
        <w:t>such as printing, address labels, etc., are estimated to be nominal</w:t>
      </w:r>
      <w:r w:rsidR="00C525AC" w:rsidRPr="00BF708D">
        <w:t>.</w:t>
      </w:r>
      <w:r w:rsidR="0080722B" w:rsidRPr="00BF708D">
        <w:t xml:space="preserve">  The DEA estimates the cost of postage, paper, and envelopes for the estimated 1,241 paper responses is $696.  In total, the DEA estimates the total annual cost burden to be $475,060.  The table below summarizes the cost estimates.</w:t>
      </w:r>
    </w:p>
    <w:p w:rsidR="006E6149" w:rsidRDefault="006E6149" w:rsidP="00C525AC">
      <w:pPr>
        <w:tabs>
          <w:tab w:val="left" w:pos="450"/>
          <w:tab w:val="left" w:pos="720"/>
        </w:tabs>
      </w:pPr>
    </w:p>
    <w:p w:rsidR="00C525AC" w:rsidRDefault="00C525AC" w:rsidP="00C525AC">
      <w:pPr>
        <w:tabs>
          <w:tab w:val="left" w:pos="450"/>
          <w:tab w:val="left" w:pos="720"/>
        </w:tabs>
      </w:pPr>
    </w:p>
    <w:tbl>
      <w:tblPr>
        <w:tblW w:w="6013" w:type="dxa"/>
        <w:jc w:val="center"/>
        <w:tblInd w:w="93" w:type="dxa"/>
        <w:tblLook w:val="04A0" w:firstRow="1" w:lastRow="0" w:firstColumn="1" w:lastColumn="0" w:noHBand="0" w:noVBand="1"/>
      </w:tblPr>
      <w:tblGrid>
        <w:gridCol w:w="4320"/>
        <w:gridCol w:w="1693"/>
      </w:tblGrid>
      <w:tr w:rsidR="00C27311" w:rsidRPr="00C27311" w:rsidTr="00C27311">
        <w:trPr>
          <w:trHeight w:val="300"/>
          <w:jc w:val="center"/>
        </w:trPr>
        <w:tc>
          <w:tcPr>
            <w:tcW w:w="4320" w:type="dxa"/>
            <w:tcBorders>
              <w:top w:val="single" w:sz="4" w:space="0" w:color="auto"/>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b/>
                <w:bCs/>
                <w:color w:val="000000"/>
                <w:sz w:val="22"/>
                <w:szCs w:val="22"/>
                <w:u w:val="single"/>
              </w:rPr>
            </w:pPr>
            <w:r w:rsidRPr="00C27311">
              <w:rPr>
                <w:rFonts w:ascii="Calibri" w:hAnsi="Calibri" w:cs="Calibri"/>
                <w:b/>
                <w:bCs/>
                <w:color w:val="000000"/>
                <w:sz w:val="22"/>
                <w:szCs w:val="22"/>
                <w:u w:val="single"/>
              </w:rPr>
              <w:t>Cost Associated with Responses</w:t>
            </w:r>
          </w:p>
        </w:tc>
        <w:tc>
          <w:tcPr>
            <w:tcW w:w="1693" w:type="dxa"/>
            <w:tcBorders>
              <w:top w:val="single" w:sz="4" w:space="0" w:color="auto"/>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r w:rsidRPr="00C27311">
              <w:rPr>
                <w:rFonts w:ascii="Calibri" w:hAnsi="Calibri" w:cs="Calibri"/>
                <w:color w:val="000000"/>
                <w:sz w:val="22"/>
                <w:szCs w:val="22"/>
              </w:rPr>
              <w:t>Total annual responses</w:t>
            </w: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r w:rsidRPr="00C27311">
              <w:rPr>
                <w:rFonts w:ascii="Calibri" w:hAnsi="Calibri" w:cs="Calibri"/>
                <w:color w:val="000000"/>
                <w:sz w:val="22"/>
                <w:szCs w:val="22"/>
              </w:rPr>
              <w:t xml:space="preserve">             25,430 </w:t>
            </w: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ind w:firstLineChars="100" w:firstLine="220"/>
              <w:rPr>
                <w:rFonts w:ascii="Calibri" w:hAnsi="Calibri" w:cs="Calibri"/>
                <w:i/>
                <w:iCs/>
                <w:color w:val="000000"/>
                <w:sz w:val="22"/>
                <w:szCs w:val="22"/>
              </w:rPr>
            </w:pPr>
            <w:r w:rsidRPr="00C27311">
              <w:rPr>
                <w:rFonts w:ascii="Calibri" w:hAnsi="Calibri" w:cs="Calibri"/>
                <w:i/>
                <w:iCs/>
                <w:color w:val="000000"/>
                <w:sz w:val="22"/>
                <w:szCs w:val="22"/>
              </w:rPr>
              <w:t>Electronic responses</w:t>
            </w: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i/>
                <w:iCs/>
                <w:color w:val="000000"/>
                <w:sz w:val="22"/>
                <w:szCs w:val="22"/>
              </w:rPr>
            </w:pPr>
            <w:r w:rsidRPr="00C27311">
              <w:rPr>
                <w:rFonts w:ascii="Calibri" w:hAnsi="Calibri" w:cs="Calibri"/>
                <w:i/>
                <w:iCs/>
                <w:color w:val="000000"/>
                <w:sz w:val="22"/>
                <w:szCs w:val="22"/>
              </w:rPr>
              <w:t xml:space="preserve">             24,189 </w:t>
            </w: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ind w:firstLineChars="100" w:firstLine="220"/>
              <w:rPr>
                <w:rFonts w:ascii="Calibri" w:hAnsi="Calibri" w:cs="Calibri"/>
                <w:i/>
                <w:iCs/>
                <w:color w:val="000000"/>
                <w:sz w:val="22"/>
                <w:szCs w:val="22"/>
              </w:rPr>
            </w:pPr>
            <w:r w:rsidRPr="00C27311">
              <w:rPr>
                <w:rFonts w:ascii="Calibri" w:hAnsi="Calibri" w:cs="Calibri"/>
                <w:i/>
                <w:iCs/>
                <w:color w:val="000000"/>
                <w:sz w:val="22"/>
                <w:szCs w:val="22"/>
              </w:rPr>
              <w:t>Paper responses</w:t>
            </w: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i/>
                <w:iCs/>
                <w:color w:val="000000"/>
                <w:sz w:val="22"/>
                <w:szCs w:val="22"/>
              </w:rPr>
            </w:pPr>
            <w:r w:rsidRPr="00C27311">
              <w:rPr>
                <w:rFonts w:ascii="Calibri" w:hAnsi="Calibri" w:cs="Calibri"/>
                <w:i/>
                <w:iCs/>
                <w:color w:val="000000"/>
                <w:sz w:val="22"/>
                <w:szCs w:val="22"/>
              </w:rPr>
              <w:t xml:space="preserve">               1,241 </w:t>
            </w: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r w:rsidRPr="00C27311">
              <w:rPr>
                <w:rFonts w:ascii="Calibri" w:hAnsi="Calibri" w:cs="Calibri"/>
                <w:color w:val="000000"/>
                <w:sz w:val="22"/>
                <w:szCs w:val="22"/>
              </w:rPr>
              <w:t>Average time for response (minutes)</w:t>
            </w: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r w:rsidRPr="00C27311">
              <w:rPr>
                <w:rFonts w:ascii="Calibri" w:hAnsi="Calibri" w:cs="Calibri"/>
                <w:color w:val="000000"/>
                <w:sz w:val="22"/>
                <w:szCs w:val="22"/>
              </w:rPr>
              <w:t xml:space="preserve">                      20 </w:t>
            </w:r>
          </w:p>
        </w:tc>
      </w:tr>
      <w:tr w:rsidR="00C27311" w:rsidRPr="00C27311" w:rsidTr="00C27311">
        <w:trPr>
          <w:trHeight w:val="300"/>
          <w:jc w:val="center"/>
        </w:trPr>
        <w:tc>
          <w:tcPr>
            <w:tcW w:w="4320" w:type="dxa"/>
            <w:tcBorders>
              <w:top w:val="single" w:sz="4" w:space="0" w:color="auto"/>
              <w:left w:val="single" w:sz="4" w:space="0" w:color="auto"/>
              <w:bottom w:val="single" w:sz="4" w:space="0" w:color="auto"/>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r w:rsidRPr="00C27311">
              <w:rPr>
                <w:rFonts w:ascii="Calibri" w:hAnsi="Calibri" w:cs="Calibri"/>
                <w:color w:val="000000"/>
                <w:sz w:val="22"/>
                <w:szCs w:val="22"/>
              </w:rPr>
              <w:t>Total annual burden (hours)</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r w:rsidRPr="00C27311">
              <w:rPr>
                <w:rFonts w:ascii="Calibri" w:hAnsi="Calibri" w:cs="Calibri"/>
                <w:color w:val="000000"/>
                <w:sz w:val="22"/>
                <w:szCs w:val="22"/>
              </w:rPr>
              <w:t xml:space="preserve">                8,477 </w:t>
            </w: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p>
        </w:tc>
      </w:tr>
      <w:tr w:rsidR="00C27311" w:rsidRPr="00C27311" w:rsidTr="00C27311">
        <w:trPr>
          <w:trHeight w:val="600"/>
          <w:jc w:val="center"/>
        </w:trPr>
        <w:tc>
          <w:tcPr>
            <w:tcW w:w="4320" w:type="dxa"/>
            <w:tcBorders>
              <w:top w:val="nil"/>
              <w:left w:val="single" w:sz="4" w:space="0" w:color="auto"/>
              <w:bottom w:val="nil"/>
              <w:right w:val="nil"/>
            </w:tcBorders>
            <w:shd w:val="clear" w:color="auto" w:fill="auto"/>
            <w:vAlign w:val="bottom"/>
            <w:hideMark/>
          </w:tcPr>
          <w:p w:rsidR="00C27311" w:rsidRPr="00C27311" w:rsidRDefault="00C27311" w:rsidP="00C27311">
            <w:pPr>
              <w:rPr>
                <w:rFonts w:ascii="Calibri" w:hAnsi="Calibri" w:cs="Calibri"/>
                <w:color w:val="000000"/>
                <w:sz w:val="22"/>
                <w:szCs w:val="22"/>
              </w:rPr>
            </w:pPr>
            <w:r w:rsidRPr="00C27311">
              <w:rPr>
                <w:rFonts w:ascii="Calibri" w:hAnsi="Calibri" w:cs="Calibri"/>
                <w:color w:val="000000"/>
                <w:sz w:val="22"/>
                <w:szCs w:val="22"/>
              </w:rPr>
              <w:t>11-3071 Transportation, Storage, and Distribution Managers ($/h</w:t>
            </w:r>
            <w:r>
              <w:rPr>
                <w:rFonts w:ascii="Calibri" w:hAnsi="Calibri" w:cs="Calibri"/>
                <w:color w:val="000000"/>
                <w:sz w:val="22"/>
                <w:szCs w:val="22"/>
              </w:rPr>
              <w:t>ou</w:t>
            </w:r>
            <w:r w:rsidRPr="00C27311">
              <w:rPr>
                <w:rFonts w:ascii="Calibri" w:hAnsi="Calibri" w:cs="Calibri"/>
                <w:color w:val="000000"/>
                <w:sz w:val="22"/>
                <w:szCs w:val="22"/>
              </w:rPr>
              <w:t>r)</w:t>
            </w: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r w:rsidRPr="00C27311">
              <w:rPr>
                <w:rFonts w:ascii="Calibri" w:hAnsi="Calibri" w:cs="Calibri"/>
                <w:color w:val="000000"/>
                <w:sz w:val="22"/>
                <w:szCs w:val="22"/>
              </w:rPr>
              <w:t xml:space="preserve"> $            39.34 </w:t>
            </w: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vAlign w:val="bottom"/>
            <w:hideMark/>
          </w:tcPr>
          <w:p w:rsidR="00C27311" w:rsidRPr="00C27311" w:rsidRDefault="00C27311" w:rsidP="00C27311">
            <w:pPr>
              <w:rPr>
                <w:rFonts w:ascii="Calibri" w:hAnsi="Calibri" w:cs="Calibri"/>
                <w:color w:val="000000"/>
                <w:sz w:val="22"/>
                <w:szCs w:val="22"/>
              </w:rPr>
            </w:pPr>
            <w:r w:rsidRPr="00C27311">
              <w:rPr>
                <w:rFonts w:ascii="Calibri" w:hAnsi="Calibri" w:cs="Calibri"/>
                <w:color w:val="000000"/>
                <w:sz w:val="22"/>
                <w:szCs w:val="22"/>
              </w:rPr>
              <w:t>Load for taxes and benefits</w:t>
            </w: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u w:val="single"/>
              </w:rPr>
            </w:pPr>
            <w:r w:rsidRPr="00C27311">
              <w:rPr>
                <w:rFonts w:ascii="Calibri" w:hAnsi="Calibri" w:cs="Calibri"/>
                <w:color w:val="000000"/>
                <w:sz w:val="22"/>
                <w:szCs w:val="22"/>
                <w:u w:val="single"/>
              </w:rPr>
              <w:t>42.25%</w:t>
            </w: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r w:rsidRPr="00C27311">
              <w:rPr>
                <w:rFonts w:ascii="Calibri" w:hAnsi="Calibri" w:cs="Calibri"/>
                <w:color w:val="000000"/>
                <w:sz w:val="22"/>
                <w:szCs w:val="22"/>
              </w:rPr>
              <w:t>Total annual labor burden ($)</w:t>
            </w: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r w:rsidRPr="00C27311">
              <w:rPr>
                <w:rFonts w:ascii="Calibri" w:hAnsi="Calibri" w:cs="Calibri"/>
                <w:color w:val="000000"/>
                <w:sz w:val="22"/>
                <w:szCs w:val="22"/>
              </w:rPr>
              <w:t xml:space="preserve"> $        474,364 </w:t>
            </w: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r w:rsidRPr="00C27311">
              <w:rPr>
                <w:rFonts w:ascii="Calibri" w:hAnsi="Calibri" w:cs="Calibri"/>
                <w:color w:val="000000"/>
                <w:sz w:val="22"/>
                <w:szCs w:val="22"/>
              </w:rPr>
              <w:t>Post</w:t>
            </w:r>
            <w:r>
              <w:rPr>
                <w:rFonts w:ascii="Calibri" w:hAnsi="Calibri" w:cs="Calibri"/>
                <w:color w:val="000000"/>
                <w:sz w:val="22"/>
                <w:szCs w:val="22"/>
              </w:rPr>
              <w:t>age, first class</w:t>
            </w: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r w:rsidRPr="00C27311">
              <w:rPr>
                <w:rFonts w:ascii="Calibri" w:hAnsi="Calibri" w:cs="Calibri"/>
                <w:color w:val="000000"/>
                <w:sz w:val="22"/>
                <w:szCs w:val="22"/>
              </w:rPr>
              <w:t xml:space="preserve"> $               0.49 </w:t>
            </w: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r w:rsidRPr="00C27311">
              <w:rPr>
                <w:rFonts w:ascii="Calibri" w:hAnsi="Calibri" w:cs="Calibri"/>
                <w:color w:val="000000"/>
                <w:sz w:val="22"/>
                <w:szCs w:val="22"/>
              </w:rPr>
              <w:t>Paper</w:t>
            </w: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r w:rsidRPr="00C27311">
              <w:rPr>
                <w:rFonts w:ascii="Calibri" w:hAnsi="Calibri" w:cs="Calibri"/>
                <w:color w:val="000000"/>
                <w:sz w:val="22"/>
                <w:szCs w:val="22"/>
              </w:rPr>
              <w:t xml:space="preserve"> $               0.01 </w:t>
            </w:r>
          </w:p>
        </w:tc>
      </w:tr>
      <w:tr w:rsidR="00C27311" w:rsidRPr="00C27311" w:rsidTr="00C27311">
        <w:trPr>
          <w:trHeight w:val="345"/>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r w:rsidRPr="00C27311">
              <w:rPr>
                <w:rFonts w:ascii="Calibri" w:hAnsi="Calibri" w:cs="Calibri"/>
                <w:color w:val="000000"/>
                <w:sz w:val="22"/>
                <w:szCs w:val="22"/>
              </w:rPr>
              <w:t>Envelope</w:t>
            </w: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u w:val="single"/>
              </w:rPr>
            </w:pPr>
            <w:r w:rsidRPr="00C27311">
              <w:rPr>
                <w:rFonts w:ascii="Calibri" w:hAnsi="Calibri" w:cs="Calibri"/>
                <w:color w:val="000000"/>
                <w:sz w:val="22"/>
                <w:szCs w:val="22"/>
                <w:u w:val="single"/>
              </w:rPr>
              <w:t xml:space="preserve"> $               0.06 </w:t>
            </w: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r w:rsidRPr="00C27311">
              <w:rPr>
                <w:rFonts w:ascii="Calibri" w:hAnsi="Calibri" w:cs="Calibri"/>
                <w:color w:val="000000"/>
                <w:sz w:val="22"/>
                <w:szCs w:val="22"/>
              </w:rPr>
              <w:t>Material cost per paper response</w:t>
            </w: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r w:rsidRPr="00C27311">
              <w:rPr>
                <w:rFonts w:ascii="Calibri" w:hAnsi="Calibri" w:cs="Calibri"/>
                <w:color w:val="000000"/>
                <w:sz w:val="22"/>
                <w:szCs w:val="22"/>
              </w:rPr>
              <w:t xml:space="preserve"> $               0.56 </w:t>
            </w: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r w:rsidRPr="00C27311">
              <w:rPr>
                <w:rFonts w:ascii="Calibri" w:hAnsi="Calibri" w:cs="Calibri"/>
                <w:color w:val="000000"/>
                <w:sz w:val="22"/>
                <w:szCs w:val="22"/>
              </w:rPr>
              <w:t>Total cost of postage/paper/envelope</w:t>
            </w: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r w:rsidRPr="00C27311">
              <w:rPr>
                <w:rFonts w:ascii="Calibri" w:hAnsi="Calibri" w:cs="Calibri"/>
                <w:color w:val="000000"/>
                <w:sz w:val="22"/>
                <w:szCs w:val="22"/>
              </w:rPr>
              <w:t xml:space="preserve"> $                696 </w:t>
            </w: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p>
        </w:tc>
      </w:tr>
      <w:tr w:rsidR="00C27311" w:rsidRPr="00C27311" w:rsidTr="00C27311">
        <w:trPr>
          <w:trHeight w:val="300"/>
          <w:jc w:val="center"/>
        </w:trPr>
        <w:tc>
          <w:tcPr>
            <w:tcW w:w="4320" w:type="dxa"/>
            <w:tcBorders>
              <w:top w:val="single" w:sz="4" w:space="0" w:color="auto"/>
              <w:left w:val="single" w:sz="4" w:space="0" w:color="auto"/>
              <w:bottom w:val="single" w:sz="4" w:space="0" w:color="auto"/>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r w:rsidRPr="00C27311">
              <w:rPr>
                <w:rFonts w:ascii="Calibri" w:hAnsi="Calibri" w:cs="Calibri"/>
                <w:color w:val="000000"/>
                <w:sz w:val="22"/>
                <w:szCs w:val="22"/>
              </w:rPr>
              <w:t>To</w:t>
            </w:r>
            <w:r>
              <w:rPr>
                <w:rFonts w:ascii="Calibri" w:hAnsi="Calibri" w:cs="Calibri"/>
                <w:color w:val="000000"/>
                <w:sz w:val="22"/>
                <w:szCs w:val="22"/>
              </w:rPr>
              <w:t>t</w:t>
            </w:r>
            <w:r w:rsidRPr="00C27311">
              <w:rPr>
                <w:rFonts w:ascii="Calibri" w:hAnsi="Calibri" w:cs="Calibri"/>
                <w:color w:val="000000"/>
                <w:sz w:val="22"/>
                <w:szCs w:val="22"/>
              </w:rPr>
              <w:t>al annual cost burden</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r w:rsidRPr="00C27311">
              <w:rPr>
                <w:rFonts w:ascii="Calibri" w:hAnsi="Calibri" w:cs="Calibri"/>
                <w:color w:val="000000"/>
                <w:sz w:val="22"/>
                <w:szCs w:val="22"/>
              </w:rPr>
              <w:t xml:space="preserve"> $        475,060 </w:t>
            </w: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b/>
                <w:bCs/>
                <w:color w:val="000000"/>
                <w:sz w:val="22"/>
                <w:szCs w:val="22"/>
                <w:u w:val="single"/>
              </w:rPr>
            </w:pPr>
            <w:r w:rsidRPr="00C27311">
              <w:rPr>
                <w:rFonts w:ascii="Calibri" w:hAnsi="Calibri" w:cs="Calibri"/>
                <w:b/>
                <w:bCs/>
                <w:color w:val="000000"/>
                <w:sz w:val="22"/>
                <w:szCs w:val="22"/>
                <w:u w:val="single"/>
              </w:rPr>
              <w:t xml:space="preserve">Cost to </w:t>
            </w:r>
            <w:r>
              <w:rPr>
                <w:rFonts w:ascii="Calibri" w:hAnsi="Calibri" w:cs="Calibri"/>
                <w:b/>
                <w:bCs/>
                <w:color w:val="000000"/>
                <w:sz w:val="22"/>
                <w:szCs w:val="22"/>
                <w:u w:val="single"/>
              </w:rPr>
              <w:t xml:space="preserve">Federal </w:t>
            </w:r>
            <w:r w:rsidRPr="00C27311">
              <w:rPr>
                <w:rFonts w:ascii="Calibri" w:hAnsi="Calibri" w:cs="Calibri"/>
                <w:b/>
                <w:bCs/>
                <w:color w:val="000000"/>
                <w:sz w:val="22"/>
                <w:szCs w:val="22"/>
                <w:u w:val="single"/>
              </w:rPr>
              <w:t>Government</w:t>
            </w: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r>
              <w:rPr>
                <w:rFonts w:ascii="Calibri" w:hAnsi="Calibri" w:cs="Calibri"/>
                <w:color w:val="000000"/>
                <w:sz w:val="22"/>
                <w:szCs w:val="22"/>
              </w:rPr>
              <w:t>GS-14/5, Washington DC, annual wage</w:t>
            </w: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r w:rsidRPr="00C27311">
              <w:rPr>
                <w:rFonts w:ascii="Calibri" w:hAnsi="Calibri" w:cs="Calibri"/>
                <w:color w:val="000000"/>
                <w:sz w:val="22"/>
                <w:szCs w:val="22"/>
              </w:rPr>
              <w:t xml:space="preserve"> $        120,429 </w:t>
            </w: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r w:rsidRPr="00C27311">
              <w:rPr>
                <w:rFonts w:ascii="Calibri" w:hAnsi="Calibri" w:cs="Calibri"/>
                <w:color w:val="000000"/>
                <w:sz w:val="22"/>
                <w:szCs w:val="22"/>
              </w:rPr>
              <w:t>Load for benefits</w:t>
            </w: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r w:rsidRPr="00C27311">
              <w:rPr>
                <w:rFonts w:ascii="Calibri" w:hAnsi="Calibri" w:cs="Calibri"/>
                <w:color w:val="000000"/>
                <w:sz w:val="22"/>
                <w:szCs w:val="22"/>
              </w:rPr>
              <w:t>27.39%</w:t>
            </w:r>
          </w:p>
        </w:tc>
      </w:tr>
      <w:tr w:rsidR="00C27311" w:rsidRPr="00C27311" w:rsidTr="00C27311">
        <w:trPr>
          <w:trHeight w:val="345"/>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r w:rsidRPr="00C27311">
              <w:rPr>
                <w:rFonts w:ascii="Calibri" w:hAnsi="Calibri" w:cs="Calibri"/>
                <w:color w:val="000000"/>
                <w:sz w:val="22"/>
                <w:szCs w:val="22"/>
              </w:rPr>
              <w:t>% of time</w:t>
            </w: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u w:val="single"/>
              </w:rPr>
            </w:pPr>
            <w:r w:rsidRPr="00C27311">
              <w:rPr>
                <w:rFonts w:ascii="Calibri" w:hAnsi="Calibri" w:cs="Calibri"/>
                <w:color w:val="000000"/>
                <w:sz w:val="22"/>
                <w:szCs w:val="22"/>
                <w:u w:val="single"/>
              </w:rPr>
              <w:t xml:space="preserve">                  0.50 </w:t>
            </w: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r>
              <w:rPr>
                <w:rFonts w:ascii="Calibri" w:hAnsi="Calibri" w:cs="Calibri"/>
                <w:color w:val="000000"/>
                <w:sz w:val="22"/>
                <w:szCs w:val="22"/>
              </w:rPr>
              <w:t xml:space="preserve">Cost of Federal </w:t>
            </w:r>
            <w:r w:rsidRPr="00C27311">
              <w:rPr>
                <w:rFonts w:ascii="Calibri" w:hAnsi="Calibri" w:cs="Calibri"/>
                <w:color w:val="000000"/>
                <w:sz w:val="22"/>
                <w:szCs w:val="22"/>
              </w:rPr>
              <w:t>Government</w:t>
            </w:r>
            <w:r>
              <w:rPr>
                <w:rFonts w:ascii="Calibri" w:hAnsi="Calibri" w:cs="Calibri"/>
                <w:color w:val="000000"/>
                <w:sz w:val="22"/>
                <w:szCs w:val="22"/>
              </w:rPr>
              <w:t xml:space="preserve"> employee</w:t>
            </w: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r w:rsidRPr="00C27311">
              <w:rPr>
                <w:rFonts w:ascii="Calibri" w:hAnsi="Calibri" w:cs="Calibri"/>
                <w:color w:val="000000"/>
                <w:sz w:val="22"/>
                <w:szCs w:val="22"/>
              </w:rPr>
              <w:t xml:space="preserve"> $          76,706 </w:t>
            </w: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r w:rsidRPr="00C27311">
              <w:rPr>
                <w:rFonts w:ascii="Calibri" w:hAnsi="Calibri" w:cs="Calibri"/>
                <w:color w:val="000000"/>
                <w:sz w:val="22"/>
                <w:szCs w:val="22"/>
              </w:rPr>
              <w:t>Contract support</w:t>
            </w: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r w:rsidRPr="00C27311">
              <w:rPr>
                <w:rFonts w:ascii="Calibri" w:hAnsi="Calibri" w:cs="Calibri"/>
                <w:color w:val="000000"/>
                <w:sz w:val="22"/>
                <w:szCs w:val="22"/>
              </w:rPr>
              <w:t xml:space="preserve"> $          22,080 </w:t>
            </w:r>
          </w:p>
        </w:tc>
      </w:tr>
      <w:tr w:rsidR="00C27311" w:rsidRPr="00C27311" w:rsidTr="00C27311">
        <w:trPr>
          <w:trHeight w:val="300"/>
          <w:jc w:val="center"/>
        </w:trPr>
        <w:tc>
          <w:tcPr>
            <w:tcW w:w="4320" w:type="dxa"/>
            <w:tcBorders>
              <w:top w:val="single" w:sz="4" w:space="0" w:color="auto"/>
              <w:left w:val="single" w:sz="4" w:space="0" w:color="auto"/>
              <w:bottom w:val="single" w:sz="4" w:space="0" w:color="auto"/>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r>
              <w:rPr>
                <w:rFonts w:ascii="Calibri" w:hAnsi="Calibri" w:cs="Calibri"/>
                <w:color w:val="000000"/>
                <w:sz w:val="22"/>
                <w:szCs w:val="22"/>
              </w:rPr>
              <w:t>Total C</w:t>
            </w:r>
            <w:r w:rsidRPr="00C27311">
              <w:rPr>
                <w:rFonts w:ascii="Calibri" w:hAnsi="Calibri" w:cs="Calibri"/>
                <w:color w:val="000000"/>
                <w:sz w:val="22"/>
                <w:szCs w:val="22"/>
              </w:rPr>
              <w:t xml:space="preserve">ost to </w:t>
            </w:r>
            <w:r>
              <w:rPr>
                <w:rFonts w:ascii="Calibri" w:hAnsi="Calibri" w:cs="Calibri"/>
                <w:color w:val="000000"/>
                <w:sz w:val="22"/>
                <w:szCs w:val="22"/>
              </w:rPr>
              <w:t xml:space="preserve">Federal </w:t>
            </w:r>
            <w:r w:rsidRPr="00C27311">
              <w:rPr>
                <w:rFonts w:ascii="Calibri" w:hAnsi="Calibri" w:cs="Calibri"/>
                <w:color w:val="000000"/>
                <w:sz w:val="22"/>
                <w:szCs w:val="22"/>
              </w:rPr>
              <w:t>Government</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r w:rsidRPr="00C27311">
              <w:rPr>
                <w:rFonts w:ascii="Calibri" w:hAnsi="Calibri" w:cs="Calibri"/>
                <w:color w:val="000000"/>
                <w:sz w:val="22"/>
                <w:szCs w:val="22"/>
              </w:rPr>
              <w:t xml:space="preserve"> $          98,786 </w:t>
            </w:r>
          </w:p>
        </w:tc>
      </w:tr>
      <w:tr w:rsidR="00C27311" w:rsidRPr="00C27311" w:rsidTr="00C27311">
        <w:trPr>
          <w:trHeight w:val="300"/>
          <w:jc w:val="center"/>
        </w:trPr>
        <w:tc>
          <w:tcPr>
            <w:tcW w:w="4320" w:type="dxa"/>
            <w:tcBorders>
              <w:top w:val="nil"/>
              <w:left w:val="single" w:sz="4" w:space="0" w:color="auto"/>
              <w:bottom w:val="nil"/>
              <w:right w:val="nil"/>
            </w:tcBorders>
            <w:shd w:val="clear" w:color="auto" w:fill="auto"/>
            <w:noWrap/>
            <w:vAlign w:val="bottom"/>
            <w:hideMark/>
          </w:tcPr>
          <w:p w:rsidR="00C27311" w:rsidRPr="00C27311" w:rsidRDefault="00C27311" w:rsidP="00C27311">
            <w:pPr>
              <w:rPr>
                <w:rFonts w:ascii="Calibri" w:hAnsi="Calibri" w:cs="Calibri"/>
                <w:color w:val="000000"/>
                <w:sz w:val="22"/>
                <w:szCs w:val="22"/>
              </w:rPr>
            </w:pPr>
          </w:p>
        </w:tc>
        <w:tc>
          <w:tcPr>
            <w:tcW w:w="1693" w:type="dxa"/>
            <w:tcBorders>
              <w:top w:val="nil"/>
              <w:left w:val="nil"/>
              <w:bottom w:val="nil"/>
              <w:right w:val="single" w:sz="4" w:space="0" w:color="auto"/>
            </w:tcBorders>
            <w:shd w:val="clear" w:color="auto" w:fill="auto"/>
            <w:noWrap/>
            <w:vAlign w:val="bottom"/>
            <w:hideMark/>
          </w:tcPr>
          <w:p w:rsidR="00C27311" w:rsidRPr="00C27311" w:rsidRDefault="00C27311" w:rsidP="00C27311">
            <w:pPr>
              <w:jc w:val="right"/>
              <w:rPr>
                <w:rFonts w:ascii="Calibri" w:hAnsi="Calibri" w:cs="Calibri"/>
                <w:color w:val="000000"/>
                <w:sz w:val="22"/>
                <w:szCs w:val="22"/>
              </w:rPr>
            </w:pPr>
          </w:p>
        </w:tc>
      </w:tr>
      <w:tr w:rsidR="00C27311" w:rsidRPr="00C27311" w:rsidTr="00C27311">
        <w:trPr>
          <w:trHeight w:val="300"/>
          <w:jc w:val="center"/>
        </w:trPr>
        <w:tc>
          <w:tcPr>
            <w:tcW w:w="4320" w:type="dxa"/>
            <w:tcBorders>
              <w:top w:val="single" w:sz="4" w:space="0" w:color="auto"/>
              <w:left w:val="single" w:sz="4" w:space="0" w:color="auto"/>
              <w:bottom w:val="single" w:sz="4" w:space="0" w:color="auto"/>
              <w:right w:val="nil"/>
            </w:tcBorders>
            <w:shd w:val="clear" w:color="auto" w:fill="auto"/>
            <w:noWrap/>
            <w:vAlign w:val="bottom"/>
            <w:hideMark/>
          </w:tcPr>
          <w:p w:rsidR="00C27311" w:rsidRPr="00C27311" w:rsidRDefault="00C27311" w:rsidP="00C27311">
            <w:pPr>
              <w:rPr>
                <w:rFonts w:ascii="Calibri" w:hAnsi="Calibri" w:cs="Calibri"/>
                <w:b/>
                <w:bCs/>
                <w:color w:val="000000"/>
                <w:sz w:val="22"/>
                <w:szCs w:val="22"/>
              </w:rPr>
            </w:pPr>
            <w:r w:rsidRPr="00C27311">
              <w:rPr>
                <w:rFonts w:ascii="Calibri" w:hAnsi="Calibri" w:cs="Calibri"/>
                <w:b/>
                <w:bCs/>
                <w:color w:val="000000"/>
                <w:sz w:val="22"/>
                <w:szCs w:val="22"/>
              </w:rPr>
              <w:t xml:space="preserve">Total Cost to Respondents and </w:t>
            </w:r>
            <w:r>
              <w:rPr>
                <w:rFonts w:ascii="Calibri" w:hAnsi="Calibri" w:cs="Calibri"/>
                <w:b/>
                <w:bCs/>
                <w:color w:val="000000"/>
                <w:sz w:val="22"/>
                <w:szCs w:val="22"/>
              </w:rPr>
              <w:t xml:space="preserve">Federal </w:t>
            </w:r>
            <w:r w:rsidRPr="00C27311">
              <w:rPr>
                <w:rFonts w:ascii="Calibri" w:hAnsi="Calibri" w:cs="Calibri"/>
                <w:b/>
                <w:bCs/>
                <w:color w:val="000000"/>
                <w:sz w:val="22"/>
                <w:szCs w:val="22"/>
              </w:rPr>
              <w:t>Government</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rsidR="00C27311" w:rsidRPr="00C27311" w:rsidRDefault="00C27311" w:rsidP="00C27311">
            <w:pPr>
              <w:jc w:val="right"/>
              <w:rPr>
                <w:rFonts w:ascii="Calibri" w:hAnsi="Calibri" w:cs="Calibri"/>
                <w:b/>
                <w:bCs/>
                <w:color w:val="000000"/>
                <w:sz w:val="22"/>
                <w:szCs w:val="22"/>
              </w:rPr>
            </w:pPr>
            <w:r w:rsidRPr="00C27311">
              <w:rPr>
                <w:rFonts w:ascii="Calibri" w:hAnsi="Calibri" w:cs="Calibri"/>
                <w:b/>
                <w:bCs/>
                <w:color w:val="000000"/>
                <w:sz w:val="22"/>
                <w:szCs w:val="22"/>
              </w:rPr>
              <w:t xml:space="preserve"> $        573,846 </w:t>
            </w:r>
          </w:p>
        </w:tc>
      </w:tr>
    </w:tbl>
    <w:p w:rsidR="00C27311" w:rsidRPr="007A0DC3" w:rsidRDefault="00C27311" w:rsidP="00C525AC">
      <w:pPr>
        <w:tabs>
          <w:tab w:val="left" w:pos="450"/>
          <w:tab w:val="left" w:pos="720"/>
        </w:tabs>
      </w:pPr>
    </w:p>
    <w:p w:rsidR="00C525AC" w:rsidRPr="007A0DC3" w:rsidRDefault="00C525AC" w:rsidP="00C525AC">
      <w:pPr>
        <w:numPr>
          <w:ilvl w:val="0"/>
          <w:numId w:val="1"/>
        </w:numPr>
        <w:tabs>
          <w:tab w:val="left" w:pos="450"/>
          <w:tab w:val="left" w:pos="720"/>
        </w:tabs>
        <w:rPr>
          <w:u w:val="single"/>
        </w:rPr>
      </w:pPr>
      <w:r w:rsidRPr="007A0DC3">
        <w:rPr>
          <w:u w:val="single"/>
        </w:rPr>
        <w:t>Estimated Annualized Cost to the Federal Government</w:t>
      </w:r>
    </w:p>
    <w:p w:rsidR="00C525AC" w:rsidRPr="005626DC" w:rsidRDefault="00C525AC" w:rsidP="00C525AC">
      <w:pPr>
        <w:tabs>
          <w:tab w:val="left" w:pos="450"/>
          <w:tab w:val="left" w:pos="720"/>
        </w:tabs>
      </w:pPr>
    </w:p>
    <w:p w:rsidR="00C525AC" w:rsidRPr="00BF708D" w:rsidRDefault="00C525AC" w:rsidP="00C525AC">
      <w:pPr>
        <w:tabs>
          <w:tab w:val="left" w:pos="450"/>
          <w:tab w:val="left" w:pos="720"/>
        </w:tabs>
      </w:pPr>
      <w:r w:rsidRPr="00BF708D">
        <w:t>Estimated Annualized Costs to the Federal Government:  $</w:t>
      </w:r>
      <w:r w:rsidR="0080722B" w:rsidRPr="00BF708D">
        <w:t>98,786</w:t>
      </w:r>
    </w:p>
    <w:p w:rsidR="00C525AC" w:rsidRPr="00BF708D" w:rsidRDefault="00C525AC" w:rsidP="00C525AC">
      <w:pPr>
        <w:tabs>
          <w:tab w:val="left" w:pos="450"/>
          <w:tab w:val="left" w:pos="720"/>
        </w:tabs>
      </w:pPr>
    </w:p>
    <w:p w:rsidR="00C525AC" w:rsidRPr="00BF708D" w:rsidRDefault="00AD2463" w:rsidP="00C525AC">
      <w:pPr>
        <w:tabs>
          <w:tab w:val="left" w:pos="450"/>
          <w:tab w:val="left" w:pos="720"/>
        </w:tabs>
      </w:pPr>
      <w:r w:rsidRPr="00BF708D">
        <w:t>To process the DEA Form 106, the DEA estimates that 50% of a GS-14 headquarters employee and $22,080 of contract support is required.  See table above for cost estimate.</w:t>
      </w:r>
    </w:p>
    <w:p w:rsidR="00C525AC" w:rsidRPr="00BF708D" w:rsidRDefault="00C525AC" w:rsidP="00C525AC">
      <w:pPr>
        <w:tabs>
          <w:tab w:val="left" w:pos="450"/>
          <w:tab w:val="left" w:pos="720"/>
        </w:tabs>
      </w:pPr>
    </w:p>
    <w:p w:rsidR="00C525AC" w:rsidRPr="00BF708D" w:rsidRDefault="00C525AC" w:rsidP="00C525AC">
      <w:pPr>
        <w:numPr>
          <w:ilvl w:val="0"/>
          <w:numId w:val="1"/>
        </w:numPr>
        <w:tabs>
          <w:tab w:val="left" w:pos="450"/>
          <w:tab w:val="left" w:pos="720"/>
        </w:tabs>
        <w:rPr>
          <w:u w:val="single"/>
        </w:rPr>
      </w:pPr>
      <w:r w:rsidRPr="00BF708D">
        <w:rPr>
          <w:u w:val="single"/>
        </w:rPr>
        <w:t xml:space="preserve">Reasons for </w:t>
      </w:r>
      <w:r w:rsidR="00F87A1E" w:rsidRPr="00BF708D">
        <w:rPr>
          <w:u w:val="single"/>
        </w:rPr>
        <w:t>Change in Burden</w:t>
      </w:r>
      <w:r w:rsidRPr="00BF708D">
        <w:rPr>
          <w:u w:val="single"/>
        </w:rPr>
        <w:t xml:space="preserve"> </w:t>
      </w:r>
    </w:p>
    <w:p w:rsidR="00C525AC" w:rsidRPr="00BF708D" w:rsidRDefault="00C525AC" w:rsidP="00C525AC">
      <w:pPr>
        <w:tabs>
          <w:tab w:val="left" w:pos="450"/>
          <w:tab w:val="left" w:pos="720"/>
        </w:tabs>
        <w:ind w:left="720"/>
      </w:pPr>
    </w:p>
    <w:p w:rsidR="00C525AC" w:rsidRPr="00BF708D" w:rsidRDefault="006E6149" w:rsidP="00C525AC">
      <w:pPr>
        <w:tabs>
          <w:tab w:val="left" w:pos="450"/>
          <w:tab w:val="left" w:pos="720"/>
        </w:tabs>
        <w:ind w:firstLine="360"/>
      </w:pPr>
      <w:r w:rsidRPr="00BF708D">
        <w:tab/>
      </w:r>
      <w:r w:rsidRPr="00BF708D">
        <w:tab/>
      </w:r>
      <w:r w:rsidR="00C525AC" w:rsidRPr="00BF708D">
        <w:t>Any program changes or adjustments reported result from the propo</w:t>
      </w:r>
      <w:r w:rsidR="00B93D13" w:rsidRPr="00BF708D">
        <w:t xml:space="preserve">sed </w:t>
      </w:r>
      <w:r w:rsidR="00AE17AE" w:rsidRPr="00BF708D">
        <w:t xml:space="preserve">revisions </w:t>
      </w:r>
      <w:r w:rsidR="00B93D13" w:rsidRPr="00BF708D">
        <w:t>to DEA Form 106</w:t>
      </w:r>
      <w:r w:rsidR="00C525AC" w:rsidRPr="00BF708D">
        <w:t>, as described above.</w:t>
      </w:r>
    </w:p>
    <w:p w:rsidR="00C525AC" w:rsidRPr="00BF708D" w:rsidRDefault="00C525AC" w:rsidP="00C525AC">
      <w:pPr>
        <w:tabs>
          <w:tab w:val="left" w:pos="450"/>
          <w:tab w:val="left" w:pos="720"/>
        </w:tabs>
        <w:ind w:left="720"/>
      </w:pPr>
    </w:p>
    <w:p w:rsidR="00C525AC" w:rsidRPr="00BF708D" w:rsidRDefault="00C525AC" w:rsidP="00C525AC">
      <w:pPr>
        <w:numPr>
          <w:ilvl w:val="0"/>
          <w:numId w:val="1"/>
        </w:numPr>
        <w:tabs>
          <w:tab w:val="left" w:pos="450"/>
          <w:tab w:val="left" w:pos="720"/>
        </w:tabs>
        <w:rPr>
          <w:u w:val="single"/>
        </w:rPr>
      </w:pPr>
      <w:r w:rsidRPr="00BF708D">
        <w:rPr>
          <w:u w:val="single"/>
        </w:rPr>
        <w:t>Plans for Publication</w:t>
      </w:r>
    </w:p>
    <w:p w:rsidR="00C525AC" w:rsidRPr="00BF708D" w:rsidRDefault="00C525AC" w:rsidP="00C525AC">
      <w:pPr>
        <w:tabs>
          <w:tab w:val="left" w:pos="450"/>
          <w:tab w:val="left" w:pos="720"/>
        </w:tabs>
      </w:pPr>
    </w:p>
    <w:p w:rsidR="00C525AC" w:rsidRPr="00BF708D" w:rsidRDefault="00C525AC" w:rsidP="00C525AC">
      <w:pPr>
        <w:tabs>
          <w:tab w:val="left" w:pos="450"/>
          <w:tab w:val="left" w:pos="720"/>
        </w:tabs>
        <w:ind w:firstLine="720"/>
      </w:pPr>
      <w:r w:rsidRPr="00BF708D">
        <w:t>The DEA does not anticipate that this collection of information will have results that will be published.</w:t>
      </w:r>
    </w:p>
    <w:p w:rsidR="00C525AC" w:rsidRPr="00BF708D" w:rsidRDefault="00C525AC" w:rsidP="00C525AC">
      <w:pPr>
        <w:tabs>
          <w:tab w:val="left" w:pos="450"/>
          <w:tab w:val="left" w:pos="720"/>
        </w:tabs>
      </w:pPr>
      <w:r w:rsidRPr="00BF708D">
        <w:t xml:space="preserve"> </w:t>
      </w:r>
    </w:p>
    <w:p w:rsidR="00F30C4D" w:rsidRPr="00F30C4D" w:rsidRDefault="00C525AC" w:rsidP="00F30C4D">
      <w:pPr>
        <w:numPr>
          <w:ilvl w:val="0"/>
          <w:numId w:val="1"/>
        </w:numPr>
        <w:tabs>
          <w:tab w:val="left" w:pos="450"/>
          <w:tab w:val="left" w:pos="720"/>
        </w:tabs>
        <w:rPr>
          <w:u w:val="single"/>
        </w:rPr>
      </w:pPr>
      <w:r w:rsidRPr="00BF708D">
        <w:rPr>
          <w:u w:val="single"/>
        </w:rPr>
        <w:t>Expiration Date</w:t>
      </w:r>
      <w:r w:rsidR="002E6455" w:rsidRPr="00BF708D">
        <w:rPr>
          <w:u w:val="single"/>
        </w:rPr>
        <w:t xml:space="preserve"> Approval</w:t>
      </w:r>
    </w:p>
    <w:p w:rsidR="00C525AC" w:rsidRPr="00BF708D" w:rsidRDefault="00C525AC" w:rsidP="00C525AC">
      <w:pPr>
        <w:tabs>
          <w:tab w:val="left" w:pos="450"/>
          <w:tab w:val="left" w:pos="720"/>
        </w:tabs>
      </w:pPr>
    </w:p>
    <w:p w:rsidR="00046FFB" w:rsidRDefault="00F30C4D" w:rsidP="00F30C4D">
      <w:pPr>
        <w:tabs>
          <w:tab w:val="left" w:pos="0"/>
          <w:tab w:val="left" w:pos="450"/>
        </w:tabs>
      </w:pPr>
      <w:r>
        <w:tab/>
      </w:r>
      <w:r w:rsidR="00C075DF" w:rsidRPr="001E13F0">
        <w:t xml:space="preserve">The DEA is not seeking approval not to display the expiration date for OMB approval of </w:t>
      </w:r>
      <w:r w:rsidR="00046FFB">
        <w:t xml:space="preserve">this </w:t>
      </w:r>
      <w:r w:rsidR="00C075DF" w:rsidRPr="001E13F0">
        <w:t>information collection.</w:t>
      </w:r>
    </w:p>
    <w:p w:rsidR="00046FFB" w:rsidRDefault="00046FFB" w:rsidP="007644A4">
      <w:pPr>
        <w:pStyle w:val="ListParagraph"/>
      </w:pPr>
    </w:p>
    <w:p w:rsidR="00C525AC" w:rsidRPr="00BF708D" w:rsidRDefault="00C525AC" w:rsidP="00C525AC">
      <w:pPr>
        <w:numPr>
          <w:ilvl w:val="0"/>
          <w:numId w:val="1"/>
        </w:numPr>
        <w:tabs>
          <w:tab w:val="left" w:pos="450"/>
          <w:tab w:val="left" w:pos="720"/>
        </w:tabs>
        <w:rPr>
          <w:u w:val="single"/>
        </w:rPr>
      </w:pPr>
      <w:r w:rsidRPr="00BF708D">
        <w:rPr>
          <w:u w:val="single"/>
        </w:rPr>
        <w:t>Exceptions</w:t>
      </w:r>
    </w:p>
    <w:p w:rsidR="007A7A4B" w:rsidRPr="00BF708D" w:rsidRDefault="007A7A4B" w:rsidP="0008698E">
      <w:pPr>
        <w:pStyle w:val="ListParagraph"/>
        <w:tabs>
          <w:tab w:val="left" w:pos="450"/>
          <w:tab w:val="left" w:pos="720"/>
        </w:tabs>
      </w:pPr>
    </w:p>
    <w:p w:rsidR="00C075DF" w:rsidRDefault="00C075DF" w:rsidP="00C075DF">
      <w:pPr>
        <w:tabs>
          <w:tab w:val="left" w:pos="450"/>
          <w:tab w:val="left" w:pos="720"/>
        </w:tabs>
        <w:ind w:firstLine="720"/>
      </w:pPr>
      <w:r w:rsidRPr="001E13F0">
        <w:t>The DEA is not seeking an exception to the certification statement “Certification for Paperwork Reduction Act Submissions” for this collection of information.</w:t>
      </w:r>
    </w:p>
    <w:p w:rsidR="00046FFB" w:rsidRPr="001E13F0" w:rsidRDefault="00046FFB" w:rsidP="00C075DF">
      <w:pPr>
        <w:tabs>
          <w:tab w:val="left" w:pos="450"/>
          <w:tab w:val="left" w:pos="720"/>
        </w:tabs>
        <w:ind w:firstLine="720"/>
      </w:pPr>
    </w:p>
    <w:p w:rsidR="00C525AC" w:rsidRPr="006F1408" w:rsidRDefault="00C525AC" w:rsidP="00C525AC">
      <w:pPr>
        <w:tabs>
          <w:tab w:val="left" w:pos="450"/>
          <w:tab w:val="left" w:pos="720"/>
        </w:tabs>
        <w:rPr>
          <w:b/>
        </w:rPr>
      </w:pPr>
      <w:r w:rsidRPr="006F1408">
        <w:rPr>
          <w:b/>
        </w:rPr>
        <w:t xml:space="preserve">B.  </w:t>
      </w:r>
      <w:r w:rsidR="00846331" w:rsidRPr="007A0DC3">
        <w:rPr>
          <w:b/>
        </w:rPr>
        <w:t>STATISTICAL METHODS</w:t>
      </w:r>
    </w:p>
    <w:p w:rsidR="00C525AC" w:rsidRPr="007A0DC3" w:rsidRDefault="00C525AC" w:rsidP="00C525AC">
      <w:pPr>
        <w:tabs>
          <w:tab w:val="left" w:pos="450"/>
          <w:tab w:val="left" w:pos="720"/>
        </w:tabs>
      </w:pPr>
    </w:p>
    <w:p w:rsidR="00C525AC" w:rsidRPr="00BF708D" w:rsidRDefault="002E6455" w:rsidP="00C525AC">
      <w:pPr>
        <w:numPr>
          <w:ilvl w:val="0"/>
          <w:numId w:val="2"/>
        </w:numPr>
        <w:tabs>
          <w:tab w:val="left" w:pos="450"/>
          <w:tab w:val="left" w:pos="720"/>
        </w:tabs>
      </w:pPr>
      <w:r w:rsidRPr="007A0DC3">
        <w:t>The DEA does not employ statistical methods in t</w:t>
      </w:r>
      <w:r w:rsidR="00C525AC" w:rsidRPr="007A0DC3">
        <w:t>his Information Collection</w:t>
      </w:r>
      <w:r w:rsidRPr="005626DC">
        <w:t>.</w:t>
      </w:r>
      <w:r w:rsidR="00C525AC" w:rsidRPr="005626DC">
        <w:t xml:space="preserve"> </w:t>
      </w:r>
    </w:p>
    <w:p w:rsidR="00C525AC" w:rsidRPr="00BF708D" w:rsidRDefault="00C525AC" w:rsidP="00C525AC">
      <w:pPr>
        <w:tabs>
          <w:tab w:val="left" w:pos="450"/>
          <w:tab w:val="left" w:pos="720"/>
        </w:tabs>
      </w:pPr>
    </w:p>
    <w:p w:rsidR="004A707C" w:rsidRDefault="004A707C"/>
    <w:sectPr w:rsidR="004A707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0EF" w:rsidRDefault="00B200EF" w:rsidP="00C525AC">
      <w:r>
        <w:separator/>
      </w:r>
    </w:p>
  </w:endnote>
  <w:endnote w:type="continuationSeparator" w:id="0">
    <w:p w:rsidR="00B200EF" w:rsidRDefault="00B200EF" w:rsidP="00C5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0EF" w:rsidRDefault="00B200EF" w:rsidP="00C525AC">
      <w:r>
        <w:separator/>
      </w:r>
    </w:p>
  </w:footnote>
  <w:footnote w:type="continuationSeparator" w:id="0">
    <w:p w:rsidR="00B200EF" w:rsidRDefault="00B200EF" w:rsidP="00C525AC">
      <w:r>
        <w:continuationSeparator/>
      </w:r>
    </w:p>
  </w:footnote>
  <w:footnote w:id="1">
    <w:p w:rsidR="00DF1AAC" w:rsidRDefault="00DF1AAC" w:rsidP="00DF1AAC">
      <w:pPr>
        <w:pStyle w:val="FootnoteText"/>
      </w:pPr>
      <w:r>
        <w:rPr>
          <w:rStyle w:val="FootnoteReference"/>
        </w:rPr>
        <w:footnoteRef/>
      </w:r>
      <w:r>
        <w:t xml:space="preserve"> The transcript of this public meeting can be found on the DEA website at: http://www.DEAdiversion.usdoj.gov/drug_disposal/non_registrant/meeting_010511.htm.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1E" w:rsidRDefault="00282E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842B5"/>
    <w:multiLevelType w:val="hybridMultilevel"/>
    <w:tmpl w:val="56B841A0"/>
    <w:lvl w:ilvl="0" w:tplc="A61ABE5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1684CA6"/>
    <w:multiLevelType w:val="hybridMultilevel"/>
    <w:tmpl w:val="DA741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0F11520"/>
    <w:multiLevelType w:val="hybridMultilevel"/>
    <w:tmpl w:val="3C027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5AC"/>
    <w:rsid w:val="000136B0"/>
    <w:rsid w:val="0002426D"/>
    <w:rsid w:val="00046FFB"/>
    <w:rsid w:val="0008698E"/>
    <w:rsid w:val="000E11B0"/>
    <w:rsid w:val="00107293"/>
    <w:rsid w:val="0011458B"/>
    <w:rsid w:val="00116C31"/>
    <w:rsid w:val="00151901"/>
    <w:rsid w:val="001533C4"/>
    <w:rsid w:val="001A1192"/>
    <w:rsid w:val="001A1F7A"/>
    <w:rsid w:val="001B0247"/>
    <w:rsid w:val="001C480A"/>
    <w:rsid w:val="001F6BAB"/>
    <w:rsid w:val="00210545"/>
    <w:rsid w:val="00230CB6"/>
    <w:rsid w:val="00231521"/>
    <w:rsid w:val="002467E9"/>
    <w:rsid w:val="00282E1E"/>
    <w:rsid w:val="00291245"/>
    <w:rsid w:val="002A0476"/>
    <w:rsid w:val="002C799D"/>
    <w:rsid w:val="002D6A47"/>
    <w:rsid w:val="002E6455"/>
    <w:rsid w:val="00303C3C"/>
    <w:rsid w:val="00311888"/>
    <w:rsid w:val="003270E2"/>
    <w:rsid w:val="00336D06"/>
    <w:rsid w:val="00350792"/>
    <w:rsid w:val="00352343"/>
    <w:rsid w:val="003B234F"/>
    <w:rsid w:val="003B2C73"/>
    <w:rsid w:val="003D1F26"/>
    <w:rsid w:val="00446AC9"/>
    <w:rsid w:val="004A66B7"/>
    <w:rsid w:val="004A707C"/>
    <w:rsid w:val="004B1B4E"/>
    <w:rsid w:val="004C26AE"/>
    <w:rsid w:val="00524876"/>
    <w:rsid w:val="0052755A"/>
    <w:rsid w:val="005626DC"/>
    <w:rsid w:val="00583187"/>
    <w:rsid w:val="00590A51"/>
    <w:rsid w:val="005E5E81"/>
    <w:rsid w:val="00605E03"/>
    <w:rsid w:val="006208D7"/>
    <w:rsid w:val="0064343E"/>
    <w:rsid w:val="0064556A"/>
    <w:rsid w:val="00692B66"/>
    <w:rsid w:val="006E5A42"/>
    <w:rsid w:val="006E6149"/>
    <w:rsid w:val="006F1408"/>
    <w:rsid w:val="00720EEA"/>
    <w:rsid w:val="007250AB"/>
    <w:rsid w:val="007644A4"/>
    <w:rsid w:val="007A0DC3"/>
    <w:rsid w:val="007A7A4B"/>
    <w:rsid w:val="007C0F14"/>
    <w:rsid w:val="007C3911"/>
    <w:rsid w:val="007D49A8"/>
    <w:rsid w:val="007E1113"/>
    <w:rsid w:val="007F28BD"/>
    <w:rsid w:val="007F2EC5"/>
    <w:rsid w:val="008033B7"/>
    <w:rsid w:val="0080722B"/>
    <w:rsid w:val="008405EC"/>
    <w:rsid w:val="00846331"/>
    <w:rsid w:val="008E648F"/>
    <w:rsid w:val="00921456"/>
    <w:rsid w:val="009219CC"/>
    <w:rsid w:val="00947ADD"/>
    <w:rsid w:val="00964BFF"/>
    <w:rsid w:val="00984D60"/>
    <w:rsid w:val="009927F1"/>
    <w:rsid w:val="009D04E2"/>
    <w:rsid w:val="009D47C0"/>
    <w:rsid w:val="00A21B57"/>
    <w:rsid w:val="00A25575"/>
    <w:rsid w:val="00A56416"/>
    <w:rsid w:val="00A61079"/>
    <w:rsid w:val="00AA7448"/>
    <w:rsid w:val="00AD2463"/>
    <w:rsid w:val="00AE17AE"/>
    <w:rsid w:val="00AE5FEA"/>
    <w:rsid w:val="00AF77F3"/>
    <w:rsid w:val="00B200EF"/>
    <w:rsid w:val="00B40721"/>
    <w:rsid w:val="00B4391B"/>
    <w:rsid w:val="00B875FD"/>
    <w:rsid w:val="00B93D13"/>
    <w:rsid w:val="00BA1EEE"/>
    <w:rsid w:val="00BA3B3A"/>
    <w:rsid w:val="00BB0ABB"/>
    <w:rsid w:val="00BF708D"/>
    <w:rsid w:val="00C00C5B"/>
    <w:rsid w:val="00C075DF"/>
    <w:rsid w:val="00C20656"/>
    <w:rsid w:val="00C27311"/>
    <w:rsid w:val="00C356B0"/>
    <w:rsid w:val="00C525AC"/>
    <w:rsid w:val="00C63259"/>
    <w:rsid w:val="00C741FB"/>
    <w:rsid w:val="00CE1617"/>
    <w:rsid w:val="00D0209A"/>
    <w:rsid w:val="00D1765F"/>
    <w:rsid w:val="00D31A71"/>
    <w:rsid w:val="00D3620A"/>
    <w:rsid w:val="00D52897"/>
    <w:rsid w:val="00D54298"/>
    <w:rsid w:val="00DE0683"/>
    <w:rsid w:val="00DF1AAC"/>
    <w:rsid w:val="00E17755"/>
    <w:rsid w:val="00E42457"/>
    <w:rsid w:val="00E43165"/>
    <w:rsid w:val="00E64A59"/>
    <w:rsid w:val="00E77F26"/>
    <w:rsid w:val="00E84BEA"/>
    <w:rsid w:val="00E87B4F"/>
    <w:rsid w:val="00E92470"/>
    <w:rsid w:val="00E9474F"/>
    <w:rsid w:val="00EB2ACE"/>
    <w:rsid w:val="00EF48AD"/>
    <w:rsid w:val="00F11280"/>
    <w:rsid w:val="00F30C4D"/>
    <w:rsid w:val="00F52BFE"/>
    <w:rsid w:val="00F87A1E"/>
    <w:rsid w:val="00F93078"/>
    <w:rsid w:val="00FB5009"/>
    <w:rsid w:val="00FE2964"/>
    <w:rsid w:val="00FF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5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525AC"/>
    <w:rPr>
      <w:sz w:val="20"/>
      <w:szCs w:val="20"/>
    </w:rPr>
  </w:style>
  <w:style w:type="character" w:customStyle="1" w:styleId="FootnoteTextChar">
    <w:name w:val="Footnote Text Char"/>
    <w:basedOn w:val="DefaultParagraphFont"/>
    <w:link w:val="FootnoteText"/>
    <w:uiPriority w:val="99"/>
    <w:rsid w:val="00C525A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525AC"/>
    <w:rPr>
      <w:vertAlign w:val="superscript"/>
    </w:rPr>
  </w:style>
  <w:style w:type="character" w:styleId="CommentReference">
    <w:name w:val="annotation reference"/>
    <w:basedOn w:val="DefaultParagraphFont"/>
    <w:uiPriority w:val="99"/>
    <w:semiHidden/>
    <w:unhideWhenUsed/>
    <w:rsid w:val="00692B66"/>
    <w:rPr>
      <w:sz w:val="16"/>
      <w:szCs w:val="16"/>
    </w:rPr>
  </w:style>
  <w:style w:type="paragraph" w:styleId="CommentText">
    <w:name w:val="annotation text"/>
    <w:basedOn w:val="Normal"/>
    <w:link w:val="CommentTextChar"/>
    <w:uiPriority w:val="99"/>
    <w:unhideWhenUsed/>
    <w:rsid w:val="00692B66"/>
    <w:rPr>
      <w:sz w:val="20"/>
      <w:szCs w:val="20"/>
    </w:rPr>
  </w:style>
  <w:style w:type="character" w:customStyle="1" w:styleId="CommentTextChar">
    <w:name w:val="Comment Text Char"/>
    <w:basedOn w:val="DefaultParagraphFont"/>
    <w:link w:val="CommentText"/>
    <w:uiPriority w:val="99"/>
    <w:rsid w:val="00692B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2B66"/>
    <w:rPr>
      <w:b/>
      <w:bCs/>
    </w:rPr>
  </w:style>
  <w:style w:type="character" w:customStyle="1" w:styleId="CommentSubjectChar">
    <w:name w:val="Comment Subject Char"/>
    <w:basedOn w:val="CommentTextChar"/>
    <w:link w:val="CommentSubject"/>
    <w:uiPriority w:val="99"/>
    <w:semiHidden/>
    <w:rsid w:val="00692B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2B66"/>
    <w:rPr>
      <w:rFonts w:ascii="Tahoma" w:hAnsi="Tahoma" w:cs="Tahoma"/>
      <w:sz w:val="16"/>
      <w:szCs w:val="16"/>
    </w:rPr>
  </w:style>
  <w:style w:type="character" w:customStyle="1" w:styleId="BalloonTextChar">
    <w:name w:val="Balloon Text Char"/>
    <w:basedOn w:val="DefaultParagraphFont"/>
    <w:link w:val="BalloonText"/>
    <w:uiPriority w:val="99"/>
    <w:semiHidden/>
    <w:rsid w:val="00692B66"/>
    <w:rPr>
      <w:rFonts w:ascii="Tahoma" w:eastAsia="Times New Roman" w:hAnsi="Tahoma" w:cs="Tahoma"/>
      <w:sz w:val="16"/>
      <w:szCs w:val="16"/>
    </w:rPr>
  </w:style>
  <w:style w:type="paragraph" w:styleId="Header">
    <w:name w:val="header"/>
    <w:basedOn w:val="Normal"/>
    <w:link w:val="HeaderChar"/>
    <w:uiPriority w:val="99"/>
    <w:unhideWhenUsed/>
    <w:rsid w:val="00282E1E"/>
    <w:pPr>
      <w:tabs>
        <w:tab w:val="center" w:pos="4680"/>
        <w:tab w:val="right" w:pos="9360"/>
      </w:tabs>
    </w:pPr>
  </w:style>
  <w:style w:type="character" w:customStyle="1" w:styleId="HeaderChar">
    <w:name w:val="Header Char"/>
    <w:basedOn w:val="DefaultParagraphFont"/>
    <w:link w:val="Header"/>
    <w:uiPriority w:val="99"/>
    <w:rsid w:val="00282E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2E1E"/>
    <w:pPr>
      <w:tabs>
        <w:tab w:val="center" w:pos="4680"/>
        <w:tab w:val="right" w:pos="9360"/>
      </w:tabs>
    </w:pPr>
  </w:style>
  <w:style w:type="character" w:customStyle="1" w:styleId="FooterChar">
    <w:name w:val="Footer Char"/>
    <w:basedOn w:val="DefaultParagraphFont"/>
    <w:link w:val="Footer"/>
    <w:uiPriority w:val="99"/>
    <w:rsid w:val="00282E1E"/>
    <w:rPr>
      <w:rFonts w:ascii="Times New Roman" w:eastAsia="Times New Roman" w:hAnsi="Times New Roman" w:cs="Times New Roman"/>
      <w:sz w:val="24"/>
      <w:szCs w:val="24"/>
    </w:rPr>
  </w:style>
  <w:style w:type="paragraph" w:styleId="ListParagraph">
    <w:name w:val="List Paragraph"/>
    <w:basedOn w:val="Normal"/>
    <w:uiPriority w:val="34"/>
    <w:qFormat/>
    <w:rsid w:val="007A7A4B"/>
    <w:pPr>
      <w:ind w:left="720"/>
      <w:contextualSpacing/>
    </w:pPr>
  </w:style>
  <w:style w:type="paragraph" w:styleId="Revision">
    <w:name w:val="Revision"/>
    <w:hidden/>
    <w:uiPriority w:val="99"/>
    <w:semiHidden/>
    <w:rsid w:val="003D1F26"/>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5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525AC"/>
    <w:rPr>
      <w:sz w:val="20"/>
      <w:szCs w:val="20"/>
    </w:rPr>
  </w:style>
  <w:style w:type="character" w:customStyle="1" w:styleId="FootnoteTextChar">
    <w:name w:val="Footnote Text Char"/>
    <w:basedOn w:val="DefaultParagraphFont"/>
    <w:link w:val="FootnoteText"/>
    <w:uiPriority w:val="99"/>
    <w:rsid w:val="00C525A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525AC"/>
    <w:rPr>
      <w:vertAlign w:val="superscript"/>
    </w:rPr>
  </w:style>
  <w:style w:type="character" w:styleId="CommentReference">
    <w:name w:val="annotation reference"/>
    <w:basedOn w:val="DefaultParagraphFont"/>
    <w:uiPriority w:val="99"/>
    <w:semiHidden/>
    <w:unhideWhenUsed/>
    <w:rsid w:val="00692B66"/>
    <w:rPr>
      <w:sz w:val="16"/>
      <w:szCs w:val="16"/>
    </w:rPr>
  </w:style>
  <w:style w:type="paragraph" w:styleId="CommentText">
    <w:name w:val="annotation text"/>
    <w:basedOn w:val="Normal"/>
    <w:link w:val="CommentTextChar"/>
    <w:uiPriority w:val="99"/>
    <w:unhideWhenUsed/>
    <w:rsid w:val="00692B66"/>
    <w:rPr>
      <w:sz w:val="20"/>
      <w:szCs w:val="20"/>
    </w:rPr>
  </w:style>
  <w:style w:type="character" w:customStyle="1" w:styleId="CommentTextChar">
    <w:name w:val="Comment Text Char"/>
    <w:basedOn w:val="DefaultParagraphFont"/>
    <w:link w:val="CommentText"/>
    <w:uiPriority w:val="99"/>
    <w:rsid w:val="00692B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2B66"/>
    <w:rPr>
      <w:b/>
      <w:bCs/>
    </w:rPr>
  </w:style>
  <w:style w:type="character" w:customStyle="1" w:styleId="CommentSubjectChar">
    <w:name w:val="Comment Subject Char"/>
    <w:basedOn w:val="CommentTextChar"/>
    <w:link w:val="CommentSubject"/>
    <w:uiPriority w:val="99"/>
    <w:semiHidden/>
    <w:rsid w:val="00692B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2B66"/>
    <w:rPr>
      <w:rFonts w:ascii="Tahoma" w:hAnsi="Tahoma" w:cs="Tahoma"/>
      <w:sz w:val="16"/>
      <w:szCs w:val="16"/>
    </w:rPr>
  </w:style>
  <w:style w:type="character" w:customStyle="1" w:styleId="BalloonTextChar">
    <w:name w:val="Balloon Text Char"/>
    <w:basedOn w:val="DefaultParagraphFont"/>
    <w:link w:val="BalloonText"/>
    <w:uiPriority w:val="99"/>
    <w:semiHidden/>
    <w:rsid w:val="00692B66"/>
    <w:rPr>
      <w:rFonts w:ascii="Tahoma" w:eastAsia="Times New Roman" w:hAnsi="Tahoma" w:cs="Tahoma"/>
      <w:sz w:val="16"/>
      <w:szCs w:val="16"/>
    </w:rPr>
  </w:style>
  <w:style w:type="paragraph" w:styleId="Header">
    <w:name w:val="header"/>
    <w:basedOn w:val="Normal"/>
    <w:link w:val="HeaderChar"/>
    <w:uiPriority w:val="99"/>
    <w:unhideWhenUsed/>
    <w:rsid w:val="00282E1E"/>
    <w:pPr>
      <w:tabs>
        <w:tab w:val="center" w:pos="4680"/>
        <w:tab w:val="right" w:pos="9360"/>
      </w:tabs>
    </w:pPr>
  </w:style>
  <w:style w:type="character" w:customStyle="1" w:styleId="HeaderChar">
    <w:name w:val="Header Char"/>
    <w:basedOn w:val="DefaultParagraphFont"/>
    <w:link w:val="Header"/>
    <w:uiPriority w:val="99"/>
    <w:rsid w:val="00282E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2E1E"/>
    <w:pPr>
      <w:tabs>
        <w:tab w:val="center" w:pos="4680"/>
        <w:tab w:val="right" w:pos="9360"/>
      </w:tabs>
    </w:pPr>
  </w:style>
  <w:style w:type="character" w:customStyle="1" w:styleId="FooterChar">
    <w:name w:val="Footer Char"/>
    <w:basedOn w:val="DefaultParagraphFont"/>
    <w:link w:val="Footer"/>
    <w:uiPriority w:val="99"/>
    <w:rsid w:val="00282E1E"/>
    <w:rPr>
      <w:rFonts w:ascii="Times New Roman" w:eastAsia="Times New Roman" w:hAnsi="Times New Roman" w:cs="Times New Roman"/>
      <w:sz w:val="24"/>
      <w:szCs w:val="24"/>
    </w:rPr>
  </w:style>
  <w:style w:type="paragraph" w:styleId="ListParagraph">
    <w:name w:val="List Paragraph"/>
    <w:basedOn w:val="Normal"/>
    <w:uiPriority w:val="34"/>
    <w:qFormat/>
    <w:rsid w:val="007A7A4B"/>
    <w:pPr>
      <w:ind w:left="720"/>
      <w:contextualSpacing/>
    </w:pPr>
  </w:style>
  <w:style w:type="paragraph" w:styleId="Revision">
    <w:name w:val="Revision"/>
    <w:hidden/>
    <w:uiPriority w:val="99"/>
    <w:semiHidden/>
    <w:rsid w:val="003D1F2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78014">
      <w:bodyDiv w:val="1"/>
      <w:marLeft w:val="0"/>
      <w:marRight w:val="0"/>
      <w:marTop w:val="0"/>
      <w:marBottom w:val="0"/>
      <w:divBdr>
        <w:top w:val="none" w:sz="0" w:space="0" w:color="auto"/>
        <w:left w:val="none" w:sz="0" w:space="0" w:color="auto"/>
        <w:bottom w:val="none" w:sz="0" w:space="0" w:color="auto"/>
        <w:right w:val="none" w:sz="0" w:space="0" w:color="auto"/>
      </w:divBdr>
    </w:div>
    <w:div w:id="1010908285">
      <w:bodyDiv w:val="1"/>
      <w:marLeft w:val="0"/>
      <w:marRight w:val="0"/>
      <w:marTop w:val="0"/>
      <w:marBottom w:val="0"/>
      <w:divBdr>
        <w:top w:val="none" w:sz="0" w:space="0" w:color="auto"/>
        <w:left w:val="none" w:sz="0" w:space="0" w:color="auto"/>
        <w:bottom w:val="none" w:sz="0" w:space="0" w:color="auto"/>
        <w:right w:val="none" w:sz="0" w:space="0" w:color="auto"/>
      </w:divBdr>
    </w:div>
    <w:div w:id="193943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1FB16-7650-4B0D-8001-AEA16A9A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2014-08-27T21:04:00Z</dcterms:created>
  <dcterms:modified xsi:type="dcterms:W3CDTF">2014-08-27T21:08:00Z</dcterms:modified>
</cp:coreProperties>
</file>