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99" w:rsidRPr="00933923" w:rsidRDefault="000A4A99" w:rsidP="001D1AFE">
      <w:pPr>
        <w:pStyle w:val="Heading1"/>
        <w:tabs>
          <w:tab w:val="clear" w:pos="1152"/>
        </w:tabs>
        <w:ind w:left="0" w:firstLine="0"/>
        <w:jc w:val="center"/>
      </w:pPr>
      <w:bookmarkStart w:id="0" w:name="_Toc367706521"/>
      <w:r w:rsidRPr="00933923">
        <w:t xml:space="preserve">Supporting Statements A for </w:t>
      </w:r>
      <w:r w:rsidR="002947A8" w:rsidRPr="00933923">
        <w:t>Meth</w:t>
      </w:r>
      <w:r w:rsidR="00AC32DC" w:rsidRPr="00933923">
        <w:t>o</w:t>
      </w:r>
      <w:r w:rsidR="002947A8" w:rsidRPr="00933923">
        <w:t xml:space="preserve">dological Research to Support the NCVS: Self-Report Data on Rape and Sexual Assault: </w:t>
      </w:r>
      <w:r w:rsidR="00FD4AE4">
        <w:t>Feas</w:t>
      </w:r>
      <w:r w:rsidR="003156B7">
        <w:t>i</w:t>
      </w:r>
      <w:r w:rsidR="00FD4AE4">
        <w:t xml:space="preserve">bility and </w:t>
      </w:r>
      <w:r w:rsidR="002947A8" w:rsidRPr="00933923">
        <w:t>Pilot Test</w:t>
      </w:r>
      <w:bookmarkEnd w:id="0"/>
    </w:p>
    <w:p w:rsidR="000A4A99" w:rsidRPr="00933923" w:rsidRDefault="000A4A99" w:rsidP="000A4A99">
      <w:pPr>
        <w:pStyle w:val="Heading1"/>
      </w:pPr>
    </w:p>
    <w:p w:rsidR="000A4A99" w:rsidRPr="00933923" w:rsidRDefault="003156B7" w:rsidP="000A4A99">
      <w:pPr>
        <w:pStyle w:val="Heading1"/>
      </w:pPr>
      <w:bookmarkStart w:id="1" w:name="_Toc367706522"/>
      <w:r>
        <w:t>February</w:t>
      </w:r>
      <w:r w:rsidR="000A4A99" w:rsidRPr="00933923">
        <w:t>, 201</w:t>
      </w:r>
      <w:bookmarkEnd w:id="1"/>
      <w:r>
        <w:t>4</w:t>
      </w:r>
    </w:p>
    <w:p w:rsidR="000A4A99" w:rsidRPr="00933923" w:rsidRDefault="000A4A99" w:rsidP="000A4A99">
      <w:pPr>
        <w:pStyle w:val="Heading2"/>
        <w:rPr>
          <w:color w:val="auto"/>
        </w:rPr>
      </w:pPr>
    </w:p>
    <w:p w:rsidR="000A4A99" w:rsidRPr="00933923" w:rsidRDefault="000A4A99" w:rsidP="000A4A99">
      <w:pPr>
        <w:pStyle w:val="Heading2"/>
        <w:rPr>
          <w:color w:val="auto"/>
        </w:rPr>
      </w:pPr>
    </w:p>
    <w:p w:rsidR="000A4A99" w:rsidRPr="00933923" w:rsidRDefault="000A4A99" w:rsidP="000A4A99">
      <w:pPr>
        <w:pStyle w:val="Heading2"/>
        <w:rPr>
          <w:color w:val="auto"/>
        </w:rPr>
      </w:pPr>
    </w:p>
    <w:p w:rsidR="000A4A99" w:rsidRPr="00933923" w:rsidRDefault="000A4A99" w:rsidP="000A4A99">
      <w:pPr>
        <w:pStyle w:val="Heading2"/>
        <w:rPr>
          <w:color w:val="auto"/>
        </w:rPr>
      </w:pPr>
    </w:p>
    <w:p w:rsidR="000A4A99" w:rsidRPr="00933923" w:rsidRDefault="000A4A99" w:rsidP="000A4A99">
      <w:pPr>
        <w:pStyle w:val="L1-FlLSp12"/>
      </w:pPr>
    </w:p>
    <w:p w:rsidR="000A4A99" w:rsidRPr="00933923" w:rsidRDefault="000A4A99" w:rsidP="000A4A99">
      <w:pPr>
        <w:pStyle w:val="L1-FlLSp12"/>
      </w:pPr>
    </w:p>
    <w:p w:rsidR="000A4A99" w:rsidRPr="00933923" w:rsidRDefault="000A4A99" w:rsidP="000A4A99">
      <w:pPr>
        <w:pStyle w:val="L1-FlLSp12"/>
      </w:pPr>
    </w:p>
    <w:p w:rsidR="000A4A99" w:rsidRPr="00933923" w:rsidRDefault="000A4A99" w:rsidP="000A4A99">
      <w:pPr>
        <w:pStyle w:val="L1-FlLSp12"/>
      </w:pPr>
    </w:p>
    <w:p w:rsidR="000A4A99" w:rsidRPr="00933923" w:rsidRDefault="000A4A99" w:rsidP="000A4A99">
      <w:pPr>
        <w:pStyle w:val="L1-FlLSp12"/>
      </w:pPr>
    </w:p>
    <w:p w:rsidR="000A4A99" w:rsidRPr="00933923" w:rsidRDefault="000A4A99" w:rsidP="00E7528E">
      <w:pPr>
        <w:pStyle w:val="TC-TableofContentsHeading"/>
      </w:pPr>
      <w:r w:rsidRPr="00933923">
        <w:br w:type="page"/>
      </w:r>
      <w:bookmarkStart w:id="2" w:name="_Toc380930566"/>
      <w:r w:rsidRPr="00933923">
        <w:lastRenderedPageBreak/>
        <w:t>Table of Contents</w:t>
      </w:r>
      <w:bookmarkEnd w:id="2"/>
    </w:p>
    <w:p w:rsidR="000A4A99" w:rsidRPr="00933923" w:rsidRDefault="0008441A" w:rsidP="000B4257">
      <w:pPr>
        <w:pStyle w:val="T0-ChapPgHd"/>
        <w:tabs>
          <w:tab w:val="clear" w:pos="8640"/>
          <w:tab w:val="left" w:pos="8010"/>
        </w:tabs>
      </w:pPr>
      <w:r w:rsidRPr="00933923">
        <w:t>Section</w:t>
      </w:r>
      <w:r w:rsidRPr="00933923">
        <w:tab/>
        <w:t>Page</w:t>
      </w:r>
    </w:p>
    <w:bookmarkStart w:id="3" w:name="_Toc380930567"/>
    <w:p w:rsidR="000B4257" w:rsidRDefault="000B4257">
      <w:pPr>
        <w:pStyle w:val="TOC1"/>
        <w:rPr>
          <w:rFonts w:asciiTheme="minorHAnsi" w:eastAsiaTheme="minorEastAsia" w:hAnsiTheme="minorHAnsi" w:cstheme="minorBidi"/>
          <w:noProof/>
          <w:sz w:val="22"/>
          <w:szCs w:val="22"/>
        </w:rPr>
      </w:pPr>
      <w:r>
        <w:fldChar w:fldCharType="begin"/>
      </w:r>
      <w:r>
        <w:instrText xml:space="preserve"> TOC \h \z \t "Heading 3,1" </w:instrText>
      </w:r>
      <w:r>
        <w:fldChar w:fldCharType="separate"/>
      </w:r>
      <w:hyperlink w:anchor="_Toc380930728" w:history="1">
        <w:r w:rsidRPr="005C13A1">
          <w:rPr>
            <w:rStyle w:val="Hyperlink"/>
            <w:noProof/>
          </w:rPr>
          <w:t>Supporting Statement</w:t>
        </w:r>
        <w:r>
          <w:rPr>
            <w:noProof/>
            <w:webHidden/>
          </w:rPr>
          <w:tab/>
        </w:r>
        <w:r>
          <w:rPr>
            <w:noProof/>
            <w:webHidden/>
          </w:rPr>
          <w:fldChar w:fldCharType="begin"/>
        </w:r>
        <w:r>
          <w:rPr>
            <w:noProof/>
            <w:webHidden/>
          </w:rPr>
          <w:instrText xml:space="preserve"> PAGEREF _Toc380930728 \h </w:instrText>
        </w:r>
        <w:r>
          <w:rPr>
            <w:noProof/>
            <w:webHidden/>
          </w:rPr>
        </w:r>
        <w:r>
          <w:rPr>
            <w:noProof/>
            <w:webHidden/>
          </w:rPr>
          <w:fldChar w:fldCharType="separate"/>
        </w:r>
        <w:r>
          <w:rPr>
            <w:noProof/>
            <w:webHidden/>
          </w:rPr>
          <w:t>4</w:t>
        </w:r>
        <w:r>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29" w:history="1">
        <w:r w:rsidR="000B4257" w:rsidRPr="005C13A1">
          <w:rPr>
            <w:rStyle w:val="Hyperlink"/>
            <w:noProof/>
          </w:rPr>
          <w:t>A.</w:t>
        </w:r>
        <w:r w:rsidR="000B4257">
          <w:rPr>
            <w:rFonts w:asciiTheme="minorHAnsi" w:eastAsiaTheme="minorEastAsia" w:hAnsiTheme="minorHAnsi" w:cstheme="minorBidi"/>
            <w:noProof/>
            <w:sz w:val="22"/>
            <w:szCs w:val="22"/>
          </w:rPr>
          <w:tab/>
        </w:r>
        <w:r w:rsidR="000B4257" w:rsidRPr="005C13A1">
          <w:rPr>
            <w:rStyle w:val="Hyperlink"/>
            <w:noProof/>
          </w:rPr>
          <w:t>Justification</w:t>
        </w:r>
        <w:r w:rsidR="000B4257">
          <w:rPr>
            <w:noProof/>
            <w:webHidden/>
          </w:rPr>
          <w:tab/>
        </w:r>
        <w:r w:rsidR="000B4257">
          <w:rPr>
            <w:noProof/>
            <w:webHidden/>
          </w:rPr>
          <w:fldChar w:fldCharType="begin"/>
        </w:r>
        <w:r w:rsidR="000B4257">
          <w:rPr>
            <w:noProof/>
            <w:webHidden/>
          </w:rPr>
          <w:instrText xml:space="preserve"> PAGEREF _Toc380930729 \h </w:instrText>
        </w:r>
        <w:r w:rsidR="000B4257">
          <w:rPr>
            <w:noProof/>
            <w:webHidden/>
          </w:rPr>
        </w:r>
        <w:r w:rsidR="000B4257">
          <w:rPr>
            <w:noProof/>
            <w:webHidden/>
          </w:rPr>
          <w:fldChar w:fldCharType="separate"/>
        </w:r>
        <w:r w:rsidR="000B4257">
          <w:rPr>
            <w:noProof/>
            <w:webHidden/>
          </w:rPr>
          <w:t>4</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30" w:history="1">
        <w:r w:rsidR="000B4257" w:rsidRPr="005C13A1">
          <w:rPr>
            <w:rStyle w:val="Hyperlink"/>
            <w:noProof/>
          </w:rPr>
          <w:t>A1.</w:t>
        </w:r>
        <w:r w:rsidR="000B4257">
          <w:rPr>
            <w:rFonts w:asciiTheme="minorHAnsi" w:eastAsiaTheme="minorEastAsia" w:hAnsiTheme="minorHAnsi" w:cstheme="minorBidi"/>
            <w:noProof/>
            <w:sz w:val="22"/>
            <w:szCs w:val="22"/>
          </w:rPr>
          <w:tab/>
        </w:r>
        <w:r w:rsidR="000B4257" w:rsidRPr="005C13A1">
          <w:rPr>
            <w:rStyle w:val="Hyperlink"/>
            <w:noProof/>
          </w:rPr>
          <w:t>Necessity of Information</w:t>
        </w:r>
        <w:r w:rsidR="000B4257">
          <w:rPr>
            <w:noProof/>
            <w:webHidden/>
          </w:rPr>
          <w:tab/>
        </w:r>
        <w:r w:rsidR="000B4257">
          <w:rPr>
            <w:noProof/>
            <w:webHidden/>
          </w:rPr>
          <w:fldChar w:fldCharType="begin"/>
        </w:r>
        <w:r w:rsidR="000B4257">
          <w:rPr>
            <w:noProof/>
            <w:webHidden/>
          </w:rPr>
          <w:instrText xml:space="preserve"> PAGEREF _Toc380930730 \h </w:instrText>
        </w:r>
        <w:r w:rsidR="000B4257">
          <w:rPr>
            <w:noProof/>
            <w:webHidden/>
          </w:rPr>
        </w:r>
        <w:r w:rsidR="000B4257">
          <w:rPr>
            <w:noProof/>
            <w:webHidden/>
          </w:rPr>
          <w:fldChar w:fldCharType="separate"/>
        </w:r>
        <w:r w:rsidR="000B4257">
          <w:rPr>
            <w:noProof/>
            <w:webHidden/>
          </w:rPr>
          <w:t>4</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31" w:history="1">
        <w:r w:rsidR="000B4257" w:rsidRPr="005C13A1">
          <w:rPr>
            <w:rStyle w:val="Hyperlink"/>
            <w:noProof/>
          </w:rPr>
          <w:t>A2.</w:t>
        </w:r>
        <w:r w:rsidR="000B4257">
          <w:rPr>
            <w:rFonts w:asciiTheme="minorHAnsi" w:eastAsiaTheme="minorEastAsia" w:hAnsiTheme="minorHAnsi" w:cstheme="minorBidi"/>
            <w:noProof/>
            <w:sz w:val="22"/>
            <w:szCs w:val="22"/>
          </w:rPr>
          <w:tab/>
        </w:r>
        <w:r w:rsidR="000B4257" w:rsidRPr="005C13A1">
          <w:rPr>
            <w:rStyle w:val="Hyperlink"/>
            <w:noProof/>
          </w:rPr>
          <w:t>Needs and Uses</w:t>
        </w:r>
        <w:r w:rsidR="000B4257">
          <w:rPr>
            <w:noProof/>
            <w:webHidden/>
          </w:rPr>
          <w:tab/>
        </w:r>
        <w:r w:rsidR="000B4257">
          <w:rPr>
            <w:noProof/>
            <w:webHidden/>
          </w:rPr>
          <w:fldChar w:fldCharType="begin"/>
        </w:r>
        <w:r w:rsidR="000B4257">
          <w:rPr>
            <w:noProof/>
            <w:webHidden/>
          </w:rPr>
          <w:instrText xml:space="preserve"> PAGEREF _Toc380930731 \h </w:instrText>
        </w:r>
        <w:r w:rsidR="000B4257">
          <w:rPr>
            <w:noProof/>
            <w:webHidden/>
          </w:rPr>
        </w:r>
        <w:r w:rsidR="000B4257">
          <w:rPr>
            <w:noProof/>
            <w:webHidden/>
          </w:rPr>
          <w:fldChar w:fldCharType="separate"/>
        </w:r>
        <w:r w:rsidR="000B4257">
          <w:rPr>
            <w:noProof/>
            <w:webHidden/>
          </w:rPr>
          <w:t>7</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32" w:history="1">
        <w:r w:rsidR="000B4257" w:rsidRPr="005C13A1">
          <w:rPr>
            <w:rStyle w:val="Hyperlink"/>
            <w:noProof/>
          </w:rPr>
          <w:t>A3.</w:t>
        </w:r>
        <w:r w:rsidR="000B4257">
          <w:rPr>
            <w:rFonts w:asciiTheme="minorHAnsi" w:eastAsiaTheme="minorEastAsia" w:hAnsiTheme="minorHAnsi" w:cstheme="minorBidi"/>
            <w:noProof/>
            <w:sz w:val="22"/>
            <w:szCs w:val="22"/>
          </w:rPr>
          <w:tab/>
        </w:r>
        <w:r w:rsidR="000B4257" w:rsidRPr="005C13A1">
          <w:rPr>
            <w:rStyle w:val="Hyperlink"/>
            <w:noProof/>
          </w:rPr>
          <w:t>Use of Technology</w:t>
        </w:r>
        <w:r w:rsidR="000B4257">
          <w:rPr>
            <w:noProof/>
            <w:webHidden/>
          </w:rPr>
          <w:tab/>
        </w:r>
        <w:r w:rsidR="000B4257">
          <w:rPr>
            <w:noProof/>
            <w:webHidden/>
          </w:rPr>
          <w:fldChar w:fldCharType="begin"/>
        </w:r>
        <w:r w:rsidR="000B4257">
          <w:rPr>
            <w:noProof/>
            <w:webHidden/>
          </w:rPr>
          <w:instrText xml:space="preserve"> PAGEREF _Toc380930732 \h </w:instrText>
        </w:r>
        <w:r w:rsidR="000B4257">
          <w:rPr>
            <w:noProof/>
            <w:webHidden/>
          </w:rPr>
        </w:r>
        <w:r w:rsidR="000B4257">
          <w:rPr>
            <w:noProof/>
            <w:webHidden/>
          </w:rPr>
          <w:fldChar w:fldCharType="separate"/>
        </w:r>
        <w:r w:rsidR="000B4257">
          <w:rPr>
            <w:noProof/>
            <w:webHidden/>
          </w:rPr>
          <w:t>10</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33" w:history="1">
        <w:r w:rsidR="000B4257" w:rsidRPr="005C13A1">
          <w:rPr>
            <w:rStyle w:val="Hyperlink"/>
            <w:noProof/>
          </w:rPr>
          <w:t>A4.</w:t>
        </w:r>
        <w:r w:rsidR="000B4257">
          <w:rPr>
            <w:rFonts w:asciiTheme="minorHAnsi" w:eastAsiaTheme="minorEastAsia" w:hAnsiTheme="minorHAnsi" w:cstheme="minorBidi"/>
            <w:noProof/>
            <w:sz w:val="22"/>
            <w:szCs w:val="22"/>
          </w:rPr>
          <w:tab/>
        </w:r>
        <w:r w:rsidR="000B4257" w:rsidRPr="005C13A1">
          <w:rPr>
            <w:rStyle w:val="Hyperlink"/>
            <w:noProof/>
          </w:rPr>
          <w:t>Efforts to Identify Duplication</w:t>
        </w:r>
        <w:r w:rsidR="000B4257">
          <w:rPr>
            <w:noProof/>
            <w:webHidden/>
          </w:rPr>
          <w:tab/>
        </w:r>
        <w:r w:rsidR="000B4257">
          <w:rPr>
            <w:noProof/>
            <w:webHidden/>
          </w:rPr>
          <w:fldChar w:fldCharType="begin"/>
        </w:r>
        <w:r w:rsidR="000B4257">
          <w:rPr>
            <w:noProof/>
            <w:webHidden/>
          </w:rPr>
          <w:instrText xml:space="preserve"> PAGEREF _Toc380930733 \h </w:instrText>
        </w:r>
        <w:r w:rsidR="000B4257">
          <w:rPr>
            <w:noProof/>
            <w:webHidden/>
          </w:rPr>
        </w:r>
        <w:r w:rsidR="000B4257">
          <w:rPr>
            <w:noProof/>
            <w:webHidden/>
          </w:rPr>
          <w:fldChar w:fldCharType="separate"/>
        </w:r>
        <w:r w:rsidR="000B4257">
          <w:rPr>
            <w:noProof/>
            <w:webHidden/>
          </w:rPr>
          <w:t>12</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34" w:history="1">
        <w:r w:rsidR="000B4257" w:rsidRPr="005C13A1">
          <w:rPr>
            <w:rStyle w:val="Hyperlink"/>
            <w:noProof/>
          </w:rPr>
          <w:t>A5.</w:t>
        </w:r>
        <w:r w:rsidR="000B4257">
          <w:rPr>
            <w:rFonts w:asciiTheme="minorHAnsi" w:eastAsiaTheme="minorEastAsia" w:hAnsiTheme="minorHAnsi" w:cstheme="minorBidi"/>
            <w:noProof/>
            <w:sz w:val="22"/>
            <w:szCs w:val="22"/>
          </w:rPr>
          <w:tab/>
        </w:r>
        <w:r w:rsidR="000B4257" w:rsidRPr="005C13A1">
          <w:rPr>
            <w:rStyle w:val="Hyperlink"/>
            <w:noProof/>
          </w:rPr>
          <w:t>Efforts to Minimize Burden</w:t>
        </w:r>
        <w:r w:rsidR="000B4257">
          <w:rPr>
            <w:noProof/>
            <w:webHidden/>
          </w:rPr>
          <w:tab/>
        </w:r>
        <w:r w:rsidR="000B4257">
          <w:rPr>
            <w:noProof/>
            <w:webHidden/>
          </w:rPr>
          <w:fldChar w:fldCharType="begin"/>
        </w:r>
        <w:r w:rsidR="000B4257">
          <w:rPr>
            <w:noProof/>
            <w:webHidden/>
          </w:rPr>
          <w:instrText xml:space="preserve"> PAGEREF _Toc380930734 \h </w:instrText>
        </w:r>
        <w:r w:rsidR="000B4257">
          <w:rPr>
            <w:noProof/>
            <w:webHidden/>
          </w:rPr>
        </w:r>
        <w:r w:rsidR="000B4257">
          <w:rPr>
            <w:noProof/>
            <w:webHidden/>
          </w:rPr>
          <w:fldChar w:fldCharType="separate"/>
        </w:r>
        <w:r w:rsidR="000B4257">
          <w:rPr>
            <w:noProof/>
            <w:webHidden/>
          </w:rPr>
          <w:t>13</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35" w:history="1">
        <w:r w:rsidR="000B4257" w:rsidRPr="005C13A1">
          <w:rPr>
            <w:rStyle w:val="Hyperlink"/>
            <w:noProof/>
          </w:rPr>
          <w:t>A6.</w:t>
        </w:r>
        <w:r w:rsidR="000B4257">
          <w:rPr>
            <w:rFonts w:asciiTheme="minorHAnsi" w:eastAsiaTheme="minorEastAsia" w:hAnsiTheme="minorHAnsi" w:cstheme="minorBidi"/>
            <w:noProof/>
            <w:sz w:val="22"/>
            <w:szCs w:val="22"/>
          </w:rPr>
          <w:tab/>
        </w:r>
        <w:r w:rsidR="000B4257" w:rsidRPr="005C13A1">
          <w:rPr>
            <w:rStyle w:val="Hyperlink"/>
            <w:noProof/>
          </w:rPr>
          <w:t>Consequences of Less Frequent Collection</w:t>
        </w:r>
        <w:r w:rsidR="000B4257">
          <w:rPr>
            <w:noProof/>
            <w:webHidden/>
          </w:rPr>
          <w:tab/>
        </w:r>
        <w:r w:rsidR="000B4257">
          <w:rPr>
            <w:noProof/>
            <w:webHidden/>
          </w:rPr>
          <w:fldChar w:fldCharType="begin"/>
        </w:r>
        <w:r w:rsidR="000B4257">
          <w:rPr>
            <w:noProof/>
            <w:webHidden/>
          </w:rPr>
          <w:instrText xml:space="preserve"> PAGEREF _Toc380930735 \h </w:instrText>
        </w:r>
        <w:r w:rsidR="000B4257">
          <w:rPr>
            <w:noProof/>
            <w:webHidden/>
          </w:rPr>
        </w:r>
        <w:r w:rsidR="000B4257">
          <w:rPr>
            <w:noProof/>
            <w:webHidden/>
          </w:rPr>
          <w:fldChar w:fldCharType="separate"/>
        </w:r>
        <w:r w:rsidR="000B4257">
          <w:rPr>
            <w:noProof/>
            <w:webHidden/>
          </w:rPr>
          <w:t>13</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36" w:history="1">
        <w:r w:rsidR="000B4257" w:rsidRPr="005C13A1">
          <w:rPr>
            <w:rStyle w:val="Hyperlink"/>
            <w:noProof/>
          </w:rPr>
          <w:t>A7.</w:t>
        </w:r>
        <w:r w:rsidR="000B4257">
          <w:rPr>
            <w:rFonts w:asciiTheme="minorHAnsi" w:eastAsiaTheme="minorEastAsia" w:hAnsiTheme="minorHAnsi" w:cstheme="minorBidi"/>
            <w:noProof/>
            <w:sz w:val="22"/>
            <w:szCs w:val="22"/>
          </w:rPr>
          <w:tab/>
        </w:r>
        <w:r w:rsidR="000B4257" w:rsidRPr="005C13A1">
          <w:rPr>
            <w:rStyle w:val="Hyperlink"/>
            <w:noProof/>
          </w:rPr>
          <w:t>Special Circumstances Influencing Collection</w:t>
        </w:r>
        <w:r w:rsidR="000B4257">
          <w:rPr>
            <w:noProof/>
            <w:webHidden/>
          </w:rPr>
          <w:tab/>
        </w:r>
        <w:r w:rsidR="000B4257">
          <w:rPr>
            <w:noProof/>
            <w:webHidden/>
          </w:rPr>
          <w:fldChar w:fldCharType="begin"/>
        </w:r>
        <w:r w:rsidR="000B4257">
          <w:rPr>
            <w:noProof/>
            <w:webHidden/>
          </w:rPr>
          <w:instrText xml:space="preserve"> PAGEREF _Toc380930736 \h </w:instrText>
        </w:r>
        <w:r w:rsidR="000B4257">
          <w:rPr>
            <w:noProof/>
            <w:webHidden/>
          </w:rPr>
        </w:r>
        <w:r w:rsidR="000B4257">
          <w:rPr>
            <w:noProof/>
            <w:webHidden/>
          </w:rPr>
          <w:fldChar w:fldCharType="separate"/>
        </w:r>
        <w:r w:rsidR="000B4257">
          <w:rPr>
            <w:noProof/>
            <w:webHidden/>
          </w:rPr>
          <w:t>13</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37" w:history="1">
        <w:r w:rsidR="000B4257" w:rsidRPr="005C13A1">
          <w:rPr>
            <w:rStyle w:val="Hyperlink"/>
            <w:noProof/>
          </w:rPr>
          <w:t>A8.</w:t>
        </w:r>
        <w:r w:rsidR="000B4257">
          <w:rPr>
            <w:rFonts w:asciiTheme="minorHAnsi" w:eastAsiaTheme="minorEastAsia" w:hAnsiTheme="minorHAnsi" w:cstheme="minorBidi"/>
            <w:noProof/>
            <w:sz w:val="22"/>
            <w:szCs w:val="22"/>
          </w:rPr>
          <w:tab/>
        </w:r>
        <w:r w:rsidR="000B4257" w:rsidRPr="005C13A1">
          <w:rPr>
            <w:rStyle w:val="Hyperlink"/>
            <w:noProof/>
          </w:rPr>
          <w:t>Federal Register Publication and Outside Consultation</w:t>
        </w:r>
        <w:r w:rsidR="000B4257">
          <w:rPr>
            <w:noProof/>
            <w:webHidden/>
          </w:rPr>
          <w:tab/>
        </w:r>
        <w:r w:rsidR="000B4257">
          <w:rPr>
            <w:noProof/>
            <w:webHidden/>
          </w:rPr>
          <w:fldChar w:fldCharType="begin"/>
        </w:r>
        <w:r w:rsidR="000B4257">
          <w:rPr>
            <w:noProof/>
            <w:webHidden/>
          </w:rPr>
          <w:instrText xml:space="preserve"> PAGEREF _Toc380930737 \h </w:instrText>
        </w:r>
        <w:r w:rsidR="000B4257">
          <w:rPr>
            <w:noProof/>
            <w:webHidden/>
          </w:rPr>
        </w:r>
        <w:r w:rsidR="000B4257">
          <w:rPr>
            <w:noProof/>
            <w:webHidden/>
          </w:rPr>
          <w:fldChar w:fldCharType="separate"/>
        </w:r>
        <w:r w:rsidR="000B4257">
          <w:rPr>
            <w:noProof/>
            <w:webHidden/>
          </w:rPr>
          <w:t>14</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38" w:history="1">
        <w:r w:rsidR="000B4257" w:rsidRPr="005C13A1">
          <w:rPr>
            <w:rStyle w:val="Hyperlink"/>
            <w:noProof/>
          </w:rPr>
          <w:t>A9.</w:t>
        </w:r>
        <w:r w:rsidR="000B4257">
          <w:rPr>
            <w:rFonts w:asciiTheme="minorHAnsi" w:eastAsiaTheme="minorEastAsia" w:hAnsiTheme="minorHAnsi" w:cstheme="minorBidi"/>
            <w:noProof/>
            <w:sz w:val="22"/>
            <w:szCs w:val="22"/>
          </w:rPr>
          <w:tab/>
        </w:r>
        <w:r w:rsidR="000B4257" w:rsidRPr="005C13A1">
          <w:rPr>
            <w:rStyle w:val="Hyperlink"/>
            <w:noProof/>
          </w:rPr>
          <w:t>Payment or Gift to Respondents</w:t>
        </w:r>
        <w:r w:rsidR="000B4257">
          <w:rPr>
            <w:noProof/>
            <w:webHidden/>
          </w:rPr>
          <w:tab/>
        </w:r>
        <w:r w:rsidR="000B4257">
          <w:rPr>
            <w:noProof/>
            <w:webHidden/>
          </w:rPr>
          <w:fldChar w:fldCharType="begin"/>
        </w:r>
        <w:r w:rsidR="000B4257">
          <w:rPr>
            <w:noProof/>
            <w:webHidden/>
          </w:rPr>
          <w:instrText xml:space="preserve"> PAGEREF _Toc380930738 \h </w:instrText>
        </w:r>
        <w:r w:rsidR="000B4257">
          <w:rPr>
            <w:noProof/>
            <w:webHidden/>
          </w:rPr>
        </w:r>
        <w:r w:rsidR="000B4257">
          <w:rPr>
            <w:noProof/>
            <w:webHidden/>
          </w:rPr>
          <w:fldChar w:fldCharType="separate"/>
        </w:r>
        <w:r w:rsidR="000B4257">
          <w:rPr>
            <w:noProof/>
            <w:webHidden/>
          </w:rPr>
          <w:t>16</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39" w:history="1">
        <w:r w:rsidR="000B4257" w:rsidRPr="005C13A1">
          <w:rPr>
            <w:rStyle w:val="Hyperlink"/>
            <w:noProof/>
          </w:rPr>
          <w:t>A10.</w:t>
        </w:r>
        <w:r w:rsidR="000B4257">
          <w:rPr>
            <w:rFonts w:asciiTheme="minorHAnsi" w:eastAsiaTheme="minorEastAsia" w:hAnsiTheme="minorHAnsi" w:cstheme="minorBidi"/>
            <w:noProof/>
            <w:sz w:val="22"/>
            <w:szCs w:val="22"/>
          </w:rPr>
          <w:tab/>
        </w:r>
        <w:r w:rsidR="000B4257" w:rsidRPr="005C13A1">
          <w:rPr>
            <w:rStyle w:val="Hyperlink"/>
            <w:noProof/>
          </w:rPr>
          <w:t>Assurance of Confidentiality</w:t>
        </w:r>
        <w:r w:rsidR="000B4257">
          <w:rPr>
            <w:noProof/>
            <w:webHidden/>
          </w:rPr>
          <w:tab/>
        </w:r>
        <w:r w:rsidR="000B4257">
          <w:rPr>
            <w:noProof/>
            <w:webHidden/>
          </w:rPr>
          <w:fldChar w:fldCharType="begin"/>
        </w:r>
        <w:r w:rsidR="000B4257">
          <w:rPr>
            <w:noProof/>
            <w:webHidden/>
          </w:rPr>
          <w:instrText xml:space="preserve"> PAGEREF _Toc380930739 \h </w:instrText>
        </w:r>
        <w:r w:rsidR="000B4257">
          <w:rPr>
            <w:noProof/>
            <w:webHidden/>
          </w:rPr>
        </w:r>
        <w:r w:rsidR="000B4257">
          <w:rPr>
            <w:noProof/>
            <w:webHidden/>
          </w:rPr>
          <w:fldChar w:fldCharType="separate"/>
        </w:r>
        <w:r w:rsidR="000B4257">
          <w:rPr>
            <w:noProof/>
            <w:webHidden/>
          </w:rPr>
          <w:t>23</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40" w:history="1">
        <w:r w:rsidR="000B4257" w:rsidRPr="005C13A1">
          <w:rPr>
            <w:rStyle w:val="Hyperlink"/>
            <w:noProof/>
          </w:rPr>
          <w:t>A11.</w:t>
        </w:r>
        <w:r w:rsidR="000B4257">
          <w:rPr>
            <w:rFonts w:asciiTheme="minorHAnsi" w:eastAsiaTheme="minorEastAsia" w:hAnsiTheme="minorHAnsi" w:cstheme="minorBidi"/>
            <w:noProof/>
            <w:sz w:val="22"/>
            <w:szCs w:val="22"/>
          </w:rPr>
          <w:tab/>
        </w:r>
        <w:r w:rsidR="000B4257" w:rsidRPr="005C13A1">
          <w:rPr>
            <w:rStyle w:val="Hyperlink"/>
            <w:noProof/>
          </w:rPr>
          <w:t>Justification for Sensitive Questions</w:t>
        </w:r>
        <w:r w:rsidR="000B4257">
          <w:rPr>
            <w:noProof/>
            <w:webHidden/>
          </w:rPr>
          <w:tab/>
        </w:r>
        <w:r w:rsidR="000B4257">
          <w:rPr>
            <w:noProof/>
            <w:webHidden/>
          </w:rPr>
          <w:fldChar w:fldCharType="begin"/>
        </w:r>
        <w:r w:rsidR="000B4257">
          <w:rPr>
            <w:noProof/>
            <w:webHidden/>
          </w:rPr>
          <w:instrText xml:space="preserve"> PAGEREF _Toc380930740 \h </w:instrText>
        </w:r>
        <w:r w:rsidR="000B4257">
          <w:rPr>
            <w:noProof/>
            <w:webHidden/>
          </w:rPr>
        </w:r>
        <w:r w:rsidR="000B4257">
          <w:rPr>
            <w:noProof/>
            <w:webHidden/>
          </w:rPr>
          <w:fldChar w:fldCharType="separate"/>
        </w:r>
        <w:r w:rsidR="000B4257">
          <w:rPr>
            <w:noProof/>
            <w:webHidden/>
          </w:rPr>
          <w:t>23</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41" w:history="1">
        <w:r w:rsidR="000B4257" w:rsidRPr="005C13A1">
          <w:rPr>
            <w:rStyle w:val="Hyperlink"/>
            <w:noProof/>
          </w:rPr>
          <w:t>A12.</w:t>
        </w:r>
        <w:r w:rsidR="000B4257">
          <w:rPr>
            <w:rFonts w:asciiTheme="minorHAnsi" w:eastAsiaTheme="minorEastAsia" w:hAnsiTheme="minorHAnsi" w:cstheme="minorBidi"/>
            <w:noProof/>
            <w:sz w:val="22"/>
            <w:szCs w:val="22"/>
          </w:rPr>
          <w:tab/>
        </w:r>
        <w:r w:rsidR="000B4257" w:rsidRPr="005C13A1">
          <w:rPr>
            <w:rStyle w:val="Hyperlink"/>
            <w:noProof/>
          </w:rPr>
          <w:t>Estimate of Hour Burden</w:t>
        </w:r>
        <w:r w:rsidR="000B4257">
          <w:rPr>
            <w:noProof/>
            <w:webHidden/>
          </w:rPr>
          <w:tab/>
        </w:r>
        <w:r w:rsidR="000B4257">
          <w:rPr>
            <w:noProof/>
            <w:webHidden/>
          </w:rPr>
          <w:fldChar w:fldCharType="begin"/>
        </w:r>
        <w:r w:rsidR="000B4257">
          <w:rPr>
            <w:noProof/>
            <w:webHidden/>
          </w:rPr>
          <w:instrText xml:space="preserve"> PAGEREF _Toc380930741 \h </w:instrText>
        </w:r>
        <w:r w:rsidR="000B4257">
          <w:rPr>
            <w:noProof/>
            <w:webHidden/>
          </w:rPr>
        </w:r>
        <w:r w:rsidR="000B4257">
          <w:rPr>
            <w:noProof/>
            <w:webHidden/>
          </w:rPr>
          <w:fldChar w:fldCharType="separate"/>
        </w:r>
        <w:r w:rsidR="000B4257">
          <w:rPr>
            <w:noProof/>
            <w:webHidden/>
          </w:rPr>
          <w:t>25</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42" w:history="1">
        <w:r w:rsidR="000B4257" w:rsidRPr="005C13A1">
          <w:rPr>
            <w:rStyle w:val="Hyperlink"/>
            <w:noProof/>
          </w:rPr>
          <w:t>A13.</w:t>
        </w:r>
        <w:r w:rsidR="000B4257">
          <w:rPr>
            <w:rFonts w:asciiTheme="minorHAnsi" w:eastAsiaTheme="minorEastAsia" w:hAnsiTheme="minorHAnsi" w:cstheme="minorBidi"/>
            <w:noProof/>
            <w:sz w:val="22"/>
            <w:szCs w:val="22"/>
          </w:rPr>
          <w:tab/>
        </w:r>
        <w:r w:rsidR="000B4257" w:rsidRPr="005C13A1">
          <w:rPr>
            <w:rStyle w:val="Hyperlink"/>
            <w:noProof/>
          </w:rPr>
          <w:t>Estimate of Agency and Respondent Cost Burden</w:t>
        </w:r>
        <w:r w:rsidR="000B4257">
          <w:rPr>
            <w:noProof/>
            <w:webHidden/>
          </w:rPr>
          <w:tab/>
        </w:r>
        <w:r w:rsidR="000B4257">
          <w:rPr>
            <w:noProof/>
            <w:webHidden/>
          </w:rPr>
          <w:fldChar w:fldCharType="begin"/>
        </w:r>
        <w:r w:rsidR="000B4257">
          <w:rPr>
            <w:noProof/>
            <w:webHidden/>
          </w:rPr>
          <w:instrText xml:space="preserve"> PAGEREF _Toc380930742 \h </w:instrText>
        </w:r>
        <w:r w:rsidR="000B4257">
          <w:rPr>
            <w:noProof/>
            <w:webHidden/>
          </w:rPr>
        </w:r>
        <w:r w:rsidR="000B4257">
          <w:rPr>
            <w:noProof/>
            <w:webHidden/>
          </w:rPr>
          <w:fldChar w:fldCharType="separate"/>
        </w:r>
        <w:r w:rsidR="000B4257">
          <w:rPr>
            <w:noProof/>
            <w:webHidden/>
          </w:rPr>
          <w:t>28</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43" w:history="1">
        <w:r w:rsidR="000B4257" w:rsidRPr="005C13A1">
          <w:rPr>
            <w:rStyle w:val="Hyperlink"/>
            <w:noProof/>
          </w:rPr>
          <w:t>A14.</w:t>
        </w:r>
        <w:r w:rsidR="000B4257">
          <w:rPr>
            <w:rFonts w:asciiTheme="minorHAnsi" w:eastAsiaTheme="minorEastAsia" w:hAnsiTheme="minorHAnsi" w:cstheme="minorBidi"/>
            <w:noProof/>
            <w:sz w:val="22"/>
            <w:szCs w:val="22"/>
          </w:rPr>
          <w:tab/>
        </w:r>
        <w:r w:rsidR="000B4257" w:rsidRPr="005C13A1">
          <w:rPr>
            <w:rStyle w:val="Hyperlink"/>
            <w:noProof/>
          </w:rPr>
          <w:t>Estimated Cost to Federal Government</w:t>
        </w:r>
        <w:r w:rsidR="000B4257">
          <w:rPr>
            <w:noProof/>
            <w:webHidden/>
          </w:rPr>
          <w:tab/>
        </w:r>
        <w:r w:rsidR="000B4257">
          <w:rPr>
            <w:noProof/>
            <w:webHidden/>
          </w:rPr>
          <w:fldChar w:fldCharType="begin"/>
        </w:r>
        <w:r w:rsidR="000B4257">
          <w:rPr>
            <w:noProof/>
            <w:webHidden/>
          </w:rPr>
          <w:instrText xml:space="preserve"> PAGEREF _Toc380930743 \h </w:instrText>
        </w:r>
        <w:r w:rsidR="000B4257">
          <w:rPr>
            <w:noProof/>
            <w:webHidden/>
          </w:rPr>
        </w:r>
        <w:r w:rsidR="000B4257">
          <w:rPr>
            <w:noProof/>
            <w:webHidden/>
          </w:rPr>
          <w:fldChar w:fldCharType="separate"/>
        </w:r>
        <w:r w:rsidR="000B4257">
          <w:rPr>
            <w:noProof/>
            <w:webHidden/>
          </w:rPr>
          <w:t>29</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44" w:history="1">
        <w:r w:rsidR="000B4257" w:rsidRPr="005C13A1">
          <w:rPr>
            <w:rStyle w:val="Hyperlink"/>
            <w:noProof/>
          </w:rPr>
          <w:t>A15.</w:t>
        </w:r>
        <w:r w:rsidR="000B4257">
          <w:rPr>
            <w:rFonts w:asciiTheme="minorHAnsi" w:eastAsiaTheme="minorEastAsia" w:hAnsiTheme="minorHAnsi" w:cstheme="minorBidi"/>
            <w:noProof/>
            <w:sz w:val="22"/>
            <w:szCs w:val="22"/>
          </w:rPr>
          <w:tab/>
        </w:r>
        <w:r w:rsidR="000B4257" w:rsidRPr="005C13A1">
          <w:rPr>
            <w:rStyle w:val="Hyperlink"/>
            <w:noProof/>
          </w:rPr>
          <w:t>Reasons for Change in Burden</w:t>
        </w:r>
        <w:r w:rsidR="000B4257">
          <w:rPr>
            <w:noProof/>
            <w:webHidden/>
          </w:rPr>
          <w:tab/>
        </w:r>
        <w:r w:rsidR="000B4257">
          <w:rPr>
            <w:noProof/>
            <w:webHidden/>
          </w:rPr>
          <w:fldChar w:fldCharType="begin"/>
        </w:r>
        <w:r w:rsidR="000B4257">
          <w:rPr>
            <w:noProof/>
            <w:webHidden/>
          </w:rPr>
          <w:instrText xml:space="preserve"> PAGEREF _Toc380930744 \h </w:instrText>
        </w:r>
        <w:r w:rsidR="000B4257">
          <w:rPr>
            <w:noProof/>
            <w:webHidden/>
          </w:rPr>
        </w:r>
        <w:r w:rsidR="000B4257">
          <w:rPr>
            <w:noProof/>
            <w:webHidden/>
          </w:rPr>
          <w:fldChar w:fldCharType="separate"/>
        </w:r>
        <w:r w:rsidR="000B4257">
          <w:rPr>
            <w:noProof/>
            <w:webHidden/>
          </w:rPr>
          <w:t>29</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45" w:history="1">
        <w:r w:rsidR="000B4257" w:rsidRPr="005C13A1">
          <w:rPr>
            <w:rStyle w:val="Hyperlink"/>
            <w:noProof/>
          </w:rPr>
          <w:t xml:space="preserve">A16. </w:t>
        </w:r>
        <w:r w:rsidR="000B4257">
          <w:rPr>
            <w:rFonts w:asciiTheme="minorHAnsi" w:eastAsiaTheme="minorEastAsia" w:hAnsiTheme="minorHAnsi" w:cstheme="minorBidi"/>
            <w:noProof/>
            <w:sz w:val="22"/>
            <w:szCs w:val="22"/>
          </w:rPr>
          <w:tab/>
        </w:r>
        <w:r w:rsidR="000B4257" w:rsidRPr="005C13A1">
          <w:rPr>
            <w:rStyle w:val="Hyperlink"/>
            <w:noProof/>
          </w:rPr>
          <w:t>Plans for Publication</w:t>
        </w:r>
        <w:r w:rsidR="000B4257">
          <w:rPr>
            <w:noProof/>
            <w:webHidden/>
          </w:rPr>
          <w:tab/>
        </w:r>
        <w:r w:rsidR="000B4257">
          <w:rPr>
            <w:noProof/>
            <w:webHidden/>
          </w:rPr>
          <w:fldChar w:fldCharType="begin"/>
        </w:r>
        <w:r w:rsidR="000B4257">
          <w:rPr>
            <w:noProof/>
            <w:webHidden/>
          </w:rPr>
          <w:instrText xml:space="preserve"> PAGEREF _Toc380930745 \h </w:instrText>
        </w:r>
        <w:r w:rsidR="000B4257">
          <w:rPr>
            <w:noProof/>
            <w:webHidden/>
          </w:rPr>
        </w:r>
        <w:r w:rsidR="000B4257">
          <w:rPr>
            <w:noProof/>
            <w:webHidden/>
          </w:rPr>
          <w:fldChar w:fldCharType="separate"/>
        </w:r>
        <w:r w:rsidR="000B4257">
          <w:rPr>
            <w:noProof/>
            <w:webHidden/>
          </w:rPr>
          <w:t>30</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46" w:history="1">
        <w:r w:rsidR="000B4257" w:rsidRPr="005C13A1">
          <w:rPr>
            <w:rStyle w:val="Hyperlink"/>
            <w:noProof/>
          </w:rPr>
          <w:t xml:space="preserve">A17. </w:t>
        </w:r>
        <w:r w:rsidR="000B4257">
          <w:rPr>
            <w:rFonts w:asciiTheme="minorHAnsi" w:eastAsiaTheme="minorEastAsia" w:hAnsiTheme="minorHAnsi" w:cstheme="minorBidi"/>
            <w:noProof/>
            <w:sz w:val="22"/>
            <w:szCs w:val="22"/>
          </w:rPr>
          <w:tab/>
        </w:r>
        <w:r w:rsidR="000B4257" w:rsidRPr="005C13A1">
          <w:rPr>
            <w:rStyle w:val="Hyperlink"/>
            <w:noProof/>
          </w:rPr>
          <w:t>Expiration Date Approval</w:t>
        </w:r>
        <w:r w:rsidR="000B4257">
          <w:rPr>
            <w:noProof/>
            <w:webHidden/>
          </w:rPr>
          <w:tab/>
        </w:r>
        <w:r w:rsidR="000B4257">
          <w:rPr>
            <w:noProof/>
            <w:webHidden/>
          </w:rPr>
          <w:fldChar w:fldCharType="begin"/>
        </w:r>
        <w:r w:rsidR="000B4257">
          <w:rPr>
            <w:noProof/>
            <w:webHidden/>
          </w:rPr>
          <w:instrText xml:space="preserve"> PAGEREF _Toc380930746 \h </w:instrText>
        </w:r>
        <w:r w:rsidR="000B4257">
          <w:rPr>
            <w:noProof/>
            <w:webHidden/>
          </w:rPr>
        </w:r>
        <w:r w:rsidR="000B4257">
          <w:rPr>
            <w:noProof/>
            <w:webHidden/>
          </w:rPr>
          <w:fldChar w:fldCharType="separate"/>
        </w:r>
        <w:r w:rsidR="000B4257">
          <w:rPr>
            <w:noProof/>
            <w:webHidden/>
          </w:rPr>
          <w:t>31</w:t>
        </w:r>
        <w:r w:rsidR="000B4257">
          <w:rPr>
            <w:noProof/>
            <w:webHidden/>
          </w:rPr>
          <w:fldChar w:fldCharType="end"/>
        </w:r>
      </w:hyperlink>
    </w:p>
    <w:p w:rsidR="000B4257" w:rsidRDefault="003C38A9">
      <w:pPr>
        <w:pStyle w:val="TOC1"/>
        <w:rPr>
          <w:rFonts w:asciiTheme="minorHAnsi" w:eastAsiaTheme="minorEastAsia" w:hAnsiTheme="minorHAnsi" w:cstheme="minorBidi"/>
          <w:noProof/>
          <w:sz w:val="22"/>
          <w:szCs w:val="22"/>
        </w:rPr>
      </w:pPr>
      <w:hyperlink w:anchor="_Toc380930747" w:history="1">
        <w:r w:rsidR="000B4257" w:rsidRPr="005C13A1">
          <w:rPr>
            <w:rStyle w:val="Hyperlink"/>
            <w:noProof/>
          </w:rPr>
          <w:t xml:space="preserve">A18. </w:t>
        </w:r>
        <w:r w:rsidR="000B4257">
          <w:rPr>
            <w:rFonts w:asciiTheme="minorHAnsi" w:eastAsiaTheme="minorEastAsia" w:hAnsiTheme="minorHAnsi" w:cstheme="minorBidi"/>
            <w:noProof/>
            <w:sz w:val="22"/>
            <w:szCs w:val="22"/>
          </w:rPr>
          <w:tab/>
        </w:r>
        <w:r w:rsidR="000B4257" w:rsidRPr="005C13A1">
          <w:rPr>
            <w:rStyle w:val="Hyperlink"/>
            <w:noProof/>
          </w:rPr>
          <w:t>Exceptions to the Certification Statement</w:t>
        </w:r>
        <w:r w:rsidR="000B4257">
          <w:rPr>
            <w:noProof/>
            <w:webHidden/>
          </w:rPr>
          <w:tab/>
        </w:r>
        <w:r w:rsidR="000B4257">
          <w:rPr>
            <w:noProof/>
            <w:webHidden/>
          </w:rPr>
          <w:fldChar w:fldCharType="begin"/>
        </w:r>
        <w:r w:rsidR="000B4257">
          <w:rPr>
            <w:noProof/>
            <w:webHidden/>
          </w:rPr>
          <w:instrText xml:space="preserve"> PAGEREF _Toc380930747 \h </w:instrText>
        </w:r>
        <w:r w:rsidR="000B4257">
          <w:rPr>
            <w:noProof/>
            <w:webHidden/>
          </w:rPr>
        </w:r>
        <w:r w:rsidR="000B4257">
          <w:rPr>
            <w:noProof/>
            <w:webHidden/>
          </w:rPr>
          <w:fldChar w:fldCharType="separate"/>
        </w:r>
        <w:r w:rsidR="000B4257">
          <w:rPr>
            <w:noProof/>
            <w:webHidden/>
          </w:rPr>
          <w:t>31</w:t>
        </w:r>
        <w:r w:rsidR="000B4257">
          <w:rPr>
            <w:noProof/>
            <w:webHidden/>
          </w:rPr>
          <w:fldChar w:fldCharType="end"/>
        </w:r>
      </w:hyperlink>
    </w:p>
    <w:p w:rsidR="000B4257" w:rsidRDefault="000B4257">
      <w:pPr>
        <w:spacing w:line="240" w:lineRule="auto"/>
        <w:rPr>
          <w:rFonts w:ascii="Franklin Gothic Medium" w:hAnsi="Franklin Gothic Medium"/>
          <w:b/>
          <w:color w:val="324162"/>
          <w:sz w:val="32"/>
        </w:rPr>
      </w:pPr>
      <w:r>
        <w:fldChar w:fldCharType="end"/>
      </w:r>
      <w:r>
        <w:br w:type="page"/>
      </w:r>
    </w:p>
    <w:p w:rsidR="000A4A99" w:rsidRPr="00933923" w:rsidRDefault="00674E6B" w:rsidP="00903303">
      <w:pPr>
        <w:pStyle w:val="TC-TableofContentsHeading"/>
        <w:spacing w:after="480"/>
      </w:pPr>
      <w:r w:rsidRPr="00933923">
        <w:lastRenderedPageBreak/>
        <w:t>Table of Contents</w:t>
      </w:r>
      <w:r>
        <w:t xml:space="preserve"> (Continued)</w:t>
      </w:r>
      <w:bookmarkEnd w:id="3"/>
    </w:p>
    <w:p w:rsidR="009914AE" w:rsidRPr="00933923" w:rsidRDefault="009914AE" w:rsidP="000B4257">
      <w:pPr>
        <w:pStyle w:val="T0-ChapPgHd"/>
        <w:tabs>
          <w:tab w:val="clear" w:pos="8640"/>
          <w:tab w:val="left" w:pos="8730"/>
        </w:tabs>
      </w:pPr>
      <w:r>
        <w:t>Table</w:t>
      </w:r>
      <w:r w:rsidR="00674E6B">
        <w:t>s</w:t>
      </w:r>
      <w:r w:rsidRPr="00933923">
        <w:tab/>
        <w:t>Page</w:t>
      </w:r>
    </w:p>
    <w:p w:rsidR="003156B7" w:rsidRDefault="003156B7">
      <w:pPr>
        <w:spacing w:line="240" w:lineRule="auto"/>
      </w:pPr>
      <w:bookmarkStart w:id="4" w:name="_Toc367706523"/>
    </w:p>
    <w:p w:rsidR="000B4257" w:rsidRDefault="000B4257">
      <w:pPr>
        <w:pStyle w:val="TableofFigures"/>
        <w:tabs>
          <w:tab w:val="left" w:pos="1440"/>
          <w:tab w:val="right" w:leader="dot" w:pos="9350"/>
        </w:tabs>
        <w:rPr>
          <w:noProof/>
        </w:rPr>
      </w:pPr>
      <w:r>
        <w:fldChar w:fldCharType="begin"/>
      </w:r>
      <w:r>
        <w:instrText xml:space="preserve"> TOC \f A \h \z \t "Heading 4,H4 Sec.Heading" \c </w:instrText>
      </w:r>
      <w:r>
        <w:fldChar w:fldCharType="separate"/>
      </w:r>
      <w:hyperlink w:anchor="_Toc380930774" w:history="1">
        <w:r w:rsidRPr="00FE67D1">
          <w:rPr>
            <w:rStyle w:val="Hyperlink"/>
            <w:noProof/>
          </w:rPr>
          <w:t>Table 1.</w:t>
        </w:r>
        <w:r>
          <w:rPr>
            <w:noProof/>
          </w:rPr>
          <w:tab/>
        </w:r>
        <w:r w:rsidRPr="00FE67D1">
          <w:rPr>
            <w:rStyle w:val="Hyperlink"/>
            <w:noProof/>
          </w:rPr>
          <w:t>Incentive Structure for Feasibility and Pilot Studies</w:t>
        </w:r>
        <w:r>
          <w:rPr>
            <w:noProof/>
            <w:webHidden/>
          </w:rPr>
          <w:tab/>
        </w:r>
        <w:r>
          <w:rPr>
            <w:noProof/>
            <w:webHidden/>
          </w:rPr>
          <w:fldChar w:fldCharType="begin"/>
        </w:r>
        <w:r>
          <w:rPr>
            <w:noProof/>
            <w:webHidden/>
          </w:rPr>
          <w:instrText xml:space="preserve"> PAGEREF _Toc380930774 \h </w:instrText>
        </w:r>
        <w:r>
          <w:rPr>
            <w:noProof/>
            <w:webHidden/>
          </w:rPr>
        </w:r>
        <w:r>
          <w:rPr>
            <w:noProof/>
            <w:webHidden/>
          </w:rPr>
          <w:fldChar w:fldCharType="separate"/>
        </w:r>
        <w:r>
          <w:rPr>
            <w:noProof/>
            <w:webHidden/>
          </w:rPr>
          <w:t>17</w:t>
        </w:r>
        <w:r>
          <w:rPr>
            <w:noProof/>
            <w:webHidden/>
          </w:rPr>
          <w:fldChar w:fldCharType="end"/>
        </w:r>
      </w:hyperlink>
    </w:p>
    <w:p w:rsidR="000B4257" w:rsidRDefault="003C38A9">
      <w:pPr>
        <w:pStyle w:val="TableofFigures"/>
        <w:tabs>
          <w:tab w:val="left" w:pos="1440"/>
          <w:tab w:val="right" w:leader="dot" w:pos="9350"/>
        </w:tabs>
        <w:rPr>
          <w:noProof/>
        </w:rPr>
      </w:pPr>
      <w:hyperlink w:anchor="_Toc380930775" w:history="1">
        <w:r w:rsidR="000B4257" w:rsidRPr="00FE67D1">
          <w:rPr>
            <w:rStyle w:val="Hyperlink"/>
            <w:noProof/>
          </w:rPr>
          <w:t xml:space="preserve">Table 2.  </w:t>
        </w:r>
        <w:r w:rsidR="000B4257">
          <w:rPr>
            <w:noProof/>
          </w:rPr>
          <w:tab/>
        </w:r>
        <w:r w:rsidR="000B4257" w:rsidRPr="00FE67D1">
          <w:rPr>
            <w:rStyle w:val="Hyperlink"/>
            <w:noProof/>
          </w:rPr>
          <w:t>Incentive and Burden on Selected Federally Sponsored Surveys</w:t>
        </w:r>
        <w:r w:rsidR="000B4257">
          <w:rPr>
            <w:noProof/>
            <w:webHidden/>
          </w:rPr>
          <w:tab/>
        </w:r>
        <w:r w:rsidR="000B4257">
          <w:rPr>
            <w:noProof/>
            <w:webHidden/>
          </w:rPr>
          <w:fldChar w:fldCharType="begin"/>
        </w:r>
        <w:r w:rsidR="000B4257">
          <w:rPr>
            <w:noProof/>
            <w:webHidden/>
          </w:rPr>
          <w:instrText xml:space="preserve"> PAGEREF _Toc380930775 \h </w:instrText>
        </w:r>
        <w:r w:rsidR="000B4257">
          <w:rPr>
            <w:noProof/>
            <w:webHidden/>
          </w:rPr>
        </w:r>
        <w:r w:rsidR="000B4257">
          <w:rPr>
            <w:noProof/>
            <w:webHidden/>
          </w:rPr>
          <w:fldChar w:fldCharType="separate"/>
        </w:r>
        <w:r w:rsidR="000B4257">
          <w:rPr>
            <w:noProof/>
            <w:webHidden/>
          </w:rPr>
          <w:t>19</w:t>
        </w:r>
        <w:r w:rsidR="000B4257">
          <w:rPr>
            <w:noProof/>
            <w:webHidden/>
          </w:rPr>
          <w:fldChar w:fldCharType="end"/>
        </w:r>
      </w:hyperlink>
    </w:p>
    <w:p w:rsidR="000B4257" w:rsidRDefault="003C38A9">
      <w:pPr>
        <w:pStyle w:val="TableofFigures"/>
        <w:tabs>
          <w:tab w:val="left" w:pos="1440"/>
          <w:tab w:val="right" w:leader="dot" w:pos="9350"/>
        </w:tabs>
        <w:rPr>
          <w:noProof/>
        </w:rPr>
      </w:pPr>
      <w:hyperlink w:anchor="_Toc380930776" w:history="1">
        <w:r w:rsidR="000B4257" w:rsidRPr="00FE67D1">
          <w:rPr>
            <w:rStyle w:val="Hyperlink"/>
            <w:noProof/>
          </w:rPr>
          <w:t>Table 3.</w:t>
        </w:r>
        <w:r w:rsidR="000B4257">
          <w:rPr>
            <w:noProof/>
          </w:rPr>
          <w:tab/>
        </w:r>
        <w:r w:rsidR="000B4257" w:rsidRPr="00FE67D1">
          <w:rPr>
            <w:rStyle w:val="Hyperlink"/>
            <w:noProof/>
          </w:rPr>
          <w:t>Annual Agency Burden for the NSHS Interviews</w:t>
        </w:r>
        <w:r w:rsidR="000B4257">
          <w:rPr>
            <w:noProof/>
            <w:webHidden/>
          </w:rPr>
          <w:tab/>
        </w:r>
        <w:r w:rsidR="000B4257">
          <w:rPr>
            <w:noProof/>
            <w:webHidden/>
          </w:rPr>
          <w:fldChar w:fldCharType="begin"/>
        </w:r>
        <w:r w:rsidR="000B4257">
          <w:rPr>
            <w:noProof/>
            <w:webHidden/>
          </w:rPr>
          <w:instrText xml:space="preserve"> PAGEREF _Toc380930776 \h </w:instrText>
        </w:r>
        <w:r w:rsidR="000B4257">
          <w:rPr>
            <w:noProof/>
            <w:webHidden/>
          </w:rPr>
        </w:r>
        <w:r w:rsidR="000B4257">
          <w:rPr>
            <w:noProof/>
            <w:webHidden/>
          </w:rPr>
          <w:fldChar w:fldCharType="separate"/>
        </w:r>
        <w:r w:rsidR="000B4257">
          <w:rPr>
            <w:noProof/>
            <w:webHidden/>
          </w:rPr>
          <w:t>26</w:t>
        </w:r>
        <w:r w:rsidR="000B4257">
          <w:rPr>
            <w:noProof/>
            <w:webHidden/>
          </w:rPr>
          <w:fldChar w:fldCharType="end"/>
        </w:r>
      </w:hyperlink>
    </w:p>
    <w:p w:rsidR="000B4257" w:rsidRDefault="003C38A9">
      <w:pPr>
        <w:pStyle w:val="TableofFigures"/>
        <w:tabs>
          <w:tab w:val="left" w:pos="1440"/>
          <w:tab w:val="right" w:leader="dot" w:pos="9350"/>
        </w:tabs>
        <w:rPr>
          <w:noProof/>
        </w:rPr>
      </w:pPr>
      <w:hyperlink w:anchor="_Toc380930777" w:history="1">
        <w:r w:rsidR="000B4257" w:rsidRPr="00FE67D1">
          <w:rPr>
            <w:rStyle w:val="Hyperlink"/>
            <w:noProof/>
          </w:rPr>
          <w:t>Table 4.</w:t>
        </w:r>
        <w:r w:rsidR="000B4257">
          <w:rPr>
            <w:noProof/>
          </w:rPr>
          <w:tab/>
        </w:r>
        <w:r w:rsidR="000B4257" w:rsidRPr="00FE67D1">
          <w:rPr>
            <w:rStyle w:val="Hyperlink"/>
            <w:noProof/>
          </w:rPr>
          <w:t>Respondent activities, times, and respondents for the NSHS Interviews</w:t>
        </w:r>
        <w:r w:rsidR="000B4257">
          <w:rPr>
            <w:noProof/>
            <w:webHidden/>
          </w:rPr>
          <w:tab/>
        </w:r>
        <w:r w:rsidR="000B4257">
          <w:rPr>
            <w:noProof/>
            <w:webHidden/>
          </w:rPr>
          <w:fldChar w:fldCharType="begin"/>
        </w:r>
        <w:r w:rsidR="000B4257">
          <w:rPr>
            <w:noProof/>
            <w:webHidden/>
          </w:rPr>
          <w:instrText xml:space="preserve"> PAGEREF _Toc380930777 \h </w:instrText>
        </w:r>
        <w:r w:rsidR="000B4257">
          <w:rPr>
            <w:noProof/>
            <w:webHidden/>
          </w:rPr>
        </w:r>
        <w:r w:rsidR="000B4257">
          <w:rPr>
            <w:noProof/>
            <w:webHidden/>
          </w:rPr>
          <w:fldChar w:fldCharType="separate"/>
        </w:r>
        <w:r w:rsidR="000B4257">
          <w:rPr>
            <w:noProof/>
            <w:webHidden/>
          </w:rPr>
          <w:t>27</w:t>
        </w:r>
        <w:r w:rsidR="000B4257">
          <w:rPr>
            <w:noProof/>
            <w:webHidden/>
          </w:rPr>
          <w:fldChar w:fldCharType="end"/>
        </w:r>
      </w:hyperlink>
    </w:p>
    <w:p w:rsidR="000B4257" w:rsidRDefault="003C38A9">
      <w:pPr>
        <w:pStyle w:val="TableofFigures"/>
        <w:tabs>
          <w:tab w:val="left" w:pos="1440"/>
          <w:tab w:val="right" w:leader="dot" w:pos="9350"/>
        </w:tabs>
        <w:rPr>
          <w:noProof/>
        </w:rPr>
      </w:pPr>
      <w:hyperlink w:anchor="_Toc380930778" w:history="1">
        <w:r w:rsidR="000B4257" w:rsidRPr="00FE67D1">
          <w:rPr>
            <w:rStyle w:val="Hyperlink"/>
            <w:noProof/>
          </w:rPr>
          <w:t>Table 5.</w:t>
        </w:r>
        <w:r w:rsidR="000B4257">
          <w:rPr>
            <w:noProof/>
          </w:rPr>
          <w:tab/>
        </w:r>
        <w:r w:rsidR="000B4257" w:rsidRPr="00FE67D1">
          <w:rPr>
            <w:rStyle w:val="Hyperlink"/>
            <w:noProof/>
          </w:rPr>
          <w:t>Annual Respondent Burden for the NSHS Interviews</w:t>
        </w:r>
        <w:r w:rsidR="000B4257">
          <w:rPr>
            <w:noProof/>
            <w:webHidden/>
          </w:rPr>
          <w:tab/>
        </w:r>
        <w:r w:rsidR="000B4257">
          <w:rPr>
            <w:noProof/>
            <w:webHidden/>
          </w:rPr>
          <w:fldChar w:fldCharType="begin"/>
        </w:r>
        <w:r w:rsidR="000B4257">
          <w:rPr>
            <w:noProof/>
            <w:webHidden/>
          </w:rPr>
          <w:instrText xml:space="preserve"> PAGEREF _Toc380930778 \h </w:instrText>
        </w:r>
        <w:r w:rsidR="000B4257">
          <w:rPr>
            <w:noProof/>
            <w:webHidden/>
          </w:rPr>
        </w:r>
        <w:r w:rsidR="000B4257">
          <w:rPr>
            <w:noProof/>
            <w:webHidden/>
          </w:rPr>
          <w:fldChar w:fldCharType="separate"/>
        </w:r>
        <w:r w:rsidR="000B4257">
          <w:rPr>
            <w:noProof/>
            <w:webHidden/>
          </w:rPr>
          <w:t>28</w:t>
        </w:r>
        <w:r w:rsidR="000B4257">
          <w:rPr>
            <w:noProof/>
            <w:webHidden/>
          </w:rPr>
          <w:fldChar w:fldCharType="end"/>
        </w:r>
      </w:hyperlink>
    </w:p>
    <w:p w:rsidR="003156B7" w:rsidRDefault="000B4257">
      <w:pPr>
        <w:spacing w:line="240" w:lineRule="auto"/>
      </w:pPr>
      <w:r>
        <w:fldChar w:fldCharType="end"/>
      </w:r>
    </w:p>
    <w:p w:rsidR="003156B7" w:rsidRDefault="003156B7">
      <w:pPr>
        <w:spacing w:line="240" w:lineRule="auto"/>
      </w:pPr>
    </w:p>
    <w:p w:rsidR="003156B7" w:rsidRDefault="003156B7">
      <w:pPr>
        <w:spacing w:line="240" w:lineRule="auto"/>
      </w:pPr>
    </w:p>
    <w:p w:rsidR="003156B7" w:rsidRDefault="003156B7">
      <w:pPr>
        <w:spacing w:line="240" w:lineRule="auto"/>
        <w:rPr>
          <w:rFonts w:ascii="Franklin Gothic Medium" w:hAnsi="Franklin Gothic Medium"/>
          <w:b/>
        </w:rPr>
      </w:pPr>
      <w:r>
        <w:br w:type="page"/>
      </w:r>
    </w:p>
    <w:p w:rsidR="000A4A99" w:rsidRPr="00933923" w:rsidRDefault="00E7528E" w:rsidP="003F40FD">
      <w:pPr>
        <w:pStyle w:val="Heading3"/>
        <w:jc w:val="center"/>
      </w:pPr>
      <w:bookmarkStart w:id="5" w:name="_Toc380930568"/>
      <w:bookmarkStart w:id="6" w:name="_Toc380930728"/>
      <w:r w:rsidRPr="00933923">
        <w:lastRenderedPageBreak/>
        <w:t>Supporting Statement</w:t>
      </w:r>
      <w:bookmarkEnd w:id="4"/>
      <w:bookmarkEnd w:id="5"/>
      <w:bookmarkEnd w:id="6"/>
    </w:p>
    <w:p w:rsidR="000A4A99" w:rsidRPr="003F40FD" w:rsidRDefault="000A4A99" w:rsidP="003F40FD">
      <w:pPr>
        <w:pStyle w:val="Heading3"/>
      </w:pPr>
      <w:bookmarkStart w:id="7" w:name="_Toc380930569"/>
      <w:bookmarkStart w:id="8" w:name="_Toc380930729"/>
      <w:r w:rsidRPr="003F40FD">
        <w:t>A.</w:t>
      </w:r>
      <w:r w:rsidRPr="003F40FD">
        <w:tab/>
        <w:t>Justification</w:t>
      </w:r>
      <w:bookmarkEnd w:id="7"/>
      <w:bookmarkEnd w:id="8"/>
    </w:p>
    <w:p w:rsidR="000A4A99" w:rsidRPr="003F40FD" w:rsidRDefault="00113BD0" w:rsidP="003F40FD">
      <w:pPr>
        <w:pStyle w:val="Heading3"/>
      </w:pPr>
      <w:bookmarkStart w:id="9" w:name="_Toc361144781"/>
      <w:bookmarkStart w:id="10" w:name="_Toc380930570"/>
      <w:bookmarkStart w:id="11" w:name="_Toc380930730"/>
      <w:r w:rsidRPr="003F40FD">
        <w:t>A</w:t>
      </w:r>
      <w:r w:rsidR="000A4A99" w:rsidRPr="003F40FD">
        <w:t>1.</w:t>
      </w:r>
      <w:r w:rsidR="000A4A99" w:rsidRPr="003F40FD">
        <w:tab/>
        <w:t>Necessity of Information</w:t>
      </w:r>
      <w:bookmarkEnd w:id="9"/>
      <w:bookmarkEnd w:id="10"/>
      <w:bookmarkEnd w:id="11"/>
    </w:p>
    <w:p w:rsidR="00D43CAF" w:rsidRDefault="002947A8" w:rsidP="002947A8">
      <w:pPr>
        <w:pStyle w:val="L1-FlLSp12"/>
      </w:pPr>
      <w:r w:rsidRPr="00933923">
        <w:t>The Bureau of Justice Statistics (BJS), of the U.S. Department of Justice, requests clearance for activities related to the National Crime Victimization Survey Redesign Research (NCVS-RR) program. BJS, in consultation with Westat under a cooperative agreement (Award 2011-NV-CX-K074 Methodological Research to Support the National Crime Victimization Survey: Self-Report Data on Rape and Sexual Assault - Pilot Test), has planned methodological research to develop and test two different survey designs for collecting self-report data on rape and sexual assault.</w:t>
      </w:r>
      <w:r w:rsidR="00D43CAF">
        <w:t xml:space="preserve">  This activity falls under authorities </w:t>
      </w:r>
      <w:r w:rsidR="00DF1C5C">
        <w:t>of</w:t>
      </w:r>
      <w:r w:rsidR="00D43CAF" w:rsidRPr="00933923">
        <w:t xml:space="preserve"> the Om</w:t>
      </w:r>
      <w:r w:rsidR="00D43CAF">
        <w:t>nibus Crime Control Act of 1968 in which</w:t>
      </w:r>
      <w:r w:rsidR="00D43CAF" w:rsidRPr="00933923">
        <w:t xml:space="preserve"> BJS is charged to “conduct or support research relating to methods of gathering or analyzing justice statistics;” (Section 302(c</w:t>
      </w:r>
      <w:proofErr w:type="gramStart"/>
      <w:r w:rsidR="00D43CAF" w:rsidRPr="00933923">
        <w:t>)(</w:t>
      </w:r>
      <w:proofErr w:type="gramEnd"/>
      <w:r w:rsidR="00D43CAF" w:rsidRPr="00933923">
        <w:t>12)).</w:t>
      </w:r>
      <w:r w:rsidR="00D43CAF">
        <w:t xml:space="preserve">  </w:t>
      </w:r>
      <w:r w:rsidR="00D43CAF" w:rsidRPr="00933923">
        <w:t xml:space="preserve">In December 2012, a clearance request for cognitive interviewing to test instruments was approved under the NCVS-RR OMB generic clearance agreement (OMB Number 1121-0325). In accordance with the aforementioned request, BJS seeks a separate clearance to conduct feasibility and pilot testing. </w:t>
      </w:r>
    </w:p>
    <w:p w:rsidR="00D43CAF" w:rsidRDefault="00D43CAF" w:rsidP="002947A8">
      <w:pPr>
        <w:pStyle w:val="L1-FlLSp12"/>
      </w:pPr>
    </w:p>
    <w:p w:rsidR="00D43CAF" w:rsidRDefault="00D43CAF" w:rsidP="00D43CAF">
      <w:pPr>
        <w:pStyle w:val="L1-FlLSp12"/>
      </w:pPr>
      <w:r w:rsidRPr="00933923">
        <w:t>Over the past two decades, there have been a number of competing national estimates of the level of rape and sexual assault</w:t>
      </w:r>
      <w:r>
        <w:t xml:space="preserve"> in the U.S</w:t>
      </w:r>
      <w:r w:rsidRPr="00933923">
        <w:t>. The official estimates of these crimes released by BJS and based on the NCVS have typically been lower than estimates obtained from surveys contracted for by other federal agencies and by private groups (Black et al., 2011; Koss &amp; Gidycz, 1985; Tjaden &amp; Thoennes, 2000; Kilpatrick, 2007; Fisher, 2004).</w:t>
      </w:r>
      <w:r w:rsidR="00DF1C5C">
        <w:t xml:space="preserve">  For example, estimates</w:t>
      </w:r>
      <w:r w:rsidR="00B1408D">
        <w:t xml:space="preserve"> of rape</w:t>
      </w:r>
      <w:r w:rsidR="00DF1C5C">
        <w:t xml:space="preserve"> </w:t>
      </w:r>
      <w:r w:rsidR="00B1408D">
        <w:t xml:space="preserve">from the National Violence </w:t>
      </w:r>
      <w:proofErr w:type="gramStart"/>
      <w:r w:rsidR="00B1408D">
        <w:t>Against</w:t>
      </w:r>
      <w:proofErr w:type="gramEnd"/>
      <w:r w:rsidR="00B1408D">
        <w:t xml:space="preserve"> Women study are approximately 4 times higher than comparable NCVS estimates (Tjaden &amp; Thoennes, 2000).  Estimates of rape from the National Survey of Intimate Partner Violence (Black, et al, 2011) </w:t>
      </w:r>
      <w:r w:rsidR="00CA1EF6">
        <w:t>are</w:t>
      </w:r>
      <w:r w:rsidR="00B1408D">
        <w:t xml:space="preserve"> approximately 10 times higher than the NCVS (Truman, 2011).</w:t>
      </w:r>
      <w:r w:rsidR="00B1408D" w:rsidRPr="00D465DA">
        <w:rPr>
          <w:rStyle w:val="FootnoteReference"/>
          <w:vertAlign w:val="superscript"/>
        </w:rPr>
        <w:footnoteReference w:id="2"/>
      </w:r>
      <w:r w:rsidRPr="00933923">
        <w:t xml:space="preserve"> </w:t>
      </w:r>
      <w:r>
        <w:t xml:space="preserve"> </w:t>
      </w:r>
      <w:r w:rsidRPr="00933923">
        <w:t>The differences</w:t>
      </w:r>
      <w:r>
        <w:t xml:space="preserve"> that arise from these studies </w:t>
      </w:r>
      <w:r w:rsidRPr="00933923">
        <w:t>ha</w:t>
      </w:r>
      <w:r w:rsidR="00CE510D">
        <w:t>ve</w:t>
      </w:r>
      <w:r w:rsidRPr="00933923">
        <w:t xml:space="preserve"> resulted in debate over the </w:t>
      </w:r>
      <w:r>
        <w:t>best</w:t>
      </w:r>
      <w:r w:rsidRPr="00933923">
        <w:t xml:space="preserve"> method for collecting self-report data on rape and sexual assault (Fisher and Cullen 2000).</w:t>
      </w:r>
      <w:r>
        <w:t xml:space="preserve">  This has led to some confusion on the level of rape and sexual assault in the nation (e.g., Gilbert, 1997; Lynch, 1996; Rand and Rennison, 2005; Bialik, 2013).  </w:t>
      </w:r>
      <w:r w:rsidRPr="00933923">
        <w:t xml:space="preserve">There </w:t>
      </w:r>
      <w:r>
        <w:t>is no consensus in the field on</w:t>
      </w:r>
      <w:r w:rsidRPr="00933923">
        <w:t xml:space="preserve"> the optimum set of </w:t>
      </w:r>
      <w:r w:rsidRPr="00933923">
        <w:lastRenderedPageBreak/>
        <w:t>procedures for self-reports of rape and sexual assault and to date</w:t>
      </w:r>
      <w:r w:rsidR="00125718">
        <w:t>,</w:t>
      </w:r>
      <w:r w:rsidRPr="00933923">
        <w:t xml:space="preserve"> no survey has employed all</w:t>
      </w:r>
      <w:r>
        <w:t xml:space="preserve"> of</w:t>
      </w:r>
      <w:r w:rsidRPr="00933923">
        <w:t xml:space="preserve"> the apparently beneficial design features available.</w:t>
      </w:r>
    </w:p>
    <w:p w:rsidR="00D43CAF" w:rsidRDefault="00D43CAF" w:rsidP="00D43CAF">
      <w:pPr>
        <w:pStyle w:val="L1-FlLSp12"/>
      </w:pPr>
    </w:p>
    <w:p w:rsidR="00C46AE7" w:rsidRPr="00933923" w:rsidRDefault="00C46AE7" w:rsidP="00C46AE7">
      <w:pPr>
        <w:pStyle w:val="L1-FlLSp12"/>
      </w:pPr>
      <w:r w:rsidRPr="00933923">
        <w:t>Some of the differences in these estimates result from more or less inclusive definitions of rape and sexual assault. The NCVS, for example, emphasizes felony forcible rape, while other surveys employ a much more inclusive definition. Even when surveys use comparable definitions, however, the methodology used to elicit reports of these events can differ dramatically and produce very different estimates of the inciden</w:t>
      </w:r>
      <w:r w:rsidR="00610A37">
        <w:t>ce</w:t>
      </w:r>
      <w:r w:rsidRPr="00933923">
        <w:t xml:space="preserve"> of these crimes. A number of discussions have taken place regarding the desirability of various survey design features, including sample design, screening strategy, reference period, bounding, cueing strategy,</w:t>
      </w:r>
      <w:r w:rsidR="00610A37">
        <w:t xml:space="preserve"> </w:t>
      </w:r>
      <w:r w:rsidRPr="00933923">
        <w:t xml:space="preserve"> context, and respondent selection. In addition, differing interviewing modes have been discussed, including telephone interviews, in-per</w:t>
      </w:r>
      <w:r w:rsidR="00610A37">
        <w:t>son interviews, and more</w:t>
      </w:r>
      <w:r w:rsidR="00125718">
        <w:t xml:space="preserve"> recently,</w:t>
      </w:r>
      <w:r w:rsidRPr="00933923">
        <w:t xml:space="preserve"> Audio Computer Assisted Self-Interview</w:t>
      </w:r>
      <w:r w:rsidR="00125718">
        <w:t>ing</w:t>
      </w:r>
      <w:r w:rsidRPr="00933923">
        <w:t xml:space="preserve"> (ACASI). </w:t>
      </w:r>
    </w:p>
    <w:p w:rsidR="00C46AE7" w:rsidRPr="00933923" w:rsidRDefault="00C46AE7" w:rsidP="00C46AE7">
      <w:pPr>
        <w:pStyle w:val="L1-FlLSp12"/>
      </w:pPr>
    </w:p>
    <w:p w:rsidR="00C46AE7" w:rsidRPr="00933923" w:rsidRDefault="00C46AE7" w:rsidP="00C46AE7">
      <w:pPr>
        <w:pStyle w:val="L1-FlLSp12"/>
      </w:pPr>
      <w:r w:rsidRPr="00933923">
        <w:t>For example, the NCVS begins with an in-person visit during which the respondent is administered a two-stage instrument consisting of a crime screener and detailed incident form. Details of the event collected in the incident form are used for crime classification. The reference period for the NCVS is six</w:t>
      </w:r>
      <w:r w:rsidR="00125718">
        <w:t xml:space="preserve"> </w:t>
      </w:r>
      <w:r w:rsidRPr="00933923">
        <w:t>months, and interviews have historically been bounded by a prior interview or adjusted to account for the telescoping of events into the reference period. As a</w:t>
      </w:r>
      <w:r w:rsidR="00610A37">
        <w:t>n indicator of crime, one emphasis has been to count the number of incidents that occur.  In addition, this emphasis leads to a</w:t>
      </w:r>
      <w:r w:rsidRPr="00933923">
        <w:t xml:space="preserve"> criminal justice oriented survey</w:t>
      </w:r>
      <w:r w:rsidR="00610A37">
        <w:t xml:space="preserve"> which asks about </w:t>
      </w:r>
      <w:r w:rsidRPr="00933923">
        <w:t>“criminal victimization”</w:t>
      </w:r>
      <w:r w:rsidR="00610A37">
        <w:t>.  T</w:t>
      </w:r>
      <w:r w:rsidRPr="00933923">
        <w:t>he screening instrument covers a wide range of victimization including serious violen</w:t>
      </w:r>
      <w:r w:rsidR="00610A37">
        <w:t>ce</w:t>
      </w:r>
      <w:r w:rsidRPr="00933923">
        <w:t xml:space="preserve"> (rape, sexual assault, robbery, aggravated assault, simple assault) and property crimes (household burglary, motor vehicle theft, property theft). The coverage and response rate of the survey is relatively high compared to other surveys.</w:t>
      </w:r>
    </w:p>
    <w:p w:rsidR="00C46AE7" w:rsidRPr="00933923" w:rsidRDefault="00C46AE7" w:rsidP="00C46AE7">
      <w:pPr>
        <w:pStyle w:val="L1-FlLSp12"/>
      </w:pPr>
    </w:p>
    <w:p w:rsidR="00C46AE7" w:rsidRPr="00933923" w:rsidRDefault="00125718" w:rsidP="00C46AE7">
      <w:pPr>
        <w:pStyle w:val="L1-FlLSp12"/>
      </w:pPr>
      <w:r>
        <w:t>An</w:t>
      </w:r>
      <w:r w:rsidR="00C46AE7" w:rsidRPr="00933923">
        <w:t xml:space="preserve"> alternative </w:t>
      </w:r>
      <w:r>
        <w:t>to the criminal jus</w:t>
      </w:r>
      <w:r w:rsidR="001B2686">
        <w:t>tice approach in the NCVS</w:t>
      </w:r>
      <w:r>
        <w:t xml:space="preserve"> </w:t>
      </w:r>
      <w:r w:rsidR="00C46AE7" w:rsidRPr="00933923">
        <w:t xml:space="preserve">is </w:t>
      </w:r>
      <w:r>
        <w:t>the</w:t>
      </w:r>
      <w:r w:rsidR="00C46AE7" w:rsidRPr="00933923">
        <w:t xml:space="preserve"> </w:t>
      </w:r>
      <w:r w:rsidR="00A77234">
        <w:t>“</w:t>
      </w:r>
      <w:r w:rsidR="00C46AE7" w:rsidRPr="00933923">
        <w:t>public health</w:t>
      </w:r>
      <w:r w:rsidR="00CE510D">
        <w:t>”</w:t>
      </w:r>
      <w:r w:rsidR="00C46AE7" w:rsidRPr="00933923">
        <w:t xml:space="preserve"> approach </w:t>
      </w:r>
      <w:r>
        <w:t xml:space="preserve">that </w:t>
      </w:r>
      <w:r w:rsidR="00C46AE7" w:rsidRPr="00933923">
        <w:t>focuses on a broader range of interpersonal violence for extended reference periods, generally lifetime and within the last 12 months. These surveys utilize behaviorally specific questions and cue respondents with explicit reference to actions</w:t>
      </w:r>
      <w:r w:rsidR="00DE7B25">
        <w:t xml:space="preserve"> that </w:t>
      </w:r>
      <w:r w:rsidR="005F146A">
        <w:t>make up the definition of a rape and/or sexual assault</w:t>
      </w:r>
      <w:r>
        <w:t>.  These concepts</w:t>
      </w:r>
      <w:r w:rsidR="00C46AE7" w:rsidRPr="00933923">
        <w:t xml:space="preserve"> are generally introduced to respondents as a survey covering health, injuries, or safety. The surveys classify events according to the initial questions that reference the behaviors, with no follow-up to</w:t>
      </w:r>
      <w:r w:rsidR="00610A37">
        <w:t xml:space="preserve"> count the number of occurrences or to</w:t>
      </w:r>
      <w:r w:rsidR="00C46AE7" w:rsidRPr="00933923">
        <w:t xml:space="preserve"> assess the nature of the event. Most of the studies completed to date have used random digit dial (RDD) sample designs within a centrally </w:t>
      </w:r>
      <w:r w:rsidR="00C46AE7" w:rsidRPr="00933923">
        <w:lastRenderedPageBreak/>
        <w:t>monitored computer-assisted telephone interviewing (CATI) facility.</w:t>
      </w:r>
      <w:r w:rsidR="00C46AE7" w:rsidRPr="002E1D76">
        <w:rPr>
          <w:rStyle w:val="FootnoteReference"/>
          <w:vertAlign w:val="superscript"/>
        </w:rPr>
        <w:footnoteReference w:id="3"/>
      </w:r>
      <w:r w:rsidR="00C46AE7" w:rsidRPr="00933923">
        <w:t xml:space="preserve"> The response and coverage rates are generally lower than the NCVS, but the interviewers </w:t>
      </w:r>
      <w:r>
        <w:t>tend to be</w:t>
      </w:r>
      <w:r w:rsidR="00C46AE7" w:rsidRPr="00933923">
        <w:t xml:space="preserve"> more closely monitored</w:t>
      </w:r>
      <w:r>
        <w:t xml:space="preserve"> in a central data collection facility</w:t>
      </w:r>
      <w:r w:rsidR="00C46AE7" w:rsidRPr="00933923">
        <w:t>.</w:t>
      </w:r>
    </w:p>
    <w:p w:rsidR="00C46AE7" w:rsidRPr="00933923" w:rsidRDefault="00C46AE7" w:rsidP="00C46AE7">
      <w:pPr>
        <w:pStyle w:val="L1-FlLSp12"/>
      </w:pPr>
    </w:p>
    <w:p w:rsidR="00D43CAF" w:rsidRDefault="00C46AE7" w:rsidP="00D43CAF">
      <w:pPr>
        <w:pStyle w:val="L1-FlLSp12"/>
      </w:pPr>
      <w:r w:rsidRPr="00933923">
        <w:t xml:space="preserve">The purpose of this project is to identify, develop, and test </w:t>
      </w:r>
      <w:r w:rsidR="00125718">
        <w:t>alternative</w:t>
      </w:r>
      <w:r w:rsidRPr="00933923">
        <w:t xml:space="preserve"> methods for collecting self-report data on rape and sexual assault.</w:t>
      </w:r>
      <w:r w:rsidR="00D43CAF">
        <w:t xml:space="preserve">  </w:t>
      </w:r>
      <w:r w:rsidR="00D43CAF" w:rsidRPr="00933923">
        <w:t xml:space="preserve">The proposed work will enhance our understanding of the discrepancies that arise from differing self-report methodologies used in measuring rape and sexual assault and </w:t>
      </w:r>
      <w:r w:rsidR="00125718">
        <w:t xml:space="preserve">will </w:t>
      </w:r>
      <w:r w:rsidR="00D43CAF" w:rsidRPr="00933923">
        <w:t xml:space="preserve">assist in determining the optimal design components for measuring these crimes. </w:t>
      </w:r>
      <w:r w:rsidR="00D43CAF">
        <w:t xml:space="preserve"> The results of this project will be used to redesign the methods used on the NCVS to collect data on rape and sexual assault.</w:t>
      </w:r>
    </w:p>
    <w:p w:rsidR="00862207" w:rsidRDefault="00862207" w:rsidP="00D43CAF">
      <w:pPr>
        <w:pStyle w:val="L1-FlLSp12"/>
      </w:pPr>
    </w:p>
    <w:p w:rsidR="00862207" w:rsidRPr="00933923" w:rsidRDefault="00EE2E93" w:rsidP="00D43CAF">
      <w:pPr>
        <w:pStyle w:val="L1-FlLSp12"/>
      </w:pPr>
      <w:r>
        <w:t>T</w:t>
      </w:r>
      <w:r w:rsidR="00862207">
        <w:t xml:space="preserve">he project will collect data </w:t>
      </w:r>
      <w:r>
        <w:t xml:space="preserve">on rape and sexual assault among adult females.  </w:t>
      </w:r>
      <w:r w:rsidR="000C11F8">
        <w:t>BJS intends to ultimately collect data on rape and sexual assault for both genders</w:t>
      </w:r>
      <w:r w:rsidR="00F66772">
        <w:t xml:space="preserve"> (as is currently the case)</w:t>
      </w:r>
      <w:r w:rsidR="000C11F8">
        <w:t>.  However, t</w:t>
      </w:r>
      <w:r>
        <w:t xml:space="preserve">he prevalence of rape and sexual assault among men in the general population is at least 10 times lower than for women.  </w:t>
      </w:r>
      <w:r w:rsidR="00586769">
        <w:t>Because of this low prevalence, it is impractical for this study to include males.</w:t>
      </w:r>
      <w:r w:rsidR="00A67C24">
        <w:t xml:space="preserve">  Neither the NCVS nor the N</w:t>
      </w:r>
      <w:r w:rsidR="00932EB2">
        <w:t>I</w:t>
      </w:r>
      <w:r w:rsidR="00A67C24">
        <w:t>SVS, for example, can produce a reliable 12</w:t>
      </w:r>
      <w:r w:rsidR="00D465DA">
        <w:t>-</w:t>
      </w:r>
      <w:r w:rsidR="00A67C24">
        <w:t>month estimate for males.  The proposed study has significantly smaller sample sizes then either of these studies.  T</w:t>
      </w:r>
      <w:r w:rsidR="000C11F8">
        <w:t>he NISVS</w:t>
      </w:r>
      <w:r w:rsidR="00A67C24">
        <w:t>, for example,</w:t>
      </w:r>
      <w:r w:rsidR="000C11F8">
        <w:t xml:space="preserve"> interviewed less than 30 male victims out of the 10,000 that completed the survey.  </w:t>
      </w:r>
      <w:r>
        <w:t>Prior studies that have included men have not reported any special measurement issues associated with the gender of the respondent.</w:t>
      </w:r>
      <w:r w:rsidR="006747BB">
        <w:t xml:space="preserve">  They have all used questions a</w:t>
      </w:r>
      <w:r w:rsidR="00586769">
        <w:t>nd procedures that were very similar</w:t>
      </w:r>
      <w:r w:rsidR="006747BB">
        <w:t xml:space="preserve"> for both genders.  Th</w:t>
      </w:r>
      <w:r w:rsidR="00586769">
        <w:t>e goal of this</w:t>
      </w:r>
      <w:r w:rsidR="000C11F8">
        <w:t xml:space="preserve"> project is to</w:t>
      </w:r>
      <w:r w:rsidR="006747BB">
        <w:t xml:space="preserve"> develop a methodology </w:t>
      </w:r>
      <w:r w:rsidR="007E5944">
        <w:t>using f</w:t>
      </w:r>
      <w:r w:rsidR="00586769">
        <w:t xml:space="preserve">emales as the respondents.  </w:t>
      </w:r>
      <w:r w:rsidR="000C11F8">
        <w:t>This methodology will be adapted for males when the survey is being finalized for its final production format.</w:t>
      </w:r>
    </w:p>
    <w:p w:rsidR="00D465DA" w:rsidRDefault="00D465DA" w:rsidP="00C46AE7">
      <w:pPr>
        <w:pStyle w:val="L1-FlLSp12"/>
      </w:pPr>
    </w:p>
    <w:p w:rsidR="00C46AE7" w:rsidRPr="00933923" w:rsidRDefault="00C46AE7" w:rsidP="00C46AE7">
      <w:pPr>
        <w:pStyle w:val="L1-FlLSp12"/>
      </w:pPr>
      <w:r w:rsidRPr="00933923">
        <w:t>The goals of this project include</w:t>
      </w:r>
      <w:r w:rsidR="00125718">
        <w:t xml:space="preserve"> </w:t>
      </w:r>
      <w:r w:rsidRPr="00933923">
        <w:t>developing a methodology for measuring rape and sexual assault within the NCVS program</w:t>
      </w:r>
      <w:r w:rsidR="00125718">
        <w:t>,</w:t>
      </w:r>
      <w:r w:rsidRPr="00933923">
        <w:t xml:space="preserve"> comparing the methodology to existing methods</w:t>
      </w:r>
      <w:r w:rsidR="00125718">
        <w:t>,</w:t>
      </w:r>
      <w:r w:rsidRPr="00933923">
        <w:t xml:space="preserve"> and evaluating the quality, utility, and cost of the methodology.  </w:t>
      </w:r>
    </w:p>
    <w:p w:rsidR="00C46AE7" w:rsidRPr="00933923" w:rsidRDefault="00C46AE7" w:rsidP="00C46AE7">
      <w:pPr>
        <w:pStyle w:val="L1-FlLSp12"/>
      </w:pPr>
    </w:p>
    <w:p w:rsidR="00C46AE7" w:rsidRPr="00933923" w:rsidRDefault="00C46AE7" w:rsidP="00C46AE7">
      <w:pPr>
        <w:pStyle w:val="L1-FlLSp12"/>
      </w:pPr>
      <w:r w:rsidRPr="00933923">
        <w:t xml:space="preserve">From these goals arise three objectives: </w:t>
      </w:r>
    </w:p>
    <w:p w:rsidR="00C46AE7" w:rsidRPr="00933923" w:rsidRDefault="00C46AE7" w:rsidP="00C46AE7">
      <w:pPr>
        <w:pStyle w:val="L1-FlLSp12"/>
      </w:pPr>
    </w:p>
    <w:p w:rsidR="00C46AE7" w:rsidRPr="00933923" w:rsidRDefault="00C46AE7" w:rsidP="00C46AE7">
      <w:pPr>
        <w:pStyle w:val="N3-3rdBullet"/>
        <w:numPr>
          <w:ilvl w:val="0"/>
          <w:numId w:val="20"/>
        </w:numPr>
      </w:pPr>
      <w:r w:rsidRPr="00933923">
        <w:t xml:space="preserve">Develop and pilot test an optimal design using Audio Computer Assisted Self Interviewing (ACASI) to collect self-report data on rape and sexual assault. </w:t>
      </w:r>
    </w:p>
    <w:p w:rsidR="00C46AE7" w:rsidRPr="00933923" w:rsidRDefault="00C46AE7" w:rsidP="00C46AE7">
      <w:pPr>
        <w:pStyle w:val="N3-3rdBullet"/>
        <w:numPr>
          <w:ilvl w:val="0"/>
          <w:numId w:val="20"/>
        </w:numPr>
      </w:pPr>
      <w:r w:rsidRPr="00933923">
        <w:lastRenderedPageBreak/>
        <w:t xml:space="preserve">Develop and pilot test a comparison design using Random Digit Dialing (RDD) to collect self-report data on rape and sexual assault. </w:t>
      </w:r>
    </w:p>
    <w:p w:rsidR="00C46AE7" w:rsidRPr="00933923" w:rsidRDefault="00C46AE7" w:rsidP="00C46AE7">
      <w:pPr>
        <w:pStyle w:val="N3-3rdBullet"/>
        <w:numPr>
          <w:ilvl w:val="0"/>
          <w:numId w:val="20"/>
        </w:numPr>
      </w:pPr>
      <w:r w:rsidRPr="00933923">
        <w:t xml:space="preserve">Conduct detailed analytical comparisons of the two designs against each other and the existing NCVS program. </w:t>
      </w:r>
    </w:p>
    <w:p w:rsidR="00C46AE7" w:rsidRPr="00933923" w:rsidRDefault="00C46AE7" w:rsidP="00C46AE7">
      <w:pPr>
        <w:pStyle w:val="L1-FlLSp12"/>
      </w:pPr>
      <w:r w:rsidRPr="00933923">
        <w:t>The primary research questions for the project are:</w:t>
      </w:r>
    </w:p>
    <w:p w:rsidR="00C46AE7" w:rsidRPr="00933923" w:rsidRDefault="00C46AE7" w:rsidP="00C46AE7">
      <w:pPr>
        <w:pStyle w:val="L1-FlLSp12"/>
      </w:pPr>
    </w:p>
    <w:p w:rsidR="00C46AE7" w:rsidRPr="00933923" w:rsidRDefault="00C46AE7" w:rsidP="002E1D76">
      <w:pPr>
        <w:pStyle w:val="N3-3rdBullet"/>
        <w:numPr>
          <w:ilvl w:val="0"/>
          <w:numId w:val="25"/>
        </w:numPr>
      </w:pPr>
      <w:r w:rsidRPr="00933923">
        <w:t>What are the differences in data quality of the two approaches?</w:t>
      </w:r>
    </w:p>
    <w:p w:rsidR="00C46AE7" w:rsidRPr="00933923" w:rsidRDefault="00C46AE7" w:rsidP="002E1D76">
      <w:pPr>
        <w:pStyle w:val="N3-3rdBullet"/>
        <w:numPr>
          <w:ilvl w:val="0"/>
          <w:numId w:val="25"/>
        </w:numPr>
      </w:pPr>
      <w:r w:rsidRPr="00933923">
        <w:t>How do the two approaches compare with the current NCVS measures?</w:t>
      </w:r>
    </w:p>
    <w:p w:rsidR="00C46AE7" w:rsidRPr="00933923" w:rsidRDefault="00C46AE7" w:rsidP="002E1D76">
      <w:pPr>
        <w:pStyle w:val="N3-3rdBullet"/>
        <w:numPr>
          <w:ilvl w:val="0"/>
          <w:numId w:val="25"/>
        </w:numPr>
      </w:pPr>
      <w:r w:rsidRPr="00933923">
        <w:t>What are the comparative costs of the two approaches? Given these costs, how would a survey on rape and sexual assault fit within the ongoing NCVS program?</w:t>
      </w:r>
    </w:p>
    <w:p w:rsidR="003069D2" w:rsidRPr="00CE510D" w:rsidRDefault="00BF7A5E">
      <w:pPr>
        <w:pStyle w:val="L1-FlLSp12"/>
      </w:pPr>
      <w:r>
        <w:t>In conjunction with this research BJS has commissioned</w:t>
      </w:r>
      <w:r w:rsidR="003069D2">
        <w:t xml:space="preserve"> an ad hoc</w:t>
      </w:r>
      <w:r w:rsidR="00B275FB">
        <w:t xml:space="preserve"> panel from the</w:t>
      </w:r>
      <w:r w:rsidR="003069D2">
        <w:t xml:space="preserve"> </w:t>
      </w:r>
      <w:r w:rsidR="00B275FB" w:rsidRPr="00933923">
        <w:t>National Research Council's Committee on National Statistics (CNSTAT)</w:t>
      </w:r>
      <w:r w:rsidR="003069D2">
        <w:t xml:space="preserve"> </w:t>
      </w:r>
      <w:r w:rsidR="003069D2" w:rsidRPr="005F2658">
        <w:t xml:space="preserve">to </w:t>
      </w:r>
      <w:r w:rsidR="003069D2" w:rsidRPr="00CE510D">
        <w:t>assess the quality and relevance of statistics on rape and sexual assault.</w:t>
      </w:r>
      <w:r w:rsidR="00610A37" w:rsidRPr="00CE510D">
        <w:t xml:space="preserve"> </w:t>
      </w:r>
      <w:r w:rsidR="003069D2" w:rsidRPr="00CE510D">
        <w:t xml:space="preserve"> The panel is examining the legal definitions in use by the states for these crimes, best methods for representing the definitions in survey instruments so that their meaning is clear to </w:t>
      </w:r>
      <w:proofErr w:type="gramStart"/>
      <w:r w:rsidR="003069D2" w:rsidRPr="00CE510D">
        <w:t>respondents,</w:t>
      </w:r>
      <w:proofErr w:type="gramEnd"/>
      <w:r w:rsidR="003069D2" w:rsidRPr="00CE510D">
        <w:t xml:space="preserve"> and best methods for obtaining as complete reporting as possible of these crimes in surveys, including methods whereby respondents may report anonymously.</w:t>
      </w:r>
    </w:p>
    <w:p w:rsidR="003069D2" w:rsidRPr="00CE510D" w:rsidRDefault="003069D2">
      <w:pPr>
        <w:pStyle w:val="L1-FlLSp12"/>
      </w:pPr>
    </w:p>
    <w:p w:rsidR="00BF7A5E" w:rsidRDefault="003069D2" w:rsidP="0008441A">
      <w:pPr>
        <w:pStyle w:val="L1-FlLSp12"/>
      </w:pPr>
      <w:r w:rsidRPr="00CE510D">
        <w:t xml:space="preserve">The </w:t>
      </w:r>
      <w:r w:rsidR="00125718" w:rsidRPr="00CE510D">
        <w:t xml:space="preserve">BJS/Westat </w:t>
      </w:r>
      <w:r w:rsidRPr="00CE510D">
        <w:t xml:space="preserve">project team has met with the </w:t>
      </w:r>
      <w:r w:rsidR="00B275FB" w:rsidRPr="00CE510D">
        <w:t>CNSTAT</w:t>
      </w:r>
      <w:r w:rsidRPr="00CE510D">
        <w:t xml:space="preserve"> panel over the course of the development of the study design described in this package.  These meetings have provided the</w:t>
      </w:r>
      <w:r w:rsidR="00610A37" w:rsidRPr="00CE510D">
        <w:t xml:space="preserve"> </w:t>
      </w:r>
      <w:r w:rsidRPr="00CE510D">
        <w:t>project team with information on critical issues related to the design of a survey collecting data on</w:t>
      </w:r>
      <w:r w:rsidR="00610A37" w:rsidRPr="00CE510D">
        <w:t xml:space="preserve"> rape and sexual assault</w:t>
      </w:r>
      <w:r w:rsidRPr="00CE510D">
        <w:t>.  The project</w:t>
      </w:r>
      <w:r w:rsidR="00610A37" w:rsidRPr="00CE510D">
        <w:t xml:space="preserve"> team</w:t>
      </w:r>
      <w:r w:rsidRPr="00CE510D">
        <w:t xml:space="preserve"> has also presented preliminary designs to the panel during their public workshops.  BJS plans to use the results of both </w:t>
      </w:r>
      <w:r w:rsidR="00610A37" w:rsidRPr="00CE510D">
        <w:t xml:space="preserve">the panel and this </w:t>
      </w:r>
      <w:r w:rsidRPr="00CE510D">
        <w:t>project when making final decisions on the methods used to collect data on Rape and Sexual Assault.</w:t>
      </w:r>
    </w:p>
    <w:p w:rsidR="00154211" w:rsidRDefault="00154211" w:rsidP="0008441A">
      <w:pPr>
        <w:pStyle w:val="L1-FlLSp12"/>
      </w:pPr>
    </w:p>
    <w:p w:rsidR="00850F4E" w:rsidRPr="00933923" w:rsidRDefault="00850F4E" w:rsidP="0008441A">
      <w:pPr>
        <w:pStyle w:val="L1-FlLSp12"/>
      </w:pPr>
    </w:p>
    <w:p w:rsidR="000A4A99" w:rsidRPr="003F40FD" w:rsidRDefault="00113BD0" w:rsidP="003F40FD">
      <w:pPr>
        <w:pStyle w:val="Heading3"/>
      </w:pPr>
      <w:bookmarkStart w:id="12" w:name="_Toc361144782"/>
      <w:bookmarkStart w:id="13" w:name="_Toc380930571"/>
      <w:bookmarkStart w:id="14" w:name="_Toc380930731"/>
      <w:r w:rsidRPr="003F40FD">
        <w:t>A</w:t>
      </w:r>
      <w:r w:rsidR="000A4A99" w:rsidRPr="003F40FD">
        <w:t>2.</w:t>
      </w:r>
      <w:r w:rsidR="000A4A99" w:rsidRPr="003F40FD">
        <w:tab/>
        <w:t>Needs and Uses</w:t>
      </w:r>
      <w:bookmarkEnd w:id="12"/>
      <w:bookmarkEnd w:id="13"/>
      <w:bookmarkEnd w:id="14"/>
    </w:p>
    <w:p w:rsidR="002947A8" w:rsidRPr="00933923" w:rsidRDefault="002947A8" w:rsidP="002947A8">
      <w:pPr>
        <w:pStyle w:val="L1-FlLSp12"/>
      </w:pPr>
      <w:r w:rsidRPr="00933923">
        <w:t>The benefits of this</w:t>
      </w:r>
      <w:r w:rsidR="00AC32DC" w:rsidRPr="00933923">
        <w:t xml:space="preserve"> </w:t>
      </w:r>
      <w:r w:rsidRPr="00933923">
        <w:t xml:space="preserve">research include ─ </w:t>
      </w:r>
    </w:p>
    <w:p w:rsidR="002947A8" w:rsidRPr="00933923" w:rsidRDefault="002947A8" w:rsidP="002947A8">
      <w:pPr>
        <w:pStyle w:val="L1-FlLSp12"/>
      </w:pPr>
    </w:p>
    <w:p w:rsidR="002947A8" w:rsidRDefault="002947A8" w:rsidP="002947A8">
      <w:pPr>
        <w:pStyle w:val="N1-1stBullet"/>
      </w:pPr>
      <w:r w:rsidRPr="00933923">
        <w:t xml:space="preserve">Evaluation </w:t>
      </w:r>
      <w:r w:rsidR="003A2D62">
        <w:t xml:space="preserve">of </w:t>
      </w:r>
      <w:r w:rsidRPr="00933923">
        <w:t xml:space="preserve">the accuracy, utility, and costs of improved collection procedures relative to those used heretofore. </w:t>
      </w:r>
    </w:p>
    <w:p w:rsidR="0084048F" w:rsidRPr="00933923" w:rsidRDefault="0084048F" w:rsidP="002947A8">
      <w:pPr>
        <w:pStyle w:val="N1-1stBullet"/>
      </w:pPr>
      <w:r>
        <w:t>Understanding the types of events that are reported using different methodological approaches that differ by coverage</w:t>
      </w:r>
      <w:r w:rsidR="005F6BD4">
        <w:t>,</w:t>
      </w:r>
      <w:r>
        <w:t xml:space="preserve"> response rates and mode of interview.</w:t>
      </w:r>
    </w:p>
    <w:p w:rsidR="002947A8" w:rsidRPr="00933923" w:rsidRDefault="002947A8" w:rsidP="002947A8">
      <w:pPr>
        <w:pStyle w:val="N1-1stBullet"/>
      </w:pPr>
      <w:r w:rsidRPr="00933923">
        <w:lastRenderedPageBreak/>
        <w:t xml:space="preserve">Determination of whether the optimal design can be accommodated within the current NCVS program or whether an alternative collection is necessary. </w:t>
      </w:r>
    </w:p>
    <w:p w:rsidR="002947A8" w:rsidRPr="00933923" w:rsidRDefault="002947A8" w:rsidP="002947A8">
      <w:pPr>
        <w:pStyle w:val="N1-1stBullet"/>
      </w:pPr>
      <w:r w:rsidRPr="00933923">
        <w:t xml:space="preserve">Development of improved measurement of rape and sexual assault. </w:t>
      </w:r>
    </w:p>
    <w:p w:rsidR="002947A8" w:rsidRPr="00933923" w:rsidRDefault="002947A8" w:rsidP="002947A8">
      <w:pPr>
        <w:pStyle w:val="N1-1stBullet"/>
      </w:pPr>
      <w:r w:rsidRPr="00933923">
        <w:t xml:space="preserve">Improved national estimates of rape and sexual assault. </w:t>
      </w:r>
    </w:p>
    <w:p w:rsidR="002947A8" w:rsidRDefault="002947A8" w:rsidP="002947A8">
      <w:pPr>
        <w:pStyle w:val="N1-1stBullet"/>
      </w:pPr>
      <w:r w:rsidRPr="00933923">
        <w:t xml:space="preserve">Improved data collection methodology and measurement within the NCVS program. </w:t>
      </w:r>
    </w:p>
    <w:p w:rsidR="0084048F" w:rsidRPr="00933923" w:rsidRDefault="0084048F" w:rsidP="00CE510D">
      <w:pPr>
        <w:pStyle w:val="N1-1stBullet"/>
        <w:numPr>
          <w:ilvl w:val="0"/>
          <w:numId w:val="0"/>
        </w:numPr>
        <w:ind w:left="1152"/>
      </w:pPr>
    </w:p>
    <w:p w:rsidR="006D154E" w:rsidRPr="000B4257" w:rsidRDefault="006D154E" w:rsidP="000B4257">
      <w:pPr>
        <w:rPr>
          <w:u w:val="single"/>
        </w:rPr>
      </w:pPr>
      <w:bookmarkStart w:id="15" w:name="_Toc380930572"/>
      <w:r w:rsidRPr="000B4257">
        <w:rPr>
          <w:u w:val="single"/>
        </w:rPr>
        <w:t>External Data Users and Stakeholders</w:t>
      </w:r>
      <w:bookmarkEnd w:id="15"/>
    </w:p>
    <w:p w:rsidR="003A1362" w:rsidRPr="00933923" w:rsidRDefault="003A1362" w:rsidP="006D4C7A">
      <w:pPr>
        <w:kinsoku w:val="0"/>
        <w:overflowPunct w:val="0"/>
        <w:spacing w:line="360" w:lineRule="atLeast"/>
        <w:rPr>
          <w:color w:val="000000"/>
        </w:rPr>
      </w:pPr>
      <w:r w:rsidRPr="00933923">
        <w:rPr>
          <w:color w:val="000000"/>
        </w:rPr>
        <w:t>Under the Omnibus Crime Control Act of 1968, the BJS is charged with, in part, to “collect and analyze information concerning criminal victimization….” (Section 302(c</w:t>
      </w:r>
      <w:proofErr w:type="gramStart"/>
      <w:r w:rsidRPr="00933923">
        <w:rPr>
          <w:color w:val="000000"/>
        </w:rPr>
        <w:t>)(</w:t>
      </w:r>
      <w:proofErr w:type="gramEnd"/>
      <w:r w:rsidRPr="00933923">
        <w:rPr>
          <w:color w:val="000000"/>
        </w:rPr>
        <w:t>2)) This study falls under the purview of these mandates by improving the methods used to collect data on rape and sexual assault, an offense that is particularly difficult to document in other ways.</w:t>
      </w:r>
    </w:p>
    <w:p w:rsidR="003A1362" w:rsidRPr="00933923" w:rsidRDefault="003A1362" w:rsidP="003A1362">
      <w:pPr>
        <w:pStyle w:val="L1-FlLSp12"/>
      </w:pPr>
    </w:p>
    <w:p w:rsidR="003A1362" w:rsidRPr="00933923" w:rsidRDefault="003A1362" w:rsidP="003A1362">
      <w:pPr>
        <w:pStyle w:val="L1-FlLSp12"/>
      </w:pPr>
      <w:r w:rsidRPr="00933923">
        <w:t>The reports and data generated by this research will be of interest to a wide range of audiences, including government agencies, the criminal justice community, and the public. As noted in section A.1, there are several competing estimates of rape and sexual assault that are used by governments, service providers and researchers. By addressing the above goals, BJS will be able to design methods that address the shortcomings of these different approaches into a single methodology.</w:t>
      </w:r>
    </w:p>
    <w:p w:rsidR="006D2016" w:rsidRDefault="006D2016" w:rsidP="003A1362">
      <w:pPr>
        <w:pStyle w:val="L1-FlLSp12"/>
      </w:pPr>
    </w:p>
    <w:p w:rsidR="002E1D76" w:rsidRPr="00933923" w:rsidRDefault="002E1D76" w:rsidP="003A1362">
      <w:pPr>
        <w:pStyle w:val="L1-FlLSp12"/>
      </w:pPr>
    </w:p>
    <w:p w:rsidR="006D2016" w:rsidRPr="000B4257" w:rsidRDefault="00DC3C54" w:rsidP="000B4257">
      <w:pPr>
        <w:rPr>
          <w:u w:val="single"/>
        </w:rPr>
      </w:pPr>
      <w:bookmarkStart w:id="16" w:name="_Toc367706527"/>
      <w:bookmarkStart w:id="17" w:name="_Toc380930573"/>
      <w:r w:rsidRPr="000B4257">
        <w:rPr>
          <w:u w:val="single"/>
        </w:rPr>
        <w:t xml:space="preserve">Uses by Federal, State and Local </w:t>
      </w:r>
      <w:r w:rsidR="006D2016" w:rsidRPr="000B4257">
        <w:rPr>
          <w:u w:val="single"/>
        </w:rPr>
        <w:t>Governments</w:t>
      </w:r>
      <w:bookmarkEnd w:id="16"/>
      <w:bookmarkEnd w:id="17"/>
    </w:p>
    <w:p w:rsidR="006D2016" w:rsidRPr="00933923" w:rsidRDefault="006D2016" w:rsidP="006D2016">
      <w:pPr>
        <w:pStyle w:val="L1-FlLSp12"/>
      </w:pPr>
      <w:r w:rsidRPr="00933923">
        <w:t>Because the NCVS is the only ongoing vehicle for producing data related to a broad spectrum of subjects related to crime and crime victimization, legislators and policymakers at all levels of government rely on the NCVS data. Some specific examples of government agencies that</w:t>
      </w:r>
      <w:r w:rsidR="0084048F">
        <w:t xml:space="preserve"> will</w:t>
      </w:r>
      <w:r w:rsidRPr="00933923">
        <w:t xml:space="preserve"> make use of the </w:t>
      </w:r>
      <w:r w:rsidR="0084048F">
        <w:t>results of this study</w:t>
      </w:r>
      <w:r w:rsidRPr="00933923">
        <w:t xml:space="preserve">: </w:t>
      </w:r>
    </w:p>
    <w:p w:rsidR="006D2016" w:rsidRPr="00933923" w:rsidRDefault="006D2016" w:rsidP="00A77234">
      <w:pPr>
        <w:pStyle w:val="L1-FlLSp12"/>
        <w:tabs>
          <w:tab w:val="clear" w:pos="1152"/>
        </w:tabs>
        <w:ind w:left="720"/>
        <w:rPr>
          <w:color w:val="000000"/>
        </w:rPr>
      </w:pPr>
      <w:r w:rsidRPr="00933923">
        <w:rPr>
          <w:u w:val="single"/>
        </w:rPr>
        <w:t>Department of Justice</w:t>
      </w:r>
      <w:r w:rsidR="00CE510D">
        <w:rPr>
          <w:u w:val="single"/>
        </w:rPr>
        <w:t>,</w:t>
      </w:r>
      <w:r w:rsidRPr="00933923">
        <w:rPr>
          <w:color w:val="000000"/>
          <w:u w:val="single"/>
        </w:rPr>
        <w:t xml:space="preserve"> Bureau of Justice Statistics</w:t>
      </w:r>
      <w:r w:rsidR="00AC32DC" w:rsidRPr="00933923">
        <w:rPr>
          <w:color w:val="000000"/>
          <w:u w:val="single"/>
        </w:rPr>
        <w:t xml:space="preserve"> -</w:t>
      </w:r>
      <w:r w:rsidRPr="00933923">
        <w:rPr>
          <w:color w:val="000000"/>
        </w:rPr>
        <w:t xml:space="preserve"> Under the Omnibus Crime Control Act of 1968, the BJS is charged with, in part, to </w:t>
      </w:r>
    </w:p>
    <w:p w:rsidR="006D2016" w:rsidRPr="00933923" w:rsidRDefault="006D2016" w:rsidP="006D2016">
      <w:pPr>
        <w:kinsoku w:val="0"/>
        <w:overflowPunct w:val="0"/>
        <w:ind w:left="720"/>
        <w:rPr>
          <w:color w:val="000000"/>
        </w:rPr>
      </w:pPr>
    </w:p>
    <w:p w:rsidR="006D2016" w:rsidRPr="00933923" w:rsidRDefault="006D2016" w:rsidP="006D2016">
      <w:pPr>
        <w:kinsoku w:val="0"/>
        <w:overflowPunct w:val="0"/>
        <w:ind w:left="1260" w:right="720"/>
        <w:rPr>
          <w:color w:val="000000"/>
        </w:rPr>
      </w:pPr>
      <w:r w:rsidRPr="00933923">
        <w:rPr>
          <w:color w:val="000000"/>
        </w:rPr>
        <w:t>“</w:t>
      </w:r>
      <w:proofErr w:type="gramStart"/>
      <w:r w:rsidRPr="00933923">
        <w:rPr>
          <w:color w:val="000000"/>
        </w:rPr>
        <w:t>collect</w:t>
      </w:r>
      <w:proofErr w:type="gramEnd"/>
      <w:r w:rsidRPr="00933923">
        <w:rPr>
          <w:color w:val="000000"/>
        </w:rPr>
        <w:t xml:space="preserve"> and analy</w:t>
      </w:r>
      <w:r w:rsidR="00A221DE">
        <w:rPr>
          <w:color w:val="000000"/>
        </w:rPr>
        <w:t>z</w:t>
      </w:r>
      <w:r w:rsidRPr="00933923">
        <w:rPr>
          <w:color w:val="000000"/>
        </w:rPr>
        <w:t>e information concerning criminal victimization….” (Section 302(c</w:t>
      </w:r>
      <w:proofErr w:type="gramStart"/>
      <w:r w:rsidRPr="00933923">
        <w:rPr>
          <w:color w:val="000000"/>
        </w:rPr>
        <w:t>)(</w:t>
      </w:r>
      <w:proofErr w:type="gramEnd"/>
      <w:r w:rsidRPr="00933923">
        <w:rPr>
          <w:color w:val="000000"/>
        </w:rPr>
        <w:t>2))</w:t>
      </w:r>
    </w:p>
    <w:p w:rsidR="006D2016" w:rsidRPr="00933923" w:rsidRDefault="006D2016" w:rsidP="006D2016">
      <w:pPr>
        <w:kinsoku w:val="0"/>
        <w:overflowPunct w:val="0"/>
        <w:ind w:left="1260" w:right="720"/>
        <w:rPr>
          <w:color w:val="000000"/>
        </w:rPr>
      </w:pPr>
    </w:p>
    <w:p w:rsidR="006D2016" w:rsidRPr="00933923" w:rsidRDefault="006D2016" w:rsidP="006D2016">
      <w:pPr>
        <w:ind w:left="1260" w:right="720"/>
        <w:rPr>
          <w:color w:val="000000"/>
        </w:rPr>
      </w:pPr>
      <w:r w:rsidRPr="00933923">
        <w:rPr>
          <w:color w:val="000000"/>
        </w:rPr>
        <w:t>“</w:t>
      </w:r>
      <w:r w:rsidRPr="00933923">
        <w:t>collect and analyze data that will serve as a continuous and comparable national social indication of the prevalence, incidence, rates, extent, distribution, and attributes of crime, juvenile delinquency, civil disputes, and other statistical factors related to crime, civil disputes, and juvenile delinquency, in support of national, State, tribal, and local justice policy and decisionmaking….</w:t>
      </w:r>
      <w:r w:rsidRPr="00933923">
        <w:rPr>
          <w:color w:val="000000"/>
        </w:rPr>
        <w:t>” (Section 302(c</w:t>
      </w:r>
      <w:proofErr w:type="gramStart"/>
      <w:r w:rsidRPr="00933923">
        <w:rPr>
          <w:color w:val="000000"/>
        </w:rPr>
        <w:t>)(</w:t>
      </w:r>
      <w:proofErr w:type="gramEnd"/>
      <w:r w:rsidRPr="00933923">
        <w:rPr>
          <w:color w:val="000000"/>
        </w:rPr>
        <w:t>3)).</w:t>
      </w:r>
    </w:p>
    <w:p w:rsidR="006D2016" w:rsidRPr="00933923" w:rsidRDefault="006D2016" w:rsidP="006D2016">
      <w:pPr>
        <w:kinsoku w:val="0"/>
        <w:overflowPunct w:val="0"/>
        <w:ind w:left="720"/>
        <w:rPr>
          <w:color w:val="000000"/>
        </w:rPr>
      </w:pPr>
    </w:p>
    <w:p w:rsidR="006D2016" w:rsidRPr="00933923" w:rsidRDefault="006D2016" w:rsidP="006D2016">
      <w:pPr>
        <w:kinsoku w:val="0"/>
        <w:overflowPunct w:val="0"/>
        <w:ind w:left="720"/>
        <w:rPr>
          <w:color w:val="000000"/>
        </w:rPr>
      </w:pPr>
      <w:r w:rsidRPr="00933923">
        <w:rPr>
          <w:color w:val="000000"/>
        </w:rPr>
        <w:lastRenderedPageBreak/>
        <w:t>This study will provide a way to meet these mandates by improving the methods used to collect data on rape and sexual assault, an offense that is particularly difficult to document in other ways.</w:t>
      </w:r>
    </w:p>
    <w:p w:rsidR="000A4A99" w:rsidRPr="00933923" w:rsidRDefault="000A4A99" w:rsidP="00154211">
      <w:pPr>
        <w:pStyle w:val="L1-FlLSp12"/>
      </w:pPr>
    </w:p>
    <w:p w:rsidR="000A4A99" w:rsidRPr="00933923" w:rsidRDefault="000A4A99" w:rsidP="000A4A99">
      <w:pPr>
        <w:kinsoku w:val="0"/>
        <w:overflowPunct w:val="0"/>
        <w:ind w:left="720"/>
        <w:rPr>
          <w:color w:val="000000"/>
        </w:rPr>
      </w:pPr>
      <w:r w:rsidRPr="00933923">
        <w:rPr>
          <w:color w:val="000000"/>
          <w:u w:val="single"/>
        </w:rPr>
        <w:t>U.S. Congress</w:t>
      </w:r>
      <w:r w:rsidR="00AC32DC" w:rsidRPr="00933923">
        <w:rPr>
          <w:color w:val="000000"/>
        </w:rPr>
        <w:t xml:space="preserve"> - </w:t>
      </w:r>
      <w:r w:rsidRPr="00933923">
        <w:rPr>
          <w:color w:val="000000"/>
        </w:rPr>
        <w:t>The NCVS is currently the only national collection that has the size and statistical precision to produce annual estimates for these types of crimes.</w:t>
      </w:r>
      <w:r w:rsidR="0008441A" w:rsidRPr="00933923">
        <w:rPr>
          <w:color w:val="000000"/>
        </w:rPr>
        <w:t xml:space="preserve"> </w:t>
      </w:r>
      <w:r w:rsidRPr="00933923">
        <w:rPr>
          <w:color w:val="000000"/>
        </w:rPr>
        <w:t>Improved estimates of rape and sexual assault will allow the Congress to evaluate current laws related to these crimes and assess whether there need to be changes for different populations.</w:t>
      </w:r>
    </w:p>
    <w:p w:rsidR="000A4A99" w:rsidRPr="00933923" w:rsidRDefault="000A4A99" w:rsidP="000A4A99">
      <w:pPr>
        <w:kinsoku w:val="0"/>
        <w:overflowPunct w:val="0"/>
        <w:ind w:left="720"/>
        <w:rPr>
          <w:color w:val="000000"/>
        </w:rPr>
      </w:pPr>
    </w:p>
    <w:p w:rsidR="000A4A99" w:rsidRPr="00933923" w:rsidRDefault="000A4A99" w:rsidP="000A4A99">
      <w:pPr>
        <w:kinsoku w:val="0"/>
        <w:overflowPunct w:val="0"/>
        <w:ind w:left="720"/>
        <w:rPr>
          <w:color w:val="000000"/>
        </w:rPr>
      </w:pPr>
      <w:r w:rsidRPr="00933923">
        <w:rPr>
          <w:color w:val="000000"/>
          <w:u w:val="single"/>
        </w:rPr>
        <w:t xml:space="preserve">State and local criminal justice </w:t>
      </w:r>
      <w:r w:rsidR="00DC3C54">
        <w:rPr>
          <w:color w:val="000000"/>
          <w:u w:val="single"/>
        </w:rPr>
        <w:t>agencies</w:t>
      </w:r>
      <w:r w:rsidRPr="00933923">
        <w:rPr>
          <w:color w:val="000000"/>
        </w:rPr>
        <w:t>– will use data from this project to provide a common set of concepts, standard definitions, and counting rules that administrators will be able to use as a baseline for comparison.</w:t>
      </w:r>
      <w:r w:rsidR="00E850CD" w:rsidRPr="00933923">
        <w:rPr>
          <w:color w:val="000000"/>
        </w:rPr>
        <w:t xml:space="preserve">  For example, when allocating resources to detection</w:t>
      </w:r>
      <w:r w:rsidR="00837EE7" w:rsidRPr="00933923">
        <w:rPr>
          <w:color w:val="000000"/>
        </w:rPr>
        <w:t xml:space="preserve"> of incidents</w:t>
      </w:r>
      <w:r w:rsidR="00E850CD" w:rsidRPr="00933923">
        <w:rPr>
          <w:color w:val="000000"/>
        </w:rPr>
        <w:t xml:space="preserve"> and </w:t>
      </w:r>
      <w:r w:rsidR="00837EE7" w:rsidRPr="00933923">
        <w:rPr>
          <w:color w:val="000000"/>
        </w:rPr>
        <w:t xml:space="preserve">providing </w:t>
      </w:r>
      <w:r w:rsidR="00E850CD" w:rsidRPr="00933923">
        <w:rPr>
          <w:color w:val="000000"/>
        </w:rPr>
        <w:t>victim services, the number of rapes and sexual assaults is often used.  However, because NCVS differs so markedly from other estimates, policymakers are not sure what the true level is.</w:t>
      </w:r>
      <w:r w:rsidR="00837EE7" w:rsidRPr="00933923">
        <w:rPr>
          <w:color w:val="000000"/>
        </w:rPr>
        <w:t xml:space="preserve">  This project will illuminate why there may be differences and which estimate is most appropriate to use when planning.</w:t>
      </w:r>
    </w:p>
    <w:p w:rsidR="00933923" w:rsidRDefault="00933923" w:rsidP="006D2016">
      <w:pPr>
        <w:pStyle w:val="L1-FlLSp12"/>
        <w:spacing w:line="240" w:lineRule="auto"/>
        <w:contextualSpacing/>
        <w:rPr>
          <w:b/>
        </w:rPr>
      </w:pPr>
    </w:p>
    <w:p w:rsidR="002E1D76" w:rsidRPr="00933923" w:rsidRDefault="002E1D76" w:rsidP="006D2016">
      <w:pPr>
        <w:pStyle w:val="L1-FlLSp12"/>
        <w:spacing w:line="240" w:lineRule="auto"/>
        <w:contextualSpacing/>
        <w:rPr>
          <w:b/>
        </w:rPr>
      </w:pPr>
    </w:p>
    <w:p w:rsidR="006D2016" w:rsidRPr="000B4257" w:rsidRDefault="006D2016" w:rsidP="000B4257">
      <w:pPr>
        <w:rPr>
          <w:u w:val="single"/>
        </w:rPr>
      </w:pPr>
      <w:bookmarkStart w:id="18" w:name="_Toc367706528"/>
      <w:bookmarkStart w:id="19" w:name="_Toc380930574"/>
      <w:r w:rsidRPr="000B4257">
        <w:rPr>
          <w:u w:val="single"/>
        </w:rPr>
        <w:t>Educational Institutions</w:t>
      </w:r>
      <w:bookmarkEnd w:id="18"/>
      <w:bookmarkEnd w:id="19"/>
    </w:p>
    <w:p w:rsidR="006D154E" w:rsidRPr="00933923" w:rsidRDefault="006D2016" w:rsidP="006D154E">
      <w:pPr>
        <w:pStyle w:val="L1-FlLSp12"/>
      </w:pPr>
      <w:r w:rsidRPr="00933923">
        <w:t>Many researchers use the NCVS data to prepare reports and scholarly publications. NCVS public-use data files housed at the Inter-university Consortium for Political and Social Research (ICPSR) at the University of Michigan were downloaded nearly 15,000 times from 2007 to 2012. The downloaded data are used in conjunction with research projects in a number of academic disciplines, including sociolo</w:t>
      </w:r>
      <w:r w:rsidR="00AC32DC" w:rsidRPr="00933923">
        <w:t>g</w:t>
      </w:r>
      <w:r w:rsidRPr="00933923">
        <w:t xml:space="preserve">y, criminology, psychology, and political science. </w:t>
      </w:r>
      <w:r w:rsidR="00FF376C" w:rsidRPr="00933923">
        <w:t>This project will provide</w:t>
      </w:r>
      <w:r w:rsidR="00837EE7" w:rsidRPr="00933923">
        <w:t xml:space="preserve"> data to</w:t>
      </w:r>
      <w:r w:rsidR="00FF376C" w:rsidRPr="00933923">
        <w:t xml:space="preserve"> researchers of rape and sexual assault on the measurement properties of the alternative approaches.  There have been a number of studies that compared and contrasted the two different sets of estimates (e.g., Fisher and Cullen, 2000</w:t>
      </w:r>
      <w:proofErr w:type="gramStart"/>
      <w:r w:rsidR="00FF376C" w:rsidRPr="00933923">
        <w:t>;  Fisher,2004</w:t>
      </w:r>
      <w:proofErr w:type="gramEnd"/>
      <w:r w:rsidR="00FF376C" w:rsidRPr="00933923">
        <w:t xml:space="preserve">; </w:t>
      </w:r>
      <w:r w:rsidR="00C94024" w:rsidRPr="00933923">
        <w:t xml:space="preserve"> Lynch, 1996; Rand and Rennison, 2005; Tjaden and Thoennes, 2000).  This study will </w:t>
      </w:r>
      <w:r w:rsidR="001D7131" w:rsidRPr="00933923">
        <w:t>directly compare estimates from</w:t>
      </w:r>
      <w:r w:rsidR="00C94024" w:rsidRPr="00933923">
        <w:t xml:space="preserve"> the two different methodologies across several different data quality dimensions.</w:t>
      </w:r>
      <w:r w:rsidR="006D154E" w:rsidRPr="006D154E">
        <w:t xml:space="preserve"> </w:t>
      </w:r>
    </w:p>
    <w:p w:rsidR="006D2016" w:rsidRPr="00933923" w:rsidRDefault="006D2016" w:rsidP="00635BFF">
      <w:pPr>
        <w:pStyle w:val="L1-FlLSp12"/>
        <w:spacing w:line="240" w:lineRule="auto"/>
        <w:contextualSpacing/>
      </w:pPr>
    </w:p>
    <w:p w:rsidR="000A4A99" w:rsidRPr="00933923" w:rsidRDefault="000A4A99" w:rsidP="000A4A99">
      <w:pPr>
        <w:tabs>
          <w:tab w:val="left" w:pos="-1440"/>
        </w:tabs>
        <w:kinsoku w:val="0"/>
        <w:overflowPunct w:val="0"/>
        <w:ind w:left="1440" w:hanging="1440"/>
      </w:pPr>
    </w:p>
    <w:p w:rsidR="006D2016" w:rsidRPr="000B4257" w:rsidRDefault="006D2016" w:rsidP="000B4257">
      <w:pPr>
        <w:rPr>
          <w:u w:val="single"/>
        </w:rPr>
      </w:pPr>
      <w:bookmarkStart w:id="20" w:name="_Toc367706529"/>
      <w:bookmarkStart w:id="21" w:name="_Toc380930575"/>
      <w:r w:rsidRPr="000B4257">
        <w:rPr>
          <w:u w:val="single"/>
        </w:rPr>
        <w:t>Others</w:t>
      </w:r>
      <w:bookmarkEnd w:id="20"/>
      <w:bookmarkEnd w:id="21"/>
    </w:p>
    <w:p w:rsidR="006D2016" w:rsidRPr="00933923" w:rsidRDefault="00F31F9C" w:rsidP="006D2016">
      <w:pPr>
        <w:tabs>
          <w:tab w:val="left" w:pos="-1440"/>
        </w:tabs>
        <w:kinsoku w:val="0"/>
        <w:overflowPunct w:val="0"/>
        <w:spacing w:line="240" w:lineRule="auto"/>
        <w:contextualSpacing/>
      </w:pPr>
      <w:r>
        <w:t>Other</w:t>
      </w:r>
      <w:r w:rsidR="006D2016" w:rsidRPr="00933923">
        <w:t xml:space="preserve"> groups also use the NCVS for</w:t>
      </w:r>
      <w:r w:rsidR="00CE1A8B">
        <w:t xml:space="preserve"> victim assistance,</w:t>
      </w:r>
      <w:r w:rsidR="006D2016" w:rsidRPr="00933923">
        <w:t xml:space="preserve"> policy analysis, policy recommendations, </w:t>
      </w:r>
      <w:proofErr w:type="gramStart"/>
      <w:r w:rsidR="006D2016" w:rsidRPr="00933923">
        <w:t>testimony</w:t>
      </w:r>
      <w:proofErr w:type="gramEnd"/>
      <w:r w:rsidR="006D2016" w:rsidRPr="00933923">
        <w:t xml:space="preserve"> before Congress, and documentation for use in courts. Examples including the following:</w:t>
      </w:r>
    </w:p>
    <w:p w:rsidR="006D2016" w:rsidRPr="00933923" w:rsidRDefault="006D2016" w:rsidP="006D2016">
      <w:pPr>
        <w:tabs>
          <w:tab w:val="left" w:pos="-1440"/>
        </w:tabs>
        <w:kinsoku w:val="0"/>
        <w:overflowPunct w:val="0"/>
        <w:spacing w:line="240" w:lineRule="auto"/>
        <w:contextualSpacing/>
        <w:rPr>
          <w:b/>
        </w:rPr>
      </w:pPr>
    </w:p>
    <w:p w:rsidR="006D2016" w:rsidRPr="00933923" w:rsidRDefault="006D2016" w:rsidP="00AC32DC">
      <w:pPr>
        <w:tabs>
          <w:tab w:val="left" w:pos="-1440"/>
        </w:tabs>
        <w:kinsoku w:val="0"/>
        <w:overflowPunct w:val="0"/>
        <w:spacing w:line="240" w:lineRule="auto"/>
        <w:ind w:left="720"/>
        <w:contextualSpacing/>
        <w:rPr>
          <w:b/>
        </w:rPr>
      </w:pPr>
      <w:r w:rsidRPr="00933923">
        <w:t>National Crime Prevention Council</w:t>
      </w:r>
      <w:r w:rsidR="00AC32DC" w:rsidRPr="00933923">
        <w:t xml:space="preserve"> - u</w:t>
      </w:r>
      <w:r w:rsidRPr="00933923">
        <w:t>ses the NCVS data to develop programs on crime prevention and to train and educate individuals, communities, and organizations throughout the United States on effective crime prevention practices.</w:t>
      </w:r>
      <w:r w:rsidR="00CE1A8B">
        <w:t xml:space="preserve">  An improved measure of rape and sexual assault will assist the NCPC in deciding on the scope and reach of programs that are concerned with prevention</w:t>
      </w:r>
      <w:r w:rsidR="003C6700">
        <w:t xml:space="preserve"> and treatment</w:t>
      </w:r>
      <w:r w:rsidR="00CE1A8B">
        <w:t xml:space="preserve"> of rape and sexual assault victims.</w:t>
      </w:r>
    </w:p>
    <w:p w:rsidR="006D2016" w:rsidRPr="00933923" w:rsidRDefault="006D2016" w:rsidP="006D2016">
      <w:pPr>
        <w:tabs>
          <w:tab w:val="left" w:pos="-1440"/>
        </w:tabs>
        <w:kinsoku w:val="0"/>
        <w:overflowPunct w:val="0"/>
        <w:spacing w:line="240" w:lineRule="auto"/>
        <w:contextualSpacing/>
        <w:rPr>
          <w:b/>
        </w:rPr>
      </w:pPr>
    </w:p>
    <w:p w:rsidR="006D2016" w:rsidRPr="00933923" w:rsidRDefault="006D2016" w:rsidP="00AC32DC">
      <w:pPr>
        <w:tabs>
          <w:tab w:val="left" w:pos="-1440"/>
        </w:tabs>
        <w:kinsoku w:val="0"/>
        <w:overflowPunct w:val="0"/>
        <w:spacing w:line="240" w:lineRule="auto"/>
        <w:ind w:left="720"/>
        <w:contextualSpacing/>
      </w:pPr>
      <w:r w:rsidRPr="00933923">
        <w:t>Victim Advocacy Groups</w:t>
      </w:r>
      <w:r w:rsidR="00AC32DC" w:rsidRPr="00933923">
        <w:t xml:space="preserve"> - u</w:t>
      </w:r>
      <w:r w:rsidRPr="00933923">
        <w:t>se the data to identify vulnerable populations, crime victims that do not receive necessary criminal justice system resources, and to draw attention to the emotional, physical, and economic consequences of victimization.</w:t>
      </w:r>
      <w:r w:rsidR="00CE1A8B">
        <w:t xml:space="preserve">  These groups heavily rely </w:t>
      </w:r>
      <w:r w:rsidR="00CE1A8B">
        <w:lastRenderedPageBreak/>
        <w:t>on national figures, such as those produced by the NCVS, to determine funding needs and outreach of programs. The “du</w:t>
      </w:r>
      <w:r w:rsidR="005F6BD4">
        <w:t>e</w:t>
      </w:r>
      <w:r w:rsidR="00CE1A8B">
        <w:t>ling</w:t>
      </w:r>
      <w:r w:rsidR="00F31F9C">
        <w:t>”</w:t>
      </w:r>
      <w:r w:rsidR="00CE1A8B">
        <w:t xml:space="preserve"> estimates produced by the NCVS and the public health surveys create some confusion on the nature and extent of the problems </w:t>
      </w:r>
      <w:r w:rsidR="00F31F9C">
        <w:t xml:space="preserve">that </w:t>
      </w:r>
      <w:r w:rsidR="00CE1A8B">
        <w:t>the</w:t>
      </w:r>
      <w:r w:rsidR="00F31F9C">
        <w:t xml:space="preserve">se groups </w:t>
      </w:r>
      <w:r w:rsidR="00CE1A8B">
        <w:t>are trying to treat.  This project will clarify the differences in these estimates and provide</w:t>
      </w:r>
      <w:r w:rsidR="00E55C1F">
        <w:t xml:space="preserve"> an improved measure of</w:t>
      </w:r>
      <w:r w:rsidR="00CE1A8B">
        <w:t xml:space="preserve"> rape and sexual assault.</w:t>
      </w:r>
    </w:p>
    <w:p w:rsidR="006D2016" w:rsidRPr="00933923" w:rsidRDefault="006D2016" w:rsidP="006D2016">
      <w:pPr>
        <w:tabs>
          <w:tab w:val="left" w:pos="-1440"/>
        </w:tabs>
        <w:kinsoku w:val="0"/>
        <w:overflowPunct w:val="0"/>
        <w:spacing w:line="240" w:lineRule="auto"/>
        <w:contextualSpacing/>
        <w:rPr>
          <w:b/>
        </w:rPr>
      </w:pPr>
    </w:p>
    <w:p w:rsidR="006D2016" w:rsidRPr="00933923" w:rsidRDefault="006D2016" w:rsidP="00AC32DC">
      <w:pPr>
        <w:tabs>
          <w:tab w:val="left" w:pos="-1440"/>
        </w:tabs>
        <w:kinsoku w:val="0"/>
        <w:overflowPunct w:val="0"/>
        <w:spacing w:line="240" w:lineRule="auto"/>
        <w:ind w:left="720"/>
        <w:contextualSpacing/>
      </w:pPr>
      <w:r w:rsidRPr="00933923">
        <w:t>Print and broadcast media</w:t>
      </w:r>
      <w:r w:rsidR="00AC32DC" w:rsidRPr="00933923">
        <w:t xml:space="preserve"> - </w:t>
      </w:r>
      <w:r w:rsidR="00F31F9C">
        <w:t>have</w:t>
      </w:r>
      <w:r w:rsidRPr="00933923">
        <w:t xml:space="preserve"> become increasingly familiar with the NC</w:t>
      </w:r>
      <w:r w:rsidR="00AC32DC" w:rsidRPr="00933923">
        <w:t>VS</w:t>
      </w:r>
      <w:r w:rsidRPr="00933923">
        <w:t xml:space="preserve"> data</w:t>
      </w:r>
      <w:r w:rsidR="00F31F9C">
        <w:t>,</w:t>
      </w:r>
      <w:r w:rsidRPr="00933923">
        <w:t xml:space="preserve"> and the public regularly views news articles and press releases containing NCVS data. Findings from the NCVS appear regularly in a wide variety of contexts on television, radio, in print, and online when reporting on a host of crime-related topics. </w:t>
      </w:r>
    </w:p>
    <w:p w:rsidR="006D2016" w:rsidRPr="00933923" w:rsidRDefault="006D2016" w:rsidP="009914AE">
      <w:pPr>
        <w:pStyle w:val="L1-FlLSp12"/>
      </w:pPr>
    </w:p>
    <w:p w:rsidR="00154211" w:rsidRPr="00933923" w:rsidRDefault="00154211" w:rsidP="009914AE">
      <w:pPr>
        <w:pStyle w:val="L1-FlLSp12"/>
      </w:pPr>
    </w:p>
    <w:p w:rsidR="000A4A99" w:rsidRPr="003F40FD" w:rsidRDefault="00113BD0" w:rsidP="003F40FD">
      <w:pPr>
        <w:pStyle w:val="Heading3"/>
      </w:pPr>
      <w:bookmarkStart w:id="22" w:name="_Toc361144783"/>
      <w:bookmarkStart w:id="23" w:name="_Toc380930576"/>
      <w:bookmarkStart w:id="24" w:name="_Toc380930732"/>
      <w:r w:rsidRPr="003F40FD">
        <w:t>A</w:t>
      </w:r>
      <w:r w:rsidR="000A4A99" w:rsidRPr="003F40FD">
        <w:t>3.</w:t>
      </w:r>
      <w:r w:rsidR="000A4A99" w:rsidRPr="003F40FD">
        <w:tab/>
        <w:t>Use of Technology</w:t>
      </w:r>
      <w:bookmarkEnd w:id="22"/>
      <w:bookmarkEnd w:id="23"/>
      <w:bookmarkEnd w:id="24"/>
    </w:p>
    <w:p w:rsidR="00637C23" w:rsidRPr="00933923" w:rsidRDefault="000A4A99" w:rsidP="00154211">
      <w:pPr>
        <w:pStyle w:val="L1-FlLSp12"/>
      </w:pPr>
      <w:r w:rsidRPr="00933923">
        <w:rPr>
          <w:u w:val="single"/>
        </w:rPr>
        <w:t>Field:</w:t>
      </w:r>
      <w:r w:rsidRPr="00933923">
        <w:t xml:space="preserve"> </w:t>
      </w:r>
      <w:r w:rsidR="00E06F32" w:rsidRPr="00933923">
        <w:t>F</w:t>
      </w:r>
      <w:r w:rsidRPr="00933923">
        <w:t>ield interviewers will conduct interviews using laptop computers.</w:t>
      </w:r>
      <w:r w:rsidR="0008441A" w:rsidRPr="00933923">
        <w:t xml:space="preserve"> </w:t>
      </w:r>
      <w:r w:rsidR="00637C23" w:rsidRPr="00933923">
        <w:t>The initial contacts will be conducted using computer assisted personal interviews (CAPI).</w:t>
      </w:r>
      <w:r w:rsidR="0008441A" w:rsidRPr="00933923">
        <w:t xml:space="preserve"> </w:t>
      </w:r>
      <w:r w:rsidR="00637C23" w:rsidRPr="00933923">
        <w:t>In conjunction with the CAPI, the interviewer will be using a</w:t>
      </w:r>
      <w:r w:rsidR="00A221DE">
        <w:t>n</w:t>
      </w:r>
      <w:r w:rsidR="00637C23" w:rsidRPr="00933923">
        <w:t xml:space="preserve"> electronic call record, which provides a detailed history of the attempts that have been made to contact the household.</w:t>
      </w:r>
    </w:p>
    <w:p w:rsidR="00637C23" w:rsidRPr="00933923" w:rsidRDefault="00637C23" w:rsidP="00154211">
      <w:pPr>
        <w:pStyle w:val="L1-FlLSp12"/>
      </w:pPr>
    </w:p>
    <w:p w:rsidR="00E55C1F" w:rsidRDefault="000A4A99" w:rsidP="00154211">
      <w:pPr>
        <w:pStyle w:val="L1-FlLSp12"/>
      </w:pPr>
      <w:r w:rsidRPr="00933923">
        <w:t>Because of the sensitivity of the sexual assault questions, women will enter the answers themselves using ACASI technology.</w:t>
      </w:r>
      <w:r w:rsidR="0008441A" w:rsidRPr="00933923">
        <w:t xml:space="preserve"> </w:t>
      </w:r>
      <w:r w:rsidR="00E06F32" w:rsidRPr="00933923">
        <w:t xml:space="preserve">Research with ACASI suggests respondents provide </w:t>
      </w:r>
      <w:r w:rsidR="003D18AD">
        <w:t>higher</w:t>
      </w:r>
      <w:r w:rsidR="003D18AD" w:rsidRPr="00933923">
        <w:t xml:space="preserve"> </w:t>
      </w:r>
      <w:r w:rsidR="00E06F32" w:rsidRPr="00933923">
        <w:t>report</w:t>
      </w:r>
      <w:r w:rsidR="003D18AD">
        <w:t>s</w:t>
      </w:r>
      <w:r w:rsidR="00E06F32" w:rsidRPr="00933923">
        <w:t xml:space="preserve"> of sensitive behaviors when the questions are administered via ACASI as opposed to traditional interviewer-assisted methods</w:t>
      </w:r>
      <w:r w:rsidR="00CA1EF6">
        <w:t xml:space="preserve"> (Tourangeau and Yan, 2007)</w:t>
      </w:r>
      <w:r w:rsidR="00E06F32" w:rsidRPr="00933923">
        <w:t>.</w:t>
      </w:r>
      <w:r w:rsidR="0008441A" w:rsidRPr="00933923">
        <w:t xml:space="preserve"> </w:t>
      </w:r>
      <w:r w:rsidR="00E55C1F">
        <w:t xml:space="preserve"> </w:t>
      </w:r>
      <w:r w:rsidR="00A57115">
        <w:t>Increased reporting is often considered to represent better data, s</w:t>
      </w:r>
      <w:r w:rsidR="00E55C1F">
        <w:t xml:space="preserve">ince </w:t>
      </w:r>
      <w:r w:rsidR="00F31F9C">
        <w:t xml:space="preserve">responses to </w:t>
      </w:r>
      <w:r w:rsidR="00E55C1F">
        <w:t xml:space="preserve">sensitive questions like rape and sexual assault are generally </w:t>
      </w:r>
      <w:r w:rsidR="00F31F9C">
        <w:t xml:space="preserve">thought to be </w:t>
      </w:r>
      <w:r w:rsidR="00E55C1F">
        <w:t>underreported</w:t>
      </w:r>
      <w:r w:rsidR="00A57115">
        <w:t>; however,</w:t>
      </w:r>
      <w:r w:rsidR="00E55C1F">
        <w:t xml:space="preserve"> few studies have confirmed this</w:t>
      </w:r>
      <w:r w:rsidR="00F95B1B">
        <w:t xml:space="preserve"> with external validation</w:t>
      </w:r>
      <w:r w:rsidR="00E55C1F">
        <w:t xml:space="preserve"> (e.g., Kreuter</w:t>
      </w:r>
      <w:r w:rsidR="00F95B1B">
        <w:t xml:space="preserve"> et al, 2008).  The present study will use several methods to assess the quality of the reports, including administration of a detailed incident form, debriefings and a re-interview of a subsample of the respondents.  When compared to the interviewer-administered version of the survey (see below), the analysis will provide some assessment of </w:t>
      </w:r>
      <w:r w:rsidR="00062799">
        <w:t xml:space="preserve">the quantity and the quality of ACASI </w:t>
      </w:r>
      <w:r w:rsidR="00F95B1B">
        <w:t>reports.</w:t>
      </w:r>
    </w:p>
    <w:p w:rsidR="00E55C1F" w:rsidRDefault="00E55C1F" w:rsidP="00154211">
      <w:pPr>
        <w:pStyle w:val="L1-FlLSp12"/>
      </w:pPr>
    </w:p>
    <w:p w:rsidR="000A4A99" w:rsidRPr="00933923" w:rsidRDefault="000A4A99" w:rsidP="00154211">
      <w:pPr>
        <w:pStyle w:val="L1-FlLSp12"/>
      </w:pPr>
      <w:r w:rsidRPr="00933923">
        <w:t>This</w:t>
      </w:r>
      <w:r w:rsidR="00E06F32" w:rsidRPr="00933923">
        <w:t xml:space="preserve"> methodology also</w:t>
      </w:r>
      <w:r w:rsidRPr="00933923">
        <w:t xml:space="preserve"> allow</w:t>
      </w:r>
      <w:r w:rsidR="00E06F32" w:rsidRPr="00933923">
        <w:t>s respondents</w:t>
      </w:r>
      <w:r w:rsidRPr="00933923">
        <w:t xml:space="preserve"> </w:t>
      </w:r>
      <w:r w:rsidR="00E06F32" w:rsidRPr="00933923">
        <w:t>t</w:t>
      </w:r>
      <w:r w:rsidRPr="00933923">
        <w:t>o hear each question through headphones as it appears on the screen.</w:t>
      </w:r>
      <w:r w:rsidR="0008441A" w:rsidRPr="00933923">
        <w:t xml:space="preserve"> </w:t>
      </w:r>
      <w:r w:rsidRPr="00933923">
        <w:t>In addition, the ACASI methodology allows respondents with low literacy levels to participate because the audio component provides clear instruction for how to indicate.</w:t>
      </w:r>
      <w:r w:rsidR="0008441A" w:rsidRPr="00933923">
        <w:t xml:space="preserve"> </w:t>
      </w:r>
    </w:p>
    <w:p w:rsidR="000A4A99" w:rsidRPr="00933923" w:rsidRDefault="000A4A99" w:rsidP="00154211">
      <w:pPr>
        <w:pStyle w:val="L1-FlLSp12"/>
      </w:pPr>
    </w:p>
    <w:p w:rsidR="000A4A99" w:rsidRPr="00933923" w:rsidRDefault="000A4A99" w:rsidP="00154211">
      <w:pPr>
        <w:pStyle w:val="L1-FlLSp12"/>
      </w:pPr>
      <w:r w:rsidRPr="00933923">
        <w:t xml:space="preserve">ACASI </w:t>
      </w:r>
      <w:r w:rsidR="00A57115" w:rsidRPr="00933923">
        <w:t>technology</w:t>
      </w:r>
      <w:r w:rsidR="00A57115">
        <w:t xml:space="preserve"> </w:t>
      </w:r>
      <w:r w:rsidRPr="00933923">
        <w:t>improves the flow of the interview through built-in skip patterns and filled-in reference periods that tailor specific questions to individuals.</w:t>
      </w:r>
      <w:r w:rsidR="0008441A" w:rsidRPr="00933923">
        <w:t xml:space="preserve"> </w:t>
      </w:r>
      <w:r w:rsidRPr="00933923">
        <w:t>This technology also produces more accurate data through built in edit checks.</w:t>
      </w:r>
    </w:p>
    <w:p w:rsidR="000A4A99" w:rsidRPr="00933923" w:rsidRDefault="000A4A99" w:rsidP="00154211">
      <w:pPr>
        <w:pStyle w:val="L1-FlLSp12"/>
      </w:pPr>
    </w:p>
    <w:p w:rsidR="000A4A99" w:rsidRPr="00933923" w:rsidRDefault="000A4A99" w:rsidP="00154211">
      <w:pPr>
        <w:pStyle w:val="L1-FlLSp12"/>
      </w:pPr>
      <w:r w:rsidRPr="00933923">
        <w:t xml:space="preserve">To support monitoring and quality analyses, we will record the interviewing portion of the field visits for which respondents agree to be recorded. </w:t>
      </w:r>
    </w:p>
    <w:p w:rsidR="000A4A99" w:rsidRPr="00933923" w:rsidRDefault="000A4A99" w:rsidP="00154211">
      <w:pPr>
        <w:pStyle w:val="L1-FlLSp12"/>
      </w:pPr>
    </w:p>
    <w:p w:rsidR="000A4A99" w:rsidRPr="00933923" w:rsidRDefault="000A4A99" w:rsidP="00154211">
      <w:pPr>
        <w:pStyle w:val="L1-FlLSp12"/>
      </w:pPr>
      <w:r w:rsidRPr="00933923">
        <w:rPr>
          <w:u w:val="single"/>
        </w:rPr>
        <w:t>Phone:</w:t>
      </w:r>
      <w:r w:rsidR="0008441A" w:rsidRPr="00933923">
        <w:t xml:space="preserve"> </w:t>
      </w:r>
      <w:r w:rsidRPr="00933923">
        <w:t>The telephone interviewing effort will be conducted by the distributed staff of the Telephone Research Center, and will make use of several types of technology in support of this data collection effort.</w:t>
      </w:r>
      <w:r w:rsidR="0008441A" w:rsidRPr="00933923">
        <w:t xml:space="preserve"> </w:t>
      </w:r>
      <w:r w:rsidRPr="00933923">
        <w:t>The telephone survey will use computer-assisted telephone interviewing technology (CATI). CATI allows for complex skip patterns in the questionnaire, which reduces administration time and respondent burden and allows questions to be tailored to specific subpopulations, as needed.</w:t>
      </w:r>
      <w:r w:rsidR="0008441A" w:rsidRPr="00933923">
        <w:t xml:space="preserve"> </w:t>
      </w:r>
      <w:r w:rsidRPr="00933923">
        <w:t xml:space="preserve">Interviewer accuracy is increased over paper and pencil survey administrations because edits can be programmed and out-of-range or inconsistency in response can be quickly resolved with the respondent. Data are written directly into a data base, eliminating the need for time-consuming coding and data entering. </w:t>
      </w:r>
    </w:p>
    <w:p w:rsidR="000A4A99" w:rsidRPr="00933923" w:rsidRDefault="000A4A99" w:rsidP="00154211">
      <w:pPr>
        <w:pStyle w:val="L1-FlLSp12"/>
      </w:pPr>
    </w:p>
    <w:p w:rsidR="000A4A99" w:rsidRPr="00933923" w:rsidRDefault="000A4A99" w:rsidP="00154211">
      <w:pPr>
        <w:pStyle w:val="L1-FlLSp12"/>
      </w:pPr>
      <w:r w:rsidRPr="00933923">
        <w:t xml:space="preserve">In addition, the telephone calling effort will be supported by </w:t>
      </w:r>
      <w:r w:rsidR="00637C23" w:rsidRPr="00933923">
        <w:t>a</w:t>
      </w:r>
      <w:r w:rsidRPr="00933923">
        <w:t xml:space="preserve"> telephon</w:t>
      </w:r>
      <w:r w:rsidR="00A57115">
        <w:t>e</w:t>
      </w:r>
      <w:r w:rsidRPr="00933923">
        <w:t xml:space="preserve"> system which coordinates the calling efforts for staff based in physical telephone centers as well as those working from their homes. The telephony system is capable of three-way conferencing, which will be used if respondents experience distress and need to be connected to a counselor. </w:t>
      </w:r>
    </w:p>
    <w:p w:rsidR="000A4A99" w:rsidRPr="00933923" w:rsidRDefault="000A4A99" w:rsidP="00154211">
      <w:pPr>
        <w:pStyle w:val="L1-FlLSp12"/>
      </w:pPr>
    </w:p>
    <w:p w:rsidR="000A4A99" w:rsidRPr="00933923" w:rsidRDefault="00637C23" w:rsidP="00154211">
      <w:pPr>
        <w:pStyle w:val="L1-FlLSp12"/>
      </w:pPr>
      <w:r w:rsidRPr="00933923">
        <w:t xml:space="preserve">A </w:t>
      </w:r>
      <w:r w:rsidR="000A4A99" w:rsidRPr="00933923">
        <w:t>call scheduler will distribute cases in need of calls to the most appropriate type of staff in any location, with all interviewers coded into specific work classes representing different interviewer qualifications or capabilities. For example, cases requiring calls by Spanish-English bilingual interviewers will only be delivered to those in the Spanish work class, and cases in need of refusal conversion will only be delivered to interviewers in the refusal work class.</w:t>
      </w:r>
    </w:p>
    <w:p w:rsidR="000A4A99" w:rsidRPr="00933923" w:rsidRDefault="000A4A99" w:rsidP="00154211">
      <w:pPr>
        <w:pStyle w:val="L1-FlLSp12"/>
      </w:pPr>
    </w:p>
    <w:p w:rsidR="000A4A99" w:rsidRPr="00933923" w:rsidRDefault="000A4A99" w:rsidP="00154211">
      <w:pPr>
        <w:pStyle w:val="L1-FlLSp12"/>
      </w:pPr>
      <w:r w:rsidRPr="00933923">
        <w:t>Specifically for the landline sample, predictive dialing will be used when at the initial household screening level for the landline telephones in an effort to reduce costs and increase productivity and efficiency for the interviewers dialing these cases.</w:t>
      </w:r>
      <w:r w:rsidR="0008441A" w:rsidRPr="00933923">
        <w:t xml:space="preserve"> </w:t>
      </w:r>
      <w:r w:rsidRPr="00933923">
        <w:t>Once contact has been made with someone at the sampled landline telephone number, the case will switch out of the predictive dialing mode and into a traditional dialing mode in which the interviewer places the call and waits for an outcome to code (e.g., ring no answer, answering machine, some form of contact with the household, etc.). This technology is being implemented due to the large volume of non-contact outcomes expected from the initial screening effort on the landline sample.</w:t>
      </w:r>
      <w:r w:rsidR="0008441A" w:rsidRPr="00933923">
        <w:t xml:space="preserve"> </w:t>
      </w:r>
      <w:r w:rsidRPr="00933923">
        <w:t>Due to federal restrictions, this technology will not be employed for the cell phone sample.</w:t>
      </w:r>
    </w:p>
    <w:p w:rsidR="000A4A99" w:rsidRPr="00933923" w:rsidRDefault="000A4A99" w:rsidP="00154211">
      <w:pPr>
        <w:pStyle w:val="L1-FlLSp12"/>
      </w:pPr>
    </w:p>
    <w:p w:rsidR="000A4A99" w:rsidRPr="00933923" w:rsidRDefault="000A4A99" w:rsidP="00154211">
      <w:pPr>
        <w:pStyle w:val="L1-FlLSp12"/>
      </w:pPr>
      <w:r w:rsidRPr="00933923">
        <w:lastRenderedPageBreak/>
        <w:t>To facilitate internal communication among distributed staff, telephone data collection staff at all levels (interviewers, supervisors, and manager) are connected at all times over an instant messaging system, allowing for quick reporting of any problem situations and triaging of these problems to the staff best suited to resolve them.</w:t>
      </w:r>
      <w:r w:rsidR="0008441A" w:rsidRPr="00933923">
        <w:t xml:space="preserve"> </w:t>
      </w:r>
      <w:r w:rsidRPr="00933923">
        <w:t>In addition, a project-specific Sharepoint site will be created to allow for regular updates to be posted regarding study progress, specific data collection issues, or any other type of study announcement so that all interviewers, supervisors and managers can be kept up-to-date.</w:t>
      </w:r>
    </w:p>
    <w:p w:rsidR="000A4A99" w:rsidRPr="00933923" w:rsidRDefault="000A4A99" w:rsidP="00154211">
      <w:pPr>
        <w:pStyle w:val="L1-FlLSp12"/>
      </w:pPr>
    </w:p>
    <w:p w:rsidR="000A4A99" w:rsidRPr="00933923" w:rsidRDefault="000A4A99" w:rsidP="00154211">
      <w:pPr>
        <w:pStyle w:val="L1-FlLSp12"/>
      </w:pPr>
      <w:r w:rsidRPr="00933923">
        <w:t xml:space="preserve">Finally, to support monitoring and quality analyses, we will record all telephone interviews for which respondents agree to be recorded. </w:t>
      </w:r>
    </w:p>
    <w:p w:rsidR="000A4A99" w:rsidRPr="00933923" w:rsidRDefault="000A4A99" w:rsidP="00154211">
      <w:pPr>
        <w:pStyle w:val="L1-FlLSp12"/>
      </w:pPr>
    </w:p>
    <w:p w:rsidR="00154211" w:rsidRPr="00933923" w:rsidRDefault="00154211" w:rsidP="00154211">
      <w:pPr>
        <w:pStyle w:val="L1-FlLSp12"/>
      </w:pPr>
    </w:p>
    <w:p w:rsidR="000A4A99" w:rsidRPr="003F40FD" w:rsidRDefault="00113BD0" w:rsidP="003F40FD">
      <w:pPr>
        <w:pStyle w:val="Heading3"/>
      </w:pPr>
      <w:bookmarkStart w:id="25" w:name="_Toc361144784"/>
      <w:bookmarkStart w:id="26" w:name="_Toc380930577"/>
      <w:bookmarkStart w:id="27" w:name="_Toc380930733"/>
      <w:r w:rsidRPr="003F40FD">
        <w:t>A</w:t>
      </w:r>
      <w:r w:rsidR="000A4A99" w:rsidRPr="003F40FD">
        <w:t>4.</w:t>
      </w:r>
      <w:r w:rsidR="000A4A99" w:rsidRPr="003F40FD">
        <w:tab/>
        <w:t>Efforts to Identify Duplication</w:t>
      </w:r>
      <w:bookmarkEnd w:id="25"/>
      <w:bookmarkEnd w:id="26"/>
      <w:bookmarkEnd w:id="27"/>
    </w:p>
    <w:p w:rsidR="000A4A99" w:rsidRPr="00933923" w:rsidRDefault="000A4A99" w:rsidP="00154211">
      <w:pPr>
        <w:pStyle w:val="L1-FlLSp12"/>
      </w:pPr>
      <w:r w:rsidRPr="00933923">
        <w:t>The Centers for Disease Control (CDC) currently collects data on sexual violence through the National Intimate Partner and Sexual Violence Survey (NISVS).</w:t>
      </w:r>
      <w:r w:rsidR="0008441A" w:rsidRPr="00933923">
        <w:t xml:space="preserve"> </w:t>
      </w:r>
      <w:r w:rsidRPr="00933923">
        <w:t>This survey uses the public health methodology discussed in section A.1.</w:t>
      </w:r>
      <w:r w:rsidR="0008441A" w:rsidRPr="00933923">
        <w:t xml:space="preserve"> </w:t>
      </w:r>
      <w:r w:rsidRPr="00933923">
        <w:t>These data concentrate on sexual violence, not necessarily violence that would count as a crime.</w:t>
      </w:r>
      <w:r w:rsidR="0008441A" w:rsidRPr="00933923">
        <w:t xml:space="preserve"> </w:t>
      </w:r>
      <w:r w:rsidRPr="00933923">
        <w:t xml:space="preserve">It also uses a methodology, random digit dial (RDD) telephone interviewing, which yields </w:t>
      </w:r>
      <w:r w:rsidR="00637C23" w:rsidRPr="00933923">
        <w:t xml:space="preserve">coverage and </w:t>
      </w:r>
      <w:r w:rsidRPr="00933923">
        <w:t>response rates that are quite a bit below the NCVS.</w:t>
      </w:r>
      <w:r w:rsidR="0008441A" w:rsidRPr="00933923">
        <w:t xml:space="preserve"> </w:t>
      </w:r>
      <w:r w:rsidRPr="00933923">
        <w:t>The goal of the present study is to assess how this type of methodology compares with one that is more consistent with the goals of the NCVS, which is to count and classify events into specific crime categories.</w:t>
      </w:r>
    </w:p>
    <w:p w:rsidR="000A4A99" w:rsidRPr="00933923" w:rsidRDefault="000A4A99" w:rsidP="00154211">
      <w:pPr>
        <w:pStyle w:val="L1-FlLSp12"/>
      </w:pPr>
    </w:p>
    <w:p w:rsidR="000A4A99" w:rsidRPr="00933923" w:rsidRDefault="00637C23" w:rsidP="00154211">
      <w:pPr>
        <w:pStyle w:val="L1-FlLSp12"/>
      </w:pPr>
      <w:r w:rsidRPr="00933923">
        <w:t>T</w:t>
      </w:r>
      <w:r w:rsidR="000A4A99" w:rsidRPr="00933923">
        <w:t>he public health surveys have used answers to behavior-specific screening questions to classify the event (e.g., rape, sexual violence), without any detailed follow-up.</w:t>
      </w:r>
      <w:r w:rsidR="0008441A" w:rsidRPr="00933923">
        <w:t xml:space="preserve"> </w:t>
      </w:r>
      <w:r w:rsidR="000A4A99" w:rsidRPr="00933923">
        <w:t>Using a two-stage methodology similar to the NCVS, the current study will use behavior-specific screening items similar to those employed by the public health approach.</w:t>
      </w:r>
      <w:r w:rsidR="0008441A" w:rsidRPr="00933923">
        <w:t xml:space="preserve"> </w:t>
      </w:r>
      <w:r w:rsidR="000A4A99" w:rsidRPr="00933923">
        <w:t>It will also administer a detailed incident form to classify and count the number of events.</w:t>
      </w:r>
      <w:r w:rsidR="0008441A" w:rsidRPr="00933923">
        <w:t xml:space="preserve"> </w:t>
      </w:r>
      <w:r w:rsidR="000A4A99" w:rsidRPr="00933923">
        <w:t>For example, it is relatively common for incidents reported on the NCVS screener to shift in classification or to be determined to not be a crime when followed up with more detailed questions.</w:t>
      </w:r>
      <w:r w:rsidR="0008441A" w:rsidRPr="00933923">
        <w:t xml:space="preserve"> </w:t>
      </w:r>
      <w:r w:rsidR="000A4A99" w:rsidRPr="00933923">
        <w:t>The present study will use the follow-up questions to categorize the events into the appropriate crime categories and to count these events for purposes of estimating rates of rape and other sexual assault.</w:t>
      </w:r>
    </w:p>
    <w:p w:rsidR="000A4A99" w:rsidRPr="00933923" w:rsidRDefault="000A4A99" w:rsidP="00154211">
      <w:pPr>
        <w:pStyle w:val="L1-FlLSp12"/>
      </w:pPr>
    </w:p>
    <w:p w:rsidR="000A4A99" w:rsidRPr="00933923" w:rsidRDefault="000A4A99" w:rsidP="00154211">
      <w:pPr>
        <w:pStyle w:val="L1-FlLSp12"/>
      </w:pPr>
      <w:r w:rsidRPr="00933923">
        <w:t>It is also expected that the two surveys (RDD and ACASI) will achieve different response rates.</w:t>
      </w:r>
      <w:r w:rsidR="0008441A" w:rsidRPr="00933923">
        <w:t xml:space="preserve"> </w:t>
      </w:r>
      <w:r w:rsidRPr="00933923">
        <w:t>A comparison of the profiles of the respondents of the two surveys will provide another measure of how the two methodologies differ.</w:t>
      </w:r>
      <w:r w:rsidR="0008441A" w:rsidRPr="00933923">
        <w:t xml:space="preserve"> </w:t>
      </w:r>
      <w:r w:rsidRPr="00933923">
        <w:t xml:space="preserve">For example, it might be the case that the ACASI survey will </w:t>
      </w:r>
      <w:r w:rsidRPr="00933923">
        <w:lastRenderedPageBreak/>
        <w:t>reach lower income and younger individuals who are at greater risk of sexual assault.</w:t>
      </w:r>
      <w:r w:rsidR="0008441A" w:rsidRPr="00933923">
        <w:t xml:space="preserve"> </w:t>
      </w:r>
      <w:r w:rsidRPr="00933923">
        <w:t>The extent this is true can be assessed in the comparison of the characteristics of respondents from each method.</w:t>
      </w:r>
    </w:p>
    <w:p w:rsidR="000A4A99" w:rsidRPr="00933923" w:rsidRDefault="000A4A99" w:rsidP="00154211">
      <w:pPr>
        <w:pStyle w:val="L1-FlLSp12"/>
      </w:pPr>
    </w:p>
    <w:p w:rsidR="000A4A99" w:rsidRPr="00933923" w:rsidRDefault="000A4A99" w:rsidP="00154211">
      <w:pPr>
        <w:pStyle w:val="L1-FlLSp12"/>
      </w:pPr>
      <w:r w:rsidRPr="00933923">
        <w:t>For more details on the analysis plans, see Section B.2e.</w:t>
      </w:r>
    </w:p>
    <w:p w:rsidR="0008441A" w:rsidRPr="00933923" w:rsidRDefault="0008441A" w:rsidP="00154211">
      <w:pPr>
        <w:pStyle w:val="L1-FlLSp12"/>
      </w:pPr>
    </w:p>
    <w:p w:rsidR="0008441A" w:rsidRPr="00933923" w:rsidRDefault="0008441A" w:rsidP="00154211">
      <w:pPr>
        <w:pStyle w:val="L1-FlLSp12"/>
      </w:pPr>
    </w:p>
    <w:p w:rsidR="000A4A99" w:rsidRPr="003F40FD" w:rsidRDefault="00113BD0" w:rsidP="003F40FD">
      <w:pPr>
        <w:pStyle w:val="Heading3"/>
      </w:pPr>
      <w:bookmarkStart w:id="28" w:name="_Toc361144785"/>
      <w:bookmarkStart w:id="29" w:name="_Toc380930578"/>
      <w:bookmarkStart w:id="30" w:name="_Toc380930734"/>
      <w:r w:rsidRPr="003F40FD">
        <w:t>A</w:t>
      </w:r>
      <w:r w:rsidR="000A4A99" w:rsidRPr="003F40FD">
        <w:t>5.</w:t>
      </w:r>
      <w:r w:rsidR="000A4A99" w:rsidRPr="003F40FD">
        <w:tab/>
      </w:r>
      <w:r w:rsidR="0096704A" w:rsidRPr="003F40FD">
        <w:t>Efforts to Minimize Burden</w:t>
      </w:r>
      <w:bookmarkEnd w:id="28"/>
      <w:bookmarkEnd w:id="29"/>
      <w:bookmarkEnd w:id="30"/>
    </w:p>
    <w:p w:rsidR="000A4A99" w:rsidRDefault="0096704A" w:rsidP="00154211">
      <w:pPr>
        <w:pStyle w:val="L1-FlLSp12"/>
      </w:pPr>
      <w:r>
        <w:t xml:space="preserve">This project </w:t>
      </w:r>
      <w:r w:rsidR="00A221DE">
        <w:t>will</w:t>
      </w:r>
      <w:r>
        <w:t xml:space="preserve"> minimize burden on respondents in two ways.  First, all materials that are provided to the respondent have been designed to be easy to use and to read.</w:t>
      </w:r>
      <w:r w:rsidR="00C05E5D">
        <w:t xml:space="preserve">  The written materials (e.g., advance letters) have been written to be as short and direct as possible.</w:t>
      </w:r>
      <w:r>
        <w:t xml:space="preserve">  For the main survey interview, a series of cognitive interviews have been completed which </w:t>
      </w:r>
      <w:r w:rsidR="00C05E5D">
        <w:t>tested whether the questions were easily understood by respondents and could be answered with a minimal amount of effort.</w:t>
      </w:r>
    </w:p>
    <w:p w:rsidR="00C05E5D" w:rsidRDefault="00C05E5D" w:rsidP="00154211">
      <w:pPr>
        <w:pStyle w:val="L1-FlLSp12"/>
      </w:pPr>
    </w:p>
    <w:p w:rsidR="00C05E5D" w:rsidRPr="00933923" w:rsidRDefault="00A221DE" w:rsidP="00154211">
      <w:pPr>
        <w:pStyle w:val="L1-FlLSp12"/>
      </w:pPr>
      <w:r>
        <w:t>Second, t</w:t>
      </w:r>
      <w:r w:rsidR="00C05E5D">
        <w:t>he interview uses a two-stage methodology</w:t>
      </w:r>
      <w:r>
        <w:t xml:space="preserve"> to reduce burden</w:t>
      </w:r>
      <w:r w:rsidR="00C05E5D">
        <w:t xml:space="preserve">.  The first stage asks if the respondent has been victimized and the second stage follows up those respondents that report </w:t>
      </w:r>
      <w:proofErr w:type="gramStart"/>
      <w:r w:rsidR="00C05E5D">
        <w:t>a victimization</w:t>
      </w:r>
      <w:proofErr w:type="gramEnd"/>
      <w:r w:rsidR="00C05E5D">
        <w:t xml:space="preserve"> and asks about the details of the specific incident.  </w:t>
      </w:r>
      <w:r w:rsidR="007F4BEB">
        <w:t>To minimize burden, t</w:t>
      </w:r>
      <w:r w:rsidR="00C05E5D">
        <w:t xml:space="preserve">he survey will only follow-up with the detailed questions for those reporting an incident as occurring within the previous 12 months.  Those reporting incidents that occurred more than 12 months in the past will not be asked the additional questions.  </w:t>
      </w:r>
      <w:r w:rsidR="007F4BEB">
        <w:t>I</w:t>
      </w:r>
      <w:r w:rsidR="00C05E5D">
        <w:t>n a</w:t>
      </w:r>
      <w:r w:rsidR="007F4BEB">
        <w:t xml:space="preserve"> related decision to reduce burden</w:t>
      </w:r>
      <w:r w:rsidR="00C05E5D">
        <w:t>, the number of incidents for which there are follow-up questions is limited to 3.  Those that report 4 or more incidents within the last 12 months will be asked</w:t>
      </w:r>
      <w:r w:rsidR="007F4BEB">
        <w:t xml:space="preserve"> to report the details for</w:t>
      </w:r>
      <w:r w:rsidR="00C05E5D">
        <w:t xml:space="preserve"> the 3 most recent incidents.</w:t>
      </w:r>
    </w:p>
    <w:p w:rsidR="000A4A99" w:rsidRDefault="000A4A99" w:rsidP="00154211">
      <w:pPr>
        <w:pStyle w:val="L1-FlLSp12"/>
      </w:pPr>
    </w:p>
    <w:p w:rsidR="002E1D76" w:rsidRPr="00933923" w:rsidRDefault="002E1D76" w:rsidP="00154211">
      <w:pPr>
        <w:pStyle w:val="L1-FlLSp12"/>
      </w:pPr>
    </w:p>
    <w:p w:rsidR="000A4A99" w:rsidRPr="003F40FD" w:rsidRDefault="00113BD0" w:rsidP="003F40FD">
      <w:pPr>
        <w:pStyle w:val="Heading3"/>
      </w:pPr>
      <w:bookmarkStart w:id="31" w:name="_Toc361144786"/>
      <w:bookmarkStart w:id="32" w:name="_Toc380930579"/>
      <w:bookmarkStart w:id="33" w:name="_Toc380930735"/>
      <w:r w:rsidRPr="003F40FD">
        <w:t>A</w:t>
      </w:r>
      <w:r w:rsidR="000A4A99" w:rsidRPr="003F40FD">
        <w:t>6.</w:t>
      </w:r>
      <w:r w:rsidR="000A4A99" w:rsidRPr="003F40FD">
        <w:tab/>
        <w:t>Consequences of Less Frequent Collection</w:t>
      </w:r>
      <w:bookmarkEnd w:id="31"/>
      <w:bookmarkEnd w:id="32"/>
      <w:bookmarkEnd w:id="33"/>
    </w:p>
    <w:p w:rsidR="000A4A99" w:rsidRPr="00933923" w:rsidRDefault="000A4A99" w:rsidP="00154211">
      <w:pPr>
        <w:pStyle w:val="L1-FlLSp12"/>
      </w:pPr>
      <w:r w:rsidRPr="00933923">
        <w:t>This is a one-time collection.</w:t>
      </w:r>
      <w:r w:rsidR="0008441A" w:rsidRPr="00933923">
        <w:t xml:space="preserve"> </w:t>
      </w:r>
      <w:r w:rsidRPr="00933923">
        <w:t>The results will be used to make recommendations for whether the proposed methodology should be used as part of the ongoing NCVS and the frequency with which it should be used.</w:t>
      </w:r>
    </w:p>
    <w:p w:rsidR="000A4A99" w:rsidRPr="00933923" w:rsidRDefault="000A4A99" w:rsidP="00154211">
      <w:pPr>
        <w:pStyle w:val="L1-FlLSp12"/>
      </w:pPr>
    </w:p>
    <w:p w:rsidR="00154211" w:rsidRPr="00933923" w:rsidRDefault="00154211" w:rsidP="00154211">
      <w:pPr>
        <w:pStyle w:val="L1-FlLSp12"/>
      </w:pPr>
    </w:p>
    <w:p w:rsidR="000A4A99" w:rsidRPr="003F40FD" w:rsidRDefault="00113BD0" w:rsidP="003F40FD">
      <w:pPr>
        <w:pStyle w:val="Heading3"/>
      </w:pPr>
      <w:bookmarkStart w:id="34" w:name="_Toc361144787"/>
      <w:bookmarkStart w:id="35" w:name="_Toc380930580"/>
      <w:bookmarkStart w:id="36" w:name="_Toc380930736"/>
      <w:r w:rsidRPr="003F40FD">
        <w:t>A</w:t>
      </w:r>
      <w:r w:rsidR="000A4A99" w:rsidRPr="003F40FD">
        <w:t>7.</w:t>
      </w:r>
      <w:r w:rsidR="000A4A99" w:rsidRPr="003F40FD">
        <w:tab/>
        <w:t>Special Circumstances Influencing Collection</w:t>
      </w:r>
      <w:bookmarkEnd w:id="34"/>
      <w:bookmarkEnd w:id="35"/>
      <w:bookmarkEnd w:id="36"/>
      <w:r w:rsidR="000A4A99" w:rsidRPr="003F40FD">
        <w:t xml:space="preserve"> </w:t>
      </w:r>
    </w:p>
    <w:p w:rsidR="000A4A99" w:rsidRPr="00933923" w:rsidRDefault="000A4A99" w:rsidP="00154211">
      <w:pPr>
        <w:pStyle w:val="L1-FlLSp12"/>
      </w:pPr>
      <w:r w:rsidRPr="00933923">
        <w:t>These data will be collected in a manner consistent with the guidelines in 5 CFR 1320.6.</w:t>
      </w:r>
      <w:r w:rsidR="0008441A" w:rsidRPr="00933923">
        <w:t xml:space="preserve"> </w:t>
      </w:r>
    </w:p>
    <w:p w:rsidR="000A4A99" w:rsidRPr="00933923" w:rsidRDefault="000A4A99" w:rsidP="00154211">
      <w:pPr>
        <w:pStyle w:val="L1-FlLSp12"/>
      </w:pPr>
    </w:p>
    <w:p w:rsidR="00154211" w:rsidRPr="00933923" w:rsidRDefault="00154211" w:rsidP="00154211">
      <w:pPr>
        <w:pStyle w:val="L1-FlLSp12"/>
      </w:pPr>
    </w:p>
    <w:p w:rsidR="000A4A99" w:rsidRPr="003F40FD" w:rsidRDefault="00113BD0" w:rsidP="003F40FD">
      <w:pPr>
        <w:pStyle w:val="Heading3"/>
      </w:pPr>
      <w:bookmarkStart w:id="37" w:name="_Toc361144788"/>
      <w:bookmarkStart w:id="38" w:name="_Toc380930581"/>
      <w:bookmarkStart w:id="39" w:name="_Toc380930737"/>
      <w:r w:rsidRPr="003F40FD">
        <w:lastRenderedPageBreak/>
        <w:t>A</w:t>
      </w:r>
      <w:r w:rsidR="000A4A99" w:rsidRPr="003F40FD">
        <w:t>8.</w:t>
      </w:r>
      <w:r w:rsidR="000A4A99" w:rsidRPr="003F40FD">
        <w:tab/>
        <w:t>Federal Register Publication and Outside Consultation</w:t>
      </w:r>
      <w:bookmarkEnd w:id="37"/>
      <w:bookmarkEnd w:id="38"/>
      <w:bookmarkEnd w:id="39"/>
    </w:p>
    <w:p w:rsidR="000A4A99" w:rsidRPr="00933923" w:rsidRDefault="000A4A99" w:rsidP="00154211">
      <w:pPr>
        <w:pStyle w:val="L1-FlLSp12"/>
      </w:pPr>
      <w:r w:rsidRPr="00933923">
        <w:t>The research under this clearance is consistent with the guidelines in 5 CFR 1320.6. The 60 and 30-day notices for public commentary will be published in the Federal Register.</w:t>
      </w:r>
    </w:p>
    <w:p w:rsidR="000A4A99" w:rsidRDefault="000A4A99" w:rsidP="00154211">
      <w:pPr>
        <w:pStyle w:val="L1-FlLSp12"/>
      </w:pPr>
    </w:p>
    <w:p w:rsidR="00B275FB" w:rsidRPr="00933923" w:rsidRDefault="00B275FB" w:rsidP="00B275FB">
      <w:pPr>
        <w:pStyle w:val="L1-FlLSp12"/>
      </w:pPr>
      <w:r>
        <w:t xml:space="preserve">As noted in section A.1, </w:t>
      </w:r>
      <w:r w:rsidRPr="00933923">
        <w:t xml:space="preserve">BJS charged an expert panel from the National Research Council's Committee on National Statistics (CNSTAT) to examine conceptual and methodological issues surrounding survey statistics on rape and sexual assault. As part of this review, BJS and Westat have provided the panel with updates on the evolution of the design of the study, as well as the instruments as they were being developed. Individuals on the panel provided feedback at each of the three presentations. BJS and Westat have attended three separate meetings with the NAS panel, presenting the design and discussing issues (December 8, 2011; June 5 &amp; 6, 2012; December 10, 2012). In addition, BJS and Westat </w:t>
      </w:r>
      <w:r w:rsidR="00A221DE">
        <w:t xml:space="preserve">have </w:t>
      </w:r>
      <w:r w:rsidRPr="00933923">
        <w:t>responded to questions by the panel.</w:t>
      </w:r>
    </w:p>
    <w:p w:rsidR="00B275FB" w:rsidRPr="00933923" w:rsidRDefault="00B275FB" w:rsidP="00B275FB">
      <w:pPr>
        <w:pStyle w:val="L1-FlLSp12"/>
      </w:pPr>
    </w:p>
    <w:p w:rsidR="00B275FB" w:rsidRPr="00933923" w:rsidRDefault="00B275FB" w:rsidP="00B275FB">
      <w:pPr>
        <w:pStyle w:val="L1-FlLSp12"/>
      </w:pPr>
      <w:r w:rsidRPr="00933923">
        <w:t>The members of the panel are listed below:</w:t>
      </w:r>
    </w:p>
    <w:p w:rsidR="00B275FB" w:rsidRPr="00933923" w:rsidRDefault="00B275FB" w:rsidP="00B275FB">
      <w:pPr>
        <w:kinsoku w:val="0"/>
        <w:overflowPunct w:val="0"/>
        <w:spacing w:line="240" w:lineRule="auto"/>
        <w:rPr>
          <w:bCs/>
          <w:color w:val="000000"/>
          <w:szCs w:val="24"/>
        </w:rPr>
      </w:pPr>
    </w:p>
    <w:p w:rsidR="009914AE" w:rsidRDefault="009914AE" w:rsidP="00B275FB">
      <w:pPr>
        <w:kinsoku w:val="0"/>
        <w:overflowPunct w:val="0"/>
        <w:spacing w:line="240" w:lineRule="auto"/>
        <w:rPr>
          <w:bCs/>
          <w:color w:val="000000"/>
          <w:szCs w:val="24"/>
        </w:rPr>
        <w:sectPr w:rsidR="009914AE" w:rsidSect="00B275FB">
          <w:headerReference w:type="default" r:id="rId10"/>
          <w:footerReference w:type="default" r:id="rId11"/>
          <w:type w:val="continuous"/>
          <w:pgSz w:w="12240" w:h="15840" w:code="1"/>
          <w:pgMar w:top="1440" w:right="1440" w:bottom="1440" w:left="1440" w:header="720" w:footer="720" w:gutter="0"/>
          <w:cols w:space="180"/>
          <w:noEndnote/>
        </w:sectPr>
      </w:pPr>
    </w:p>
    <w:p w:rsidR="00B275FB" w:rsidRPr="00933923" w:rsidRDefault="00B275FB" w:rsidP="00B275FB">
      <w:pPr>
        <w:kinsoku w:val="0"/>
        <w:overflowPunct w:val="0"/>
        <w:spacing w:line="240" w:lineRule="auto"/>
        <w:rPr>
          <w:bCs/>
          <w:color w:val="000000"/>
          <w:szCs w:val="24"/>
        </w:rPr>
      </w:pPr>
      <w:r w:rsidRPr="00933923">
        <w:rPr>
          <w:bCs/>
          <w:color w:val="000000"/>
          <w:szCs w:val="24"/>
        </w:rPr>
        <w:lastRenderedPageBreak/>
        <w:t>Dr. William D. Kalsbeek - (Co-Chair</w:t>
      </w:r>
      <w:proofErr w:type="gramStart"/>
      <w:r w:rsidRPr="00933923">
        <w:rPr>
          <w:bCs/>
          <w:color w:val="000000"/>
          <w:szCs w:val="24"/>
        </w:rPr>
        <w:t>)</w:t>
      </w:r>
      <w:proofErr w:type="gramEnd"/>
      <w:r w:rsidRPr="00933923">
        <w:rPr>
          <w:bCs/>
          <w:color w:val="000000"/>
          <w:szCs w:val="24"/>
        </w:rPr>
        <w:br/>
        <w:t>The University of North Carolina at Chapel Hill</w:t>
      </w:r>
    </w:p>
    <w:p w:rsidR="00B275FB" w:rsidRPr="00933923" w:rsidRDefault="00B275FB" w:rsidP="00B275FB">
      <w:pPr>
        <w:kinsoku w:val="0"/>
        <w:overflowPunct w:val="0"/>
        <w:spacing w:line="240" w:lineRule="auto"/>
        <w:rPr>
          <w:szCs w:val="24"/>
        </w:rPr>
      </w:pPr>
      <w:r w:rsidRPr="00933923" w:rsidDel="0024181F">
        <w:rPr>
          <w:szCs w:val="24"/>
        </w:rPr>
        <w:t xml:space="preserve"> </w:t>
      </w:r>
      <w:r w:rsidRPr="00933923">
        <w:rPr>
          <w:szCs w:val="24"/>
        </w:rPr>
        <w:t>(</w:t>
      </w:r>
      <w:r w:rsidRPr="00933923">
        <w:rPr>
          <w:rStyle w:val="baec5a81-e4d6-4674-97f3-e9220f0136c1"/>
          <w:szCs w:val="24"/>
        </w:rPr>
        <w:t>919) 962-3249</w:t>
      </w:r>
      <w:r w:rsidRPr="00933923">
        <w:rPr>
          <w:szCs w:val="24"/>
        </w:rPr>
        <w:br/>
        <w:t>bill_kalsbeek@unc.edu</w:t>
      </w:r>
    </w:p>
    <w:p w:rsidR="00B275FB" w:rsidRPr="00933923" w:rsidRDefault="00B275FB" w:rsidP="00B275FB">
      <w:pPr>
        <w:kinsoku w:val="0"/>
        <w:overflowPunct w:val="0"/>
        <w:spacing w:line="240" w:lineRule="auto"/>
        <w:rPr>
          <w:sz w:val="20"/>
          <w:szCs w:val="24"/>
        </w:rPr>
      </w:pPr>
    </w:p>
    <w:p w:rsidR="00B275FB" w:rsidRPr="00933923" w:rsidRDefault="00B275FB" w:rsidP="00B275FB">
      <w:pPr>
        <w:kinsoku w:val="0"/>
        <w:overflowPunct w:val="0"/>
        <w:spacing w:line="240" w:lineRule="auto"/>
        <w:rPr>
          <w:bCs/>
          <w:color w:val="000000"/>
          <w:szCs w:val="24"/>
        </w:rPr>
      </w:pPr>
      <w:r w:rsidRPr="00933923">
        <w:rPr>
          <w:bCs/>
          <w:color w:val="000000"/>
          <w:szCs w:val="24"/>
        </w:rPr>
        <w:t>Dr. Candace Kruttschnitt - (Co-Chair</w:t>
      </w:r>
      <w:proofErr w:type="gramStart"/>
      <w:r w:rsidRPr="00933923">
        <w:rPr>
          <w:bCs/>
          <w:color w:val="000000"/>
          <w:szCs w:val="24"/>
        </w:rPr>
        <w:t>)</w:t>
      </w:r>
      <w:proofErr w:type="gramEnd"/>
      <w:r w:rsidRPr="00933923">
        <w:rPr>
          <w:bCs/>
          <w:color w:val="000000"/>
          <w:szCs w:val="24"/>
        </w:rPr>
        <w:br/>
        <w:t>University of Toronto</w:t>
      </w:r>
    </w:p>
    <w:p w:rsidR="00B275FB" w:rsidRPr="00933923" w:rsidRDefault="00B275FB" w:rsidP="00B275FB">
      <w:pPr>
        <w:pStyle w:val="NormalWeb"/>
        <w:spacing w:before="0" w:beforeAutospacing="0" w:after="0" w:afterAutospacing="0" w:line="240" w:lineRule="auto"/>
        <w:rPr>
          <w:rFonts w:ascii="Garamond" w:hAnsi="Garamond"/>
          <w:szCs w:val="24"/>
        </w:rPr>
      </w:pPr>
      <w:r w:rsidRPr="00933923">
        <w:rPr>
          <w:rStyle w:val="baec5a81-e4d6-4674-97f3-e9220f0136c1"/>
          <w:rFonts w:ascii="Garamond" w:hAnsi="Garamond"/>
          <w:szCs w:val="24"/>
        </w:rPr>
        <w:t>(416) 978-8487</w:t>
      </w:r>
      <w:r w:rsidRPr="00933923">
        <w:rPr>
          <w:rFonts w:ascii="Garamond" w:hAnsi="Garamond"/>
          <w:szCs w:val="24"/>
        </w:rPr>
        <w:t xml:space="preserve"> </w:t>
      </w:r>
    </w:p>
    <w:p w:rsidR="00B275FB" w:rsidRPr="00933923" w:rsidRDefault="00B275FB" w:rsidP="00B275FB">
      <w:pPr>
        <w:pStyle w:val="NormalWeb"/>
        <w:spacing w:before="0" w:beforeAutospacing="0" w:after="0" w:afterAutospacing="0" w:line="240" w:lineRule="auto"/>
        <w:rPr>
          <w:rFonts w:ascii="Garamond" w:hAnsi="Garamond"/>
          <w:szCs w:val="24"/>
        </w:rPr>
      </w:pPr>
      <w:r w:rsidRPr="00933923">
        <w:rPr>
          <w:rFonts w:ascii="Garamond" w:hAnsi="Garamond"/>
          <w:szCs w:val="24"/>
        </w:rPr>
        <w:t>c.kruttschnitt@utoronto.ca</w:t>
      </w:r>
    </w:p>
    <w:p w:rsidR="00B275FB" w:rsidRPr="00933923" w:rsidRDefault="00B275FB" w:rsidP="00B275FB">
      <w:pPr>
        <w:kinsoku w:val="0"/>
        <w:overflowPunct w:val="0"/>
        <w:spacing w:line="240" w:lineRule="auto"/>
        <w:rPr>
          <w:sz w:val="20"/>
          <w:szCs w:val="24"/>
        </w:rPr>
      </w:pPr>
    </w:p>
    <w:p w:rsidR="00B275FB" w:rsidRPr="00933923" w:rsidRDefault="00B275FB" w:rsidP="00B275FB">
      <w:pPr>
        <w:kinsoku w:val="0"/>
        <w:overflowPunct w:val="0"/>
        <w:spacing w:line="240" w:lineRule="auto"/>
        <w:rPr>
          <w:bCs/>
          <w:color w:val="000000"/>
          <w:szCs w:val="24"/>
        </w:rPr>
      </w:pPr>
      <w:r w:rsidRPr="00933923">
        <w:rPr>
          <w:bCs/>
          <w:color w:val="000000"/>
          <w:szCs w:val="24"/>
        </w:rPr>
        <w:t>Dr. Paul P. Biemer</w:t>
      </w:r>
      <w:r w:rsidRPr="00933923">
        <w:rPr>
          <w:bCs/>
          <w:color w:val="000000"/>
          <w:szCs w:val="24"/>
        </w:rPr>
        <w:br/>
        <w:t>RTI International</w:t>
      </w:r>
    </w:p>
    <w:p w:rsidR="00B275FB" w:rsidRPr="00933923" w:rsidRDefault="00B275FB" w:rsidP="00B275FB">
      <w:pPr>
        <w:kinsoku w:val="0"/>
        <w:overflowPunct w:val="0"/>
        <w:spacing w:line="240" w:lineRule="auto"/>
        <w:rPr>
          <w:bCs/>
          <w:color w:val="000000"/>
          <w:szCs w:val="24"/>
        </w:rPr>
      </w:pPr>
      <w:r w:rsidRPr="00933923">
        <w:rPr>
          <w:bCs/>
          <w:color w:val="000000"/>
          <w:szCs w:val="24"/>
        </w:rPr>
        <w:t>(919) 541-6056</w:t>
      </w:r>
    </w:p>
    <w:p w:rsidR="00B275FB" w:rsidRPr="00933923" w:rsidRDefault="00B275FB" w:rsidP="00B275FB">
      <w:pPr>
        <w:kinsoku w:val="0"/>
        <w:overflowPunct w:val="0"/>
        <w:spacing w:line="240" w:lineRule="auto"/>
        <w:rPr>
          <w:bCs/>
          <w:color w:val="000000"/>
          <w:szCs w:val="24"/>
        </w:rPr>
      </w:pPr>
      <w:r w:rsidRPr="00933923">
        <w:rPr>
          <w:bCs/>
          <w:color w:val="000000"/>
          <w:szCs w:val="24"/>
        </w:rPr>
        <w:t>ppb@rti.org</w:t>
      </w:r>
    </w:p>
    <w:p w:rsidR="00B275FB" w:rsidRPr="00933923" w:rsidRDefault="00B275FB" w:rsidP="00B275FB">
      <w:pPr>
        <w:kinsoku w:val="0"/>
        <w:overflowPunct w:val="0"/>
        <w:spacing w:line="240" w:lineRule="auto"/>
        <w:rPr>
          <w:sz w:val="20"/>
          <w:szCs w:val="24"/>
        </w:rPr>
      </w:pPr>
    </w:p>
    <w:p w:rsidR="00B275FB" w:rsidRPr="00933923" w:rsidRDefault="00B275FB" w:rsidP="00B275FB">
      <w:pPr>
        <w:kinsoku w:val="0"/>
        <w:overflowPunct w:val="0"/>
        <w:spacing w:line="240" w:lineRule="auto"/>
        <w:rPr>
          <w:bCs/>
          <w:color w:val="000000"/>
          <w:szCs w:val="24"/>
        </w:rPr>
      </w:pPr>
      <w:r w:rsidRPr="00933923">
        <w:rPr>
          <w:bCs/>
          <w:color w:val="000000"/>
          <w:szCs w:val="24"/>
        </w:rPr>
        <w:t>Dr. John Boyle</w:t>
      </w:r>
      <w:r w:rsidRPr="00933923">
        <w:rPr>
          <w:bCs/>
          <w:color w:val="000000"/>
          <w:szCs w:val="24"/>
        </w:rPr>
        <w:br/>
        <w:t>Abt SRBI, Inc.</w:t>
      </w:r>
    </w:p>
    <w:p w:rsidR="00B275FB" w:rsidRPr="00933923" w:rsidRDefault="00B275FB" w:rsidP="00B275FB">
      <w:pPr>
        <w:kinsoku w:val="0"/>
        <w:overflowPunct w:val="0"/>
        <w:spacing w:line="240" w:lineRule="auto"/>
        <w:rPr>
          <w:rStyle w:val="baec5a81-e4d6-4674-97f3-e9220f0136c1"/>
          <w:rFonts w:cs="Arial"/>
          <w:szCs w:val="24"/>
        </w:rPr>
      </w:pPr>
      <w:r w:rsidRPr="00933923">
        <w:rPr>
          <w:rStyle w:val="baec5a81-e4d6-4674-97f3-e9220f0136c1"/>
          <w:rFonts w:cs="Arial"/>
          <w:szCs w:val="24"/>
        </w:rPr>
        <w:t>(301) 608-3883</w:t>
      </w:r>
    </w:p>
    <w:p w:rsidR="00B275FB" w:rsidRPr="00933923" w:rsidRDefault="00B275FB" w:rsidP="00B275FB">
      <w:pPr>
        <w:kinsoku w:val="0"/>
        <w:overflowPunct w:val="0"/>
        <w:spacing w:line="240" w:lineRule="auto"/>
        <w:rPr>
          <w:bCs/>
          <w:color w:val="000000"/>
          <w:szCs w:val="24"/>
        </w:rPr>
      </w:pPr>
      <w:r w:rsidRPr="00933923">
        <w:rPr>
          <w:bCs/>
          <w:color w:val="000000"/>
          <w:szCs w:val="24"/>
        </w:rPr>
        <w:t>j.boyle@srbi.com</w:t>
      </w:r>
    </w:p>
    <w:p w:rsidR="00B275FB" w:rsidRPr="00933923" w:rsidRDefault="00B275FB" w:rsidP="00B275FB">
      <w:pPr>
        <w:kinsoku w:val="0"/>
        <w:overflowPunct w:val="0"/>
        <w:spacing w:line="240" w:lineRule="auto"/>
        <w:rPr>
          <w:sz w:val="20"/>
          <w:szCs w:val="24"/>
        </w:rPr>
      </w:pPr>
    </w:p>
    <w:p w:rsidR="00B275FB" w:rsidRPr="00933923" w:rsidRDefault="00B275FB" w:rsidP="00B275FB">
      <w:pPr>
        <w:kinsoku w:val="0"/>
        <w:overflowPunct w:val="0"/>
        <w:spacing w:line="240" w:lineRule="auto"/>
        <w:rPr>
          <w:bCs/>
          <w:color w:val="000000"/>
          <w:szCs w:val="24"/>
        </w:rPr>
      </w:pPr>
      <w:r w:rsidRPr="00933923">
        <w:rPr>
          <w:bCs/>
          <w:color w:val="000000"/>
          <w:szCs w:val="24"/>
        </w:rPr>
        <w:t>Dr. Bonnie Fisher</w:t>
      </w:r>
      <w:r w:rsidRPr="00933923">
        <w:rPr>
          <w:bCs/>
          <w:color w:val="000000"/>
          <w:szCs w:val="24"/>
        </w:rPr>
        <w:br/>
        <w:t>University of Cincinnati</w:t>
      </w:r>
    </w:p>
    <w:p w:rsidR="00B275FB" w:rsidRPr="00933923" w:rsidRDefault="00B275FB" w:rsidP="00B275FB">
      <w:pPr>
        <w:kinsoku w:val="0"/>
        <w:overflowPunct w:val="0"/>
        <w:spacing w:line="240" w:lineRule="auto"/>
        <w:rPr>
          <w:bCs/>
          <w:color w:val="000000"/>
          <w:szCs w:val="24"/>
        </w:rPr>
      </w:pPr>
      <w:r w:rsidRPr="00933923">
        <w:rPr>
          <w:bCs/>
          <w:color w:val="000000"/>
          <w:szCs w:val="24"/>
        </w:rPr>
        <w:t>(513) 556-5826</w:t>
      </w:r>
    </w:p>
    <w:p w:rsidR="00B275FB" w:rsidRPr="00933923" w:rsidRDefault="00B275FB" w:rsidP="00B275FB">
      <w:pPr>
        <w:kinsoku w:val="0"/>
        <w:overflowPunct w:val="0"/>
        <w:spacing w:line="240" w:lineRule="auto"/>
        <w:rPr>
          <w:bCs/>
          <w:color w:val="000000"/>
          <w:szCs w:val="24"/>
        </w:rPr>
      </w:pPr>
      <w:r w:rsidRPr="00933923">
        <w:rPr>
          <w:bCs/>
          <w:color w:val="000000"/>
          <w:szCs w:val="24"/>
        </w:rPr>
        <w:t>Bonnie.Fisher@uc.edu</w:t>
      </w:r>
    </w:p>
    <w:p w:rsidR="00B275FB" w:rsidRPr="00933923" w:rsidRDefault="00B275FB" w:rsidP="00B275FB">
      <w:pPr>
        <w:kinsoku w:val="0"/>
        <w:overflowPunct w:val="0"/>
        <w:spacing w:line="240" w:lineRule="auto"/>
        <w:rPr>
          <w:sz w:val="20"/>
          <w:szCs w:val="24"/>
        </w:rPr>
      </w:pPr>
    </w:p>
    <w:p w:rsidR="00B275FB" w:rsidRPr="00933923" w:rsidRDefault="00B275FB" w:rsidP="00B275FB">
      <w:pPr>
        <w:kinsoku w:val="0"/>
        <w:overflowPunct w:val="0"/>
        <w:spacing w:line="240" w:lineRule="auto"/>
        <w:rPr>
          <w:bCs/>
          <w:color w:val="000000"/>
          <w:szCs w:val="24"/>
        </w:rPr>
      </w:pPr>
      <w:r w:rsidRPr="00933923">
        <w:rPr>
          <w:bCs/>
          <w:color w:val="000000"/>
          <w:szCs w:val="24"/>
        </w:rPr>
        <w:t>Dr. Karen Heimer</w:t>
      </w:r>
      <w:r w:rsidRPr="00933923">
        <w:rPr>
          <w:bCs/>
          <w:color w:val="000000"/>
          <w:szCs w:val="24"/>
        </w:rPr>
        <w:br/>
      </w:r>
      <w:proofErr w:type="gramStart"/>
      <w:r w:rsidRPr="00933923">
        <w:rPr>
          <w:bCs/>
          <w:color w:val="000000"/>
          <w:szCs w:val="24"/>
        </w:rPr>
        <w:t>The</w:t>
      </w:r>
      <w:proofErr w:type="gramEnd"/>
      <w:r w:rsidRPr="00933923">
        <w:rPr>
          <w:bCs/>
          <w:color w:val="000000"/>
          <w:szCs w:val="24"/>
        </w:rPr>
        <w:t xml:space="preserve"> University of Iowa</w:t>
      </w:r>
    </w:p>
    <w:p w:rsidR="00B275FB" w:rsidRPr="00933923" w:rsidRDefault="00B275FB" w:rsidP="00B275FB">
      <w:pPr>
        <w:kinsoku w:val="0"/>
        <w:overflowPunct w:val="0"/>
        <w:spacing w:line="240" w:lineRule="auto"/>
        <w:rPr>
          <w:bCs/>
          <w:color w:val="000000"/>
          <w:szCs w:val="24"/>
        </w:rPr>
      </w:pPr>
      <w:r w:rsidRPr="00933923">
        <w:rPr>
          <w:bCs/>
          <w:color w:val="000000"/>
          <w:szCs w:val="24"/>
        </w:rPr>
        <w:lastRenderedPageBreak/>
        <w:t>(319) 335-2498</w:t>
      </w:r>
    </w:p>
    <w:p w:rsidR="00B275FB" w:rsidRPr="00933923" w:rsidRDefault="00B275FB" w:rsidP="00B275FB">
      <w:pPr>
        <w:kinsoku w:val="0"/>
        <w:overflowPunct w:val="0"/>
        <w:spacing w:line="240" w:lineRule="auto"/>
        <w:rPr>
          <w:bCs/>
          <w:color w:val="000000"/>
          <w:szCs w:val="24"/>
        </w:rPr>
      </w:pPr>
      <w:r w:rsidRPr="00933923">
        <w:rPr>
          <w:bCs/>
          <w:color w:val="000000"/>
          <w:szCs w:val="24"/>
        </w:rPr>
        <w:t>karen-heimer@uiowa.edu</w:t>
      </w:r>
    </w:p>
    <w:p w:rsidR="00B275FB" w:rsidRPr="00933923" w:rsidRDefault="00B275FB" w:rsidP="00B275FB">
      <w:pPr>
        <w:kinsoku w:val="0"/>
        <w:overflowPunct w:val="0"/>
        <w:spacing w:line="240" w:lineRule="auto"/>
        <w:rPr>
          <w:bCs/>
          <w:color w:val="000000"/>
          <w:szCs w:val="24"/>
        </w:rPr>
      </w:pPr>
    </w:p>
    <w:p w:rsidR="00B275FB" w:rsidRPr="00933923" w:rsidRDefault="00B275FB" w:rsidP="00B275FB">
      <w:pPr>
        <w:kinsoku w:val="0"/>
        <w:overflowPunct w:val="0"/>
        <w:spacing w:line="240" w:lineRule="auto"/>
        <w:rPr>
          <w:bCs/>
          <w:color w:val="000000"/>
          <w:szCs w:val="24"/>
        </w:rPr>
      </w:pPr>
      <w:r w:rsidRPr="00933923">
        <w:rPr>
          <w:bCs/>
          <w:color w:val="000000"/>
          <w:szCs w:val="24"/>
        </w:rPr>
        <w:t>Dr. Linda Ledray</w:t>
      </w:r>
      <w:r w:rsidRPr="00933923">
        <w:rPr>
          <w:bCs/>
          <w:color w:val="000000"/>
          <w:szCs w:val="24"/>
        </w:rPr>
        <w:br/>
        <w:t>Sexual Assault Resource Service</w:t>
      </w:r>
    </w:p>
    <w:p w:rsidR="00B275FB" w:rsidRPr="00933923" w:rsidRDefault="00B275FB" w:rsidP="00B275FB">
      <w:pPr>
        <w:kinsoku w:val="0"/>
        <w:overflowPunct w:val="0"/>
        <w:spacing w:line="240" w:lineRule="auto"/>
        <w:rPr>
          <w:bCs/>
          <w:color w:val="000000"/>
          <w:szCs w:val="24"/>
        </w:rPr>
      </w:pPr>
      <w:r w:rsidRPr="00933923">
        <w:rPr>
          <w:bCs/>
          <w:color w:val="000000"/>
          <w:szCs w:val="24"/>
        </w:rPr>
        <w:t>(612) 347-0910</w:t>
      </w:r>
    </w:p>
    <w:p w:rsidR="00B275FB" w:rsidRPr="00933923" w:rsidRDefault="00B275FB" w:rsidP="00B275FB">
      <w:pPr>
        <w:kinsoku w:val="0"/>
        <w:overflowPunct w:val="0"/>
        <w:spacing w:line="240" w:lineRule="auto"/>
        <w:rPr>
          <w:bCs/>
          <w:color w:val="000000"/>
          <w:szCs w:val="24"/>
        </w:rPr>
      </w:pPr>
      <w:r w:rsidRPr="00933923">
        <w:rPr>
          <w:bCs/>
          <w:color w:val="000000"/>
          <w:szCs w:val="24"/>
        </w:rPr>
        <w:t>Linda@sane-sart.com</w:t>
      </w:r>
    </w:p>
    <w:p w:rsidR="00B275FB" w:rsidRPr="00933923" w:rsidRDefault="00B275FB" w:rsidP="00B275FB">
      <w:pPr>
        <w:kinsoku w:val="0"/>
        <w:overflowPunct w:val="0"/>
        <w:spacing w:line="240" w:lineRule="auto"/>
        <w:rPr>
          <w:sz w:val="20"/>
          <w:szCs w:val="24"/>
        </w:rPr>
      </w:pPr>
    </w:p>
    <w:p w:rsidR="00B275FB" w:rsidRPr="00933923" w:rsidRDefault="00B275FB" w:rsidP="00B275FB">
      <w:pPr>
        <w:kinsoku w:val="0"/>
        <w:overflowPunct w:val="0"/>
        <w:spacing w:line="240" w:lineRule="auto"/>
        <w:rPr>
          <w:bCs/>
          <w:color w:val="000000"/>
          <w:szCs w:val="24"/>
        </w:rPr>
      </w:pPr>
      <w:r w:rsidRPr="00933923">
        <w:rPr>
          <w:bCs/>
          <w:color w:val="000000"/>
          <w:szCs w:val="24"/>
        </w:rPr>
        <w:t>Dr. Colin Loftin</w:t>
      </w:r>
      <w:r w:rsidRPr="00933923">
        <w:rPr>
          <w:bCs/>
          <w:color w:val="000000"/>
          <w:szCs w:val="24"/>
        </w:rPr>
        <w:br/>
        <w:t>State University of New York at Albany</w:t>
      </w:r>
    </w:p>
    <w:p w:rsidR="00B275FB" w:rsidRPr="00933923" w:rsidRDefault="00B275FB" w:rsidP="00B275FB">
      <w:pPr>
        <w:kinsoku w:val="0"/>
        <w:overflowPunct w:val="0"/>
        <w:spacing w:line="240" w:lineRule="auto"/>
        <w:rPr>
          <w:bCs/>
          <w:color w:val="000000"/>
          <w:szCs w:val="24"/>
        </w:rPr>
      </w:pPr>
      <w:r w:rsidRPr="00933923">
        <w:rPr>
          <w:bCs/>
          <w:color w:val="000000"/>
          <w:szCs w:val="24"/>
        </w:rPr>
        <w:t>(518) 442-5216</w:t>
      </w:r>
    </w:p>
    <w:p w:rsidR="00B275FB" w:rsidRPr="00933923" w:rsidRDefault="00B275FB" w:rsidP="00B275FB">
      <w:pPr>
        <w:kinsoku w:val="0"/>
        <w:overflowPunct w:val="0"/>
        <w:spacing w:line="240" w:lineRule="auto"/>
        <w:rPr>
          <w:bCs/>
          <w:color w:val="000000"/>
          <w:szCs w:val="24"/>
        </w:rPr>
      </w:pPr>
      <w:r w:rsidRPr="00933923">
        <w:rPr>
          <w:bCs/>
          <w:color w:val="000000"/>
          <w:szCs w:val="24"/>
        </w:rPr>
        <w:t>cloftin@albany.edu</w:t>
      </w:r>
    </w:p>
    <w:p w:rsidR="00B275FB" w:rsidRPr="00933923" w:rsidRDefault="00B275FB" w:rsidP="00B275FB">
      <w:pPr>
        <w:kinsoku w:val="0"/>
        <w:overflowPunct w:val="0"/>
        <w:spacing w:line="240" w:lineRule="auto"/>
        <w:rPr>
          <w:sz w:val="20"/>
          <w:szCs w:val="24"/>
        </w:rPr>
      </w:pPr>
    </w:p>
    <w:p w:rsidR="00B275FB" w:rsidRPr="00933923" w:rsidRDefault="00B275FB" w:rsidP="00B275FB">
      <w:pPr>
        <w:kinsoku w:val="0"/>
        <w:overflowPunct w:val="0"/>
        <w:spacing w:line="240" w:lineRule="auto"/>
        <w:rPr>
          <w:bCs/>
          <w:color w:val="000000"/>
          <w:szCs w:val="24"/>
        </w:rPr>
      </w:pPr>
      <w:r w:rsidRPr="00933923">
        <w:rPr>
          <w:bCs/>
          <w:color w:val="000000"/>
          <w:szCs w:val="24"/>
        </w:rPr>
        <w:t>Dr. Ruth D. Peterson</w:t>
      </w:r>
      <w:r w:rsidRPr="00933923">
        <w:rPr>
          <w:bCs/>
          <w:color w:val="000000"/>
          <w:szCs w:val="24"/>
        </w:rPr>
        <w:br/>
      </w:r>
      <w:proofErr w:type="gramStart"/>
      <w:r w:rsidRPr="00933923">
        <w:rPr>
          <w:bCs/>
          <w:color w:val="000000"/>
          <w:szCs w:val="24"/>
        </w:rPr>
        <w:t>The</w:t>
      </w:r>
      <w:proofErr w:type="gramEnd"/>
      <w:r w:rsidRPr="00933923">
        <w:rPr>
          <w:bCs/>
          <w:color w:val="000000"/>
          <w:szCs w:val="24"/>
        </w:rPr>
        <w:t xml:space="preserve"> Ohio State University</w:t>
      </w:r>
    </w:p>
    <w:p w:rsidR="00B275FB" w:rsidRPr="00933923" w:rsidRDefault="00B275FB" w:rsidP="00B275FB">
      <w:pPr>
        <w:kinsoku w:val="0"/>
        <w:overflowPunct w:val="0"/>
        <w:spacing w:line="240" w:lineRule="auto"/>
        <w:rPr>
          <w:bCs/>
          <w:color w:val="000000"/>
          <w:szCs w:val="24"/>
        </w:rPr>
      </w:pPr>
      <w:r w:rsidRPr="00933923">
        <w:rPr>
          <w:bCs/>
          <w:color w:val="000000"/>
          <w:szCs w:val="24"/>
        </w:rPr>
        <w:t>(614) 688-4930</w:t>
      </w:r>
    </w:p>
    <w:p w:rsidR="00B275FB" w:rsidRPr="00933923" w:rsidRDefault="00B275FB" w:rsidP="00B275FB">
      <w:pPr>
        <w:kinsoku w:val="0"/>
        <w:overflowPunct w:val="0"/>
        <w:spacing w:line="240" w:lineRule="auto"/>
        <w:rPr>
          <w:bCs/>
          <w:color w:val="000000"/>
          <w:szCs w:val="24"/>
        </w:rPr>
      </w:pPr>
      <w:r w:rsidRPr="00933923">
        <w:rPr>
          <w:bCs/>
          <w:color w:val="000000"/>
          <w:szCs w:val="24"/>
        </w:rPr>
        <w:t>peterson.5@sociology.osu.edu</w:t>
      </w:r>
    </w:p>
    <w:p w:rsidR="00B275FB" w:rsidRPr="00933923" w:rsidRDefault="00B275FB" w:rsidP="00B275FB">
      <w:pPr>
        <w:kinsoku w:val="0"/>
        <w:overflowPunct w:val="0"/>
        <w:spacing w:line="240" w:lineRule="auto"/>
        <w:rPr>
          <w:sz w:val="20"/>
          <w:szCs w:val="24"/>
        </w:rPr>
      </w:pPr>
    </w:p>
    <w:p w:rsidR="00B275FB" w:rsidRPr="00933923" w:rsidRDefault="00B275FB" w:rsidP="00B275FB">
      <w:pPr>
        <w:kinsoku w:val="0"/>
        <w:overflowPunct w:val="0"/>
        <w:spacing w:line="240" w:lineRule="auto"/>
        <w:rPr>
          <w:bCs/>
          <w:color w:val="000000"/>
          <w:szCs w:val="24"/>
        </w:rPr>
      </w:pPr>
      <w:r w:rsidRPr="00933923">
        <w:rPr>
          <w:bCs/>
          <w:color w:val="000000"/>
          <w:szCs w:val="24"/>
        </w:rPr>
        <w:t>Dr. Nora Cate Schaeffer</w:t>
      </w:r>
      <w:r w:rsidRPr="00933923">
        <w:rPr>
          <w:bCs/>
          <w:color w:val="000000"/>
          <w:szCs w:val="24"/>
        </w:rPr>
        <w:br/>
        <w:t>University of Wisconsin-Madison</w:t>
      </w:r>
    </w:p>
    <w:p w:rsidR="00B275FB" w:rsidRPr="00933923" w:rsidRDefault="00B275FB" w:rsidP="00B275FB">
      <w:pPr>
        <w:kinsoku w:val="0"/>
        <w:overflowPunct w:val="0"/>
        <w:spacing w:line="240" w:lineRule="auto"/>
        <w:rPr>
          <w:bCs/>
          <w:color w:val="000000"/>
          <w:szCs w:val="24"/>
        </w:rPr>
      </w:pPr>
      <w:r w:rsidRPr="00933923">
        <w:rPr>
          <w:bCs/>
          <w:color w:val="000000"/>
          <w:szCs w:val="24"/>
        </w:rPr>
        <w:t>(608) 262-3868</w:t>
      </w:r>
    </w:p>
    <w:p w:rsidR="00B275FB" w:rsidRPr="00933923" w:rsidRDefault="00B275FB" w:rsidP="00B275FB">
      <w:pPr>
        <w:kinsoku w:val="0"/>
        <w:overflowPunct w:val="0"/>
        <w:spacing w:line="240" w:lineRule="auto"/>
        <w:rPr>
          <w:bCs/>
          <w:color w:val="000000"/>
          <w:szCs w:val="24"/>
        </w:rPr>
      </w:pPr>
      <w:r w:rsidRPr="00933923">
        <w:rPr>
          <w:bCs/>
          <w:color w:val="000000"/>
          <w:szCs w:val="24"/>
        </w:rPr>
        <w:t>schaeffer@ssc.wisc.edu</w:t>
      </w:r>
    </w:p>
    <w:p w:rsidR="00B275FB" w:rsidRPr="00933923" w:rsidRDefault="00B275FB" w:rsidP="00B275FB">
      <w:pPr>
        <w:kinsoku w:val="0"/>
        <w:overflowPunct w:val="0"/>
        <w:spacing w:line="240" w:lineRule="auto"/>
        <w:rPr>
          <w:sz w:val="20"/>
          <w:szCs w:val="24"/>
        </w:rPr>
      </w:pPr>
    </w:p>
    <w:p w:rsidR="00B275FB" w:rsidRPr="00933923" w:rsidRDefault="00B275FB" w:rsidP="00B275FB">
      <w:pPr>
        <w:kinsoku w:val="0"/>
        <w:overflowPunct w:val="0"/>
        <w:spacing w:line="240" w:lineRule="auto"/>
        <w:rPr>
          <w:bCs/>
          <w:color w:val="000000"/>
          <w:szCs w:val="24"/>
        </w:rPr>
      </w:pPr>
      <w:r w:rsidRPr="00933923">
        <w:rPr>
          <w:bCs/>
          <w:color w:val="000000"/>
          <w:szCs w:val="24"/>
        </w:rPr>
        <w:t>Dr. Tom Smith</w:t>
      </w:r>
      <w:r w:rsidRPr="00933923">
        <w:rPr>
          <w:bCs/>
          <w:color w:val="000000"/>
          <w:szCs w:val="24"/>
        </w:rPr>
        <w:br/>
      </w:r>
      <w:proofErr w:type="gramStart"/>
      <w:r w:rsidRPr="00933923">
        <w:rPr>
          <w:bCs/>
          <w:color w:val="000000"/>
          <w:szCs w:val="24"/>
        </w:rPr>
        <w:t>The</w:t>
      </w:r>
      <w:proofErr w:type="gramEnd"/>
      <w:r w:rsidRPr="00933923">
        <w:rPr>
          <w:bCs/>
          <w:color w:val="000000"/>
          <w:szCs w:val="24"/>
        </w:rPr>
        <w:t xml:space="preserve"> University of Chicago</w:t>
      </w:r>
    </w:p>
    <w:p w:rsidR="00B275FB" w:rsidRPr="00933923" w:rsidRDefault="00B275FB" w:rsidP="00B275FB">
      <w:pPr>
        <w:kinsoku w:val="0"/>
        <w:overflowPunct w:val="0"/>
        <w:spacing w:line="240" w:lineRule="auto"/>
        <w:rPr>
          <w:bCs/>
          <w:color w:val="000000"/>
          <w:szCs w:val="24"/>
        </w:rPr>
      </w:pPr>
      <w:r w:rsidRPr="00933923">
        <w:rPr>
          <w:bCs/>
          <w:color w:val="000000"/>
          <w:szCs w:val="24"/>
        </w:rPr>
        <w:t>(773) 256-6288</w:t>
      </w:r>
    </w:p>
    <w:p w:rsidR="00B275FB" w:rsidRPr="00933923" w:rsidRDefault="00B275FB" w:rsidP="00B275FB">
      <w:pPr>
        <w:kinsoku w:val="0"/>
        <w:overflowPunct w:val="0"/>
        <w:spacing w:line="240" w:lineRule="auto"/>
        <w:rPr>
          <w:bCs/>
          <w:color w:val="000000"/>
          <w:szCs w:val="24"/>
        </w:rPr>
      </w:pPr>
      <w:r w:rsidRPr="00933923">
        <w:rPr>
          <w:bCs/>
          <w:color w:val="000000"/>
          <w:szCs w:val="24"/>
        </w:rPr>
        <w:t>smitht@norc.uchicago.edu</w:t>
      </w:r>
    </w:p>
    <w:p w:rsidR="00B275FB" w:rsidRPr="00933923" w:rsidRDefault="00B275FB" w:rsidP="00B275FB">
      <w:pPr>
        <w:kinsoku w:val="0"/>
        <w:overflowPunct w:val="0"/>
        <w:spacing w:line="240" w:lineRule="auto"/>
        <w:rPr>
          <w:sz w:val="20"/>
          <w:szCs w:val="24"/>
        </w:rPr>
      </w:pPr>
    </w:p>
    <w:p w:rsidR="00B275FB" w:rsidRPr="00933923" w:rsidRDefault="00B275FB" w:rsidP="00B275FB">
      <w:pPr>
        <w:kinsoku w:val="0"/>
        <w:overflowPunct w:val="0"/>
        <w:spacing w:line="240" w:lineRule="auto"/>
        <w:rPr>
          <w:bCs/>
          <w:color w:val="000000"/>
          <w:szCs w:val="24"/>
        </w:rPr>
      </w:pPr>
      <w:r w:rsidRPr="00933923">
        <w:rPr>
          <w:bCs/>
          <w:color w:val="000000"/>
          <w:szCs w:val="24"/>
        </w:rPr>
        <w:t>Dr. Bruce D. Spencer</w:t>
      </w:r>
      <w:r w:rsidRPr="00933923">
        <w:rPr>
          <w:bCs/>
          <w:color w:val="000000"/>
          <w:szCs w:val="24"/>
        </w:rPr>
        <w:br/>
        <w:t>Northwestern University</w:t>
      </w:r>
    </w:p>
    <w:p w:rsidR="00B275FB" w:rsidRPr="00933923" w:rsidRDefault="00B275FB" w:rsidP="00B275FB">
      <w:pPr>
        <w:kinsoku w:val="0"/>
        <w:overflowPunct w:val="0"/>
        <w:spacing w:line="240" w:lineRule="auto"/>
        <w:rPr>
          <w:bCs/>
          <w:color w:val="000000"/>
          <w:szCs w:val="24"/>
        </w:rPr>
      </w:pPr>
      <w:r w:rsidRPr="00933923">
        <w:rPr>
          <w:bCs/>
          <w:color w:val="000000"/>
          <w:szCs w:val="24"/>
        </w:rPr>
        <w:lastRenderedPageBreak/>
        <w:t>(847) 491-5810</w:t>
      </w:r>
    </w:p>
    <w:p w:rsidR="009914AE" w:rsidRDefault="00B275FB" w:rsidP="00B275FB">
      <w:pPr>
        <w:kinsoku w:val="0"/>
        <w:overflowPunct w:val="0"/>
        <w:spacing w:line="240" w:lineRule="auto"/>
        <w:rPr>
          <w:szCs w:val="24"/>
        </w:rPr>
        <w:sectPr w:rsidR="009914AE" w:rsidSect="009914AE">
          <w:type w:val="continuous"/>
          <w:pgSz w:w="12240" w:h="15840" w:code="1"/>
          <w:pgMar w:top="1440" w:right="1440" w:bottom="1440" w:left="1440" w:header="720" w:footer="720" w:gutter="0"/>
          <w:cols w:num="2" w:space="180"/>
          <w:noEndnote/>
        </w:sectPr>
      </w:pPr>
      <w:r w:rsidRPr="00933923">
        <w:rPr>
          <w:szCs w:val="24"/>
        </w:rPr>
        <w:t>bspencer@northwestern.edu</w:t>
      </w:r>
    </w:p>
    <w:p w:rsidR="00B275FB" w:rsidRPr="00933923" w:rsidRDefault="00B275FB" w:rsidP="00B275FB">
      <w:pPr>
        <w:kinsoku w:val="0"/>
        <w:overflowPunct w:val="0"/>
        <w:spacing w:line="240" w:lineRule="auto"/>
        <w:rPr>
          <w:szCs w:val="24"/>
        </w:rPr>
      </w:pPr>
    </w:p>
    <w:p w:rsidR="00B275FB" w:rsidRPr="00933923" w:rsidRDefault="00B275FB" w:rsidP="00B275FB">
      <w:pPr>
        <w:pStyle w:val="L1-FlLSp12"/>
        <w:sectPr w:rsidR="00B275FB" w:rsidRPr="00933923" w:rsidSect="00B275FB">
          <w:type w:val="continuous"/>
          <w:pgSz w:w="12240" w:h="15840" w:code="1"/>
          <w:pgMar w:top="1440" w:right="1440" w:bottom="1440" w:left="1440" w:header="720" w:footer="720" w:gutter="0"/>
          <w:cols w:space="180"/>
          <w:noEndnote/>
        </w:sectPr>
      </w:pPr>
    </w:p>
    <w:p w:rsidR="00B275FB" w:rsidRPr="00933923" w:rsidRDefault="00B275FB" w:rsidP="00B275FB">
      <w:pPr>
        <w:pStyle w:val="L1-FlLSp12"/>
      </w:pPr>
    </w:p>
    <w:p w:rsidR="00B275FB" w:rsidRPr="00933923" w:rsidRDefault="00B275FB" w:rsidP="00B275FB">
      <w:pPr>
        <w:pStyle w:val="L1-FlLSp12"/>
      </w:pPr>
      <w:r w:rsidRPr="00933923">
        <w:t>Other invited attendees of the meetings where the design was presented:</w:t>
      </w:r>
    </w:p>
    <w:p w:rsidR="00B275FB" w:rsidRPr="00933923" w:rsidRDefault="00B275FB" w:rsidP="00B275FB">
      <w:pPr>
        <w:pStyle w:val="L1-FlLSp12"/>
      </w:pPr>
    </w:p>
    <w:p w:rsidR="00B275FB" w:rsidRPr="00933923" w:rsidRDefault="00B275FB" w:rsidP="00B275FB">
      <w:pPr>
        <w:tabs>
          <w:tab w:val="left" w:pos="1800"/>
        </w:tabs>
        <w:kinsoku w:val="0"/>
        <w:overflowPunct w:val="0"/>
        <w:sectPr w:rsidR="00B275FB" w:rsidRPr="00933923" w:rsidSect="0024181F">
          <w:type w:val="continuous"/>
          <w:pgSz w:w="12240" w:h="15840" w:code="1"/>
          <w:pgMar w:top="1440" w:right="1440" w:bottom="1440" w:left="1440" w:header="720" w:footer="720" w:gutter="0"/>
          <w:cols w:space="720"/>
          <w:noEndnote/>
        </w:sectPr>
      </w:pPr>
    </w:p>
    <w:p w:rsidR="00B275FB" w:rsidRPr="00933923" w:rsidRDefault="00B275FB" w:rsidP="00B275FB">
      <w:pPr>
        <w:tabs>
          <w:tab w:val="left" w:pos="1800"/>
        </w:tabs>
        <w:kinsoku w:val="0"/>
        <w:overflowPunct w:val="0"/>
        <w:spacing w:line="240" w:lineRule="auto"/>
      </w:pPr>
      <w:r w:rsidRPr="00933923">
        <w:lastRenderedPageBreak/>
        <w:t>Dr. Janet Lauritsen</w:t>
      </w:r>
    </w:p>
    <w:p w:rsidR="00B275FB" w:rsidRPr="00933923" w:rsidRDefault="00B275FB" w:rsidP="00B275FB">
      <w:pPr>
        <w:tabs>
          <w:tab w:val="left" w:pos="1800"/>
        </w:tabs>
        <w:kinsoku w:val="0"/>
        <w:overflowPunct w:val="0"/>
        <w:spacing w:line="240" w:lineRule="auto"/>
      </w:pPr>
      <w:r w:rsidRPr="00933923">
        <w:t>University of Missouri, St. Louis</w:t>
      </w:r>
    </w:p>
    <w:p w:rsidR="00B275FB" w:rsidRPr="00933923" w:rsidRDefault="00B275FB" w:rsidP="00B275FB">
      <w:pPr>
        <w:tabs>
          <w:tab w:val="left" w:pos="1800"/>
        </w:tabs>
        <w:kinsoku w:val="0"/>
        <w:overflowPunct w:val="0"/>
        <w:spacing w:line="240" w:lineRule="auto"/>
      </w:pPr>
      <w:r w:rsidRPr="00933923">
        <w:t>(314) 516-5427</w:t>
      </w:r>
    </w:p>
    <w:p w:rsidR="00B275FB" w:rsidRPr="00933923" w:rsidRDefault="00B275FB" w:rsidP="00B275FB">
      <w:pPr>
        <w:tabs>
          <w:tab w:val="left" w:pos="1800"/>
        </w:tabs>
        <w:kinsoku w:val="0"/>
        <w:overflowPunct w:val="0"/>
        <w:spacing w:line="240" w:lineRule="auto"/>
      </w:pPr>
      <w:r w:rsidRPr="00933923">
        <w:t>janet_lauritsen@umsl.edu</w:t>
      </w:r>
    </w:p>
    <w:p w:rsidR="00B275FB" w:rsidRPr="00933923" w:rsidRDefault="00B275FB" w:rsidP="00B275FB">
      <w:pPr>
        <w:tabs>
          <w:tab w:val="left" w:pos="1800"/>
        </w:tabs>
        <w:kinsoku w:val="0"/>
        <w:overflowPunct w:val="0"/>
        <w:spacing w:line="240" w:lineRule="auto"/>
        <w:rPr>
          <w:sz w:val="20"/>
        </w:rPr>
      </w:pPr>
    </w:p>
    <w:p w:rsidR="00B275FB" w:rsidRPr="00933923" w:rsidRDefault="00B275FB" w:rsidP="00B275FB">
      <w:pPr>
        <w:tabs>
          <w:tab w:val="left" w:pos="1800"/>
        </w:tabs>
        <w:kinsoku w:val="0"/>
        <w:overflowPunct w:val="0"/>
        <w:spacing w:line="240" w:lineRule="auto"/>
      </w:pPr>
      <w:r w:rsidRPr="00933923">
        <w:t>Dr. Kenneth Rasinski</w:t>
      </w:r>
    </w:p>
    <w:p w:rsidR="00B275FB" w:rsidRPr="00933923" w:rsidRDefault="00B275FB" w:rsidP="00B275FB">
      <w:pPr>
        <w:tabs>
          <w:tab w:val="left" w:pos="1800"/>
        </w:tabs>
        <w:kinsoku w:val="0"/>
        <w:overflowPunct w:val="0"/>
        <w:spacing w:line="240" w:lineRule="auto"/>
      </w:pPr>
      <w:r w:rsidRPr="00933923">
        <w:t>Department of Medicine</w:t>
      </w:r>
    </w:p>
    <w:p w:rsidR="00B275FB" w:rsidRPr="00933923" w:rsidRDefault="00B275FB" w:rsidP="00B275FB">
      <w:pPr>
        <w:tabs>
          <w:tab w:val="left" w:pos="1800"/>
        </w:tabs>
        <w:kinsoku w:val="0"/>
        <w:overflowPunct w:val="0"/>
        <w:spacing w:line="240" w:lineRule="auto"/>
      </w:pPr>
      <w:r w:rsidRPr="00933923">
        <w:t>University of Chicago</w:t>
      </w:r>
    </w:p>
    <w:p w:rsidR="00B275FB" w:rsidRPr="00933923" w:rsidRDefault="00B275FB" w:rsidP="00B275FB">
      <w:pPr>
        <w:tabs>
          <w:tab w:val="left" w:pos="1800"/>
        </w:tabs>
        <w:kinsoku w:val="0"/>
        <w:overflowPunct w:val="0"/>
        <w:spacing w:line="240" w:lineRule="auto"/>
      </w:pPr>
      <w:r w:rsidRPr="00933923">
        <w:t>(773) 834-6837</w:t>
      </w:r>
    </w:p>
    <w:p w:rsidR="00B275FB" w:rsidRPr="00933923" w:rsidRDefault="00B275FB" w:rsidP="00B275FB">
      <w:pPr>
        <w:tabs>
          <w:tab w:val="left" w:pos="1800"/>
        </w:tabs>
        <w:kinsoku w:val="0"/>
        <w:overflowPunct w:val="0"/>
        <w:spacing w:line="240" w:lineRule="auto"/>
      </w:pPr>
      <w:r w:rsidRPr="00933923">
        <w:t>kennethr@uchicago.edu</w:t>
      </w:r>
    </w:p>
    <w:p w:rsidR="00B275FB" w:rsidRPr="00933923" w:rsidRDefault="00B275FB" w:rsidP="00B275FB">
      <w:pPr>
        <w:tabs>
          <w:tab w:val="left" w:pos="1800"/>
        </w:tabs>
        <w:kinsoku w:val="0"/>
        <w:overflowPunct w:val="0"/>
        <w:spacing w:line="240" w:lineRule="auto"/>
        <w:rPr>
          <w:sz w:val="20"/>
        </w:rPr>
      </w:pPr>
    </w:p>
    <w:p w:rsidR="00B275FB" w:rsidRPr="00933923" w:rsidRDefault="00B275FB" w:rsidP="00B275FB">
      <w:pPr>
        <w:tabs>
          <w:tab w:val="left" w:pos="1800"/>
        </w:tabs>
        <w:kinsoku w:val="0"/>
        <w:overflowPunct w:val="0"/>
        <w:spacing w:line="240" w:lineRule="auto"/>
        <w:rPr>
          <w:bCs/>
        </w:rPr>
      </w:pPr>
      <w:r w:rsidRPr="00933923">
        <w:rPr>
          <w:bCs/>
        </w:rPr>
        <w:t>Ms. Carol E. Tracy</w:t>
      </w:r>
    </w:p>
    <w:p w:rsidR="00B275FB" w:rsidRPr="00933923" w:rsidRDefault="00B275FB" w:rsidP="00B275FB">
      <w:pPr>
        <w:tabs>
          <w:tab w:val="left" w:pos="1800"/>
        </w:tabs>
        <w:kinsoku w:val="0"/>
        <w:overflowPunct w:val="0"/>
        <w:spacing w:line="240" w:lineRule="auto"/>
        <w:rPr>
          <w:bCs/>
        </w:rPr>
      </w:pPr>
      <w:r w:rsidRPr="00933923">
        <w:rPr>
          <w:bCs/>
        </w:rPr>
        <w:t>Women’s Law Project</w:t>
      </w:r>
    </w:p>
    <w:p w:rsidR="00B275FB" w:rsidRPr="00933923" w:rsidRDefault="00B275FB" w:rsidP="00B275FB">
      <w:pPr>
        <w:tabs>
          <w:tab w:val="left" w:pos="1800"/>
        </w:tabs>
        <w:kinsoku w:val="0"/>
        <w:overflowPunct w:val="0"/>
        <w:spacing w:line="240" w:lineRule="auto"/>
        <w:rPr>
          <w:bCs/>
        </w:rPr>
      </w:pPr>
      <w:r w:rsidRPr="00933923">
        <w:rPr>
          <w:bCs/>
        </w:rPr>
        <w:t>(215) 928-9801</w:t>
      </w:r>
    </w:p>
    <w:p w:rsidR="00B275FB" w:rsidRPr="00933923" w:rsidRDefault="00B275FB" w:rsidP="00B275FB">
      <w:pPr>
        <w:tabs>
          <w:tab w:val="left" w:pos="1800"/>
        </w:tabs>
        <w:kinsoku w:val="0"/>
        <w:overflowPunct w:val="0"/>
        <w:spacing w:line="240" w:lineRule="auto"/>
        <w:rPr>
          <w:bCs/>
          <w:sz w:val="20"/>
        </w:rPr>
      </w:pPr>
    </w:p>
    <w:p w:rsidR="00B275FB" w:rsidRPr="00933923" w:rsidRDefault="00B275FB" w:rsidP="00B275FB">
      <w:pPr>
        <w:tabs>
          <w:tab w:val="left" w:pos="1800"/>
        </w:tabs>
        <w:kinsoku w:val="0"/>
        <w:overflowPunct w:val="0"/>
        <w:spacing w:line="240" w:lineRule="auto"/>
        <w:rPr>
          <w:bCs/>
        </w:rPr>
      </w:pPr>
      <w:r w:rsidRPr="00933923">
        <w:rPr>
          <w:bCs/>
        </w:rPr>
        <w:t>Ms. Terry L. Fromson</w:t>
      </w:r>
    </w:p>
    <w:p w:rsidR="00B275FB" w:rsidRPr="00933923" w:rsidRDefault="00B275FB" w:rsidP="00B275FB">
      <w:pPr>
        <w:tabs>
          <w:tab w:val="left" w:pos="1800"/>
        </w:tabs>
        <w:kinsoku w:val="0"/>
        <w:overflowPunct w:val="0"/>
        <w:spacing w:line="240" w:lineRule="auto"/>
        <w:rPr>
          <w:bCs/>
        </w:rPr>
      </w:pPr>
      <w:r w:rsidRPr="00933923">
        <w:rPr>
          <w:bCs/>
        </w:rPr>
        <w:t>Women’s Law Project</w:t>
      </w:r>
    </w:p>
    <w:p w:rsidR="00B275FB" w:rsidRPr="00933923" w:rsidRDefault="00B275FB" w:rsidP="00B275FB">
      <w:pPr>
        <w:tabs>
          <w:tab w:val="left" w:pos="1800"/>
        </w:tabs>
        <w:kinsoku w:val="0"/>
        <w:overflowPunct w:val="0"/>
        <w:spacing w:line="240" w:lineRule="auto"/>
        <w:rPr>
          <w:bCs/>
        </w:rPr>
      </w:pPr>
      <w:r w:rsidRPr="00933923">
        <w:rPr>
          <w:bCs/>
        </w:rPr>
        <w:t>(215) 928-9801</w:t>
      </w:r>
    </w:p>
    <w:p w:rsidR="00B275FB" w:rsidRPr="00933923" w:rsidRDefault="00B275FB" w:rsidP="00B275FB">
      <w:pPr>
        <w:tabs>
          <w:tab w:val="left" w:pos="1800"/>
        </w:tabs>
        <w:kinsoku w:val="0"/>
        <w:overflowPunct w:val="0"/>
        <w:spacing w:line="240" w:lineRule="auto"/>
        <w:rPr>
          <w:bCs/>
          <w:sz w:val="20"/>
        </w:rPr>
      </w:pPr>
    </w:p>
    <w:p w:rsidR="00B275FB" w:rsidRPr="00933923" w:rsidRDefault="00B275FB" w:rsidP="00B275FB">
      <w:pPr>
        <w:tabs>
          <w:tab w:val="left" w:pos="1800"/>
        </w:tabs>
        <w:kinsoku w:val="0"/>
        <w:overflowPunct w:val="0"/>
        <w:spacing w:line="240" w:lineRule="auto"/>
        <w:rPr>
          <w:bCs/>
        </w:rPr>
      </w:pPr>
      <w:r w:rsidRPr="00933923">
        <w:rPr>
          <w:bCs/>
        </w:rPr>
        <w:t>Ms. Jennifer Gentile Long</w:t>
      </w:r>
    </w:p>
    <w:p w:rsidR="00B275FB" w:rsidRPr="00933923" w:rsidRDefault="00B275FB" w:rsidP="00B275FB">
      <w:pPr>
        <w:tabs>
          <w:tab w:val="left" w:pos="1800"/>
        </w:tabs>
        <w:kinsoku w:val="0"/>
        <w:overflowPunct w:val="0"/>
        <w:spacing w:line="240" w:lineRule="auto"/>
        <w:rPr>
          <w:bCs/>
        </w:rPr>
      </w:pPr>
      <w:r w:rsidRPr="00933923">
        <w:rPr>
          <w:bCs/>
        </w:rPr>
        <w:t>AEquitas</w:t>
      </w:r>
    </w:p>
    <w:p w:rsidR="00B275FB" w:rsidRDefault="00B275FB" w:rsidP="00B275FB">
      <w:pPr>
        <w:tabs>
          <w:tab w:val="left" w:pos="1800"/>
        </w:tabs>
        <w:kinsoku w:val="0"/>
        <w:overflowPunct w:val="0"/>
        <w:spacing w:line="240" w:lineRule="auto"/>
        <w:rPr>
          <w:bCs/>
        </w:rPr>
      </w:pPr>
      <w:r w:rsidRPr="00933923">
        <w:rPr>
          <w:bCs/>
        </w:rPr>
        <w:t>(202) 558-0029</w:t>
      </w:r>
    </w:p>
    <w:p w:rsidR="001B2686" w:rsidRDefault="003C38A9" w:rsidP="001B2686">
      <w:pPr>
        <w:tabs>
          <w:tab w:val="left" w:pos="1800"/>
        </w:tabs>
        <w:kinsoku w:val="0"/>
        <w:overflowPunct w:val="0"/>
        <w:spacing w:line="240" w:lineRule="auto"/>
        <w:rPr>
          <w:bCs/>
        </w:rPr>
      </w:pPr>
      <w:hyperlink r:id="rId12" w:history="1">
        <w:r w:rsidR="001B2686" w:rsidRPr="00583BC2">
          <w:rPr>
            <w:rStyle w:val="Hyperlink"/>
            <w:bCs/>
          </w:rPr>
          <w:t>JLong@AEquitasResource.org</w:t>
        </w:r>
      </w:hyperlink>
    </w:p>
    <w:p w:rsidR="001B2686" w:rsidRDefault="001B2686" w:rsidP="00B275FB">
      <w:pPr>
        <w:tabs>
          <w:tab w:val="left" w:pos="1800"/>
        </w:tabs>
        <w:kinsoku w:val="0"/>
        <w:overflowPunct w:val="0"/>
        <w:spacing w:line="240" w:lineRule="auto"/>
        <w:rPr>
          <w:bCs/>
        </w:rPr>
      </w:pPr>
    </w:p>
    <w:p w:rsidR="00B275FB" w:rsidRPr="00933923" w:rsidRDefault="00B275FB" w:rsidP="00B275FB">
      <w:pPr>
        <w:tabs>
          <w:tab w:val="left" w:pos="1800"/>
        </w:tabs>
        <w:kinsoku w:val="0"/>
        <w:overflowPunct w:val="0"/>
        <w:spacing w:line="240" w:lineRule="auto"/>
        <w:rPr>
          <w:bCs/>
        </w:rPr>
      </w:pPr>
    </w:p>
    <w:p w:rsidR="00B275FB" w:rsidRPr="00933923" w:rsidRDefault="00B275FB" w:rsidP="00B275FB">
      <w:pPr>
        <w:tabs>
          <w:tab w:val="left" w:pos="1800"/>
        </w:tabs>
        <w:kinsoku w:val="0"/>
        <w:overflowPunct w:val="0"/>
        <w:spacing w:line="240" w:lineRule="auto"/>
        <w:rPr>
          <w:bCs/>
        </w:rPr>
      </w:pPr>
      <w:r w:rsidRPr="00933923">
        <w:rPr>
          <w:bCs/>
        </w:rPr>
        <w:t>Ms. Charlene Whitman</w:t>
      </w:r>
    </w:p>
    <w:p w:rsidR="00B275FB" w:rsidRPr="00933923" w:rsidRDefault="00B275FB" w:rsidP="00B275FB">
      <w:pPr>
        <w:tabs>
          <w:tab w:val="left" w:pos="1800"/>
        </w:tabs>
        <w:kinsoku w:val="0"/>
        <w:overflowPunct w:val="0"/>
        <w:spacing w:line="240" w:lineRule="auto"/>
        <w:rPr>
          <w:bCs/>
        </w:rPr>
      </w:pPr>
      <w:r w:rsidRPr="00933923">
        <w:rPr>
          <w:bCs/>
        </w:rPr>
        <w:t>AEquitas</w:t>
      </w:r>
    </w:p>
    <w:p w:rsidR="00B275FB" w:rsidRPr="00933923" w:rsidRDefault="00B275FB" w:rsidP="00B275FB">
      <w:pPr>
        <w:tabs>
          <w:tab w:val="left" w:pos="1800"/>
        </w:tabs>
        <w:kinsoku w:val="0"/>
        <w:overflowPunct w:val="0"/>
        <w:spacing w:line="240" w:lineRule="auto"/>
      </w:pPr>
      <w:r w:rsidRPr="00933923">
        <w:t>(202) 499-0314</w:t>
      </w:r>
    </w:p>
    <w:p w:rsidR="00B275FB" w:rsidRPr="00933923" w:rsidRDefault="00B275FB" w:rsidP="00B275FB">
      <w:pPr>
        <w:tabs>
          <w:tab w:val="left" w:pos="1800"/>
        </w:tabs>
        <w:kinsoku w:val="0"/>
        <w:overflowPunct w:val="0"/>
        <w:spacing w:line="240" w:lineRule="auto"/>
      </w:pPr>
      <w:r w:rsidRPr="00933923">
        <w:t>cwhitman@aequitasresource.org</w:t>
      </w:r>
    </w:p>
    <w:p w:rsidR="00B275FB" w:rsidRPr="00933923" w:rsidRDefault="00B275FB" w:rsidP="00B275FB">
      <w:pPr>
        <w:tabs>
          <w:tab w:val="left" w:pos="1800"/>
        </w:tabs>
        <w:kinsoku w:val="0"/>
        <w:overflowPunct w:val="0"/>
        <w:spacing w:line="240" w:lineRule="auto"/>
        <w:rPr>
          <w:u w:val="single"/>
        </w:rPr>
      </w:pPr>
    </w:p>
    <w:p w:rsidR="00B275FB" w:rsidRPr="00933923" w:rsidRDefault="00B275FB" w:rsidP="00B275FB">
      <w:pPr>
        <w:tabs>
          <w:tab w:val="left" w:pos="1800"/>
        </w:tabs>
        <w:kinsoku w:val="0"/>
        <w:overflowPunct w:val="0"/>
        <w:spacing w:line="240" w:lineRule="auto"/>
      </w:pPr>
      <w:r w:rsidRPr="00933923">
        <w:t>Dr. Ronet Bachman</w:t>
      </w:r>
    </w:p>
    <w:p w:rsidR="00B275FB" w:rsidRPr="00933923" w:rsidRDefault="00B275FB" w:rsidP="00B275FB">
      <w:pPr>
        <w:tabs>
          <w:tab w:val="left" w:pos="1800"/>
        </w:tabs>
        <w:kinsoku w:val="0"/>
        <w:overflowPunct w:val="0"/>
        <w:spacing w:line="240" w:lineRule="auto"/>
      </w:pPr>
      <w:r w:rsidRPr="00933923">
        <w:t>University of Delaware</w:t>
      </w:r>
    </w:p>
    <w:p w:rsidR="00B275FB" w:rsidRPr="00933923" w:rsidRDefault="00B275FB" w:rsidP="00B275FB">
      <w:pPr>
        <w:tabs>
          <w:tab w:val="left" w:pos="1800"/>
        </w:tabs>
        <w:kinsoku w:val="0"/>
        <w:overflowPunct w:val="0"/>
        <w:spacing w:line="240" w:lineRule="auto"/>
      </w:pPr>
      <w:r w:rsidRPr="00933923">
        <w:t>(302) 831-3267</w:t>
      </w:r>
    </w:p>
    <w:p w:rsidR="00B275FB" w:rsidRPr="00933923" w:rsidRDefault="00B275FB" w:rsidP="00B275FB">
      <w:pPr>
        <w:tabs>
          <w:tab w:val="left" w:pos="1800"/>
        </w:tabs>
        <w:kinsoku w:val="0"/>
        <w:overflowPunct w:val="0"/>
        <w:spacing w:line="240" w:lineRule="auto"/>
      </w:pPr>
      <w:r w:rsidRPr="00933923">
        <w:t>Ronet@udel.edu</w:t>
      </w:r>
    </w:p>
    <w:p w:rsidR="00B275FB" w:rsidRPr="00933923" w:rsidRDefault="00B275FB" w:rsidP="00B275FB">
      <w:pPr>
        <w:tabs>
          <w:tab w:val="left" w:pos="1800"/>
        </w:tabs>
        <w:kinsoku w:val="0"/>
        <w:overflowPunct w:val="0"/>
        <w:spacing w:line="240" w:lineRule="auto"/>
      </w:pPr>
    </w:p>
    <w:p w:rsidR="00B275FB" w:rsidRPr="00933923" w:rsidRDefault="00B275FB" w:rsidP="00B275FB">
      <w:pPr>
        <w:tabs>
          <w:tab w:val="left" w:pos="1800"/>
        </w:tabs>
        <w:kinsoku w:val="0"/>
        <w:overflowPunct w:val="0"/>
        <w:spacing w:line="240" w:lineRule="auto"/>
      </w:pPr>
      <w:r w:rsidRPr="00933923">
        <w:t>Dr. Lynn Addington</w:t>
      </w:r>
    </w:p>
    <w:p w:rsidR="00B275FB" w:rsidRPr="00933923" w:rsidRDefault="00B275FB" w:rsidP="00B275FB">
      <w:pPr>
        <w:tabs>
          <w:tab w:val="left" w:pos="1800"/>
        </w:tabs>
        <w:kinsoku w:val="0"/>
        <w:overflowPunct w:val="0"/>
        <w:spacing w:line="240" w:lineRule="auto"/>
      </w:pPr>
      <w:r w:rsidRPr="00933923">
        <w:t>American University</w:t>
      </w:r>
    </w:p>
    <w:p w:rsidR="00B275FB" w:rsidRPr="00933923" w:rsidRDefault="00B275FB" w:rsidP="00B275FB">
      <w:pPr>
        <w:tabs>
          <w:tab w:val="left" w:pos="1800"/>
        </w:tabs>
        <w:kinsoku w:val="0"/>
        <w:overflowPunct w:val="0"/>
        <w:spacing w:line="240" w:lineRule="auto"/>
      </w:pPr>
      <w:r w:rsidRPr="00933923">
        <w:t>(202) 885-2902</w:t>
      </w:r>
    </w:p>
    <w:p w:rsidR="00B275FB" w:rsidRPr="00933923" w:rsidRDefault="00B275FB" w:rsidP="00B275FB">
      <w:pPr>
        <w:tabs>
          <w:tab w:val="left" w:pos="1800"/>
        </w:tabs>
        <w:kinsoku w:val="0"/>
        <w:overflowPunct w:val="0"/>
        <w:spacing w:line="240" w:lineRule="auto"/>
      </w:pPr>
      <w:r w:rsidRPr="00933923">
        <w:t>adding@american.edu</w:t>
      </w:r>
    </w:p>
    <w:p w:rsidR="00B275FB" w:rsidRPr="00933923" w:rsidRDefault="00B275FB" w:rsidP="00B275FB">
      <w:pPr>
        <w:tabs>
          <w:tab w:val="left" w:pos="1800"/>
        </w:tabs>
        <w:kinsoku w:val="0"/>
        <w:overflowPunct w:val="0"/>
        <w:spacing w:line="240" w:lineRule="auto"/>
      </w:pPr>
    </w:p>
    <w:p w:rsidR="00B275FB" w:rsidRPr="00933923" w:rsidRDefault="00B275FB" w:rsidP="00B275FB">
      <w:pPr>
        <w:tabs>
          <w:tab w:val="left" w:pos="1800"/>
        </w:tabs>
        <w:kinsoku w:val="0"/>
        <w:overflowPunct w:val="0"/>
        <w:spacing w:line="240" w:lineRule="auto"/>
      </w:pPr>
      <w:r w:rsidRPr="00933923">
        <w:t>Mr. Scott Berkowitz</w:t>
      </w:r>
    </w:p>
    <w:p w:rsidR="00B275FB" w:rsidRPr="00933923" w:rsidRDefault="00B275FB" w:rsidP="00B275FB">
      <w:pPr>
        <w:tabs>
          <w:tab w:val="left" w:pos="1800"/>
        </w:tabs>
        <w:kinsoku w:val="0"/>
        <w:overflowPunct w:val="0"/>
        <w:spacing w:line="240" w:lineRule="auto"/>
        <w:rPr>
          <w:rStyle w:val="text1"/>
          <w:rFonts w:ascii="Garamond" w:hAnsi="Garamond" w:cs="Times New Roman"/>
          <w:sz w:val="24"/>
          <w:szCs w:val="24"/>
        </w:rPr>
      </w:pPr>
      <w:r w:rsidRPr="00933923">
        <w:rPr>
          <w:rStyle w:val="text1"/>
          <w:rFonts w:ascii="Garamond" w:hAnsi="Garamond" w:cs="Times New Roman"/>
          <w:sz w:val="24"/>
          <w:szCs w:val="24"/>
        </w:rPr>
        <w:t>President and Founder, RAINN (Rape, Abuse, and Incest National Network)</w:t>
      </w:r>
    </w:p>
    <w:p w:rsidR="009914AE" w:rsidRDefault="00B275FB" w:rsidP="00B275FB">
      <w:pPr>
        <w:tabs>
          <w:tab w:val="left" w:pos="1800"/>
        </w:tabs>
        <w:kinsoku w:val="0"/>
        <w:overflowPunct w:val="0"/>
        <w:spacing w:line="240" w:lineRule="auto"/>
        <w:rPr>
          <w:rStyle w:val="text1"/>
          <w:rFonts w:ascii="Garamond" w:hAnsi="Garamond" w:cs="Times New Roman"/>
          <w:sz w:val="24"/>
          <w:szCs w:val="24"/>
        </w:rPr>
        <w:sectPr w:rsidR="009914AE" w:rsidSect="009914AE">
          <w:type w:val="continuous"/>
          <w:pgSz w:w="12240" w:h="15840" w:code="1"/>
          <w:pgMar w:top="1440" w:right="1440" w:bottom="1440" w:left="1440" w:header="720" w:footer="720" w:gutter="0"/>
          <w:cols w:num="2" w:space="720"/>
          <w:noEndnote/>
        </w:sectPr>
      </w:pPr>
      <w:r w:rsidRPr="00933923">
        <w:rPr>
          <w:rStyle w:val="text1"/>
          <w:rFonts w:ascii="Garamond" w:hAnsi="Garamond" w:cs="Times New Roman"/>
          <w:sz w:val="24"/>
          <w:szCs w:val="24"/>
        </w:rPr>
        <w:t>(202) 544-3064</w:t>
      </w:r>
    </w:p>
    <w:p w:rsidR="00B275FB" w:rsidRPr="00933923" w:rsidRDefault="00B275FB" w:rsidP="00B275FB">
      <w:pPr>
        <w:tabs>
          <w:tab w:val="left" w:pos="1800"/>
        </w:tabs>
        <w:kinsoku w:val="0"/>
        <w:overflowPunct w:val="0"/>
        <w:spacing w:line="240" w:lineRule="auto"/>
        <w:rPr>
          <w:rStyle w:val="text1"/>
          <w:rFonts w:ascii="Garamond" w:hAnsi="Garamond" w:cs="Times New Roman"/>
          <w:sz w:val="24"/>
          <w:szCs w:val="24"/>
        </w:rPr>
      </w:pPr>
    </w:p>
    <w:p w:rsidR="00B275FB" w:rsidRPr="00933923" w:rsidRDefault="00B275FB" w:rsidP="00B275FB">
      <w:pPr>
        <w:tabs>
          <w:tab w:val="left" w:pos="1800"/>
        </w:tabs>
        <w:kinsoku w:val="0"/>
        <w:overflowPunct w:val="0"/>
        <w:spacing w:line="240" w:lineRule="auto"/>
        <w:sectPr w:rsidR="00B275FB" w:rsidRPr="00933923" w:rsidSect="006D4C7A">
          <w:type w:val="continuous"/>
          <w:pgSz w:w="12240" w:h="15840" w:code="1"/>
          <w:pgMar w:top="1440" w:right="1440" w:bottom="1440" w:left="1440" w:header="720" w:footer="720" w:gutter="0"/>
          <w:cols w:space="720"/>
          <w:noEndnote/>
        </w:sectPr>
      </w:pPr>
    </w:p>
    <w:p w:rsidR="000A4A99" w:rsidRPr="003F40FD" w:rsidRDefault="00113BD0" w:rsidP="003F40FD">
      <w:pPr>
        <w:pStyle w:val="Heading3"/>
      </w:pPr>
      <w:bookmarkStart w:id="40" w:name="_Toc361144789"/>
      <w:bookmarkStart w:id="41" w:name="_Toc380930582"/>
      <w:bookmarkStart w:id="42" w:name="_Toc380930738"/>
      <w:r w:rsidRPr="003F40FD">
        <w:lastRenderedPageBreak/>
        <w:t>A</w:t>
      </w:r>
      <w:r w:rsidR="000A4A99" w:rsidRPr="003F40FD">
        <w:t>9.</w:t>
      </w:r>
      <w:r w:rsidR="000A4A99" w:rsidRPr="003F40FD">
        <w:tab/>
        <w:t>Payment or Gift to Respondents</w:t>
      </w:r>
      <w:bookmarkEnd w:id="40"/>
      <w:bookmarkEnd w:id="41"/>
      <w:bookmarkEnd w:id="42"/>
      <w:r w:rsidR="000A4A99" w:rsidRPr="003F40FD">
        <w:t xml:space="preserve"> </w:t>
      </w:r>
    </w:p>
    <w:p w:rsidR="000A4A99" w:rsidRDefault="000A4A99" w:rsidP="00154211">
      <w:pPr>
        <w:pStyle w:val="L1-FlLSp12"/>
      </w:pPr>
      <w:r w:rsidRPr="00933923">
        <w:t>As has been documented elsewhere (e.g., Brick and Williams, 2013; Curtin, et al., 2005), it is increasingly difficult to achieve high response rates in surveys.</w:t>
      </w:r>
      <w:r w:rsidR="0008441A" w:rsidRPr="00933923">
        <w:t xml:space="preserve"> </w:t>
      </w:r>
      <w:r w:rsidRPr="00933923">
        <w:t>In some instances, incentives have been found to be cost neutral as the price of the incentive is offset by the reduction in field time and contact attempts necessary to garner participation (R</w:t>
      </w:r>
      <w:r w:rsidR="00166174">
        <w:t xml:space="preserve">esearch </w:t>
      </w:r>
      <w:r w:rsidRPr="00933923">
        <w:t>T</w:t>
      </w:r>
      <w:r w:rsidR="00166174">
        <w:t xml:space="preserve">riangle </w:t>
      </w:r>
      <w:r w:rsidRPr="00933923">
        <w:t>I</w:t>
      </w:r>
      <w:r w:rsidR="00166174">
        <w:t>nstitute</w:t>
      </w:r>
      <w:r w:rsidRPr="00933923">
        <w:t>, 2002).</w:t>
      </w:r>
      <w:r w:rsidR="005C335B">
        <w:t xml:space="preserve">  The proposed survey covers topics that are particularly sensitive</w:t>
      </w:r>
      <w:r w:rsidR="00342C5A">
        <w:t>, which adds significant burden to the interview.  Incentives are a reliable way to recognize this burden and increase the overall quality of the survey by maximizing the response rate and increasing the efficiency of the survey operations.</w:t>
      </w:r>
    </w:p>
    <w:p w:rsidR="0020590A" w:rsidRPr="00933923" w:rsidRDefault="0020590A" w:rsidP="00154211">
      <w:pPr>
        <w:pStyle w:val="L1-FlLSp12"/>
      </w:pPr>
    </w:p>
    <w:p w:rsidR="000A4A99" w:rsidRPr="00933923" w:rsidRDefault="000A4A99" w:rsidP="00154211">
      <w:pPr>
        <w:pStyle w:val="L1-FlLSp12"/>
      </w:pPr>
      <w:r w:rsidRPr="00933923">
        <w:t>Maximizing statistical power and coverage will be critical for the project since less than 5 percent of the respondents are expected to report a rape or sexual assault in the past 12 months. Young people, who consistently exhibit high nonresponse rates in household surveys, are at higher risk group for rape and sexual assault, which makes the risk of nonresponse bias relatively high for the critical estimates of this research. Several studies have found that incentives are particularly effective for minority and low income groups (Singer, 2002). These groups are also subject to higher risk of rape and sexual assault.</w:t>
      </w:r>
    </w:p>
    <w:p w:rsidR="000A4A99" w:rsidRPr="00933923" w:rsidRDefault="000A4A99" w:rsidP="00154211">
      <w:pPr>
        <w:pStyle w:val="L1-FlLSp12"/>
      </w:pPr>
    </w:p>
    <w:p w:rsidR="000A4A99" w:rsidRPr="00933923" w:rsidRDefault="00637C23" w:rsidP="00154211">
      <w:pPr>
        <w:pStyle w:val="L1-FlLSp12"/>
      </w:pPr>
      <w:r w:rsidRPr="00933923">
        <w:t>A</w:t>
      </w:r>
      <w:r w:rsidR="000A4A99" w:rsidRPr="00933923">
        <w:t>n important goal of the feasibility and pilot studies is to inform design decisions that will be implemented in the National Crime Victimization Survey (NCVS). Making comparisons of the two modes that are to be tested in the pilot study will be dependent on achieving high response rates in both telephone and in-person designs. Maximizing response rates will also be necessary for comparing the results of these studies to the current NCVS, which has response rates in the high 80s. Maximizing response rates for the proposed study will reduce the extent that observed differences with the NCVS are due to nonresponse bias.</w:t>
      </w:r>
    </w:p>
    <w:p w:rsidR="000A4A99" w:rsidRDefault="000A4A99" w:rsidP="00154211">
      <w:pPr>
        <w:pStyle w:val="L1-FlLSp12"/>
      </w:pPr>
    </w:p>
    <w:p w:rsidR="009D3807" w:rsidRDefault="009D3807" w:rsidP="00154211">
      <w:pPr>
        <w:pStyle w:val="L1-FlLSp12"/>
      </w:pPr>
      <w:r>
        <w:t xml:space="preserve">The incentives vary by survey mode and sample type.   </w:t>
      </w:r>
      <w:r w:rsidR="008A1A55">
        <w:t>T</w:t>
      </w:r>
      <w:r>
        <w:t xml:space="preserve">able </w:t>
      </w:r>
      <w:r w:rsidR="00576326">
        <w:t>1</w:t>
      </w:r>
      <w:r w:rsidR="008A1A55">
        <w:t xml:space="preserve"> </w:t>
      </w:r>
      <w:r>
        <w:t xml:space="preserve">below shows the amount and number of recipients for each incentive. Following the table are descriptions of each incentive and the rationale for their use.  </w:t>
      </w:r>
    </w:p>
    <w:p w:rsidR="009D3807" w:rsidRDefault="009D3807" w:rsidP="00154211">
      <w:pPr>
        <w:pStyle w:val="L1-FlLSp12"/>
      </w:pPr>
    </w:p>
    <w:p w:rsidR="00062799" w:rsidRDefault="00062799">
      <w:pPr>
        <w:spacing w:line="240" w:lineRule="auto"/>
      </w:pPr>
      <w:r>
        <w:br w:type="page"/>
      </w:r>
    </w:p>
    <w:p w:rsidR="008A1A55" w:rsidRDefault="00576326" w:rsidP="003156B7">
      <w:pPr>
        <w:pStyle w:val="Heading4"/>
      </w:pPr>
      <w:bookmarkStart w:id="43" w:name="_Toc380930494"/>
      <w:bookmarkStart w:id="44" w:name="_Toc380930583"/>
      <w:bookmarkStart w:id="45" w:name="_Toc380930774"/>
      <w:proofErr w:type="gramStart"/>
      <w:r>
        <w:lastRenderedPageBreak/>
        <w:t>Table 1</w:t>
      </w:r>
      <w:r w:rsidR="008A1A55" w:rsidRPr="00933923">
        <w:t>.</w:t>
      </w:r>
      <w:proofErr w:type="gramEnd"/>
      <w:r w:rsidR="008A1A55" w:rsidRPr="00933923">
        <w:tab/>
      </w:r>
      <w:r w:rsidR="008A1A55">
        <w:t>Incentive Structure for Feasibility and Pilot Studies</w:t>
      </w:r>
      <w:bookmarkEnd w:id="43"/>
      <w:bookmarkEnd w:id="44"/>
      <w:bookmarkEnd w:id="45"/>
    </w:p>
    <w:tbl>
      <w:tblPr>
        <w:tblW w:w="9497" w:type="dxa"/>
        <w:tblInd w:w="93" w:type="dxa"/>
        <w:tblLayout w:type="fixed"/>
        <w:tblLook w:val="04A0" w:firstRow="1" w:lastRow="0" w:firstColumn="1" w:lastColumn="0" w:noHBand="0" w:noVBand="1"/>
      </w:tblPr>
      <w:tblGrid>
        <w:gridCol w:w="3615"/>
        <w:gridCol w:w="720"/>
        <w:gridCol w:w="1170"/>
        <w:gridCol w:w="1080"/>
        <w:gridCol w:w="630"/>
        <w:gridCol w:w="1440"/>
        <w:gridCol w:w="842"/>
      </w:tblGrid>
      <w:tr w:rsidR="0046073F" w:rsidRPr="0046073F" w:rsidTr="00A67C24">
        <w:trPr>
          <w:trHeight w:val="330"/>
        </w:trPr>
        <w:tc>
          <w:tcPr>
            <w:tcW w:w="3615" w:type="dxa"/>
            <w:tcBorders>
              <w:top w:val="single" w:sz="4" w:space="0" w:color="auto"/>
              <w:left w:val="single" w:sz="8" w:space="0" w:color="auto"/>
              <w:bottom w:val="single" w:sz="8" w:space="0" w:color="auto"/>
              <w:right w:val="nil"/>
            </w:tcBorders>
            <w:shd w:val="clear" w:color="000000" w:fill="808080"/>
            <w:vAlign w:val="bottom"/>
            <w:hideMark/>
          </w:tcPr>
          <w:p w:rsidR="0046073F" w:rsidRPr="0046073F" w:rsidRDefault="0046073F" w:rsidP="00A67C24">
            <w:pPr>
              <w:spacing w:line="240" w:lineRule="auto"/>
              <w:jc w:val="center"/>
              <w:rPr>
                <w:rFonts w:ascii="Franklin Gothic Book" w:hAnsi="Franklin Gothic Book"/>
                <w:b/>
                <w:bCs/>
                <w:sz w:val="22"/>
                <w:szCs w:val="24"/>
              </w:rPr>
            </w:pPr>
            <w:r w:rsidRPr="0046073F">
              <w:rPr>
                <w:rFonts w:ascii="Franklin Gothic Book" w:hAnsi="Franklin Gothic Book"/>
                <w:b/>
                <w:bCs/>
                <w:sz w:val="22"/>
                <w:szCs w:val="24"/>
              </w:rPr>
              <w:t>Mode</w:t>
            </w:r>
          </w:p>
        </w:tc>
        <w:tc>
          <w:tcPr>
            <w:tcW w:w="2970" w:type="dxa"/>
            <w:gridSpan w:val="3"/>
            <w:tcBorders>
              <w:top w:val="single" w:sz="4" w:space="0" w:color="auto"/>
              <w:left w:val="single" w:sz="8" w:space="0" w:color="auto"/>
              <w:bottom w:val="single" w:sz="8" w:space="0" w:color="auto"/>
              <w:right w:val="single" w:sz="8" w:space="0" w:color="000000"/>
            </w:tcBorders>
            <w:shd w:val="clear" w:color="000000" w:fill="808080"/>
            <w:vAlign w:val="bottom"/>
            <w:hideMark/>
          </w:tcPr>
          <w:p w:rsidR="0046073F" w:rsidRPr="0046073F" w:rsidRDefault="0046073F" w:rsidP="00A67C24">
            <w:pPr>
              <w:spacing w:line="240" w:lineRule="auto"/>
              <w:jc w:val="center"/>
              <w:rPr>
                <w:rFonts w:ascii="Franklin Gothic Book" w:hAnsi="Franklin Gothic Book"/>
                <w:b/>
                <w:sz w:val="22"/>
                <w:szCs w:val="24"/>
              </w:rPr>
            </w:pPr>
            <w:r w:rsidRPr="0046073F">
              <w:rPr>
                <w:rFonts w:ascii="Franklin Gothic Book" w:hAnsi="Franklin Gothic Book"/>
                <w:b/>
                <w:sz w:val="22"/>
                <w:szCs w:val="24"/>
              </w:rPr>
              <w:t>Field</w:t>
            </w:r>
          </w:p>
        </w:tc>
        <w:tc>
          <w:tcPr>
            <w:tcW w:w="2912" w:type="dxa"/>
            <w:gridSpan w:val="3"/>
            <w:tcBorders>
              <w:top w:val="single" w:sz="4" w:space="0" w:color="auto"/>
              <w:left w:val="single" w:sz="8" w:space="0" w:color="auto"/>
              <w:bottom w:val="single" w:sz="8" w:space="0" w:color="auto"/>
              <w:right w:val="single" w:sz="8" w:space="0" w:color="000000"/>
            </w:tcBorders>
            <w:shd w:val="clear" w:color="000000" w:fill="808080"/>
            <w:noWrap/>
            <w:vAlign w:val="bottom"/>
            <w:hideMark/>
          </w:tcPr>
          <w:p w:rsidR="0046073F" w:rsidRPr="0046073F" w:rsidRDefault="0046073F" w:rsidP="00A67C24">
            <w:pPr>
              <w:spacing w:line="240" w:lineRule="auto"/>
              <w:jc w:val="center"/>
              <w:rPr>
                <w:rFonts w:ascii="Franklin Gothic Book" w:hAnsi="Franklin Gothic Book"/>
                <w:b/>
                <w:sz w:val="22"/>
                <w:szCs w:val="24"/>
              </w:rPr>
            </w:pPr>
            <w:r w:rsidRPr="0046073F">
              <w:rPr>
                <w:rFonts w:ascii="Franklin Gothic Book" w:hAnsi="Franklin Gothic Book"/>
                <w:b/>
                <w:sz w:val="22"/>
                <w:szCs w:val="24"/>
              </w:rPr>
              <w:t>Phone</w:t>
            </w:r>
          </w:p>
        </w:tc>
      </w:tr>
      <w:tr w:rsidR="0046073F" w:rsidRPr="0046073F" w:rsidTr="00A67C24">
        <w:trPr>
          <w:trHeight w:val="330"/>
        </w:trPr>
        <w:tc>
          <w:tcPr>
            <w:tcW w:w="3615" w:type="dxa"/>
            <w:vMerge w:val="restart"/>
            <w:tcBorders>
              <w:top w:val="nil"/>
              <w:left w:val="single" w:sz="8" w:space="0" w:color="auto"/>
              <w:right w:val="nil"/>
            </w:tcBorders>
            <w:shd w:val="clear" w:color="auto" w:fill="auto"/>
            <w:vAlign w:val="bottom"/>
            <w:hideMark/>
          </w:tcPr>
          <w:p w:rsidR="0046073F" w:rsidRPr="0046073F" w:rsidRDefault="0046073F" w:rsidP="00A67C24">
            <w:pPr>
              <w:spacing w:line="240" w:lineRule="auto"/>
              <w:rPr>
                <w:rFonts w:ascii="Franklin Gothic Book" w:hAnsi="Franklin Gothic Book"/>
                <w:color w:val="000000"/>
                <w:sz w:val="22"/>
                <w:szCs w:val="24"/>
              </w:rPr>
            </w:pPr>
            <w:r w:rsidRPr="0046073F">
              <w:rPr>
                <w:rFonts w:ascii="Franklin Gothic Book" w:hAnsi="Franklin Gothic Book"/>
                <w:b/>
                <w:color w:val="000000"/>
                <w:sz w:val="22"/>
                <w:szCs w:val="24"/>
              </w:rPr>
              <w:t>Incentive Structure</w:t>
            </w:r>
          </w:p>
        </w:tc>
        <w:tc>
          <w:tcPr>
            <w:tcW w:w="720" w:type="dxa"/>
            <w:vMerge w:val="restart"/>
            <w:tcBorders>
              <w:top w:val="nil"/>
              <w:left w:val="single" w:sz="8" w:space="0" w:color="auto"/>
              <w:right w:val="single" w:sz="4" w:space="0" w:color="auto"/>
            </w:tcBorders>
            <w:shd w:val="clear" w:color="auto" w:fill="auto"/>
            <w:vAlign w:val="bottom"/>
            <w:hideMark/>
          </w:tcPr>
          <w:p w:rsidR="0046073F" w:rsidRPr="0046073F" w:rsidRDefault="0046073F" w:rsidP="00A67C24">
            <w:pPr>
              <w:spacing w:line="240" w:lineRule="auto"/>
              <w:jc w:val="center"/>
              <w:rPr>
                <w:rFonts w:ascii="Franklin Gothic Book" w:hAnsi="Franklin Gothic Book"/>
                <w:color w:val="000000"/>
                <w:sz w:val="22"/>
                <w:szCs w:val="24"/>
              </w:rPr>
            </w:pPr>
            <w:r w:rsidRPr="0046073F">
              <w:rPr>
                <w:rFonts w:ascii="Franklin Gothic Book" w:hAnsi="Franklin Gothic Book"/>
                <w:bCs/>
                <w:color w:val="000000"/>
                <w:sz w:val="22"/>
                <w:szCs w:val="24"/>
              </w:rPr>
              <w:t>Amt</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46073F" w:rsidRPr="0046073F" w:rsidRDefault="0046073F" w:rsidP="00A67C24">
            <w:pPr>
              <w:spacing w:line="240" w:lineRule="auto"/>
              <w:jc w:val="center"/>
              <w:rPr>
                <w:rFonts w:ascii="Franklin Gothic Book" w:hAnsi="Franklin Gothic Book"/>
                <w:color w:val="000000"/>
                <w:sz w:val="22"/>
                <w:szCs w:val="24"/>
              </w:rPr>
            </w:pPr>
            <w:r w:rsidRPr="0046073F">
              <w:rPr>
                <w:rFonts w:ascii="Franklin Gothic Book" w:hAnsi="Franklin Gothic Book"/>
                <w:color w:val="000000"/>
                <w:sz w:val="22"/>
                <w:szCs w:val="24"/>
              </w:rPr>
              <w:t>Feasibility</w:t>
            </w:r>
          </w:p>
        </w:tc>
        <w:tc>
          <w:tcPr>
            <w:tcW w:w="1080" w:type="dxa"/>
            <w:tcBorders>
              <w:top w:val="nil"/>
              <w:left w:val="single" w:sz="4" w:space="0" w:color="auto"/>
              <w:bottom w:val="single" w:sz="4" w:space="0" w:color="auto"/>
              <w:right w:val="single" w:sz="8" w:space="0" w:color="auto"/>
            </w:tcBorders>
            <w:shd w:val="clear" w:color="auto" w:fill="auto"/>
            <w:vAlign w:val="bottom"/>
          </w:tcPr>
          <w:p w:rsidR="0046073F" w:rsidRPr="0046073F" w:rsidRDefault="0046073F" w:rsidP="00A67C24">
            <w:pPr>
              <w:spacing w:line="240" w:lineRule="auto"/>
              <w:jc w:val="center"/>
              <w:rPr>
                <w:rFonts w:ascii="Franklin Gothic Book" w:hAnsi="Franklin Gothic Book"/>
                <w:color w:val="000000"/>
                <w:sz w:val="22"/>
                <w:szCs w:val="24"/>
              </w:rPr>
            </w:pPr>
            <w:r w:rsidRPr="0046073F">
              <w:rPr>
                <w:rFonts w:ascii="Franklin Gothic Book" w:hAnsi="Franklin Gothic Book"/>
                <w:color w:val="000000"/>
                <w:sz w:val="22"/>
                <w:szCs w:val="24"/>
              </w:rPr>
              <w:t>Pilot</w:t>
            </w:r>
          </w:p>
        </w:tc>
        <w:tc>
          <w:tcPr>
            <w:tcW w:w="630" w:type="dxa"/>
            <w:vMerge w:val="restart"/>
            <w:tcBorders>
              <w:top w:val="nil"/>
              <w:left w:val="nil"/>
              <w:right w:val="single" w:sz="4" w:space="0" w:color="auto"/>
            </w:tcBorders>
            <w:shd w:val="clear" w:color="auto" w:fill="auto"/>
            <w:noWrap/>
            <w:vAlign w:val="bottom"/>
            <w:hideMark/>
          </w:tcPr>
          <w:p w:rsidR="0046073F" w:rsidRPr="0046073F" w:rsidRDefault="0046073F" w:rsidP="00A67C24">
            <w:pPr>
              <w:spacing w:line="240" w:lineRule="auto"/>
              <w:jc w:val="center"/>
              <w:rPr>
                <w:rFonts w:ascii="Franklin Gothic Book" w:hAnsi="Franklin Gothic Book"/>
                <w:color w:val="000000"/>
                <w:sz w:val="22"/>
                <w:szCs w:val="24"/>
              </w:rPr>
            </w:pPr>
            <w:r w:rsidRPr="0046073F">
              <w:rPr>
                <w:rFonts w:ascii="Franklin Gothic Book" w:hAnsi="Franklin Gothic Book"/>
                <w:bCs/>
                <w:color w:val="000000"/>
                <w:sz w:val="22"/>
                <w:szCs w:val="24"/>
              </w:rPr>
              <w:t>Amt</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46073F" w:rsidRPr="0046073F" w:rsidRDefault="0046073F" w:rsidP="00A67C24">
            <w:pPr>
              <w:spacing w:line="240" w:lineRule="auto"/>
              <w:jc w:val="center"/>
              <w:rPr>
                <w:rFonts w:ascii="Franklin Gothic Book" w:hAnsi="Franklin Gothic Book"/>
                <w:color w:val="000000"/>
                <w:sz w:val="22"/>
                <w:szCs w:val="24"/>
              </w:rPr>
            </w:pPr>
            <w:r w:rsidRPr="0046073F">
              <w:rPr>
                <w:rFonts w:ascii="Franklin Gothic Book" w:hAnsi="Franklin Gothic Book"/>
                <w:color w:val="000000"/>
                <w:sz w:val="22"/>
                <w:szCs w:val="24"/>
              </w:rPr>
              <w:t>Feasibility</w:t>
            </w:r>
          </w:p>
        </w:tc>
        <w:tc>
          <w:tcPr>
            <w:tcW w:w="842" w:type="dxa"/>
            <w:tcBorders>
              <w:top w:val="nil"/>
              <w:left w:val="single" w:sz="4" w:space="0" w:color="auto"/>
              <w:bottom w:val="single" w:sz="4" w:space="0" w:color="auto"/>
              <w:right w:val="single" w:sz="8" w:space="0" w:color="auto"/>
            </w:tcBorders>
            <w:shd w:val="clear" w:color="auto" w:fill="auto"/>
            <w:vAlign w:val="bottom"/>
          </w:tcPr>
          <w:p w:rsidR="0046073F" w:rsidRPr="0046073F" w:rsidRDefault="0046073F" w:rsidP="00A67C24">
            <w:pPr>
              <w:spacing w:line="240" w:lineRule="auto"/>
              <w:jc w:val="center"/>
              <w:rPr>
                <w:rFonts w:ascii="Franklin Gothic Book" w:hAnsi="Franklin Gothic Book"/>
                <w:color w:val="000000"/>
                <w:sz w:val="22"/>
                <w:szCs w:val="24"/>
              </w:rPr>
            </w:pPr>
            <w:r w:rsidRPr="0046073F">
              <w:rPr>
                <w:rFonts w:ascii="Franklin Gothic Book" w:hAnsi="Franklin Gothic Book"/>
                <w:color w:val="000000"/>
                <w:sz w:val="22"/>
                <w:szCs w:val="24"/>
              </w:rPr>
              <w:t>Pilot</w:t>
            </w:r>
          </w:p>
        </w:tc>
      </w:tr>
      <w:tr w:rsidR="0046073F" w:rsidRPr="0046073F" w:rsidTr="00A67C24">
        <w:trPr>
          <w:trHeight w:val="315"/>
        </w:trPr>
        <w:tc>
          <w:tcPr>
            <w:tcW w:w="3615" w:type="dxa"/>
            <w:vMerge/>
            <w:tcBorders>
              <w:left w:val="single" w:sz="8" w:space="0" w:color="auto"/>
              <w:bottom w:val="single" w:sz="8" w:space="0" w:color="auto"/>
              <w:right w:val="nil"/>
            </w:tcBorders>
            <w:shd w:val="clear" w:color="auto" w:fill="auto"/>
            <w:vAlign w:val="center"/>
          </w:tcPr>
          <w:p w:rsidR="0046073F" w:rsidRPr="0046073F" w:rsidRDefault="0046073F" w:rsidP="00A67C24">
            <w:pPr>
              <w:spacing w:line="240" w:lineRule="auto"/>
              <w:rPr>
                <w:rFonts w:ascii="Franklin Gothic Book" w:hAnsi="Franklin Gothic Book"/>
                <w:color w:val="000000"/>
                <w:sz w:val="22"/>
                <w:szCs w:val="24"/>
              </w:rPr>
            </w:pPr>
          </w:p>
        </w:tc>
        <w:tc>
          <w:tcPr>
            <w:tcW w:w="720" w:type="dxa"/>
            <w:vMerge/>
            <w:tcBorders>
              <w:left w:val="single" w:sz="8" w:space="0" w:color="auto"/>
              <w:bottom w:val="single" w:sz="8" w:space="0" w:color="auto"/>
              <w:right w:val="single" w:sz="4"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rPr>
            </w:pPr>
          </w:p>
        </w:tc>
        <w:tc>
          <w:tcPr>
            <w:tcW w:w="2250" w:type="dxa"/>
            <w:gridSpan w:val="2"/>
            <w:tcBorders>
              <w:top w:val="single" w:sz="4" w:space="0" w:color="auto"/>
              <w:left w:val="nil"/>
              <w:bottom w:val="single" w:sz="8" w:space="0" w:color="auto"/>
              <w:right w:val="single" w:sz="8" w:space="0" w:color="auto"/>
            </w:tcBorders>
            <w:shd w:val="clear" w:color="auto" w:fill="auto"/>
            <w:vAlign w:val="bottom"/>
          </w:tcPr>
          <w:p w:rsidR="0046073F" w:rsidRPr="0046073F" w:rsidRDefault="0046073F" w:rsidP="00A67C24">
            <w:pPr>
              <w:spacing w:line="240" w:lineRule="auto"/>
              <w:jc w:val="center"/>
              <w:rPr>
                <w:rFonts w:ascii="Franklin Gothic Book" w:hAnsi="Franklin Gothic Book"/>
                <w:color w:val="000000"/>
                <w:sz w:val="22"/>
                <w:szCs w:val="24"/>
              </w:rPr>
            </w:pPr>
            <w:r w:rsidRPr="0046073F">
              <w:rPr>
                <w:rFonts w:ascii="Franklin Gothic Book" w:hAnsi="Franklin Gothic Book"/>
                <w:bCs/>
                <w:color w:val="000000"/>
                <w:sz w:val="22"/>
                <w:szCs w:val="24"/>
              </w:rPr>
              <w:t>Number of Recipients</w:t>
            </w:r>
          </w:p>
        </w:tc>
        <w:tc>
          <w:tcPr>
            <w:tcW w:w="630" w:type="dxa"/>
            <w:vMerge/>
            <w:tcBorders>
              <w:left w:val="nil"/>
              <w:bottom w:val="single" w:sz="8" w:space="0" w:color="auto"/>
              <w:right w:val="single" w:sz="4"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rPr>
            </w:pPr>
          </w:p>
        </w:tc>
        <w:tc>
          <w:tcPr>
            <w:tcW w:w="2282" w:type="dxa"/>
            <w:gridSpan w:val="2"/>
            <w:tcBorders>
              <w:top w:val="single" w:sz="4" w:space="0" w:color="auto"/>
              <w:left w:val="nil"/>
              <w:bottom w:val="single" w:sz="8" w:space="0" w:color="auto"/>
              <w:right w:val="single" w:sz="8" w:space="0" w:color="auto"/>
            </w:tcBorders>
            <w:shd w:val="clear" w:color="auto" w:fill="auto"/>
            <w:vAlign w:val="bottom"/>
          </w:tcPr>
          <w:p w:rsidR="0046073F" w:rsidRPr="0046073F" w:rsidRDefault="0046073F" w:rsidP="00A67C24">
            <w:pPr>
              <w:spacing w:line="240" w:lineRule="auto"/>
              <w:jc w:val="center"/>
              <w:rPr>
                <w:rFonts w:ascii="Franklin Gothic Book" w:hAnsi="Franklin Gothic Book"/>
                <w:color w:val="000000"/>
                <w:sz w:val="22"/>
                <w:szCs w:val="24"/>
              </w:rPr>
            </w:pPr>
            <w:r w:rsidRPr="0046073F">
              <w:rPr>
                <w:rFonts w:ascii="Franklin Gothic Book" w:hAnsi="Franklin Gothic Book"/>
                <w:bCs/>
                <w:color w:val="000000"/>
                <w:sz w:val="22"/>
                <w:szCs w:val="24"/>
              </w:rPr>
              <w:t>Number of Recipients</w:t>
            </w:r>
          </w:p>
        </w:tc>
      </w:tr>
      <w:tr w:rsidR="0046073F" w:rsidRPr="0046073F" w:rsidTr="00A67C24">
        <w:trPr>
          <w:trHeight w:val="315"/>
        </w:trPr>
        <w:tc>
          <w:tcPr>
            <w:tcW w:w="9497" w:type="dxa"/>
            <w:gridSpan w:val="7"/>
            <w:tcBorders>
              <w:top w:val="single" w:sz="8" w:space="0" w:color="auto"/>
              <w:left w:val="single" w:sz="8" w:space="0" w:color="auto"/>
              <w:bottom w:val="single" w:sz="4" w:space="0" w:color="auto"/>
              <w:right w:val="single" w:sz="8" w:space="0" w:color="auto"/>
            </w:tcBorders>
            <w:shd w:val="clear" w:color="auto" w:fill="BFBFBF" w:themeFill="background1" w:themeFillShade="BF"/>
            <w:vAlign w:val="center"/>
          </w:tcPr>
          <w:p w:rsidR="0046073F" w:rsidRPr="0046073F" w:rsidRDefault="0046073F" w:rsidP="00A67C24">
            <w:pPr>
              <w:spacing w:line="240" w:lineRule="auto"/>
              <w:rPr>
                <w:rFonts w:ascii="Franklin Gothic Book" w:hAnsi="Franklin Gothic Book"/>
                <w:color w:val="000000"/>
                <w:sz w:val="22"/>
                <w:szCs w:val="24"/>
              </w:rPr>
            </w:pPr>
            <w:r w:rsidRPr="0046073F">
              <w:rPr>
                <w:rFonts w:ascii="Franklin Gothic Book" w:hAnsi="Franklin Gothic Book"/>
                <w:b/>
                <w:color w:val="000000"/>
                <w:sz w:val="22"/>
                <w:szCs w:val="24"/>
              </w:rPr>
              <w:t>Probability Sample</w:t>
            </w:r>
          </w:p>
        </w:tc>
      </w:tr>
      <w:tr w:rsidR="0046073F" w:rsidRPr="0046073F" w:rsidTr="00A67C24">
        <w:trPr>
          <w:trHeight w:val="315"/>
        </w:trPr>
        <w:tc>
          <w:tcPr>
            <w:tcW w:w="3615" w:type="dxa"/>
            <w:tcBorders>
              <w:top w:val="nil"/>
              <w:left w:val="single" w:sz="8" w:space="0" w:color="auto"/>
              <w:bottom w:val="single" w:sz="4" w:space="0" w:color="auto"/>
              <w:right w:val="nil"/>
            </w:tcBorders>
            <w:shd w:val="clear" w:color="auto" w:fill="auto"/>
            <w:vAlign w:val="center"/>
            <w:hideMark/>
          </w:tcPr>
          <w:p w:rsidR="0046073F" w:rsidRPr="0046073F" w:rsidRDefault="0046073F" w:rsidP="007329A3">
            <w:pPr>
              <w:tabs>
                <w:tab w:val="left" w:pos="434"/>
              </w:tabs>
              <w:spacing w:line="240" w:lineRule="auto"/>
              <w:rPr>
                <w:rFonts w:ascii="Franklin Gothic Book" w:hAnsi="Franklin Gothic Book"/>
                <w:color w:val="000000"/>
                <w:sz w:val="22"/>
                <w:szCs w:val="24"/>
              </w:rPr>
            </w:pPr>
            <w:r w:rsidRPr="0046073F">
              <w:rPr>
                <w:rFonts w:ascii="Franklin Gothic Book" w:hAnsi="Franklin Gothic Book"/>
                <w:color w:val="000000"/>
                <w:sz w:val="22"/>
                <w:szCs w:val="24"/>
              </w:rPr>
              <w:t xml:space="preserve">    Mail Household Roster</w:t>
            </w:r>
          </w:p>
        </w:tc>
        <w:tc>
          <w:tcPr>
            <w:tcW w:w="720" w:type="dxa"/>
            <w:tcBorders>
              <w:top w:val="nil"/>
              <w:left w:val="single" w:sz="8" w:space="0" w:color="auto"/>
              <w:bottom w:val="single" w:sz="4" w:space="0" w:color="auto"/>
              <w:right w:val="single" w:sz="4" w:space="0" w:color="auto"/>
            </w:tcBorders>
            <w:shd w:val="clear" w:color="auto" w:fill="auto"/>
            <w:vAlign w:val="center"/>
            <w:hideMark/>
          </w:tcPr>
          <w:p w:rsidR="0046073F" w:rsidRPr="0046073F" w:rsidRDefault="0046073F" w:rsidP="00EB3FBD">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w:t>
            </w:r>
            <w:r w:rsidR="00EB3FBD">
              <w:rPr>
                <w:rFonts w:ascii="Franklin Gothic Book" w:hAnsi="Franklin Gothic Book"/>
                <w:color w:val="000000"/>
                <w:sz w:val="22"/>
                <w:szCs w:val="24"/>
              </w:rPr>
              <w:t>2</w:t>
            </w:r>
            <w:r w:rsidRPr="0046073F">
              <w:rPr>
                <w:rFonts w:ascii="Franklin Gothic Book" w:hAnsi="Franklin Gothic Book"/>
                <w:color w:val="000000"/>
                <w:sz w:val="22"/>
                <w:szCs w:val="24"/>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46073F" w:rsidRPr="0046073F" w:rsidRDefault="00EB3FBD" w:rsidP="00A67C24">
            <w:pPr>
              <w:spacing w:line="240" w:lineRule="auto"/>
              <w:jc w:val="right"/>
              <w:rPr>
                <w:rFonts w:ascii="Franklin Gothic Book" w:hAnsi="Franklin Gothic Book"/>
                <w:color w:val="000000"/>
                <w:sz w:val="22"/>
                <w:szCs w:val="24"/>
              </w:rPr>
            </w:pPr>
            <w:r>
              <w:rPr>
                <w:rFonts w:ascii="Franklin Gothic Book" w:hAnsi="Franklin Gothic Book"/>
                <w:color w:val="000000"/>
                <w:sz w:val="22"/>
                <w:szCs w:val="24"/>
              </w:rPr>
              <w:t>200</w:t>
            </w:r>
          </w:p>
        </w:tc>
        <w:tc>
          <w:tcPr>
            <w:tcW w:w="1080" w:type="dxa"/>
            <w:tcBorders>
              <w:top w:val="nil"/>
              <w:left w:val="single" w:sz="4" w:space="0" w:color="auto"/>
              <w:bottom w:val="single" w:sz="4" w:space="0" w:color="auto"/>
              <w:right w:val="single" w:sz="8" w:space="0" w:color="auto"/>
            </w:tcBorders>
            <w:shd w:val="clear" w:color="auto" w:fill="auto"/>
            <w:vAlign w:val="center"/>
          </w:tcPr>
          <w:p w:rsidR="0046073F" w:rsidRPr="0046073F" w:rsidRDefault="00EB3FBD" w:rsidP="00A67C24">
            <w:pPr>
              <w:spacing w:line="240" w:lineRule="auto"/>
              <w:jc w:val="right"/>
              <w:rPr>
                <w:rFonts w:ascii="Franklin Gothic Book" w:hAnsi="Franklin Gothic Book"/>
                <w:color w:val="000000"/>
                <w:sz w:val="22"/>
                <w:szCs w:val="24"/>
              </w:rPr>
            </w:pPr>
            <w:r>
              <w:rPr>
                <w:rFonts w:ascii="Franklin Gothic Book" w:hAnsi="Franklin Gothic Book"/>
                <w:color w:val="000000"/>
                <w:sz w:val="22"/>
                <w:szCs w:val="24"/>
              </w:rPr>
              <w:t>33,072</w:t>
            </w:r>
          </w:p>
        </w:tc>
        <w:tc>
          <w:tcPr>
            <w:tcW w:w="630" w:type="dxa"/>
            <w:tcBorders>
              <w:top w:val="nil"/>
              <w:left w:val="nil"/>
              <w:bottom w:val="single" w:sz="4" w:space="0" w:color="auto"/>
              <w:right w:val="single" w:sz="4" w:space="0" w:color="auto"/>
            </w:tcBorders>
            <w:shd w:val="clear" w:color="000000" w:fill="D9D9D9"/>
            <w:vAlign w:val="center"/>
            <w:hideMark/>
          </w:tcPr>
          <w:p w:rsidR="0046073F" w:rsidRPr="0046073F" w:rsidRDefault="0046073F" w:rsidP="00A67C24">
            <w:pPr>
              <w:spacing w:line="240" w:lineRule="auto"/>
              <w:jc w:val="center"/>
              <w:rPr>
                <w:rFonts w:ascii="Franklin Gothic Book" w:hAnsi="Franklin Gothic Book"/>
                <w:color w:val="000000"/>
                <w:sz w:val="22"/>
                <w:szCs w:val="24"/>
              </w:rPr>
            </w:pPr>
            <w:r w:rsidRPr="0046073F">
              <w:rPr>
                <w:rFonts w:ascii="Franklin Gothic Book" w:hAnsi="Franklin Gothic Book"/>
                <w:color w:val="000000"/>
                <w:sz w:val="22"/>
                <w:szCs w:val="24"/>
              </w:rPr>
              <w:t> </w:t>
            </w:r>
          </w:p>
        </w:tc>
        <w:tc>
          <w:tcPr>
            <w:tcW w:w="1440" w:type="dxa"/>
            <w:tcBorders>
              <w:top w:val="nil"/>
              <w:left w:val="nil"/>
              <w:bottom w:val="single" w:sz="4" w:space="0" w:color="auto"/>
              <w:right w:val="single" w:sz="4" w:space="0" w:color="auto"/>
            </w:tcBorders>
            <w:shd w:val="clear" w:color="000000" w:fill="D9D9D9"/>
            <w:vAlign w:val="center"/>
            <w:hideMark/>
          </w:tcPr>
          <w:p w:rsidR="0046073F" w:rsidRPr="0046073F" w:rsidRDefault="0046073F" w:rsidP="00A67C24">
            <w:pPr>
              <w:spacing w:line="240" w:lineRule="auto"/>
              <w:jc w:val="right"/>
              <w:rPr>
                <w:rFonts w:ascii="Franklin Gothic Book" w:hAnsi="Franklin Gothic Book"/>
                <w:color w:val="000000"/>
                <w:sz w:val="22"/>
                <w:szCs w:val="24"/>
              </w:rPr>
            </w:pPr>
          </w:p>
        </w:tc>
        <w:tc>
          <w:tcPr>
            <w:tcW w:w="842" w:type="dxa"/>
            <w:tcBorders>
              <w:top w:val="nil"/>
              <w:left w:val="single" w:sz="4" w:space="0" w:color="auto"/>
              <w:bottom w:val="single" w:sz="4" w:space="0" w:color="auto"/>
              <w:right w:val="single" w:sz="8" w:space="0" w:color="auto"/>
            </w:tcBorders>
            <w:shd w:val="clear" w:color="000000" w:fill="D9D9D9"/>
            <w:vAlign w:val="center"/>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 </w:t>
            </w:r>
          </w:p>
        </w:tc>
      </w:tr>
      <w:tr w:rsidR="0046073F" w:rsidRPr="0046073F" w:rsidTr="00A67C24">
        <w:trPr>
          <w:trHeight w:val="315"/>
        </w:trPr>
        <w:tc>
          <w:tcPr>
            <w:tcW w:w="3615" w:type="dxa"/>
            <w:tcBorders>
              <w:top w:val="nil"/>
              <w:left w:val="single" w:sz="8" w:space="0" w:color="auto"/>
              <w:bottom w:val="single" w:sz="4" w:space="0" w:color="auto"/>
              <w:right w:val="nil"/>
            </w:tcBorders>
            <w:shd w:val="clear" w:color="auto" w:fill="auto"/>
            <w:vAlign w:val="center"/>
            <w:hideMark/>
          </w:tcPr>
          <w:p w:rsidR="0046073F" w:rsidRPr="0046073F" w:rsidRDefault="0046073F" w:rsidP="00A67C24">
            <w:pPr>
              <w:spacing w:line="240" w:lineRule="auto"/>
              <w:jc w:val="both"/>
              <w:rPr>
                <w:rFonts w:ascii="Franklin Gothic Book" w:hAnsi="Franklin Gothic Book"/>
                <w:color w:val="000000"/>
                <w:sz w:val="22"/>
                <w:szCs w:val="24"/>
              </w:rPr>
            </w:pPr>
            <w:r w:rsidRPr="00863FB6">
              <w:rPr>
                <w:rFonts w:ascii="Franklin Gothic Book" w:hAnsi="Franklin Gothic Book"/>
                <w:color w:val="000000"/>
                <w:sz w:val="22"/>
                <w:szCs w:val="24"/>
              </w:rPr>
              <w:t xml:space="preserve">    </w:t>
            </w:r>
            <w:r w:rsidRPr="0046073F">
              <w:rPr>
                <w:rFonts w:ascii="Franklin Gothic Book" w:hAnsi="Franklin Gothic Book"/>
                <w:color w:val="000000"/>
                <w:sz w:val="22"/>
                <w:szCs w:val="24"/>
              </w:rPr>
              <w:t>Main Interview</w:t>
            </w:r>
          </w:p>
        </w:tc>
        <w:tc>
          <w:tcPr>
            <w:tcW w:w="720" w:type="dxa"/>
            <w:tcBorders>
              <w:top w:val="nil"/>
              <w:left w:val="single" w:sz="8" w:space="0" w:color="auto"/>
              <w:bottom w:val="single" w:sz="4" w:space="0" w:color="auto"/>
              <w:right w:val="single" w:sz="4" w:space="0" w:color="auto"/>
            </w:tcBorders>
            <w:shd w:val="clear" w:color="auto" w:fill="auto"/>
            <w:vAlign w:val="center"/>
          </w:tcPr>
          <w:p w:rsidR="0046073F" w:rsidRPr="0046073F" w:rsidRDefault="0046073F" w:rsidP="00EB3FBD">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w:t>
            </w:r>
            <w:r w:rsidR="00EB3FBD">
              <w:rPr>
                <w:rFonts w:ascii="Franklin Gothic Book" w:hAnsi="Franklin Gothic Book"/>
                <w:color w:val="000000"/>
                <w:sz w:val="22"/>
                <w:szCs w:val="24"/>
              </w:rPr>
              <w:t>2</w:t>
            </w:r>
            <w:r w:rsidRPr="0046073F">
              <w:rPr>
                <w:rFonts w:ascii="Franklin Gothic Book" w:hAnsi="Franklin Gothic Book"/>
                <w:color w:val="000000"/>
                <w:sz w:val="22"/>
                <w:szCs w:val="24"/>
              </w:rPr>
              <w:t xml:space="preserve">0 </w:t>
            </w:r>
          </w:p>
        </w:tc>
        <w:tc>
          <w:tcPr>
            <w:tcW w:w="1170" w:type="dxa"/>
            <w:tcBorders>
              <w:top w:val="nil"/>
              <w:left w:val="nil"/>
              <w:bottom w:val="single" w:sz="4" w:space="0" w:color="auto"/>
              <w:right w:val="single" w:sz="4"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40</w:t>
            </w:r>
          </w:p>
        </w:tc>
        <w:tc>
          <w:tcPr>
            <w:tcW w:w="1080" w:type="dxa"/>
            <w:tcBorders>
              <w:top w:val="nil"/>
              <w:left w:val="single" w:sz="4" w:space="0" w:color="auto"/>
              <w:bottom w:val="single" w:sz="4" w:space="0" w:color="auto"/>
              <w:right w:val="single" w:sz="8"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7,500</w:t>
            </w:r>
          </w:p>
        </w:tc>
        <w:tc>
          <w:tcPr>
            <w:tcW w:w="630" w:type="dxa"/>
            <w:tcBorders>
              <w:top w:val="nil"/>
              <w:left w:val="nil"/>
              <w:bottom w:val="single" w:sz="4" w:space="0" w:color="auto"/>
              <w:right w:val="single" w:sz="4" w:space="0" w:color="auto"/>
            </w:tcBorders>
            <w:shd w:val="clear" w:color="auto" w:fill="auto"/>
            <w:noWrap/>
            <w:vAlign w:val="center"/>
            <w:hideMark/>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 xml:space="preserve">$20 </w:t>
            </w:r>
          </w:p>
        </w:tc>
        <w:tc>
          <w:tcPr>
            <w:tcW w:w="1440" w:type="dxa"/>
            <w:tcBorders>
              <w:top w:val="nil"/>
              <w:left w:val="nil"/>
              <w:bottom w:val="single" w:sz="4" w:space="0" w:color="auto"/>
              <w:right w:val="single" w:sz="4" w:space="0" w:color="auto"/>
            </w:tcBorders>
            <w:shd w:val="clear" w:color="auto" w:fill="auto"/>
            <w:noWrap/>
            <w:vAlign w:val="center"/>
            <w:hideMark/>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40</w:t>
            </w:r>
          </w:p>
        </w:tc>
        <w:tc>
          <w:tcPr>
            <w:tcW w:w="842" w:type="dxa"/>
            <w:tcBorders>
              <w:top w:val="nil"/>
              <w:left w:val="single" w:sz="4" w:space="0" w:color="auto"/>
              <w:bottom w:val="single" w:sz="4" w:space="0" w:color="auto"/>
              <w:right w:val="single" w:sz="8"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8,000</w:t>
            </w:r>
          </w:p>
        </w:tc>
      </w:tr>
      <w:tr w:rsidR="0046073F" w:rsidRPr="0046073F" w:rsidTr="00A67C24">
        <w:trPr>
          <w:trHeight w:val="315"/>
        </w:trPr>
        <w:tc>
          <w:tcPr>
            <w:tcW w:w="3615" w:type="dxa"/>
            <w:tcBorders>
              <w:top w:val="nil"/>
              <w:left w:val="single" w:sz="8" w:space="0" w:color="auto"/>
              <w:bottom w:val="single" w:sz="4" w:space="0" w:color="auto"/>
              <w:right w:val="nil"/>
            </w:tcBorders>
            <w:shd w:val="clear" w:color="auto" w:fill="auto"/>
            <w:vAlign w:val="center"/>
            <w:hideMark/>
          </w:tcPr>
          <w:p w:rsidR="0046073F" w:rsidRPr="0046073F" w:rsidRDefault="0046073F" w:rsidP="00A67C24">
            <w:pPr>
              <w:spacing w:line="240" w:lineRule="auto"/>
              <w:jc w:val="both"/>
              <w:rPr>
                <w:rFonts w:ascii="Franklin Gothic Book" w:hAnsi="Franklin Gothic Book"/>
                <w:color w:val="000000"/>
                <w:sz w:val="22"/>
                <w:szCs w:val="24"/>
              </w:rPr>
            </w:pPr>
            <w:r w:rsidRPr="0046073F">
              <w:rPr>
                <w:rFonts w:ascii="Franklin Gothic Book" w:hAnsi="Franklin Gothic Book"/>
                <w:color w:val="000000"/>
                <w:sz w:val="22"/>
                <w:szCs w:val="24"/>
              </w:rPr>
              <w:t xml:space="preserve">    Re-Interview</w:t>
            </w:r>
          </w:p>
        </w:tc>
        <w:tc>
          <w:tcPr>
            <w:tcW w:w="720" w:type="dxa"/>
            <w:tcBorders>
              <w:top w:val="nil"/>
              <w:left w:val="single" w:sz="8" w:space="0" w:color="auto"/>
              <w:bottom w:val="single" w:sz="4" w:space="0" w:color="auto"/>
              <w:right w:val="single" w:sz="4" w:space="0" w:color="auto"/>
            </w:tcBorders>
            <w:shd w:val="clear" w:color="auto" w:fill="auto"/>
            <w:vAlign w:val="center"/>
          </w:tcPr>
          <w:p w:rsidR="0046073F" w:rsidRPr="0046073F" w:rsidRDefault="0046073F" w:rsidP="00EB3FBD">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w:t>
            </w:r>
            <w:r w:rsidR="00EB3FBD">
              <w:rPr>
                <w:rFonts w:ascii="Franklin Gothic Book" w:hAnsi="Franklin Gothic Book"/>
                <w:color w:val="000000"/>
                <w:sz w:val="22"/>
                <w:szCs w:val="24"/>
              </w:rPr>
              <w:t>2</w:t>
            </w:r>
            <w:r w:rsidRPr="0046073F">
              <w:rPr>
                <w:rFonts w:ascii="Franklin Gothic Book" w:hAnsi="Franklin Gothic Book"/>
                <w:color w:val="000000"/>
                <w:sz w:val="22"/>
                <w:szCs w:val="24"/>
              </w:rPr>
              <w:t xml:space="preserve">0 </w:t>
            </w:r>
          </w:p>
        </w:tc>
        <w:tc>
          <w:tcPr>
            <w:tcW w:w="1170" w:type="dxa"/>
            <w:tcBorders>
              <w:top w:val="nil"/>
              <w:left w:val="nil"/>
              <w:bottom w:val="single" w:sz="4" w:space="0" w:color="auto"/>
              <w:right w:val="single" w:sz="4"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5</w:t>
            </w:r>
          </w:p>
        </w:tc>
        <w:tc>
          <w:tcPr>
            <w:tcW w:w="1080" w:type="dxa"/>
            <w:tcBorders>
              <w:top w:val="nil"/>
              <w:left w:val="single" w:sz="4" w:space="0" w:color="auto"/>
              <w:bottom w:val="single" w:sz="4" w:space="0" w:color="auto"/>
              <w:right w:val="single" w:sz="8"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350</w:t>
            </w:r>
          </w:p>
        </w:tc>
        <w:tc>
          <w:tcPr>
            <w:tcW w:w="630" w:type="dxa"/>
            <w:tcBorders>
              <w:top w:val="nil"/>
              <w:left w:val="nil"/>
              <w:bottom w:val="single" w:sz="4" w:space="0" w:color="auto"/>
              <w:right w:val="single" w:sz="4" w:space="0" w:color="auto"/>
            </w:tcBorders>
            <w:shd w:val="clear" w:color="auto" w:fill="auto"/>
            <w:noWrap/>
            <w:vAlign w:val="center"/>
            <w:hideMark/>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 xml:space="preserve">$20 </w:t>
            </w:r>
          </w:p>
        </w:tc>
        <w:tc>
          <w:tcPr>
            <w:tcW w:w="1440" w:type="dxa"/>
            <w:tcBorders>
              <w:top w:val="nil"/>
              <w:left w:val="nil"/>
              <w:bottom w:val="single" w:sz="4" w:space="0" w:color="auto"/>
              <w:right w:val="single" w:sz="4" w:space="0" w:color="auto"/>
            </w:tcBorders>
            <w:shd w:val="clear" w:color="auto" w:fill="auto"/>
            <w:noWrap/>
            <w:vAlign w:val="center"/>
            <w:hideMark/>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5</w:t>
            </w:r>
          </w:p>
        </w:tc>
        <w:tc>
          <w:tcPr>
            <w:tcW w:w="842" w:type="dxa"/>
            <w:tcBorders>
              <w:top w:val="nil"/>
              <w:left w:val="single" w:sz="4" w:space="0" w:color="auto"/>
              <w:bottom w:val="single" w:sz="4" w:space="0" w:color="auto"/>
              <w:right w:val="single" w:sz="8"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350</w:t>
            </w:r>
          </w:p>
        </w:tc>
      </w:tr>
      <w:tr w:rsidR="0046073F" w:rsidRPr="0046073F" w:rsidTr="00A67C24">
        <w:trPr>
          <w:trHeight w:val="315"/>
        </w:trPr>
        <w:tc>
          <w:tcPr>
            <w:tcW w:w="9497" w:type="dxa"/>
            <w:gridSpan w:val="7"/>
            <w:tcBorders>
              <w:top w:val="nil"/>
              <w:left w:val="single" w:sz="8" w:space="0" w:color="auto"/>
              <w:bottom w:val="single" w:sz="4" w:space="0" w:color="auto"/>
              <w:right w:val="single" w:sz="8" w:space="0" w:color="auto"/>
            </w:tcBorders>
            <w:shd w:val="clear" w:color="auto" w:fill="BFBFBF" w:themeFill="background1" w:themeFillShade="BF"/>
            <w:vAlign w:val="center"/>
          </w:tcPr>
          <w:p w:rsidR="0046073F" w:rsidRPr="0046073F" w:rsidRDefault="0046073F" w:rsidP="00A67C24">
            <w:pPr>
              <w:spacing w:line="240" w:lineRule="auto"/>
              <w:rPr>
                <w:rFonts w:ascii="Franklin Gothic Book" w:hAnsi="Franklin Gothic Book"/>
                <w:color w:val="000000"/>
                <w:sz w:val="22"/>
                <w:szCs w:val="24"/>
              </w:rPr>
            </w:pPr>
            <w:r w:rsidRPr="0046073F">
              <w:rPr>
                <w:rFonts w:ascii="Franklin Gothic Book" w:hAnsi="Franklin Gothic Book"/>
                <w:b/>
                <w:color w:val="000000"/>
                <w:sz w:val="22"/>
                <w:szCs w:val="24"/>
              </w:rPr>
              <w:t>High Risk Sample</w:t>
            </w:r>
          </w:p>
        </w:tc>
      </w:tr>
      <w:tr w:rsidR="0046073F" w:rsidRPr="0046073F" w:rsidTr="00A67C24">
        <w:trPr>
          <w:trHeight w:val="315"/>
        </w:trPr>
        <w:tc>
          <w:tcPr>
            <w:tcW w:w="3615" w:type="dxa"/>
            <w:tcBorders>
              <w:top w:val="nil"/>
              <w:left w:val="single" w:sz="8" w:space="0" w:color="auto"/>
              <w:bottom w:val="single" w:sz="4" w:space="0" w:color="auto"/>
              <w:right w:val="nil"/>
            </w:tcBorders>
            <w:shd w:val="clear" w:color="auto" w:fill="auto"/>
            <w:vAlign w:val="center"/>
            <w:hideMark/>
          </w:tcPr>
          <w:p w:rsidR="0046073F" w:rsidRPr="0046073F" w:rsidRDefault="0046073F" w:rsidP="00A67C24">
            <w:pPr>
              <w:spacing w:line="240" w:lineRule="auto"/>
              <w:jc w:val="both"/>
              <w:rPr>
                <w:rFonts w:ascii="Franklin Gothic Book" w:hAnsi="Franklin Gothic Book"/>
                <w:color w:val="000000"/>
                <w:sz w:val="22"/>
                <w:szCs w:val="24"/>
              </w:rPr>
            </w:pPr>
            <w:r w:rsidRPr="0046073F">
              <w:rPr>
                <w:rFonts w:ascii="Franklin Gothic Book" w:hAnsi="Franklin Gothic Book"/>
                <w:color w:val="000000"/>
                <w:sz w:val="22"/>
                <w:szCs w:val="24"/>
              </w:rPr>
              <w:t xml:space="preserve">    Main Interview</w:t>
            </w:r>
          </w:p>
        </w:tc>
        <w:tc>
          <w:tcPr>
            <w:tcW w:w="720" w:type="dxa"/>
            <w:tcBorders>
              <w:top w:val="nil"/>
              <w:left w:val="single" w:sz="8" w:space="0" w:color="auto"/>
              <w:bottom w:val="single" w:sz="4" w:space="0" w:color="auto"/>
              <w:right w:val="single" w:sz="4" w:space="0" w:color="auto"/>
            </w:tcBorders>
            <w:shd w:val="clear" w:color="auto" w:fill="auto"/>
            <w:vAlign w:val="center"/>
          </w:tcPr>
          <w:p w:rsidR="0046073F" w:rsidRPr="0046073F" w:rsidRDefault="0046073F" w:rsidP="00EB3FBD">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w:t>
            </w:r>
            <w:r w:rsidR="00EB3FBD">
              <w:rPr>
                <w:rFonts w:ascii="Franklin Gothic Book" w:hAnsi="Franklin Gothic Book"/>
                <w:color w:val="000000"/>
                <w:sz w:val="22"/>
                <w:szCs w:val="24"/>
              </w:rPr>
              <w:t>3</w:t>
            </w:r>
            <w:r w:rsidRPr="0046073F">
              <w:rPr>
                <w:rFonts w:ascii="Franklin Gothic Book" w:hAnsi="Franklin Gothic Book"/>
                <w:color w:val="000000"/>
                <w:sz w:val="22"/>
                <w:szCs w:val="24"/>
              </w:rPr>
              <w:t xml:space="preserve">0 </w:t>
            </w:r>
          </w:p>
        </w:tc>
        <w:tc>
          <w:tcPr>
            <w:tcW w:w="1170" w:type="dxa"/>
            <w:tcBorders>
              <w:top w:val="nil"/>
              <w:left w:val="nil"/>
              <w:bottom w:val="single" w:sz="4" w:space="0" w:color="auto"/>
              <w:right w:val="single" w:sz="4"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40</w:t>
            </w:r>
          </w:p>
        </w:tc>
        <w:tc>
          <w:tcPr>
            <w:tcW w:w="1080" w:type="dxa"/>
            <w:tcBorders>
              <w:top w:val="nil"/>
              <w:left w:val="single" w:sz="4" w:space="0" w:color="auto"/>
              <w:bottom w:val="single" w:sz="4" w:space="0" w:color="auto"/>
              <w:right w:val="single" w:sz="8"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1,000</w:t>
            </w:r>
          </w:p>
        </w:tc>
        <w:tc>
          <w:tcPr>
            <w:tcW w:w="630" w:type="dxa"/>
            <w:tcBorders>
              <w:top w:val="nil"/>
              <w:left w:val="nil"/>
              <w:bottom w:val="single" w:sz="4" w:space="0" w:color="auto"/>
              <w:right w:val="single" w:sz="4" w:space="0" w:color="auto"/>
            </w:tcBorders>
            <w:shd w:val="clear" w:color="auto" w:fill="auto"/>
            <w:noWrap/>
            <w:vAlign w:val="center"/>
            <w:hideMark/>
          </w:tcPr>
          <w:p w:rsidR="0046073F" w:rsidRPr="0046073F" w:rsidRDefault="0046073F" w:rsidP="00EB3FBD">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w:t>
            </w:r>
            <w:r w:rsidR="00EB3FBD">
              <w:rPr>
                <w:rFonts w:ascii="Franklin Gothic Book" w:hAnsi="Franklin Gothic Book"/>
                <w:color w:val="000000"/>
                <w:sz w:val="22"/>
                <w:szCs w:val="24"/>
              </w:rPr>
              <w:t>3</w:t>
            </w:r>
            <w:r w:rsidRPr="0046073F">
              <w:rPr>
                <w:rFonts w:ascii="Franklin Gothic Book" w:hAnsi="Franklin Gothic Book"/>
                <w:color w:val="000000"/>
                <w:sz w:val="22"/>
                <w:szCs w:val="24"/>
              </w:rPr>
              <w:t xml:space="preserve">0 </w:t>
            </w:r>
          </w:p>
        </w:tc>
        <w:tc>
          <w:tcPr>
            <w:tcW w:w="1440" w:type="dxa"/>
            <w:tcBorders>
              <w:top w:val="nil"/>
              <w:left w:val="nil"/>
              <w:bottom w:val="single" w:sz="4" w:space="0" w:color="auto"/>
              <w:right w:val="single" w:sz="4" w:space="0" w:color="auto"/>
            </w:tcBorders>
            <w:shd w:val="clear" w:color="auto" w:fill="auto"/>
            <w:noWrap/>
            <w:vAlign w:val="center"/>
            <w:hideMark/>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40</w:t>
            </w:r>
          </w:p>
        </w:tc>
        <w:tc>
          <w:tcPr>
            <w:tcW w:w="842" w:type="dxa"/>
            <w:tcBorders>
              <w:top w:val="nil"/>
              <w:left w:val="single" w:sz="4" w:space="0" w:color="auto"/>
              <w:bottom w:val="single" w:sz="4" w:space="0" w:color="auto"/>
              <w:right w:val="single" w:sz="8"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1,000</w:t>
            </w:r>
          </w:p>
        </w:tc>
      </w:tr>
      <w:tr w:rsidR="0046073F" w:rsidRPr="0046073F" w:rsidTr="00A67C24">
        <w:trPr>
          <w:trHeight w:val="315"/>
        </w:trPr>
        <w:tc>
          <w:tcPr>
            <w:tcW w:w="3615" w:type="dxa"/>
            <w:tcBorders>
              <w:top w:val="nil"/>
              <w:left w:val="single" w:sz="8" w:space="0" w:color="auto"/>
              <w:bottom w:val="single" w:sz="4" w:space="0" w:color="auto"/>
              <w:right w:val="nil"/>
            </w:tcBorders>
            <w:shd w:val="clear" w:color="auto" w:fill="auto"/>
            <w:vAlign w:val="center"/>
            <w:hideMark/>
          </w:tcPr>
          <w:p w:rsidR="0046073F" w:rsidRPr="0046073F" w:rsidRDefault="0046073F" w:rsidP="00A67C24">
            <w:pPr>
              <w:spacing w:line="240" w:lineRule="auto"/>
              <w:jc w:val="both"/>
              <w:rPr>
                <w:rFonts w:ascii="Franklin Gothic Book" w:hAnsi="Franklin Gothic Book"/>
                <w:color w:val="000000"/>
                <w:sz w:val="22"/>
                <w:szCs w:val="24"/>
              </w:rPr>
            </w:pPr>
            <w:r w:rsidRPr="0046073F">
              <w:rPr>
                <w:rFonts w:ascii="Franklin Gothic Book" w:hAnsi="Franklin Gothic Book"/>
                <w:color w:val="000000"/>
                <w:sz w:val="22"/>
                <w:szCs w:val="24"/>
              </w:rPr>
              <w:t xml:space="preserve">    Re-Interview</w:t>
            </w:r>
          </w:p>
        </w:tc>
        <w:tc>
          <w:tcPr>
            <w:tcW w:w="720" w:type="dxa"/>
            <w:tcBorders>
              <w:top w:val="nil"/>
              <w:left w:val="single" w:sz="8" w:space="0" w:color="auto"/>
              <w:bottom w:val="single" w:sz="4" w:space="0" w:color="auto"/>
              <w:right w:val="single" w:sz="4" w:space="0" w:color="auto"/>
            </w:tcBorders>
            <w:shd w:val="clear" w:color="auto" w:fill="auto"/>
            <w:vAlign w:val="center"/>
            <w:hideMark/>
          </w:tcPr>
          <w:p w:rsidR="0046073F" w:rsidRPr="0046073F" w:rsidRDefault="0046073F" w:rsidP="00EB3FBD">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w:t>
            </w:r>
            <w:r w:rsidR="00EB3FBD">
              <w:rPr>
                <w:rFonts w:ascii="Franklin Gothic Book" w:hAnsi="Franklin Gothic Book"/>
                <w:color w:val="000000"/>
                <w:sz w:val="22"/>
                <w:szCs w:val="24"/>
              </w:rPr>
              <w:t>3</w:t>
            </w:r>
            <w:r w:rsidRPr="0046073F">
              <w:rPr>
                <w:rFonts w:ascii="Franklin Gothic Book" w:hAnsi="Franklin Gothic Book"/>
                <w:color w:val="000000"/>
                <w:sz w:val="22"/>
                <w:szCs w:val="24"/>
              </w:rPr>
              <w:t xml:space="preserve">0 </w:t>
            </w:r>
          </w:p>
        </w:tc>
        <w:tc>
          <w:tcPr>
            <w:tcW w:w="1170" w:type="dxa"/>
            <w:tcBorders>
              <w:top w:val="nil"/>
              <w:left w:val="nil"/>
              <w:bottom w:val="single" w:sz="4" w:space="0" w:color="auto"/>
              <w:right w:val="single" w:sz="4" w:space="0" w:color="auto"/>
            </w:tcBorders>
            <w:shd w:val="clear" w:color="auto" w:fill="auto"/>
            <w:vAlign w:val="center"/>
            <w:hideMark/>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5</w:t>
            </w:r>
          </w:p>
        </w:tc>
        <w:tc>
          <w:tcPr>
            <w:tcW w:w="1080" w:type="dxa"/>
            <w:tcBorders>
              <w:top w:val="nil"/>
              <w:left w:val="single" w:sz="4" w:space="0" w:color="auto"/>
              <w:bottom w:val="single" w:sz="4" w:space="0" w:color="auto"/>
              <w:right w:val="single" w:sz="8"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150</w:t>
            </w:r>
          </w:p>
        </w:tc>
        <w:tc>
          <w:tcPr>
            <w:tcW w:w="630" w:type="dxa"/>
            <w:tcBorders>
              <w:top w:val="nil"/>
              <w:left w:val="nil"/>
              <w:bottom w:val="single" w:sz="4" w:space="0" w:color="auto"/>
              <w:right w:val="single" w:sz="4" w:space="0" w:color="auto"/>
            </w:tcBorders>
            <w:shd w:val="clear" w:color="auto" w:fill="auto"/>
            <w:noWrap/>
            <w:vAlign w:val="center"/>
            <w:hideMark/>
          </w:tcPr>
          <w:p w:rsidR="0046073F" w:rsidRPr="0046073F" w:rsidRDefault="0046073F" w:rsidP="00EB3FBD">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w:t>
            </w:r>
            <w:r w:rsidR="00EB3FBD">
              <w:rPr>
                <w:rFonts w:ascii="Franklin Gothic Book" w:hAnsi="Franklin Gothic Book"/>
                <w:color w:val="000000"/>
                <w:sz w:val="22"/>
                <w:szCs w:val="24"/>
              </w:rPr>
              <w:t>3</w:t>
            </w:r>
            <w:r w:rsidRPr="0046073F">
              <w:rPr>
                <w:rFonts w:ascii="Franklin Gothic Book" w:hAnsi="Franklin Gothic Book"/>
                <w:color w:val="000000"/>
                <w:sz w:val="22"/>
                <w:szCs w:val="24"/>
              </w:rPr>
              <w:t xml:space="preserve">0 </w:t>
            </w:r>
          </w:p>
        </w:tc>
        <w:tc>
          <w:tcPr>
            <w:tcW w:w="1440" w:type="dxa"/>
            <w:tcBorders>
              <w:top w:val="nil"/>
              <w:left w:val="nil"/>
              <w:bottom w:val="single" w:sz="4" w:space="0" w:color="auto"/>
              <w:right w:val="single" w:sz="4" w:space="0" w:color="auto"/>
            </w:tcBorders>
            <w:shd w:val="clear" w:color="auto" w:fill="auto"/>
            <w:noWrap/>
            <w:vAlign w:val="center"/>
            <w:hideMark/>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5</w:t>
            </w:r>
          </w:p>
        </w:tc>
        <w:tc>
          <w:tcPr>
            <w:tcW w:w="842" w:type="dxa"/>
            <w:tcBorders>
              <w:top w:val="nil"/>
              <w:left w:val="single" w:sz="4" w:space="0" w:color="auto"/>
              <w:bottom w:val="single" w:sz="4" w:space="0" w:color="auto"/>
              <w:right w:val="single" w:sz="8"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150</w:t>
            </w:r>
          </w:p>
        </w:tc>
      </w:tr>
      <w:tr w:rsidR="0046073F" w:rsidRPr="0046073F" w:rsidTr="00A67C24">
        <w:trPr>
          <w:trHeight w:val="315"/>
        </w:trPr>
        <w:tc>
          <w:tcPr>
            <w:tcW w:w="9497" w:type="dxa"/>
            <w:gridSpan w:val="7"/>
            <w:tcBorders>
              <w:top w:val="nil"/>
              <w:left w:val="single" w:sz="8" w:space="0" w:color="auto"/>
              <w:bottom w:val="single" w:sz="4" w:space="0" w:color="auto"/>
              <w:right w:val="single" w:sz="8" w:space="0" w:color="auto"/>
            </w:tcBorders>
            <w:shd w:val="clear" w:color="auto" w:fill="BFBFBF" w:themeFill="background1" w:themeFillShade="BF"/>
            <w:vAlign w:val="center"/>
          </w:tcPr>
          <w:p w:rsidR="0046073F" w:rsidRPr="0046073F" w:rsidRDefault="0046073F" w:rsidP="00A67C24">
            <w:pPr>
              <w:spacing w:line="240" w:lineRule="auto"/>
              <w:rPr>
                <w:rFonts w:ascii="Franklin Gothic Book" w:hAnsi="Franklin Gothic Book"/>
                <w:color w:val="000000"/>
                <w:sz w:val="22"/>
                <w:szCs w:val="24"/>
              </w:rPr>
            </w:pPr>
            <w:r w:rsidRPr="0046073F">
              <w:rPr>
                <w:rFonts w:ascii="Franklin Gothic Book" w:hAnsi="Franklin Gothic Book"/>
                <w:b/>
                <w:color w:val="000000"/>
                <w:sz w:val="22"/>
                <w:szCs w:val="24"/>
              </w:rPr>
              <w:t>Service Provider Sample</w:t>
            </w:r>
          </w:p>
        </w:tc>
      </w:tr>
      <w:tr w:rsidR="0046073F" w:rsidRPr="0046073F" w:rsidTr="00A67C24">
        <w:trPr>
          <w:trHeight w:val="315"/>
        </w:trPr>
        <w:tc>
          <w:tcPr>
            <w:tcW w:w="3615" w:type="dxa"/>
            <w:tcBorders>
              <w:top w:val="nil"/>
              <w:left w:val="single" w:sz="8" w:space="0" w:color="auto"/>
              <w:bottom w:val="single" w:sz="4" w:space="0" w:color="auto"/>
              <w:right w:val="nil"/>
            </w:tcBorders>
            <w:shd w:val="clear" w:color="auto" w:fill="auto"/>
            <w:vAlign w:val="center"/>
            <w:hideMark/>
          </w:tcPr>
          <w:p w:rsidR="0046073F" w:rsidRPr="0046073F" w:rsidRDefault="0046073F" w:rsidP="00A67C24">
            <w:pPr>
              <w:spacing w:line="240" w:lineRule="auto"/>
              <w:jc w:val="both"/>
              <w:rPr>
                <w:rFonts w:ascii="Franklin Gothic Book" w:hAnsi="Franklin Gothic Book"/>
                <w:color w:val="000000"/>
                <w:sz w:val="22"/>
                <w:szCs w:val="24"/>
              </w:rPr>
            </w:pPr>
            <w:r w:rsidRPr="0046073F">
              <w:rPr>
                <w:rFonts w:ascii="Franklin Gothic Book" w:hAnsi="Franklin Gothic Book"/>
                <w:color w:val="000000"/>
                <w:sz w:val="22"/>
                <w:szCs w:val="24"/>
              </w:rPr>
              <w:t xml:space="preserve">    Main Interview</w:t>
            </w:r>
          </w:p>
        </w:tc>
        <w:tc>
          <w:tcPr>
            <w:tcW w:w="720" w:type="dxa"/>
            <w:tcBorders>
              <w:top w:val="nil"/>
              <w:left w:val="single" w:sz="8" w:space="0" w:color="auto"/>
              <w:bottom w:val="single" w:sz="4" w:space="0" w:color="auto"/>
              <w:right w:val="single" w:sz="4" w:space="0" w:color="auto"/>
            </w:tcBorders>
            <w:shd w:val="clear" w:color="auto" w:fill="auto"/>
            <w:vAlign w:val="center"/>
          </w:tcPr>
          <w:p w:rsidR="0046073F" w:rsidRPr="0046073F" w:rsidRDefault="0046073F" w:rsidP="00EB3FBD">
            <w:pPr>
              <w:spacing w:line="240" w:lineRule="auto"/>
              <w:jc w:val="right"/>
              <w:rPr>
                <w:rFonts w:ascii="Franklin Gothic Book" w:hAnsi="Franklin Gothic Book"/>
                <w:color w:val="000000"/>
                <w:sz w:val="22"/>
                <w:szCs w:val="24"/>
                <w:highlight w:val="lightGray"/>
              </w:rPr>
            </w:pPr>
            <w:r w:rsidRPr="0046073F">
              <w:rPr>
                <w:rFonts w:ascii="Franklin Gothic Book" w:hAnsi="Franklin Gothic Book"/>
                <w:color w:val="000000"/>
                <w:sz w:val="22"/>
                <w:szCs w:val="24"/>
              </w:rPr>
              <w:t>$</w:t>
            </w:r>
            <w:r w:rsidR="00EB3FBD">
              <w:rPr>
                <w:rFonts w:ascii="Franklin Gothic Book" w:hAnsi="Franklin Gothic Book"/>
                <w:color w:val="000000"/>
                <w:sz w:val="22"/>
                <w:szCs w:val="24"/>
              </w:rPr>
              <w:t>3</w:t>
            </w:r>
            <w:r w:rsidRPr="0046073F">
              <w:rPr>
                <w:rFonts w:ascii="Franklin Gothic Book" w:hAnsi="Franklin Gothic Book"/>
                <w:color w:val="000000"/>
                <w:sz w:val="22"/>
                <w:szCs w:val="24"/>
              </w:rPr>
              <w:t xml:space="preserve">0 </w:t>
            </w:r>
          </w:p>
        </w:tc>
        <w:tc>
          <w:tcPr>
            <w:tcW w:w="1170" w:type="dxa"/>
            <w:tcBorders>
              <w:top w:val="nil"/>
              <w:left w:val="nil"/>
              <w:bottom w:val="single" w:sz="4" w:space="0" w:color="auto"/>
              <w:right w:val="single" w:sz="4"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highlight w:val="lightGray"/>
              </w:rPr>
            </w:pPr>
            <w:r w:rsidRPr="0046073F">
              <w:rPr>
                <w:rFonts w:ascii="Franklin Gothic Book" w:hAnsi="Franklin Gothic Book"/>
                <w:color w:val="000000"/>
                <w:sz w:val="22"/>
                <w:szCs w:val="24"/>
              </w:rPr>
              <w:t>20</w:t>
            </w:r>
          </w:p>
        </w:tc>
        <w:tc>
          <w:tcPr>
            <w:tcW w:w="1080" w:type="dxa"/>
            <w:tcBorders>
              <w:top w:val="nil"/>
              <w:left w:val="single" w:sz="4" w:space="0" w:color="auto"/>
              <w:bottom w:val="single" w:sz="4" w:space="0" w:color="auto"/>
              <w:right w:val="single" w:sz="8"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highlight w:val="lightGray"/>
              </w:rPr>
            </w:pPr>
            <w:r w:rsidRPr="0046073F">
              <w:rPr>
                <w:rFonts w:ascii="Franklin Gothic Book" w:hAnsi="Franklin Gothic Book"/>
                <w:color w:val="000000"/>
                <w:sz w:val="22"/>
                <w:szCs w:val="24"/>
              </w:rPr>
              <w:t>300</w:t>
            </w:r>
          </w:p>
        </w:tc>
        <w:tc>
          <w:tcPr>
            <w:tcW w:w="630" w:type="dxa"/>
            <w:tcBorders>
              <w:top w:val="nil"/>
              <w:left w:val="nil"/>
              <w:bottom w:val="single" w:sz="4" w:space="0" w:color="auto"/>
              <w:right w:val="single" w:sz="4" w:space="0" w:color="auto"/>
            </w:tcBorders>
            <w:shd w:val="clear" w:color="auto" w:fill="auto"/>
            <w:noWrap/>
            <w:vAlign w:val="center"/>
            <w:hideMark/>
          </w:tcPr>
          <w:p w:rsidR="0046073F" w:rsidRPr="0046073F" w:rsidRDefault="0046073F" w:rsidP="00EB3FBD">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w:t>
            </w:r>
            <w:r w:rsidR="00EB3FBD">
              <w:rPr>
                <w:rFonts w:ascii="Franklin Gothic Book" w:hAnsi="Franklin Gothic Book"/>
                <w:color w:val="000000"/>
                <w:sz w:val="22"/>
                <w:szCs w:val="24"/>
              </w:rPr>
              <w:t>3</w:t>
            </w:r>
            <w:r w:rsidRPr="0046073F">
              <w:rPr>
                <w:rFonts w:ascii="Franklin Gothic Book" w:hAnsi="Franklin Gothic Book"/>
                <w:color w:val="000000"/>
                <w:sz w:val="22"/>
                <w:szCs w:val="24"/>
              </w:rPr>
              <w:t xml:space="preserve">0 </w:t>
            </w:r>
          </w:p>
        </w:tc>
        <w:tc>
          <w:tcPr>
            <w:tcW w:w="1440" w:type="dxa"/>
            <w:tcBorders>
              <w:top w:val="nil"/>
              <w:left w:val="nil"/>
              <w:bottom w:val="single" w:sz="4" w:space="0" w:color="auto"/>
              <w:right w:val="single" w:sz="4" w:space="0" w:color="auto"/>
            </w:tcBorders>
            <w:shd w:val="clear" w:color="auto" w:fill="auto"/>
            <w:noWrap/>
            <w:vAlign w:val="center"/>
            <w:hideMark/>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20</w:t>
            </w:r>
          </w:p>
        </w:tc>
        <w:tc>
          <w:tcPr>
            <w:tcW w:w="842" w:type="dxa"/>
            <w:tcBorders>
              <w:top w:val="nil"/>
              <w:left w:val="single" w:sz="4" w:space="0" w:color="auto"/>
              <w:bottom w:val="single" w:sz="4" w:space="0" w:color="auto"/>
              <w:right w:val="single" w:sz="8" w:space="0" w:color="auto"/>
            </w:tcBorders>
            <w:shd w:val="clear" w:color="auto" w:fill="auto"/>
            <w:vAlign w:val="center"/>
          </w:tcPr>
          <w:p w:rsidR="0046073F" w:rsidRPr="0046073F" w:rsidRDefault="0046073F" w:rsidP="00A67C24">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300</w:t>
            </w:r>
          </w:p>
        </w:tc>
      </w:tr>
      <w:tr w:rsidR="00EB3FBD" w:rsidRPr="0046073F" w:rsidTr="00EB3FBD">
        <w:trPr>
          <w:trHeight w:val="315"/>
        </w:trPr>
        <w:tc>
          <w:tcPr>
            <w:tcW w:w="3615" w:type="dxa"/>
            <w:tcBorders>
              <w:top w:val="nil"/>
              <w:left w:val="single" w:sz="8" w:space="0" w:color="auto"/>
              <w:bottom w:val="single" w:sz="4" w:space="0" w:color="auto"/>
              <w:right w:val="nil"/>
            </w:tcBorders>
            <w:shd w:val="clear" w:color="auto" w:fill="auto"/>
            <w:vAlign w:val="center"/>
            <w:hideMark/>
          </w:tcPr>
          <w:p w:rsidR="00EB3FBD" w:rsidRPr="0046073F" w:rsidRDefault="00EB3FBD" w:rsidP="00EB3FBD">
            <w:pPr>
              <w:spacing w:line="240" w:lineRule="auto"/>
              <w:jc w:val="both"/>
              <w:rPr>
                <w:rFonts w:ascii="Franklin Gothic Book" w:hAnsi="Franklin Gothic Book"/>
                <w:color w:val="000000"/>
                <w:sz w:val="22"/>
                <w:szCs w:val="24"/>
              </w:rPr>
            </w:pPr>
            <w:r w:rsidRPr="0046073F">
              <w:rPr>
                <w:rFonts w:ascii="Franklin Gothic Book" w:hAnsi="Franklin Gothic Book"/>
                <w:color w:val="000000"/>
                <w:sz w:val="22"/>
                <w:szCs w:val="24"/>
              </w:rPr>
              <w:t xml:space="preserve">    </w:t>
            </w:r>
            <w:r>
              <w:rPr>
                <w:rFonts w:ascii="Franklin Gothic Book" w:hAnsi="Franklin Gothic Book"/>
                <w:color w:val="000000"/>
                <w:sz w:val="22"/>
                <w:szCs w:val="24"/>
              </w:rPr>
              <w:t>Travel</w:t>
            </w:r>
            <w:r w:rsidR="00A964DF">
              <w:rPr>
                <w:rFonts w:ascii="Franklin Gothic Book" w:hAnsi="Franklin Gothic Book"/>
                <w:color w:val="000000"/>
                <w:sz w:val="22"/>
                <w:szCs w:val="24"/>
              </w:rPr>
              <w:t xml:space="preserve"> Offset</w:t>
            </w:r>
          </w:p>
        </w:tc>
        <w:tc>
          <w:tcPr>
            <w:tcW w:w="720" w:type="dxa"/>
            <w:tcBorders>
              <w:top w:val="nil"/>
              <w:left w:val="single" w:sz="8" w:space="0" w:color="auto"/>
              <w:bottom w:val="single" w:sz="4" w:space="0" w:color="auto"/>
              <w:right w:val="single" w:sz="4" w:space="0" w:color="auto"/>
            </w:tcBorders>
            <w:shd w:val="clear" w:color="auto" w:fill="auto"/>
            <w:vAlign w:val="center"/>
          </w:tcPr>
          <w:p w:rsidR="00EB3FBD" w:rsidRPr="00EB3FBD" w:rsidRDefault="00EB3FBD" w:rsidP="00EB3FBD">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w:t>
            </w:r>
            <w:r>
              <w:rPr>
                <w:rFonts w:ascii="Franklin Gothic Book" w:hAnsi="Franklin Gothic Book"/>
                <w:color w:val="000000"/>
                <w:sz w:val="22"/>
                <w:szCs w:val="24"/>
              </w:rPr>
              <w:t>1</w:t>
            </w:r>
            <w:r w:rsidRPr="0046073F">
              <w:rPr>
                <w:rFonts w:ascii="Franklin Gothic Book" w:hAnsi="Franklin Gothic Book"/>
                <w:color w:val="000000"/>
                <w:sz w:val="22"/>
                <w:szCs w:val="24"/>
              </w:rPr>
              <w:t xml:space="preserve">0 </w:t>
            </w:r>
          </w:p>
        </w:tc>
        <w:tc>
          <w:tcPr>
            <w:tcW w:w="1170" w:type="dxa"/>
            <w:tcBorders>
              <w:top w:val="nil"/>
              <w:left w:val="nil"/>
              <w:bottom w:val="single" w:sz="4" w:space="0" w:color="auto"/>
              <w:right w:val="single" w:sz="4" w:space="0" w:color="auto"/>
            </w:tcBorders>
            <w:shd w:val="clear" w:color="auto" w:fill="auto"/>
            <w:vAlign w:val="center"/>
          </w:tcPr>
          <w:p w:rsidR="00EB3FBD" w:rsidRPr="00EB3FBD" w:rsidRDefault="00EB3FBD" w:rsidP="00EB3FBD">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20</w:t>
            </w:r>
          </w:p>
        </w:tc>
        <w:tc>
          <w:tcPr>
            <w:tcW w:w="1080" w:type="dxa"/>
            <w:tcBorders>
              <w:top w:val="nil"/>
              <w:left w:val="single" w:sz="4" w:space="0" w:color="auto"/>
              <w:bottom w:val="single" w:sz="4" w:space="0" w:color="auto"/>
              <w:right w:val="single" w:sz="8" w:space="0" w:color="auto"/>
            </w:tcBorders>
            <w:shd w:val="clear" w:color="auto" w:fill="auto"/>
            <w:vAlign w:val="center"/>
          </w:tcPr>
          <w:p w:rsidR="00EB3FBD" w:rsidRPr="00EB3FBD" w:rsidRDefault="00EB3FBD" w:rsidP="00EB3FBD">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300</w:t>
            </w:r>
          </w:p>
        </w:tc>
        <w:tc>
          <w:tcPr>
            <w:tcW w:w="630" w:type="dxa"/>
            <w:tcBorders>
              <w:top w:val="nil"/>
              <w:left w:val="nil"/>
              <w:bottom w:val="single" w:sz="4" w:space="0" w:color="auto"/>
              <w:right w:val="single" w:sz="4" w:space="0" w:color="auto"/>
            </w:tcBorders>
            <w:shd w:val="clear" w:color="auto" w:fill="D9D9D9" w:themeFill="background1" w:themeFillShade="D9"/>
            <w:noWrap/>
            <w:vAlign w:val="center"/>
            <w:hideMark/>
          </w:tcPr>
          <w:p w:rsidR="00EB3FBD" w:rsidRPr="0046073F" w:rsidRDefault="00EB3FBD" w:rsidP="00EB3FBD">
            <w:pPr>
              <w:spacing w:line="240" w:lineRule="auto"/>
              <w:jc w:val="center"/>
              <w:rPr>
                <w:rFonts w:ascii="Franklin Gothic Book" w:hAnsi="Franklin Gothic Book"/>
                <w:color w:val="000000"/>
                <w:sz w:val="22"/>
                <w:szCs w:val="24"/>
              </w:rPr>
            </w:pPr>
            <w:r w:rsidRPr="0046073F">
              <w:rPr>
                <w:rFonts w:ascii="Franklin Gothic Book" w:hAnsi="Franklin Gothic Book"/>
                <w:color w:val="000000"/>
                <w:sz w:val="22"/>
                <w:szCs w:val="24"/>
              </w:rPr>
              <w:t> </w:t>
            </w:r>
          </w:p>
        </w:tc>
        <w:tc>
          <w:tcPr>
            <w:tcW w:w="1440" w:type="dxa"/>
            <w:tcBorders>
              <w:top w:val="nil"/>
              <w:left w:val="nil"/>
              <w:bottom w:val="single" w:sz="4" w:space="0" w:color="auto"/>
              <w:right w:val="single" w:sz="4" w:space="0" w:color="auto"/>
            </w:tcBorders>
            <w:shd w:val="clear" w:color="auto" w:fill="D9D9D9" w:themeFill="background1" w:themeFillShade="D9"/>
            <w:noWrap/>
            <w:vAlign w:val="center"/>
            <w:hideMark/>
          </w:tcPr>
          <w:p w:rsidR="00EB3FBD" w:rsidRPr="0046073F" w:rsidRDefault="00EB3FBD" w:rsidP="00EB3FBD">
            <w:pPr>
              <w:spacing w:line="240" w:lineRule="auto"/>
              <w:jc w:val="right"/>
              <w:rPr>
                <w:rFonts w:ascii="Franklin Gothic Book" w:hAnsi="Franklin Gothic Book"/>
                <w:color w:val="000000"/>
                <w:sz w:val="22"/>
                <w:szCs w:val="24"/>
              </w:rPr>
            </w:pPr>
          </w:p>
        </w:tc>
        <w:tc>
          <w:tcPr>
            <w:tcW w:w="842" w:type="dxa"/>
            <w:tcBorders>
              <w:top w:val="nil"/>
              <w:left w:val="single" w:sz="4" w:space="0" w:color="auto"/>
              <w:bottom w:val="single" w:sz="4" w:space="0" w:color="auto"/>
              <w:right w:val="single" w:sz="8" w:space="0" w:color="auto"/>
            </w:tcBorders>
            <w:shd w:val="clear" w:color="auto" w:fill="D9D9D9" w:themeFill="background1" w:themeFillShade="D9"/>
            <w:vAlign w:val="center"/>
          </w:tcPr>
          <w:p w:rsidR="00EB3FBD" w:rsidRPr="0046073F" w:rsidRDefault="00EB3FBD" w:rsidP="00EB3FBD">
            <w:pPr>
              <w:spacing w:line="240" w:lineRule="auto"/>
              <w:jc w:val="right"/>
              <w:rPr>
                <w:rFonts w:ascii="Franklin Gothic Book" w:hAnsi="Franklin Gothic Book"/>
                <w:color w:val="000000"/>
                <w:sz w:val="22"/>
                <w:szCs w:val="24"/>
              </w:rPr>
            </w:pPr>
            <w:r w:rsidRPr="0046073F">
              <w:rPr>
                <w:rFonts w:ascii="Franklin Gothic Book" w:hAnsi="Franklin Gothic Book"/>
                <w:color w:val="000000"/>
                <w:sz w:val="22"/>
                <w:szCs w:val="24"/>
              </w:rPr>
              <w:t> </w:t>
            </w:r>
          </w:p>
        </w:tc>
      </w:tr>
    </w:tbl>
    <w:p w:rsidR="009D3807" w:rsidRPr="00933923" w:rsidRDefault="009D3807" w:rsidP="00154211">
      <w:pPr>
        <w:pStyle w:val="L1-FlLSp12"/>
      </w:pPr>
    </w:p>
    <w:p w:rsidR="0008441A" w:rsidRPr="00933923" w:rsidRDefault="0008441A" w:rsidP="00154211">
      <w:pPr>
        <w:pStyle w:val="L1-FlLSp12"/>
      </w:pPr>
    </w:p>
    <w:p w:rsidR="000A4A99" w:rsidRPr="000B4257" w:rsidRDefault="00FF3677" w:rsidP="000B4257">
      <w:pPr>
        <w:rPr>
          <w:rFonts w:eastAsia="Calibri"/>
          <w:u w:val="single"/>
        </w:rPr>
      </w:pPr>
      <w:bookmarkStart w:id="46" w:name="_Toc367706537"/>
      <w:bookmarkStart w:id="47" w:name="_Toc380930584"/>
      <w:r w:rsidRPr="000B4257">
        <w:rPr>
          <w:rFonts w:eastAsia="Calibri"/>
          <w:u w:val="single"/>
        </w:rPr>
        <w:t>$2</w:t>
      </w:r>
      <w:r w:rsidR="000A4A99" w:rsidRPr="000B4257">
        <w:rPr>
          <w:rFonts w:eastAsia="Calibri"/>
          <w:u w:val="single"/>
        </w:rPr>
        <w:t xml:space="preserve"> Pr</w:t>
      </w:r>
      <w:r w:rsidR="000F4704" w:rsidRPr="000B4257">
        <w:rPr>
          <w:rFonts w:eastAsia="Calibri"/>
          <w:u w:val="single"/>
        </w:rPr>
        <w:t xml:space="preserve">e-Paid incentive for the </w:t>
      </w:r>
      <w:r w:rsidR="000A4A99" w:rsidRPr="000B4257">
        <w:rPr>
          <w:rFonts w:eastAsia="Calibri"/>
          <w:u w:val="single"/>
        </w:rPr>
        <w:t>mail survey asking for a household roster</w:t>
      </w:r>
      <w:bookmarkEnd w:id="46"/>
      <w:bookmarkEnd w:id="47"/>
    </w:p>
    <w:p w:rsidR="000A4A99" w:rsidRPr="00933923" w:rsidRDefault="000A4A99" w:rsidP="00154211">
      <w:pPr>
        <w:pStyle w:val="L1-FlLSp12"/>
      </w:pPr>
      <w:r w:rsidRPr="00933923">
        <w:t>Households selected as part of the ABS sample will be sent a mail survey asking them to complete a household roster</w:t>
      </w:r>
      <w:r w:rsidR="00F12DFF">
        <w:t xml:space="preserve"> (Attachments B-C)</w:t>
      </w:r>
      <w:r w:rsidRPr="00933923">
        <w:t>.</w:t>
      </w:r>
      <w:r w:rsidR="0008441A" w:rsidRPr="00933923">
        <w:t xml:space="preserve"> </w:t>
      </w:r>
      <w:r w:rsidRPr="00933923">
        <w:t>If returned, this roster will be used to determine whether an eligible female is living at the sampled address.</w:t>
      </w:r>
      <w:r w:rsidR="0008441A" w:rsidRPr="00933923">
        <w:t xml:space="preserve"> </w:t>
      </w:r>
      <w:r w:rsidRPr="00933923">
        <w:t>If there is no eligible female, the household will be coded as ineligible.</w:t>
      </w:r>
      <w:r w:rsidR="0008441A" w:rsidRPr="00933923">
        <w:t xml:space="preserve"> </w:t>
      </w:r>
      <w:r w:rsidRPr="00933923">
        <w:t>If there is an eligible female, a field representative will attempt to complete an interview using the ACASI.</w:t>
      </w:r>
    </w:p>
    <w:p w:rsidR="000A4A99" w:rsidRPr="00933923" w:rsidRDefault="000A4A99" w:rsidP="00154211">
      <w:pPr>
        <w:pStyle w:val="L1-FlLSp12"/>
      </w:pPr>
    </w:p>
    <w:p w:rsidR="000A4A99" w:rsidRPr="00933923" w:rsidRDefault="000A4A99" w:rsidP="00154211">
      <w:pPr>
        <w:pStyle w:val="L1-FlLSp12"/>
      </w:pPr>
      <w:r w:rsidRPr="00933923">
        <w:t xml:space="preserve">We are proposing a </w:t>
      </w:r>
      <w:r w:rsidR="000F4704">
        <w:t xml:space="preserve">pre-paid incentive of </w:t>
      </w:r>
      <w:r w:rsidRPr="00933923">
        <w:t>$</w:t>
      </w:r>
      <w:r w:rsidR="000F4704">
        <w:t>2</w:t>
      </w:r>
      <w:r w:rsidRPr="00933923">
        <w:t xml:space="preserve"> for the return of the mail roster.</w:t>
      </w:r>
      <w:r w:rsidR="0008441A" w:rsidRPr="00933923">
        <w:t xml:space="preserve"> </w:t>
      </w:r>
      <w:r w:rsidRPr="00933923">
        <w:t>An incentive is particularly cost-effective at this stage because it potentially saves the cost of having an interviewer visit the household.</w:t>
      </w:r>
      <w:r w:rsidR="0008441A" w:rsidRPr="00933923">
        <w:t xml:space="preserve"> </w:t>
      </w:r>
      <w:r w:rsidRPr="00933923">
        <w:t>Our ca</w:t>
      </w:r>
      <w:r w:rsidR="000F4704">
        <w:t>lculations indicate that if a $2</w:t>
      </w:r>
      <w:r w:rsidRPr="00933923">
        <w:t xml:space="preserve"> incentive increased response rates by five percentage points, the study would experience lower net costs because of the reduction in field labor.</w:t>
      </w:r>
    </w:p>
    <w:p w:rsidR="000A4A99" w:rsidRPr="00933923" w:rsidRDefault="000A4A99" w:rsidP="00154211">
      <w:pPr>
        <w:pStyle w:val="L1-FlLSp12"/>
      </w:pPr>
    </w:p>
    <w:p w:rsidR="006453C9" w:rsidRPr="00933923" w:rsidRDefault="00637C23" w:rsidP="00154211">
      <w:pPr>
        <w:pStyle w:val="L1-FlLSp12"/>
      </w:pPr>
      <w:r w:rsidRPr="00933923">
        <w:t>T</w:t>
      </w:r>
      <w:r w:rsidR="000A4A99" w:rsidRPr="00933923">
        <w:t>he empirical evidence for mail surveys is that</w:t>
      </w:r>
      <w:r w:rsidR="000F4704">
        <w:t xml:space="preserve"> a small pre-paid incentive will significantly increase the response rate (Church, </w:t>
      </w:r>
      <w:r w:rsidR="00936DEA">
        <w:t xml:space="preserve">1993; Trussell and Lavrakas, </w:t>
      </w:r>
      <w:r w:rsidR="006D68C4">
        <w:t xml:space="preserve">2004). </w:t>
      </w:r>
      <w:r w:rsidR="0080041F">
        <w:t xml:space="preserve"> </w:t>
      </w:r>
      <w:r w:rsidR="003D2FDF" w:rsidRPr="00933923">
        <w:t>W</w:t>
      </w:r>
      <w:r w:rsidR="000A4A99" w:rsidRPr="00933923">
        <w:t>e are proposing a $</w:t>
      </w:r>
      <w:r w:rsidR="0080041F">
        <w:t>2</w:t>
      </w:r>
      <w:r w:rsidR="003D2FDF" w:rsidRPr="00933923">
        <w:t xml:space="preserve"> incentive</w:t>
      </w:r>
      <w:r w:rsidR="0080041F">
        <w:t xml:space="preserve"> because this has been found to have a significantly greater effect than $1 (Trussell and Lavrakas, 2004).</w:t>
      </w:r>
    </w:p>
    <w:p w:rsidR="006453C9" w:rsidRPr="00933923" w:rsidRDefault="006453C9" w:rsidP="00154211">
      <w:pPr>
        <w:pStyle w:val="L1-FlLSp12"/>
      </w:pPr>
    </w:p>
    <w:p w:rsidR="000A4A99" w:rsidRPr="00933923" w:rsidRDefault="006453C9" w:rsidP="00154211">
      <w:pPr>
        <w:pStyle w:val="L1-FlLSp12"/>
      </w:pPr>
      <w:r w:rsidRPr="00933923">
        <w:t xml:space="preserve">If the household is determined to be eligible for the study, a letter stating that an interviewer will be visiting the household soon to conduct the study (Attachment D). </w:t>
      </w:r>
    </w:p>
    <w:p w:rsidR="0008441A" w:rsidRPr="00933923" w:rsidRDefault="0008441A" w:rsidP="0008441A">
      <w:pPr>
        <w:pStyle w:val="L1-FlLSp12"/>
      </w:pPr>
    </w:p>
    <w:p w:rsidR="000A4A99" w:rsidRPr="000B4257" w:rsidRDefault="0080041F" w:rsidP="000B4257">
      <w:pPr>
        <w:rPr>
          <w:rFonts w:eastAsia="Calibri"/>
          <w:u w:val="single"/>
        </w:rPr>
      </w:pPr>
      <w:bookmarkStart w:id="48" w:name="_Toc367706538"/>
      <w:bookmarkStart w:id="49" w:name="_Toc380930585"/>
      <w:r w:rsidRPr="000B4257">
        <w:rPr>
          <w:rFonts w:eastAsia="Calibri"/>
          <w:u w:val="single"/>
        </w:rPr>
        <w:t>$20 Promised Incentive for RDD and ABS</w:t>
      </w:r>
      <w:r w:rsidR="000A4A99" w:rsidRPr="000B4257">
        <w:rPr>
          <w:rFonts w:eastAsia="Calibri"/>
          <w:u w:val="single"/>
        </w:rPr>
        <w:t xml:space="preserve"> Respondents</w:t>
      </w:r>
      <w:bookmarkEnd w:id="48"/>
      <w:bookmarkEnd w:id="49"/>
    </w:p>
    <w:p w:rsidR="000A4A99" w:rsidRPr="00933923" w:rsidRDefault="000A4A99" w:rsidP="00154211">
      <w:pPr>
        <w:pStyle w:val="L1-FlLSp12"/>
      </w:pPr>
      <w:r w:rsidRPr="00933923">
        <w:t xml:space="preserve">All telephone </w:t>
      </w:r>
      <w:r w:rsidR="00F12DFF">
        <w:t xml:space="preserve">and in-person </w:t>
      </w:r>
      <w:r w:rsidRPr="00933923">
        <w:t>respondents who are part of the probability sample and who complete</w:t>
      </w:r>
      <w:r w:rsidR="00C41898">
        <w:t xml:space="preserve"> the main interview will </w:t>
      </w:r>
      <w:r w:rsidR="009A234B">
        <w:t xml:space="preserve">be </w:t>
      </w:r>
      <w:r w:rsidR="00C41898">
        <w:t>provided</w:t>
      </w:r>
      <w:r w:rsidRPr="00933923">
        <w:t xml:space="preserve"> $20 in appreciation for their completion of the survey. </w:t>
      </w:r>
      <w:r w:rsidR="00C41898">
        <w:t xml:space="preserve"> An incentive is necessary for two reasons.  First, p</w:t>
      </w:r>
      <w:r w:rsidRPr="00933923">
        <w:t xml:space="preserve">romised incentives </w:t>
      </w:r>
      <w:r w:rsidR="00C41898">
        <w:t xml:space="preserve">have been found to </w:t>
      </w:r>
      <w:r w:rsidRPr="00933923">
        <w:t>improve response rates when they are large enough (Cantor, O’Hare, &amp; O’Connor, 2008). The proposed incentive of $20 falls within the range of incentives that have been found to be</w:t>
      </w:r>
      <w:r w:rsidR="00C41898">
        <w:t xml:space="preserve"> effective.</w:t>
      </w:r>
    </w:p>
    <w:p w:rsidR="000A4A99" w:rsidRPr="00933923" w:rsidRDefault="000A4A99" w:rsidP="00154211">
      <w:pPr>
        <w:pStyle w:val="L1-FlLSp12"/>
      </w:pPr>
    </w:p>
    <w:p w:rsidR="003D2FDF" w:rsidRPr="00933923" w:rsidRDefault="00C41898" w:rsidP="00154211">
      <w:pPr>
        <w:pStyle w:val="L1-FlLSp12"/>
      </w:pPr>
      <w:r>
        <w:t>For telephone interviews, s</w:t>
      </w:r>
      <w:r w:rsidR="000A4A99" w:rsidRPr="00933923">
        <w:t>everal studies have found that promising less than $2</w:t>
      </w:r>
      <w:r>
        <w:t>0 for a telephone interview has</w:t>
      </w:r>
      <w:r w:rsidR="000A4A99" w:rsidRPr="00933923">
        <w:t xml:space="preserve"> not consistently increase</w:t>
      </w:r>
      <w:r>
        <w:t>d</w:t>
      </w:r>
      <w:r w:rsidR="000A4A99" w:rsidRPr="00933923">
        <w:t xml:space="preserve"> response rates. For example, Cantor, Schiffrin, Park and Hesse (2006) experimented with promised incentives of $0, $5, and $15 in a telephone survey and found no difference in response rates between $5 promised and no incentive. Those offered $15 had a 6 point higher response rate than the two lower incentive groups prior to refusal conversion. However, the effects were not significant after refusal conversion. Similarly, Strouse and Hall (1997) experimented with promised incentives and found only “marginally increased screener cooperation rates” when promising $10 relative to no incentive, and they found no improvement in response when promising $5 relative to no incentive in an RDD health study.</w:t>
      </w:r>
      <w:r w:rsidR="0008441A" w:rsidRPr="00933923">
        <w:t xml:space="preserve"> </w:t>
      </w:r>
      <w:r w:rsidR="000A4A99" w:rsidRPr="00933923">
        <w:t xml:space="preserve">However, in another experiment testing higher promised amounts ($15, $25, $35), Strouse and Hall (1997) found a significant positive effect of promised incentives relative to no incentive. In that experiment, promising $25 yielded about 9 percentage points higher response than promising no incentive at all (48.1 vs. 39.2%). </w:t>
      </w:r>
    </w:p>
    <w:p w:rsidR="003D2FDF" w:rsidRDefault="003D2FDF" w:rsidP="00154211">
      <w:pPr>
        <w:pStyle w:val="L1-FlLSp12"/>
      </w:pPr>
    </w:p>
    <w:p w:rsidR="0080041F" w:rsidRDefault="0080041F" w:rsidP="00154211">
      <w:pPr>
        <w:pStyle w:val="L1-FlLSp12"/>
      </w:pPr>
      <w:proofErr w:type="gramStart"/>
      <w:r w:rsidRPr="0080041F">
        <w:t>The National Intimate Partner and Sexual Violence Survey (NISVS), which asks sim</w:t>
      </w:r>
      <w:r w:rsidR="004C1D66">
        <w:t>ilar questions to the NSHS</w:t>
      </w:r>
      <w:r w:rsidRPr="0080041F">
        <w:t xml:space="preserve"> victimization screener, promises $10 to initial cooperators, but $40 to a sample of refusers.</w:t>
      </w:r>
      <w:proofErr w:type="gramEnd"/>
      <w:r w:rsidRPr="0080041F">
        <w:t xml:space="preserve">  The NISVS design acknowledges that it is necessary to use more than $10 to obtain an acceptable response rate.  Our recommended design uses a uniform amount, rather than basing the amount on the difficulty associated with completing an interview.  Given the sensitive nature of the survey, the NSHS survey is not conducting any refusal conversion.  Consequently, even if differential incentives were desirable, they could not be implemented.</w:t>
      </w:r>
    </w:p>
    <w:p w:rsidR="004C1D66" w:rsidRDefault="004C1D66" w:rsidP="00154211">
      <w:pPr>
        <w:pStyle w:val="L1-FlLSp12"/>
        <w:sectPr w:rsidR="004C1D66" w:rsidSect="00ED3C6E">
          <w:headerReference w:type="even" r:id="rId13"/>
          <w:headerReference w:type="default" r:id="rId14"/>
          <w:footerReference w:type="even" r:id="rId15"/>
          <w:footerReference w:type="default" r:id="rId16"/>
          <w:pgSz w:w="12240" w:h="15840"/>
          <w:pgMar w:top="1440" w:right="1440" w:bottom="864" w:left="1440" w:header="1440" w:footer="864" w:gutter="0"/>
          <w:cols w:space="720"/>
          <w:noEndnote/>
        </w:sectPr>
      </w:pPr>
    </w:p>
    <w:p w:rsidR="004C1D66" w:rsidRPr="000506DE" w:rsidRDefault="00576326" w:rsidP="003156B7">
      <w:pPr>
        <w:pStyle w:val="Heading4"/>
        <w:spacing w:after="0" w:line="240" w:lineRule="auto"/>
      </w:pPr>
      <w:bookmarkStart w:id="50" w:name="_Toc380930495"/>
      <w:bookmarkStart w:id="51" w:name="_Toc380930586"/>
      <w:bookmarkStart w:id="52" w:name="_Toc380930775"/>
      <w:proofErr w:type="gramStart"/>
      <w:r>
        <w:lastRenderedPageBreak/>
        <w:t>Table 2</w:t>
      </w:r>
      <w:r w:rsidR="004C1D66" w:rsidRPr="000506DE">
        <w:t>.</w:t>
      </w:r>
      <w:proofErr w:type="gramEnd"/>
      <w:r w:rsidR="004C1D66" w:rsidRPr="000506DE">
        <w:t xml:space="preserve">  </w:t>
      </w:r>
      <w:r w:rsidR="003156B7">
        <w:tab/>
      </w:r>
      <w:r w:rsidR="004C1D66" w:rsidRPr="000506DE">
        <w:t>Incentive and Burden on Selected Federally Sponsored Surveys</w:t>
      </w:r>
      <w:bookmarkEnd w:id="50"/>
      <w:bookmarkEnd w:id="51"/>
      <w:bookmarkEnd w:id="52"/>
    </w:p>
    <w:tbl>
      <w:tblPr>
        <w:tblStyle w:val="TableGrid"/>
        <w:tblW w:w="12762" w:type="dxa"/>
        <w:tblLook w:val="04A0" w:firstRow="1" w:lastRow="0" w:firstColumn="1" w:lastColumn="0" w:noHBand="0" w:noVBand="1"/>
      </w:tblPr>
      <w:tblGrid>
        <w:gridCol w:w="2988"/>
        <w:gridCol w:w="2790"/>
        <w:gridCol w:w="1800"/>
        <w:gridCol w:w="1062"/>
        <w:gridCol w:w="1206"/>
        <w:gridCol w:w="612"/>
        <w:gridCol w:w="2304"/>
      </w:tblGrid>
      <w:tr w:rsidR="004C1D66" w:rsidRPr="00394984" w:rsidTr="00166174">
        <w:tc>
          <w:tcPr>
            <w:tcW w:w="2988" w:type="dxa"/>
          </w:tcPr>
          <w:p w:rsidR="004C1D66" w:rsidRPr="00394984" w:rsidRDefault="004C1D66" w:rsidP="00166174">
            <w:pPr>
              <w:ind w:right="-288"/>
              <w:rPr>
                <w:sz w:val="16"/>
                <w:szCs w:val="16"/>
              </w:rPr>
            </w:pPr>
            <w:r w:rsidRPr="00394984">
              <w:rPr>
                <w:sz w:val="16"/>
                <w:szCs w:val="16"/>
              </w:rPr>
              <w:t>Survey</w:t>
            </w:r>
          </w:p>
        </w:tc>
        <w:tc>
          <w:tcPr>
            <w:tcW w:w="2790" w:type="dxa"/>
          </w:tcPr>
          <w:p w:rsidR="004C1D66" w:rsidRPr="00394984" w:rsidRDefault="004C1D66" w:rsidP="00166174">
            <w:pPr>
              <w:rPr>
                <w:sz w:val="16"/>
                <w:szCs w:val="16"/>
              </w:rPr>
            </w:pPr>
            <w:r w:rsidRPr="00394984">
              <w:rPr>
                <w:sz w:val="16"/>
                <w:szCs w:val="16"/>
              </w:rPr>
              <w:t>Task</w:t>
            </w:r>
          </w:p>
        </w:tc>
        <w:tc>
          <w:tcPr>
            <w:tcW w:w="1800" w:type="dxa"/>
          </w:tcPr>
          <w:p w:rsidR="004C1D66" w:rsidRPr="00394984" w:rsidRDefault="004C1D66" w:rsidP="00166174">
            <w:pPr>
              <w:rPr>
                <w:sz w:val="16"/>
                <w:szCs w:val="16"/>
              </w:rPr>
            </w:pPr>
            <w:r w:rsidRPr="00394984">
              <w:rPr>
                <w:sz w:val="16"/>
                <w:szCs w:val="16"/>
              </w:rPr>
              <w:t>Average Length</w:t>
            </w:r>
          </w:p>
        </w:tc>
        <w:tc>
          <w:tcPr>
            <w:tcW w:w="1062" w:type="dxa"/>
          </w:tcPr>
          <w:p w:rsidR="004C1D66" w:rsidRPr="00394984" w:rsidRDefault="004C1D66" w:rsidP="00166174">
            <w:pPr>
              <w:rPr>
                <w:sz w:val="16"/>
                <w:szCs w:val="16"/>
              </w:rPr>
            </w:pPr>
            <w:r w:rsidRPr="00394984">
              <w:rPr>
                <w:sz w:val="16"/>
                <w:szCs w:val="16"/>
              </w:rPr>
              <w:t>Effort</w:t>
            </w:r>
          </w:p>
        </w:tc>
        <w:tc>
          <w:tcPr>
            <w:tcW w:w="1206" w:type="dxa"/>
          </w:tcPr>
          <w:p w:rsidR="004C1D66" w:rsidRPr="00394984" w:rsidRDefault="004C1D66" w:rsidP="00166174">
            <w:pPr>
              <w:rPr>
                <w:sz w:val="16"/>
                <w:szCs w:val="16"/>
              </w:rPr>
            </w:pPr>
            <w:r w:rsidRPr="00394984">
              <w:rPr>
                <w:sz w:val="16"/>
                <w:szCs w:val="16"/>
              </w:rPr>
              <w:t>Sensitivity</w:t>
            </w:r>
          </w:p>
        </w:tc>
        <w:tc>
          <w:tcPr>
            <w:tcW w:w="612" w:type="dxa"/>
          </w:tcPr>
          <w:p w:rsidR="004C1D66" w:rsidRPr="00394984" w:rsidRDefault="004C1D66" w:rsidP="00166174">
            <w:pPr>
              <w:rPr>
                <w:sz w:val="16"/>
                <w:szCs w:val="16"/>
              </w:rPr>
            </w:pPr>
            <w:r>
              <w:rPr>
                <w:sz w:val="16"/>
                <w:szCs w:val="16"/>
              </w:rPr>
              <w:t>Panel</w:t>
            </w:r>
          </w:p>
        </w:tc>
        <w:tc>
          <w:tcPr>
            <w:tcW w:w="2304" w:type="dxa"/>
          </w:tcPr>
          <w:p w:rsidR="004C1D66" w:rsidRPr="00394984" w:rsidRDefault="004C1D66" w:rsidP="00166174">
            <w:pPr>
              <w:rPr>
                <w:sz w:val="16"/>
                <w:szCs w:val="16"/>
              </w:rPr>
            </w:pPr>
            <w:r w:rsidRPr="00394984">
              <w:rPr>
                <w:sz w:val="16"/>
                <w:szCs w:val="16"/>
              </w:rPr>
              <w:t>Incentive</w:t>
            </w:r>
          </w:p>
        </w:tc>
      </w:tr>
      <w:tr w:rsidR="004C1D66" w:rsidRPr="00394984" w:rsidTr="00166174">
        <w:tc>
          <w:tcPr>
            <w:tcW w:w="2988" w:type="dxa"/>
          </w:tcPr>
          <w:p w:rsidR="004C1D66" w:rsidRPr="00394984" w:rsidRDefault="004C1D66" w:rsidP="00166174">
            <w:pPr>
              <w:ind w:right="-288"/>
              <w:rPr>
                <w:sz w:val="16"/>
                <w:szCs w:val="16"/>
              </w:rPr>
            </w:pPr>
            <w:r>
              <w:rPr>
                <w:sz w:val="16"/>
                <w:szCs w:val="16"/>
              </w:rPr>
              <w:t xml:space="preserve">National Survey on Health and Safety </w:t>
            </w:r>
          </w:p>
        </w:tc>
        <w:tc>
          <w:tcPr>
            <w:tcW w:w="2790" w:type="dxa"/>
          </w:tcPr>
          <w:p w:rsidR="004C1D66" w:rsidRPr="00394984" w:rsidRDefault="004C1D66" w:rsidP="00166174">
            <w:pPr>
              <w:rPr>
                <w:sz w:val="16"/>
                <w:szCs w:val="16"/>
              </w:rPr>
            </w:pPr>
            <w:r>
              <w:rPr>
                <w:sz w:val="16"/>
                <w:szCs w:val="16"/>
              </w:rPr>
              <w:t>Auto-biographical questions on sexual assault</w:t>
            </w:r>
          </w:p>
        </w:tc>
        <w:tc>
          <w:tcPr>
            <w:tcW w:w="1800" w:type="dxa"/>
          </w:tcPr>
          <w:p w:rsidR="004C1D66" w:rsidRPr="00394984" w:rsidRDefault="004C1D66" w:rsidP="00166174">
            <w:pPr>
              <w:rPr>
                <w:sz w:val="16"/>
                <w:szCs w:val="16"/>
              </w:rPr>
            </w:pPr>
            <w:r>
              <w:rPr>
                <w:sz w:val="16"/>
                <w:szCs w:val="16"/>
              </w:rPr>
              <w:t>19 minutes</w:t>
            </w:r>
          </w:p>
        </w:tc>
        <w:tc>
          <w:tcPr>
            <w:tcW w:w="1062" w:type="dxa"/>
          </w:tcPr>
          <w:p w:rsidR="004C1D66" w:rsidRPr="00394984" w:rsidRDefault="004C1D66" w:rsidP="00166174">
            <w:pPr>
              <w:rPr>
                <w:sz w:val="16"/>
                <w:szCs w:val="16"/>
              </w:rPr>
            </w:pPr>
            <w:r>
              <w:rPr>
                <w:sz w:val="16"/>
                <w:szCs w:val="16"/>
              </w:rPr>
              <w:t>Average</w:t>
            </w:r>
          </w:p>
        </w:tc>
        <w:tc>
          <w:tcPr>
            <w:tcW w:w="1206" w:type="dxa"/>
          </w:tcPr>
          <w:p w:rsidR="004C1D66" w:rsidRPr="00394984" w:rsidRDefault="004C1D66" w:rsidP="00166174">
            <w:pPr>
              <w:rPr>
                <w:sz w:val="16"/>
                <w:szCs w:val="16"/>
              </w:rPr>
            </w:pPr>
            <w:r>
              <w:rPr>
                <w:sz w:val="16"/>
                <w:szCs w:val="16"/>
              </w:rPr>
              <w:t>High; private information; explicit language; potential of emotional trauma and retaliation</w:t>
            </w:r>
          </w:p>
        </w:tc>
        <w:tc>
          <w:tcPr>
            <w:tcW w:w="612" w:type="dxa"/>
          </w:tcPr>
          <w:p w:rsidR="004C1D66" w:rsidRPr="00394984" w:rsidRDefault="004C1D66" w:rsidP="00166174">
            <w:pPr>
              <w:rPr>
                <w:sz w:val="16"/>
                <w:szCs w:val="16"/>
              </w:rPr>
            </w:pPr>
            <w:r>
              <w:rPr>
                <w:sz w:val="16"/>
                <w:szCs w:val="16"/>
              </w:rPr>
              <w:t>No</w:t>
            </w:r>
          </w:p>
        </w:tc>
        <w:tc>
          <w:tcPr>
            <w:tcW w:w="2304" w:type="dxa"/>
          </w:tcPr>
          <w:p w:rsidR="004C1D66" w:rsidRPr="00394984" w:rsidRDefault="004C1D66" w:rsidP="00166174">
            <w:pPr>
              <w:rPr>
                <w:sz w:val="16"/>
                <w:szCs w:val="16"/>
              </w:rPr>
            </w:pPr>
            <w:r>
              <w:rPr>
                <w:sz w:val="16"/>
                <w:szCs w:val="16"/>
              </w:rPr>
              <w:t>$20</w:t>
            </w:r>
          </w:p>
        </w:tc>
      </w:tr>
      <w:tr w:rsidR="004C1D66" w:rsidRPr="00394984" w:rsidTr="00166174">
        <w:tc>
          <w:tcPr>
            <w:tcW w:w="2988" w:type="dxa"/>
          </w:tcPr>
          <w:p w:rsidR="004C1D66" w:rsidRPr="00394984" w:rsidRDefault="004C1D66" w:rsidP="00166174">
            <w:pPr>
              <w:rPr>
                <w:sz w:val="16"/>
                <w:szCs w:val="16"/>
              </w:rPr>
            </w:pPr>
            <w:r w:rsidRPr="00394984">
              <w:rPr>
                <w:sz w:val="16"/>
                <w:szCs w:val="16"/>
              </w:rPr>
              <w:t>Program for International Assessment of Adult Competencies</w:t>
            </w:r>
          </w:p>
        </w:tc>
        <w:tc>
          <w:tcPr>
            <w:tcW w:w="2790" w:type="dxa"/>
          </w:tcPr>
          <w:p w:rsidR="004C1D66" w:rsidRPr="00394984" w:rsidRDefault="004C1D66" w:rsidP="00166174">
            <w:pPr>
              <w:rPr>
                <w:sz w:val="16"/>
                <w:szCs w:val="16"/>
              </w:rPr>
            </w:pPr>
            <w:r w:rsidRPr="00394984">
              <w:rPr>
                <w:sz w:val="16"/>
                <w:szCs w:val="16"/>
              </w:rPr>
              <w:t>Educational Assessments</w:t>
            </w:r>
          </w:p>
        </w:tc>
        <w:tc>
          <w:tcPr>
            <w:tcW w:w="1800" w:type="dxa"/>
          </w:tcPr>
          <w:p w:rsidR="004C1D66" w:rsidRPr="00394984" w:rsidRDefault="004C1D66" w:rsidP="00166174">
            <w:pPr>
              <w:rPr>
                <w:sz w:val="16"/>
                <w:szCs w:val="16"/>
              </w:rPr>
            </w:pPr>
            <w:r>
              <w:rPr>
                <w:sz w:val="16"/>
                <w:szCs w:val="16"/>
              </w:rPr>
              <w:t>2 hours</w:t>
            </w:r>
          </w:p>
        </w:tc>
        <w:tc>
          <w:tcPr>
            <w:tcW w:w="1062" w:type="dxa"/>
          </w:tcPr>
          <w:p w:rsidR="004C1D66" w:rsidRPr="00394984" w:rsidRDefault="004C1D66" w:rsidP="00166174">
            <w:pPr>
              <w:rPr>
                <w:sz w:val="16"/>
                <w:szCs w:val="16"/>
              </w:rPr>
            </w:pPr>
            <w:r>
              <w:rPr>
                <w:sz w:val="16"/>
                <w:szCs w:val="16"/>
              </w:rPr>
              <w:t>Average</w:t>
            </w:r>
          </w:p>
        </w:tc>
        <w:tc>
          <w:tcPr>
            <w:tcW w:w="1206" w:type="dxa"/>
          </w:tcPr>
          <w:p w:rsidR="004C1D66" w:rsidRPr="00394984" w:rsidRDefault="004C1D66" w:rsidP="00166174">
            <w:pPr>
              <w:rPr>
                <w:sz w:val="16"/>
                <w:szCs w:val="16"/>
              </w:rPr>
            </w:pPr>
            <w:r>
              <w:rPr>
                <w:sz w:val="16"/>
                <w:szCs w:val="16"/>
              </w:rPr>
              <w:t>Average</w:t>
            </w:r>
          </w:p>
        </w:tc>
        <w:tc>
          <w:tcPr>
            <w:tcW w:w="612" w:type="dxa"/>
          </w:tcPr>
          <w:p w:rsidR="004C1D66" w:rsidRPr="00394984" w:rsidRDefault="004C1D66" w:rsidP="00166174">
            <w:pPr>
              <w:rPr>
                <w:sz w:val="16"/>
                <w:szCs w:val="16"/>
              </w:rPr>
            </w:pPr>
            <w:r>
              <w:rPr>
                <w:sz w:val="16"/>
                <w:szCs w:val="16"/>
              </w:rPr>
              <w:t>No</w:t>
            </w:r>
          </w:p>
        </w:tc>
        <w:tc>
          <w:tcPr>
            <w:tcW w:w="2304" w:type="dxa"/>
          </w:tcPr>
          <w:p w:rsidR="004C1D66" w:rsidRPr="00394984" w:rsidRDefault="004C1D66" w:rsidP="00166174">
            <w:pPr>
              <w:rPr>
                <w:sz w:val="16"/>
                <w:szCs w:val="16"/>
              </w:rPr>
            </w:pPr>
            <w:r>
              <w:rPr>
                <w:sz w:val="16"/>
                <w:szCs w:val="16"/>
              </w:rPr>
              <w:t>$50</w:t>
            </w:r>
          </w:p>
        </w:tc>
      </w:tr>
      <w:tr w:rsidR="004C1D66" w:rsidRPr="00394984" w:rsidTr="00166174">
        <w:tc>
          <w:tcPr>
            <w:tcW w:w="2988" w:type="dxa"/>
          </w:tcPr>
          <w:p w:rsidR="004C1D66" w:rsidRPr="00394984" w:rsidRDefault="004C1D66" w:rsidP="00166174">
            <w:pPr>
              <w:rPr>
                <w:sz w:val="16"/>
                <w:szCs w:val="16"/>
              </w:rPr>
            </w:pPr>
            <w:r>
              <w:rPr>
                <w:sz w:val="16"/>
                <w:szCs w:val="16"/>
              </w:rPr>
              <w:t>National Epidemiologic Survey on Alcohol and Related Conditions</w:t>
            </w:r>
          </w:p>
        </w:tc>
        <w:tc>
          <w:tcPr>
            <w:tcW w:w="2790" w:type="dxa"/>
          </w:tcPr>
          <w:p w:rsidR="004C1D66" w:rsidRPr="00394984" w:rsidRDefault="004C1D66" w:rsidP="00166174">
            <w:pPr>
              <w:rPr>
                <w:sz w:val="16"/>
                <w:szCs w:val="16"/>
              </w:rPr>
            </w:pPr>
            <w:r>
              <w:rPr>
                <w:sz w:val="16"/>
                <w:szCs w:val="16"/>
              </w:rPr>
              <w:t>Auto-biographical questions on alcohol use; provide biological samples</w:t>
            </w:r>
          </w:p>
        </w:tc>
        <w:tc>
          <w:tcPr>
            <w:tcW w:w="1800" w:type="dxa"/>
          </w:tcPr>
          <w:p w:rsidR="004C1D66" w:rsidRPr="00394984" w:rsidRDefault="004C1D66" w:rsidP="00166174">
            <w:pPr>
              <w:rPr>
                <w:sz w:val="16"/>
                <w:szCs w:val="16"/>
              </w:rPr>
            </w:pPr>
            <w:r>
              <w:rPr>
                <w:sz w:val="16"/>
                <w:szCs w:val="16"/>
              </w:rPr>
              <w:t>2 hours</w:t>
            </w:r>
          </w:p>
        </w:tc>
        <w:tc>
          <w:tcPr>
            <w:tcW w:w="1062" w:type="dxa"/>
          </w:tcPr>
          <w:p w:rsidR="004C1D66" w:rsidRPr="00394984" w:rsidRDefault="004C1D66" w:rsidP="00166174">
            <w:pPr>
              <w:rPr>
                <w:sz w:val="16"/>
                <w:szCs w:val="16"/>
              </w:rPr>
            </w:pPr>
            <w:r>
              <w:rPr>
                <w:sz w:val="16"/>
                <w:szCs w:val="16"/>
              </w:rPr>
              <w:t>Average</w:t>
            </w:r>
          </w:p>
        </w:tc>
        <w:tc>
          <w:tcPr>
            <w:tcW w:w="1206" w:type="dxa"/>
          </w:tcPr>
          <w:p w:rsidR="004C1D66" w:rsidRDefault="004C1D66" w:rsidP="00166174">
            <w:pPr>
              <w:rPr>
                <w:sz w:val="16"/>
                <w:szCs w:val="16"/>
              </w:rPr>
            </w:pPr>
            <w:r>
              <w:rPr>
                <w:sz w:val="16"/>
                <w:szCs w:val="16"/>
              </w:rPr>
              <w:t>Above Average</w:t>
            </w:r>
          </w:p>
          <w:p w:rsidR="004C1D66" w:rsidRPr="00394984" w:rsidRDefault="004C1D66" w:rsidP="00166174">
            <w:pPr>
              <w:rPr>
                <w:sz w:val="16"/>
                <w:szCs w:val="16"/>
              </w:rPr>
            </w:pPr>
            <w:r>
              <w:rPr>
                <w:sz w:val="16"/>
                <w:szCs w:val="16"/>
              </w:rPr>
              <w:t>High risk behaviors</w:t>
            </w:r>
          </w:p>
        </w:tc>
        <w:tc>
          <w:tcPr>
            <w:tcW w:w="612" w:type="dxa"/>
          </w:tcPr>
          <w:p w:rsidR="004C1D66" w:rsidRPr="00394984" w:rsidRDefault="004C1D66" w:rsidP="00166174">
            <w:pPr>
              <w:rPr>
                <w:sz w:val="16"/>
                <w:szCs w:val="16"/>
              </w:rPr>
            </w:pPr>
            <w:r>
              <w:rPr>
                <w:sz w:val="16"/>
                <w:szCs w:val="16"/>
              </w:rPr>
              <w:t>Yes</w:t>
            </w:r>
          </w:p>
        </w:tc>
        <w:tc>
          <w:tcPr>
            <w:tcW w:w="2304" w:type="dxa"/>
          </w:tcPr>
          <w:p w:rsidR="004C1D66" w:rsidRDefault="004C1D66" w:rsidP="00166174">
            <w:pPr>
              <w:rPr>
                <w:sz w:val="16"/>
                <w:szCs w:val="16"/>
              </w:rPr>
            </w:pPr>
            <w:r>
              <w:rPr>
                <w:sz w:val="16"/>
                <w:szCs w:val="16"/>
              </w:rPr>
              <w:t>$90 for interview</w:t>
            </w:r>
          </w:p>
          <w:p w:rsidR="004C1D66" w:rsidRPr="00394984" w:rsidRDefault="004C1D66" w:rsidP="00166174">
            <w:pPr>
              <w:rPr>
                <w:sz w:val="16"/>
                <w:szCs w:val="16"/>
              </w:rPr>
            </w:pPr>
            <w:r>
              <w:rPr>
                <w:sz w:val="16"/>
                <w:szCs w:val="16"/>
              </w:rPr>
              <w:t>$</w:t>
            </w:r>
          </w:p>
        </w:tc>
      </w:tr>
      <w:tr w:rsidR="004C1D66" w:rsidRPr="00394984" w:rsidTr="00166174">
        <w:tc>
          <w:tcPr>
            <w:tcW w:w="2988" w:type="dxa"/>
          </w:tcPr>
          <w:p w:rsidR="004C1D66" w:rsidRPr="00394984" w:rsidRDefault="004C1D66" w:rsidP="00166174">
            <w:pPr>
              <w:rPr>
                <w:sz w:val="16"/>
                <w:szCs w:val="16"/>
              </w:rPr>
            </w:pPr>
            <w:r>
              <w:rPr>
                <w:sz w:val="16"/>
                <w:szCs w:val="16"/>
              </w:rPr>
              <w:t>National Health and Nutrition Survey</w:t>
            </w:r>
          </w:p>
        </w:tc>
        <w:tc>
          <w:tcPr>
            <w:tcW w:w="2790" w:type="dxa"/>
          </w:tcPr>
          <w:p w:rsidR="004C1D66" w:rsidRPr="00394984" w:rsidRDefault="004C1D66" w:rsidP="00166174">
            <w:pPr>
              <w:rPr>
                <w:sz w:val="16"/>
                <w:szCs w:val="16"/>
              </w:rPr>
            </w:pPr>
            <w:r>
              <w:rPr>
                <w:sz w:val="16"/>
                <w:szCs w:val="16"/>
              </w:rPr>
              <w:t>Autobiographical Questions on health and physical examination</w:t>
            </w:r>
          </w:p>
        </w:tc>
        <w:tc>
          <w:tcPr>
            <w:tcW w:w="1800" w:type="dxa"/>
          </w:tcPr>
          <w:p w:rsidR="004C1D66" w:rsidRPr="00394984" w:rsidRDefault="004C1D66" w:rsidP="00166174">
            <w:pPr>
              <w:rPr>
                <w:sz w:val="16"/>
                <w:szCs w:val="16"/>
              </w:rPr>
            </w:pPr>
            <w:r>
              <w:rPr>
                <w:sz w:val="16"/>
                <w:szCs w:val="16"/>
              </w:rPr>
              <w:t>60 minutes for household interview plus time for exam</w:t>
            </w:r>
          </w:p>
        </w:tc>
        <w:tc>
          <w:tcPr>
            <w:tcW w:w="1062" w:type="dxa"/>
          </w:tcPr>
          <w:p w:rsidR="004C1D66" w:rsidRPr="00394984" w:rsidRDefault="004C1D66" w:rsidP="00166174">
            <w:pPr>
              <w:rPr>
                <w:sz w:val="16"/>
                <w:szCs w:val="16"/>
              </w:rPr>
            </w:pPr>
            <w:r>
              <w:rPr>
                <w:sz w:val="16"/>
                <w:szCs w:val="16"/>
              </w:rPr>
              <w:t>High – travel for exam; physical intrusion</w:t>
            </w:r>
          </w:p>
        </w:tc>
        <w:tc>
          <w:tcPr>
            <w:tcW w:w="1206" w:type="dxa"/>
          </w:tcPr>
          <w:p w:rsidR="004C1D66" w:rsidRPr="00394984" w:rsidRDefault="004C1D66" w:rsidP="00166174">
            <w:pPr>
              <w:rPr>
                <w:sz w:val="16"/>
                <w:szCs w:val="16"/>
              </w:rPr>
            </w:pPr>
            <w:r>
              <w:rPr>
                <w:sz w:val="16"/>
                <w:szCs w:val="16"/>
              </w:rPr>
              <w:t>Above Average; HIVs; questions on drug use</w:t>
            </w:r>
          </w:p>
        </w:tc>
        <w:tc>
          <w:tcPr>
            <w:tcW w:w="612" w:type="dxa"/>
          </w:tcPr>
          <w:p w:rsidR="004C1D66" w:rsidRPr="00394984" w:rsidRDefault="004C1D66" w:rsidP="00166174">
            <w:pPr>
              <w:rPr>
                <w:sz w:val="16"/>
                <w:szCs w:val="16"/>
              </w:rPr>
            </w:pPr>
            <w:r>
              <w:rPr>
                <w:sz w:val="16"/>
                <w:szCs w:val="16"/>
              </w:rPr>
              <w:t>No</w:t>
            </w:r>
          </w:p>
        </w:tc>
        <w:tc>
          <w:tcPr>
            <w:tcW w:w="2304" w:type="dxa"/>
          </w:tcPr>
          <w:p w:rsidR="004C1D66" w:rsidRDefault="004C1D66" w:rsidP="00166174">
            <w:pPr>
              <w:rPr>
                <w:sz w:val="16"/>
                <w:szCs w:val="16"/>
              </w:rPr>
            </w:pPr>
            <w:r>
              <w:rPr>
                <w:sz w:val="16"/>
                <w:szCs w:val="16"/>
              </w:rPr>
              <w:t>$90 - $125 interview, exam</w:t>
            </w:r>
          </w:p>
          <w:p w:rsidR="004C1D66" w:rsidRDefault="004C1D66" w:rsidP="00166174">
            <w:pPr>
              <w:rPr>
                <w:sz w:val="16"/>
                <w:szCs w:val="16"/>
              </w:rPr>
            </w:pPr>
            <w:r>
              <w:rPr>
                <w:sz w:val="16"/>
                <w:szCs w:val="16"/>
              </w:rPr>
              <w:t xml:space="preserve">Travel reimbursement </w:t>
            </w:r>
          </w:p>
          <w:p w:rsidR="004C1D66" w:rsidRPr="00394984" w:rsidRDefault="004C1D66" w:rsidP="00166174">
            <w:pPr>
              <w:rPr>
                <w:sz w:val="16"/>
                <w:szCs w:val="16"/>
              </w:rPr>
            </w:pPr>
            <w:r>
              <w:rPr>
                <w:sz w:val="16"/>
                <w:szCs w:val="16"/>
              </w:rPr>
              <w:t>$30 - $50 per  phone interview, activity monitor, urine</w:t>
            </w:r>
          </w:p>
        </w:tc>
      </w:tr>
      <w:tr w:rsidR="004C1D66" w:rsidRPr="00394984" w:rsidTr="00166174">
        <w:tc>
          <w:tcPr>
            <w:tcW w:w="2988" w:type="dxa"/>
          </w:tcPr>
          <w:p w:rsidR="004C1D66" w:rsidRPr="00394984" w:rsidRDefault="004C1D66" w:rsidP="00166174">
            <w:pPr>
              <w:rPr>
                <w:sz w:val="16"/>
                <w:szCs w:val="16"/>
              </w:rPr>
            </w:pPr>
            <w:r>
              <w:rPr>
                <w:sz w:val="16"/>
                <w:szCs w:val="16"/>
              </w:rPr>
              <w:t>National Longitudinal Survey of Youth</w:t>
            </w:r>
          </w:p>
        </w:tc>
        <w:tc>
          <w:tcPr>
            <w:tcW w:w="2790" w:type="dxa"/>
          </w:tcPr>
          <w:p w:rsidR="004C1D66" w:rsidRPr="00394984" w:rsidRDefault="004C1D66" w:rsidP="00166174">
            <w:pPr>
              <w:rPr>
                <w:sz w:val="16"/>
                <w:szCs w:val="16"/>
              </w:rPr>
            </w:pPr>
            <w:r>
              <w:rPr>
                <w:sz w:val="16"/>
                <w:szCs w:val="16"/>
              </w:rPr>
              <w:t>Autobiographical questions on labor market activities and other life events</w:t>
            </w:r>
          </w:p>
        </w:tc>
        <w:tc>
          <w:tcPr>
            <w:tcW w:w="1800" w:type="dxa"/>
          </w:tcPr>
          <w:p w:rsidR="004C1D66" w:rsidRPr="00394984" w:rsidRDefault="004C1D66" w:rsidP="00166174">
            <w:pPr>
              <w:rPr>
                <w:sz w:val="16"/>
                <w:szCs w:val="16"/>
              </w:rPr>
            </w:pPr>
            <w:r>
              <w:rPr>
                <w:sz w:val="16"/>
                <w:szCs w:val="16"/>
              </w:rPr>
              <w:t>65 minutes</w:t>
            </w:r>
          </w:p>
        </w:tc>
        <w:tc>
          <w:tcPr>
            <w:tcW w:w="1062" w:type="dxa"/>
          </w:tcPr>
          <w:p w:rsidR="004C1D66" w:rsidRPr="00394984" w:rsidRDefault="004C1D66" w:rsidP="00166174">
            <w:pPr>
              <w:rPr>
                <w:sz w:val="16"/>
                <w:szCs w:val="16"/>
              </w:rPr>
            </w:pPr>
            <w:r>
              <w:rPr>
                <w:sz w:val="16"/>
                <w:szCs w:val="16"/>
              </w:rPr>
              <w:t>Average</w:t>
            </w:r>
          </w:p>
        </w:tc>
        <w:tc>
          <w:tcPr>
            <w:tcW w:w="1206" w:type="dxa"/>
          </w:tcPr>
          <w:p w:rsidR="004C1D66" w:rsidRPr="00394984" w:rsidRDefault="004C1D66" w:rsidP="00166174">
            <w:pPr>
              <w:rPr>
                <w:sz w:val="16"/>
                <w:szCs w:val="16"/>
              </w:rPr>
            </w:pPr>
            <w:r>
              <w:rPr>
                <w:sz w:val="16"/>
                <w:szCs w:val="16"/>
              </w:rPr>
              <w:t>Average</w:t>
            </w:r>
          </w:p>
        </w:tc>
        <w:tc>
          <w:tcPr>
            <w:tcW w:w="612" w:type="dxa"/>
          </w:tcPr>
          <w:p w:rsidR="004C1D66" w:rsidRPr="00394984" w:rsidRDefault="004C1D66" w:rsidP="00166174">
            <w:pPr>
              <w:rPr>
                <w:sz w:val="16"/>
                <w:szCs w:val="16"/>
              </w:rPr>
            </w:pPr>
            <w:r>
              <w:rPr>
                <w:sz w:val="16"/>
                <w:szCs w:val="16"/>
              </w:rPr>
              <w:t>Yes</w:t>
            </w:r>
          </w:p>
        </w:tc>
        <w:tc>
          <w:tcPr>
            <w:tcW w:w="2304" w:type="dxa"/>
          </w:tcPr>
          <w:p w:rsidR="004C1D66" w:rsidRPr="00394984" w:rsidRDefault="004C1D66" w:rsidP="00166174">
            <w:pPr>
              <w:rPr>
                <w:sz w:val="16"/>
                <w:szCs w:val="16"/>
              </w:rPr>
            </w:pPr>
            <w:r>
              <w:rPr>
                <w:sz w:val="16"/>
                <w:szCs w:val="16"/>
              </w:rPr>
              <w:t>$40</w:t>
            </w:r>
          </w:p>
        </w:tc>
      </w:tr>
      <w:tr w:rsidR="004C1D66" w:rsidRPr="00394984" w:rsidTr="00166174">
        <w:tc>
          <w:tcPr>
            <w:tcW w:w="2988" w:type="dxa"/>
          </w:tcPr>
          <w:p w:rsidR="004C1D66" w:rsidRPr="00394984" w:rsidRDefault="004C1D66" w:rsidP="00166174">
            <w:pPr>
              <w:rPr>
                <w:sz w:val="16"/>
                <w:szCs w:val="16"/>
              </w:rPr>
            </w:pPr>
            <w:r>
              <w:rPr>
                <w:sz w:val="16"/>
                <w:szCs w:val="16"/>
              </w:rPr>
              <w:t>National Children’s Study</w:t>
            </w:r>
          </w:p>
        </w:tc>
        <w:tc>
          <w:tcPr>
            <w:tcW w:w="2790" w:type="dxa"/>
          </w:tcPr>
          <w:p w:rsidR="004C1D66" w:rsidRPr="00394984" w:rsidRDefault="004C1D66" w:rsidP="00166174">
            <w:pPr>
              <w:rPr>
                <w:sz w:val="16"/>
                <w:szCs w:val="16"/>
              </w:rPr>
            </w:pPr>
            <w:r>
              <w:rPr>
                <w:sz w:val="16"/>
                <w:szCs w:val="16"/>
              </w:rPr>
              <w:t>Autobiographical questions on child development</w:t>
            </w:r>
          </w:p>
        </w:tc>
        <w:tc>
          <w:tcPr>
            <w:tcW w:w="1800" w:type="dxa"/>
          </w:tcPr>
          <w:p w:rsidR="004C1D66" w:rsidRPr="00394984" w:rsidRDefault="004C1D66" w:rsidP="00166174">
            <w:pPr>
              <w:rPr>
                <w:sz w:val="16"/>
                <w:szCs w:val="16"/>
              </w:rPr>
            </w:pPr>
            <w:r>
              <w:rPr>
                <w:sz w:val="16"/>
                <w:szCs w:val="16"/>
              </w:rPr>
              <w:t>45 minutes</w:t>
            </w:r>
          </w:p>
        </w:tc>
        <w:tc>
          <w:tcPr>
            <w:tcW w:w="1062" w:type="dxa"/>
          </w:tcPr>
          <w:p w:rsidR="004C1D66" w:rsidRPr="00394984" w:rsidRDefault="004C1D66" w:rsidP="00166174">
            <w:pPr>
              <w:rPr>
                <w:sz w:val="16"/>
                <w:szCs w:val="16"/>
              </w:rPr>
            </w:pPr>
            <w:r>
              <w:rPr>
                <w:sz w:val="16"/>
                <w:szCs w:val="16"/>
              </w:rPr>
              <w:t>Average</w:t>
            </w:r>
          </w:p>
        </w:tc>
        <w:tc>
          <w:tcPr>
            <w:tcW w:w="1206" w:type="dxa"/>
          </w:tcPr>
          <w:p w:rsidR="004C1D66" w:rsidRDefault="004C1D66" w:rsidP="00166174">
            <w:pPr>
              <w:rPr>
                <w:sz w:val="16"/>
                <w:szCs w:val="16"/>
              </w:rPr>
            </w:pPr>
            <w:r>
              <w:rPr>
                <w:sz w:val="16"/>
                <w:szCs w:val="16"/>
              </w:rPr>
              <w:t>Above Average</w:t>
            </w:r>
          </w:p>
          <w:p w:rsidR="004C1D66" w:rsidRPr="00394984" w:rsidRDefault="004C1D66" w:rsidP="00166174">
            <w:pPr>
              <w:rPr>
                <w:sz w:val="16"/>
                <w:szCs w:val="16"/>
              </w:rPr>
            </w:pPr>
            <w:r>
              <w:rPr>
                <w:sz w:val="16"/>
                <w:szCs w:val="16"/>
              </w:rPr>
              <w:t>Personal questions</w:t>
            </w:r>
          </w:p>
        </w:tc>
        <w:tc>
          <w:tcPr>
            <w:tcW w:w="612" w:type="dxa"/>
          </w:tcPr>
          <w:p w:rsidR="004C1D66" w:rsidRPr="00394984" w:rsidRDefault="004C1D66" w:rsidP="00166174">
            <w:pPr>
              <w:rPr>
                <w:sz w:val="16"/>
                <w:szCs w:val="16"/>
              </w:rPr>
            </w:pPr>
            <w:r>
              <w:rPr>
                <w:sz w:val="16"/>
                <w:szCs w:val="16"/>
              </w:rPr>
              <w:t>Yes</w:t>
            </w:r>
          </w:p>
        </w:tc>
        <w:tc>
          <w:tcPr>
            <w:tcW w:w="2304" w:type="dxa"/>
          </w:tcPr>
          <w:p w:rsidR="004C1D66" w:rsidRPr="00394984" w:rsidRDefault="004C1D66" w:rsidP="00166174">
            <w:pPr>
              <w:rPr>
                <w:sz w:val="16"/>
                <w:szCs w:val="16"/>
              </w:rPr>
            </w:pPr>
            <w:r>
              <w:rPr>
                <w:sz w:val="16"/>
                <w:szCs w:val="16"/>
              </w:rPr>
              <w:t>$25</w:t>
            </w:r>
          </w:p>
        </w:tc>
      </w:tr>
      <w:tr w:rsidR="004C1D66" w:rsidRPr="00394984" w:rsidTr="00166174">
        <w:tc>
          <w:tcPr>
            <w:tcW w:w="2988" w:type="dxa"/>
          </w:tcPr>
          <w:p w:rsidR="004C1D66" w:rsidRPr="00394984" w:rsidRDefault="004C1D66" w:rsidP="00166174">
            <w:pPr>
              <w:rPr>
                <w:sz w:val="16"/>
                <w:szCs w:val="16"/>
              </w:rPr>
            </w:pPr>
            <w:r>
              <w:rPr>
                <w:sz w:val="16"/>
                <w:szCs w:val="16"/>
              </w:rPr>
              <w:t>National Health and Aging Trends Study</w:t>
            </w:r>
          </w:p>
        </w:tc>
        <w:tc>
          <w:tcPr>
            <w:tcW w:w="2790" w:type="dxa"/>
          </w:tcPr>
          <w:p w:rsidR="004C1D66" w:rsidRPr="00394984" w:rsidRDefault="004C1D66" w:rsidP="00166174">
            <w:pPr>
              <w:rPr>
                <w:sz w:val="16"/>
                <w:szCs w:val="16"/>
              </w:rPr>
            </w:pPr>
            <w:r>
              <w:rPr>
                <w:sz w:val="16"/>
                <w:szCs w:val="16"/>
              </w:rPr>
              <w:t>Autobiographical questions on health and aging</w:t>
            </w:r>
          </w:p>
        </w:tc>
        <w:tc>
          <w:tcPr>
            <w:tcW w:w="1800" w:type="dxa"/>
          </w:tcPr>
          <w:p w:rsidR="004C1D66" w:rsidRPr="00394984" w:rsidRDefault="004C1D66" w:rsidP="00166174">
            <w:pPr>
              <w:rPr>
                <w:sz w:val="16"/>
                <w:szCs w:val="16"/>
              </w:rPr>
            </w:pPr>
            <w:r>
              <w:rPr>
                <w:sz w:val="16"/>
                <w:szCs w:val="16"/>
              </w:rPr>
              <w:t>105 minutes</w:t>
            </w:r>
          </w:p>
        </w:tc>
        <w:tc>
          <w:tcPr>
            <w:tcW w:w="1062" w:type="dxa"/>
          </w:tcPr>
          <w:p w:rsidR="004C1D66" w:rsidRPr="00394984" w:rsidRDefault="004C1D66" w:rsidP="00166174">
            <w:pPr>
              <w:rPr>
                <w:sz w:val="16"/>
                <w:szCs w:val="16"/>
              </w:rPr>
            </w:pPr>
            <w:r>
              <w:rPr>
                <w:sz w:val="16"/>
                <w:szCs w:val="16"/>
              </w:rPr>
              <w:t>Average</w:t>
            </w:r>
          </w:p>
        </w:tc>
        <w:tc>
          <w:tcPr>
            <w:tcW w:w="1206" w:type="dxa"/>
          </w:tcPr>
          <w:p w:rsidR="004C1D66" w:rsidRPr="00394984" w:rsidRDefault="004C1D66" w:rsidP="00166174">
            <w:pPr>
              <w:rPr>
                <w:sz w:val="16"/>
                <w:szCs w:val="16"/>
              </w:rPr>
            </w:pPr>
            <w:r>
              <w:rPr>
                <w:sz w:val="16"/>
                <w:szCs w:val="16"/>
              </w:rPr>
              <w:t>Average</w:t>
            </w:r>
          </w:p>
        </w:tc>
        <w:tc>
          <w:tcPr>
            <w:tcW w:w="612" w:type="dxa"/>
          </w:tcPr>
          <w:p w:rsidR="004C1D66" w:rsidRPr="00394984" w:rsidRDefault="004C1D66" w:rsidP="00166174">
            <w:pPr>
              <w:rPr>
                <w:sz w:val="16"/>
                <w:szCs w:val="16"/>
              </w:rPr>
            </w:pPr>
            <w:r>
              <w:rPr>
                <w:sz w:val="16"/>
                <w:szCs w:val="16"/>
              </w:rPr>
              <w:t>Yes</w:t>
            </w:r>
          </w:p>
        </w:tc>
        <w:tc>
          <w:tcPr>
            <w:tcW w:w="2304" w:type="dxa"/>
          </w:tcPr>
          <w:p w:rsidR="004C1D66" w:rsidRPr="00394984" w:rsidRDefault="004C1D66" w:rsidP="00166174">
            <w:pPr>
              <w:rPr>
                <w:sz w:val="16"/>
                <w:szCs w:val="16"/>
              </w:rPr>
            </w:pPr>
            <w:r>
              <w:rPr>
                <w:sz w:val="16"/>
                <w:szCs w:val="16"/>
              </w:rPr>
              <w:t>$40</w:t>
            </w:r>
          </w:p>
        </w:tc>
      </w:tr>
      <w:tr w:rsidR="004C1D66" w:rsidRPr="00394984" w:rsidTr="00166174">
        <w:tc>
          <w:tcPr>
            <w:tcW w:w="2988" w:type="dxa"/>
          </w:tcPr>
          <w:p w:rsidR="004C1D66" w:rsidRPr="00394984" w:rsidRDefault="004C1D66" w:rsidP="00166174">
            <w:pPr>
              <w:rPr>
                <w:sz w:val="16"/>
                <w:szCs w:val="16"/>
              </w:rPr>
            </w:pPr>
            <w:r>
              <w:rPr>
                <w:sz w:val="16"/>
                <w:szCs w:val="16"/>
              </w:rPr>
              <w:t>Population Assessment of Tobacco and Health Study</w:t>
            </w:r>
          </w:p>
        </w:tc>
        <w:tc>
          <w:tcPr>
            <w:tcW w:w="2790" w:type="dxa"/>
          </w:tcPr>
          <w:p w:rsidR="004C1D66" w:rsidRPr="00394984" w:rsidRDefault="004C1D66" w:rsidP="00166174">
            <w:pPr>
              <w:rPr>
                <w:sz w:val="16"/>
                <w:szCs w:val="16"/>
              </w:rPr>
            </w:pPr>
            <w:r>
              <w:rPr>
                <w:sz w:val="16"/>
                <w:szCs w:val="16"/>
              </w:rPr>
              <w:t>Autobiographical questions on tobacco use and health; provide saliva sample</w:t>
            </w:r>
          </w:p>
        </w:tc>
        <w:tc>
          <w:tcPr>
            <w:tcW w:w="1800" w:type="dxa"/>
          </w:tcPr>
          <w:p w:rsidR="004C1D66" w:rsidRPr="00394984" w:rsidRDefault="004C1D66" w:rsidP="00166174">
            <w:pPr>
              <w:rPr>
                <w:sz w:val="16"/>
                <w:szCs w:val="16"/>
              </w:rPr>
            </w:pPr>
            <w:r>
              <w:rPr>
                <w:sz w:val="16"/>
                <w:szCs w:val="16"/>
              </w:rPr>
              <w:t>45 minutes</w:t>
            </w:r>
          </w:p>
        </w:tc>
        <w:tc>
          <w:tcPr>
            <w:tcW w:w="1062" w:type="dxa"/>
          </w:tcPr>
          <w:p w:rsidR="004C1D66" w:rsidRPr="00394984" w:rsidRDefault="004C1D66" w:rsidP="00166174">
            <w:pPr>
              <w:rPr>
                <w:sz w:val="16"/>
                <w:szCs w:val="16"/>
              </w:rPr>
            </w:pPr>
            <w:r>
              <w:rPr>
                <w:sz w:val="16"/>
                <w:szCs w:val="16"/>
              </w:rPr>
              <w:t>Average</w:t>
            </w:r>
          </w:p>
        </w:tc>
        <w:tc>
          <w:tcPr>
            <w:tcW w:w="1206" w:type="dxa"/>
          </w:tcPr>
          <w:p w:rsidR="004C1D66" w:rsidRDefault="004C1D66" w:rsidP="00166174">
            <w:pPr>
              <w:rPr>
                <w:sz w:val="16"/>
                <w:szCs w:val="16"/>
              </w:rPr>
            </w:pPr>
            <w:r>
              <w:rPr>
                <w:sz w:val="16"/>
                <w:szCs w:val="16"/>
              </w:rPr>
              <w:t>Above Average</w:t>
            </w:r>
          </w:p>
          <w:p w:rsidR="004C1D66" w:rsidRPr="00394984" w:rsidRDefault="004C1D66" w:rsidP="00166174">
            <w:pPr>
              <w:rPr>
                <w:sz w:val="16"/>
                <w:szCs w:val="16"/>
              </w:rPr>
            </w:pPr>
            <w:r>
              <w:rPr>
                <w:sz w:val="16"/>
                <w:szCs w:val="16"/>
              </w:rPr>
              <w:t>Risk behaviors</w:t>
            </w:r>
          </w:p>
        </w:tc>
        <w:tc>
          <w:tcPr>
            <w:tcW w:w="612" w:type="dxa"/>
          </w:tcPr>
          <w:p w:rsidR="004C1D66" w:rsidRPr="00394984" w:rsidRDefault="004C1D66" w:rsidP="00166174">
            <w:pPr>
              <w:rPr>
                <w:sz w:val="16"/>
                <w:szCs w:val="16"/>
              </w:rPr>
            </w:pPr>
            <w:r>
              <w:rPr>
                <w:sz w:val="16"/>
                <w:szCs w:val="16"/>
              </w:rPr>
              <w:t>Yes</w:t>
            </w:r>
          </w:p>
        </w:tc>
        <w:tc>
          <w:tcPr>
            <w:tcW w:w="2304" w:type="dxa"/>
          </w:tcPr>
          <w:p w:rsidR="004C1D66" w:rsidRDefault="004C1D66" w:rsidP="00166174">
            <w:pPr>
              <w:rPr>
                <w:sz w:val="16"/>
                <w:szCs w:val="16"/>
              </w:rPr>
            </w:pPr>
            <w:r>
              <w:rPr>
                <w:sz w:val="16"/>
                <w:szCs w:val="16"/>
              </w:rPr>
              <w:t>$35 for interview</w:t>
            </w:r>
          </w:p>
          <w:p w:rsidR="004C1D66" w:rsidRPr="00394984" w:rsidRDefault="004C1D66" w:rsidP="00166174">
            <w:pPr>
              <w:rPr>
                <w:sz w:val="16"/>
                <w:szCs w:val="16"/>
              </w:rPr>
            </w:pPr>
            <w:r>
              <w:rPr>
                <w:sz w:val="16"/>
                <w:szCs w:val="16"/>
              </w:rPr>
              <w:t>$10 - $25 per parent interview, bio collection</w:t>
            </w:r>
          </w:p>
        </w:tc>
      </w:tr>
      <w:tr w:rsidR="004C1D66" w:rsidRPr="00394984" w:rsidTr="00166174">
        <w:tc>
          <w:tcPr>
            <w:tcW w:w="2988" w:type="dxa"/>
          </w:tcPr>
          <w:p w:rsidR="004C1D66" w:rsidRPr="00394984" w:rsidRDefault="004C1D66" w:rsidP="00166174">
            <w:pPr>
              <w:rPr>
                <w:sz w:val="16"/>
                <w:szCs w:val="16"/>
              </w:rPr>
            </w:pPr>
            <w:r>
              <w:rPr>
                <w:sz w:val="16"/>
                <w:szCs w:val="16"/>
              </w:rPr>
              <w:t>Medical Expenditure Survey (MEPS)</w:t>
            </w:r>
          </w:p>
        </w:tc>
        <w:tc>
          <w:tcPr>
            <w:tcW w:w="2790" w:type="dxa"/>
          </w:tcPr>
          <w:p w:rsidR="004C1D66" w:rsidRPr="00394984" w:rsidRDefault="004C1D66" w:rsidP="00166174">
            <w:pPr>
              <w:rPr>
                <w:sz w:val="16"/>
                <w:szCs w:val="16"/>
              </w:rPr>
            </w:pPr>
            <w:r>
              <w:rPr>
                <w:sz w:val="16"/>
                <w:szCs w:val="16"/>
              </w:rPr>
              <w:t>Autobiographical questions on health expenditures</w:t>
            </w:r>
          </w:p>
        </w:tc>
        <w:tc>
          <w:tcPr>
            <w:tcW w:w="1800" w:type="dxa"/>
          </w:tcPr>
          <w:p w:rsidR="004C1D66" w:rsidRPr="00394984" w:rsidRDefault="004C1D66" w:rsidP="00166174">
            <w:pPr>
              <w:rPr>
                <w:sz w:val="16"/>
                <w:szCs w:val="16"/>
              </w:rPr>
            </w:pPr>
            <w:r>
              <w:rPr>
                <w:sz w:val="16"/>
                <w:szCs w:val="16"/>
              </w:rPr>
              <w:t>60 minutes</w:t>
            </w:r>
          </w:p>
        </w:tc>
        <w:tc>
          <w:tcPr>
            <w:tcW w:w="1062" w:type="dxa"/>
          </w:tcPr>
          <w:p w:rsidR="004C1D66" w:rsidRPr="00394984" w:rsidRDefault="004C1D66" w:rsidP="00166174">
            <w:pPr>
              <w:rPr>
                <w:sz w:val="16"/>
                <w:szCs w:val="16"/>
              </w:rPr>
            </w:pPr>
            <w:r>
              <w:rPr>
                <w:sz w:val="16"/>
                <w:szCs w:val="16"/>
              </w:rPr>
              <w:t>Above Average;  records</w:t>
            </w:r>
          </w:p>
        </w:tc>
        <w:tc>
          <w:tcPr>
            <w:tcW w:w="1206" w:type="dxa"/>
          </w:tcPr>
          <w:p w:rsidR="004C1D66" w:rsidRDefault="004C1D66" w:rsidP="00166174">
            <w:pPr>
              <w:rPr>
                <w:sz w:val="16"/>
                <w:szCs w:val="16"/>
              </w:rPr>
            </w:pPr>
            <w:r>
              <w:rPr>
                <w:sz w:val="16"/>
                <w:szCs w:val="16"/>
              </w:rPr>
              <w:t>Above Average</w:t>
            </w:r>
          </w:p>
          <w:p w:rsidR="004C1D66" w:rsidRPr="00394984" w:rsidRDefault="004C1D66" w:rsidP="00166174">
            <w:pPr>
              <w:rPr>
                <w:sz w:val="16"/>
                <w:szCs w:val="16"/>
              </w:rPr>
            </w:pPr>
            <w:r>
              <w:rPr>
                <w:sz w:val="16"/>
                <w:szCs w:val="16"/>
              </w:rPr>
              <w:t>Expenditures and income</w:t>
            </w:r>
          </w:p>
        </w:tc>
        <w:tc>
          <w:tcPr>
            <w:tcW w:w="612" w:type="dxa"/>
          </w:tcPr>
          <w:p w:rsidR="004C1D66" w:rsidRPr="00394984" w:rsidRDefault="004C1D66" w:rsidP="00166174">
            <w:pPr>
              <w:rPr>
                <w:sz w:val="16"/>
                <w:szCs w:val="16"/>
              </w:rPr>
            </w:pPr>
            <w:r>
              <w:rPr>
                <w:sz w:val="16"/>
                <w:szCs w:val="16"/>
              </w:rPr>
              <w:t>Yes</w:t>
            </w:r>
          </w:p>
        </w:tc>
        <w:tc>
          <w:tcPr>
            <w:tcW w:w="2304" w:type="dxa"/>
          </w:tcPr>
          <w:p w:rsidR="004C1D66" w:rsidRPr="00394984" w:rsidRDefault="004C1D66" w:rsidP="00166174">
            <w:pPr>
              <w:rPr>
                <w:sz w:val="16"/>
                <w:szCs w:val="16"/>
              </w:rPr>
            </w:pPr>
            <w:r>
              <w:rPr>
                <w:sz w:val="16"/>
                <w:szCs w:val="16"/>
              </w:rPr>
              <w:t>$50</w:t>
            </w:r>
          </w:p>
        </w:tc>
      </w:tr>
      <w:tr w:rsidR="004C1D66" w:rsidRPr="00394984" w:rsidTr="00166174">
        <w:tc>
          <w:tcPr>
            <w:tcW w:w="2988" w:type="dxa"/>
          </w:tcPr>
          <w:p w:rsidR="004C1D66" w:rsidRPr="00394984" w:rsidRDefault="004C1D66" w:rsidP="00166174">
            <w:pPr>
              <w:rPr>
                <w:sz w:val="16"/>
                <w:szCs w:val="16"/>
              </w:rPr>
            </w:pPr>
            <w:r>
              <w:rPr>
                <w:sz w:val="16"/>
                <w:szCs w:val="16"/>
              </w:rPr>
              <w:t>National Survey on Drug Use and Health</w:t>
            </w:r>
          </w:p>
        </w:tc>
        <w:tc>
          <w:tcPr>
            <w:tcW w:w="2790" w:type="dxa"/>
          </w:tcPr>
          <w:p w:rsidR="004C1D66" w:rsidRPr="00394984" w:rsidRDefault="004C1D66" w:rsidP="00166174">
            <w:pPr>
              <w:rPr>
                <w:sz w:val="16"/>
                <w:szCs w:val="16"/>
              </w:rPr>
            </w:pPr>
            <w:r>
              <w:rPr>
                <w:sz w:val="16"/>
                <w:szCs w:val="16"/>
              </w:rPr>
              <w:t>Autobiographical questions on drug use</w:t>
            </w:r>
          </w:p>
        </w:tc>
        <w:tc>
          <w:tcPr>
            <w:tcW w:w="1800" w:type="dxa"/>
          </w:tcPr>
          <w:p w:rsidR="004C1D66" w:rsidRPr="00394984" w:rsidRDefault="004C1D66" w:rsidP="00166174">
            <w:pPr>
              <w:rPr>
                <w:sz w:val="16"/>
                <w:szCs w:val="16"/>
              </w:rPr>
            </w:pPr>
            <w:r>
              <w:rPr>
                <w:sz w:val="16"/>
                <w:szCs w:val="16"/>
              </w:rPr>
              <w:t>60 minutes</w:t>
            </w:r>
          </w:p>
        </w:tc>
        <w:tc>
          <w:tcPr>
            <w:tcW w:w="1062" w:type="dxa"/>
          </w:tcPr>
          <w:p w:rsidR="004C1D66" w:rsidRPr="00394984" w:rsidRDefault="004C1D66" w:rsidP="00166174">
            <w:pPr>
              <w:rPr>
                <w:sz w:val="16"/>
                <w:szCs w:val="16"/>
              </w:rPr>
            </w:pPr>
            <w:r>
              <w:rPr>
                <w:sz w:val="16"/>
                <w:szCs w:val="16"/>
              </w:rPr>
              <w:t>Average</w:t>
            </w:r>
          </w:p>
        </w:tc>
        <w:tc>
          <w:tcPr>
            <w:tcW w:w="1206" w:type="dxa"/>
          </w:tcPr>
          <w:p w:rsidR="004C1D66" w:rsidRDefault="004C1D66" w:rsidP="00166174">
            <w:pPr>
              <w:rPr>
                <w:sz w:val="16"/>
                <w:szCs w:val="16"/>
              </w:rPr>
            </w:pPr>
            <w:r>
              <w:rPr>
                <w:sz w:val="16"/>
                <w:szCs w:val="16"/>
              </w:rPr>
              <w:t>Above Average</w:t>
            </w:r>
          </w:p>
          <w:p w:rsidR="004C1D66" w:rsidRPr="00394984" w:rsidRDefault="004C1D66" w:rsidP="00166174">
            <w:pPr>
              <w:rPr>
                <w:sz w:val="16"/>
                <w:szCs w:val="16"/>
              </w:rPr>
            </w:pPr>
            <w:r>
              <w:rPr>
                <w:sz w:val="16"/>
                <w:szCs w:val="16"/>
              </w:rPr>
              <w:t>Illegal behavior</w:t>
            </w:r>
          </w:p>
        </w:tc>
        <w:tc>
          <w:tcPr>
            <w:tcW w:w="612" w:type="dxa"/>
          </w:tcPr>
          <w:p w:rsidR="004C1D66" w:rsidRPr="00394984" w:rsidRDefault="004C1D66" w:rsidP="00166174">
            <w:pPr>
              <w:rPr>
                <w:sz w:val="16"/>
                <w:szCs w:val="16"/>
              </w:rPr>
            </w:pPr>
            <w:r>
              <w:rPr>
                <w:sz w:val="16"/>
                <w:szCs w:val="16"/>
              </w:rPr>
              <w:t>No</w:t>
            </w:r>
          </w:p>
        </w:tc>
        <w:tc>
          <w:tcPr>
            <w:tcW w:w="2304" w:type="dxa"/>
          </w:tcPr>
          <w:p w:rsidR="004C1D66" w:rsidRPr="00394984" w:rsidRDefault="004C1D66" w:rsidP="00166174">
            <w:pPr>
              <w:rPr>
                <w:sz w:val="16"/>
                <w:szCs w:val="16"/>
              </w:rPr>
            </w:pPr>
            <w:r>
              <w:rPr>
                <w:sz w:val="16"/>
                <w:szCs w:val="16"/>
              </w:rPr>
              <w:t>$30</w:t>
            </w:r>
          </w:p>
        </w:tc>
      </w:tr>
      <w:tr w:rsidR="004C1D66" w:rsidRPr="00394984" w:rsidTr="00166174">
        <w:tc>
          <w:tcPr>
            <w:tcW w:w="2988" w:type="dxa"/>
          </w:tcPr>
          <w:p w:rsidR="004C1D66" w:rsidRDefault="004C1D66" w:rsidP="00166174">
            <w:pPr>
              <w:rPr>
                <w:sz w:val="16"/>
                <w:szCs w:val="16"/>
              </w:rPr>
            </w:pPr>
            <w:r>
              <w:rPr>
                <w:sz w:val="16"/>
                <w:szCs w:val="16"/>
              </w:rPr>
              <w:t>ADD Health</w:t>
            </w:r>
          </w:p>
        </w:tc>
        <w:tc>
          <w:tcPr>
            <w:tcW w:w="2790" w:type="dxa"/>
          </w:tcPr>
          <w:p w:rsidR="004C1D66" w:rsidRDefault="004C1D66" w:rsidP="00166174">
            <w:pPr>
              <w:rPr>
                <w:sz w:val="16"/>
                <w:szCs w:val="16"/>
              </w:rPr>
            </w:pPr>
            <w:r>
              <w:rPr>
                <w:sz w:val="16"/>
                <w:szCs w:val="16"/>
              </w:rPr>
              <w:t>Autobiographical questions on health and health related behaviors</w:t>
            </w:r>
          </w:p>
        </w:tc>
        <w:tc>
          <w:tcPr>
            <w:tcW w:w="1800" w:type="dxa"/>
          </w:tcPr>
          <w:p w:rsidR="004C1D66" w:rsidRDefault="004C1D66" w:rsidP="00166174">
            <w:pPr>
              <w:rPr>
                <w:sz w:val="16"/>
                <w:szCs w:val="16"/>
              </w:rPr>
            </w:pPr>
            <w:r>
              <w:rPr>
                <w:sz w:val="16"/>
                <w:szCs w:val="16"/>
              </w:rPr>
              <w:t>90 minutes</w:t>
            </w:r>
          </w:p>
        </w:tc>
        <w:tc>
          <w:tcPr>
            <w:tcW w:w="1062" w:type="dxa"/>
          </w:tcPr>
          <w:p w:rsidR="004C1D66" w:rsidRPr="00394984" w:rsidRDefault="004C1D66" w:rsidP="00166174">
            <w:pPr>
              <w:rPr>
                <w:sz w:val="16"/>
                <w:szCs w:val="16"/>
              </w:rPr>
            </w:pPr>
            <w:r>
              <w:rPr>
                <w:sz w:val="16"/>
                <w:szCs w:val="16"/>
              </w:rPr>
              <w:t>Average</w:t>
            </w:r>
          </w:p>
        </w:tc>
        <w:tc>
          <w:tcPr>
            <w:tcW w:w="1206" w:type="dxa"/>
          </w:tcPr>
          <w:p w:rsidR="004C1D66" w:rsidRDefault="004C1D66" w:rsidP="00166174">
            <w:pPr>
              <w:rPr>
                <w:sz w:val="16"/>
                <w:szCs w:val="16"/>
              </w:rPr>
            </w:pPr>
            <w:r>
              <w:rPr>
                <w:sz w:val="16"/>
                <w:szCs w:val="16"/>
              </w:rPr>
              <w:t>Above Average</w:t>
            </w:r>
          </w:p>
          <w:p w:rsidR="004C1D66" w:rsidRPr="00394984" w:rsidRDefault="004C1D66" w:rsidP="00166174">
            <w:pPr>
              <w:rPr>
                <w:sz w:val="16"/>
                <w:szCs w:val="16"/>
              </w:rPr>
            </w:pPr>
            <w:r>
              <w:rPr>
                <w:sz w:val="16"/>
                <w:szCs w:val="16"/>
              </w:rPr>
              <w:t>Illegal behavior</w:t>
            </w:r>
          </w:p>
        </w:tc>
        <w:tc>
          <w:tcPr>
            <w:tcW w:w="612" w:type="dxa"/>
          </w:tcPr>
          <w:p w:rsidR="004C1D66" w:rsidRPr="00394984" w:rsidRDefault="004C1D66" w:rsidP="00166174">
            <w:pPr>
              <w:rPr>
                <w:sz w:val="16"/>
                <w:szCs w:val="16"/>
              </w:rPr>
            </w:pPr>
            <w:r>
              <w:rPr>
                <w:sz w:val="16"/>
                <w:szCs w:val="16"/>
              </w:rPr>
              <w:t>Yes</w:t>
            </w:r>
          </w:p>
        </w:tc>
        <w:tc>
          <w:tcPr>
            <w:tcW w:w="2304" w:type="dxa"/>
          </w:tcPr>
          <w:p w:rsidR="004C1D66" w:rsidRDefault="004C1D66" w:rsidP="00166174">
            <w:pPr>
              <w:rPr>
                <w:sz w:val="16"/>
                <w:szCs w:val="16"/>
              </w:rPr>
            </w:pPr>
            <w:r>
              <w:rPr>
                <w:sz w:val="16"/>
                <w:szCs w:val="16"/>
              </w:rPr>
              <w:t>$40 for latest wave</w:t>
            </w:r>
          </w:p>
        </w:tc>
      </w:tr>
    </w:tbl>
    <w:p w:rsidR="004C1D66" w:rsidRPr="0016573E" w:rsidRDefault="004C1D66" w:rsidP="004C1D66">
      <w:pPr>
        <w:rPr>
          <w:sz w:val="16"/>
          <w:szCs w:val="16"/>
        </w:rPr>
        <w:sectPr w:rsidR="004C1D66" w:rsidRPr="0016573E" w:rsidSect="00166174">
          <w:pgSz w:w="15840" w:h="12240" w:orient="landscape"/>
          <w:pgMar w:top="1440" w:right="1440" w:bottom="1440" w:left="1440" w:header="720" w:footer="720" w:gutter="0"/>
          <w:cols w:space="720"/>
          <w:docGrid w:linePitch="360"/>
        </w:sectPr>
      </w:pPr>
      <w:r w:rsidRPr="00E309C4">
        <w:rPr>
          <w:sz w:val="16"/>
          <w:szCs w:val="16"/>
          <w:u w:val="single"/>
        </w:rPr>
        <w:t>Effort</w:t>
      </w:r>
      <w:r>
        <w:rPr>
          <w:sz w:val="16"/>
          <w:szCs w:val="16"/>
        </w:rPr>
        <w:t xml:space="preserve"> = Rated as average unless it requires travel, physical procedures or keeping records</w:t>
      </w:r>
      <w:proofErr w:type="gramStart"/>
      <w:r>
        <w:rPr>
          <w:sz w:val="16"/>
          <w:szCs w:val="16"/>
        </w:rPr>
        <w:t xml:space="preserve">;  </w:t>
      </w:r>
      <w:r w:rsidR="008A312E" w:rsidRPr="00E309C4">
        <w:rPr>
          <w:sz w:val="16"/>
          <w:szCs w:val="16"/>
          <w:u w:val="single"/>
        </w:rPr>
        <w:t>Sensitiv</w:t>
      </w:r>
      <w:r w:rsidR="008A312E">
        <w:rPr>
          <w:sz w:val="16"/>
          <w:szCs w:val="16"/>
          <w:u w:val="single"/>
        </w:rPr>
        <w:t>ity</w:t>
      </w:r>
      <w:proofErr w:type="gramEnd"/>
      <w:r w:rsidR="008A312E">
        <w:rPr>
          <w:sz w:val="16"/>
          <w:szCs w:val="16"/>
        </w:rPr>
        <w:t xml:space="preserve"> </w:t>
      </w:r>
      <w:r>
        <w:rPr>
          <w:sz w:val="16"/>
          <w:szCs w:val="16"/>
        </w:rPr>
        <w:t>– Average unless involves asking about sensitive behaviors (e.g. illegal or high risk) and/or topics that are potentially traumatic experiences; use of explicit language</w:t>
      </w:r>
    </w:p>
    <w:p w:rsidR="00C41898" w:rsidRDefault="00C41898" w:rsidP="00C41898">
      <w:pPr>
        <w:pStyle w:val="L1-FlLSp12"/>
      </w:pPr>
      <w:r w:rsidRPr="00C41898">
        <w:lastRenderedPageBreak/>
        <w:t xml:space="preserve">The second reason to propose an incentive is related to the sensitive nature of the survey.  To provide a more explicit comparison </w:t>
      </w:r>
      <w:r w:rsidR="004C1D66">
        <w:t>to other in-person surveys</w:t>
      </w:r>
      <w:r w:rsidR="00576326">
        <w:t>, Table 2</w:t>
      </w:r>
      <w:r w:rsidRPr="00C41898">
        <w:t xml:space="preserve"> provides information for several federally sponsored in-person surveys along dimensions that define survey burden (Bradburn, 1978; Singer, et al, 1999).  In the table, burden is defined by the average time to complete the interview, the effort needed to complete the required tasks, the sensitivity of the questions and whether the survey is longitudinal.  The footnote in the table provides a key on how the surveys were rated for the ‘effort’ and ‘sensitiv</w:t>
      </w:r>
      <w:r w:rsidR="008A312E">
        <w:t>ity</w:t>
      </w:r>
      <w:r w:rsidRPr="00C41898">
        <w:t>’ dimensions.</w:t>
      </w:r>
      <w:r>
        <w:t xml:space="preserve">  </w:t>
      </w:r>
      <w:r w:rsidRPr="00C41898">
        <w:t xml:space="preserve">We have rated the NSHS as being the most sensitive among these surveys for several reasons.  One is the extremely private nature of the topic.  This sensitivity leads to a design which does not reveal the specific topic of the survey until the respondent is selected and in a private setting.  This is unlike any of the other surveys on sensitive topics such as drug use, use of alcohol or asking about income.  Following the practice of other surveys on intimate partner violence, this procedure fosters confidentiality of the topic of the survey within the household.  This promotes candid reporting, as well as preventing possible retaliation from other household members.  However, revealing the specific topic at this point of the interview introduces additional burden related to the sensitivity of the survey. </w:t>
      </w:r>
    </w:p>
    <w:p w:rsidR="00C41898" w:rsidRPr="00C41898" w:rsidRDefault="00C41898" w:rsidP="00C41898">
      <w:pPr>
        <w:spacing w:line="240" w:lineRule="auto"/>
      </w:pPr>
    </w:p>
    <w:p w:rsidR="00C41898" w:rsidRDefault="00C41898" w:rsidP="00C41898">
      <w:pPr>
        <w:pStyle w:val="L1-FlLSp12"/>
      </w:pPr>
      <w:r w:rsidRPr="00C41898">
        <w:t xml:space="preserve">Second, the </w:t>
      </w:r>
      <w:r w:rsidR="004C1D66">
        <w:t>questions have the potential of</w:t>
      </w:r>
      <w:r w:rsidRPr="00C41898">
        <w:t xml:space="preserve"> bringing up negative emotions or feelings.  Research on interviews of this type has shown generally that victims of sexual violence find these interviews as a positive experience (Labott et al, 2013; Walker et al, 1997).  Nonetheless, they can bring up negative emotions.  This aspect of the survey is not unique to other surveys on intimate partner violence, but it is unique amo</w:t>
      </w:r>
      <w:r w:rsidR="00576326">
        <w:t>ng the surveys listed in Table 2</w:t>
      </w:r>
      <w:r w:rsidRPr="00C41898">
        <w:t xml:space="preserve">. </w:t>
      </w:r>
    </w:p>
    <w:p w:rsidR="00C41898" w:rsidRPr="00C41898" w:rsidRDefault="00C41898" w:rsidP="00C41898">
      <w:pPr>
        <w:spacing w:line="240" w:lineRule="auto"/>
      </w:pPr>
    </w:p>
    <w:p w:rsidR="00C41898" w:rsidRDefault="00C41898" w:rsidP="00C41898">
      <w:pPr>
        <w:pStyle w:val="L1-FlLSp12"/>
      </w:pPr>
      <w:r w:rsidRPr="00C41898">
        <w:t>A third reason the NSHS survey is rated highest on sensitivity is the use of a detailed incident form (DIF).  While a relatively small number of respondents will fill out a DIF, this portion of the survey adds burden beyond what similar surveys have done.  With one exception (Fisher, 2004), the surveys on intimate partner violence have avoided asking for details because it can be very sensitive.  An important goal of the NSHS is to assess the utility of the DIF for purposes of classifying and counting the number of incidents.  This is something other surveys have not been able to do cleanly (see response to analysis question).  The DIF includes questions on such topics as the type of force that might have been used, the extent alcohol/drugs w</w:t>
      </w:r>
      <w:r w:rsidR="009A234B">
        <w:t>ere</w:t>
      </w:r>
      <w:r w:rsidRPr="00C41898">
        <w:t xml:space="preserve"> involved and how the victim reacted to the situation.  This adds significant burden to the task. </w:t>
      </w:r>
    </w:p>
    <w:p w:rsidR="00C41898" w:rsidRPr="00C41898" w:rsidRDefault="00C41898" w:rsidP="00C41898">
      <w:pPr>
        <w:spacing w:line="240" w:lineRule="auto"/>
      </w:pPr>
    </w:p>
    <w:p w:rsidR="00C41898" w:rsidRDefault="00C41898" w:rsidP="00C41898">
      <w:pPr>
        <w:pStyle w:val="L1-FlLSp12"/>
      </w:pPr>
      <w:r w:rsidRPr="00C41898">
        <w:t xml:space="preserve">A promised incentive plays an important role in motivating respondents to complete the survey.  Recent research testing an Interactive Voice Response version of the NCVS found that promising $10 increased the number of respondents who filled out a victimization screener, as well as completing all of the expected DIFs.  In the case of filling out all DIFs, these results found that 30% </w:t>
      </w:r>
      <w:r w:rsidRPr="00C41898">
        <w:lastRenderedPageBreak/>
        <w:t xml:space="preserve">of respondents did not complete all DIFs without an incentive, while this dropped to 20% for those that received an incentive (Cantor and Williams, 2013).  This effect was directly related to the difficulty of the respondent’s task.  As noted above, we will not be conducting any refusal conversion once the respondent has been informed about the topic of the survey.  The </w:t>
      </w:r>
      <w:proofErr w:type="gramStart"/>
      <w:r w:rsidRPr="00C41898">
        <w:t>incentive</w:t>
      </w:r>
      <w:proofErr w:type="gramEnd"/>
      <w:r w:rsidRPr="00C41898">
        <w:t xml:space="preserve"> levels for both ABS and RDD seek to maximize the extent respondents consider participating and completing the survey. </w:t>
      </w:r>
    </w:p>
    <w:p w:rsidR="00C41898" w:rsidRPr="00C41898" w:rsidRDefault="00C41898" w:rsidP="00C41898">
      <w:pPr>
        <w:spacing w:line="240" w:lineRule="auto"/>
      </w:pPr>
    </w:p>
    <w:p w:rsidR="00C41898" w:rsidRPr="0080041F" w:rsidRDefault="004C1D66" w:rsidP="00154211">
      <w:pPr>
        <w:pStyle w:val="L1-FlLSp12"/>
      </w:pPr>
      <w:r>
        <w:t>Our proposal of $2</w:t>
      </w:r>
      <w:r w:rsidR="00C41898" w:rsidRPr="00C41898">
        <w:t xml:space="preserve">0 for the in-person survey assumes the overall burden for NSHS is </w:t>
      </w:r>
      <w:r>
        <w:t>comparable</w:t>
      </w:r>
      <w:r w:rsidR="00C41898" w:rsidRPr="00C41898">
        <w:t xml:space="preserve"> to longer surveys</w:t>
      </w:r>
      <w:r w:rsidR="00576326">
        <w:t xml:space="preserve"> such as those listed in Table 2</w:t>
      </w:r>
      <w:r w:rsidR="00C41898" w:rsidRPr="00C41898">
        <w:t>.  Nonetheless, the average length of the i</w:t>
      </w:r>
      <w:r>
        <w:t>nterview is</w:t>
      </w:r>
      <w:r w:rsidR="00C41898" w:rsidRPr="00C41898">
        <w:t xml:space="preserve"> shorter than the com</w:t>
      </w:r>
      <w:r w:rsidR="00576326">
        <w:t>parable surveys shown in Table 2</w:t>
      </w:r>
      <w:r w:rsidR="00C41898" w:rsidRPr="00C41898">
        <w:t xml:space="preserve">.  We believe an incentive of $20, equivalent to the proposed telephone version and to the NISVS (see rationale for telephone </w:t>
      </w:r>
      <w:r>
        <w:t>interview above) is warranted.</w:t>
      </w:r>
    </w:p>
    <w:p w:rsidR="009914AE" w:rsidRPr="00933923" w:rsidRDefault="009914AE" w:rsidP="00154211">
      <w:pPr>
        <w:pStyle w:val="L1-FlLSp12"/>
      </w:pPr>
    </w:p>
    <w:p w:rsidR="000A4A99" w:rsidRPr="000B4257" w:rsidRDefault="000A4A99" w:rsidP="000B4257">
      <w:pPr>
        <w:rPr>
          <w:rFonts w:eastAsia="Calibri"/>
          <w:u w:val="single"/>
        </w:rPr>
      </w:pPr>
      <w:bookmarkStart w:id="53" w:name="_Toc367706540"/>
      <w:bookmarkStart w:id="54" w:name="_Toc380930587"/>
      <w:r w:rsidRPr="000B4257">
        <w:rPr>
          <w:rFonts w:eastAsia="Calibri"/>
          <w:u w:val="single"/>
        </w:rPr>
        <w:t>$</w:t>
      </w:r>
      <w:r w:rsidR="0080041F" w:rsidRPr="000B4257">
        <w:rPr>
          <w:rFonts w:eastAsia="Calibri"/>
          <w:u w:val="single"/>
        </w:rPr>
        <w:t>3</w:t>
      </w:r>
      <w:r w:rsidRPr="000B4257">
        <w:rPr>
          <w:rFonts w:eastAsia="Calibri"/>
          <w:u w:val="single"/>
        </w:rPr>
        <w:t>0 Promised Incentive for High Risk</w:t>
      </w:r>
      <w:bookmarkEnd w:id="53"/>
      <w:bookmarkEnd w:id="54"/>
    </w:p>
    <w:p w:rsidR="000A4A99" w:rsidRPr="00933923" w:rsidRDefault="000A4A99" w:rsidP="00154211">
      <w:pPr>
        <w:pStyle w:val="L1-FlLSp12"/>
      </w:pPr>
      <w:r w:rsidRPr="00933923">
        <w:t xml:space="preserve">The high-risk sample is composed of women aged 18 to 39 who will be asked to volunteer to take part in the study. Women between </w:t>
      </w:r>
      <w:r w:rsidR="00923EC3">
        <w:t xml:space="preserve">ages </w:t>
      </w:r>
      <w:r w:rsidRPr="00933923">
        <w:t>18</w:t>
      </w:r>
      <w:r w:rsidR="00923EC3">
        <w:t xml:space="preserve"> and </w:t>
      </w:r>
      <w:r w:rsidRPr="00933923">
        <w:t>29 will be oversampled.</w:t>
      </w:r>
      <w:r w:rsidR="00C41D62">
        <w:t xml:space="preserve">  The purpose of this </w:t>
      </w:r>
      <w:r w:rsidR="0046073F">
        <w:t xml:space="preserve">sample </w:t>
      </w:r>
      <w:r w:rsidR="00C41D62">
        <w:t xml:space="preserve">is to supplement the general population sample by interviewing respondents who are at elevated risks of rape and sexual assault (see </w:t>
      </w:r>
      <w:r w:rsidR="00576326">
        <w:t>Table 4</w:t>
      </w:r>
      <w:r w:rsidR="00C41D62">
        <w:t xml:space="preserve"> in part B).</w:t>
      </w:r>
      <w:r w:rsidR="0008441A" w:rsidRPr="00933923">
        <w:t xml:space="preserve"> </w:t>
      </w:r>
      <w:r w:rsidRPr="00933923">
        <w:t>Once recruited, the individual will be randomly assigned to either the ACASI or telephone mode of administration. The methods used to recruit these individuals will be similar to those used for cognitive interviews and focus groups. We will recruit by asking for volunteers by distributing flyers through colleges and universities as well as through online sources such as Craigslist.</w:t>
      </w:r>
      <w:r w:rsidR="0008441A" w:rsidRPr="00933923">
        <w:t xml:space="preserve"> </w:t>
      </w:r>
      <w:r w:rsidRPr="00933923">
        <w:t>We will be trying to recruit enough to yield approximately 2,000 interviews.</w:t>
      </w:r>
    </w:p>
    <w:p w:rsidR="000A4A99" w:rsidRPr="00933923" w:rsidRDefault="000A4A99" w:rsidP="00154211">
      <w:pPr>
        <w:pStyle w:val="L1-FlLSp12"/>
      </w:pPr>
    </w:p>
    <w:p w:rsidR="000A4A99" w:rsidRPr="00933923" w:rsidRDefault="000A4A99" w:rsidP="00154211">
      <w:pPr>
        <w:pStyle w:val="L1-FlLSp12"/>
      </w:pPr>
      <w:r w:rsidRPr="00933923">
        <w:t>When asking for volunteers of hard-to-reach groups, it is particularly important to offer enough money to attract a wide array of potential respondents.</w:t>
      </w:r>
      <w:r w:rsidR="00D739C2">
        <w:t xml:space="preserve"> </w:t>
      </w:r>
      <w:r w:rsidRPr="00933923">
        <w:t xml:space="preserve"> Proposing an incentive of $</w:t>
      </w:r>
      <w:r w:rsidR="0080041F">
        <w:t>3</w:t>
      </w:r>
      <w:r w:rsidRPr="00933923">
        <w:t>0 is based on our experience with recruiting participants for cognitive interviews and focus groups, which rely on similar recruitment methods. For example, the RSA project received OMB approval to offer $40 for the cognitive interviews. These individuals were recruited in identical ways as being proposed for the RSA Pilot and Feasibility Surveys.</w:t>
      </w:r>
      <w:r w:rsidR="00D739C2">
        <w:t xml:space="preserve">  It is important to set the level of the incentive high enough to get the respondent’s attention and to consider volunteering.  Setting the incentive lower than $30 will make it more difficult to reach the ambitious goal of completing 2000 interviews with this group.</w:t>
      </w:r>
    </w:p>
    <w:p w:rsidR="000A4A99" w:rsidRPr="00933923" w:rsidRDefault="000A4A99" w:rsidP="00154211">
      <w:pPr>
        <w:pStyle w:val="L1-FlLSp12"/>
      </w:pPr>
    </w:p>
    <w:p w:rsidR="000A4A99" w:rsidRPr="00933923" w:rsidRDefault="000A4A99" w:rsidP="00154211">
      <w:pPr>
        <w:pStyle w:val="L1-FlLSp12"/>
      </w:pPr>
      <w:r w:rsidRPr="00933923">
        <w:t xml:space="preserve">The purpose of including this sample group in the RSA study is to interview women who are at the highest risk of rape and sexual assault. This will significantly enhance the analysis that compares the instruments. To maximize the effectiveness of these interviews, we will be over-recruiting women </w:t>
      </w:r>
      <w:r w:rsidRPr="00933923">
        <w:lastRenderedPageBreak/>
        <w:t>age 18-29. This group is at the greatest risk of rape and sexual assault. However, women in these young age groups are also particularly difficult to recruit. Offering $40 during the RSA cognitive interviews proved to be very effective in recruiting women in this age range</w:t>
      </w:r>
      <w:r w:rsidR="00D739C2">
        <w:t>.  For this reason we are proposing $30 to catch the attention of potential volunteers, while at the same time recognizing that the NSHS interview is not as long as the cognitive interviews completed earlier</w:t>
      </w:r>
      <w:r w:rsidR="00F12DFF">
        <w:t xml:space="preserve"> and is conducted in the convenience of the home or by telephone, requiring no travel time or cost</w:t>
      </w:r>
      <w:r w:rsidR="00D739C2">
        <w:t>.</w:t>
      </w:r>
    </w:p>
    <w:p w:rsidR="000A4A99" w:rsidRPr="00933923" w:rsidRDefault="000A4A99" w:rsidP="00154211">
      <w:pPr>
        <w:pStyle w:val="L1-FlLSp12"/>
      </w:pPr>
    </w:p>
    <w:p w:rsidR="0008441A" w:rsidRDefault="000A4A99" w:rsidP="00154211">
      <w:pPr>
        <w:pStyle w:val="L1-FlLSp12"/>
      </w:pPr>
      <w:r w:rsidRPr="00933923">
        <w:t>We are proposing the same incentive for both those assigned to the ACASI and telephone conditions to maintain the integrity of the random assignment. If more money was offered to one of these groups, the equivalence of the groups would be co</w:t>
      </w:r>
      <w:r w:rsidR="00226AB7" w:rsidRPr="00933923">
        <w:t>mpromised</w:t>
      </w:r>
      <w:r w:rsidRPr="00933923">
        <w:t>.</w:t>
      </w:r>
    </w:p>
    <w:p w:rsidR="004C1D66" w:rsidRPr="00933923" w:rsidRDefault="004C1D66" w:rsidP="00154211">
      <w:pPr>
        <w:pStyle w:val="L1-FlLSp12"/>
      </w:pPr>
    </w:p>
    <w:p w:rsidR="000A4A99" w:rsidRPr="000B4257" w:rsidRDefault="000A4A99" w:rsidP="000B4257">
      <w:pPr>
        <w:rPr>
          <w:u w:val="single"/>
        </w:rPr>
      </w:pPr>
      <w:bookmarkStart w:id="55" w:name="_Toc367706541"/>
      <w:bookmarkStart w:id="56" w:name="_Toc380930588"/>
      <w:r w:rsidRPr="000B4257">
        <w:rPr>
          <w:u w:val="single"/>
        </w:rPr>
        <w:t>$</w:t>
      </w:r>
      <w:r w:rsidR="00D739C2" w:rsidRPr="000B4257">
        <w:rPr>
          <w:u w:val="single"/>
        </w:rPr>
        <w:t>3</w:t>
      </w:r>
      <w:r w:rsidRPr="000B4257">
        <w:rPr>
          <w:u w:val="single"/>
        </w:rPr>
        <w:t>0 Promised Incentive for Service Provider Sample</w:t>
      </w:r>
      <w:bookmarkEnd w:id="55"/>
      <w:r w:rsidR="00D739C2" w:rsidRPr="000B4257">
        <w:rPr>
          <w:u w:val="single"/>
        </w:rPr>
        <w:t xml:space="preserve"> and $10 travel reimbursement</w:t>
      </w:r>
      <w:bookmarkEnd w:id="56"/>
    </w:p>
    <w:p w:rsidR="000A4A99" w:rsidRPr="00933923" w:rsidRDefault="000A4A99" w:rsidP="00154211">
      <w:pPr>
        <w:pStyle w:val="L1-FlLSp12"/>
      </w:pPr>
      <w:r w:rsidRPr="00933923">
        <w:t xml:space="preserve">The Service Provider sample will be composed of women who have experienced rape or sexual assault within the past 12 months. They will be recruited through local rape and sexual assault victim support </w:t>
      </w:r>
      <w:r w:rsidR="002953CA">
        <w:t>agencies</w:t>
      </w:r>
      <w:r w:rsidRPr="00933923">
        <w:t xml:space="preserve">. In all cases, the recruitment process will consist of someone within the </w:t>
      </w:r>
      <w:r w:rsidR="002953CA">
        <w:t>agency</w:t>
      </w:r>
      <w:r w:rsidR="002953CA" w:rsidRPr="00933923">
        <w:t xml:space="preserve"> </w:t>
      </w:r>
      <w:r w:rsidRPr="00933923">
        <w:t>distributing flyers that ask for volunteers to participate on the study.</w:t>
      </w:r>
    </w:p>
    <w:p w:rsidR="000A4A99" w:rsidRPr="00933923" w:rsidRDefault="000A4A99" w:rsidP="00154211">
      <w:pPr>
        <w:pStyle w:val="L1-FlLSp12"/>
      </w:pPr>
    </w:p>
    <w:p w:rsidR="000A4A99" w:rsidRPr="00933923" w:rsidRDefault="000A4A99" w:rsidP="00154211">
      <w:pPr>
        <w:pStyle w:val="L1-FlLSp12"/>
      </w:pPr>
      <w:r w:rsidRPr="00933923">
        <w:t>We are proposing a $</w:t>
      </w:r>
      <w:r w:rsidR="00D739C2">
        <w:t>3</w:t>
      </w:r>
      <w:r w:rsidRPr="00933923">
        <w:t>0 incentive for</w:t>
      </w:r>
      <w:r w:rsidR="00D739C2">
        <w:t xml:space="preserve"> this group for the same reason as the High Risk group.  This amount is necessary in order to sufficiently motivate them to read the flyer and consider volunteering</w:t>
      </w:r>
      <w:r w:rsidRPr="00933923">
        <w:t xml:space="preserve">. </w:t>
      </w:r>
      <w:r w:rsidR="00D739C2" w:rsidRPr="00D739C2">
        <w:t>This group will also be asked if they want to conduct the interview at the service provider’s location or at a place where they can guarantee they can speak confidentially and safely.  We are making these special arrangements for this group because of the serious nature of their experiences.  If the respondent does travel to do the interview, we propose providing $10 to offset some of the travel costs they may incur.</w:t>
      </w:r>
    </w:p>
    <w:p w:rsidR="0008441A" w:rsidRPr="00933923" w:rsidRDefault="0008441A" w:rsidP="00154211">
      <w:pPr>
        <w:pStyle w:val="L1-FlLSp12"/>
      </w:pPr>
    </w:p>
    <w:p w:rsidR="000A4A99" w:rsidRPr="000B4257" w:rsidRDefault="000A4A99" w:rsidP="000B4257">
      <w:pPr>
        <w:rPr>
          <w:u w:val="single"/>
        </w:rPr>
      </w:pPr>
      <w:bookmarkStart w:id="57" w:name="_Toc367706542"/>
      <w:bookmarkStart w:id="58" w:name="_Toc380930589"/>
      <w:r w:rsidRPr="000B4257">
        <w:rPr>
          <w:u w:val="single"/>
        </w:rPr>
        <w:t>Same Amounts for Re-Interviews</w:t>
      </w:r>
      <w:bookmarkEnd w:id="57"/>
      <w:bookmarkEnd w:id="58"/>
    </w:p>
    <w:p w:rsidR="000A4A99" w:rsidRPr="00933923" w:rsidRDefault="000A4A99" w:rsidP="00154211">
      <w:pPr>
        <w:pStyle w:val="L1-FlLSp12"/>
      </w:pPr>
      <w:r w:rsidRPr="00933923">
        <w:t xml:space="preserve">Approximately 1,000 individuals will be sampled for a re-interview from the general population and High Risk groups. Those reporting </w:t>
      </w:r>
      <w:proofErr w:type="gramStart"/>
      <w:r w:rsidRPr="00933923">
        <w:t>a victimization</w:t>
      </w:r>
      <w:proofErr w:type="gramEnd"/>
      <w:r w:rsidRPr="00933923">
        <w:t xml:space="preserve"> at the initial interview will be oversampled. The re-interviews will be completed in the same mode as the original interview. Half will come from the in-person group and half will be from the telephone group.</w:t>
      </w:r>
    </w:p>
    <w:p w:rsidR="000A4A99" w:rsidRPr="00933923" w:rsidRDefault="000A4A99" w:rsidP="00154211">
      <w:pPr>
        <w:pStyle w:val="L1-FlLSp12"/>
      </w:pPr>
    </w:p>
    <w:p w:rsidR="000A4A99" w:rsidRDefault="000A4A99" w:rsidP="00154211">
      <w:pPr>
        <w:pStyle w:val="L1-FlLSp12"/>
      </w:pPr>
      <w:r w:rsidRPr="00933923">
        <w:t>Given the similarities in procedures between the original and re-interview, we are proposing to offer an incentive for the re-interview that is equivalent to the initial interview.</w:t>
      </w:r>
    </w:p>
    <w:p w:rsidR="009D3807" w:rsidRDefault="009D3807" w:rsidP="00154211">
      <w:pPr>
        <w:pStyle w:val="L1-FlLSp12"/>
      </w:pPr>
    </w:p>
    <w:p w:rsidR="000A4A99" w:rsidRPr="003F40FD" w:rsidRDefault="00113BD0" w:rsidP="003F40FD">
      <w:pPr>
        <w:pStyle w:val="Heading3"/>
      </w:pPr>
      <w:bookmarkStart w:id="59" w:name="_Toc361144790"/>
      <w:bookmarkStart w:id="60" w:name="_Toc380930590"/>
      <w:bookmarkStart w:id="61" w:name="_Toc380930739"/>
      <w:r w:rsidRPr="003F40FD">
        <w:lastRenderedPageBreak/>
        <w:t>A</w:t>
      </w:r>
      <w:r w:rsidR="000A4A99" w:rsidRPr="003F40FD">
        <w:t>10.</w:t>
      </w:r>
      <w:r w:rsidR="000A4A99" w:rsidRPr="003F40FD">
        <w:tab/>
        <w:t>Assurance of Confidentiality</w:t>
      </w:r>
      <w:bookmarkEnd w:id="59"/>
      <w:bookmarkEnd w:id="60"/>
      <w:bookmarkEnd w:id="61"/>
    </w:p>
    <w:p w:rsidR="000A4A99" w:rsidRPr="00933923" w:rsidRDefault="000A4A99" w:rsidP="00154211">
      <w:pPr>
        <w:pStyle w:val="L1-FlLSp12"/>
      </w:pPr>
      <w:r w:rsidRPr="00933923">
        <w:t>All respondents who participate in the survey in-person using ACASI will be given assurance that the identity of all participants, victims, and perpetrators will be protected as required under Title 42, United States Code, Section 3732 (</w:t>
      </w:r>
      <w:r w:rsidR="003C0219" w:rsidRPr="00933923">
        <w:t xml:space="preserve">Attachments </w:t>
      </w:r>
      <w:r w:rsidR="007A368F">
        <w:t>S</w:t>
      </w:r>
      <w:r w:rsidRPr="00933923">
        <w:t xml:space="preserve"> and </w:t>
      </w:r>
      <w:r w:rsidR="007A368F">
        <w:t>T</w:t>
      </w:r>
      <w:r w:rsidRPr="00933923">
        <w:t xml:space="preserve">). All respondents who participate in the survey using CATI will be verbally presented with this information (Attachments </w:t>
      </w:r>
      <w:r w:rsidR="003C0219" w:rsidRPr="00933923">
        <w:t>S</w:t>
      </w:r>
      <w:r w:rsidRPr="00933923">
        <w:t xml:space="preserve"> and </w:t>
      </w:r>
      <w:r w:rsidR="003C0219" w:rsidRPr="00933923">
        <w:t>T</w:t>
      </w:r>
      <w:r w:rsidRPr="00933923">
        <w:t xml:space="preserve">). BJS and Westat hold in confidence any information that could identify an individual according to Title 42, United States Code, Sections 3735 and 3789g. Rates of sexual violence will be published, as required under the Act. </w:t>
      </w:r>
    </w:p>
    <w:p w:rsidR="000A4A99" w:rsidRPr="00933923" w:rsidRDefault="000A4A99" w:rsidP="00154211">
      <w:pPr>
        <w:pStyle w:val="L1-FlLSp12"/>
      </w:pPr>
    </w:p>
    <w:p w:rsidR="000A4A99" w:rsidRDefault="000A4A99" w:rsidP="00154211">
      <w:pPr>
        <w:pStyle w:val="L1-FlLSp12"/>
      </w:pPr>
      <w:r w:rsidRPr="00933923">
        <w:t>The advance material is written to not reveal the specific purpose of the interview until a respondent is selected.</w:t>
      </w:r>
      <w:r w:rsidR="0008441A" w:rsidRPr="00933923">
        <w:t xml:space="preserve"> </w:t>
      </w:r>
      <w:r w:rsidRPr="00933923">
        <w:t>This is to protect the confidentiality of the topic of the interview from a perpetrator who lives in the household.</w:t>
      </w:r>
    </w:p>
    <w:p w:rsidR="00A221DE" w:rsidRPr="00933923" w:rsidRDefault="00A221DE" w:rsidP="00154211">
      <w:pPr>
        <w:pStyle w:val="L1-FlLSp12"/>
      </w:pPr>
    </w:p>
    <w:p w:rsidR="000A4A99" w:rsidRPr="00933923" w:rsidRDefault="000A4A99" w:rsidP="00154211">
      <w:pPr>
        <w:pStyle w:val="L1-FlLSp12"/>
      </w:pPr>
      <w:r w:rsidRPr="00933923">
        <w:t>All interviews will be conducted in a private area.</w:t>
      </w:r>
      <w:r w:rsidR="0008441A" w:rsidRPr="00933923">
        <w:t xml:space="preserve"> </w:t>
      </w:r>
      <w:r w:rsidRPr="00933923">
        <w:t>Names and other personal identifiers will not be linked to the questionnaire data, such that if someone were to somehow obtain the survey data, they could not associate any data with a particular individual. ACASI provides a private setting so that only the respondent can see the answers on the screen. In contrast, the respondents must speak their answers verbally to the questions using CATI. To the extent possible, questions administered using CATI require answers of “yes” or “no” to prevent others within hearing distance from understanding the content of the questions. As required under Title 42 USC, section 3879g, BJS and its data collection agents will take all necessary steps to mask the identity of survey respondents, including suppression of demographic characteristics and other potentially identifying information, especially in situations in which cell sizes are small.</w:t>
      </w:r>
      <w:r w:rsidR="0008441A" w:rsidRPr="00933923">
        <w:t xml:space="preserve"> </w:t>
      </w:r>
    </w:p>
    <w:p w:rsidR="000A4A99" w:rsidRPr="00933923" w:rsidRDefault="000A4A99" w:rsidP="00154211">
      <w:pPr>
        <w:pStyle w:val="L1-FlLSp12"/>
      </w:pPr>
    </w:p>
    <w:p w:rsidR="000A4A99" w:rsidRPr="00933923" w:rsidRDefault="00226AB7" w:rsidP="00154211">
      <w:pPr>
        <w:pStyle w:val="L1-FlLSp12"/>
      </w:pPr>
      <w:r w:rsidRPr="00933923">
        <w:t>The procedures proposed for this study have been approved by Westat’s IRB (Attachment N).</w:t>
      </w:r>
    </w:p>
    <w:p w:rsidR="000A4A99" w:rsidRPr="00933923" w:rsidRDefault="000A4A99" w:rsidP="00154211">
      <w:pPr>
        <w:pStyle w:val="L1-FlLSp12"/>
      </w:pPr>
    </w:p>
    <w:p w:rsidR="00154211" w:rsidRPr="00933923" w:rsidRDefault="00154211" w:rsidP="00154211">
      <w:pPr>
        <w:pStyle w:val="L1-FlLSp12"/>
      </w:pPr>
    </w:p>
    <w:p w:rsidR="000A4A99" w:rsidRPr="003F40FD" w:rsidRDefault="00113BD0" w:rsidP="003F40FD">
      <w:pPr>
        <w:pStyle w:val="Heading3"/>
      </w:pPr>
      <w:bookmarkStart w:id="62" w:name="_Toc361144791"/>
      <w:bookmarkStart w:id="63" w:name="_Toc380930591"/>
      <w:bookmarkStart w:id="64" w:name="_Toc380930740"/>
      <w:r w:rsidRPr="003F40FD">
        <w:t>A</w:t>
      </w:r>
      <w:r w:rsidR="000A4A99" w:rsidRPr="003F40FD">
        <w:t>11.</w:t>
      </w:r>
      <w:r w:rsidR="000A4A99" w:rsidRPr="003F40FD">
        <w:tab/>
        <w:t>Justification for Sensitive Questions</w:t>
      </w:r>
      <w:bookmarkEnd w:id="62"/>
      <w:bookmarkEnd w:id="63"/>
      <w:bookmarkEnd w:id="64"/>
    </w:p>
    <w:p w:rsidR="006D1B16" w:rsidRPr="00933923" w:rsidRDefault="006D1B16" w:rsidP="00154211">
      <w:pPr>
        <w:pStyle w:val="L1-FlLSp12"/>
      </w:pPr>
      <w:r w:rsidRPr="00933923">
        <w:t>Collection of data on rape and sexual assault requires asking sensitive questions.</w:t>
      </w:r>
      <w:r w:rsidR="0008441A" w:rsidRPr="00933923">
        <w:t xml:space="preserve"> </w:t>
      </w:r>
      <w:r w:rsidRPr="00933923">
        <w:t>The research cited above has found that</w:t>
      </w:r>
      <w:r w:rsidR="0020590A">
        <w:t xml:space="preserve"> surveys that</w:t>
      </w:r>
      <w:r w:rsidRPr="00933923">
        <w:t xml:space="preserve"> ask behaviorally specific questions </w:t>
      </w:r>
      <w:r w:rsidR="0020590A">
        <w:t>have led</w:t>
      </w:r>
      <w:r w:rsidR="0079461A">
        <w:t xml:space="preserve"> to</w:t>
      </w:r>
      <w:r w:rsidR="0020590A">
        <w:t xml:space="preserve"> a</w:t>
      </w:r>
      <w:r w:rsidR="0079461A">
        <w:t xml:space="preserve"> higher </w:t>
      </w:r>
      <w:r w:rsidR="0020590A">
        <w:t xml:space="preserve">number of </w:t>
      </w:r>
      <w:r w:rsidR="0079461A">
        <w:t xml:space="preserve">reports of rape and sexual assault. </w:t>
      </w:r>
      <w:r w:rsidR="00DE6D24">
        <w:t xml:space="preserve">One </w:t>
      </w:r>
      <w:r w:rsidR="0079461A">
        <w:t>explanation for this result is that these cues are</w:t>
      </w:r>
      <w:r w:rsidR="0079461A" w:rsidRPr="00933923">
        <w:t xml:space="preserve"> particularly effective </w:t>
      </w:r>
      <w:r w:rsidR="0079461A">
        <w:t>at</w:t>
      </w:r>
      <w:r w:rsidR="0079461A" w:rsidRPr="00933923">
        <w:t xml:space="preserve"> defining the types of behaviors that are of interest.</w:t>
      </w:r>
      <w:r w:rsidR="00DE6D24">
        <w:t xml:space="preserve">  </w:t>
      </w:r>
      <w:r w:rsidR="00255301">
        <w:t xml:space="preserve">Behaviorally specific questions follow generally accepted survey practice of being as specific as possible.  This reduces possible confusion over respondent interpretation of words such ‘sex’ or ‘rape’ and thereby promotes the </w:t>
      </w:r>
      <w:r w:rsidR="00255301">
        <w:lastRenderedPageBreak/>
        <w:t>respondent’s ability to search memory for events that fall within the scope of the survey.</w:t>
      </w:r>
      <w:r w:rsidR="0079461A" w:rsidRPr="00933923">
        <w:t xml:space="preserve"> </w:t>
      </w:r>
      <w:r w:rsidR="0079461A">
        <w:t>For example, Fisher (2004) found a significantly higher proportion of rape victims on the National College Women Sexual Victimization Study, which use</w:t>
      </w:r>
      <w:r w:rsidR="00DE6D24">
        <w:t>d</w:t>
      </w:r>
      <w:r w:rsidR="0079461A">
        <w:t xml:space="preserve"> behaviorally specific cues, compared to the National College Women Sexual Victimization Study, which use</w:t>
      </w:r>
      <w:r w:rsidR="00744D2D">
        <w:t>d</w:t>
      </w:r>
      <w:r w:rsidR="0079461A">
        <w:t xml:space="preserve"> a format similar to the NCVS. </w:t>
      </w:r>
    </w:p>
    <w:p w:rsidR="006D1B16" w:rsidRPr="00933923" w:rsidRDefault="006D1B16" w:rsidP="00154211">
      <w:pPr>
        <w:pStyle w:val="L1-FlLSp12"/>
      </w:pPr>
    </w:p>
    <w:p w:rsidR="000A4A99" w:rsidRPr="00933923" w:rsidRDefault="006D1B16" w:rsidP="00154211">
      <w:pPr>
        <w:pStyle w:val="L1-FlLSp12"/>
      </w:pPr>
      <w:r w:rsidRPr="00933923">
        <w:t xml:space="preserve">The instruments </w:t>
      </w:r>
      <w:r w:rsidR="000A4A99" w:rsidRPr="00933923">
        <w:t>first ask a series of screening questions to identify women who have had any type of unwanted sexual contact (e.g., manual, oral, penetrative, and “other” contact).</w:t>
      </w:r>
      <w:r w:rsidR="003C6700">
        <w:t xml:space="preserve">  As noted above, these ar</w:t>
      </w:r>
      <w:r w:rsidR="005808EE">
        <w:t>e behaviorally specific, drawn</w:t>
      </w:r>
      <w:r w:rsidR="003C6700">
        <w:t xml:space="preserve"> from prior surveys (e.g., Black et al., 2011; </w:t>
      </w:r>
      <w:proofErr w:type="spellStart"/>
      <w:r w:rsidR="003C6700">
        <w:t>Tjaden</w:t>
      </w:r>
      <w:proofErr w:type="spellEnd"/>
      <w:r w:rsidR="003C6700">
        <w:t xml:space="preserve"> and </w:t>
      </w:r>
      <w:proofErr w:type="spellStart"/>
      <w:r w:rsidR="003C6700">
        <w:t>Thoennes</w:t>
      </w:r>
      <w:proofErr w:type="spellEnd"/>
      <w:r w:rsidR="003C6700">
        <w:t>, 2000).</w:t>
      </w:r>
      <w:r w:rsidR="000A4A99" w:rsidRPr="00933923">
        <w:t xml:space="preserve"> These questions ask about contact by both males and females, with and without the use of force.</w:t>
      </w:r>
      <w:r w:rsidR="0008441A" w:rsidRPr="00933923">
        <w:t xml:space="preserve"> </w:t>
      </w:r>
      <w:r w:rsidR="00460EEC">
        <w:t xml:space="preserve">For each </w:t>
      </w:r>
      <w:r w:rsidR="000A4A99" w:rsidRPr="00933923">
        <w:t>affirmative</w:t>
      </w:r>
      <w:r w:rsidR="0046073F">
        <w:t xml:space="preserve"> </w:t>
      </w:r>
      <w:r w:rsidR="00460EEC">
        <w:t>response</w:t>
      </w:r>
      <w:r w:rsidR="000A4A99" w:rsidRPr="00933923">
        <w:t xml:space="preserve"> to a screening question</w:t>
      </w:r>
      <w:r w:rsidR="00460EEC">
        <w:t xml:space="preserve">, the respondent is </w:t>
      </w:r>
      <w:r w:rsidR="000A4A99" w:rsidRPr="00933923">
        <w:t>asked follow-up questions in a detailed incident form.</w:t>
      </w:r>
      <w:r w:rsidR="003C6700">
        <w:t xml:space="preserve">  The detailed incide</w:t>
      </w:r>
      <w:r w:rsidR="002A429C">
        <w:t>nt form provides a</w:t>
      </w:r>
      <w:r w:rsidR="003C6700">
        <w:t xml:space="preserve"> description of the nature of the event and will be used to classify the incident</w:t>
      </w:r>
      <w:r w:rsidR="002A429C">
        <w:t xml:space="preserve"> as a crime and</w:t>
      </w:r>
      <w:r w:rsidR="003C6700">
        <w:t xml:space="preserve"> into a particular category.</w:t>
      </w:r>
    </w:p>
    <w:p w:rsidR="000A4A99" w:rsidRPr="00933923" w:rsidRDefault="000A4A99" w:rsidP="00154211">
      <w:pPr>
        <w:pStyle w:val="L1-FlLSp12"/>
      </w:pPr>
    </w:p>
    <w:p w:rsidR="0056039C" w:rsidRDefault="00460EEC" w:rsidP="00154211">
      <w:pPr>
        <w:pStyle w:val="L1-FlLSp12"/>
      </w:pPr>
      <w:r>
        <w:t>Asking multiple questions</w:t>
      </w:r>
      <w:r w:rsidR="000A4A99" w:rsidRPr="00933923">
        <w:t xml:space="preserve"> </w:t>
      </w:r>
      <w:r w:rsidR="0046073F">
        <w:t xml:space="preserve">to identify unwanted sexual contact </w:t>
      </w:r>
      <w:r w:rsidR="000A4A99" w:rsidRPr="00933923">
        <w:t>serves two main purposes</w:t>
      </w:r>
      <w:r w:rsidR="00744D2D">
        <w:t xml:space="preserve">.  </w:t>
      </w:r>
      <w:r w:rsidR="000A4A99" w:rsidRPr="00933923">
        <w:t xml:space="preserve">First, it </w:t>
      </w:r>
      <w:r>
        <w:t>reduces</w:t>
      </w:r>
      <w:r w:rsidR="000A4A99" w:rsidRPr="00933923">
        <w:t xml:space="preserve"> problems associated with asking a</w:t>
      </w:r>
      <w:r>
        <w:t xml:space="preserve"> single</w:t>
      </w:r>
      <w:r w:rsidR="000A4A99" w:rsidRPr="00933923">
        <w:t xml:space="preserve"> global binary (yes/no) question which would leave the instrument with limited ability to define</w:t>
      </w:r>
      <w:r>
        <w:t xml:space="preserve"> the nature and circumstances of the event.  </w:t>
      </w:r>
      <w:r w:rsidR="005808EE">
        <w:t>One finding from the cognitive interviews was that regardless of how specific the screening questions are, some respondents may still interpret the question in ways not consistent with the original intent.  The purpose of the detailed incident form is to collect more specifics about the event so the survey can classify the event into the appropriate category.</w:t>
      </w:r>
    </w:p>
    <w:p w:rsidR="0056039C" w:rsidRDefault="0056039C" w:rsidP="00154211">
      <w:pPr>
        <w:pStyle w:val="L1-FlLSp12"/>
      </w:pPr>
    </w:p>
    <w:p w:rsidR="000A4A99" w:rsidRPr="00933923" w:rsidRDefault="000A4A99" w:rsidP="00154211">
      <w:pPr>
        <w:pStyle w:val="L1-FlLSp12"/>
      </w:pPr>
      <w:r w:rsidRPr="00933923">
        <w:t xml:space="preserve">Second, </w:t>
      </w:r>
      <w:r w:rsidR="00051B54">
        <w:t>the approach recognizes the complexity of the definition of rape and sexual assault.  T</w:t>
      </w:r>
      <w:r w:rsidRPr="00933923">
        <w:t xml:space="preserve">he literature in this area notes that sexual assault occurs on a continuum from </w:t>
      </w:r>
      <w:r w:rsidR="00BE5EFA">
        <w:t>unwanted contact without the use of</w:t>
      </w:r>
      <w:r w:rsidR="00BE5EFA" w:rsidRPr="00933923">
        <w:t xml:space="preserve"> </w:t>
      </w:r>
      <w:r w:rsidR="00BE5EFA">
        <w:t>physical force</w:t>
      </w:r>
      <w:r w:rsidRPr="00933923">
        <w:t xml:space="preserve"> to serious physical violence. The </w:t>
      </w:r>
      <w:r w:rsidR="00BE5EFA">
        <w:t>nonviolent</w:t>
      </w:r>
      <w:r w:rsidR="00BE5EFA" w:rsidRPr="00933923">
        <w:t xml:space="preserve"> </w:t>
      </w:r>
      <w:r w:rsidRPr="00933923">
        <w:t xml:space="preserve">kinds of </w:t>
      </w:r>
      <w:r w:rsidR="00BE5EFA">
        <w:t>victimization</w:t>
      </w:r>
      <w:r w:rsidR="00BE5EFA" w:rsidRPr="00933923">
        <w:t xml:space="preserve"> </w:t>
      </w:r>
      <w:r w:rsidRPr="00933923">
        <w:t xml:space="preserve">may be easily overlooked as consensual unless the general (i.e., sexual contact) to specific (i.e., </w:t>
      </w:r>
      <w:r w:rsidR="00BE5EFA">
        <w:t>unwanted,</w:t>
      </w:r>
      <w:r w:rsidR="00BE5EFA" w:rsidRPr="00933923">
        <w:t xml:space="preserve"> </w:t>
      </w:r>
      <w:r w:rsidRPr="00933923">
        <w:t>coerced, pressured, or forced sexual activity) approach is utilized.</w:t>
      </w:r>
      <w:r w:rsidR="0008441A" w:rsidRPr="00933923">
        <w:t xml:space="preserve"> </w:t>
      </w:r>
      <w:r w:rsidR="00BE5EFA">
        <w:t>For example, survey items that limit sexual victimization by defining it as penetration and/or forced physical contact exclude many victims that experience lesser unwanted sexual contact.  These include</w:t>
      </w:r>
      <w:r w:rsidR="0046073F">
        <w:t>,</w:t>
      </w:r>
      <w:r w:rsidR="00BE5EFA">
        <w:t xml:space="preserve"> but are not limited to</w:t>
      </w:r>
      <w:r w:rsidR="0046073F">
        <w:t>,</w:t>
      </w:r>
      <w:r w:rsidR="00BE5EFA">
        <w:t xml:space="preserve"> incidents of uninvited genital exposure, </w:t>
      </w:r>
      <w:r w:rsidR="00460EEC">
        <w:t xml:space="preserve">undue </w:t>
      </w:r>
      <w:r w:rsidR="00BE5EFA">
        <w:t xml:space="preserve">pressure to engage in sexual activity although unable to fully consent (e.g. intoxicated), coercive techniques such as making threats (e.g. </w:t>
      </w:r>
      <w:r w:rsidR="00460EEC">
        <w:t>against a loved one</w:t>
      </w:r>
      <w:r w:rsidR="0056039C">
        <w:t>)</w:t>
      </w:r>
      <w:r w:rsidR="00BE5EFA">
        <w:t xml:space="preserve">, and </w:t>
      </w:r>
      <w:r w:rsidR="00E8738B">
        <w:t>sexual contact</w:t>
      </w:r>
      <w:r w:rsidR="00BE5EFA">
        <w:t xml:space="preserve"> by a stranger (e.g. having genitals</w:t>
      </w:r>
      <w:r w:rsidR="00E8738B">
        <w:t xml:space="preserve"> or </w:t>
      </w:r>
      <w:r w:rsidR="00BE5EFA">
        <w:t>breast</w:t>
      </w:r>
      <w:r w:rsidR="00E8738B">
        <w:t>s</w:t>
      </w:r>
      <w:r w:rsidR="00BE5EFA">
        <w:t xml:space="preserve"> grabbed unexpectedly).  Th</w:t>
      </w:r>
      <w:r w:rsidR="00460EEC">
        <w:t xml:space="preserve">e use of multiple questions is intended </w:t>
      </w:r>
      <w:r w:rsidR="00BE5EFA">
        <w:t>to capture all unwanted sexual activity regardless of the use of physical force.</w:t>
      </w:r>
    </w:p>
    <w:p w:rsidR="000A4A99" w:rsidRPr="00933923" w:rsidRDefault="000A4A99" w:rsidP="00154211">
      <w:pPr>
        <w:pStyle w:val="L1-FlLSp12"/>
      </w:pPr>
    </w:p>
    <w:p w:rsidR="003C6700" w:rsidRDefault="000A4A99" w:rsidP="00154211">
      <w:pPr>
        <w:pStyle w:val="L1-FlLSp12"/>
      </w:pPr>
      <w:r w:rsidRPr="00933923">
        <w:lastRenderedPageBreak/>
        <w:t xml:space="preserve">BJS has implemented several safeguards to </w:t>
      </w:r>
      <w:r w:rsidR="003C6700">
        <w:t>mitigate situations where a respondent might become upset</w:t>
      </w:r>
      <w:r w:rsidR="0046073F">
        <w:t xml:space="preserve"> by the content of the survey</w:t>
      </w:r>
      <w:r w:rsidRPr="00933923">
        <w:t>.</w:t>
      </w:r>
      <w:r w:rsidR="007902F0">
        <w:t xml:space="preserve">  </w:t>
      </w:r>
      <w:r w:rsidR="0046073F">
        <w:t>All</w:t>
      </w:r>
      <w:r w:rsidR="007902F0">
        <w:t xml:space="preserve"> procedures have been reviewed and approved by Westat’s IRB</w:t>
      </w:r>
      <w:r w:rsidR="003C6700">
        <w:t xml:space="preserve"> (</w:t>
      </w:r>
      <w:r w:rsidR="00BB4658">
        <w:t>Attachment</w:t>
      </w:r>
      <w:r w:rsidR="003C6700">
        <w:t xml:space="preserve"> </w:t>
      </w:r>
      <w:r w:rsidR="00CF61D7">
        <w:t>N</w:t>
      </w:r>
      <w:r w:rsidR="003C6700">
        <w:t>)</w:t>
      </w:r>
      <w:r w:rsidR="0008441A" w:rsidRPr="00933923">
        <w:t xml:space="preserve"> </w:t>
      </w:r>
      <w:r w:rsidR="003C6700">
        <w:t xml:space="preserve">under </w:t>
      </w:r>
      <w:r w:rsidR="007902F0">
        <w:t xml:space="preserve">federally recognized human subject protections (45 CFR 46).  </w:t>
      </w:r>
      <w:r w:rsidR="003C6700">
        <w:t>Part B of this package provides the procedures that are in place, including the language in the informed consent and procedures to</w:t>
      </w:r>
      <w:r w:rsidR="005808EE">
        <w:t xml:space="preserve"> minimize risk and</w:t>
      </w:r>
      <w:r w:rsidR="003C6700">
        <w:t xml:space="preserve"> protect the confidentiality of the interview.</w:t>
      </w:r>
    </w:p>
    <w:p w:rsidR="003C6700" w:rsidRDefault="003C6700" w:rsidP="00154211">
      <w:pPr>
        <w:pStyle w:val="L1-FlLSp12"/>
      </w:pPr>
    </w:p>
    <w:p w:rsidR="00FA6C88" w:rsidRDefault="000A4A99" w:rsidP="00154211">
      <w:pPr>
        <w:pStyle w:val="L1-FlLSp12"/>
      </w:pPr>
      <w:r w:rsidRPr="00933923">
        <w:t>All interviewers will be trained to monitor for women who</w:t>
      </w:r>
      <w:r w:rsidR="00051B54">
        <w:t xml:space="preserve"> might</w:t>
      </w:r>
      <w:r w:rsidRPr="00933923">
        <w:t xml:space="preserve"> become upset or agitated while taking the interview.</w:t>
      </w:r>
      <w:r w:rsidR="003E5FA6">
        <w:t xml:space="preserve">  Th</w:t>
      </w:r>
      <w:r w:rsidR="00051B54">
        <w:t>e</w:t>
      </w:r>
      <w:r w:rsidR="003E5FA6">
        <w:t xml:space="preserve"> training </w:t>
      </w:r>
      <w:r w:rsidR="00051B54">
        <w:t>is</w:t>
      </w:r>
      <w:r w:rsidR="005808EE">
        <w:t xml:space="preserve"> based</w:t>
      </w:r>
      <w:r w:rsidR="00510E96">
        <w:t xml:space="preserve"> on our experiences conducting the cognitive interviews</w:t>
      </w:r>
      <w:r w:rsidR="00051B54">
        <w:t xml:space="preserve"> for this project</w:t>
      </w:r>
      <w:r w:rsidR="00510E96">
        <w:t xml:space="preserve">, which included input from </w:t>
      </w:r>
      <w:r w:rsidR="00A96E67">
        <w:t xml:space="preserve">members of the </w:t>
      </w:r>
      <w:r w:rsidR="00A96E67" w:rsidRPr="00933923">
        <w:rPr>
          <w:rStyle w:val="text1"/>
          <w:rFonts w:ascii="Garamond" w:hAnsi="Garamond" w:cs="Times New Roman"/>
          <w:sz w:val="24"/>
          <w:szCs w:val="24"/>
        </w:rPr>
        <w:t>Rape, Abuse, and Incest National Network</w:t>
      </w:r>
      <w:r w:rsidR="00A96E67">
        <w:rPr>
          <w:rStyle w:val="text1"/>
          <w:rFonts w:ascii="Garamond" w:hAnsi="Garamond" w:cs="Times New Roman"/>
          <w:sz w:val="24"/>
          <w:szCs w:val="24"/>
        </w:rPr>
        <w:t xml:space="preserve"> (RAINN)</w:t>
      </w:r>
      <w:r w:rsidR="003E5FA6">
        <w:t xml:space="preserve">. </w:t>
      </w:r>
      <w:r w:rsidR="0008441A" w:rsidRPr="00933923">
        <w:t xml:space="preserve"> </w:t>
      </w:r>
      <w:r w:rsidRPr="00933923">
        <w:t>As part of training, interviewers will learn how to identify and respond to signs of physical distress (e.g. crying, shaking, etc.) and crisis management specific to sexual victimization populations. At the start of each survey, interviewers will instruct the respondent to skip any question they do not want to answer, and that they can stop the interview at any time they feel uncomfortable or wish to stop.</w:t>
      </w:r>
      <w:r w:rsidR="0008441A" w:rsidRPr="00933923">
        <w:t xml:space="preserve"> </w:t>
      </w:r>
      <w:r w:rsidRPr="00933923">
        <w:t>For respondents that are visibly upset (in person) or verbally upset (telephone), the interviewer will be instructed to check in with the respondent by stopping the interview</w:t>
      </w:r>
      <w:r w:rsidR="009075C2">
        <w:t xml:space="preserve"> </w:t>
      </w:r>
      <w:r w:rsidR="0046073F">
        <w:t xml:space="preserve">and asking </w:t>
      </w:r>
      <w:r w:rsidR="009075C2">
        <w:t xml:space="preserve">if they are </w:t>
      </w:r>
      <w:r w:rsidR="0046073F">
        <w:t>able</w:t>
      </w:r>
      <w:r w:rsidR="009075C2">
        <w:t xml:space="preserve"> to continue the interview</w:t>
      </w:r>
      <w:r w:rsidR="0046073F">
        <w:t xml:space="preserve">. </w:t>
      </w:r>
      <w:r w:rsidRPr="00933923">
        <w:t xml:space="preserve"> </w:t>
      </w:r>
      <w:r w:rsidR="0046073F">
        <w:t xml:space="preserve">If the respondent </w:t>
      </w:r>
      <w:r w:rsidR="00BD4C1A">
        <w:t>chooses</w:t>
      </w:r>
      <w:r w:rsidR="0046073F">
        <w:t xml:space="preserve"> to stop the interview, the interviewer will provide her with a list of resources</w:t>
      </w:r>
      <w:r w:rsidR="00746DB4">
        <w:t xml:space="preserve">, </w:t>
      </w:r>
      <w:r w:rsidR="0046073F" w:rsidRPr="00933923">
        <w:t xml:space="preserve">which include the National RAINN hotline, a local RAINN affiliate specific to the CBSA, and other crisis lines such as suicide and domestic violence resources (Attachment </w:t>
      </w:r>
      <w:r w:rsidR="002B5733">
        <w:t>U</w:t>
      </w:r>
      <w:r w:rsidR="0046073F" w:rsidRPr="00933923">
        <w:t>).</w:t>
      </w:r>
      <w:r w:rsidR="00573A81">
        <w:t xml:space="preserve"> </w:t>
      </w:r>
      <w:r w:rsidR="0046073F" w:rsidRPr="00933923">
        <w:t xml:space="preserve"> </w:t>
      </w:r>
      <w:r w:rsidRPr="00933923">
        <w:t>In extreme cases of respondent distress</w:t>
      </w:r>
      <w:r w:rsidR="00573A81">
        <w:t>,</w:t>
      </w:r>
      <w:r w:rsidR="00A80703">
        <w:t xml:space="preserve"> where the respondent becomes non-responsive or exhibits other types of behaviors</w:t>
      </w:r>
      <w:r w:rsidRPr="00933923">
        <w:t xml:space="preserve"> (e.g.</w:t>
      </w:r>
      <w:r w:rsidR="00746DB4">
        <w:t>,</w:t>
      </w:r>
      <w:r w:rsidRPr="00933923">
        <w:t xml:space="preserve"> suicidal ideation), all interviewers will be instructed to con</w:t>
      </w:r>
      <w:r w:rsidR="00A80703">
        <w:t>nect</w:t>
      </w:r>
      <w:r w:rsidRPr="00933923">
        <w:t xml:space="preserve"> the</w:t>
      </w:r>
      <w:r w:rsidR="00A80703">
        <w:t xml:space="preserve"> respondent with the</w:t>
      </w:r>
      <w:r w:rsidRPr="00933923">
        <w:t xml:space="preserve"> appropriate resource (e.g.</w:t>
      </w:r>
      <w:r w:rsidR="00573A81">
        <w:t>,</w:t>
      </w:r>
      <w:r w:rsidRPr="00933923">
        <w:t xml:space="preserve"> crisis counselor at RAINN</w:t>
      </w:r>
      <w:r w:rsidR="00A96E67">
        <w:t xml:space="preserve">; </w:t>
      </w:r>
      <w:r w:rsidRPr="00933923">
        <w:t>suicide hotline).</w:t>
      </w:r>
      <w:r w:rsidR="0008441A" w:rsidRPr="00933923">
        <w:t xml:space="preserve"> </w:t>
      </w:r>
      <w:r w:rsidR="00A96E67">
        <w:t>Based on prior studies that have used similar questions, w</w:t>
      </w:r>
      <w:r w:rsidRPr="00933923">
        <w:t>e anticipate that these events will be extremely rare</w:t>
      </w:r>
      <w:r w:rsidR="00FA6C88">
        <w:t>.  P</w:t>
      </w:r>
      <w:r w:rsidRPr="00933923">
        <w:t xml:space="preserve">revious </w:t>
      </w:r>
      <w:r w:rsidR="00FA6C88">
        <w:t>research</w:t>
      </w:r>
      <w:r w:rsidRPr="00933923">
        <w:t xml:space="preserve"> shows that many rape survivors are motivated to participate in research about sexual victimization (Campbell &amp; Adams, 2009) and are generally not upset by the explicit nature of the survey questions (Black et al, 2006).</w:t>
      </w:r>
      <w:r w:rsidR="0008441A" w:rsidRPr="00933923">
        <w:t xml:space="preserve"> </w:t>
      </w:r>
      <w:r w:rsidR="00460EEC">
        <w:t xml:space="preserve"> </w:t>
      </w:r>
    </w:p>
    <w:p w:rsidR="00FA6C88" w:rsidRDefault="00FA6C88" w:rsidP="00154211">
      <w:pPr>
        <w:pStyle w:val="L1-FlLSp12"/>
      </w:pPr>
    </w:p>
    <w:p w:rsidR="000A4A99" w:rsidRPr="00933923" w:rsidRDefault="00460EEC" w:rsidP="00154211">
      <w:pPr>
        <w:pStyle w:val="L1-FlLSp12"/>
      </w:pPr>
      <w:r>
        <w:t>A list of resources will be provided to all respondents, regardless of whether they show any visible signs of emotional distress.  These resources can then be used if the respondent feels the need to contact someone about any feelings that emerge after the interview.</w:t>
      </w:r>
    </w:p>
    <w:p w:rsidR="000A4A99" w:rsidRPr="00933923" w:rsidRDefault="000A4A99" w:rsidP="00154211">
      <w:pPr>
        <w:pStyle w:val="L1-FlLSp12"/>
      </w:pPr>
    </w:p>
    <w:p w:rsidR="00154211" w:rsidRPr="00933923" w:rsidRDefault="00154211" w:rsidP="00154211">
      <w:pPr>
        <w:pStyle w:val="L1-FlLSp12"/>
      </w:pPr>
    </w:p>
    <w:p w:rsidR="000A4A99" w:rsidRPr="003F40FD" w:rsidRDefault="00113BD0" w:rsidP="003F40FD">
      <w:pPr>
        <w:pStyle w:val="Heading3"/>
      </w:pPr>
      <w:bookmarkStart w:id="65" w:name="_Toc361144792"/>
      <w:bookmarkStart w:id="66" w:name="_Toc380930592"/>
      <w:bookmarkStart w:id="67" w:name="_Toc380930741"/>
      <w:r w:rsidRPr="003F40FD">
        <w:t>A</w:t>
      </w:r>
      <w:r w:rsidR="000A4A99" w:rsidRPr="003F40FD">
        <w:t>12.</w:t>
      </w:r>
      <w:r w:rsidR="000A4A99" w:rsidRPr="003F40FD">
        <w:tab/>
        <w:t>Estimate of Hour Burden</w:t>
      </w:r>
      <w:bookmarkEnd w:id="65"/>
      <w:bookmarkEnd w:id="66"/>
      <w:bookmarkEnd w:id="67"/>
    </w:p>
    <w:p w:rsidR="00C44DA0" w:rsidRDefault="00C44DA0" w:rsidP="00C44DA0">
      <w:pPr>
        <w:pStyle w:val="L1-FlLSp12"/>
      </w:pPr>
      <w:r w:rsidRPr="00933923">
        <w:t>We request a total of 1</w:t>
      </w:r>
      <w:r w:rsidR="00A81F54">
        <w:t>1</w:t>
      </w:r>
      <w:r w:rsidRPr="00933923">
        <w:t>,</w:t>
      </w:r>
      <w:r w:rsidR="00A81F54">
        <w:t>80</w:t>
      </w:r>
      <w:r w:rsidRPr="00933923">
        <w:t>6 hours (agency staff: 310 and respondents: 11,</w:t>
      </w:r>
      <w:r w:rsidR="00A81F54">
        <w:t>49</w:t>
      </w:r>
      <w:r w:rsidR="00620035">
        <w:t>6</w:t>
      </w:r>
      <w:r w:rsidRPr="00933923">
        <w:t>). The total respondent burden, including both agency staff and respond</w:t>
      </w:r>
      <w:r w:rsidR="00576326">
        <w:t>ents, are summarized in Tables 3, 4 and 5</w:t>
      </w:r>
      <w:r w:rsidRPr="00933923">
        <w:t xml:space="preserve"> below. We anticipate that agencies may be engaged in the following activities: communicating with potential </w:t>
      </w:r>
      <w:r w:rsidRPr="00933923">
        <w:lastRenderedPageBreak/>
        <w:t>respondents about the survey and, in some situations, arranging for space in which the survey can be conducted. The total estimated agency staff burden (</w:t>
      </w:r>
      <w:r w:rsidR="00576326">
        <w:t>Table 3</w:t>
      </w:r>
      <w:r w:rsidRPr="00933923">
        <w:t xml:space="preserve">) for these activities is 310 hours (crisis centers: 210 hours, universities/ colleges: 100 hours). </w:t>
      </w:r>
    </w:p>
    <w:p w:rsidR="00CA09A8" w:rsidRPr="00933923" w:rsidRDefault="00CA09A8" w:rsidP="00B33F88">
      <w:pPr>
        <w:pStyle w:val="TT-TableTitle"/>
      </w:pPr>
    </w:p>
    <w:p w:rsidR="00B33F88" w:rsidRDefault="00576326" w:rsidP="003156B7">
      <w:pPr>
        <w:pStyle w:val="Heading4"/>
      </w:pPr>
      <w:bookmarkStart w:id="68" w:name="_Toc367708426"/>
      <w:bookmarkStart w:id="69" w:name="_Toc367708453"/>
      <w:bookmarkStart w:id="70" w:name="_Toc380930496"/>
      <w:bookmarkStart w:id="71" w:name="_Toc380930593"/>
      <w:bookmarkStart w:id="72" w:name="_Toc380930776"/>
      <w:proofErr w:type="gramStart"/>
      <w:r>
        <w:t>Table 3</w:t>
      </w:r>
      <w:r w:rsidR="00B33F88" w:rsidRPr="00933923">
        <w:t>.</w:t>
      </w:r>
      <w:proofErr w:type="gramEnd"/>
      <w:r w:rsidR="00B33F88" w:rsidRPr="00933923">
        <w:tab/>
        <w:t>Annual Agency Burden for the NSHS Interviews</w:t>
      </w:r>
      <w:bookmarkEnd w:id="68"/>
      <w:bookmarkEnd w:id="69"/>
      <w:bookmarkEnd w:id="70"/>
      <w:bookmarkEnd w:id="71"/>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3810"/>
        <w:gridCol w:w="1300"/>
        <w:gridCol w:w="1632"/>
        <w:gridCol w:w="1239"/>
        <w:gridCol w:w="1373"/>
      </w:tblGrid>
      <w:tr w:rsidR="00B33F88" w:rsidRPr="00933923" w:rsidTr="003156B7">
        <w:tc>
          <w:tcPr>
            <w:tcW w:w="2105" w:type="pct"/>
            <w:gridSpan w:val="2"/>
            <w:tcBorders>
              <w:left w:val="nil"/>
            </w:tcBorders>
            <w:shd w:val="clear" w:color="auto" w:fill="AFBED7"/>
            <w:noWrap/>
            <w:vAlign w:val="bottom"/>
            <w:hideMark/>
          </w:tcPr>
          <w:p w:rsidR="00B33F88" w:rsidRPr="00933923" w:rsidRDefault="00B33F88" w:rsidP="002E1D76">
            <w:pPr>
              <w:pStyle w:val="TH-TableHeading"/>
            </w:pPr>
            <w:bookmarkStart w:id="73" w:name="_Toc380930594"/>
            <w:r w:rsidRPr="00933923">
              <w:t>Description</w:t>
            </w:r>
            <w:bookmarkEnd w:id="73"/>
          </w:p>
        </w:tc>
        <w:tc>
          <w:tcPr>
            <w:tcW w:w="679" w:type="pct"/>
            <w:shd w:val="clear" w:color="auto" w:fill="AFBED7"/>
            <w:vAlign w:val="bottom"/>
            <w:hideMark/>
          </w:tcPr>
          <w:p w:rsidR="00B33F88" w:rsidRPr="00933923" w:rsidRDefault="0032011D" w:rsidP="002E1D76">
            <w:pPr>
              <w:pStyle w:val="TH-TableHeading"/>
            </w:pPr>
            <w:bookmarkStart w:id="74" w:name="_Toc380930595"/>
            <w:r w:rsidRPr="00933923">
              <w:t xml:space="preserve">Average </w:t>
            </w:r>
            <w:r w:rsidR="008E41CE" w:rsidRPr="00933923">
              <w:t>b</w:t>
            </w:r>
            <w:r w:rsidR="00B33F88" w:rsidRPr="00933923">
              <w:t>urden h</w:t>
            </w:r>
            <w:r w:rsidR="00CA09A8" w:rsidRPr="00933923">
              <w:t>our</w:t>
            </w:r>
            <w:r w:rsidR="00B33F88" w:rsidRPr="00933923">
              <w:t>s per res</w:t>
            </w:r>
            <w:r w:rsidRPr="00933923">
              <w:t>p</w:t>
            </w:r>
            <w:r w:rsidR="00B33F88" w:rsidRPr="00933923">
              <w:t>onse</w:t>
            </w:r>
            <w:bookmarkEnd w:id="74"/>
          </w:p>
        </w:tc>
        <w:tc>
          <w:tcPr>
            <w:tcW w:w="852" w:type="pct"/>
            <w:shd w:val="clear" w:color="auto" w:fill="AFBED7"/>
            <w:vAlign w:val="bottom"/>
            <w:hideMark/>
          </w:tcPr>
          <w:p w:rsidR="00CA09A8" w:rsidRPr="00933923" w:rsidRDefault="008E41CE" w:rsidP="002E1D76">
            <w:pPr>
              <w:pStyle w:val="TH-TableHeading"/>
            </w:pPr>
            <w:bookmarkStart w:id="75" w:name="_Toc380930596"/>
            <w:r w:rsidRPr="00933923">
              <w:t>Average n</w:t>
            </w:r>
            <w:r w:rsidR="00B33F88" w:rsidRPr="00933923">
              <w:t>umber of</w:t>
            </w:r>
            <w:bookmarkEnd w:id="75"/>
            <w:r w:rsidR="00B33F88" w:rsidRPr="00933923">
              <w:t xml:space="preserve"> </w:t>
            </w:r>
          </w:p>
          <w:p w:rsidR="00B33F88" w:rsidRPr="00933923" w:rsidRDefault="00CA09A8" w:rsidP="002E1D76">
            <w:pPr>
              <w:pStyle w:val="TH-TableHeading"/>
            </w:pPr>
            <w:bookmarkStart w:id="76" w:name="_Toc380930597"/>
            <w:r w:rsidRPr="00933923">
              <w:t>re</w:t>
            </w:r>
            <w:r w:rsidR="00AC526C" w:rsidRPr="00933923">
              <w:t>s</w:t>
            </w:r>
            <w:r w:rsidR="00B33F88" w:rsidRPr="00933923">
              <w:t>ponses</w:t>
            </w:r>
            <w:r w:rsidR="00AC526C" w:rsidRPr="00933923">
              <w:t>+</w:t>
            </w:r>
            <w:bookmarkEnd w:id="76"/>
          </w:p>
        </w:tc>
        <w:tc>
          <w:tcPr>
            <w:tcW w:w="647" w:type="pct"/>
            <w:shd w:val="clear" w:color="auto" w:fill="AFBED7"/>
            <w:vAlign w:val="bottom"/>
            <w:hideMark/>
          </w:tcPr>
          <w:p w:rsidR="00B33F88" w:rsidRPr="00933923" w:rsidRDefault="00B33F88" w:rsidP="002E1D76">
            <w:pPr>
              <w:pStyle w:val="TH-TableHeading"/>
            </w:pPr>
            <w:bookmarkStart w:id="77" w:name="_Toc380930598"/>
            <w:r w:rsidRPr="00933923">
              <w:t>Total expected burden hours</w:t>
            </w:r>
            <w:bookmarkEnd w:id="77"/>
          </w:p>
        </w:tc>
        <w:tc>
          <w:tcPr>
            <w:tcW w:w="716" w:type="pct"/>
            <w:tcBorders>
              <w:right w:val="nil"/>
            </w:tcBorders>
            <w:shd w:val="clear" w:color="auto" w:fill="AFBED7"/>
            <w:vAlign w:val="bottom"/>
            <w:hideMark/>
          </w:tcPr>
          <w:p w:rsidR="00B33F88" w:rsidRPr="00933923" w:rsidRDefault="00B33F88" w:rsidP="002E1D76">
            <w:pPr>
              <w:pStyle w:val="TH-TableHeading"/>
            </w:pPr>
            <w:bookmarkStart w:id="78" w:name="_Toc380930599"/>
            <w:r w:rsidRPr="00933923">
              <w:t>Total expected burden cost</w:t>
            </w:r>
            <w:bookmarkEnd w:id="78"/>
          </w:p>
        </w:tc>
      </w:tr>
      <w:tr w:rsidR="00B33F88" w:rsidRPr="00933923" w:rsidTr="002E1D76">
        <w:tc>
          <w:tcPr>
            <w:tcW w:w="5000" w:type="pct"/>
            <w:gridSpan w:val="6"/>
            <w:tcBorders>
              <w:left w:val="nil"/>
              <w:right w:val="nil"/>
            </w:tcBorders>
            <w:shd w:val="clear" w:color="auto" w:fill="auto"/>
            <w:noWrap/>
            <w:vAlign w:val="center"/>
            <w:hideMark/>
          </w:tcPr>
          <w:p w:rsidR="00B33F88" w:rsidRPr="00933923" w:rsidRDefault="00B33F88" w:rsidP="002E1D76">
            <w:pPr>
              <w:pStyle w:val="TX-TableText"/>
            </w:pPr>
            <w:r w:rsidRPr="00933923">
              <w:t>Feasibility Test</w:t>
            </w:r>
          </w:p>
        </w:tc>
      </w:tr>
      <w:tr w:rsidR="0032011D" w:rsidRPr="00933923" w:rsidTr="003156B7">
        <w:tc>
          <w:tcPr>
            <w:tcW w:w="116" w:type="pct"/>
            <w:tcBorders>
              <w:left w:val="nil"/>
              <w:bottom w:val="single" w:sz="4" w:space="0" w:color="auto"/>
              <w:right w:val="nil"/>
            </w:tcBorders>
            <w:shd w:val="clear" w:color="auto" w:fill="auto"/>
            <w:noWrap/>
            <w:vAlign w:val="center"/>
            <w:hideMark/>
          </w:tcPr>
          <w:p w:rsidR="0032011D" w:rsidRPr="00933923" w:rsidRDefault="0032011D" w:rsidP="002E1D76">
            <w:pPr>
              <w:pStyle w:val="TX-TableText"/>
            </w:pPr>
          </w:p>
        </w:tc>
        <w:tc>
          <w:tcPr>
            <w:tcW w:w="1989" w:type="pct"/>
            <w:tcBorders>
              <w:left w:val="nil"/>
              <w:bottom w:val="single" w:sz="4" w:space="0" w:color="auto"/>
            </w:tcBorders>
            <w:shd w:val="clear" w:color="auto" w:fill="auto"/>
            <w:noWrap/>
            <w:vAlign w:val="center"/>
            <w:hideMark/>
          </w:tcPr>
          <w:p w:rsidR="0032011D" w:rsidRPr="00933923" w:rsidRDefault="0032011D" w:rsidP="002E1D76">
            <w:pPr>
              <w:pStyle w:val="TX-TableText"/>
            </w:pPr>
            <w:r w:rsidRPr="00933923">
              <w:t>Service Providers (Crisis Centers)</w:t>
            </w:r>
          </w:p>
        </w:tc>
        <w:tc>
          <w:tcPr>
            <w:tcW w:w="679" w:type="pct"/>
            <w:shd w:val="clear" w:color="auto" w:fill="auto"/>
            <w:noWrap/>
            <w:vAlign w:val="center"/>
            <w:hideMark/>
          </w:tcPr>
          <w:p w:rsidR="0032011D" w:rsidRPr="00933923" w:rsidRDefault="0032011D" w:rsidP="002E1D76">
            <w:pPr>
              <w:pStyle w:val="TX-TableText"/>
              <w:jc w:val="center"/>
            </w:pPr>
            <w:r w:rsidRPr="00933923">
              <w:t>0.</w:t>
            </w:r>
            <w:r w:rsidR="008E41CE" w:rsidRPr="00933923">
              <w:t>73</w:t>
            </w:r>
            <w:r w:rsidR="00FF5E8F" w:rsidRPr="00933923">
              <w:t>3</w:t>
            </w:r>
          </w:p>
        </w:tc>
        <w:tc>
          <w:tcPr>
            <w:tcW w:w="852" w:type="pct"/>
            <w:shd w:val="clear" w:color="auto" w:fill="auto"/>
            <w:noWrap/>
            <w:vAlign w:val="center"/>
            <w:hideMark/>
          </w:tcPr>
          <w:p w:rsidR="0032011D" w:rsidRPr="00933923" w:rsidRDefault="0032011D" w:rsidP="002E1D76">
            <w:pPr>
              <w:pStyle w:val="TX-TableText"/>
              <w:jc w:val="center"/>
            </w:pPr>
            <w:r w:rsidRPr="00933923">
              <w:t>25</w:t>
            </w:r>
          </w:p>
        </w:tc>
        <w:tc>
          <w:tcPr>
            <w:tcW w:w="647" w:type="pct"/>
            <w:shd w:val="clear" w:color="auto" w:fill="auto"/>
            <w:noWrap/>
            <w:vAlign w:val="center"/>
            <w:hideMark/>
          </w:tcPr>
          <w:p w:rsidR="0032011D" w:rsidRPr="00933923" w:rsidRDefault="0032011D" w:rsidP="002E1D76">
            <w:pPr>
              <w:pStyle w:val="TX-TableText"/>
              <w:jc w:val="center"/>
            </w:pPr>
            <w:r w:rsidRPr="00933923">
              <w:t>18</w:t>
            </w:r>
            <w:r w:rsidR="008E41CE" w:rsidRPr="00933923">
              <w:t>.3</w:t>
            </w:r>
          </w:p>
        </w:tc>
        <w:tc>
          <w:tcPr>
            <w:tcW w:w="716" w:type="pct"/>
            <w:tcBorders>
              <w:right w:val="nil"/>
            </w:tcBorders>
            <w:shd w:val="clear" w:color="auto" w:fill="auto"/>
            <w:noWrap/>
            <w:vAlign w:val="center"/>
            <w:hideMark/>
          </w:tcPr>
          <w:p w:rsidR="0032011D" w:rsidRPr="00933923" w:rsidRDefault="0032011D" w:rsidP="002E1D76">
            <w:pPr>
              <w:pStyle w:val="TX-TableText"/>
              <w:jc w:val="center"/>
            </w:pPr>
            <w:r w:rsidRPr="00933923">
              <w:t>$40</w:t>
            </w:r>
            <w:r w:rsidR="00FF5E8F" w:rsidRPr="00933923">
              <w:t>6</w:t>
            </w:r>
          </w:p>
        </w:tc>
      </w:tr>
      <w:tr w:rsidR="0032011D" w:rsidRPr="00933923" w:rsidTr="003156B7">
        <w:tc>
          <w:tcPr>
            <w:tcW w:w="116" w:type="pct"/>
            <w:tcBorders>
              <w:left w:val="nil"/>
              <w:bottom w:val="single" w:sz="4" w:space="0" w:color="auto"/>
              <w:right w:val="nil"/>
            </w:tcBorders>
            <w:shd w:val="clear" w:color="auto" w:fill="auto"/>
            <w:noWrap/>
            <w:vAlign w:val="center"/>
            <w:hideMark/>
          </w:tcPr>
          <w:p w:rsidR="0032011D" w:rsidRPr="00933923" w:rsidRDefault="0032011D" w:rsidP="002E1D76">
            <w:pPr>
              <w:pStyle w:val="TX-TableText"/>
            </w:pPr>
          </w:p>
        </w:tc>
        <w:tc>
          <w:tcPr>
            <w:tcW w:w="1989" w:type="pct"/>
            <w:tcBorders>
              <w:left w:val="nil"/>
              <w:bottom w:val="single" w:sz="4" w:space="0" w:color="auto"/>
            </w:tcBorders>
            <w:shd w:val="clear" w:color="auto" w:fill="auto"/>
            <w:noWrap/>
            <w:vAlign w:val="center"/>
            <w:hideMark/>
          </w:tcPr>
          <w:p w:rsidR="0032011D" w:rsidRPr="00933923" w:rsidRDefault="0032011D" w:rsidP="002E1D76">
            <w:pPr>
              <w:pStyle w:val="TX-TableText"/>
            </w:pPr>
            <w:r w:rsidRPr="00933923">
              <w:t>High Risk Sample (Universities / Colleges)</w:t>
            </w:r>
          </w:p>
        </w:tc>
        <w:tc>
          <w:tcPr>
            <w:tcW w:w="679" w:type="pct"/>
            <w:shd w:val="clear" w:color="auto" w:fill="auto"/>
            <w:noWrap/>
            <w:vAlign w:val="center"/>
            <w:hideMark/>
          </w:tcPr>
          <w:p w:rsidR="0032011D" w:rsidRPr="00933923" w:rsidRDefault="0032011D" w:rsidP="002E1D76">
            <w:pPr>
              <w:pStyle w:val="TX-TableText"/>
              <w:jc w:val="center"/>
            </w:pPr>
            <w:r w:rsidRPr="00933923">
              <w:t>0.</w:t>
            </w:r>
            <w:r w:rsidR="008E41CE" w:rsidRPr="00933923">
              <w:t>83</w:t>
            </w:r>
            <w:r w:rsidR="00FF5E8F" w:rsidRPr="00933923">
              <w:t>3</w:t>
            </w:r>
          </w:p>
        </w:tc>
        <w:tc>
          <w:tcPr>
            <w:tcW w:w="852" w:type="pct"/>
            <w:shd w:val="clear" w:color="auto" w:fill="auto"/>
            <w:noWrap/>
            <w:vAlign w:val="center"/>
            <w:hideMark/>
          </w:tcPr>
          <w:p w:rsidR="0032011D" w:rsidRPr="00933923" w:rsidRDefault="0032011D" w:rsidP="002E1D76">
            <w:pPr>
              <w:pStyle w:val="TX-TableText"/>
              <w:jc w:val="center"/>
            </w:pPr>
            <w:r w:rsidRPr="00933923">
              <w:t>20</w:t>
            </w:r>
          </w:p>
        </w:tc>
        <w:tc>
          <w:tcPr>
            <w:tcW w:w="647" w:type="pct"/>
            <w:shd w:val="clear" w:color="auto" w:fill="auto"/>
            <w:noWrap/>
            <w:vAlign w:val="center"/>
            <w:hideMark/>
          </w:tcPr>
          <w:p w:rsidR="0032011D" w:rsidRPr="00933923" w:rsidRDefault="0032011D" w:rsidP="002E1D76">
            <w:pPr>
              <w:pStyle w:val="TX-TableText"/>
              <w:jc w:val="center"/>
            </w:pPr>
            <w:r w:rsidRPr="00933923">
              <w:t>1</w:t>
            </w:r>
            <w:r w:rsidR="008E41CE" w:rsidRPr="00933923">
              <w:t>6.7</w:t>
            </w:r>
          </w:p>
        </w:tc>
        <w:tc>
          <w:tcPr>
            <w:tcW w:w="716" w:type="pct"/>
            <w:tcBorders>
              <w:right w:val="nil"/>
            </w:tcBorders>
            <w:shd w:val="clear" w:color="auto" w:fill="auto"/>
            <w:noWrap/>
            <w:vAlign w:val="center"/>
            <w:hideMark/>
          </w:tcPr>
          <w:p w:rsidR="0032011D" w:rsidRPr="00933923" w:rsidRDefault="0032011D" w:rsidP="002E1D76">
            <w:pPr>
              <w:pStyle w:val="TX-TableText"/>
              <w:jc w:val="center"/>
            </w:pPr>
            <w:r w:rsidRPr="00933923">
              <w:t>$331</w:t>
            </w:r>
          </w:p>
        </w:tc>
      </w:tr>
      <w:tr w:rsidR="0032011D" w:rsidRPr="00933923" w:rsidTr="003156B7">
        <w:tc>
          <w:tcPr>
            <w:tcW w:w="2105" w:type="pct"/>
            <w:gridSpan w:val="2"/>
            <w:tcBorders>
              <w:left w:val="nil"/>
              <w:bottom w:val="single" w:sz="4" w:space="0" w:color="auto"/>
              <w:right w:val="nil"/>
            </w:tcBorders>
            <w:shd w:val="clear" w:color="auto" w:fill="auto"/>
            <w:noWrap/>
            <w:vAlign w:val="center"/>
            <w:hideMark/>
          </w:tcPr>
          <w:p w:rsidR="0032011D" w:rsidRPr="00933923" w:rsidRDefault="0032011D" w:rsidP="002E1D76">
            <w:pPr>
              <w:pStyle w:val="TX-TableText"/>
            </w:pPr>
            <w:r w:rsidRPr="00933923">
              <w:t>Pilot Test</w:t>
            </w:r>
          </w:p>
        </w:tc>
        <w:tc>
          <w:tcPr>
            <w:tcW w:w="679" w:type="pct"/>
            <w:tcBorders>
              <w:left w:val="nil"/>
              <w:right w:val="nil"/>
            </w:tcBorders>
            <w:shd w:val="clear" w:color="auto" w:fill="auto"/>
            <w:noWrap/>
            <w:vAlign w:val="center"/>
            <w:hideMark/>
          </w:tcPr>
          <w:p w:rsidR="0032011D" w:rsidRPr="00933923" w:rsidRDefault="0032011D" w:rsidP="002E1D76">
            <w:pPr>
              <w:pStyle w:val="TX-TableText"/>
            </w:pPr>
          </w:p>
        </w:tc>
        <w:tc>
          <w:tcPr>
            <w:tcW w:w="852" w:type="pct"/>
            <w:tcBorders>
              <w:left w:val="nil"/>
              <w:right w:val="nil"/>
            </w:tcBorders>
            <w:shd w:val="clear" w:color="auto" w:fill="auto"/>
            <w:noWrap/>
            <w:vAlign w:val="center"/>
            <w:hideMark/>
          </w:tcPr>
          <w:p w:rsidR="0032011D" w:rsidRPr="00933923" w:rsidRDefault="0032011D" w:rsidP="002E1D76">
            <w:pPr>
              <w:pStyle w:val="TX-TableText"/>
            </w:pPr>
          </w:p>
        </w:tc>
        <w:tc>
          <w:tcPr>
            <w:tcW w:w="647" w:type="pct"/>
            <w:tcBorders>
              <w:left w:val="nil"/>
              <w:right w:val="nil"/>
            </w:tcBorders>
            <w:shd w:val="clear" w:color="auto" w:fill="auto"/>
            <w:noWrap/>
            <w:vAlign w:val="center"/>
            <w:hideMark/>
          </w:tcPr>
          <w:p w:rsidR="0032011D" w:rsidRPr="00933923" w:rsidRDefault="0032011D" w:rsidP="002E1D76">
            <w:pPr>
              <w:pStyle w:val="TX-TableText"/>
            </w:pPr>
          </w:p>
        </w:tc>
        <w:tc>
          <w:tcPr>
            <w:tcW w:w="716" w:type="pct"/>
            <w:tcBorders>
              <w:left w:val="nil"/>
              <w:right w:val="nil"/>
            </w:tcBorders>
            <w:shd w:val="clear" w:color="auto" w:fill="auto"/>
            <w:noWrap/>
            <w:vAlign w:val="center"/>
            <w:hideMark/>
          </w:tcPr>
          <w:p w:rsidR="0032011D" w:rsidRPr="00933923" w:rsidRDefault="0032011D" w:rsidP="002E1D76">
            <w:pPr>
              <w:pStyle w:val="TX-TableText"/>
            </w:pPr>
          </w:p>
        </w:tc>
      </w:tr>
      <w:tr w:rsidR="0032011D" w:rsidRPr="00933923" w:rsidTr="003156B7">
        <w:tc>
          <w:tcPr>
            <w:tcW w:w="116" w:type="pct"/>
            <w:tcBorders>
              <w:left w:val="nil"/>
              <w:bottom w:val="single" w:sz="4" w:space="0" w:color="auto"/>
              <w:right w:val="nil"/>
            </w:tcBorders>
            <w:shd w:val="clear" w:color="auto" w:fill="auto"/>
            <w:noWrap/>
            <w:vAlign w:val="center"/>
            <w:hideMark/>
          </w:tcPr>
          <w:p w:rsidR="0032011D" w:rsidRPr="00933923" w:rsidRDefault="0032011D" w:rsidP="002E1D76">
            <w:pPr>
              <w:pStyle w:val="TX-TableText"/>
            </w:pPr>
          </w:p>
        </w:tc>
        <w:tc>
          <w:tcPr>
            <w:tcW w:w="1989" w:type="pct"/>
            <w:tcBorders>
              <w:left w:val="nil"/>
              <w:bottom w:val="single" w:sz="4" w:space="0" w:color="auto"/>
            </w:tcBorders>
            <w:shd w:val="clear" w:color="auto" w:fill="auto"/>
            <w:noWrap/>
            <w:vAlign w:val="center"/>
            <w:hideMark/>
          </w:tcPr>
          <w:p w:rsidR="0032011D" w:rsidRPr="00933923" w:rsidRDefault="0032011D" w:rsidP="002E1D76">
            <w:pPr>
              <w:pStyle w:val="TX-TableText"/>
            </w:pPr>
            <w:r w:rsidRPr="00933923">
              <w:t>Seeded Sample (Crisis Centers)</w:t>
            </w:r>
          </w:p>
        </w:tc>
        <w:tc>
          <w:tcPr>
            <w:tcW w:w="679" w:type="pct"/>
            <w:shd w:val="clear" w:color="auto" w:fill="auto"/>
            <w:noWrap/>
            <w:vAlign w:val="center"/>
            <w:hideMark/>
          </w:tcPr>
          <w:p w:rsidR="0032011D" w:rsidRPr="00933923" w:rsidRDefault="0032011D" w:rsidP="002E1D76">
            <w:pPr>
              <w:pStyle w:val="TX-TableText"/>
              <w:jc w:val="center"/>
            </w:pPr>
            <w:r w:rsidRPr="00933923">
              <w:t>0.</w:t>
            </w:r>
            <w:r w:rsidR="008E41CE" w:rsidRPr="00933923">
              <w:t>590</w:t>
            </w:r>
          </w:p>
        </w:tc>
        <w:tc>
          <w:tcPr>
            <w:tcW w:w="852" w:type="pct"/>
            <w:shd w:val="clear" w:color="auto" w:fill="auto"/>
            <w:noWrap/>
            <w:vAlign w:val="center"/>
            <w:hideMark/>
          </w:tcPr>
          <w:p w:rsidR="0032011D" w:rsidRPr="00933923" w:rsidRDefault="0032011D" w:rsidP="002E1D76">
            <w:pPr>
              <w:pStyle w:val="TX-TableText"/>
              <w:jc w:val="center"/>
            </w:pPr>
            <w:r w:rsidRPr="00933923">
              <w:t>325</w:t>
            </w:r>
          </w:p>
        </w:tc>
        <w:tc>
          <w:tcPr>
            <w:tcW w:w="647" w:type="pct"/>
            <w:shd w:val="clear" w:color="auto" w:fill="auto"/>
            <w:noWrap/>
            <w:vAlign w:val="center"/>
            <w:hideMark/>
          </w:tcPr>
          <w:p w:rsidR="0032011D" w:rsidRPr="00933923" w:rsidRDefault="0032011D" w:rsidP="002E1D76">
            <w:pPr>
              <w:pStyle w:val="TX-TableText"/>
              <w:jc w:val="center"/>
            </w:pPr>
            <w:r w:rsidRPr="00933923">
              <w:t>19</w:t>
            </w:r>
            <w:r w:rsidR="008E41CE" w:rsidRPr="00933923">
              <w:t>1.7</w:t>
            </w:r>
          </w:p>
        </w:tc>
        <w:tc>
          <w:tcPr>
            <w:tcW w:w="716" w:type="pct"/>
            <w:tcBorders>
              <w:right w:val="nil"/>
            </w:tcBorders>
            <w:shd w:val="clear" w:color="auto" w:fill="auto"/>
            <w:noWrap/>
            <w:vAlign w:val="center"/>
            <w:hideMark/>
          </w:tcPr>
          <w:p w:rsidR="0032011D" w:rsidRPr="00933923" w:rsidRDefault="0032011D" w:rsidP="002E1D76">
            <w:pPr>
              <w:pStyle w:val="TX-TableText"/>
              <w:jc w:val="center"/>
            </w:pPr>
            <w:r w:rsidRPr="00933923">
              <w:t>$4,24</w:t>
            </w:r>
            <w:r w:rsidR="00FF5E8F" w:rsidRPr="00933923">
              <w:t>5</w:t>
            </w:r>
          </w:p>
        </w:tc>
      </w:tr>
      <w:tr w:rsidR="0032011D" w:rsidRPr="00933923" w:rsidTr="003156B7">
        <w:tc>
          <w:tcPr>
            <w:tcW w:w="116" w:type="pct"/>
            <w:tcBorders>
              <w:left w:val="nil"/>
              <w:bottom w:val="single" w:sz="4" w:space="0" w:color="auto"/>
              <w:right w:val="nil"/>
            </w:tcBorders>
            <w:shd w:val="clear" w:color="auto" w:fill="auto"/>
            <w:noWrap/>
            <w:vAlign w:val="center"/>
            <w:hideMark/>
          </w:tcPr>
          <w:p w:rsidR="0032011D" w:rsidRPr="00933923" w:rsidRDefault="0032011D" w:rsidP="002E1D76">
            <w:pPr>
              <w:pStyle w:val="TX-TableText"/>
            </w:pPr>
          </w:p>
        </w:tc>
        <w:tc>
          <w:tcPr>
            <w:tcW w:w="1989" w:type="pct"/>
            <w:tcBorders>
              <w:left w:val="nil"/>
              <w:bottom w:val="single" w:sz="4" w:space="0" w:color="auto"/>
            </w:tcBorders>
            <w:shd w:val="clear" w:color="auto" w:fill="auto"/>
            <w:noWrap/>
            <w:vAlign w:val="center"/>
            <w:hideMark/>
          </w:tcPr>
          <w:p w:rsidR="0032011D" w:rsidRPr="00933923" w:rsidRDefault="0032011D" w:rsidP="002E1D76">
            <w:pPr>
              <w:pStyle w:val="TX-TableText"/>
            </w:pPr>
            <w:r w:rsidRPr="00933923">
              <w:t>High Risk Sample (Universities / Colleges)</w:t>
            </w:r>
          </w:p>
        </w:tc>
        <w:tc>
          <w:tcPr>
            <w:tcW w:w="679" w:type="pct"/>
            <w:shd w:val="clear" w:color="auto" w:fill="auto"/>
            <w:noWrap/>
            <w:vAlign w:val="center"/>
            <w:hideMark/>
          </w:tcPr>
          <w:p w:rsidR="0032011D" w:rsidRPr="00933923" w:rsidRDefault="0032011D" w:rsidP="002E1D76">
            <w:pPr>
              <w:pStyle w:val="TX-TableText"/>
              <w:jc w:val="center"/>
            </w:pPr>
            <w:r w:rsidRPr="00933923">
              <w:t>0.83</w:t>
            </w:r>
            <w:r w:rsidR="008E41CE" w:rsidRPr="00933923">
              <w:t>3</w:t>
            </w:r>
          </w:p>
        </w:tc>
        <w:tc>
          <w:tcPr>
            <w:tcW w:w="852" w:type="pct"/>
            <w:shd w:val="clear" w:color="auto" w:fill="auto"/>
            <w:noWrap/>
            <w:vAlign w:val="center"/>
            <w:hideMark/>
          </w:tcPr>
          <w:p w:rsidR="0032011D" w:rsidRPr="00933923" w:rsidRDefault="0032011D" w:rsidP="002E1D76">
            <w:pPr>
              <w:pStyle w:val="TX-TableText"/>
              <w:jc w:val="center"/>
            </w:pPr>
            <w:r w:rsidRPr="00933923">
              <w:t>100</w:t>
            </w:r>
          </w:p>
        </w:tc>
        <w:tc>
          <w:tcPr>
            <w:tcW w:w="647" w:type="pct"/>
            <w:shd w:val="clear" w:color="auto" w:fill="auto"/>
            <w:noWrap/>
            <w:vAlign w:val="center"/>
            <w:hideMark/>
          </w:tcPr>
          <w:p w:rsidR="0032011D" w:rsidRPr="00933923" w:rsidRDefault="0032011D" w:rsidP="002E1D76">
            <w:pPr>
              <w:pStyle w:val="TX-TableText"/>
              <w:jc w:val="center"/>
            </w:pPr>
            <w:r w:rsidRPr="00933923">
              <w:t>83</w:t>
            </w:r>
            <w:r w:rsidR="008E41CE" w:rsidRPr="00933923">
              <w:t>.3</w:t>
            </w:r>
          </w:p>
        </w:tc>
        <w:tc>
          <w:tcPr>
            <w:tcW w:w="716" w:type="pct"/>
            <w:tcBorders>
              <w:right w:val="nil"/>
            </w:tcBorders>
            <w:shd w:val="clear" w:color="auto" w:fill="auto"/>
            <w:noWrap/>
            <w:vAlign w:val="center"/>
            <w:hideMark/>
          </w:tcPr>
          <w:p w:rsidR="0032011D" w:rsidRPr="00933923" w:rsidRDefault="0032011D" w:rsidP="002E1D76">
            <w:pPr>
              <w:pStyle w:val="TX-TableText"/>
              <w:jc w:val="center"/>
            </w:pPr>
            <w:r w:rsidRPr="00933923">
              <w:t>$1,654</w:t>
            </w:r>
          </w:p>
        </w:tc>
      </w:tr>
      <w:tr w:rsidR="0032011D" w:rsidRPr="00933923" w:rsidTr="003156B7">
        <w:tc>
          <w:tcPr>
            <w:tcW w:w="3636" w:type="pct"/>
            <w:gridSpan w:val="4"/>
            <w:tcBorders>
              <w:left w:val="nil"/>
              <w:bottom w:val="single" w:sz="4" w:space="0" w:color="auto"/>
            </w:tcBorders>
            <w:shd w:val="clear" w:color="auto" w:fill="auto"/>
            <w:noWrap/>
            <w:vAlign w:val="center"/>
            <w:hideMark/>
          </w:tcPr>
          <w:p w:rsidR="0032011D" w:rsidRPr="00933923" w:rsidRDefault="0032011D" w:rsidP="002E1D76">
            <w:pPr>
              <w:pStyle w:val="TX-TableText"/>
              <w:rPr>
                <w:b/>
                <w:bCs/>
              </w:rPr>
            </w:pPr>
            <w:r w:rsidRPr="00933923">
              <w:rPr>
                <w:b/>
                <w:bCs/>
              </w:rPr>
              <w:t xml:space="preserve">Total Agency Burden </w:t>
            </w:r>
          </w:p>
        </w:tc>
        <w:tc>
          <w:tcPr>
            <w:tcW w:w="647" w:type="pct"/>
            <w:tcBorders>
              <w:bottom w:val="single" w:sz="4" w:space="0" w:color="auto"/>
            </w:tcBorders>
            <w:shd w:val="clear" w:color="auto" w:fill="auto"/>
            <w:noWrap/>
            <w:vAlign w:val="center"/>
            <w:hideMark/>
          </w:tcPr>
          <w:p w:rsidR="0032011D" w:rsidRPr="00933923" w:rsidRDefault="0032011D" w:rsidP="002E1D76">
            <w:pPr>
              <w:pStyle w:val="TX-TableText"/>
              <w:jc w:val="center"/>
              <w:rPr>
                <w:b/>
                <w:bCs/>
              </w:rPr>
            </w:pPr>
            <w:r w:rsidRPr="00933923">
              <w:rPr>
                <w:b/>
                <w:bCs/>
              </w:rPr>
              <w:t>310</w:t>
            </w:r>
          </w:p>
        </w:tc>
        <w:tc>
          <w:tcPr>
            <w:tcW w:w="716" w:type="pct"/>
            <w:tcBorders>
              <w:bottom w:val="single" w:sz="4" w:space="0" w:color="auto"/>
              <w:right w:val="nil"/>
            </w:tcBorders>
            <w:shd w:val="clear" w:color="auto" w:fill="auto"/>
            <w:noWrap/>
            <w:vAlign w:val="center"/>
            <w:hideMark/>
          </w:tcPr>
          <w:p w:rsidR="0032011D" w:rsidRPr="00933923" w:rsidRDefault="0032011D" w:rsidP="002E1D76">
            <w:pPr>
              <w:pStyle w:val="TX-TableText"/>
              <w:jc w:val="center"/>
              <w:rPr>
                <w:b/>
                <w:bCs/>
              </w:rPr>
            </w:pPr>
            <w:r w:rsidRPr="00933923">
              <w:rPr>
                <w:b/>
                <w:bCs/>
              </w:rPr>
              <w:t>$6,637</w:t>
            </w:r>
          </w:p>
        </w:tc>
      </w:tr>
    </w:tbl>
    <w:p w:rsidR="00C23183" w:rsidRPr="00933923" w:rsidRDefault="00AC526C" w:rsidP="002E1D76">
      <w:pPr>
        <w:pStyle w:val="TF-TblFN"/>
      </w:pPr>
      <w:r w:rsidRPr="00933923">
        <w:t>+Rounded to the nearest integer</w:t>
      </w:r>
    </w:p>
    <w:p w:rsidR="00A5169F" w:rsidRPr="00933923" w:rsidRDefault="00A5169F"/>
    <w:p w:rsidR="00C44DA0" w:rsidRDefault="00C44DA0" w:rsidP="00C44DA0">
      <w:pPr>
        <w:pStyle w:val="L1-FlLSp12"/>
      </w:pPr>
      <w:r>
        <w:t xml:space="preserve">Our burden estimates for respondents comprise multiple activities with varied durations.  These activities apply to different numbers of respondents.  </w:t>
      </w:r>
      <w:r w:rsidR="00576326">
        <w:t>Table 4</w:t>
      </w:r>
      <w:r>
        <w:t xml:space="preserve"> lists the activities, estimated duration times and the number of respondents associated with each activity.  </w:t>
      </w:r>
      <w:r w:rsidRPr="00933923">
        <w:t>We anticipate that respondents may be engaged in the following activities: reading flyers and pre-notification, recruitment and conversion letters, contacting Westat by web or phone to volunteer for participation, completing the household roster screener survey by mail, by phone, or in person, receiving post-survey letter and incentive, completing the respondent survey by phone or in person, and completing the re-interview survey by phone or in person.</w:t>
      </w:r>
    </w:p>
    <w:p w:rsidR="00C44DA0" w:rsidRDefault="00C44DA0" w:rsidP="00C44DA0">
      <w:pPr>
        <w:pStyle w:val="L1-FlLSp12"/>
      </w:pPr>
    </w:p>
    <w:p w:rsidR="00C44DA0" w:rsidRDefault="00C44DA0" w:rsidP="00C44DA0">
      <w:pPr>
        <w:pStyle w:val="L1-FlLSp12"/>
      </w:pPr>
      <w:r>
        <w:t>For example, it is expected that 72 individuals will read the flyer and/or respond via web/phone among the high risk volunteers and will spend .067, or about 4 minutes, responding.  The average time to complete the survey will vary by sample type because of the anticipated number of respondents expected to report an eligible victimization.  For the General Population, an average of approximately 17 minutes per respondent is anticipated (.289 x 60 minutes).  This is based on assumptions related to the number of eligible events reported by this group.  For the Service Provider sample, where virtually all respondents are anticipated to report at least one incident, it is estimated that the average will be about 34 minutes (.565 x 60 minutes).  Estimates of the length of the victimization screener and detailed incident forms are based on dry runs conducted in-house and the cognitive interviews.</w:t>
      </w:r>
    </w:p>
    <w:p w:rsidR="00C44DA0" w:rsidRDefault="00C44DA0" w:rsidP="00C44DA0">
      <w:pPr>
        <w:pStyle w:val="L1-FlLSp12"/>
      </w:pPr>
    </w:p>
    <w:p w:rsidR="00C44DA0" w:rsidRDefault="00C44DA0" w:rsidP="00C44DA0">
      <w:pPr>
        <w:spacing w:line="240" w:lineRule="auto"/>
        <w:rPr>
          <w:rFonts w:ascii="Franklin Gothic Medium" w:hAnsi="Franklin Gothic Medium"/>
          <w:sz w:val="22"/>
        </w:rPr>
      </w:pPr>
    </w:p>
    <w:p w:rsidR="00C44DA0" w:rsidRDefault="00576326" w:rsidP="003156B7">
      <w:pPr>
        <w:pStyle w:val="Heading4"/>
      </w:pPr>
      <w:bookmarkStart w:id="79" w:name="_Toc367708427"/>
      <w:bookmarkStart w:id="80" w:name="_Toc367708454"/>
      <w:bookmarkStart w:id="81" w:name="_Toc380930497"/>
      <w:bookmarkStart w:id="82" w:name="_Toc380930600"/>
      <w:bookmarkStart w:id="83" w:name="_Toc380930777"/>
      <w:proofErr w:type="gramStart"/>
      <w:r>
        <w:lastRenderedPageBreak/>
        <w:t>Table 4</w:t>
      </w:r>
      <w:r w:rsidR="00C44DA0" w:rsidRPr="00933923">
        <w:t>.</w:t>
      </w:r>
      <w:proofErr w:type="gramEnd"/>
      <w:r w:rsidR="00C44DA0" w:rsidRPr="00933923">
        <w:tab/>
      </w:r>
      <w:r w:rsidR="00C44DA0">
        <w:t xml:space="preserve">Respondent activities, times, and respondents </w:t>
      </w:r>
      <w:r w:rsidR="00C44DA0" w:rsidRPr="00933923">
        <w:t>for the NSHS Interviews</w:t>
      </w:r>
      <w:bookmarkEnd w:id="79"/>
      <w:bookmarkEnd w:id="80"/>
      <w:bookmarkEnd w:id="81"/>
      <w:bookmarkEnd w:id="82"/>
      <w:bookmarkEnd w:id="83"/>
    </w:p>
    <w:p w:rsidR="009914AE" w:rsidRPr="00933923" w:rsidRDefault="009914AE" w:rsidP="00C44DA0">
      <w:pPr>
        <w:pStyle w:val="TT-TableTitle"/>
      </w:pP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5"/>
        <w:gridCol w:w="1800"/>
        <w:gridCol w:w="1170"/>
        <w:gridCol w:w="1530"/>
        <w:gridCol w:w="1350"/>
        <w:gridCol w:w="180"/>
      </w:tblGrid>
      <w:tr w:rsidR="00C44DA0" w:rsidRPr="00933923" w:rsidTr="002E1D76">
        <w:tc>
          <w:tcPr>
            <w:tcW w:w="3165" w:type="dxa"/>
            <w:tcBorders>
              <w:left w:val="nil"/>
            </w:tcBorders>
            <w:shd w:val="clear" w:color="auto" w:fill="AFBED7"/>
            <w:vAlign w:val="bottom"/>
          </w:tcPr>
          <w:p w:rsidR="00C44DA0" w:rsidRPr="00933923" w:rsidRDefault="00C44DA0" w:rsidP="002E1D76">
            <w:pPr>
              <w:pStyle w:val="TH-TableHeading"/>
            </w:pPr>
            <w:bookmarkStart w:id="84" w:name="_Toc380930601"/>
            <w:r>
              <w:t>Task Activity</w:t>
            </w:r>
            <w:bookmarkEnd w:id="84"/>
            <w:r>
              <w:t xml:space="preserve"> </w:t>
            </w:r>
          </w:p>
        </w:tc>
        <w:tc>
          <w:tcPr>
            <w:tcW w:w="1800" w:type="dxa"/>
            <w:shd w:val="clear" w:color="auto" w:fill="AFBED7"/>
            <w:vAlign w:val="bottom"/>
            <w:hideMark/>
          </w:tcPr>
          <w:p w:rsidR="00C44DA0" w:rsidRPr="00933923" w:rsidRDefault="00C44DA0" w:rsidP="002E1D76">
            <w:pPr>
              <w:pStyle w:val="TH-TableHeading"/>
            </w:pPr>
            <w:bookmarkStart w:id="85" w:name="_Toc380930602"/>
            <w:r>
              <w:t>Sample Type</w:t>
            </w:r>
            <w:bookmarkEnd w:id="85"/>
          </w:p>
        </w:tc>
        <w:tc>
          <w:tcPr>
            <w:tcW w:w="1170" w:type="dxa"/>
            <w:tcBorders>
              <w:right w:val="nil"/>
            </w:tcBorders>
            <w:shd w:val="clear" w:color="auto" w:fill="AFBED7"/>
            <w:vAlign w:val="bottom"/>
            <w:hideMark/>
          </w:tcPr>
          <w:p w:rsidR="00C44DA0" w:rsidRPr="00933923" w:rsidRDefault="00C44DA0" w:rsidP="002E1D76">
            <w:pPr>
              <w:pStyle w:val="TH-TableHeading"/>
            </w:pPr>
            <w:bookmarkStart w:id="86" w:name="_Toc380930603"/>
            <w:r>
              <w:t>Time to complete</w:t>
            </w:r>
            <w:bookmarkEnd w:id="86"/>
            <w:r w:rsidRPr="00933923">
              <w:t xml:space="preserve"> </w:t>
            </w:r>
          </w:p>
        </w:tc>
        <w:tc>
          <w:tcPr>
            <w:tcW w:w="1530" w:type="dxa"/>
            <w:tcBorders>
              <w:right w:val="nil"/>
            </w:tcBorders>
            <w:shd w:val="clear" w:color="auto" w:fill="AFBED7"/>
            <w:vAlign w:val="bottom"/>
          </w:tcPr>
          <w:p w:rsidR="00C44DA0" w:rsidRDefault="00C44DA0" w:rsidP="002E1D76">
            <w:pPr>
              <w:pStyle w:val="TH-TableHeading"/>
            </w:pPr>
            <w:bookmarkStart w:id="87" w:name="_Toc380930604"/>
            <w:r>
              <w:t># of Feasibility</w:t>
            </w:r>
            <w:bookmarkEnd w:id="87"/>
            <w:r>
              <w:t xml:space="preserve"> </w:t>
            </w:r>
          </w:p>
          <w:p w:rsidR="00C44DA0" w:rsidRPr="00933923" w:rsidRDefault="00C44DA0" w:rsidP="002E1D76">
            <w:pPr>
              <w:pStyle w:val="TH-TableHeading"/>
            </w:pPr>
            <w:bookmarkStart w:id="88" w:name="_Toc380930605"/>
            <w:r>
              <w:t>Study Respondents</w:t>
            </w:r>
            <w:bookmarkEnd w:id="88"/>
          </w:p>
        </w:tc>
        <w:tc>
          <w:tcPr>
            <w:tcW w:w="1530" w:type="dxa"/>
            <w:gridSpan w:val="2"/>
            <w:tcBorders>
              <w:right w:val="nil"/>
            </w:tcBorders>
            <w:shd w:val="clear" w:color="auto" w:fill="AFBED7"/>
            <w:vAlign w:val="bottom"/>
          </w:tcPr>
          <w:p w:rsidR="00C44DA0" w:rsidRDefault="00C44DA0" w:rsidP="002E1D76">
            <w:pPr>
              <w:pStyle w:val="TH-TableHeading"/>
            </w:pPr>
            <w:bookmarkStart w:id="89" w:name="_Toc380930606"/>
            <w:r>
              <w:t># of Pilot</w:t>
            </w:r>
            <w:bookmarkEnd w:id="89"/>
            <w:r>
              <w:t xml:space="preserve"> </w:t>
            </w:r>
          </w:p>
          <w:p w:rsidR="00C44DA0" w:rsidRPr="00933923" w:rsidRDefault="00C44DA0" w:rsidP="002E1D76">
            <w:pPr>
              <w:pStyle w:val="TH-TableHeading"/>
            </w:pPr>
            <w:bookmarkStart w:id="90" w:name="_Toc380930607"/>
            <w:r>
              <w:t>Test Respondents</w:t>
            </w:r>
            <w:bookmarkEnd w:id="90"/>
          </w:p>
        </w:tc>
      </w:tr>
      <w:tr w:rsidR="00C44DA0" w:rsidRPr="00D55396" w:rsidTr="002E1D76">
        <w:trPr>
          <w:gridAfter w:val="1"/>
          <w:wAfter w:w="180" w:type="dxa"/>
        </w:trPr>
        <w:tc>
          <w:tcPr>
            <w:tcW w:w="9015" w:type="dxa"/>
            <w:gridSpan w:val="5"/>
            <w:tcBorders>
              <w:left w:val="nil"/>
              <w:bottom w:val="single" w:sz="4" w:space="0" w:color="auto"/>
              <w:right w:val="nil"/>
            </w:tcBorders>
            <w:shd w:val="clear" w:color="auto" w:fill="auto"/>
            <w:noWrap/>
            <w:hideMark/>
          </w:tcPr>
          <w:p w:rsidR="00C44DA0" w:rsidRPr="003D15C0" w:rsidRDefault="00C44DA0" w:rsidP="002E1D76">
            <w:pPr>
              <w:pStyle w:val="TX-TableText"/>
            </w:pPr>
            <w:r w:rsidRPr="003D15C0">
              <w:t>CATI Sample</w:t>
            </w:r>
          </w:p>
        </w:tc>
      </w:tr>
      <w:tr w:rsidR="00C44DA0" w:rsidRPr="00933923" w:rsidTr="002E1D76">
        <w:trPr>
          <w:gridAfter w:val="1"/>
          <w:wAfter w:w="180" w:type="dxa"/>
        </w:trPr>
        <w:tc>
          <w:tcPr>
            <w:tcW w:w="3165" w:type="dxa"/>
            <w:tcBorders>
              <w:left w:val="nil"/>
              <w:bottom w:val="single" w:sz="4" w:space="0" w:color="auto"/>
            </w:tcBorders>
            <w:shd w:val="clear" w:color="auto" w:fill="auto"/>
            <w:noWrap/>
          </w:tcPr>
          <w:p w:rsidR="00C44DA0" w:rsidRPr="002A4D16" w:rsidRDefault="00C44DA0" w:rsidP="002E1D76">
            <w:pPr>
              <w:pStyle w:val="TX-TableText"/>
            </w:pPr>
            <w:r w:rsidRPr="002A4D16">
              <w:t>Read flyer/respond via web or phone</w:t>
            </w:r>
          </w:p>
        </w:tc>
        <w:tc>
          <w:tcPr>
            <w:tcW w:w="1800" w:type="dxa"/>
            <w:shd w:val="clear" w:color="auto" w:fill="auto"/>
            <w:noWrap/>
          </w:tcPr>
          <w:p w:rsidR="00C44DA0" w:rsidRDefault="00C44DA0" w:rsidP="002E1D76">
            <w:pPr>
              <w:pStyle w:val="TX-TableText"/>
            </w:pPr>
            <w:r>
              <w:t>Service Provider</w:t>
            </w:r>
          </w:p>
          <w:p w:rsidR="00C44DA0" w:rsidRPr="003D15C0" w:rsidRDefault="00C44DA0" w:rsidP="002E1D76">
            <w:pPr>
              <w:pStyle w:val="TX-TableText"/>
            </w:pPr>
            <w:r>
              <w:t>High Risk</w:t>
            </w:r>
          </w:p>
        </w:tc>
        <w:tc>
          <w:tcPr>
            <w:tcW w:w="1170" w:type="dxa"/>
            <w:tcBorders>
              <w:right w:val="nil"/>
            </w:tcBorders>
            <w:shd w:val="clear" w:color="auto" w:fill="auto"/>
            <w:noWrap/>
          </w:tcPr>
          <w:p w:rsidR="00C44DA0" w:rsidRPr="003D15C0" w:rsidRDefault="00C44DA0" w:rsidP="002E1D76">
            <w:pPr>
              <w:pStyle w:val="TX-TableText"/>
            </w:pPr>
            <w:r>
              <w:t>0.067</w:t>
            </w:r>
          </w:p>
        </w:tc>
        <w:tc>
          <w:tcPr>
            <w:tcW w:w="1530" w:type="dxa"/>
            <w:tcBorders>
              <w:right w:val="nil"/>
            </w:tcBorders>
            <w:shd w:val="clear" w:color="auto" w:fill="auto"/>
          </w:tcPr>
          <w:p w:rsidR="00C44DA0" w:rsidRPr="003D15C0" w:rsidRDefault="00C44DA0" w:rsidP="002E1D76">
            <w:pPr>
              <w:pStyle w:val="TX-TableText"/>
            </w:pPr>
            <w:r>
              <w:t>72</w:t>
            </w:r>
          </w:p>
        </w:tc>
        <w:tc>
          <w:tcPr>
            <w:tcW w:w="1350" w:type="dxa"/>
            <w:tcBorders>
              <w:right w:val="nil"/>
            </w:tcBorders>
            <w:shd w:val="clear" w:color="auto" w:fill="auto"/>
          </w:tcPr>
          <w:p w:rsidR="00C44DA0" w:rsidRPr="003D15C0" w:rsidRDefault="00C44DA0" w:rsidP="002E1D76">
            <w:pPr>
              <w:pStyle w:val="TX-TableText"/>
            </w:pPr>
            <w:r>
              <w:t>1,566</w:t>
            </w:r>
          </w:p>
        </w:tc>
      </w:tr>
      <w:tr w:rsidR="00C44DA0" w:rsidRPr="00933923" w:rsidTr="002E1D76">
        <w:trPr>
          <w:gridAfter w:val="1"/>
          <w:wAfter w:w="180" w:type="dxa"/>
        </w:trPr>
        <w:tc>
          <w:tcPr>
            <w:tcW w:w="3165" w:type="dxa"/>
            <w:tcBorders>
              <w:left w:val="nil"/>
              <w:bottom w:val="single" w:sz="4" w:space="0" w:color="auto"/>
            </w:tcBorders>
            <w:shd w:val="clear" w:color="auto" w:fill="auto"/>
            <w:noWrap/>
          </w:tcPr>
          <w:p w:rsidR="00C44DA0" w:rsidRPr="002A4D16" w:rsidRDefault="00C44DA0" w:rsidP="002E1D76">
            <w:pPr>
              <w:pStyle w:val="TX-TableText"/>
            </w:pPr>
            <w:r w:rsidRPr="002A4D16">
              <w:t xml:space="preserve">Read </w:t>
            </w:r>
            <w:r>
              <w:t>letters (pre-notification, conversion, extended conversion)</w:t>
            </w:r>
          </w:p>
        </w:tc>
        <w:tc>
          <w:tcPr>
            <w:tcW w:w="1800" w:type="dxa"/>
            <w:shd w:val="clear" w:color="auto" w:fill="auto"/>
            <w:noWrap/>
          </w:tcPr>
          <w:p w:rsidR="00C44DA0" w:rsidRPr="003D15C0" w:rsidRDefault="00C44DA0" w:rsidP="002E1D76">
            <w:pPr>
              <w:pStyle w:val="TX-TableText"/>
            </w:pPr>
            <w:r>
              <w:t>RDD Landline</w:t>
            </w:r>
          </w:p>
        </w:tc>
        <w:tc>
          <w:tcPr>
            <w:tcW w:w="1170" w:type="dxa"/>
            <w:tcBorders>
              <w:right w:val="nil"/>
            </w:tcBorders>
            <w:shd w:val="clear" w:color="auto" w:fill="auto"/>
            <w:noWrap/>
          </w:tcPr>
          <w:p w:rsidR="00C44DA0" w:rsidRPr="003D15C0" w:rsidRDefault="00C44DA0" w:rsidP="002E1D76">
            <w:pPr>
              <w:pStyle w:val="TX-TableText"/>
            </w:pPr>
            <w:r>
              <w:t>0.017</w:t>
            </w:r>
          </w:p>
        </w:tc>
        <w:tc>
          <w:tcPr>
            <w:tcW w:w="1530" w:type="dxa"/>
            <w:tcBorders>
              <w:right w:val="nil"/>
            </w:tcBorders>
            <w:shd w:val="clear" w:color="auto" w:fill="auto"/>
          </w:tcPr>
          <w:p w:rsidR="00C44DA0" w:rsidRPr="003D15C0" w:rsidRDefault="00C44DA0" w:rsidP="002E1D76">
            <w:pPr>
              <w:pStyle w:val="TX-TableText"/>
            </w:pPr>
            <w:r>
              <w:t>483</w:t>
            </w:r>
          </w:p>
        </w:tc>
        <w:tc>
          <w:tcPr>
            <w:tcW w:w="1350" w:type="dxa"/>
            <w:tcBorders>
              <w:right w:val="nil"/>
            </w:tcBorders>
            <w:shd w:val="clear" w:color="auto" w:fill="auto"/>
          </w:tcPr>
          <w:p w:rsidR="00C44DA0" w:rsidRPr="003D15C0" w:rsidRDefault="00C44DA0" w:rsidP="002E1D76">
            <w:pPr>
              <w:pStyle w:val="TX-TableText"/>
            </w:pPr>
            <w:r>
              <w:t>51,532</w:t>
            </w:r>
          </w:p>
        </w:tc>
      </w:tr>
      <w:tr w:rsidR="00C44DA0" w:rsidRPr="00933923" w:rsidTr="002E1D76">
        <w:trPr>
          <w:gridAfter w:val="1"/>
          <w:wAfter w:w="180" w:type="dxa"/>
        </w:trPr>
        <w:tc>
          <w:tcPr>
            <w:tcW w:w="3165" w:type="dxa"/>
            <w:tcBorders>
              <w:left w:val="nil"/>
              <w:bottom w:val="single" w:sz="4" w:space="0" w:color="auto"/>
            </w:tcBorders>
            <w:shd w:val="clear" w:color="auto" w:fill="auto"/>
            <w:noWrap/>
          </w:tcPr>
          <w:p w:rsidR="00C44DA0" w:rsidRDefault="00C44DA0" w:rsidP="002E1D76">
            <w:pPr>
              <w:pStyle w:val="TX-TableText"/>
              <w:rPr>
                <w:szCs w:val="22"/>
              </w:rPr>
            </w:pPr>
            <w:r>
              <w:rPr>
                <w:szCs w:val="22"/>
              </w:rPr>
              <w:t>Read post-survey letter and receive incentive</w:t>
            </w:r>
          </w:p>
        </w:tc>
        <w:tc>
          <w:tcPr>
            <w:tcW w:w="1800" w:type="dxa"/>
            <w:shd w:val="clear" w:color="auto" w:fill="auto"/>
            <w:noWrap/>
          </w:tcPr>
          <w:p w:rsidR="00C44DA0" w:rsidRDefault="00C44DA0" w:rsidP="002E1D76">
            <w:pPr>
              <w:pStyle w:val="TX-TableText"/>
            </w:pPr>
            <w:r w:rsidRPr="003D15C0">
              <w:t>S</w:t>
            </w:r>
            <w:r>
              <w:t>er</w:t>
            </w:r>
            <w:r w:rsidRPr="003D15C0">
              <w:t>v</w:t>
            </w:r>
            <w:r>
              <w:t>i</w:t>
            </w:r>
            <w:r w:rsidRPr="003D15C0">
              <w:t>c</w:t>
            </w:r>
            <w:r>
              <w:t>e</w:t>
            </w:r>
            <w:r w:rsidRPr="003D15C0">
              <w:t xml:space="preserve"> Provider </w:t>
            </w:r>
          </w:p>
          <w:p w:rsidR="00C44DA0" w:rsidRPr="003D15C0" w:rsidRDefault="00C44DA0" w:rsidP="002E1D76">
            <w:pPr>
              <w:pStyle w:val="TX-TableText"/>
            </w:pPr>
            <w:r w:rsidRPr="003D15C0">
              <w:t>High Risk,</w:t>
            </w:r>
          </w:p>
          <w:p w:rsidR="00C44DA0" w:rsidRPr="003D15C0" w:rsidRDefault="00C44DA0" w:rsidP="002E1D76">
            <w:pPr>
              <w:pStyle w:val="TX-TableText"/>
            </w:pPr>
            <w:r>
              <w:t>RDD Landline/Cell</w:t>
            </w:r>
          </w:p>
        </w:tc>
        <w:tc>
          <w:tcPr>
            <w:tcW w:w="1170" w:type="dxa"/>
            <w:tcBorders>
              <w:right w:val="nil"/>
            </w:tcBorders>
            <w:shd w:val="clear" w:color="auto" w:fill="auto"/>
            <w:noWrap/>
          </w:tcPr>
          <w:p w:rsidR="00C44DA0" w:rsidRPr="003D15C0" w:rsidRDefault="00C44DA0" w:rsidP="002E1D76">
            <w:pPr>
              <w:pStyle w:val="TX-TableText"/>
            </w:pPr>
            <w:r>
              <w:t>0.017</w:t>
            </w:r>
          </w:p>
        </w:tc>
        <w:tc>
          <w:tcPr>
            <w:tcW w:w="1530" w:type="dxa"/>
            <w:tcBorders>
              <w:right w:val="nil"/>
            </w:tcBorders>
            <w:shd w:val="clear" w:color="auto" w:fill="auto"/>
          </w:tcPr>
          <w:p w:rsidR="00C44DA0" w:rsidRPr="003D15C0" w:rsidRDefault="00C44DA0" w:rsidP="002E1D76">
            <w:pPr>
              <w:pStyle w:val="TX-TableText"/>
            </w:pPr>
            <w:r>
              <w:t>110</w:t>
            </w:r>
          </w:p>
        </w:tc>
        <w:tc>
          <w:tcPr>
            <w:tcW w:w="1350" w:type="dxa"/>
            <w:tcBorders>
              <w:right w:val="nil"/>
            </w:tcBorders>
            <w:shd w:val="clear" w:color="auto" w:fill="auto"/>
          </w:tcPr>
          <w:p w:rsidR="00C44DA0" w:rsidRPr="003D15C0" w:rsidRDefault="00C44DA0" w:rsidP="002E1D76">
            <w:pPr>
              <w:pStyle w:val="TX-TableText"/>
            </w:pPr>
            <w:r>
              <w:t>9,800</w:t>
            </w:r>
          </w:p>
        </w:tc>
      </w:tr>
      <w:tr w:rsidR="00C44DA0" w:rsidRPr="00933923" w:rsidTr="002E1D76">
        <w:trPr>
          <w:gridAfter w:val="1"/>
          <w:wAfter w:w="180" w:type="dxa"/>
        </w:trPr>
        <w:tc>
          <w:tcPr>
            <w:tcW w:w="3165" w:type="dxa"/>
            <w:vMerge w:val="restart"/>
            <w:tcBorders>
              <w:left w:val="nil"/>
            </w:tcBorders>
            <w:shd w:val="clear" w:color="auto" w:fill="auto"/>
            <w:noWrap/>
          </w:tcPr>
          <w:p w:rsidR="00C44DA0" w:rsidRDefault="00C44DA0" w:rsidP="002E1D76">
            <w:pPr>
              <w:pStyle w:val="TX-TableText"/>
              <w:rPr>
                <w:szCs w:val="22"/>
              </w:rPr>
            </w:pPr>
            <w:r>
              <w:rPr>
                <w:szCs w:val="22"/>
              </w:rPr>
              <w:t>Respondent selection</w:t>
            </w:r>
          </w:p>
        </w:tc>
        <w:tc>
          <w:tcPr>
            <w:tcW w:w="1800" w:type="dxa"/>
            <w:shd w:val="clear" w:color="auto" w:fill="auto"/>
            <w:noWrap/>
          </w:tcPr>
          <w:p w:rsidR="00C44DA0" w:rsidRPr="003D15C0" w:rsidRDefault="00C44DA0" w:rsidP="002E1D76">
            <w:pPr>
              <w:pStyle w:val="TX-TableText"/>
            </w:pPr>
            <w:r>
              <w:t>RDD Landline</w:t>
            </w:r>
          </w:p>
        </w:tc>
        <w:tc>
          <w:tcPr>
            <w:tcW w:w="1170" w:type="dxa"/>
            <w:tcBorders>
              <w:right w:val="nil"/>
            </w:tcBorders>
            <w:shd w:val="clear" w:color="auto" w:fill="auto"/>
            <w:noWrap/>
          </w:tcPr>
          <w:p w:rsidR="00C44DA0" w:rsidRPr="003D15C0" w:rsidRDefault="00C44DA0" w:rsidP="002E1D76">
            <w:pPr>
              <w:pStyle w:val="TX-TableText"/>
            </w:pPr>
            <w:r>
              <w:t>0.083</w:t>
            </w:r>
          </w:p>
        </w:tc>
        <w:tc>
          <w:tcPr>
            <w:tcW w:w="1530" w:type="dxa"/>
            <w:tcBorders>
              <w:right w:val="nil"/>
            </w:tcBorders>
            <w:shd w:val="clear" w:color="auto" w:fill="auto"/>
          </w:tcPr>
          <w:p w:rsidR="00C44DA0" w:rsidRPr="003D15C0" w:rsidRDefault="00C44DA0" w:rsidP="002E1D76">
            <w:pPr>
              <w:pStyle w:val="TX-TableText"/>
            </w:pPr>
            <w:r>
              <w:t>34</w:t>
            </w:r>
          </w:p>
        </w:tc>
        <w:tc>
          <w:tcPr>
            <w:tcW w:w="1350" w:type="dxa"/>
            <w:tcBorders>
              <w:right w:val="nil"/>
            </w:tcBorders>
            <w:shd w:val="clear" w:color="auto" w:fill="auto"/>
          </w:tcPr>
          <w:p w:rsidR="00C44DA0" w:rsidRPr="003D15C0" w:rsidRDefault="00C44DA0" w:rsidP="002E1D76">
            <w:pPr>
              <w:pStyle w:val="TX-TableText"/>
            </w:pPr>
            <w:r>
              <w:t>6,772</w:t>
            </w:r>
          </w:p>
        </w:tc>
      </w:tr>
      <w:tr w:rsidR="00C44DA0" w:rsidRPr="00933923" w:rsidTr="002E1D76">
        <w:trPr>
          <w:gridAfter w:val="1"/>
          <w:wAfter w:w="180" w:type="dxa"/>
        </w:trPr>
        <w:tc>
          <w:tcPr>
            <w:tcW w:w="3165" w:type="dxa"/>
            <w:vMerge/>
            <w:tcBorders>
              <w:left w:val="nil"/>
              <w:bottom w:val="single" w:sz="4" w:space="0" w:color="auto"/>
            </w:tcBorders>
            <w:shd w:val="clear" w:color="auto" w:fill="auto"/>
            <w:noWrap/>
          </w:tcPr>
          <w:p w:rsidR="00C44DA0" w:rsidRDefault="00C44DA0" w:rsidP="002E1D76">
            <w:pPr>
              <w:pStyle w:val="TX-TableText"/>
              <w:rPr>
                <w:szCs w:val="22"/>
              </w:rPr>
            </w:pPr>
          </w:p>
        </w:tc>
        <w:tc>
          <w:tcPr>
            <w:tcW w:w="1800" w:type="dxa"/>
            <w:shd w:val="clear" w:color="auto" w:fill="auto"/>
            <w:noWrap/>
          </w:tcPr>
          <w:p w:rsidR="00C44DA0" w:rsidRPr="003D15C0" w:rsidRDefault="00C44DA0" w:rsidP="002E1D76">
            <w:pPr>
              <w:pStyle w:val="TX-TableText"/>
            </w:pPr>
            <w:r>
              <w:t>RDD Cell</w:t>
            </w:r>
          </w:p>
        </w:tc>
        <w:tc>
          <w:tcPr>
            <w:tcW w:w="1170" w:type="dxa"/>
            <w:tcBorders>
              <w:right w:val="nil"/>
            </w:tcBorders>
            <w:shd w:val="clear" w:color="auto" w:fill="auto"/>
            <w:noWrap/>
          </w:tcPr>
          <w:p w:rsidR="00C44DA0" w:rsidRPr="003D15C0" w:rsidRDefault="00C44DA0" w:rsidP="002E1D76">
            <w:pPr>
              <w:pStyle w:val="TX-TableText"/>
            </w:pPr>
            <w:r>
              <w:t>0.050</w:t>
            </w:r>
          </w:p>
        </w:tc>
        <w:tc>
          <w:tcPr>
            <w:tcW w:w="1530" w:type="dxa"/>
            <w:tcBorders>
              <w:right w:val="nil"/>
            </w:tcBorders>
            <w:shd w:val="clear" w:color="auto" w:fill="auto"/>
          </w:tcPr>
          <w:p w:rsidR="00C44DA0" w:rsidRPr="003D15C0" w:rsidRDefault="00C44DA0" w:rsidP="002E1D76">
            <w:pPr>
              <w:pStyle w:val="TX-TableText"/>
            </w:pPr>
            <w:r>
              <w:t>29</w:t>
            </w:r>
          </w:p>
        </w:tc>
        <w:tc>
          <w:tcPr>
            <w:tcW w:w="1350" w:type="dxa"/>
            <w:tcBorders>
              <w:right w:val="nil"/>
            </w:tcBorders>
            <w:shd w:val="clear" w:color="auto" w:fill="auto"/>
          </w:tcPr>
          <w:p w:rsidR="00C44DA0" w:rsidRPr="003D15C0" w:rsidRDefault="00C44DA0" w:rsidP="002E1D76">
            <w:pPr>
              <w:pStyle w:val="TX-TableText"/>
            </w:pPr>
            <w:r>
              <w:t>5,715</w:t>
            </w:r>
          </w:p>
        </w:tc>
      </w:tr>
      <w:tr w:rsidR="00C44DA0" w:rsidRPr="00933923" w:rsidTr="002E1D76">
        <w:trPr>
          <w:gridAfter w:val="1"/>
          <w:wAfter w:w="180" w:type="dxa"/>
        </w:trPr>
        <w:tc>
          <w:tcPr>
            <w:tcW w:w="3165" w:type="dxa"/>
            <w:vMerge w:val="restart"/>
            <w:tcBorders>
              <w:left w:val="nil"/>
            </w:tcBorders>
            <w:shd w:val="clear" w:color="auto" w:fill="auto"/>
            <w:noWrap/>
          </w:tcPr>
          <w:p w:rsidR="00C44DA0" w:rsidRPr="003D15C0" w:rsidRDefault="00C44DA0" w:rsidP="002E1D76">
            <w:pPr>
              <w:pStyle w:val="TX-TableText"/>
              <w:rPr>
                <w:szCs w:val="22"/>
              </w:rPr>
            </w:pPr>
            <w:r w:rsidRPr="003D15C0">
              <w:rPr>
                <w:szCs w:val="22"/>
              </w:rPr>
              <w:t xml:space="preserve">Complete </w:t>
            </w:r>
            <w:r>
              <w:rPr>
                <w:szCs w:val="22"/>
              </w:rPr>
              <w:t>s</w:t>
            </w:r>
            <w:r w:rsidRPr="003D15C0">
              <w:rPr>
                <w:szCs w:val="22"/>
              </w:rPr>
              <w:t xml:space="preserve">urvey </w:t>
            </w:r>
            <w:r>
              <w:rPr>
                <w:szCs w:val="22"/>
              </w:rPr>
              <w:t>by phone</w:t>
            </w:r>
          </w:p>
        </w:tc>
        <w:tc>
          <w:tcPr>
            <w:tcW w:w="1800" w:type="dxa"/>
            <w:shd w:val="clear" w:color="auto" w:fill="auto"/>
            <w:noWrap/>
          </w:tcPr>
          <w:p w:rsidR="00C44DA0" w:rsidRPr="003D15C0" w:rsidRDefault="00C44DA0" w:rsidP="002E1D76">
            <w:pPr>
              <w:pStyle w:val="TX-TableText"/>
            </w:pPr>
            <w:r>
              <w:t>Service Provider</w:t>
            </w:r>
          </w:p>
        </w:tc>
        <w:tc>
          <w:tcPr>
            <w:tcW w:w="1170" w:type="dxa"/>
            <w:tcBorders>
              <w:right w:val="nil"/>
            </w:tcBorders>
            <w:shd w:val="clear" w:color="auto" w:fill="auto"/>
            <w:noWrap/>
          </w:tcPr>
          <w:p w:rsidR="00C44DA0" w:rsidRPr="003D15C0" w:rsidRDefault="00C44DA0" w:rsidP="002E1D76">
            <w:pPr>
              <w:pStyle w:val="TX-TableText"/>
            </w:pPr>
            <w:r w:rsidRPr="003D15C0">
              <w:t>0.</w:t>
            </w:r>
            <w:r>
              <w:t>565</w:t>
            </w:r>
          </w:p>
        </w:tc>
        <w:tc>
          <w:tcPr>
            <w:tcW w:w="1530" w:type="dxa"/>
            <w:tcBorders>
              <w:right w:val="nil"/>
            </w:tcBorders>
            <w:shd w:val="clear" w:color="auto" w:fill="auto"/>
          </w:tcPr>
          <w:p w:rsidR="00C44DA0" w:rsidRPr="003D15C0" w:rsidRDefault="00C44DA0" w:rsidP="002E1D76">
            <w:pPr>
              <w:pStyle w:val="TX-TableText"/>
            </w:pPr>
            <w:r>
              <w:t>2</w:t>
            </w:r>
            <w:r w:rsidRPr="003D15C0">
              <w:t>0</w:t>
            </w:r>
          </w:p>
        </w:tc>
        <w:tc>
          <w:tcPr>
            <w:tcW w:w="1350" w:type="dxa"/>
            <w:tcBorders>
              <w:right w:val="nil"/>
            </w:tcBorders>
            <w:shd w:val="clear" w:color="auto" w:fill="auto"/>
          </w:tcPr>
          <w:p w:rsidR="00C44DA0" w:rsidRPr="003D15C0" w:rsidRDefault="00C44DA0" w:rsidP="002E1D76">
            <w:pPr>
              <w:pStyle w:val="TX-TableText"/>
            </w:pPr>
            <w:r>
              <w:t>3</w:t>
            </w:r>
            <w:r w:rsidRPr="003D15C0">
              <w:t>00</w:t>
            </w:r>
          </w:p>
        </w:tc>
      </w:tr>
      <w:tr w:rsidR="00C44DA0" w:rsidRPr="00933923" w:rsidTr="002E1D76">
        <w:trPr>
          <w:gridAfter w:val="1"/>
          <w:wAfter w:w="180" w:type="dxa"/>
        </w:trPr>
        <w:tc>
          <w:tcPr>
            <w:tcW w:w="3165" w:type="dxa"/>
            <w:vMerge/>
            <w:tcBorders>
              <w:left w:val="nil"/>
            </w:tcBorders>
            <w:shd w:val="clear" w:color="auto" w:fill="auto"/>
            <w:noWrap/>
          </w:tcPr>
          <w:p w:rsidR="00C44DA0" w:rsidRPr="003D15C0" w:rsidRDefault="00C44DA0" w:rsidP="002E1D76">
            <w:pPr>
              <w:pStyle w:val="TX-TableText"/>
              <w:rPr>
                <w:szCs w:val="22"/>
              </w:rPr>
            </w:pPr>
          </w:p>
        </w:tc>
        <w:tc>
          <w:tcPr>
            <w:tcW w:w="1800" w:type="dxa"/>
            <w:shd w:val="clear" w:color="auto" w:fill="auto"/>
            <w:noWrap/>
          </w:tcPr>
          <w:p w:rsidR="00C44DA0" w:rsidRPr="003D15C0" w:rsidRDefault="00C44DA0" w:rsidP="002E1D76">
            <w:pPr>
              <w:pStyle w:val="TX-TableText"/>
            </w:pPr>
            <w:r>
              <w:t>High Risk</w:t>
            </w:r>
          </w:p>
        </w:tc>
        <w:tc>
          <w:tcPr>
            <w:tcW w:w="1170" w:type="dxa"/>
            <w:tcBorders>
              <w:right w:val="nil"/>
            </w:tcBorders>
            <w:shd w:val="clear" w:color="auto" w:fill="auto"/>
            <w:noWrap/>
          </w:tcPr>
          <w:p w:rsidR="00C44DA0" w:rsidRPr="003D15C0" w:rsidRDefault="00C44DA0" w:rsidP="002E1D76">
            <w:pPr>
              <w:pStyle w:val="TX-TableText"/>
            </w:pPr>
            <w:r>
              <w:t>0.307</w:t>
            </w:r>
          </w:p>
        </w:tc>
        <w:tc>
          <w:tcPr>
            <w:tcW w:w="1530" w:type="dxa"/>
            <w:tcBorders>
              <w:right w:val="nil"/>
            </w:tcBorders>
            <w:shd w:val="clear" w:color="auto" w:fill="auto"/>
          </w:tcPr>
          <w:p w:rsidR="00C44DA0" w:rsidRPr="003D15C0" w:rsidRDefault="00C44DA0" w:rsidP="002E1D76">
            <w:pPr>
              <w:pStyle w:val="TX-TableText"/>
            </w:pPr>
            <w:r>
              <w:t>40</w:t>
            </w:r>
          </w:p>
        </w:tc>
        <w:tc>
          <w:tcPr>
            <w:tcW w:w="1350" w:type="dxa"/>
            <w:tcBorders>
              <w:right w:val="nil"/>
            </w:tcBorders>
            <w:shd w:val="clear" w:color="auto" w:fill="auto"/>
          </w:tcPr>
          <w:p w:rsidR="00C44DA0" w:rsidRPr="003D15C0" w:rsidRDefault="00C44DA0" w:rsidP="002E1D76">
            <w:pPr>
              <w:pStyle w:val="TX-TableText"/>
            </w:pPr>
            <w:r>
              <w:t>1,000</w:t>
            </w:r>
          </w:p>
        </w:tc>
      </w:tr>
      <w:tr w:rsidR="00C44DA0" w:rsidRPr="00933923" w:rsidTr="002E1D76">
        <w:trPr>
          <w:gridAfter w:val="1"/>
          <w:wAfter w:w="180" w:type="dxa"/>
        </w:trPr>
        <w:tc>
          <w:tcPr>
            <w:tcW w:w="3165" w:type="dxa"/>
            <w:vMerge/>
            <w:tcBorders>
              <w:left w:val="nil"/>
              <w:bottom w:val="single" w:sz="4" w:space="0" w:color="auto"/>
            </w:tcBorders>
            <w:shd w:val="clear" w:color="auto" w:fill="auto"/>
            <w:noWrap/>
          </w:tcPr>
          <w:p w:rsidR="00C44DA0" w:rsidRPr="003D15C0" w:rsidRDefault="00C44DA0" w:rsidP="002E1D76">
            <w:pPr>
              <w:pStyle w:val="TX-TableText"/>
              <w:rPr>
                <w:szCs w:val="22"/>
              </w:rPr>
            </w:pPr>
          </w:p>
        </w:tc>
        <w:tc>
          <w:tcPr>
            <w:tcW w:w="1800" w:type="dxa"/>
            <w:shd w:val="clear" w:color="auto" w:fill="auto"/>
            <w:noWrap/>
          </w:tcPr>
          <w:p w:rsidR="00C44DA0" w:rsidRPr="003D15C0" w:rsidRDefault="00C44DA0" w:rsidP="002E1D76">
            <w:pPr>
              <w:pStyle w:val="TX-TableText"/>
            </w:pPr>
            <w:r>
              <w:t>RDD Landline/Cell</w:t>
            </w:r>
          </w:p>
        </w:tc>
        <w:tc>
          <w:tcPr>
            <w:tcW w:w="1170" w:type="dxa"/>
            <w:tcBorders>
              <w:right w:val="nil"/>
            </w:tcBorders>
            <w:shd w:val="clear" w:color="auto" w:fill="auto"/>
            <w:noWrap/>
          </w:tcPr>
          <w:p w:rsidR="00C44DA0" w:rsidRPr="003D15C0" w:rsidRDefault="00C44DA0" w:rsidP="002E1D76">
            <w:pPr>
              <w:pStyle w:val="TX-TableText"/>
            </w:pPr>
            <w:r w:rsidRPr="003D15C0">
              <w:t>0.289</w:t>
            </w:r>
          </w:p>
        </w:tc>
        <w:tc>
          <w:tcPr>
            <w:tcW w:w="1530" w:type="dxa"/>
            <w:tcBorders>
              <w:right w:val="nil"/>
            </w:tcBorders>
            <w:shd w:val="clear" w:color="auto" w:fill="auto"/>
          </w:tcPr>
          <w:p w:rsidR="00C44DA0" w:rsidRPr="003D15C0" w:rsidRDefault="00C44DA0" w:rsidP="002E1D76">
            <w:pPr>
              <w:pStyle w:val="TX-TableText"/>
            </w:pPr>
            <w:r w:rsidRPr="003D15C0">
              <w:t>40</w:t>
            </w:r>
          </w:p>
        </w:tc>
        <w:tc>
          <w:tcPr>
            <w:tcW w:w="1350" w:type="dxa"/>
            <w:tcBorders>
              <w:right w:val="nil"/>
            </w:tcBorders>
            <w:shd w:val="clear" w:color="auto" w:fill="auto"/>
          </w:tcPr>
          <w:p w:rsidR="00C44DA0" w:rsidRPr="003D15C0" w:rsidRDefault="00C44DA0" w:rsidP="002E1D76">
            <w:pPr>
              <w:pStyle w:val="TX-TableText"/>
            </w:pPr>
            <w:r w:rsidRPr="003D15C0">
              <w:t>8</w:t>
            </w:r>
            <w:r>
              <w:t>,</w:t>
            </w:r>
            <w:r w:rsidRPr="003D15C0">
              <w:t>000</w:t>
            </w:r>
          </w:p>
        </w:tc>
      </w:tr>
      <w:tr w:rsidR="00C44DA0" w:rsidRPr="00933923" w:rsidTr="002E1D76">
        <w:trPr>
          <w:gridAfter w:val="1"/>
          <w:wAfter w:w="180" w:type="dxa"/>
        </w:trPr>
        <w:tc>
          <w:tcPr>
            <w:tcW w:w="3165" w:type="dxa"/>
            <w:vMerge w:val="restart"/>
            <w:tcBorders>
              <w:left w:val="nil"/>
            </w:tcBorders>
            <w:shd w:val="clear" w:color="auto" w:fill="auto"/>
            <w:noWrap/>
          </w:tcPr>
          <w:p w:rsidR="00C44DA0" w:rsidRPr="003D15C0" w:rsidRDefault="00C44DA0" w:rsidP="002E1D76">
            <w:pPr>
              <w:pStyle w:val="TX-TableText"/>
              <w:rPr>
                <w:szCs w:val="22"/>
              </w:rPr>
            </w:pPr>
            <w:r w:rsidRPr="003D15C0">
              <w:rPr>
                <w:szCs w:val="22"/>
              </w:rPr>
              <w:t xml:space="preserve">Complete </w:t>
            </w:r>
            <w:r>
              <w:rPr>
                <w:szCs w:val="22"/>
              </w:rPr>
              <w:t>reinterview s</w:t>
            </w:r>
            <w:r w:rsidRPr="003D15C0">
              <w:rPr>
                <w:szCs w:val="22"/>
              </w:rPr>
              <w:t xml:space="preserve">urvey </w:t>
            </w:r>
            <w:r>
              <w:rPr>
                <w:szCs w:val="22"/>
              </w:rPr>
              <w:t>by phone</w:t>
            </w:r>
          </w:p>
        </w:tc>
        <w:tc>
          <w:tcPr>
            <w:tcW w:w="1800" w:type="dxa"/>
            <w:shd w:val="clear" w:color="auto" w:fill="auto"/>
            <w:noWrap/>
          </w:tcPr>
          <w:p w:rsidR="00C44DA0" w:rsidRPr="003D15C0" w:rsidRDefault="00C44DA0" w:rsidP="002E1D76">
            <w:pPr>
              <w:pStyle w:val="TX-TableText"/>
            </w:pPr>
            <w:r w:rsidRPr="003D15C0">
              <w:t>High Risk</w:t>
            </w:r>
          </w:p>
        </w:tc>
        <w:tc>
          <w:tcPr>
            <w:tcW w:w="1170" w:type="dxa"/>
            <w:tcBorders>
              <w:right w:val="nil"/>
            </w:tcBorders>
            <w:shd w:val="clear" w:color="auto" w:fill="auto"/>
            <w:noWrap/>
          </w:tcPr>
          <w:p w:rsidR="00C44DA0" w:rsidRPr="003D15C0" w:rsidRDefault="00C44DA0" w:rsidP="002E1D76">
            <w:pPr>
              <w:pStyle w:val="TX-TableText"/>
            </w:pPr>
            <w:r w:rsidRPr="003D15C0">
              <w:t>0.307</w:t>
            </w:r>
          </w:p>
        </w:tc>
        <w:tc>
          <w:tcPr>
            <w:tcW w:w="1530" w:type="dxa"/>
            <w:tcBorders>
              <w:right w:val="nil"/>
            </w:tcBorders>
            <w:shd w:val="clear" w:color="auto" w:fill="auto"/>
          </w:tcPr>
          <w:p w:rsidR="00C44DA0" w:rsidRPr="003D15C0" w:rsidRDefault="00C44DA0" w:rsidP="002E1D76">
            <w:pPr>
              <w:pStyle w:val="TX-TableText"/>
            </w:pPr>
            <w:r>
              <w:t>5</w:t>
            </w:r>
          </w:p>
        </w:tc>
        <w:tc>
          <w:tcPr>
            <w:tcW w:w="1350" w:type="dxa"/>
            <w:tcBorders>
              <w:right w:val="nil"/>
            </w:tcBorders>
            <w:shd w:val="clear" w:color="auto" w:fill="auto"/>
          </w:tcPr>
          <w:p w:rsidR="00C44DA0" w:rsidRPr="003D15C0" w:rsidRDefault="00302096" w:rsidP="002E1D76">
            <w:pPr>
              <w:pStyle w:val="TX-TableText"/>
            </w:pPr>
            <w:r>
              <w:t>35</w:t>
            </w:r>
            <w:r w:rsidR="00C44DA0" w:rsidRPr="003D15C0">
              <w:t>0</w:t>
            </w:r>
          </w:p>
        </w:tc>
      </w:tr>
      <w:tr w:rsidR="00C44DA0" w:rsidRPr="00933923" w:rsidTr="002E1D76">
        <w:trPr>
          <w:gridAfter w:val="1"/>
          <w:wAfter w:w="180" w:type="dxa"/>
        </w:trPr>
        <w:tc>
          <w:tcPr>
            <w:tcW w:w="3165" w:type="dxa"/>
            <w:vMerge/>
            <w:tcBorders>
              <w:left w:val="nil"/>
              <w:bottom w:val="single" w:sz="4" w:space="0" w:color="auto"/>
            </w:tcBorders>
            <w:shd w:val="clear" w:color="auto" w:fill="auto"/>
            <w:noWrap/>
          </w:tcPr>
          <w:p w:rsidR="00C44DA0" w:rsidRPr="003D15C0" w:rsidRDefault="00C44DA0" w:rsidP="002E1D76">
            <w:pPr>
              <w:pStyle w:val="TX-TableText"/>
              <w:rPr>
                <w:szCs w:val="22"/>
              </w:rPr>
            </w:pPr>
          </w:p>
        </w:tc>
        <w:tc>
          <w:tcPr>
            <w:tcW w:w="1800" w:type="dxa"/>
            <w:shd w:val="clear" w:color="auto" w:fill="auto"/>
            <w:noWrap/>
          </w:tcPr>
          <w:p w:rsidR="00C44DA0" w:rsidRPr="003D15C0" w:rsidRDefault="00C44DA0" w:rsidP="002E1D76">
            <w:pPr>
              <w:pStyle w:val="TX-TableText"/>
            </w:pPr>
            <w:r>
              <w:t>RDD Landline/Cell</w:t>
            </w:r>
          </w:p>
        </w:tc>
        <w:tc>
          <w:tcPr>
            <w:tcW w:w="1170" w:type="dxa"/>
            <w:tcBorders>
              <w:right w:val="nil"/>
            </w:tcBorders>
            <w:shd w:val="clear" w:color="auto" w:fill="auto"/>
            <w:noWrap/>
          </w:tcPr>
          <w:p w:rsidR="00C44DA0" w:rsidRPr="003D15C0" w:rsidRDefault="00C44DA0" w:rsidP="002E1D76">
            <w:pPr>
              <w:pStyle w:val="TX-TableText"/>
            </w:pPr>
            <w:r w:rsidRPr="003D15C0">
              <w:t>0.289</w:t>
            </w:r>
          </w:p>
        </w:tc>
        <w:tc>
          <w:tcPr>
            <w:tcW w:w="1530" w:type="dxa"/>
            <w:tcBorders>
              <w:right w:val="nil"/>
            </w:tcBorders>
            <w:shd w:val="clear" w:color="auto" w:fill="auto"/>
          </w:tcPr>
          <w:p w:rsidR="00C44DA0" w:rsidRPr="003D15C0" w:rsidRDefault="00C44DA0" w:rsidP="002E1D76">
            <w:pPr>
              <w:pStyle w:val="TX-TableText"/>
            </w:pPr>
            <w:r w:rsidRPr="003D15C0">
              <w:t>5</w:t>
            </w:r>
          </w:p>
        </w:tc>
        <w:tc>
          <w:tcPr>
            <w:tcW w:w="1350" w:type="dxa"/>
            <w:tcBorders>
              <w:right w:val="nil"/>
            </w:tcBorders>
            <w:shd w:val="clear" w:color="auto" w:fill="auto"/>
          </w:tcPr>
          <w:p w:rsidR="00C44DA0" w:rsidRPr="003D15C0" w:rsidRDefault="00C44DA0" w:rsidP="002E1D76">
            <w:pPr>
              <w:pStyle w:val="TX-TableText"/>
            </w:pPr>
            <w:r>
              <w:t>15</w:t>
            </w:r>
            <w:r w:rsidRPr="003D15C0">
              <w:t>0</w:t>
            </w:r>
          </w:p>
        </w:tc>
      </w:tr>
      <w:tr w:rsidR="00C44DA0" w:rsidRPr="00D55396" w:rsidTr="002E1D76">
        <w:trPr>
          <w:gridAfter w:val="1"/>
          <w:wAfter w:w="180" w:type="dxa"/>
        </w:trPr>
        <w:tc>
          <w:tcPr>
            <w:tcW w:w="9015" w:type="dxa"/>
            <w:gridSpan w:val="5"/>
            <w:tcBorders>
              <w:left w:val="nil"/>
              <w:bottom w:val="single" w:sz="4" w:space="0" w:color="auto"/>
              <w:right w:val="nil"/>
            </w:tcBorders>
            <w:shd w:val="clear" w:color="auto" w:fill="auto"/>
            <w:noWrap/>
            <w:hideMark/>
          </w:tcPr>
          <w:p w:rsidR="00C44DA0" w:rsidRPr="003D15C0" w:rsidRDefault="00C44DA0" w:rsidP="002E1D76">
            <w:pPr>
              <w:pStyle w:val="TX-TableText"/>
            </w:pPr>
            <w:r w:rsidRPr="003D15C0">
              <w:t>ACASI Sample</w:t>
            </w:r>
          </w:p>
        </w:tc>
      </w:tr>
      <w:tr w:rsidR="00C44DA0" w:rsidRPr="00933923" w:rsidTr="002E1D76">
        <w:trPr>
          <w:gridAfter w:val="1"/>
          <w:wAfter w:w="180" w:type="dxa"/>
        </w:trPr>
        <w:tc>
          <w:tcPr>
            <w:tcW w:w="3165" w:type="dxa"/>
            <w:tcBorders>
              <w:left w:val="nil"/>
              <w:bottom w:val="single" w:sz="4" w:space="0" w:color="auto"/>
            </w:tcBorders>
            <w:shd w:val="clear" w:color="auto" w:fill="auto"/>
            <w:noWrap/>
          </w:tcPr>
          <w:p w:rsidR="00C44DA0" w:rsidRPr="002A4D16" w:rsidRDefault="00C44DA0" w:rsidP="002E1D76">
            <w:pPr>
              <w:pStyle w:val="TX-TableText"/>
            </w:pPr>
            <w:r w:rsidRPr="002A4D16">
              <w:t>Read flyer/respond via web or phone</w:t>
            </w:r>
          </w:p>
        </w:tc>
        <w:tc>
          <w:tcPr>
            <w:tcW w:w="1800" w:type="dxa"/>
            <w:shd w:val="clear" w:color="auto" w:fill="auto"/>
            <w:noWrap/>
          </w:tcPr>
          <w:p w:rsidR="00C44DA0" w:rsidRDefault="00C44DA0" w:rsidP="002E1D76">
            <w:pPr>
              <w:pStyle w:val="TX-TableText"/>
            </w:pPr>
            <w:r>
              <w:t>Service Provider</w:t>
            </w:r>
          </w:p>
          <w:p w:rsidR="00C44DA0" w:rsidRPr="003D15C0" w:rsidRDefault="00C44DA0" w:rsidP="002E1D76">
            <w:pPr>
              <w:pStyle w:val="TX-TableText"/>
            </w:pPr>
            <w:r>
              <w:t>High Risk</w:t>
            </w:r>
          </w:p>
        </w:tc>
        <w:tc>
          <w:tcPr>
            <w:tcW w:w="1170" w:type="dxa"/>
            <w:tcBorders>
              <w:right w:val="nil"/>
            </w:tcBorders>
            <w:shd w:val="clear" w:color="auto" w:fill="auto"/>
            <w:noWrap/>
          </w:tcPr>
          <w:p w:rsidR="00C44DA0" w:rsidRPr="003D15C0" w:rsidRDefault="00C44DA0" w:rsidP="002E1D76">
            <w:pPr>
              <w:pStyle w:val="TX-TableText"/>
            </w:pPr>
            <w:r>
              <w:t>0.067</w:t>
            </w:r>
          </w:p>
        </w:tc>
        <w:tc>
          <w:tcPr>
            <w:tcW w:w="1530" w:type="dxa"/>
            <w:tcBorders>
              <w:right w:val="nil"/>
            </w:tcBorders>
            <w:shd w:val="clear" w:color="auto" w:fill="auto"/>
          </w:tcPr>
          <w:p w:rsidR="00C44DA0" w:rsidRPr="003D15C0" w:rsidRDefault="00C44DA0" w:rsidP="002E1D76">
            <w:pPr>
              <w:pStyle w:val="TX-TableText"/>
            </w:pPr>
            <w:r>
              <w:t>72</w:t>
            </w:r>
          </w:p>
        </w:tc>
        <w:tc>
          <w:tcPr>
            <w:tcW w:w="1350" w:type="dxa"/>
            <w:tcBorders>
              <w:right w:val="nil"/>
            </w:tcBorders>
            <w:shd w:val="clear" w:color="auto" w:fill="auto"/>
          </w:tcPr>
          <w:p w:rsidR="00C44DA0" w:rsidRPr="003D15C0" w:rsidRDefault="00C44DA0" w:rsidP="002E1D76">
            <w:pPr>
              <w:pStyle w:val="TX-TableText"/>
            </w:pPr>
            <w:r>
              <w:t>1,566</w:t>
            </w:r>
          </w:p>
        </w:tc>
      </w:tr>
      <w:tr w:rsidR="00C44DA0" w:rsidRPr="00933923" w:rsidTr="002E1D76">
        <w:trPr>
          <w:gridAfter w:val="1"/>
          <w:wAfter w:w="180" w:type="dxa"/>
        </w:trPr>
        <w:tc>
          <w:tcPr>
            <w:tcW w:w="3165" w:type="dxa"/>
            <w:tcBorders>
              <w:left w:val="nil"/>
              <w:bottom w:val="single" w:sz="4" w:space="0" w:color="auto"/>
            </w:tcBorders>
            <w:shd w:val="clear" w:color="auto" w:fill="auto"/>
            <w:noWrap/>
          </w:tcPr>
          <w:p w:rsidR="00C44DA0" w:rsidRPr="002A4D16" w:rsidRDefault="00C44DA0" w:rsidP="00620035">
            <w:pPr>
              <w:pStyle w:val="TX-TableText"/>
            </w:pPr>
            <w:r w:rsidRPr="002A4D16">
              <w:t xml:space="preserve">Read </w:t>
            </w:r>
            <w:r>
              <w:t>letters (1</w:t>
            </w:r>
            <w:r w:rsidRPr="00DE1452">
              <w:rPr>
                <w:vertAlign w:val="superscript"/>
              </w:rPr>
              <w:t>st</w:t>
            </w:r>
            <w:r>
              <w:rPr>
                <w:vertAlign w:val="superscript"/>
              </w:rPr>
              <w:t>/</w:t>
            </w:r>
            <w:r>
              <w:t>2</w:t>
            </w:r>
            <w:r w:rsidRPr="00DE1452">
              <w:rPr>
                <w:vertAlign w:val="superscript"/>
              </w:rPr>
              <w:t>nd</w:t>
            </w:r>
            <w:r>
              <w:t xml:space="preserve"> advance,  post-survey) </w:t>
            </w:r>
          </w:p>
        </w:tc>
        <w:tc>
          <w:tcPr>
            <w:tcW w:w="1800" w:type="dxa"/>
            <w:vMerge w:val="restart"/>
            <w:shd w:val="clear" w:color="auto" w:fill="auto"/>
            <w:noWrap/>
          </w:tcPr>
          <w:p w:rsidR="00C44DA0" w:rsidRPr="003D15C0" w:rsidRDefault="00C44DA0" w:rsidP="002E1D76">
            <w:pPr>
              <w:pStyle w:val="TX-TableText"/>
            </w:pPr>
            <w:r>
              <w:t>General Population</w:t>
            </w:r>
          </w:p>
        </w:tc>
        <w:tc>
          <w:tcPr>
            <w:tcW w:w="1170" w:type="dxa"/>
            <w:tcBorders>
              <w:right w:val="nil"/>
            </w:tcBorders>
            <w:shd w:val="clear" w:color="auto" w:fill="auto"/>
            <w:noWrap/>
          </w:tcPr>
          <w:p w:rsidR="00C44DA0" w:rsidRPr="003D15C0" w:rsidRDefault="00C44DA0" w:rsidP="002E1D76">
            <w:pPr>
              <w:pStyle w:val="TX-TableText"/>
            </w:pPr>
            <w:r>
              <w:t>0.017</w:t>
            </w:r>
          </w:p>
        </w:tc>
        <w:tc>
          <w:tcPr>
            <w:tcW w:w="1530" w:type="dxa"/>
            <w:tcBorders>
              <w:right w:val="nil"/>
            </w:tcBorders>
            <w:shd w:val="clear" w:color="auto" w:fill="auto"/>
          </w:tcPr>
          <w:p w:rsidR="00C44DA0" w:rsidRPr="003D15C0" w:rsidRDefault="00620035" w:rsidP="002E1D76">
            <w:pPr>
              <w:pStyle w:val="TX-TableText"/>
            </w:pPr>
            <w:r>
              <w:t>394</w:t>
            </w:r>
          </w:p>
        </w:tc>
        <w:tc>
          <w:tcPr>
            <w:tcW w:w="1350" w:type="dxa"/>
            <w:tcBorders>
              <w:right w:val="nil"/>
            </w:tcBorders>
            <w:shd w:val="clear" w:color="auto" w:fill="auto"/>
          </w:tcPr>
          <w:p w:rsidR="00C44DA0" w:rsidRPr="003D15C0" w:rsidRDefault="00C44DA0" w:rsidP="00620035">
            <w:pPr>
              <w:pStyle w:val="TX-TableText"/>
            </w:pPr>
            <w:r>
              <w:t>68,</w:t>
            </w:r>
            <w:r w:rsidR="00620035">
              <w:t>830</w:t>
            </w:r>
          </w:p>
        </w:tc>
      </w:tr>
      <w:tr w:rsidR="00C44DA0" w:rsidRPr="00933923" w:rsidTr="002E1D76">
        <w:trPr>
          <w:gridAfter w:val="1"/>
          <w:wAfter w:w="180" w:type="dxa"/>
        </w:trPr>
        <w:tc>
          <w:tcPr>
            <w:tcW w:w="3165" w:type="dxa"/>
            <w:tcBorders>
              <w:left w:val="nil"/>
            </w:tcBorders>
            <w:shd w:val="clear" w:color="auto" w:fill="auto"/>
            <w:noWrap/>
          </w:tcPr>
          <w:p w:rsidR="00C44DA0" w:rsidRDefault="00C44DA0" w:rsidP="002E1D76">
            <w:pPr>
              <w:pStyle w:val="TX-TableText"/>
              <w:rPr>
                <w:szCs w:val="22"/>
              </w:rPr>
            </w:pPr>
            <w:r>
              <w:rPr>
                <w:szCs w:val="22"/>
              </w:rPr>
              <w:t>Complete hhld roster by mail</w:t>
            </w:r>
          </w:p>
        </w:tc>
        <w:tc>
          <w:tcPr>
            <w:tcW w:w="1800" w:type="dxa"/>
            <w:vMerge/>
            <w:shd w:val="clear" w:color="auto" w:fill="auto"/>
            <w:noWrap/>
          </w:tcPr>
          <w:p w:rsidR="00C44DA0" w:rsidRPr="003D15C0" w:rsidRDefault="00C44DA0" w:rsidP="002E1D76">
            <w:pPr>
              <w:pStyle w:val="TX-TableText"/>
            </w:pPr>
          </w:p>
        </w:tc>
        <w:tc>
          <w:tcPr>
            <w:tcW w:w="1170" w:type="dxa"/>
            <w:tcBorders>
              <w:right w:val="nil"/>
            </w:tcBorders>
            <w:shd w:val="clear" w:color="auto" w:fill="auto"/>
            <w:noWrap/>
          </w:tcPr>
          <w:p w:rsidR="00C44DA0" w:rsidRPr="003D15C0" w:rsidRDefault="00C44DA0" w:rsidP="002E1D76">
            <w:pPr>
              <w:pStyle w:val="TX-TableText"/>
            </w:pPr>
            <w:r>
              <w:t>0.083</w:t>
            </w:r>
          </w:p>
        </w:tc>
        <w:tc>
          <w:tcPr>
            <w:tcW w:w="1530" w:type="dxa"/>
            <w:tcBorders>
              <w:right w:val="nil"/>
            </w:tcBorders>
            <w:shd w:val="clear" w:color="auto" w:fill="auto"/>
          </w:tcPr>
          <w:p w:rsidR="00C44DA0" w:rsidRPr="003D15C0" w:rsidRDefault="00C44DA0" w:rsidP="002E1D76">
            <w:pPr>
              <w:pStyle w:val="TX-TableText"/>
            </w:pPr>
            <w:r>
              <w:t>46</w:t>
            </w:r>
          </w:p>
        </w:tc>
        <w:tc>
          <w:tcPr>
            <w:tcW w:w="1350" w:type="dxa"/>
            <w:tcBorders>
              <w:right w:val="nil"/>
            </w:tcBorders>
            <w:shd w:val="clear" w:color="auto" w:fill="auto"/>
          </w:tcPr>
          <w:p w:rsidR="00C44DA0" w:rsidRPr="003D15C0" w:rsidRDefault="00C44DA0" w:rsidP="002E1D76">
            <w:pPr>
              <w:pStyle w:val="TX-TableText"/>
            </w:pPr>
            <w:r>
              <w:t>7,359</w:t>
            </w:r>
          </w:p>
        </w:tc>
      </w:tr>
      <w:tr w:rsidR="00C44DA0" w:rsidRPr="00933923" w:rsidTr="002E1D76">
        <w:trPr>
          <w:gridAfter w:val="1"/>
          <w:wAfter w:w="180" w:type="dxa"/>
        </w:trPr>
        <w:tc>
          <w:tcPr>
            <w:tcW w:w="3165" w:type="dxa"/>
            <w:tcBorders>
              <w:left w:val="nil"/>
              <w:bottom w:val="single" w:sz="4" w:space="0" w:color="auto"/>
            </w:tcBorders>
            <w:shd w:val="clear" w:color="auto" w:fill="auto"/>
            <w:noWrap/>
          </w:tcPr>
          <w:p w:rsidR="00C44DA0" w:rsidRDefault="00C44DA0" w:rsidP="002E1D76">
            <w:pPr>
              <w:pStyle w:val="TX-TableText"/>
              <w:rPr>
                <w:szCs w:val="22"/>
              </w:rPr>
            </w:pPr>
            <w:r>
              <w:rPr>
                <w:szCs w:val="22"/>
              </w:rPr>
              <w:t>Complete hhld roster in person</w:t>
            </w:r>
          </w:p>
        </w:tc>
        <w:tc>
          <w:tcPr>
            <w:tcW w:w="1800" w:type="dxa"/>
            <w:vMerge/>
            <w:shd w:val="clear" w:color="auto" w:fill="auto"/>
            <w:noWrap/>
          </w:tcPr>
          <w:p w:rsidR="00C44DA0" w:rsidRPr="003D15C0" w:rsidRDefault="00C44DA0" w:rsidP="002E1D76">
            <w:pPr>
              <w:pStyle w:val="TX-TableText"/>
            </w:pPr>
          </w:p>
        </w:tc>
        <w:tc>
          <w:tcPr>
            <w:tcW w:w="1170" w:type="dxa"/>
            <w:tcBorders>
              <w:right w:val="nil"/>
            </w:tcBorders>
            <w:shd w:val="clear" w:color="auto" w:fill="auto"/>
            <w:noWrap/>
          </w:tcPr>
          <w:p w:rsidR="00C44DA0" w:rsidRPr="003D15C0" w:rsidRDefault="00C44DA0" w:rsidP="002E1D76">
            <w:pPr>
              <w:pStyle w:val="TX-TableText"/>
            </w:pPr>
            <w:r>
              <w:t>0.117</w:t>
            </w:r>
          </w:p>
        </w:tc>
        <w:tc>
          <w:tcPr>
            <w:tcW w:w="1530" w:type="dxa"/>
            <w:tcBorders>
              <w:right w:val="nil"/>
            </w:tcBorders>
            <w:shd w:val="clear" w:color="auto" w:fill="auto"/>
          </w:tcPr>
          <w:p w:rsidR="00C44DA0" w:rsidRPr="003D15C0" w:rsidRDefault="00C44DA0" w:rsidP="002E1D76">
            <w:pPr>
              <w:pStyle w:val="TX-TableText"/>
            </w:pPr>
            <w:r>
              <w:t>70</w:t>
            </w:r>
          </w:p>
        </w:tc>
        <w:tc>
          <w:tcPr>
            <w:tcW w:w="1350" w:type="dxa"/>
            <w:tcBorders>
              <w:right w:val="nil"/>
            </w:tcBorders>
            <w:shd w:val="clear" w:color="auto" w:fill="auto"/>
          </w:tcPr>
          <w:p w:rsidR="00C44DA0" w:rsidRPr="003D15C0" w:rsidRDefault="00C44DA0" w:rsidP="002E1D76">
            <w:pPr>
              <w:pStyle w:val="TX-TableText"/>
            </w:pPr>
            <w:r>
              <w:t>13,245</w:t>
            </w:r>
          </w:p>
        </w:tc>
      </w:tr>
      <w:tr w:rsidR="00C44DA0" w:rsidRPr="00933923" w:rsidTr="002E1D76">
        <w:trPr>
          <w:gridAfter w:val="1"/>
          <w:wAfter w:w="180" w:type="dxa"/>
        </w:trPr>
        <w:tc>
          <w:tcPr>
            <w:tcW w:w="3165" w:type="dxa"/>
            <w:vMerge w:val="restart"/>
            <w:tcBorders>
              <w:left w:val="nil"/>
            </w:tcBorders>
            <w:shd w:val="clear" w:color="auto" w:fill="auto"/>
            <w:noWrap/>
          </w:tcPr>
          <w:p w:rsidR="00C44DA0" w:rsidRPr="003D15C0" w:rsidRDefault="00C44DA0" w:rsidP="002E1D76">
            <w:pPr>
              <w:pStyle w:val="TX-TableText"/>
              <w:rPr>
                <w:szCs w:val="22"/>
              </w:rPr>
            </w:pPr>
            <w:r w:rsidRPr="003D15C0">
              <w:rPr>
                <w:szCs w:val="22"/>
              </w:rPr>
              <w:t xml:space="preserve">Complete </w:t>
            </w:r>
            <w:r>
              <w:rPr>
                <w:szCs w:val="22"/>
              </w:rPr>
              <w:t>s</w:t>
            </w:r>
            <w:r w:rsidRPr="003D15C0">
              <w:rPr>
                <w:szCs w:val="22"/>
              </w:rPr>
              <w:t xml:space="preserve">urvey </w:t>
            </w:r>
            <w:r>
              <w:rPr>
                <w:szCs w:val="22"/>
              </w:rPr>
              <w:t xml:space="preserve">in person </w:t>
            </w:r>
          </w:p>
        </w:tc>
        <w:tc>
          <w:tcPr>
            <w:tcW w:w="1800" w:type="dxa"/>
            <w:shd w:val="clear" w:color="auto" w:fill="auto"/>
            <w:noWrap/>
          </w:tcPr>
          <w:p w:rsidR="00C44DA0" w:rsidRPr="003D15C0" w:rsidRDefault="00C44DA0" w:rsidP="002E1D76">
            <w:pPr>
              <w:pStyle w:val="TX-TableText"/>
            </w:pPr>
            <w:r>
              <w:t>Service Provider</w:t>
            </w:r>
          </w:p>
        </w:tc>
        <w:tc>
          <w:tcPr>
            <w:tcW w:w="1170" w:type="dxa"/>
            <w:tcBorders>
              <w:right w:val="nil"/>
            </w:tcBorders>
            <w:shd w:val="clear" w:color="auto" w:fill="auto"/>
            <w:noWrap/>
          </w:tcPr>
          <w:p w:rsidR="00C44DA0" w:rsidRPr="003D15C0" w:rsidRDefault="00C44DA0" w:rsidP="002E1D76">
            <w:pPr>
              <w:pStyle w:val="TX-TableText"/>
            </w:pPr>
            <w:r w:rsidRPr="003D15C0">
              <w:t>0.</w:t>
            </w:r>
            <w:r>
              <w:t>598</w:t>
            </w:r>
          </w:p>
        </w:tc>
        <w:tc>
          <w:tcPr>
            <w:tcW w:w="1530" w:type="dxa"/>
            <w:tcBorders>
              <w:right w:val="nil"/>
            </w:tcBorders>
            <w:shd w:val="clear" w:color="auto" w:fill="auto"/>
          </w:tcPr>
          <w:p w:rsidR="00C44DA0" w:rsidRPr="003D15C0" w:rsidRDefault="00C44DA0" w:rsidP="002E1D76">
            <w:pPr>
              <w:pStyle w:val="TX-TableText"/>
            </w:pPr>
            <w:r>
              <w:t>2</w:t>
            </w:r>
            <w:r w:rsidRPr="003D15C0">
              <w:t>0</w:t>
            </w:r>
          </w:p>
        </w:tc>
        <w:tc>
          <w:tcPr>
            <w:tcW w:w="1350" w:type="dxa"/>
            <w:tcBorders>
              <w:right w:val="nil"/>
            </w:tcBorders>
            <w:shd w:val="clear" w:color="auto" w:fill="auto"/>
          </w:tcPr>
          <w:p w:rsidR="00C44DA0" w:rsidRPr="003D15C0" w:rsidRDefault="00C44DA0" w:rsidP="002E1D76">
            <w:pPr>
              <w:pStyle w:val="TX-TableText"/>
            </w:pPr>
            <w:r>
              <w:t>3</w:t>
            </w:r>
            <w:r w:rsidRPr="003D15C0">
              <w:t>00</w:t>
            </w:r>
          </w:p>
        </w:tc>
      </w:tr>
      <w:tr w:rsidR="00C44DA0" w:rsidRPr="00933923" w:rsidTr="002E1D76">
        <w:trPr>
          <w:gridAfter w:val="1"/>
          <w:wAfter w:w="180" w:type="dxa"/>
        </w:trPr>
        <w:tc>
          <w:tcPr>
            <w:tcW w:w="3165" w:type="dxa"/>
            <w:vMerge/>
            <w:tcBorders>
              <w:left w:val="nil"/>
            </w:tcBorders>
            <w:shd w:val="clear" w:color="auto" w:fill="auto"/>
            <w:noWrap/>
          </w:tcPr>
          <w:p w:rsidR="00C44DA0" w:rsidRPr="003D15C0" w:rsidRDefault="00C44DA0" w:rsidP="002E1D76">
            <w:pPr>
              <w:pStyle w:val="TX-TableText"/>
              <w:rPr>
                <w:szCs w:val="22"/>
              </w:rPr>
            </w:pPr>
          </w:p>
        </w:tc>
        <w:tc>
          <w:tcPr>
            <w:tcW w:w="1800" w:type="dxa"/>
            <w:shd w:val="clear" w:color="auto" w:fill="auto"/>
            <w:noWrap/>
          </w:tcPr>
          <w:p w:rsidR="00C44DA0" w:rsidRPr="003D15C0" w:rsidRDefault="00C44DA0" w:rsidP="002E1D76">
            <w:pPr>
              <w:pStyle w:val="TX-TableText"/>
            </w:pPr>
            <w:r>
              <w:t>High Risk</w:t>
            </w:r>
          </w:p>
        </w:tc>
        <w:tc>
          <w:tcPr>
            <w:tcW w:w="1170" w:type="dxa"/>
            <w:tcBorders>
              <w:right w:val="nil"/>
            </w:tcBorders>
            <w:shd w:val="clear" w:color="auto" w:fill="auto"/>
            <w:noWrap/>
          </w:tcPr>
          <w:p w:rsidR="00C44DA0" w:rsidRPr="003D15C0" w:rsidRDefault="00C44DA0" w:rsidP="002E1D76">
            <w:pPr>
              <w:pStyle w:val="TX-TableText"/>
            </w:pPr>
            <w:r>
              <w:t>0.341</w:t>
            </w:r>
          </w:p>
        </w:tc>
        <w:tc>
          <w:tcPr>
            <w:tcW w:w="1530" w:type="dxa"/>
            <w:tcBorders>
              <w:right w:val="nil"/>
            </w:tcBorders>
            <w:shd w:val="clear" w:color="auto" w:fill="auto"/>
          </w:tcPr>
          <w:p w:rsidR="00C44DA0" w:rsidRPr="003D15C0" w:rsidRDefault="00C44DA0" w:rsidP="002E1D76">
            <w:pPr>
              <w:pStyle w:val="TX-TableText"/>
            </w:pPr>
            <w:r>
              <w:t>40</w:t>
            </w:r>
          </w:p>
        </w:tc>
        <w:tc>
          <w:tcPr>
            <w:tcW w:w="1350" w:type="dxa"/>
            <w:tcBorders>
              <w:right w:val="nil"/>
            </w:tcBorders>
            <w:shd w:val="clear" w:color="auto" w:fill="auto"/>
          </w:tcPr>
          <w:p w:rsidR="00C44DA0" w:rsidRPr="003D15C0" w:rsidRDefault="00C44DA0" w:rsidP="002E1D76">
            <w:pPr>
              <w:pStyle w:val="TX-TableText"/>
            </w:pPr>
            <w:r>
              <w:t>1,000</w:t>
            </w:r>
          </w:p>
        </w:tc>
      </w:tr>
      <w:tr w:rsidR="00C44DA0" w:rsidRPr="00933923" w:rsidTr="002E1D76">
        <w:trPr>
          <w:gridAfter w:val="1"/>
          <w:wAfter w:w="180" w:type="dxa"/>
        </w:trPr>
        <w:tc>
          <w:tcPr>
            <w:tcW w:w="3165" w:type="dxa"/>
            <w:vMerge/>
            <w:tcBorders>
              <w:left w:val="nil"/>
              <w:bottom w:val="single" w:sz="4" w:space="0" w:color="auto"/>
            </w:tcBorders>
            <w:shd w:val="clear" w:color="auto" w:fill="auto"/>
            <w:noWrap/>
          </w:tcPr>
          <w:p w:rsidR="00C44DA0" w:rsidRPr="003D15C0" w:rsidRDefault="00C44DA0" w:rsidP="002E1D76">
            <w:pPr>
              <w:pStyle w:val="TX-TableText"/>
              <w:rPr>
                <w:szCs w:val="22"/>
              </w:rPr>
            </w:pPr>
          </w:p>
        </w:tc>
        <w:tc>
          <w:tcPr>
            <w:tcW w:w="1800" w:type="dxa"/>
            <w:shd w:val="clear" w:color="auto" w:fill="auto"/>
            <w:noWrap/>
          </w:tcPr>
          <w:p w:rsidR="00C44DA0" w:rsidRPr="003D15C0" w:rsidRDefault="00C44DA0" w:rsidP="002E1D76">
            <w:pPr>
              <w:pStyle w:val="TX-TableText"/>
            </w:pPr>
            <w:r>
              <w:t>General Population</w:t>
            </w:r>
          </w:p>
        </w:tc>
        <w:tc>
          <w:tcPr>
            <w:tcW w:w="1170" w:type="dxa"/>
            <w:tcBorders>
              <w:right w:val="nil"/>
            </w:tcBorders>
            <w:shd w:val="clear" w:color="auto" w:fill="auto"/>
            <w:noWrap/>
          </w:tcPr>
          <w:p w:rsidR="00C44DA0" w:rsidRPr="003D15C0" w:rsidRDefault="00C44DA0" w:rsidP="002E1D76">
            <w:pPr>
              <w:pStyle w:val="TX-TableText"/>
            </w:pPr>
            <w:r w:rsidRPr="003D15C0">
              <w:t>0.</w:t>
            </w:r>
            <w:r>
              <w:t>324</w:t>
            </w:r>
          </w:p>
        </w:tc>
        <w:tc>
          <w:tcPr>
            <w:tcW w:w="1530" w:type="dxa"/>
            <w:tcBorders>
              <w:right w:val="nil"/>
            </w:tcBorders>
            <w:shd w:val="clear" w:color="auto" w:fill="auto"/>
          </w:tcPr>
          <w:p w:rsidR="00C44DA0" w:rsidRPr="003D15C0" w:rsidRDefault="00C44DA0" w:rsidP="002E1D76">
            <w:pPr>
              <w:pStyle w:val="TX-TableText"/>
            </w:pPr>
            <w:r w:rsidRPr="003D15C0">
              <w:t>40</w:t>
            </w:r>
          </w:p>
        </w:tc>
        <w:tc>
          <w:tcPr>
            <w:tcW w:w="1350" w:type="dxa"/>
            <w:tcBorders>
              <w:right w:val="nil"/>
            </w:tcBorders>
            <w:shd w:val="clear" w:color="auto" w:fill="auto"/>
          </w:tcPr>
          <w:p w:rsidR="00C44DA0" w:rsidRPr="003D15C0" w:rsidRDefault="00C44DA0" w:rsidP="002E1D76">
            <w:pPr>
              <w:pStyle w:val="TX-TableText"/>
            </w:pPr>
            <w:r>
              <w:t>7,5</w:t>
            </w:r>
            <w:r w:rsidRPr="003D15C0">
              <w:t>00</w:t>
            </w:r>
          </w:p>
        </w:tc>
      </w:tr>
      <w:tr w:rsidR="00C44DA0" w:rsidRPr="00933923" w:rsidTr="002E1D76">
        <w:trPr>
          <w:gridAfter w:val="1"/>
          <w:wAfter w:w="180" w:type="dxa"/>
        </w:trPr>
        <w:tc>
          <w:tcPr>
            <w:tcW w:w="3165" w:type="dxa"/>
            <w:vMerge w:val="restart"/>
            <w:tcBorders>
              <w:left w:val="nil"/>
            </w:tcBorders>
            <w:shd w:val="clear" w:color="auto" w:fill="auto"/>
            <w:noWrap/>
          </w:tcPr>
          <w:p w:rsidR="00C44DA0" w:rsidRPr="003D15C0" w:rsidRDefault="00C44DA0" w:rsidP="002E1D76">
            <w:pPr>
              <w:pStyle w:val="TX-TableText"/>
              <w:rPr>
                <w:szCs w:val="22"/>
              </w:rPr>
            </w:pPr>
            <w:r w:rsidRPr="003D15C0">
              <w:rPr>
                <w:szCs w:val="22"/>
              </w:rPr>
              <w:t xml:space="preserve">Complete </w:t>
            </w:r>
            <w:r>
              <w:rPr>
                <w:szCs w:val="22"/>
              </w:rPr>
              <w:t>reinterview s</w:t>
            </w:r>
            <w:r w:rsidRPr="003D15C0">
              <w:rPr>
                <w:szCs w:val="22"/>
              </w:rPr>
              <w:t xml:space="preserve">urvey </w:t>
            </w:r>
            <w:r>
              <w:rPr>
                <w:szCs w:val="22"/>
              </w:rPr>
              <w:t>in person</w:t>
            </w:r>
          </w:p>
        </w:tc>
        <w:tc>
          <w:tcPr>
            <w:tcW w:w="1800" w:type="dxa"/>
            <w:shd w:val="clear" w:color="auto" w:fill="auto"/>
            <w:noWrap/>
          </w:tcPr>
          <w:p w:rsidR="00C44DA0" w:rsidRPr="003D15C0" w:rsidRDefault="00C44DA0" w:rsidP="002E1D76">
            <w:pPr>
              <w:pStyle w:val="TX-TableText"/>
            </w:pPr>
            <w:r w:rsidRPr="003D15C0">
              <w:t>High Risk</w:t>
            </w:r>
          </w:p>
        </w:tc>
        <w:tc>
          <w:tcPr>
            <w:tcW w:w="1170" w:type="dxa"/>
            <w:tcBorders>
              <w:right w:val="nil"/>
            </w:tcBorders>
            <w:shd w:val="clear" w:color="auto" w:fill="auto"/>
            <w:noWrap/>
          </w:tcPr>
          <w:p w:rsidR="00C44DA0" w:rsidRPr="003D15C0" w:rsidRDefault="00C44DA0" w:rsidP="002E1D76">
            <w:pPr>
              <w:pStyle w:val="TX-TableText"/>
            </w:pPr>
            <w:r w:rsidRPr="003D15C0">
              <w:t>0.3</w:t>
            </w:r>
            <w:r>
              <w:t>41</w:t>
            </w:r>
          </w:p>
        </w:tc>
        <w:tc>
          <w:tcPr>
            <w:tcW w:w="1530" w:type="dxa"/>
            <w:tcBorders>
              <w:right w:val="nil"/>
            </w:tcBorders>
            <w:shd w:val="clear" w:color="auto" w:fill="auto"/>
          </w:tcPr>
          <w:p w:rsidR="00C44DA0" w:rsidRPr="003D15C0" w:rsidRDefault="00C44DA0" w:rsidP="002E1D76">
            <w:pPr>
              <w:pStyle w:val="TX-TableText"/>
            </w:pPr>
            <w:r>
              <w:t>5</w:t>
            </w:r>
          </w:p>
        </w:tc>
        <w:tc>
          <w:tcPr>
            <w:tcW w:w="1350" w:type="dxa"/>
            <w:tcBorders>
              <w:right w:val="nil"/>
            </w:tcBorders>
            <w:shd w:val="clear" w:color="auto" w:fill="auto"/>
          </w:tcPr>
          <w:p w:rsidR="00C44DA0" w:rsidRPr="003D15C0" w:rsidRDefault="00C44DA0" w:rsidP="002E1D76">
            <w:pPr>
              <w:pStyle w:val="TX-TableText"/>
            </w:pPr>
            <w:r w:rsidRPr="003D15C0">
              <w:t>1</w:t>
            </w:r>
            <w:r>
              <w:t>5</w:t>
            </w:r>
            <w:r w:rsidRPr="003D15C0">
              <w:t>0</w:t>
            </w:r>
          </w:p>
        </w:tc>
      </w:tr>
      <w:tr w:rsidR="00C44DA0" w:rsidRPr="00933923" w:rsidTr="00413876">
        <w:trPr>
          <w:gridAfter w:val="1"/>
          <w:wAfter w:w="180" w:type="dxa"/>
        </w:trPr>
        <w:tc>
          <w:tcPr>
            <w:tcW w:w="3165" w:type="dxa"/>
            <w:vMerge/>
            <w:tcBorders>
              <w:left w:val="nil"/>
            </w:tcBorders>
            <w:shd w:val="clear" w:color="auto" w:fill="auto"/>
            <w:noWrap/>
          </w:tcPr>
          <w:p w:rsidR="00C44DA0" w:rsidRPr="003D15C0" w:rsidRDefault="00C44DA0" w:rsidP="002E1D76">
            <w:pPr>
              <w:pStyle w:val="TX-TableText"/>
              <w:rPr>
                <w:szCs w:val="22"/>
              </w:rPr>
            </w:pPr>
          </w:p>
        </w:tc>
        <w:tc>
          <w:tcPr>
            <w:tcW w:w="1800" w:type="dxa"/>
            <w:shd w:val="clear" w:color="auto" w:fill="auto"/>
            <w:noWrap/>
          </w:tcPr>
          <w:p w:rsidR="00C44DA0" w:rsidRPr="003D15C0" w:rsidRDefault="00C44DA0" w:rsidP="002E1D76">
            <w:pPr>
              <w:pStyle w:val="TX-TableText"/>
            </w:pPr>
            <w:r>
              <w:t>RDD Landline/Cell</w:t>
            </w:r>
          </w:p>
        </w:tc>
        <w:tc>
          <w:tcPr>
            <w:tcW w:w="1170" w:type="dxa"/>
            <w:tcBorders>
              <w:right w:val="nil"/>
            </w:tcBorders>
            <w:shd w:val="clear" w:color="auto" w:fill="auto"/>
            <w:noWrap/>
          </w:tcPr>
          <w:p w:rsidR="00C44DA0" w:rsidRPr="003D15C0" w:rsidRDefault="00C44DA0" w:rsidP="002E1D76">
            <w:pPr>
              <w:pStyle w:val="TX-TableText"/>
            </w:pPr>
            <w:r w:rsidRPr="003D15C0">
              <w:t>0.</w:t>
            </w:r>
            <w:r>
              <w:t>324</w:t>
            </w:r>
          </w:p>
        </w:tc>
        <w:tc>
          <w:tcPr>
            <w:tcW w:w="1530" w:type="dxa"/>
            <w:tcBorders>
              <w:right w:val="nil"/>
            </w:tcBorders>
            <w:shd w:val="clear" w:color="auto" w:fill="auto"/>
          </w:tcPr>
          <w:p w:rsidR="00C44DA0" w:rsidRPr="003D15C0" w:rsidRDefault="00C44DA0" w:rsidP="002E1D76">
            <w:pPr>
              <w:pStyle w:val="TX-TableText"/>
            </w:pPr>
            <w:r w:rsidRPr="003D15C0">
              <w:t>5</w:t>
            </w:r>
          </w:p>
        </w:tc>
        <w:tc>
          <w:tcPr>
            <w:tcW w:w="1350" w:type="dxa"/>
            <w:tcBorders>
              <w:right w:val="nil"/>
            </w:tcBorders>
            <w:shd w:val="clear" w:color="auto" w:fill="auto"/>
          </w:tcPr>
          <w:p w:rsidR="00C44DA0" w:rsidRPr="003D15C0" w:rsidRDefault="00C44DA0" w:rsidP="002E1D76">
            <w:pPr>
              <w:pStyle w:val="TX-TableText"/>
            </w:pPr>
            <w:r>
              <w:t>35</w:t>
            </w:r>
            <w:r w:rsidRPr="003D15C0">
              <w:t>0</w:t>
            </w:r>
          </w:p>
        </w:tc>
      </w:tr>
      <w:tr w:rsidR="00413876" w:rsidRPr="00933923" w:rsidTr="00EB3FBD">
        <w:trPr>
          <w:gridAfter w:val="1"/>
          <w:wAfter w:w="180" w:type="dxa"/>
        </w:trPr>
        <w:tc>
          <w:tcPr>
            <w:tcW w:w="9015" w:type="dxa"/>
            <w:gridSpan w:val="5"/>
            <w:tcBorders>
              <w:left w:val="nil"/>
              <w:bottom w:val="single" w:sz="4" w:space="0" w:color="auto"/>
            </w:tcBorders>
            <w:shd w:val="clear" w:color="auto" w:fill="auto"/>
            <w:noWrap/>
          </w:tcPr>
          <w:p w:rsidR="00413876" w:rsidRPr="00413876" w:rsidRDefault="00413876" w:rsidP="002E1D76">
            <w:pPr>
              <w:pStyle w:val="TX-TableText"/>
              <w:rPr>
                <w:vertAlign w:val="superscript"/>
              </w:rPr>
            </w:pPr>
            <w:r>
              <w:t>Total Number Filling Out a Survey  = 52,390</w:t>
            </w:r>
            <w:r>
              <w:rPr>
                <w:vertAlign w:val="superscript"/>
              </w:rPr>
              <w:t>+</w:t>
            </w:r>
          </w:p>
        </w:tc>
      </w:tr>
    </w:tbl>
    <w:p w:rsidR="00C44DA0" w:rsidRPr="00413876" w:rsidRDefault="00413876" w:rsidP="00413876">
      <w:pPr>
        <w:pStyle w:val="L1-FlLSp12"/>
        <w:spacing w:line="200" w:lineRule="atLeast"/>
        <w:rPr>
          <w:sz w:val="18"/>
          <w:szCs w:val="18"/>
        </w:rPr>
      </w:pPr>
      <w:r w:rsidRPr="00413876">
        <w:rPr>
          <w:sz w:val="18"/>
          <w:szCs w:val="18"/>
        </w:rPr>
        <w:t xml:space="preserve">+ = </w:t>
      </w:r>
      <w:proofErr w:type="gramStart"/>
      <w:r w:rsidRPr="00413876">
        <w:rPr>
          <w:sz w:val="18"/>
          <w:szCs w:val="18"/>
        </w:rPr>
        <w:t>Includes</w:t>
      </w:r>
      <w:proofErr w:type="gramEnd"/>
      <w:r w:rsidRPr="00413876">
        <w:rPr>
          <w:sz w:val="18"/>
          <w:szCs w:val="18"/>
        </w:rPr>
        <w:t xml:space="preserve"> all survey responses.  Does not include</w:t>
      </w:r>
      <w:r>
        <w:rPr>
          <w:sz w:val="18"/>
          <w:szCs w:val="18"/>
        </w:rPr>
        <w:t xml:space="preserve"> number</w:t>
      </w:r>
      <w:r w:rsidRPr="00413876">
        <w:rPr>
          <w:sz w:val="18"/>
          <w:szCs w:val="18"/>
        </w:rPr>
        <w:t xml:space="preserve"> reading communication material</w:t>
      </w:r>
    </w:p>
    <w:p w:rsidR="00BB586B" w:rsidRDefault="00BB586B" w:rsidP="00C44DA0">
      <w:pPr>
        <w:pStyle w:val="L1-FlLSp12"/>
      </w:pPr>
      <w:r>
        <w:t>There are a t</w:t>
      </w:r>
      <w:r w:rsidR="00A0598D">
        <w:t>otal of 52,390 individual</w:t>
      </w:r>
      <w:r>
        <w:t xml:space="preserve"> responses </w:t>
      </w:r>
      <w:r w:rsidR="00A0598D">
        <w:t xml:space="preserve">to </w:t>
      </w:r>
      <w:r>
        <w:t xml:space="preserve">the </w:t>
      </w:r>
      <w:r w:rsidR="00A0598D">
        <w:t xml:space="preserve">different </w:t>
      </w:r>
      <w:r>
        <w:t>survey</w:t>
      </w:r>
      <w:r w:rsidR="00A0598D">
        <w:t>s</w:t>
      </w:r>
      <w:r>
        <w:t xml:space="preserve">.  </w:t>
      </w:r>
      <w:r w:rsidR="00A0598D">
        <w:t>A ‘response’ is defined as filling out a survey</w:t>
      </w:r>
      <w:r w:rsidR="00413876">
        <w:t>.  It</w:t>
      </w:r>
      <w:r>
        <w:t xml:space="preserve"> excludes those just reading communication material</w:t>
      </w:r>
      <w:r w:rsidR="00413876">
        <w:t xml:space="preserve"> (e.g., letters)</w:t>
      </w:r>
      <w:r>
        <w:t>.  When added to the Agency respondents, this is a total of 53,060 respondents to the collection.</w:t>
      </w:r>
    </w:p>
    <w:p w:rsidR="00573A81" w:rsidRDefault="00573A81">
      <w:pPr>
        <w:spacing w:line="240" w:lineRule="auto"/>
      </w:pPr>
    </w:p>
    <w:p w:rsidR="00413876" w:rsidRDefault="00576326" w:rsidP="00413876">
      <w:pPr>
        <w:pStyle w:val="L1-FlLSp12"/>
      </w:pPr>
      <w:r>
        <w:t>Table 5</w:t>
      </w:r>
      <w:r w:rsidR="00C44DA0">
        <w:t xml:space="preserve"> provides the estimated burden and cost for the two tests (feasibility, pilot), mode of interview (CATI, ACASI) and sample type (Service Provider, High Risk, General). </w:t>
      </w:r>
      <w:r w:rsidR="00C44DA0" w:rsidRPr="00933923">
        <w:t xml:space="preserve"> </w:t>
      </w:r>
      <w:r w:rsidR="00BB4658">
        <w:t>Attachment</w:t>
      </w:r>
      <w:r w:rsidR="00C44DA0">
        <w:t xml:space="preserve"> A provides the detailed calculations for these estimates.</w:t>
      </w:r>
      <w:bookmarkStart w:id="91" w:name="_Toc367708428"/>
      <w:bookmarkStart w:id="92" w:name="_Toc367708455"/>
      <w:r w:rsidR="00237313">
        <w:t xml:space="preserve">  With an annual burden of 11,8</w:t>
      </w:r>
      <w:r w:rsidR="00620035">
        <w:t>0</w:t>
      </w:r>
      <w:r w:rsidR="00237313">
        <w:t>6 (</w:t>
      </w:r>
      <w:r>
        <w:t>Table 5</w:t>
      </w:r>
      <w:r w:rsidR="00237313">
        <w:t>), the average burden per respondent is 13.4 minutes (11,8</w:t>
      </w:r>
      <w:r w:rsidR="00620035">
        <w:t>0</w:t>
      </w:r>
      <w:r w:rsidR="00237313">
        <w:t>6/53,060 = .22</w:t>
      </w:r>
      <w:r w:rsidR="00A81F54">
        <w:t>3</w:t>
      </w:r>
      <w:r w:rsidR="00237313">
        <w:t xml:space="preserve"> hours or 13.4 minutes).</w:t>
      </w:r>
      <w:r w:rsidR="00413876" w:rsidRPr="00413876">
        <w:t xml:space="preserve"> </w:t>
      </w:r>
    </w:p>
    <w:p w:rsidR="00C44DA0" w:rsidRPr="008A1A55" w:rsidRDefault="00576326" w:rsidP="003156B7">
      <w:pPr>
        <w:pStyle w:val="Heading4"/>
      </w:pPr>
      <w:bookmarkStart w:id="93" w:name="_Toc380930498"/>
      <w:bookmarkStart w:id="94" w:name="_Toc380930608"/>
      <w:bookmarkStart w:id="95" w:name="_Toc380930778"/>
      <w:proofErr w:type="gramStart"/>
      <w:r>
        <w:lastRenderedPageBreak/>
        <w:t>Table 5</w:t>
      </w:r>
      <w:r w:rsidR="00C44DA0" w:rsidRPr="008A1A55">
        <w:t>.</w:t>
      </w:r>
      <w:proofErr w:type="gramEnd"/>
      <w:r w:rsidR="00C44DA0" w:rsidRPr="008A1A55">
        <w:tab/>
        <w:t>Annual Respondent Burden for the NSHS Interviews</w:t>
      </w:r>
      <w:bookmarkEnd w:id="91"/>
      <w:bookmarkEnd w:id="92"/>
      <w:bookmarkEnd w:id="93"/>
      <w:bookmarkEnd w:id="94"/>
      <w:bookmarkEnd w:id="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89"/>
        <w:gridCol w:w="303"/>
        <w:gridCol w:w="3823"/>
        <w:gridCol w:w="2214"/>
        <w:gridCol w:w="2415"/>
      </w:tblGrid>
      <w:tr w:rsidR="00C44DA0" w:rsidRPr="00933923" w:rsidTr="002E1D76">
        <w:tc>
          <w:tcPr>
            <w:tcW w:w="2583" w:type="pct"/>
            <w:gridSpan w:val="4"/>
            <w:tcBorders>
              <w:left w:val="nil"/>
            </w:tcBorders>
            <w:shd w:val="clear" w:color="auto" w:fill="AFBED7"/>
            <w:noWrap/>
            <w:vAlign w:val="bottom"/>
            <w:hideMark/>
          </w:tcPr>
          <w:p w:rsidR="00C44DA0" w:rsidRPr="00933923" w:rsidRDefault="00C44DA0" w:rsidP="002E1D76">
            <w:pPr>
              <w:pStyle w:val="TH-TableHeading"/>
            </w:pPr>
            <w:bookmarkStart w:id="96" w:name="_Toc380930609"/>
            <w:r w:rsidRPr="00933923">
              <w:t>Description</w:t>
            </w:r>
            <w:bookmarkEnd w:id="96"/>
          </w:p>
        </w:tc>
        <w:tc>
          <w:tcPr>
            <w:tcW w:w="1156" w:type="pct"/>
            <w:shd w:val="clear" w:color="auto" w:fill="AFBED7"/>
            <w:vAlign w:val="bottom"/>
            <w:hideMark/>
          </w:tcPr>
          <w:p w:rsidR="00C44DA0" w:rsidRPr="00933923" w:rsidRDefault="00C44DA0" w:rsidP="002E1D76">
            <w:pPr>
              <w:pStyle w:val="TH-TableHeading"/>
            </w:pPr>
            <w:bookmarkStart w:id="97" w:name="_Toc380930610"/>
            <w:r w:rsidRPr="00933923">
              <w:t>Total expected burden hours*</w:t>
            </w:r>
            <w:bookmarkEnd w:id="97"/>
          </w:p>
        </w:tc>
        <w:tc>
          <w:tcPr>
            <w:tcW w:w="1261" w:type="pct"/>
            <w:tcBorders>
              <w:right w:val="nil"/>
            </w:tcBorders>
            <w:shd w:val="clear" w:color="auto" w:fill="AFBED7"/>
            <w:vAlign w:val="bottom"/>
            <w:hideMark/>
          </w:tcPr>
          <w:p w:rsidR="00C44DA0" w:rsidRPr="00933923" w:rsidRDefault="00C44DA0" w:rsidP="002E1D76">
            <w:pPr>
              <w:pStyle w:val="TH-TableHeading"/>
            </w:pPr>
            <w:bookmarkStart w:id="98" w:name="_Toc380930611"/>
            <w:r w:rsidRPr="00933923">
              <w:t>Total expected burden cost</w:t>
            </w:r>
            <w:bookmarkEnd w:id="98"/>
          </w:p>
        </w:tc>
      </w:tr>
      <w:tr w:rsidR="00C44DA0" w:rsidRPr="00933923" w:rsidTr="002E1D76">
        <w:tc>
          <w:tcPr>
            <w:tcW w:w="2583" w:type="pct"/>
            <w:gridSpan w:val="4"/>
            <w:tcBorders>
              <w:left w:val="nil"/>
              <w:right w:val="single" w:sz="4" w:space="0" w:color="auto"/>
            </w:tcBorders>
            <w:shd w:val="clear" w:color="auto" w:fill="auto"/>
            <w:noWrap/>
            <w:vAlign w:val="center"/>
            <w:hideMark/>
          </w:tcPr>
          <w:p w:rsidR="00C44DA0" w:rsidRPr="00933923" w:rsidRDefault="00C44DA0" w:rsidP="002E1D76">
            <w:pPr>
              <w:pStyle w:val="TX-TableText"/>
            </w:pPr>
            <w:r w:rsidRPr="00933923">
              <w:t>Feasibility Test</w:t>
            </w:r>
          </w:p>
        </w:tc>
        <w:tc>
          <w:tcPr>
            <w:tcW w:w="1156" w:type="pct"/>
            <w:tcBorders>
              <w:left w:val="single" w:sz="4" w:space="0" w:color="auto"/>
              <w:right w:val="nil"/>
            </w:tcBorders>
            <w:shd w:val="clear" w:color="auto" w:fill="auto"/>
            <w:vAlign w:val="center"/>
          </w:tcPr>
          <w:p w:rsidR="00C44DA0" w:rsidRPr="00933923" w:rsidRDefault="00C44DA0" w:rsidP="002E1D76">
            <w:pPr>
              <w:pStyle w:val="TX-TableText"/>
              <w:jc w:val="center"/>
            </w:pPr>
          </w:p>
        </w:tc>
        <w:tc>
          <w:tcPr>
            <w:tcW w:w="1261" w:type="pct"/>
            <w:tcBorders>
              <w:left w:val="single" w:sz="4" w:space="0" w:color="auto"/>
              <w:right w:val="nil"/>
            </w:tcBorders>
            <w:shd w:val="clear" w:color="auto" w:fill="auto"/>
            <w:vAlign w:val="center"/>
          </w:tcPr>
          <w:p w:rsidR="00C44DA0" w:rsidRPr="00933923" w:rsidRDefault="00C44DA0" w:rsidP="002E1D76">
            <w:pPr>
              <w:pStyle w:val="TX-TableText"/>
              <w:jc w:val="center"/>
            </w:pPr>
          </w:p>
        </w:tc>
      </w:tr>
      <w:tr w:rsidR="00C44DA0" w:rsidRPr="00933923" w:rsidTr="002E1D76">
        <w:tc>
          <w:tcPr>
            <w:tcW w:w="27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2305" w:type="pct"/>
            <w:gridSpan w:val="3"/>
            <w:tcBorders>
              <w:left w:val="nil"/>
              <w:bottom w:val="single" w:sz="4" w:space="0" w:color="auto"/>
            </w:tcBorders>
            <w:shd w:val="clear" w:color="auto" w:fill="auto"/>
            <w:noWrap/>
            <w:vAlign w:val="center"/>
            <w:hideMark/>
          </w:tcPr>
          <w:p w:rsidR="00C44DA0" w:rsidRPr="00933923" w:rsidRDefault="00C44DA0" w:rsidP="002E1D76">
            <w:pPr>
              <w:pStyle w:val="TX-TableText"/>
            </w:pPr>
            <w:r>
              <w:t>CATI Sample (Total)</w:t>
            </w:r>
          </w:p>
        </w:tc>
        <w:tc>
          <w:tcPr>
            <w:tcW w:w="1156" w:type="pct"/>
            <w:shd w:val="clear" w:color="auto" w:fill="auto"/>
            <w:noWrap/>
            <w:vAlign w:val="bottom"/>
            <w:hideMark/>
          </w:tcPr>
          <w:p w:rsidR="00C44DA0" w:rsidRPr="00933923" w:rsidRDefault="00C44DA0" w:rsidP="002E1D76">
            <w:pPr>
              <w:pStyle w:val="TX-TableText"/>
              <w:jc w:val="center"/>
            </w:pPr>
            <w:r w:rsidRPr="002E1D76">
              <w:t>57.1</w:t>
            </w:r>
          </w:p>
        </w:tc>
        <w:tc>
          <w:tcPr>
            <w:tcW w:w="1261" w:type="pct"/>
            <w:tcBorders>
              <w:right w:val="nil"/>
            </w:tcBorders>
            <w:shd w:val="clear" w:color="auto" w:fill="auto"/>
            <w:noWrap/>
            <w:vAlign w:val="bottom"/>
            <w:hideMark/>
          </w:tcPr>
          <w:p w:rsidR="00C44DA0" w:rsidRPr="00933923" w:rsidRDefault="00C44DA0" w:rsidP="002E1D76">
            <w:pPr>
              <w:pStyle w:val="TX-TableText"/>
              <w:jc w:val="center"/>
            </w:pPr>
            <w:r w:rsidRPr="002E1D76">
              <w:t>$1,370</w:t>
            </w:r>
          </w:p>
        </w:tc>
      </w:tr>
      <w:tr w:rsidR="00C44DA0" w:rsidRPr="00933923" w:rsidTr="002E1D76">
        <w:tc>
          <w:tcPr>
            <w:tcW w:w="278" w:type="pct"/>
            <w:tcBorders>
              <w:left w:val="nil"/>
              <w:right w:val="nil"/>
            </w:tcBorders>
            <w:shd w:val="clear" w:color="auto" w:fill="auto"/>
            <w:noWrap/>
            <w:vAlign w:val="center"/>
            <w:hideMark/>
          </w:tcPr>
          <w:p w:rsidR="00C44DA0" w:rsidRPr="00933923" w:rsidRDefault="00C44DA0" w:rsidP="002E1D76">
            <w:pPr>
              <w:pStyle w:val="TX-TableText"/>
            </w:pPr>
          </w:p>
        </w:tc>
        <w:tc>
          <w:tcPr>
            <w:tcW w:w="151" w:type="pct"/>
            <w:tcBorders>
              <w:left w:val="nil"/>
              <w:right w:val="nil"/>
            </w:tcBorders>
            <w:shd w:val="clear" w:color="auto" w:fill="auto"/>
            <w:noWrap/>
            <w:vAlign w:val="center"/>
            <w:hideMark/>
          </w:tcPr>
          <w:p w:rsidR="00C44DA0" w:rsidRPr="00933923" w:rsidRDefault="00C44DA0" w:rsidP="002E1D76">
            <w:pPr>
              <w:pStyle w:val="TX-TableText"/>
            </w:pPr>
          </w:p>
        </w:tc>
        <w:tc>
          <w:tcPr>
            <w:tcW w:w="158" w:type="pct"/>
            <w:tcBorders>
              <w:left w:val="nil"/>
              <w:right w:val="nil"/>
            </w:tcBorders>
            <w:shd w:val="clear" w:color="auto" w:fill="auto"/>
            <w:noWrap/>
            <w:vAlign w:val="center"/>
            <w:hideMark/>
          </w:tcPr>
          <w:p w:rsidR="00C44DA0" w:rsidRPr="00933923" w:rsidRDefault="00C44DA0" w:rsidP="002E1D76">
            <w:pPr>
              <w:pStyle w:val="TX-TableText"/>
            </w:pPr>
          </w:p>
        </w:tc>
        <w:tc>
          <w:tcPr>
            <w:tcW w:w="1996" w:type="pct"/>
            <w:tcBorders>
              <w:left w:val="nil"/>
            </w:tcBorders>
            <w:shd w:val="clear" w:color="auto" w:fill="auto"/>
            <w:vAlign w:val="center"/>
            <w:hideMark/>
          </w:tcPr>
          <w:p w:rsidR="00C44DA0" w:rsidRPr="00933923" w:rsidRDefault="00C44DA0" w:rsidP="002E1D76">
            <w:pPr>
              <w:pStyle w:val="TX-TableText"/>
            </w:pPr>
            <w:r w:rsidRPr="00933923">
              <w:t>Service Provider</w:t>
            </w:r>
            <w:r>
              <w:t xml:space="preserve"> Sample </w:t>
            </w:r>
          </w:p>
        </w:tc>
        <w:tc>
          <w:tcPr>
            <w:tcW w:w="1156" w:type="pct"/>
            <w:shd w:val="clear" w:color="auto" w:fill="auto"/>
            <w:noWrap/>
            <w:vAlign w:val="center"/>
            <w:hideMark/>
          </w:tcPr>
          <w:p w:rsidR="00C44DA0" w:rsidRPr="00933923" w:rsidRDefault="00C44DA0" w:rsidP="002E1D76">
            <w:pPr>
              <w:pStyle w:val="TX-TableText"/>
              <w:jc w:val="center"/>
            </w:pPr>
            <w:r w:rsidRPr="00933923">
              <w:t>13.2</w:t>
            </w:r>
          </w:p>
        </w:tc>
        <w:tc>
          <w:tcPr>
            <w:tcW w:w="1261" w:type="pct"/>
            <w:tcBorders>
              <w:right w:val="nil"/>
            </w:tcBorders>
            <w:shd w:val="clear" w:color="auto" w:fill="auto"/>
            <w:noWrap/>
            <w:vAlign w:val="center"/>
            <w:hideMark/>
          </w:tcPr>
          <w:p w:rsidR="00C44DA0" w:rsidRPr="00933923" w:rsidRDefault="00C44DA0" w:rsidP="002E1D76">
            <w:pPr>
              <w:pStyle w:val="TX-TableText"/>
              <w:jc w:val="center"/>
            </w:pPr>
            <w:r w:rsidRPr="00933923">
              <w:t>$317</w:t>
            </w:r>
          </w:p>
        </w:tc>
      </w:tr>
      <w:tr w:rsidR="00C44DA0" w:rsidRPr="00933923" w:rsidTr="002E1D76">
        <w:tc>
          <w:tcPr>
            <w:tcW w:w="278" w:type="pct"/>
            <w:tcBorders>
              <w:left w:val="nil"/>
              <w:bottom w:val="single" w:sz="4" w:space="0" w:color="auto"/>
              <w:right w:val="nil"/>
            </w:tcBorders>
            <w:shd w:val="clear" w:color="auto" w:fill="auto"/>
            <w:noWrap/>
            <w:vAlign w:val="center"/>
          </w:tcPr>
          <w:p w:rsidR="00C44DA0" w:rsidRPr="00933923" w:rsidRDefault="00C44DA0" w:rsidP="002E1D76">
            <w:pPr>
              <w:pStyle w:val="TX-TableText"/>
            </w:pPr>
          </w:p>
        </w:tc>
        <w:tc>
          <w:tcPr>
            <w:tcW w:w="151" w:type="pct"/>
            <w:tcBorders>
              <w:left w:val="nil"/>
              <w:bottom w:val="single" w:sz="4" w:space="0" w:color="auto"/>
              <w:right w:val="nil"/>
            </w:tcBorders>
            <w:shd w:val="clear" w:color="auto" w:fill="auto"/>
            <w:noWrap/>
            <w:vAlign w:val="center"/>
          </w:tcPr>
          <w:p w:rsidR="00C44DA0" w:rsidRPr="00933923" w:rsidRDefault="00C44DA0" w:rsidP="002E1D76">
            <w:pPr>
              <w:pStyle w:val="TX-TableText"/>
            </w:pPr>
          </w:p>
        </w:tc>
        <w:tc>
          <w:tcPr>
            <w:tcW w:w="158" w:type="pct"/>
            <w:tcBorders>
              <w:left w:val="nil"/>
              <w:bottom w:val="single" w:sz="4" w:space="0" w:color="auto"/>
              <w:right w:val="nil"/>
            </w:tcBorders>
            <w:shd w:val="clear" w:color="auto" w:fill="auto"/>
            <w:noWrap/>
            <w:vAlign w:val="center"/>
          </w:tcPr>
          <w:p w:rsidR="00C44DA0" w:rsidRPr="00933923" w:rsidRDefault="00C44DA0" w:rsidP="002E1D76">
            <w:pPr>
              <w:pStyle w:val="TX-TableText"/>
            </w:pPr>
          </w:p>
        </w:tc>
        <w:tc>
          <w:tcPr>
            <w:tcW w:w="1996" w:type="pct"/>
            <w:tcBorders>
              <w:left w:val="nil"/>
              <w:bottom w:val="single" w:sz="4" w:space="0" w:color="auto"/>
            </w:tcBorders>
            <w:shd w:val="clear" w:color="auto" w:fill="auto"/>
            <w:vAlign w:val="center"/>
          </w:tcPr>
          <w:p w:rsidR="00C44DA0" w:rsidRPr="00933923" w:rsidRDefault="00C44DA0" w:rsidP="002E1D76">
            <w:pPr>
              <w:pStyle w:val="TX-TableText"/>
            </w:pPr>
            <w:r>
              <w:t>High Risk</w:t>
            </w:r>
            <w:r w:rsidRPr="00933923">
              <w:t xml:space="preserve"> Sample</w:t>
            </w:r>
          </w:p>
        </w:tc>
        <w:tc>
          <w:tcPr>
            <w:tcW w:w="1156" w:type="pct"/>
            <w:tcBorders>
              <w:bottom w:val="single" w:sz="4" w:space="0" w:color="auto"/>
            </w:tcBorders>
            <w:shd w:val="clear" w:color="auto" w:fill="auto"/>
            <w:noWrap/>
            <w:vAlign w:val="center"/>
          </w:tcPr>
          <w:p w:rsidR="00C44DA0" w:rsidRPr="00933923" w:rsidRDefault="00C44DA0" w:rsidP="002E1D76">
            <w:pPr>
              <w:pStyle w:val="TX-TableText"/>
              <w:jc w:val="center"/>
            </w:pPr>
            <w:r w:rsidRPr="00933923">
              <w:t>17.8</w:t>
            </w:r>
          </w:p>
        </w:tc>
        <w:tc>
          <w:tcPr>
            <w:tcW w:w="1261" w:type="pct"/>
            <w:tcBorders>
              <w:bottom w:val="single" w:sz="4" w:space="0" w:color="auto"/>
              <w:right w:val="nil"/>
            </w:tcBorders>
            <w:shd w:val="clear" w:color="auto" w:fill="auto"/>
            <w:noWrap/>
            <w:vAlign w:val="center"/>
          </w:tcPr>
          <w:p w:rsidR="00C44DA0" w:rsidRPr="00933923" w:rsidRDefault="00C44DA0" w:rsidP="002E1D76">
            <w:pPr>
              <w:pStyle w:val="TX-TableText"/>
              <w:jc w:val="center"/>
            </w:pPr>
            <w:r w:rsidRPr="00933923">
              <w:t>$427</w:t>
            </w:r>
          </w:p>
        </w:tc>
      </w:tr>
      <w:tr w:rsidR="00C44DA0" w:rsidRPr="00933923" w:rsidTr="002E1D76">
        <w:tc>
          <w:tcPr>
            <w:tcW w:w="278" w:type="pct"/>
            <w:tcBorders>
              <w:left w:val="nil"/>
              <w:bottom w:val="single" w:sz="4" w:space="0" w:color="auto"/>
              <w:right w:val="nil"/>
            </w:tcBorders>
            <w:shd w:val="clear" w:color="auto" w:fill="auto"/>
            <w:noWrap/>
            <w:vAlign w:val="center"/>
          </w:tcPr>
          <w:p w:rsidR="00C44DA0" w:rsidRPr="00933923" w:rsidRDefault="00C44DA0" w:rsidP="002E1D76">
            <w:pPr>
              <w:pStyle w:val="TX-TableText"/>
            </w:pPr>
          </w:p>
        </w:tc>
        <w:tc>
          <w:tcPr>
            <w:tcW w:w="151" w:type="pct"/>
            <w:tcBorders>
              <w:left w:val="nil"/>
              <w:bottom w:val="single" w:sz="4" w:space="0" w:color="auto"/>
              <w:right w:val="nil"/>
            </w:tcBorders>
            <w:shd w:val="clear" w:color="auto" w:fill="auto"/>
            <w:noWrap/>
            <w:vAlign w:val="center"/>
          </w:tcPr>
          <w:p w:rsidR="00C44DA0" w:rsidRPr="00933923" w:rsidRDefault="00C44DA0" w:rsidP="002E1D76">
            <w:pPr>
              <w:pStyle w:val="TX-TableText"/>
            </w:pPr>
          </w:p>
        </w:tc>
        <w:tc>
          <w:tcPr>
            <w:tcW w:w="158" w:type="pct"/>
            <w:tcBorders>
              <w:left w:val="nil"/>
              <w:bottom w:val="single" w:sz="4" w:space="0" w:color="auto"/>
              <w:right w:val="nil"/>
            </w:tcBorders>
            <w:shd w:val="clear" w:color="auto" w:fill="auto"/>
            <w:noWrap/>
            <w:vAlign w:val="center"/>
          </w:tcPr>
          <w:p w:rsidR="00C44DA0" w:rsidRPr="00933923" w:rsidRDefault="00C44DA0" w:rsidP="002E1D76">
            <w:pPr>
              <w:pStyle w:val="TX-TableText"/>
            </w:pPr>
          </w:p>
        </w:tc>
        <w:tc>
          <w:tcPr>
            <w:tcW w:w="1996" w:type="pct"/>
            <w:tcBorders>
              <w:left w:val="nil"/>
              <w:bottom w:val="single" w:sz="4" w:space="0" w:color="auto"/>
            </w:tcBorders>
            <w:shd w:val="clear" w:color="auto" w:fill="auto"/>
            <w:vAlign w:val="center"/>
          </w:tcPr>
          <w:p w:rsidR="00C44DA0" w:rsidRPr="00933923" w:rsidRDefault="00C44DA0" w:rsidP="002E1D76">
            <w:pPr>
              <w:pStyle w:val="TX-TableText"/>
            </w:pPr>
            <w:r>
              <w:t>General Population</w:t>
            </w:r>
            <w:r w:rsidRPr="00933923">
              <w:t xml:space="preserve"> Sample</w:t>
            </w:r>
          </w:p>
        </w:tc>
        <w:tc>
          <w:tcPr>
            <w:tcW w:w="1156" w:type="pct"/>
            <w:tcBorders>
              <w:bottom w:val="single" w:sz="4" w:space="0" w:color="auto"/>
            </w:tcBorders>
            <w:shd w:val="clear" w:color="auto" w:fill="auto"/>
            <w:noWrap/>
            <w:vAlign w:val="center"/>
          </w:tcPr>
          <w:p w:rsidR="00C44DA0" w:rsidRPr="00933923" w:rsidRDefault="00C44DA0" w:rsidP="002E1D76">
            <w:pPr>
              <w:pStyle w:val="TX-TableText"/>
              <w:jc w:val="center"/>
            </w:pPr>
            <w:r w:rsidRPr="00933923">
              <w:t>26.1</w:t>
            </w:r>
          </w:p>
        </w:tc>
        <w:tc>
          <w:tcPr>
            <w:tcW w:w="1261" w:type="pct"/>
            <w:tcBorders>
              <w:bottom w:val="single" w:sz="4" w:space="0" w:color="auto"/>
              <w:right w:val="nil"/>
            </w:tcBorders>
            <w:shd w:val="clear" w:color="auto" w:fill="auto"/>
            <w:noWrap/>
            <w:vAlign w:val="center"/>
          </w:tcPr>
          <w:p w:rsidR="00C44DA0" w:rsidRPr="00933923" w:rsidRDefault="00C44DA0" w:rsidP="002E1D76">
            <w:pPr>
              <w:pStyle w:val="TX-TableText"/>
              <w:jc w:val="center"/>
            </w:pPr>
            <w:r w:rsidRPr="00933923">
              <w:t>$626</w:t>
            </w:r>
          </w:p>
        </w:tc>
      </w:tr>
      <w:tr w:rsidR="00C44DA0" w:rsidRPr="00933923" w:rsidTr="002E1D76">
        <w:tc>
          <w:tcPr>
            <w:tcW w:w="27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2305" w:type="pct"/>
            <w:gridSpan w:val="3"/>
            <w:tcBorders>
              <w:left w:val="nil"/>
              <w:bottom w:val="single" w:sz="4" w:space="0" w:color="auto"/>
            </w:tcBorders>
            <w:shd w:val="clear" w:color="auto" w:fill="auto"/>
            <w:noWrap/>
            <w:vAlign w:val="center"/>
            <w:hideMark/>
          </w:tcPr>
          <w:p w:rsidR="00C44DA0" w:rsidRPr="00933923" w:rsidRDefault="00C44DA0" w:rsidP="002E1D76">
            <w:pPr>
              <w:pStyle w:val="TX-TableText"/>
            </w:pPr>
            <w:r>
              <w:t>ACASI Sample (Total)</w:t>
            </w:r>
          </w:p>
        </w:tc>
        <w:tc>
          <w:tcPr>
            <w:tcW w:w="1156" w:type="pct"/>
            <w:shd w:val="clear" w:color="auto" w:fill="auto"/>
            <w:noWrap/>
            <w:vAlign w:val="bottom"/>
            <w:hideMark/>
          </w:tcPr>
          <w:p w:rsidR="00C44DA0" w:rsidRPr="00933923" w:rsidRDefault="00C44DA0" w:rsidP="002E1D76">
            <w:pPr>
              <w:pStyle w:val="TX-TableText"/>
              <w:jc w:val="center"/>
            </w:pPr>
            <w:r w:rsidRPr="002E1D76">
              <w:t>65.6</w:t>
            </w:r>
          </w:p>
        </w:tc>
        <w:tc>
          <w:tcPr>
            <w:tcW w:w="1261" w:type="pct"/>
            <w:tcBorders>
              <w:right w:val="nil"/>
            </w:tcBorders>
            <w:shd w:val="clear" w:color="auto" w:fill="auto"/>
            <w:noWrap/>
            <w:vAlign w:val="bottom"/>
            <w:hideMark/>
          </w:tcPr>
          <w:p w:rsidR="00C44DA0" w:rsidRPr="00933923" w:rsidRDefault="00C44DA0" w:rsidP="002E1D76">
            <w:pPr>
              <w:pStyle w:val="TX-TableText"/>
              <w:jc w:val="center"/>
            </w:pPr>
            <w:r w:rsidRPr="002E1D76">
              <w:t>$1,573</w:t>
            </w:r>
          </w:p>
        </w:tc>
      </w:tr>
      <w:tr w:rsidR="00C44DA0" w:rsidRPr="00933923" w:rsidTr="002E1D76">
        <w:tc>
          <w:tcPr>
            <w:tcW w:w="27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51"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5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996" w:type="pct"/>
            <w:tcBorders>
              <w:left w:val="nil"/>
              <w:bottom w:val="single" w:sz="4" w:space="0" w:color="auto"/>
            </w:tcBorders>
            <w:shd w:val="clear" w:color="auto" w:fill="auto"/>
            <w:noWrap/>
            <w:vAlign w:val="center"/>
            <w:hideMark/>
          </w:tcPr>
          <w:p w:rsidR="00C44DA0" w:rsidRPr="00933923" w:rsidRDefault="00C44DA0" w:rsidP="002E1D76">
            <w:pPr>
              <w:pStyle w:val="TX-TableText"/>
            </w:pPr>
            <w:r w:rsidRPr="00933923">
              <w:t>Service Provider</w:t>
            </w:r>
            <w:r>
              <w:t xml:space="preserve"> Sample</w:t>
            </w:r>
          </w:p>
        </w:tc>
        <w:tc>
          <w:tcPr>
            <w:tcW w:w="1156" w:type="pct"/>
            <w:shd w:val="clear" w:color="auto" w:fill="auto"/>
            <w:noWrap/>
            <w:vAlign w:val="center"/>
            <w:hideMark/>
          </w:tcPr>
          <w:p w:rsidR="00C44DA0" w:rsidRPr="00933923" w:rsidRDefault="00C44DA0" w:rsidP="002E1D76">
            <w:pPr>
              <w:pStyle w:val="TX-TableText"/>
              <w:jc w:val="center"/>
            </w:pPr>
            <w:r w:rsidRPr="00933923">
              <w:t>13.6</w:t>
            </w:r>
          </w:p>
        </w:tc>
        <w:tc>
          <w:tcPr>
            <w:tcW w:w="1261" w:type="pct"/>
            <w:tcBorders>
              <w:right w:val="nil"/>
            </w:tcBorders>
            <w:shd w:val="clear" w:color="auto" w:fill="auto"/>
            <w:noWrap/>
            <w:vAlign w:val="center"/>
            <w:hideMark/>
          </w:tcPr>
          <w:p w:rsidR="00C44DA0" w:rsidRPr="00933923" w:rsidRDefault="00C44DA0" w:rsidP="002E1D76">
            <w:pPr>
              <w:pStyle w:val="TX-TableText"/>
              <w:jc w:val="center"/>
            </w:pPr>
            <w:r w:rsidRPr="00933923">
              <w:t>$326</w:t>
            </w:r>
          </w:p>
        </w:tc>
      </w:tr>
      <w:tr w:rsidR="00C44DA0" w:rsidRPr="00933923" w:rsidTr="002E1D76">
        <w:tc>
          <w:tcPr>
            <w:tcW w:w="27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51"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5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996" w:type="pct"/>
            <w:tcBorders>
              <w:left w:val="nil"/>
              <w:bottom w:val="single" w:sz="4" w:space="0" w:color="auto"/>
            </w:tcBorders>
            <w:shd w:val="clear" w:color="auto" w:fill="auto"/>
            <w:vAlign w:val="center"/>
            <w:hideMark/>
          </w:tcPr>
          <w:p w:rsidR="00C44DA0" w:rsidRPr="00933923" w:rsidRDefault="00C44DA0" w:rsidP="002E1D76">
            <w:pPr>
              <w:pStyle w:val="TX-TableText"/>
            </w:pPr>
            <w:r>
              <w:t>High Risk</w:t>
            </w:r>
            <w:r w:rsidRPr="00933923">
              <w:t xml:space="preserve"> Sample</w:t>
            </w:r>
          </w:p>
        </w:tc>
        <w:tc>
          <w:tcPr>
            <w:tcW w:w="1156" w:type="pct"/>
            <w:tcBorders>
              <w:bottom w:val="single" w:sz="4" w:space="0" w:color="auto"/>
            </w:tcBorders>
            <w:shd w:val="clear" w:color="auto" w:fill="auto"/>
            <w:noWrap/>
            <w:vAlign w:val="center"/>
            <w:hideMark/>
          </w:tcPr>
          <w:p w:rsidR="00C44DA0" w:rsidRPr="00933923" w:rsidRDefault="00C44DA0" w:rsidP="002E1D76">
            <w:pPr>
              <w:pStyle w:val="TX-TableText"/>
              <w:jc w:val="center"/>
            </w:pPr>
            <w:r w:rsidRPr="00933923">
              <w:t>18.5</w:t>
            </w:r>
          </w:p>
        </w:tc>
        <w:tc>
          <w:tcPr>
            <w:tcW w:w="1261" w:type="pct"/>
            <w:tcBorders>
              <w:bottom w:val="single" w:sz="4" w:space="0" w:color="auto"/>
              <w:right w:val="nil"/>
            </w:tcBorders>
            <w:shd w:val="clear" w:color="auto" w:fill="auto"/>
            <w:noWrap/>
            <w:vAlign w:val="center"/>
            <w:hideMark/>
          </w:tcPr>
          <w:p w:rsidR="00C44DA0" w:rsidRPr="00933923" w:rsidRDefault="00C44DA0" w:rsidP="002E1D76">
            <w:pPr>
              <w:pStyle w:val="TX-TableText"/>
              <w:jc w:val="center"/>
            </w:pPr>
            <w:r w:rsidRPr="00933923">
              <w:t>$444</w:t>
            </w:r>
          </w:p>
        </w:tc>
      </w:tr>
      <w:tr w:rsidR="00C44DA0" w:rsidRPr="00933923" w:rsidTr="002E1D76">
        <w:tc>
          <w:tcPr>
            <w:tcW w:w="27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51"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5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996" w:type="pct"/>
            <w:tcBorders>
              <w:left w:val="nil"/>
              <w:bottom w:val="single" w:sz="4" w:space="0" w:color="auto"/>
            </w:tcBorders>
            <w:shd w:val="clear" w:color="auto" w:fill="auto"/>
            <w:vAlign w:val="center"/>
            <w:hideMark/>
          </w:tcPr>
          <w:p w:rsidR="00C44DA0" w:rsidRPr="00933923" w:rsidRDefault="00C44DA0" w:rsidP="002E1D76">
            <w:pPr>
              <w:pStyle w:val="TX-TableText"/>
            </w:pPr>
            <w:r>
              <w:t>General Population</w:t>
            </w:r>
            <w:r w:rsidRPr="00933923">
              <w:t xml:space="preserve"> Sample</w:t>
            </w:r>
          </w:p>
        </w:tc>
        <w:tc>
          <w:tcPr>
            <w:tcW w:w="1156" w:type="pct"/>
            <w:tcBorders>
              <w:bottom w:val="single" w:sz="4" w:space="0" w:color="auto"/>
            </w:tcBorders>
            <w:shd w:val="clear" w:color="auto" w:fill="auto"/>
            <w:noWrap/>
            <w:vAlign w:val="center"/>
            <w:hideMark/>
          </w:tcPr>
          <w:p w:rsidR="00C44DA0" w:rsidRPr="00933923" w:rsidRDefault="00C44DA0" w:rsidP="00A81F54">
            <w:pPr>
              <w:pStyle w:val="TX-TableText"/>
              <w:jc w:val="center"/>
            </w:pPr>
            <w:r w:rsidRPr="00933923">
              <w:t>33.</w:t>
            </w:r>
            <w:r w:rsidR="00A81F54">
              <w:t>2</w:t>
            </w:r>
          </w:p>
        </w:tc>
        <w:tc>
          <w:tcPr>
            <w:tcW w:w="1261" w:type="pct"/>
            <w:tcBorders>
              <w:bottom w:val="single" w:sz="4" w:space="0" w:color="auto"/>
              <w:right w:val="nil"/>
            </w:tcBorders>
            <w:shd w:val="clear" w:color="auto" w:fill="auto"/>
            <w:noWrap/>
            <w:vAlign w:val="center"/>
            <w:hideMark/>
          </w:tcPr>
          <w:p w:rsidR="00C44DA0" w:rsidRPr="00933923" w:rsidRDefault="00C44DA0" w:rsidP="00A81F54">
            <w:pPr>
              <w:pStyle w:val="TX-TableText"/>
              <w:jc w:val="center"/>
            </w:pPr>
            <w:r w:rsidRPr="00933923">
              <w:t>$</w:t>
            </w:r>
            <w:r w:rsidR="00A81F54">
              <w:t>796</w:t>
            </w:r>
          </w:p>
        </w:tc>
      </w:tr>
      <w:tr w:rsidR="00C44DA0" w:rsidRPr="00933923" w:rsidTr="002E1D76">
        <w:tc>
          <w:tcPr>
            <w:tcW w:w="2583" w:type="pct"/>
            <w:gridSpan w:val="4"/>
            <w:tcBorders>
              <w:left w:val="nil"/>
              <w:bottom w:val="single" w:sz="4" w:space="0" w:color="auto"/>
              <w:right w:val="single" w:sz="4" w:space="0" w:color="auto"/>
            </w:tcBorders>
            <w:shd w:val="clear" w:color="auto" w:fill="auto"/>
            <w:noWrap/>
            <w:vAlign w:val="center"/>
            <w:hideMark/>
          </w:tcPr>
          <w:p w:rsidR="00C44DA0" w:rsidRPr="00933923" w:rsidRDefault="00C44DA0" w:rsidP="002E1D76">
            <w:pPr>
              <w:pStyle w:val="TX-TableText"/>
            </w:pPr>
            <w:r w:rsidRPr="00933923">
              <w:t>Pilot Test</w:t>
            </w:r>
          </w:p>
        </w:tc>
        <w:tc>
          <w:tcPr>
            <w:tcW w:w="1156" w:type="pct"/>
            <w:tcBorders>
              <w:left w:val="single" w:sz="4" w:space="0" w:color="auto"/>
              <w:right w:val="single" w:sz="4" w:space="0" w:color="auto"/>
            </w:tcBorders>
            <w:shd w:val="clear" w:color="auto" w:fill="auto"/>
            <w:noWrap/>
            <w:vAlign w:val="center"/>
            <w:hideMark/>
          </w:tcPr>
          <w:p w:rsidR="00C44DA0" w:rsidRPr="00933923" w:rsidRDefault="00C44DA0" w:rsidP="002E1D76">
            <w:pPr>
              <w:pStyle w:val="TX-TableText"/>
              <w:jc w:val="center"/>
            </w:pPr>
          </w:p>
        </w:tc>
        <w:tc>
          <w:tcPr>
            <w:tcW w:w="1261" w:type="pct"/>
            <w:tcBorders>
              <w:left w:val="single" w:sz="4" w:space="0" w:color="auto"/>
              <w:right w:val="nil"/>
            </w:tcBorders>
            <w:shd w:val="clear" w:color="auto" w:fill="auto"/>
            <w:noWrap/>
            <w:vAlign w:val="center"/>
            <w:hideMark/>
          </w:tcPr>
          <w:p w:rsidR="00C44DA0" w:rsidRPr="00933923" w:rsidRDefault="00C44DA0" w:rsidP="002E1D76">
            <w:pPr>
              <w:pStyle w:val="TX-TableText"/>
              <w:jc w:val="center"/>
            </w:pPr>
          </w:p>
        </w:tc>
      </w:tr>
      <w:tr w:rsidR="00C44DA0" w:rsidRPr="00933923" w:rsidTr="002E1D76">
        <w:tc>
          <w:tcPr>
            <w:tcW w:w="27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2305" w:type="pct"/>
            <w:gridSpan w:val="3"/>
            <w:tcBorders>
              <w:left w:val="nil"/>
              <w:bottom w:val="single" w:sz="4" w:space="0" w:color="auto"/>
            </w:tcBorders>
            <w:shd w:val="clear" w:color="auto" w:fill="auto"/>
            <w:noWrap/>
            <w:vAlign w:val="center"/>
            <w:hideMark/>
          </w:tcPr>
          <w:p w:rsidR="00C44DA0" w:rsidRPr="00933923" w:rsidRDefault="00C44DA0" w:rsidP="002E1D76">
            <w:pPr>
              <w:pStyle w:val="TX-TableText"/>
            </w:pPr>
            <w:r>
              <w:t>CATI Sample (Total)</w:t>
            </w:r>
          </w:p>
        </w:tc>
        <w:tc>
          <w:tcPr>
            <w:tcW w:w="1156" w:type="pct"/>
            <w:shd w:val="clear" w:color="auto" w:fill="auto"/>
            <w:noWrap/>
            <w:vAlign w:val="bottom"/>
            <w:hideMark/>
          </w:tcPr>
          <w:p w:rsidR="00C44DA0" w:rsidRPr="00933923" w:rsidRDefault="00C44DA0" w:rsidP="002E1D76">
            <w:pPr>
              <w:pStyle w:val="TX-TableText"/>
              <w:jc w:val="center"/>
            </w:pPr>
            <w:r w:rsidRPr="002E1D76">
              <w:t>4,908.7</w:t>
            </w:r>
          </w:p>
        </w:tc>
        <w:tc>
          <w:tcPr>
            <w:tcW w:w="1261" w:type="pct"/>
            <w:tcBorders>
              <w:right w:val="nil"/>
            </w:tcBorders>
            <w:shd w:val="clear" w:color="auto" w:fill="auto"/>
            <w:noWrap/>
            <w:vAlign w:val="bottom"/>
            <w:hideMark/>
          </w:tcPr>
          <w:p w:rsidR="00C44DA0" w:rsidRPr="00933923" w:rsidRDefault="00C44DA0" w:rsidP="002E1D76">
            <w:pPr>
              <w:pStyle w:val="TX-TableText"/>
              <w:jc w:val="center"/>
            </w:pPr>
            <w:r w:rsidRPr="002E1D76">
              <w:t>$117,710</w:t>
            </w:r>
          </w:p>
        </w:tc>
      </w:tr>
      <w:tr w:rsidR="00C44DA0" w:rsidRPr="00933923" w:rsidTr="002E1D76">
        <w:tc>
          <w:tcPr>
            <w:tcW w:w="278" w:type="pct"/>
            <w:tcBorders>
              <w:left w:val="nil"/>
              <w:right w:val="nil"/>
            </w:tcBorders>
            <w:shd w:val="clear" w:color="auto" w:fill="auto"/>
            <w:noWrap/>
            <w:vAlign w:val="center"/>
            <w:hideMark/>
          </w:tcPr>
          <w:p w:rsidR="00C44DA0" w:rsidRPr="00933923" w:rsidRDefault="00C44DA0" w:rsidP="002E1D76">
            <w:pPr>
              <w:pStyle w:val="TX-TableText"/>
            </w:pPr>
          </w:p>
        </w:tc>
        <w:tc>
          <w:tcPr>
            <w:tcW w:w="151" w:type="pct"/>
            <w:tcBorders>
              <w:left w:val="nil"/>
              <w:right w:val="nil"/>
            </w:tcBorders>
            <w:shd w:val="clear" w:color="auto" w:fill="auto"/>
            <w:noWrap/>
            <w:vAlign w:val="center"/>
            <w:hideMark/>
          </w:tcPr>
          <w:p w:rsidR="00C44DA0" w:rsidRPr="00933923" w:rsidRDefault="00C44DA0" w:rsidP="002E1D76">
            <w:pPr>
              <w:pStyle w:val="TX-TableText"/>
            </w:pPr>
          </w:p>
        </w:tc>
        <w:tc>
          <w:tcPr>
            <w:tcW w:w="158" w:type="pct"/>
            <w:tcBorders>
              <w:left w:val="nil"/>
              <w:right w:val="nil"/>
            </w:tcBorders>
            <w:shd w:val="clear" w:color="auto" w:fill="auto"/>
            <w:noWrap/>
            <w:vAlign w:val="center"/>
            <w:hideMark/>
          </w:tcPr>
          <w:p w:rsidR="00C44DA0" w:rsidRPr="00933923" w:rsidRDefault="00C44DA0" w:rsidP="002E1D76">
            <w:pPr>
              <w:pStyle w:val="TX-TableText"/>
            </w:pPr>
          </w:p>
        </w:tc>
        <w:tc>
          <w:tcPr>
            <w:tcW w:w="1996" w:type="pct"/>
            <w:tcBorders>
              <w:left w:val="nil"/>
            </w:tcBorders>
            <w:shd w:val="clear" w:color="auto" w:fill="auto"/>
            <w:vAlign w:val="center"/>
            <w:hideMark/>
          </w:tcPr>
          <w:p w:rsidR="00C44DA0" w:rsidRPr="00933923" w:rsidRDefault="00C44DA0" w:rsidP="002E1D76">
            <w:pPr>
              <w:pStyle w:val="TX-TableText"/>
            </w:pPr>
            <w:r w:rsidRPr="00933923">
              <w:t>Service Provider</w:t>
            </w:r>
            <w:r>
              <w:t xml:space="preserve"> Sample</w:t>
            </w:r>
          </w:p>
        </w:tc>
        <w:tc>
          <w:tcPr>
            <w:tcW w:w="1156" w:type="pct"/>
            <w:shd w:val="clear" w:color="auto" w:fill="auto"/>
            <w:noWrap/>
            <w:vAlign w:val="center"/>
            <w:hideMark/>
          </w:tcPr>
          <w:p w:rsidR="00C44DA0" w:rsidRPr="00933923" w:rsidRDefault="00C44DA0" w:rsidP="002E1D76">
            <w:pPr>
              <w:pStyle w:val="TX-TableText"/>
              <w:jc w:val="center"/>
            </w:pPr>
            <w:r w:rsidRPr="00933923">
              <w:t>198.6</w:t>
            </w:r>
          </w:p>
        </w:tc>
        <w:tc>
          <w:tcPr>
            <w:tcW w:w="1261" w:type="pct"/>
            <w:tcBorders>
              <w:right w:val="nil"/>
            </w:tcBorders>
            <w:shd w:val="clear" w:color="auto" w:fill="auto"/>
            <w:noWrap/>
            <w:vAlign w:val="center"/>
            <w:hideMark/>
          </w:tcPr>
          <w:p w:rsidR="00C44DA0" w:rsidRPr="00933923" w:rsidRDefault="00C44DA0" w:rsidP="002E1D76">
            <w:pPr>
              <w:pStyle w:val="TX-TableText"/>
              <w:jc w:val="center"/>
            </w:pPr>
            <w:r w:rsidRPr="00933923">
              <w:t>$4,762</w:t>
            </w:r>
          </w:p>
        </w:tc>
      </w:tr>
      <w:tr w:rsidR="00C44DA0" w:rsidRPr="00933923" w:rsidTr="002E1D76">
        <w:tc>
          <w:tcPr>
            <w:tcW w:w="278" w:type="pct"/>
            <w:tcBorders>
              <w:left w:val="nil"/>
              <w:bottom w:val="single" w:sz="4" w:space="0" w:color="auto"/>
              <w:right w:val="nil"/>
            </w:tcBorders>
            <w:shd w:val="clear" w:color="auto" w:fill="auto"/>
            <w:noWrap/>
            <w:vAlign w:val="center"/>
          </w:tcPr>
          <w:p w:rsidR="00C44DA0" w:rsidRPr="00933923" w:rsidRDefault="00C44DA0" w:rsidP="002E1D76">
            <w:pPr>
              <w:pStyle w:val="TX-TableText"/>
            </w:pPr>
          </w:p>
        </w:tc>
        <w:tc>
          <w:tcPr>
            <w:tcW w:w="151" w:type="pct"/>
            <w:tcBorders>
              <w:left w:val="nil"/>
              <w:bottom w:val="single" w:sz="4" w:space="0" w:color="auto"/>
              <w:right w:val="nil"/>
            </w:tcBorders>
            <w:shd w:val="clear" w:color="auto" w:fill="auto"/>
            <w:noWrap/>
            <w:vAlign w:val="center"/>
          </w:tcPr>
          <w:p w:rsidR="00C44DA0" w:rsidRPr="00933923" w:rsidRDefault="00C44DA0" w:rsidP="002E1D76">
            <w:pPr>
              <w:pStyle w:val="TX-TableText"/>
            </w:pPr>
          </w:p>
        </w:tc>
        <w:tc>
          <w:tcPr>
            <w:tcW w:w="158" w:type="pct"/>
            <w:tcBorders>
              <w:left w:val="nil"/>
              <w:bottom w:val="single" w:sz="4" w:space="0" w:color="auto"/>
              <w:right w:val="nil"/>
            </w:tcBorders>
            <w:shd w:val="clear" w:color="auto" w:fill="auto"/>
            <w:noWrap/>
            <w:vAlign w:val="center"/>
          </w:tcPr>
          <w:p w:rsidR="00C44DA0" w:rsidRPr="00933923" w:rsidRDefault="00C44DA0" w:rsidP="002E1D76">
            <w:pPr>
              <w:pStyle w:val="TX-TableText"/>
            </w:pPr>
          </w:p>
        </w:tc>
        <w:tc>
          <w:tcPr>
            <w:tcW w:w="1996" w:type="pct"/>
            <w:tcBorders>
              <w:left w:val="nil"/>
              <w:bottom w:val="single" w:sz="4" w:space="0" w:color="auto"/>
            </w:tcBorders>
            <w:shd w:val="clear" w:color="auto" w:fill="auto"/>
            <w:vAlign w:val="center"/>
          </w:tcPr>
          <w:p w:rsidR="00C44DA0" w:rsidRPr="00933923" w:rsidRDefault="00C44DA0" w:rsidP="002E1D76">
            <w:pPr>
              <w:pStyle w:val="TX-TableText"/>
            </w:pPr>
            <w:r>
              <w:t>High Risk</w:t>
            </w:r>
            <w:r w:rsidRPr="00933923">
              <w:t xml:space="preserve"> Sample</w:t>
            </w:r>
          </w:p>
        </w:tc>
        <w:tc>
          <w:tcPr>
            <w:tcW w:w="1156" w:type="pct"/>
            <w:tcBorders>
              <w:bottom w:val="single" w:sz="4" w:space="0" w:color="auto"/>
            </w:tcBorders>
            <w:shd w:val="clear" w:color="auto" w:fill="auto"/>
            <w:noWrap/>
            <w:vAlign w:val="center"/>
          </w:tcPr>
          <w:p w:rsidR="00C44DA0" w:rsidRPr="00933923" w:rsidRDefault="00C44DA0" w:rsidP="002E1D76">
            <w:pPr>
              <w:pStyle w:val="TX-TableText"/>
              <w:jc w:val="center"/>
            </w:pPr>
            <w:r w:rsidRPr="00933923">
              <w:t>4</w:t>
            </w:r>
            <w:r>
              <w:t>52.7</w:t>
            </w:r>
          </w:p>
        </w:tc>
        <w:tc>
          <w:tcPr>
            <w:tcW w:w="1261" w:type="pct"/>
            <w:tcBorders>
              <w:bottom w:val="single" w:sz="4" w:space="0" w:color="auto"/>
              <w:right w:val="nil"/>
            </w:tcBorders>
            <w:shd w:val="clear" w:color="auto" w:fill="auto"/>
            <w:noWrap/>
            <w:vAlign w:val="center"/>
          </w:tcPr>
          <w:p w:rsidR="00C44DA0" w:rsidRPr="00933923" w:rsidRDefault="00C44DA0" w:rsidP="002E1D76">
            <w:pPr>
              <w:pStyle w:val="TX-TableText"/>
              <w:jc w:val="center"/>
            </w:pPr>
            <w:r w:rsidRPr="00933923">
              <w:t>$1</w:t>
            </w:r>
            <w:r>
              <w:t>0</w:t>
            </w:r>
            <w:r w:rsidRPr="00933923">
              <w:t>,</w:t>
            </w:r>
            <w:r>
              <w:t>856</w:t>
            </w:r>
          </w:p>
        </w:tc>
      </w:tr>
      <w:tr w:rsidR="00C44DA0" w:rsidRPr="00933923" w:rsidTr="002E1D76">
        <w:tc>
          <w:tcPr>
            <w:tcW w:w="278" w:type="pct"/>
            <w:tcBorders>
              <w:left w:val="nil"/>
              <w:bottom w:val="single" w:sz="4" w:space="0" w:color="auto"/>
              <w:right w:val="nil"/>
            </w:tcBorders>
            <w:shd w:val="clear" w:color="auto" w:fill="auto"/>
            <w:noWrap/>
            <w:vAlign w:val="center"/>
          </w:tcPr>
          <w:p w:rsidR="00C44DA0" w:rsidRPr="00933923" w:rsidRDefault="00C44DA0" w:rsidP="002E1D76">
            <w:pPr>
              <w:pStyle w:val="TX-TableText"/>
            </w:pPr>
          </w:p>
        </w:tc>
        <w:tc>
          <w:tcPr>
            <w:tcW w:w="151" w:type="pct"/>
            <w:tcBorders>
              <w:left w:val="nil"/>
              <w:bottom w:val="single" w:sz="4" w:space="0" w:color="auto"/>
              <w:right w:val="nil"/>
            </w:tcBorders>
            <w:shd w:val="clear" w:color="auto" w:fill="auto"/>
            <w:noWrap/>
            <w:vAlign w:val="center"/>
          </w:tcPr>
          <w:p w:rsidR="00C44DA0" w:rsidRPr="00933923" w:rsidRDefault="00C44DA0" w:rsidP="002E1D76">
            <w:pPr>
              <w:pStyle w:val="TX-TableText"/>
            </w:pPr>
          </w:p>
        </w:tc>
        <w:tc>
          <w:tcPr>
            <w:tcW w:w="158" w:type="pct"/>
            <w:tcBorders>
              <w:left w:val="nil"/>
              <w:bottom w:val="single" w:sz="4" w:space="0" w:color="auto"/>
              <w:right w:val="nil"/>
            </w:tcBorders>
            <w:shd w:val="clear" w:color="auto" w:fill="auto"/>
            <w:noWrap/>
            <w:vAlign w:val="center"/>
          </w:tcPr>
          <w:p w:rsidR="00C44DA0" w:rsidRPr="00933923" w:rsidRDefault="00C44DA0" w:rsidP="002E1D76">
            <w:pPr>
              <w:pStyle w:val="TX-TableText"/>
            </w:pPr>
          </w:p>
        </w:tc>
        <w:tc>
          <w:tcPr>
            <w:tcW w:w="1996" w:type="pct"/>
            <w:tcBorders>
              <w:left w:val="nil"/>
              <w:bottom w:val="single" w:sz="4" w:space="0" w:color="auto"/>
            </w:tcBorders>
            <w:shd w:val="clear" w:color="auto" w:fill="auto"/>
            <w:vAlign w:val="center"/>
          </w:tcPr>
          <w:p w:rsidR="00C44DA0" w:rsidRPr="00933923" w:rsidRDefault="00C44DA0" w:rsidP="002E1D76">
            <w:pPr>
              <w:pStyle w:val="TX-TableText"/>
            </w:pPr>
            <w:r>
              <w:t>General Population</w:t>
            </w:r>
            <w:r w:rsidRPr="00933923">
              <w:t xml:space="preserve"> Sample</w:t>
            </w:r>
          </w:p>
        </w:tc>
        <w:tc>
          <w:tcPr>
            <w:tcW w:w="1156" w:type="pct"/>
            <w:tcBorders>
              <w:bottom w:val="single" w:sz="4" w:space="0" w:color="auto"/>
            </w:tcBorders>
            <w:shd w:val="clear" w:color="auto" w:fill="auto"/>
            <w:noWrap/>
            <w:vAlign w:val="center"/>
          </w:tcPr>
          <w:p w:rsidR="00C44DA0" w:rsidRPr="00933923" w:rsidRDefault="00C44DA0" w:rsidP="002E1D76">
            <w:pPr>
              <w:pStyle w:val="TX-TableText"/>
              <w:jc w:val="center"/>
            </w:pPr>
            <w:r w:rsidRPr="00933923">
              <w:t>4,2</w:t>
            </w:r>
            <w:r>
              <w:t>57</w:t>
            </w:r>
            <w:r w:rsidRPr="00933923">
              <w:t>.</w:t>
            </w:r>
            <w:r>
              <w:t>4</w:t>
            </w:r>
          </w:p>
        </w:tc>
        <w:tc>
          <w:tcPr>
            <w:tcW w:w="1261" w:type="pct"/>
            <w:tcBorders>
              <w:bottom w:val="single" w:sz="4" w:space="0" w:color="auto"/>
              <w:right w:val="nil"/>
            </w:tcBorders>
            <w:shd w:val="clear" w:color="auto" w:fill="auto"/>
            <w:noWrap/>
            <w:vAlign w:val="center"/>
          </w:tcPr>
          <w:p w:rsidR="00C44DA0" w:rsidRPr="00933923" w:rsidRDefault="00C44DA0" w:rsidP="002E1D76">
            <w:pPr>
              <w:pStyle w:val="TX-TableText"/>
              <w:jc w:val="center"/>
            </w:pPr>
            <w:r w:rsidRPr="00933923">
              <w:t>$10</w:t>
            </w:r>
            <w:r>
              <w:t>2</w:t>
            </w:r>
            <w:r w:rsidRPr="00933923">
              <w:t>,</w:t>
            </w:r>
            <w:r>
              <w:t>092</w:t>
            </w:r>
          </w:p>
        </w:tc>
      </w:tr>
      <w:tr w:rsidR="00C44DA0" w:rsidRPr="00933923" w:rsidTr="002E1D76">
        <w:tc>
          <w:tcPr>
            <w:tcW w:w="27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2305" w:type="pct"/>
            <w:gridSpan w:val="3"/>
            <w:tcBorders>
              <w:left w:val="nil"/>
              <w:bottom w:val="single" w:sz="4" w:space="0" w:color="auto"/>
            </w:tcBorders>
            <w:shd w:val="clear" w:color="auto" w:fill="auto"/>
            <w:noWrap/>
            <w:vAlign w:val="center"/>
            <w:hideMark/>
          </w:tcPr>
          <w:p w:rsidR="00C44DA0" w:rsidRPr="00933923" w:rsidRDefault="00C44DA0" w:rsidP="002E1D76">
            <w:pPr>
              <w:pStyle w:val="TX-TableText"/>
            </w:pPr>
            <w:r>
              <w:t>ACASI Sample (Total)</w:t>
            </w:r>
          </w:p>
        </w:tc>
        <w:tc>
          <w:tcPr>
            <w:tcW w:w="1156" w:type="pct"/>
            <w:shd w:val="clear" w:color="auto" w:fill="auto"/>
            <w:noWrap/>
            <w:vAlign w:val="bottom"/>
            <w:hideMark/>
          </w:tcPr>
          <w:p w:rsidR="00C44DA0" w:rsidRPr="00933923" w:rsidRDefault="00C44DA0" w:rsidP="002E1D76">
            <w:pPr>
              <w:pStyle w:val="TX-TableText"/>
              <w:jc w:val="center"/>
            </w:pPr>
            <w:r w:rsidRPr="002E1D76">
              <w:t>6,523.4</w:t>
            </w:r>
          </w:p>
        </w:tc>
        <w:tc>
          <w:tcPr>
            <w:tcW w:w="1261" w:type="pct"/>
            <w:tcBorders>
              <w:right w:val="nil"/>
            </w:tcBorders>
            <w:shd w:val="clear" w:color="auto" w:fill="auto"/>
            <w:noWrap/>
            <w:vAlign w:val="bottom"/>
            <w:hideMark/>
          </w:tcPr>
          <w:p w:rsidR="00C44DA0" w:rsidRPr="00933923" w:rsidRDefault="00C44DA0" w:rsidP="002E1D76">
            <w:pPr>
              <w:pStyle w:val="TX-TableText"/>
              <w:jc w:val="center"/>
            </w:pPr>
            <w:r w:rsidRPr="002E1D76">
              <w:t>$156,431</w:t>
            </w:r>
          </w:p>
        </w:tc>
      </w:tr>
      <w:tr w:rsidR="00C44DA0" w:rsidRPr="00933923" w:rsidTr="002E1D76">
        <w:tc>
          <w:tcPr>
            <w:tcW w:w="27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51"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5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996" w:type="pct"/>
            <w:tcBorders>
              <w:left w:val="nil"/>
              <w:bottom w:val="single" w:sz="4" w:space="0" w:color="auto"/>
            </w:tcBorders>
            <w:shd w:val="clear" w:color="auto" w:fill="auto"/>
            <w:noWrap/>
            <w:vAlign w:val="center"/>
            <w:hideMark/>
          </w:tcPr>
          <w:p w:rsidR="00C44DA0" w:rsidRPr="00933923" w:rsidRDefault="00C44DA0" w:rsidP="002E1D76">
            <w:pPr>
              <w:pStyle w:val="TX-TableText"/>
            </w:pPr>
            <w:r w:rsidRPr="00933923">
              <w:t>Service Provider</w:t>
            </w:r>
            <w:r>
              <w:t xml:space="preserve"> Sample</w:t>
            </w:r>
          </w:p>
        </w:tc>
        <w:tc>
          <w:tcPr>
            <w:tcW w:w="1156" w:type="pct"/>
            <w:shd w:val="clear" w:color="auto" w:fill="auto"/>
            <w:noWrap/>
            <w:vAlign w:val="center"/>
            <w:hideMark/>
          </w:tcPr>
          <w:p w:rsidR="00C44DA0" w:rsidRPr="00933923" w:rsidRDefault="00C44DA0" w:rsidP="002E1D76">
            <w:pPr>
              <w:pStyle w:val="TX-TableText"/>
              <w:jc w:val="center"/>
            </w:pPr>
            <w:r w:rsidRPr="00933923">
              <w:t>203.6</w:t>
            </w:r>
          </w:p>
        </w:tc>
        <w:tc>
          <w:tcPr>
            <w:tcW w:w="1261" w:type="pct"/>
            <w:tcBorders>
              <w:right w:val="nil"/>
            </w:tcBorders>
            <w:shd w:val="clear" w:color="auto" w:fill="auto"/>
            <w:noWrap/>
            <w:vAlign w:val="center"/>
            <w:hideMark/>
          </w:tcPr>
          <w:p w:rsidR="00C44DA0" w:rsidRPr="00933923" w:rsidRDefault="00C44DA0" w:rsidP="002E1D76">
            <w:pPr>
              <w:pStyle w:val="TX-TableText"/>
              <w:jc w:val="center"/>
            </w:pPr>
            <w:r w:rsidRPr="00933923">
              <w:t>$4,882</w:t>
            </w:r>
          </w:p>
        </w:tc>
      </w:tr>
      <w:tr w:rsidR="00C44DA0" w:rsidRPr="00933923" w:rsidTr="002E1D76">
        <w:tc>
          <w:tcPr>
            <w:tcW w:w="27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51"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5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996" w:type="pct"/>
            <w:tcBorders>
              <w:left w:val="nil"/>
              <w:bottom w:val="single" w:sz="4" w:space="0" w:color="auto"/>
            </w:tcBorders>
            <w:shd w:val="clear" w:color="auto" w:fill="auto"/>
            <w:vAlign w:val="center"/>
            <w:hideMark/>
          </w:tcPr>
          <w:p w:rsidR="00C44DA0" w:rsidRPr="00933923" w:rsidRDefault="00C44DA0" w:rsidP="002E1D76">
            <w:pPr>
              <w:pStyle w:val="TX-TableText"/>
            </w:pPr>
            <w:r>
              <w:t>High Risk</w:t>
            </w:r>
            <w:r w:rsidRPr="00933923">
              <w:t xml:space="preserve"> Sample</w:t>
            </w:r>
          </w:p>
        </w:tc>
        <w:tc>
          <w:tcPr>
            <w:tcW w:w="1156" w:type="pct"/>
            <w:tcBorders>
              <w:bottom w:val="single" w:sz="4" w:space="0" w:color="auto"/>
            </w:tcBorders>
            <w:shd w:val="clear" w:color="auto" w:fill="auto"/>
            <w:noWrap/>
            <w:vAlign w:val="center"/>
          </w:tcPr>
          <w:p w:rsidR="00C44DA0" w:rsidRPr="00933923" w:rsidRDefault="00C44DA0" w:rsidP="002E1D76">
            <w:pPr>
              <w:pStyle w:val="TX-TableText"/>
              <w:jc w:val="center"/>
            </w:pPr>
            <w:r w:rsidRPr="00933923">
              <w:t>4</w:t>
            </w:r>
            <w:r>
              <w:t>71.9</w:t>
            </w:r>
          </w:p>
        </w:tc>
        <w:tc>
          <w:tcPr>
            <w:tcW w:w="1261" w:type="pct"/>
            <w:tcBorders>
              <w:bottom w:val="single" w:sz="4" w:space="0" w:color="auto"/>
              <w:right w:val="nil"/>
            </w:tcBorders>
            <w:shd w:val="clear" w:color="auto" w:fill="auto"/>
            <w:noWrap/>
            <w:vAlign w:val="center"/>
          </w:tcPr>
          <w:p w:rsidR="00C44DA0" w:rsidRPr="00933923" w:rsidRDefault="00C44DA0" w:rsidP="002E1D76">
            <w:pPr>
              <w:pStyle w:val="TX-TableText"/>
              <w:jc w:val="center"/>
            </w:pPr>
            <w:r w:rsidRPr="00933923">
              <w:t>$11,</w:t>
            </w:r>
            <w:r>
              <w:t>316</w:t>
            </w:r>
          </w:p>
        </w:tc>
      </w:tr>
      <w:tr w:rsidR="00C44DA0" w:rsidRPr="00933923" w:rsidTr="002E1D76">
        <w:tc>
          <w:tcPr>
            <w:tcW w:w="27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51"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58" w:type="pct"/>
            <w:tcBorders>
              <w:left w:val="nil"/>
              <w:bottom w:val="single" w:sz="4" w:space="0" w:color="auto"/>
              <w:right w:val="nil"/>
            </w:tcBorders>
            <w:shd w:val="clear" w:color="auto" w:fill="auto"/>
            <w:noWrap/>
            <w:vAlign w:val="center"/>
            <w:hideMark/>
          </w:tcPr>
          <w:p w:rsidR="00C44DA0" w:rsidRPr="00933923" w:rsidRDefault="00C44DA0" w:rsidP="002E1D76">
            <w:pPr>
              <w:pStyle w:val="TX-TableText"/>
            </w:pPr>
          </w:p>
        </w:tc>
        <w:tc>
          <w:tcPr>
            <w:tcW w:w="1996" w:type="pct"/>
            <w:tcBorders>
              <w:left w:val="nil"/>
              <w:bottom w:val="single" w:sz="4" w:space="0" w:color="auto"/>
            </w:tcBorders>
            <w:shd w:val="clear" w:color="auto" w:fill="auto"/>
            <w:vAlign w:val="center"/>
            <w:hideMark/>
          </w:tcPr>
          <w:p w:rsidR="00C44DA0" w:rsidRPr="00933923" w:rsidRDefault="00C44DA0" w:rsidP="002E1D76">
            <w:pPr>
              <w:pStyle w:val="TX-TableText"/>
            </w:pPr>
            <w:r>
              <w:t>General Population</w:t>
            </w:r>
            <w:r w:rsidRPr="00933923">
              <w:t xml:space="preserve"> Sample</w:t>
            </w:r>
          </w:p>
        </w:tc>
        <w:tc>
          <w:tcPr>
            <w:tcW w:w="1156" w:type="pct"/>
            <w:tcBorders>
              <w:bottom w:val="single" w:sz="4" w:space="0" w:color="auto"/>
            </w:tcBorders>
            <w:shd w:val="clear" w:color="auto" w:fill="auto"/>
            <w:noWrap/>
            <w:vAlign w:val="center"/>
          </w:tcPr>
          <w:p w:rsidR="00C44DA0" w:rsidRPr="00933923" w:rsidRDefault="00C44DA0" w:rsidP="00A81F54">
            <w:pPr>
              <w:pStyle w:val="TX-TableText"/>
              <w:jc w:val="center"/>
            </w:pPr>
            <w:r w:rsidRPr="00933923">
              <w:t>5,</w:t>
            </w:r>
            <w:r w:rsidR="00A81F54">
              <w:t>789.1</w:t>
            </w:r>
          </w:p>
        </w:tc>
        <w:tc>
          <w:tcPr>
            <w:tcW w:w="1261" w:type="pct"/>
            <w:tcBorders>
              <w:bottom w:val="single" w:sz="4" w:space="0" w:color="auto"/>
              <w:right w:val="nil"/>
            </w:tcBorders>
            <w:shd w:val="clear" w:color="auto" w:fill="auto"/>
            <w:noWrap/>
            <w:vAlign w:val="center"/>
          </w:tcPr>
          <w:p w:rsidR="00C44DA0" w:rsidRPr="00933923" w:rsidRDefault="00C44DA0" w:rsidP="00A81F54">
            <w:pPr>
              <w:pStyle w:val="TX-TableText"/>
              <w:jc w:val="center"/>
            </w:pPr>
            <w:r w:rsidRPr="00933923">
              <w:t>$1</w:t>
            </w:r>
            <w:r w:rsidR="00A81F54">
              <w:t>38</w:t>
            </w:r>
            <w:r w:rsidRPr="00933923">
              <w:t>,</w:t>
            </w:r>
            <w:r w:rsidR="00A81F54">
              <w:t>8</w:t>
            </w:r>
            <w:r>
              <w:t>23</w:t>
            </w:r>
          </w:p>
        </w:tc>
      </w:tr>
      <w:tr w:rsidR="00C44DA0" w:rsidRPr="00933923" w:rsidTr="002E1D76">
        <w:tc>
          <w:tcPr>
            <w:tcW w:w="2583" w:type="pct"/>
            <w:gridSpan w:val="4"/>
            <w:tcBorders>
              <w:left w:val="nil"/>
              <w:bottom w:val="double" w:sz="4" w:space="0" w:color="auto"/>
            </w:tcBorders>
            <w:shd w:val="clear" w:color="auto" w:fill="auto"/>
            <w:noWrap/>
            <w:vAlign w:val="center"/>
            <w:hideMark/>
          </w:tcPr>
          <w:p w:rsidR="00C44DA0" w:rsidRPr="00933923" w:rsidRDefault="00C44DA0" w:rsidP="002E1D76">
            <w:pPr>
              <w:pStyle w:val="TX-TableText"/>
              <w:rPr>
                <w:b/>
                <w:bCs/>
              </w:rPr>
            </w:pPr>
            <w:r w:rsidRPr="00933923">
              <w:rPr>
                <w:b/>
                <w:bCs/>
              </w:rPr>
              <w:t>Total Respondent Burden</w:t>
            </w:r>
          </w:p>
        </w:tc>
        <w:tc>
          <w:tcPr>
            <w:tcW w:w="1156" w:type="pct"/>
            <w:tcBorders>
              <w:bottom w:val="double" w:sz="4" w:space="0" w:color="auto"/>
            </w:tcBorders>
            <w:shd w:val="clear" w:color="auto" w:fill="auto"/>
            <w:noWrap/>
            <w:vAlign w:val="bottom"/>
          </w:tcPr>
          <w:p w:rsidR="00C44DA0" w:rsidRPr="00933923" w:rsidRDefault="00C44DA0" w:rsidP="00A81F54">
            <w:pPr>
              <w:pStyle w:val="TX-TableText"/>
              <w:jc w:val="center"/>
              <w:rPr>
                <w:b/>
                <w:bCs/>
              </w:rPr>
            </w:pPr>
            <w:r w:rsidRPr="00933923">
              <w:rPr>
                <w:b/>
                <w:bCs/>
              </w:rPr>
              <w:t>11,</w:t>
            </w:r>
            <w:r w:rsidR="00A81F54">
              <w:rPr>
                <w:b/>
                <w:bCs/>
              </w:rPr>
              <w:t>496</w:t>
            </w:r>
          </w:p>
        </w:tc>
        <w:tc>
          <w:tcPr>
            <w:tcW w:w="1261" w:type="pct"/>
            <w:tcBorders>
              <w:bottom w:val="double" w:sz="4" w:space="0" w:color="auto"/>
              <w:right w:val="nil"/>
            </w:tcBorders>
            <w:shd w:val="clear" w:color="auto" w:fill="auto"/>
            <w:noWrap/>
            <w:vAlign w:val="center"/>
          </w:tcPr>
          <w:p w:rsidR="00C44DA0" w:rsidRPr="00933923" w:rsidRDefault="00C44DA0" w:rsidP="00A81F54">
            <w:pPr>
              <w:pStyle w:val="TX-TableText"/>
              <w:jc w:val="center"/>
              <w:rPr>
                <w:b/>
                <w:bCs/>
              </w:rPr>
            </w:pPr>
            <w:r w:rsidRPr="00933923">
              <w:rPr>
                <w:b/>
                <w:bCs/>
              </w:rPr>
              <w:t>$27</w:t>
            </w:r>
            <w:r w:rsidR="00A81F54">
              <w:rPr>
                <w:b/>
                <w:bCs/>
              </w:rPr>
              <w:t>5</w:t>
            </w:r>
            <w:r w:rsidRPr="00933923">
              <w:rPr>
                <w:b/>
                <w:bCs/>
              </w:rPr>
              <w:t>,</w:t>
            </w:r>
            <w:r w:rsidR="00A81F54">
              <w:rPr>
                <w:b/>
                <w:bCs/>
              </w:rPr>
              <w:t>665</w:t>
            </w:r>
          </w:p>
        </w:tc>
      </w:tr>
      <w:tr w:rsidR="00C44DA0" w:rsidRPr="00933923" w:rsidTr="00237313">
        <w:tc>
          <w:tcPr>
            <w:tcW w:w="2583" w:type="pct"/>
            <w:gridSpan w:val="4"/>
            <w:tcBorders>
              <w:top w:val="double" w:sz="4" w:space="0" w:color="auto"/>
              <w:left w:val="nil"/>
              <w:bottom w:val="double" w:sz="4" w:space="0" w:color="auto"/>
              <w:right w:val="single" w:sz="4" w:space="0" w:color="auto"/>
            </w:tcBorders>
            <w:shd w:val="clear" w:color="auto" w:fill="auto"/>
            <w:noWrap/>
            <w:vAlign w:val="center"/>
            <w:hideMark/>
          </w:tcPr>
          <w:p w:rsidR="00C44DA0" w:rsidRPr="00933923" w:rsidRDefault="00C44DA0" w:rsidP="002E1D76">
            <w:pPr>
              <w:pStyle w:val="TX-TableText"/>
              <w:rPr>
                <w:b/>
                <w:bCs/>
              </w:rPr>
            </w:pPr>
            <w:r w:rsidRPr="00933923">
              <w:rPr>
                <w:b/>
                <w:bCs/>
              </w:rPr>
              <w:t>Total Burden</w:t>
            </w:r>
            <w:r>
              <w:rPr>
                <w:b/>
                <w:bCs/>
              </w:rPr>
              <w:t xml:space="preserve"> (Agency plus Respondent)</w:t>
            </w:r>
          </w:p>
        </w:tc>
        <w:tc>
          <w:tcPr>
            <w:tcW w:w="1156" w:type="pct"/>
            <w:tcBorders>
              <w:top w:val="double" w:sz="4" w:space="0" w:color="auto"/>
              <w:left w:val="single" w:sz="4" w:space="0" w:color="auto"/>
              <w:bottom w:val="double" w:sz="4" w:space="0" w:color="auto"/>
              <w:right w:val="single" w:sz="4" w:space="0" w:color="auto"/>
            </w:tcBorders>
            <w:shd w:val="clear" w:color="auto" w:fill="auto"/>
            <w:noWrap/>
            <w:vAlign w:val="center"/>
          </w:tcPr>
          <w:p w:rsidR="00C44DA0" w:rsidRPr="00933923" w:rsidRDefault="00C44DA0" w:rsidP="00A81F54">
            <w:pPr>
              <w:pStyle w:val="TX-TableText"/>
              <w:jc w:val="center"/>
              <w:rPr>
                <w:b/>
                <w:bCs/>
              </w:rPr>
            </w:pPr>
            <w:r w:rsidRPr="00933923">
              <w:rPr>
                <w:b/>
                <w:bCs/>
              </w:rPr>
              <w:t>11,</w:t>
            </w:r>
            <w:r w:rsidR="00A81F54">
              <w:rPr>
                <w:b/>
                <w:bCs/>
              </w:rPr>
              <w:t>806</w:t>
            </w:r>
          </w:p>
        </w:tc>
        <w:tc>
          <w:tcPr>
            <w:tcW w:w="1261" w:type="pct"/>
            <w:tcBorders>
              <w:top w:val="double" w:sz="4" w:space="0" w:color="auto"/>
              <w:left w:val="single" w:sz="4" w:space="0" w:color="auto"/>
              <w:bottom w:val="double" w:sz="4" w:space="0" w:color="auto"/>
              <w:right w:val="nil"/>
            </w:tcBorders>
            <w:shd w:val="clear" w:color="auto" w:fill="auto"/>
            <w:noWrap/>
            <w:vAlign w:val="center"/>
          </w:tcPr>
          <w:p w:rsidR="00C44DA0" w:rsidRPr="00933923" w:rsidRDefault="00C44DA0" w:rsidP="00A81F54">
            <w:pPr>
              <w:pStyle w:val="TX-TableText"/>
              <w:jc w:val="center"/>
              <w:rPr>
                <w:b/>
                <w:bCs/>
              </w:rPr>
            </w:pPr>
            <w:r w:rsidRPr="00933923">
              <w:rPr>
                <w:b/>
                <w:bCs/>
              </w:rPr>
              <w:t>$28</w:t>
            </w:r>
            <w:r w:rsidR="00A81F54">
              <w:rPr>
                <w:b/>
                <w:bCs/>
              </w:rPr>
              <w:t>2</w:t>
            </w:r>
            <w:r w:rsidRPr="00933923">
              <w:rPr>
                <w:b/>
                <w:bCs/>
              </w:rPr>
              <w:t>,</w:t>
            </w:r>
            <w:r w:rsidR="00A81F54">
              <w:rPr>
                <w:b/>
                <w:bCs/>
              </w:rPr>
              <w:t>302</w:t>
            </w:r>
          </w:p>
        </w:tc>
      </w:tr>
    </w:tbl>
    <w:p w:rsidR="00C44DA0" w:rsidRPr="00933923" w:rsidRDefault="00C44DA0" w:rsidP="002E1D76">
      <w:pPr>
        <w:pStyle w:val="TF-TblFN"/>
      </w:pPr>
      <w:r w:rsidRPr="00933923">
        <w:t>+Rounded to the nearest integer</w:t>
      </w:r>
    </w:p>
    <w:p w:rsidR="00C44DA0" w:rsidRDefault="00C44DA0" w:rsidP="002E1D76">
      <w:pPr>
        <w:pStyle w:val="TF-TblFN"/>
      </w:pPr>
      <w:r w:rsidRPr="00933923">
        <w:t>*Rounded to the near</w:t>
      </w:r>
      <w:r>
        <w:t>e</w:t>
      </w:r>
      <w:r w:rsidRPr="00933923">
        <w:t>st tenth of a percent</w:t>
      </w:r>
    </w:p>
    <w:p w:rsidR="00D1107C" w:rsidRDefault="00D1107C" w:rsidP="000A4A99"/>
    <w:p w:rsidR="002E1D76" w:rsidRPr="00933923" w:rsidRDefault="002E1D76" w:rsidP="000A4A99"/>
    <w:p w:rsidR="000A4A99" w:rsidRPr="003F40FD" w:rsidRDefault="00113BD0" w:rsidP="003F40FD">
      <w:pPr>
        <w:pStyle w:val="Heading3"/>
      </w:pPr>
      <w:bookmarkStart w:id="99" w:name="_Toc361144793"/>
      <w:bookmarkStart w:id="100" w:name="_Toc380930612"/>
      <w:bookmarkStart w:id="101" w:name="_Toc380930742"/>
      <w:r w:rsidRPr="003F40FD">
        <w:t>A</w:t>
      </w:r>
      <w:r w:rsidR="000A4A99" w:rsidRPr="003F40FD">
        <w:t>13.</w:t>
      </w:r>
      <w:r w:rsidR="000A4A99" w:rsidRPr="003F40FD">
        <w:tab/>
        <w:t xml:space="preserve">Estimate of </w:t>
      </w:r>
      <w:r w:rsidR="007702C3" w:rsidRPr="003F40FD">
        <w:t xml:space="preserve">Agency and </w:t>
      </w:r>
      <w:r w:rsidR="000A4A99" w:rsidRPr="003F40FD">
        <w:t>Respondent Cost Burden</w:t>
      </w:r>
      <w:bookmarkEnd w:id="99"/>
      <w:bookmarkEnd w:id="100"/>
      <w:bookmarkEnd w:id="101"/>
    </w:p>
    <w:p w:rsidR="000A4A99" w:rsidRPr="00933923" w:rsidRDefault="000A4A99" w:rsidP="00D1107C">
      <w:pPr>
        <w:pStyle w:val="L1-FlLSp12"/>
      </w:pPr>
      <w:r w:rsidRPr="00933923">
        <w:t xml:space="preserve">The total respondent cost to the crisis center agencies and universities/colleges includes the staff time needed to complete the tasks </w:t>
      </w:r>
      <w:r w:rsidR="00A221DE">
        <w:t xml:space="preserve">and is </w:t>
      </w:r>
      <w:r w:rsidRPr="00933923">
        <w:t xml:space="preserve">described in Section </w:t>
      </w:r>
      <w:r w:rsidR="009D7A9F" w:rsidRPr="00933923">
        <w:t>A</w:t>
      </w:r>
      <w:r w:rsidRPr="00933923">
        <w:t>12.</w:t>
      </w:r>
      <w:r w:rsidR="0008441A" w:rsidRPr="00933923">
        <w:t xml:space="preserve"> </w:t>
      </w:r>
    </w:p>
    <w:p w:rsidR="000A4A99" w:rsidRPr="00933923" w:rsidRDefault="000A4A99" w:rsidP="00D1107C">
      <w:pPr>
        <w:pStyle w:val="L1-FlLSp12"/>
      </w:pPr>
    </w:p>
    <w:p w:rsidR="000A4A99" w:rsidRPr="00933923" w:rsidRDefault="000A4A99" w:rsidP="00D1107C">
      <w:pPr>
        <w:pStyle w:val="L1-FlLSp12"/>
      </w:pPr>
      <w:r w:rsidRPr="00933923">
        <w:t>At an estimate of $22.15 per hour</w:t>
      </w:r>
      <w:r w:rsidRPr="00933923">
        <w:rPr>
          <w:vertAlign w:val="superscript"/>
        </w:rPr>
        <w:footnoteReference w:id="4"/>
      </w:r>
      <w:r w:rsidRPr="00933923">
        <w:t xml:space="preserve"> for 210 hours, the estimated crisis center staff cost burden for the entire national survey is $4,652. At an estimate of $19.85 per hour</w:t>
      </w:r>
      <w:r w:rsidRPr="00933923">
        <w:rPr>
          <w:vertAlign w:val="superscript"/>
        </w:rPr>
        <w:footnoteReference w:id="5"/>
      </w:r>
      <w:r w:rsidRPr="00933923">
        <w:t xml:space="preserve"> for 100 hours, the estimated university/college staff cost burden for the entire national survey is $1,985. </w:t>
      </w:r>
    </w:p>
    <w:p w:rsidR="000A4A99" w:rsidRPr="00933923" w:rsidRDefault="000A4A99" w:rsidP="00D1107C">
      <w:pPr>
        <w:pStyle w:val="L1-FlLSp12"/>
      </w:pPr>
    </w:p>
    <w:p w:rsidR="000A4A99" w:rsidRPr="00933923" w:rsidRDefault="000A4A99" w:rsidP="00D1107C">
      <w:pPr>
        <w:pStyle w:val="L1-FlLSp12"/>
      </w:pPr>
      <w:r w:rsidRPr="00933923">
        <w:t xml:space="preserve">There are no costs to women other than those associated with the time used to complete the survey. </w:t>
      </w:r>
    </w:p>
    <w:p w:rsidR="000A4A99" w:rsidRPr="00933923" w:rsidRDefault="000A4A99" w:rsidP="00D1107C">
      <w:pPr>
        <w:pStyle w:val="L1-FlLSp12"/>
      </w:pPr>
      <w:r w:rsidRPr="00933923">
        <w:lastRenderedPageBreak/>
        <w:t xml:space="preserve">The expected </w:t>
      </w:r>
      <w:r w:rsidR="007702C3" w:rsidRPr="00933923">
        <w:t xml:space="preserve">respondent </w:t>
      </w:r>
      <w:r w:rsidRPr="00933923">
        <w:t>burden cost associated with the estimated hours $</w:t>
      </w:r>
      <w:r w:rsidR="007702C3" w:rsidRPr="00933923">
        <w:t>277,</w:t>
      </w:r>
      <w:r w:rsidR="00BF6174">
        <w:t>084</w:t>
      </w:r>
      <w:r w:rsidRPr="00933923">
        <w:t xml:space="preserve"> and is based on the average hourly earnings of $</w:t>
      </w:r>
      <w:r w:rsidR="007702C3" w:rsidRPr="00933923">
        <w:t>23.98</w:t>
      </w:r>
      <w:r w:rsidRPr="00933923">
        <w:t xml:space="preserve"> hour</w:t>
      </w:r>
      <w:r w:rsidRPr="00933923">
        <w:rPr>
          <w:vertAlign w:val="superscript"/>
        </w:rPr>
        <w:footnoteReference w:id="6"/>
      </w:r>
      <w:r w:rsidRPr="00933923">
        <w:t xml:space="preserve"> for private nonfarm payrolls. </w:t>
      </w:r>
    </w:p>
    <w:p w:rsidR="00573A81" w:rsidRDefault="00573A81" w:rsidP="003F40FD">
      <w:pPr>
        <w:pStyle w:val="Heading3"/>
      </w:pPr>
      <w:bookmarkStart w:id="102" w:name="_Toc361144794"/>
    </w:p>
    <w:p w:rsidR="000A4A99" w:rsidRPr="003F40FD" w:rsidRDefault="00113BD0" w:rsidP="003F40FD">
      <w:pPr>
        <w:pStyle w:val="Heading3"/>
      </w:pPr>
      <w:bookmarkStart w:id="103" w:name="_Toc380930613"/>
      <w:bookmarkStart w:id="104" w:name="_Toc380930743"/>
      <w:r w:rsidRPr="003F40FD">
        <w:t>A</w:t>
      </w:r>
      <w:r w:rsidR="000A4A99" w:rsidRPr="003F40FD">
        <w:t>14.</w:t>
      </w:r>
      <w:r w:rsidR="000A4A99" w:rsidRPr="003F40FD">
        <w:tab/>
        <w:t>Estimated Cost to Federal Government</w:t>
      </w:r>
      <w:bookmarkEnd w:id="102"/>
      <w:bookmarkEnd w:id="103"/>
      <w:bookmarkEnd w:id="104"/>
    </w:p>
    <w:p w:rsidR="000A4A99" w:rsidRPr="00933923" w:rsidRDefault="000A4A99" w:rsidP="00D1107C">
      <w:pPr>
        <w:pStyle w:val="L1-FlLSp12"/>
      </w:pPr>
      <w:r w:rsidRPr="00933923">
        <w:t>The total estimated cost to the government for survey development and implementation is $10,0</w:t>
      </w:r>
      <w:r w:rsidR="00620035">
        <w:t>02</w:t>
      </w:r>
      <w:r w:rsidRPr="00933923">
        <w:t>,</w:t>
      </w:r>
      <w:r w:rsidR="00620035">
        <w:t>829</w:t>
      </w:r>
      <w:r w:rsidRPr="00933923">
        <w:t>.</w:t>
      </w:r>
      <w:r w:rsidR="0008441A" w:rsidRPr="00933923">
        <w:t xml:space="preserve"> </w:t>
      </w:r>
      <w:r w:rsidRPr="00933923">
        <w:t>This consists of two components:</w:t>
      </w:r>
    </w:p>
    <w:p w:rsidR="000A4A99" w:rsidRPr="00933923" w:rsidRDefault="000A4A99" w:rsidP="00D1107C">
      <w:pPr>
        <w:pStyle w:val="L1-FlLSp12"/>
      </w:pPr>
    </w:p>
    <w:p w:rsidR="000A4A99" w:rsidRDefault="000A4A99" w:rsidP="000A4A99">
      <w:pPr>
        <w:numPr>
          <w:ilvl w:val="0"/>
          <w:numId w:val="8"/>
        </w:numPr>
        <w:kinsoku w:val="0"/>
        <w:overflowPunct w:val="0"/>
      </w:pPr>
      <w:r w:rsidRPr="00933923">
        <w:t>Costs associated with the cooperative agreement between BJS and Westat</w:t>
      </w:r>
    </w:p>
    <w:p w:rsidR="002E1D76" w:rsidRPr="00933923" w:rsidRDefault="002E1D76" w:rsidP="000F5496">
      <w:pPr>
        <w:kinsoku w:val="0"/>
        <w:overflowPunct w:val="0"/>
        <w:ind w:left="360"/>
      </w:pPr>
    </w:p>
    <w:p w:rsidR="000A4A99" w:rsidRPr="00933923" w:rsidRDefault="000A4A99" w:rsidP="00D1107C">
      <w:pPr>
        <w:pStyle w:val="N1-1stBullet"/>
      </w:pPr>
      <w:r w:rsidRPr="00933923">
        <w:t xml:space="preserve">Survey planning and management; methodological, instrument, </w:t>
      </w:r>
      <w:r w:rsidRPr="00933923">
        <w:br/>
        <w:t>systems, and survey operations development and design:</w:t>
      </w:r>
      <w:r w:rsidRPr="00933923">
        <w:tab/>
      </w:r>
      <w:r w:rsidRPr="00933923">
        <w:tab/>
        <w:t>$</w:t>
      </w:r>
      <w:r w:rsidR="0008441A" w:rsidRPr="00933923">
        <w:t xml:space="preserve"> </w:t>
      </w:r>
      <w:r w:rsidR="00086799">
        <w:t xml:space="preserve"> </w:t>
      </w:r>
      <w:r w:rsidRPr="00933923">
        <w:t>2,795,444</w:t>
      </w:r>
    </w:p>
    <w:p w:rsidR="000A4A99" w:rsidRPr="00933923" w:rsidRDefault="000A4A99" w:rsidP="00A77234">
      <w:pPr>
        <w:pStyle w:val="N1-1stBullet"/>
      </w:pPr>
      <w:r w:rsidRPr="00933923">
        <w:t>Data collection (feasibility test, pilot test), quality control, data processing:</w:t>
      </w:r>
      <w:r w:rsidRPr="00933923">
        <w:tab/>
      </w:r>
      <w:r w:rsidRPr="00933923">
        <w:tab/>
      </w:r>
      <w:r w:rsidRPr="00933923">
        <w:tab/>
      </w:r>
      <w:r w:rsidRPr="00933923">
        <w:tab/>
      </w:r>
      <w:r w:rsidR="00086799">
        <w:tab/>
      </w:r>
      <w:r w:rsidR="00086799">
        <w:tab/>
      </w:r>
      <w:r w:rsidR="00086799">
        <w:tab/>
      </w:r>
      <w:r w:rsidR="00086799">
        <w:tab/>
      </w:r>
      <w:r w:rsidR="00086799">
        <w:tab/>
      </w:r>
      <w:r w:rsidR="00573A81">
        <w:t xml:space="preserve">                        </w:t>
      </w:r>
      <w:r w:rsidRPr="00933923">
        <w:t>$</w:t>
      </w:r>
      <w:r w:rsidR="0008441A" w:rsidRPr="00933923">
        <w:t xml:space="preserve"> </w:t>
      </w:r>
      <w:r w:rsidR="00086799">
        <w:t xml:space="preserve"> </w:t>
      </w:r>
      <w:r w:rsidRPr="00933923">
        <w:t>6,</w:t>
      </w:r>
      <w:r w:rsidR="00620035">
        <w:t>565</w:t>
      </w:r>
      <w:r w:rsidRPr="00933923">
        <w:t>,</w:t>
      </w:r>
      <w:r w:rsidR="00620035">
        <w:t>580</w:t>
      </w:r>
    </w:p>
    <w:p w:rsidR="000A4A99" w:rsidRPr="00933923" w:rsidRDefault="000A4A99" w:rsidP="00D1107C">
      <w:pPr>
        <w:pStyle w:val="N1-1stBullet"/>
        <w:rPr>
          <w:u w:val="single"/>
        </w:rPr>
      </w:pPr>
      <w:r w:rsidRPr="00933923">
        <w:t>Data analysis, delivery and project summary reporting:</w:t>
      </w:r>
      <w:r w:rsidRPr="00933923">
        <w:tab/>
      </w:r>
      <w:r w:rsidRPr="00933923">
        <w:tab/>
      </w:r>
      <w:r w:rsidRPr="00933923">
        <w:rPr>
          <w:u w:val="single"/>
        </w:rPr>
        <w:t>$</w:t>
      </w:r>
      <w:r w:rsidR="0008441A" w:rsidRPr="00933923">
        <w:rPr>
          <w:u w:val="single"/>
        </w:rPr>
        <w:t xml:space="preserve">  </w:t>
      </w:r>
      <w:r w:rsidRPr="00933923">
        <w:rPr>
          <w:u w:val="single"/>
        </w:rPr>
        <w:t xml:space="preserve"> </w:t>
      </w:r>
      <w:r w:rsidR="00086799">
        <w:rPr>
          <w:u w:val="single"/>
        </w:rPr>
        <w:t xml:space="preserve"> </w:t>
      </w:r>
      <w:r w:rsidRPr="00933923">
        <w:rPr>
          <w:u w:val="single"/>
        </w:rPr>
        <w:t>547,207</w:t>
      </w:r>
    </w:p>
    <w:p w:rsidR="000A4A99" w:rsidRPr="00933923" w:rsidRDefault="000A4A99" w:rsidP="000A4A99">
      <w:pPr>
        <w:kinsoku w:val="0"/>
        <w:overflowPunct w:val="0"/>
        <w:ind w:left="7200"/>
      </w:pPr>
      <w:r w:rsidRPr="00933923">
        <w:t>$</w:t>
      </w:r>
      <w:r w:rsidR="00620035">
        <w:t>9</w:t>
      </w:r>
      <w:r w:rsidRPr="00933923">
        <w:t>,</w:t>
      </w:r>
      <w:r w:rsidR="00620035">
        <w:t>908</w:t>
      </w:r>
      <w:r w:rsidRPr="00933923">
        <w:t>,</w:t>
      </w:r>
      <w:r w:rsidR="00620035">
        <w:t>231</w:t>
      </w:r>
    </w:p>
    <w:p w:rsidR="0008441A" w:rsidRPr="00933923" w:rsidRDefault="0008441A" w:rsidP="000A4A99">
      <w:pPr>
        <w:kinsoku w:val="0"/>
        <w:overflowPunct w:val="0"/>
        <w:ind w:left="7200"/>
      </w:pPr>
    </w:p>
    <w:p w:rsidR="000A4A99" w:rsidRDefault="000A4A99" w:rsidP="0008441A">
      <w:pPr>
        <w:pStyle w:val="ListParagraph"/>
        <w:numPr>
          <w:ilvl w:val="0"/>
          <w:numId w:val="8"/>
        </w:numPr>
        <w:kinsoku w:val="0"/>
        <w:overflowPunct w:val="0"/>
        <w:contextualSpacing w:val="0"/>
      </w:pPr>
      <w:r w:rsidRPr="00933923">
        <w:t>Costs associated with BJS contract oversight and study activities are estimated to be $</w:t>
      </w:r>
      <w:r w:rsidR="00ED685A" w:rsidRPr="00933923">
        <w:t>94,598</w:t>
      </w:r>
      <w:r w:rsidRPr="00933923">
        <w:t xml:space="preserve"> </w:t>
      </w:r>
    </w:p>
    <w:p w:rsidR="002E1D76" w:rsidRPr="00933923" w:rsidRDefault="002E1D76" w:rsidP="000F5496">
      <w:pPr>
        <w:pStyle w:val="ListParagraph"/>
        <w:kinsoku w:val="0"/>
        <w:overflowPunct w:val="0"/>
        <w:ind w:left="360"/>
        <w:contextualSpacing w:val="0"/>
      </w:pPr>
    </w:p>
    <w:p w:rsidR="000A4A99" w:rsidRPr="00933923" w:rsidRDefault="001752F2" w:rsidP="00D1107C">
      <w:pPr>
        <w:pStyle w:val="N1-1stBullet"/>
      </w:pPr>
      <w:r w:rsidRPr="00933923">
        <w:t xml:space="preserve">20% </w:t>
      </w:r>
      <w:r w:rsidR="000A4A99" w:rsidRPr="00933923">
        <w:t>percent of GS-</w:t>
      </w:r>
      <w:r w:rsidRPr="00933923">
        <w:t>13</w:t>
      </w:r>
      <w:r w:rsidR="000A4A99" w:rsidRPr="00933923">
        <w:t>, Statistician ($</w:t>
      </w:r>
      <w:r w:rsidRPr="00933923">
        <w:t>20,200</w:t>
      </w:r>
      <w:r w:rsidR="000A4A99" w:rsidRPr="00933923">
        <w:t>)</w:t>
      </w:r>
    </w:p>
    <w:p w:rsidR="000A4A99" w:rsidRPr="00933923" w:rsidRDefault="001752F2" w:rsidP="00D1107C">
      <w:pPr>
        <w:pStyle w:val="N1-1stBullet"/>
      </w:pPr>
      <w:r w:rsidRPr="00933923">
        <w:t xml:space="preserve">10% </w:t>
      </w:r>
      <w:r w:rsidR="000A4A99" w:rsidRPr="00933923">
        <w:t>percent of SL, Senior Statistical Advisor ($</w:t>
      </w:r>
      <w:r w:rsidRPr="00933923">
        <w:t>15,900</w:t>
      </w:r>
      <w:r w:rsidR="000A4A99" w:rsidRPr="00933923">
        <w:t>)</w:t>
      </w:r>
    </w:p>
    <w:p w:rsidR="000A4A99" w:rsidRPr="00933923" w:rsidRDefault="000A4A99" w:rsidP="00D1107C">
      <w:pPr>
        <w:pStyle w:val="N1-1stBullet"/>
      </w:pPr>
      <w:r w:rsidRPr="00933923">
        <w:t>Benefits (@2</w:t>
      </w:r>
      <w:r w:rsidR="00833012" w:rsidRPr="00933923">
        <w:t>8</w:t>
      </w:r>
      <w:r w:rsidRPr="00933923">
        <w:t>% - $</w:t>
      </w:r>
      <w:r w:rsidR="00833012" w:rsidRPr="00933923">
        <w:t>46,185</w:t>
      </w:r>
      <w:r w:rsidRPr="00933923">
        <w:t>)</w:t>
      </w:r>
    </w:p>
    <w:p w:rsidR="000A4A99" w:rsidRPr="00933923" w:rsidRDefault="000A4A99" w:rsidP="00D1107C">
      <w:pPr>
        <w:pStyle w:val="N1-1stBullet"/>
      </w:pPr>
      <w:r w:rsidRPr="00933923">
        <w:t>Other administrative costs</w:t>
      </w:r>
      <w:r w:rsidR="00ED685A" w:rsidRPr="00933923">
        <w:t xml:space="preserve"> @15%</w:t>
      </w:r>
      <w:r w:rsidRPr="00933923">
        <w:t xml:space="preserve"> ($</w:t>
      </w:r>
      <w:r w:rsidR="00ED685A" w:rsidRPr="00933923">
        <w:t>12,313</w:t>
      </w:r>
      <w:r w:rsidR="00620035">
        <w:t>)</w:t>
      </w:r>
    </w:p>
    <w:p w:rsidR="000A4A99" w:rsidRPr="00933923" w:rsidRDefault="000A4A99" w:rsidP="00D1107C">
      <w:pPr>
        <w:pStyle w:val="L1-FlLSp12"/>
      </w:pPr>
      <w:r w:rsidRPr="00933923">
        <w:t xml:space="preserve">BJS costs are expected to remain stable, subject to Cost of Living Adjustments (COLA). </w:t>
      </w:r>
    </w:p>
    <w:p w:rsidR="000A4A99" w:rsidRPr="00933923" w:rsidRDefault="000A4A99" w:rsidP="00D1107C">
      <w:pPr>
        <w:pStyle w:val="L1-FlLSp12"/>
      </w:pPr>
    </w:p>
    <w:p w:rsidR="00D1107C" w:rsidRPr="00933923" w:rsidRDefault="00D1107C" w:rsidP="00D1107C">
      <w:pPr>
        <w:pStyle w:val="L1-FlLSp12"/>
      </w:pPr>
    </w:p>
    <w:p w:rsidR="000A4A99" w:rsidRPr="003F40FD" w:rsidRDefault="00113BD0" w:rsidP="003F40FD">
      <w:pPr>
        <w:pStyle w:val="Heading3"/>
      </w:pPr>
      <w:bookmarkStart w:id="105" w:name="_Toc361144795"/>
      <w:bookmarkStart w:id="106" w:name="_Toc380930614"/>
      <w:bookmarkStart w:id="107" w:name="_Toc380930744"/>
      <w:r w:rsidRPr="003F40FD">
        <w:t>A</w:t>
      </w:r>
      <w:r w:rsidR="000A4A99" w:rsidRPr="003F40FD">
        <w:t>15.</w:t>
      </w:r>
      <w:r w:rsidR="000A4A99" w:rsidRPr="003F40FD">
        <w:tab/>
        <w:t>Reasons for Change in Burden</w:t>
      </w:r>
      <w:bookmarkEnd w:id="105"/>
      <w:bookmarkEnd w:id="106"/>
      <w:bookmarkEnd w:id="107"/>
      <w:r w:rsidR="000A4A99" w:rsidRPr="003F40FD">
        <w:t xml:space="preserve"> </w:t>
      </w:r>
    </w:p>
    <w:p w:rsidR="000A4A99" w:rsidRPr="00933923" w:rsidRDefault="000A4A99" w:rsidP="00D1107C">
      <w:pPr>
        <w:pStyle w:val="L1-FlLSp12"/>
      </w:pPr>
      <w:r w:rsidRPr="00933923">
        <w:t>Not applicable</w:t>
      </w:r>
    </w:p>
    <w:p w:rsidR="000A4A99" w:rsidRDefault="000A4A99" w:rsidP="0008441A">
      <w:pPr>
        <w:pStyle w:val="L1-FlLSp12"/>
      </w:pPr>
    </w:p>
    <w:p w:rsidR="009914AE" w:rsidRPr="00933923" w:rsidRDefault="009914AE" w:rsidP="0008441A">
      <w:pPr>
        <w:pStyle w:val="L1-FlLSp12"/>
      </w:pPr>
    </w:p>
    <w:p w:rsidR="000A4A99" w:rsidRPr="003F40FD" w:rsidRDefault="00113BD0" w:rsidP="003F40FD">
      <w:pPr>
        <w:pStyle w:val="Heading3"/>
      </w:pPr>
      <w:bookmarkStart w:id="108" w:name="_Toc361144796"/>
      <w:bookmarkStart w:id="109" w:name="_Toc380930615"/>
      <w:bookmarkStart w:id="110" w:name="_Toc380930745"/>
      <w:r w:rsidRPr="003F40FD">
        <w:lastRenderedPageBreak/>
        <w:t>A</w:t>
      </w:r>
      <w:r w:rsidR="000A4A99" w:rsidRPr="003F40FD">
        <w:t xml:space="preserve">16. </w:t>
      </w:r>
      <w:r w:rsidR="000A4A99" w:rsidRPr="003F40FD">
        <w:tab/>
        <w:t>Plans for Publication</w:t>
      </w:r>
      <w:bookmarkEnd w:id="108"/>
      <w:bookmarkEnd w:id="109"/>
      <w:bookmarkEnd w:id="110"/>
      <w:r w:rsidR="000A4A99" w:rsidRPr="003F40FD">
        <w:t xml:space="preserve"> </w:t>
      </w:r>
    </w:p>
    <w:p w:rsidR="002D7580" w:rsidRDefault="002D7580" w:rsidP="00D1107C">
      <w:pPr>
        <w:pStyle w:val="L1-FlLSp12"/>
      </w:pPr>
      <w:r>
        <w:t>The will produce a number of reports, presentations and papers that will be available to interested groups</w:t>
      </w:r>
      <w:r w:rsidR="00573A81">
        <w:t>:</w:t>
      </w:r>
    </w:p>
    <w:p w:rsidR="00316A8C" w:rsidRDefault="002D7580" w:rsidP="00AA0BE3">
      <w:pPr>
        <w:pStyle w:val="L1-FlLSp12"/>
        <w:ind w:left="1170" w:hanging="450"/>
      </w:pPr>
      <w:r>
        <w:t>1.</w:t>
      </w:r>
      <w:r>
        <w:tab/>
      </w:r>
      <w:r w:rsidR="00316A8C">
        <w:t xml:space="preserve"> Cognitive interview reports.  These reports will be a sanitized version</w:t>
      </w:r>
      <w:r w:rsidR="00316A8C">
        <w:rPr>
          <w:rStyle w:val="FootnoteReference"/>
        </w:rPr>
        <w:footnoteReference w:id="7"/>
      </w:r>
      <w:r w:rsidR="00316A8C">
        <w:t xml:space="preserve"> of the full reports submitted to BJS describing the results of the cognitive interviews.  These will be posted in April of 2014, after all testing is completed.  The rep</w:t>
      </w:r>
      <w:r w:rsidR="005B1229">
        <w:t>orts highlight key issues related to respondent interpretation of commonly used behavior specific questions and the types of events elicited.</w:t>
      </w:r>
    </w:p>
    <w:p w:rsidR="005B1229" w:rsidRDefault="005B1229" w:rsidP="00AA0BE3">
      <w:pPr>
        <w:pStyle w:val="L1-FlLSp12"/>
        <w:ind w:left="1170" w:hanging="450"/>
      </w:pPr>
    </w:p>
    <w:p w:rsidR="00316A8C" w:rsidRDefault="00316A8C" w:rsidP="00316A8C">
      <w:pPr>
        <w:pStyle w:val="L1-FlLSp12"/>
        <w:ind w:left="1170" w:hanging="450"/>
      </w:pPr>
      <w:r>
        <w:t>2.</w:t>
      </w:r>
      <w:r>
        <w:tab/>
        <w:t xml:space="preserve">Presentations at the Annual Meeting of the American Association for Public Opinion Research, May, 2014. </w:t>
      </w:r>
      <w:bookmarkStart w:id="111" w:name="_GoBack"/>
      <w:bookmarkEnd w:id="111"/>
      <w:r>
        <w:t xml:space="preserve"> These two papers, co-authored by the BJS and the Westat team, will provide results from the cognitive interviews.  One is a qualitative analysis of the use of behavior-specific questions to identify, count and classify self-reports as rape and sexual assault.  The second paper examines the use of a re-interview to evaluate survey questions.</w:t>
      </w:r>
    </w:p>
    <w:p w:rsidR="00316A8C" w:rsidRDefault="00316A8C" w:rsidP="00316A8C">
      <w:pPr>
        <w:pStyle w:val="L1-FlLSp12"/>
        <w:ind w:left="1170" w:hanging="450"/>
      </w:pPr>
    </w:p>
    <w:p w:rsidR="00316A8C" w:rsidRDefault="00316A8C" w:rsidP="00AA0BE3">
      <w:pPr>
        <w:pStyle w:val="L1-FlLSp12"/>
        <w:ind w:left="1170" w:hanging="450"/>
      </w:pPr>
      <w:r>
        <w:tab/>
        <w:t xml:space="preserve">These will be written up as papers and submitted for publication to refereed journals. </w:t>
      </w:r>
    </w:p>
    <w:p w:rsidR="002D7580" w:rsidRDefault="002D7580" w:rsidP="00AA0BE3">
      <w:pPr>
        <w:pStyle w:val="L1-FlLSp12"/>
        <w:ind w:left="1170" w:hanging="450"/>
      </w:pPr>
    </w:p>
    <w:p w:rsidR="005B1229" w:rsidRDefault="005B1229" w:rsidP="00AA0BE3">
      <w:pPr>
        <w:pStyle w:val="L1-FlLSp12"/>
        <w:ind w:left="1170" w:hanging="450"/>
      </w:pPr>
      <w:r>
        <w:t>3.</w:t>
      </w:r>
      <w:r>
        <w:tab/>
        <w:t xml:space="preserve">Final Report.  This will cover the analysis issues discussed in section B2e in part B below.  This </w:t>
      </w:r>
      <w:r w:rsidR="00AA0BE3">
        <w:t xml:space="preserve">is </w:t>
      </w:r>
      <w:r>
        <w:t>schedule</w:t>
      </w:r>
      <w:r w:rsidR="00AA0BE3">
        <w:t>d</w:t>
      </w:r>
      <w:r>
        <w:t xml:space="preserve"> to be submitted to BJS by December 2015.  This will be posted to the BJS website once accepted as a final deliverable.  The final report will describe the empirical differences between the two different methodologies (telephone vs. ACASI) with respect to coverage and response rates, incident rates and </w:t>
      </w:r>
      <w:r w:rsidR="00AA36E7">
        <w:t>the various measures of data quality.</w:t>
      </w:r>
      <w:r w:rsidR="007B43FB">
        <w:t xml:space="preserve">  It will also compare general estimates from the ongoing NCVS.</w:t>
      </w:r>
      <w:r w:rsidR="00AA36E7">
        <w:t xml:space="preserve">  It will conclude with a set of recommendations on how BJS should incorporate new measures into the ongoing NCVS series.</w:t>
      </w:r>
    </w:p>
    <w:p w:rsidR="005B1229" w:rsidRDefault="005B1229" w:rsidP="00AA0BE3">
      <w:pPr>
        <w:pStyle w:val="L1-FlLSp12"/>
        <w:ind w:left="1170" w:hanging="450"/>
      </w:pPr>
    </w:p>
    <w:p w:rsidR="005B1229" w:rsidRDefault="005B1229" w:rsidP="00AA0BE3">
      <w:pPr>
        <w:pStyle w:val="L1-FlLSp12"/>
        <w:ind w:left="1170" w:hanging="450"/>
      </w:pPr>
      <w:r>
        <w:t>4.</w:t>
      </w:r>
      <w:r>
        <w:tab/>
        <w:t>Summary of Findings and recommendations.  This will be a shortened, non-technical summary of the findings and recommendations of the final report.  This will be completed shortly after the Final Report.</w:t>
      </w:r>
    </w:p>
    <w:p w:rsidR="00AA36E7" w:rsidRDefault="00AA36E7" w:rsidP="00AA0BE3">
      <w:pPr>
        <w:pStyle w:val="L1-FlLSp12"/>
        <w:ind w:left="1170" w:hanging="450"/>
      </w:pPr>
    </w:p>
    <w:p w:rsidR="00AA36E7" w:rsidRDefault="00AA36E7" w:rsidP="00AA0BE3">
      <w:pPr>
        <w:pStyle w:val="L1-FlLSp12"/>
        <w:ind w:left="1170" w:hanging="450"/>
      </w:pPr>
      <w:r>
        <w:lastRenderedPageBreak/>
        <w:t>5.</w:t>
      </w:r>
      <w:r>
        <w:tab/>
        <w:t>Other papers and presentations.  Based on the analysis of the final report, the BJS and Westat team will present papers at relevant professional conferences such as the American Society of Criminology, the American Association for Public Opinion Research and the Joint Statistical Meetings.  Target journals will span both survey methods and criminological areas.  These will cover topics that inform the larger community on research results from the report.  Examples of the topics that will be covered include: 1) what are the differences between ACASI and Telephone surveys for measuring RSA?, 2) What are the characteristics of incidents elicited by behavioral specific questions</w:t>
      </w:r>
      <w:r w:rsidR="007B43FB">
        <w:t xml:space="preserve"> and how do they compare to the NCVS</w:t>
      </w:r>
      <w:r>
        <w:t>?, 3) What are advantages and disadvantages of a one vs. two-stage approach to data collection?, 4) What are the cost/benefits of a telephone vs. ACASI design</w:t>
      </w:r>
      <w:r w:rsidR="007B43FB">
        <w:t xml:space="preserve"> vs. in-person interviewer design</w:t>
      </w:r>
      <w:r>
        <w:t>?</w:t>
      </w:r>
    </w:p>
    <w:p w:rsidR="00AA36E7" w:rsidRDefault="00AA36E7" w:rsidP="00AA0BE3">
      <w:pPr>
        <w:pStyle w:val="L1-FlLSp12"/>
        <w:ind w:left="1170" w:hanging="450"/>
      </w:pPr>
    </w:p>
    <w:p w:rsidR="00576326" w:rsidRPr="00576326" w:rsidRDefault="00576326" w:rsidP="00576326">
      <w:pPr>
        <w:pStyle w:val="L1-FlLSp12"/>
      </w:pPr>
      <w:r w:rsidRPr="00576326">
        <w:rPr>
          <w:rFonts w:eastAsiaTheme="minorHAnsi"/>
          <w:szCs w:val="24"/>
        </w:rPr>
        <w:t>BJS considers the public</w:t>
      </w:r>
      <w:r>
        <w:rPr>
          <w:rFonts w:eastAsiaTheme="minorHAnsi"/>
          <w:szCs w:val="24"/>
        </w:rPr>
        <w:t>ation of these</w:t>
      </w:r>
      <w:r w:rsidRPr="00576326">
        <w:rPr>
          <w:rFonts w:eastAsiaTheme="minorHAnsi"/>
          <w:szCs w:val="24"/>
        </w:rPr>
        <w:t xml:space="preserve"> results as a fulfillment of its core mission.  BJS has invested significant resources in the redesign of the NCVS to improve methodology and increase the survey’s value to national and local stakeholders. A section of the BJS website is dedicated to providing information to the public regarding ongoing methodological research in support of the NCVS. </w:t>
      </w:r>
    </w:p>
    <w:p w:rsidR="00576326" w:rsidRPr="00576326" w:rsidRDefault="00576326" w:rsidP="00576326">
      <w:pPr>
        <w:autoSpaceDE w:val="0"/>
        <w:autoSpaceDN w:val="0"/>
        <w:adjustRightInd w:val="0"/>
        <w:spacing w:line="240" w:lineRule="auto"/>
        <w:rPr>
          <w:rFonts w:eastAsiaTheme="minorHAnsi"/>
          <w:szCs w:val="24"/>
        </w:rPr>
      </w:pPr>
    </w:p>
    <w:p w:rsidR="00576326" w:rsidRPr="00576326" w:rsidRDefault="00576326" w:rsidP="00576326">
      <w:pPr>
        <w:pStyle w:val="L1-FlLSp12"/>
      </w:pPr>
      <w:r>
        <w:rPr>
          <w:rFonts w:eastAsiaTheme="minorHAnsi"/>
          <w:szCs w:val="24"/>
        </w:rPr>
        <w:t>Publication of the NSHS</w:t>
      </w:r>
      <w:r w:rsidRPr="00576326">
        <w:rPr>
          <w:rFonts w:eastAsiaTheme="minorHAnsi"/>
          <w:szCs w:val="24"/>
        </w:rPr>
        <w:t xml:space="preserve"> findings will adhere to the standard procedures established and refined by BJS over the last 35 years. As a statistical agency with extensive experience processing and disseminating potentially sensitive information, internal reviews have been developed to insure all statistical research is released in a manner maintaining anonymity and confidentiality as appropriate. Once internal review of the report is complete, we expect to release the findings on the BJS webpage.  </w:t>
      </w:r>
    </w:p>
    <w:p w:rsidR="000A4A99" w:rsidRPr="00933923" w:rsidRDefault="000A4A99" w:rsidP="00D1107C">
      <w:pPr>
        <w:pStyle w:val="L1-FlLSp12"/>
      </w:pPr>
    </w:p>
    <w:p w:rsidR="000A4A99" w:rsidRPr="003F40FD" w:rsidRDefault="00113BD0" w:rsidP="003F40FD">
      <w:pPr>
        <w:pStyle w:val="Heading3"/>
      </w:pPr>
      <w:bookmarkStart w:id="112" w:name="_Toc361144797"/>
      <w:bookmarkStart w:id="113" w:name="_Toc380930616"/>
      <w:bookmarkStart w:id="114" w:name="_Toc380930746"/>
      <w:r w:rsidRPr="003F40FD">
        <w:t>A</w:t>
      </w:r>
      <w:r w:rsidR="000A4A99" w:rsidRPr="003F40FD">
        <w:t xml:space="preserve">17. </w:t>
      </w:r>
      <w:r w:rsidR="000A4A99" w:rsidRPr="003F40FD">
        <w:tab/>
        <w:t>Expiration Date Approval</w:t>
      </w:r>
      <w:bookmarkEnd w:id="112"/>
      <w:bookmarkEnd w:id="113"/>
      <w:bookmarkEnd w:id="114"/>
    </w:p>
    <w:p w:rsidR="000A4A99" w:rsidRPr="00933923" w:rsidRDefault="000A4A99" w:rsidP="00D1107C">
      <w:pPr>
        <w:pStyle w:val="L1-FlLSp12"/>
      </w:pPr>
      <w:r w:rsidRPr="00933923">
        <w:t>The OMB Control Number and the expiration date will be published on all forms given to respondents.</w:t>
      </w:r>
      <w:r w:rsidR="0008441A" w:rsidRPr="00933923">
        <w:t xml:space="preserve"> </w:t>
      </w:r>
    </w:p>
    <w:p w:rsidR="000A4A99" w:rsidRPr="00933923" w:rsidRDefault="000A4A99" w:rsidP="00D1107C">
      <w:pPr>
        <w:pStyle w:val="L1-FlLSp12"/>
      </w:pPr>
    </w:p>
    <w:p w:rsidR="00D1107C" w:rsidRPr="00933923" w:rsidRDefault="00D1107C" w:rsidP="00D1107C">
      <w:pPr>
        <w:pStyle w:val="L1-FlLSp12"/>
      </w:pPr>
    </w:p>
    <w:p w:rsidR="000A4A99" w:rsidRPr="003F40FD" w:rsidRDefault="00113BD0" w:rsidP="003F40FD">
      <w:pPr>
        <w:pStyle w:val="Heading3"/>
      </w:pPr>
      <w:bookmarkStart w:id="115" w:name="_Toc361144798"/>
      <w:bookmarkStart w:id="116" w:name="_Toc380930617"/>
      <w:bookmarkStart w:id="117" w:name="_Toc380930747"/>
      <w:r w:rsidRPr="003F40FD">
        <w:t>A</w:t>
      </w:r>
      <w:r w:rsidR="000A4A99" w:rsidRPr="003F40FD">
        <w:t xml:space="preserve">18. </w:t>
      </w:r>
      <w:r w:rsidR="000A4A99" w:rsidRPr="003F40FD">
        <w:tab/>
        <w:t>Exceptions to the Certification Statement</w:t>
      </w:r>
      <w:bookmarkEnd w:id="115"/>
      <w:bookmarkEnd w:id="116"/>
      <w:bookmarkEnd w:id="117"/>
      <w:r w:rsidR="000A4A99" w:rsidRPr="003F40FD">
        <w:t xml:space="preserve"> </w:t>
      </w:r>
    </w:p>
    <w:p w:rsidR="00E25711" w:rsidRPr="00BD5934" w:rsidRDefault="000A4A99" w:rsidP="00ED3C6E">
      <w:pPr>
        <w:pStyle w:val="L1-FlLSp12"/>
      </w:pPr>
      <w:r w:rsidRPr="00933923">
        <w:t>There are no exceptions to the Certification Statement.</w:t>
      </w:r>
      <w:r w:rsidR="0008441A" w:rsidRPr="00933923">
        <w:t xml:space="preserve"> </w:t>
      </w:r>
    </w:p>
    <w:sectPr w:rsidR="00E25711" w:rsidRPr="00BD5934" w:rsidSect="00ED3C6E">
      <w:pgSz w:w="12240" w:h="15840"/>
      <w:pgMar w:top="1440" w:right="1440" w:bottom="864" w:left="1440" w:header="144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8A9" w:rsidRDefault="003C38A9">
      <w:r>
        <w:separator/>
      </w:r>
    </w:p>
  </w:endnote>
  <w:endnote w:type="continuationSeparator" w:id="0">
    <w:p w:rsidR="003C38A9" w:rsidRDefault="003C38A9">
      <w:r>
        <w:continuationSeparator/>
      </w:r>
    </w:p>
  </w:endnote>
  <w:endnote w:type="continuationNotice" w:id="1">
    <w:p w:rsidR="003C38A9" w:rsidRDefault="003C38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Sans">
    <w:altName w:val="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2E" w:rsidRDefault="008A31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2E" w:rsidRDefault="008A3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2E" w:rsidRDefault="008A3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8A9" w:rsidRDefault="003C38A9">
      <w:r>
        <w:separator/>
      </w:r>
    </w:p>
  </w:footnote>
  <w:footnote w:type="continuationSeparator" w:id="0">
    <w:p w:rsidR="003C38A9" w:rsidRDefault="003C38A9">
      <w:r>
        <w:continuationSeparator/>
      </w:r>
    </w:p>
  </w:footnote>
  <w:footnote w:type="continuationNotice" w:id="1">
    <w:p w:rsidR="003C38A9" w:rsidRDefault="003C38A9">
      <w:pPr>
        <w:spacing w:line="240" w:lineRule="auto"/>
      </w:pPr>
    </w:p>
  </w:footnote>
  <w:footnote w:id="2">
    <w:p w:rsidR="008A312E" w:rsidRDefault="008A312E">
      <w:pPr>
        <w:pStyle w:val="FootnoteText"/>
      </w:pPr>
      <w:r>
        <w:rPr>
          <w:rStyle w:val="FootnoteReference"/>
        </w:rPr>
        <w:footnoteRef/>
      </w:r>
      <w:r>
        <w:t xml:space="preserve"> The NISVS rate for adult females is 1.1 and the NCVS rate for rape and sexual assault among females age 12+ is .13.  While the NCVS rate includes girls under 18, this age group has the highest rape/sexual assault victimization rates.  This comparison, therefore, underestimates the differences between the two surveys.</w:t>
      </w:r>
    </w:p>
  </w:footnote>
  <w:footnote w:id="3">
    <w:p w:rsidR="008A312E" w:rsidRDefault="008A312E">
      <w:pPr>
        <w:pStyle w:val="FootnoteText"/>
      </w:pPr>
      <w:r>
        <w:rPr>
          <w:rStyle w:val="FootnoteReference"/>
        </w:rPr>
        <w:footnoteRef/>
      </w:r>
      <w:r>
        <w:t xml:space="preserve"> The major exception to this is the British Crime Survey (Hall and Smith, 2011).</w:t>
      </w:r>
    </w:p>
  </w:footnote>
  <w:footnote w:id="4">
    <w:p w:rsidR="008A312E" w:rsidRPr="00E7528E" w:rsidRDefault="008A312E" w:rsidP="000A4A99">
      <w:pPr>
        <w:pStyle w:val="FootnoteText"/>
        <w:ind w:left="90" w:hanging="90"/>
      </w:pPr>
      <w:r w:rsidRPr="00E7528E">
        <w:rPr>
          <w:rStyle w:val="FootnoteReference"/>
          <w:vertAlign w:val="superscript"/>
        </w:rPr>
        <w:footnoteRef/>
      </w:r>
      <w:r w:rsidRPr="00E7528E">
        <w:rPr>
          <w:vertAlign w:val="superscript"/>
        </w:rPr>
        <w:t xml:space="preserve"> </w:t>
      </w:r>
      <w:r w:rsidRPr="00E7528E">
        <w:t xml:space="preserve">May 2012 National occupational employment and wage estimate for counselors (all other) (Source: </w:t>
      </w:r>
      <w:hyperlink r:id="rId1" w:history="1">
        <w:r w:rsidRPr="00E7528E">
          <w:rPr>
            <w:rStyle w:val="Hyperlink"/>
          </w:rPr>
          <w:t>http://www.bls.gov/oes/current/oes211019.htm</w:t>
        </w:r>
      </w:hyperlink>
      <w:r w:rsidRPr="00E7528E">
        <w:t>).</w:t>
      </w:r>
    </w:p>
  </w:footnote>
  <w:footnote w:id="5">
    <w:p w:rsidR="008A312E" w:rsidRPr="00E7528E" w:rsidRDefault="008A312E" w:rsidP="000A4A99">
      <w:pPr>
        <w:pStyle w:val="FootnoteText"/>
        <w:ind w:left="90" w:hanging="90"/>
      </w:pPr>
      <w:r w:rsidRPr="00E7528E">
        <w:rPr>
          <w:rStyle w:val="FootnoteReference"/>
          <w:vertAlign w:val="superscript"/>
        </w:rPr>
        <w:footnoteRef/>
      </w:r>
      <w:r w:rsidRPr="00E7528E">
        <w:rPr>
          <w:vertAlign w:val="superscript"/>
        </w:rPr>
        <w:t xml:space="preserve"> </w:t>
      </w:r>
      <w:r w:rsidRPr="00E7528E">
        <w:t xml:space="preserve">May 2012 National occupational employment and wage estimate for all education, training, and library workers (Source: </w:t>
      </w:r>
      <w:hyperlink r:id="rId2" w:history="1">
        <w:r w:rsidRPr="00E7528E">
          <w:rPr>
            <w:rStyle w:val="Hyperlink"/>
          </w:rPr>
          <w:t>http://www.bls.gov/oes/current/oes259099.htm</w:t>
        </w:r>
      </w:hyperlink>
      <w:r w:rsidRPr="00E7528E">
        <w:t>).</w:t>
      </w:r>
    </w:p>
  </w:footnote>
  <w:footnote w:id="6">
    <w:p w:rsidR="008A312E" w:rsidRPr="001C4772" w:rsidRDefault="008A312E" w:rsidP="000A4A99">
      <w:pPr>
        <w:pStyle w:val="FootnoteText"/>
        <w:ind w:left="90" w:hanging="90"/>
        <w:rPr>
          <w:rFonts w:ascii="Times New Roman" w:hAnsi="Times New Roman"/>
        </w:rPr>
      </w:pPr>
      <w:r w:rsidRPr="00E7528E">
        <w:rPr>
          <w:rStyle w:val="FootnoteReference"/>
          <w:vertAlign w:val="superscript"/>
        </w:rPr>
        <w:footnoteRef/>
      </w:r>
      <w:r>
        <w:t>July</w:t>
      </w:r>
      <w:r w:rsidRPr="00E7528E">
        <w:t xml:space="preserve"> 2013 Economic news release national occupational employment and wage estimate for average hourly earnings of all employees on private nonfarm payrolls by industry sector, seasonally adjusted (Source: </w:t>
      </w:r>
      <w:r w:rsidRPr="007702C3">
        <w:t>http://www.bls.gov/web/empsit/ceseesummary.htm</w:t>
      </w:r>
      <w:r w:rsidRPr="00E7528E">
        <w:t>).</w:t>
      </w:r>
    </w:p>
  </w:footnote>
  <w:footnote w:id="7">
    <w:p w:rsidR="008A312E" w:rsidRDefault="008A312E">
      <w:pPr>
        <w:pStyle w:val="FootnoteText"/>
      </w:pPr>
      <w:r>
        <w:rPr>
          <w:rStyle w:val="FootnoteReference"/>
        </w:rPr>
        <w:footnoteRef/>
      </w:r>
      <w:r>
        <w:t xml:space="preserve"> “Sanitize” refers to deleting any qualitative descriptions that might identify an individual respondent to the cognitive interviews.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921357"/>
      <w:docPartObj>
        <w:docPartGallery w:val="Page Numbers (Top of Page)"/>
        <w:docPartUnique/>
      </w:docPartObj>
    </w:sdtPr>
    <w:sdtEndPr>
      <w:rPr>
        <w:noProof/>
        <w:sz w:val="24"/>
        <w:szCs w:val="24"/>
      </w:rPr>
    </w:sdtEndPr>
    <w:sdtContent>
      <w:p w:rsidR="008A312E" w:rsidRPr="00AA0BE3" w:rsidRDefault="008A312E">
        <w:pPr>
          <w:pStyle w:val="Header"/>
          <w:jc w:val="right"/>
          <w:rPr>
            <w:sz w:val="24"/>
            <w:szCs w:val="24"/>
          </w:rPr>
        </w:pPr>
        <w:r w:rsidRPr="00AA0BE3">
          <w:rPr>
            <w:sz w:val="24"/>
            <w:szCs w:val="24"/>
          </w:rPr>
          <w:fldChar w:fldCharType="begin"/>
        </w:r>
        <w:r w:rsidRPr="00AA0BE3">
          <w:rPr>
            <w:sz w:val="24"/>
            <w:szCs w:val="24"/>
          </w:rPr>
          <w:instrText xml:space="preserve"> PAGE   \* MERGEFORMAT </w:instrText>
        </w:r>
        <w:r w:rsidRPr="00AA0BE3">
          <w:rPr>
            <w:sz w:val="24"/>
            <w:szCs w:val="24"/>
          </w:rPr>
          <w:fldChar w:fldCharType="separate"/>
        </w:r>
        <w:r w:rsidR="009A234B">
          <w:rPr>
            <w:noProof/>
            <w:sz w:val="24"/>
            <w:szCs w:val="24"/>
          </w:rPr>
          <w:t>15</w:t>
        </w:r>
        <w:r w:rsidRPr="00AA0BE3">
          <w:rPr>
            <w:noProof/>
            <w:sz w:val="24"/>
            <w:szCs w:val="24"/>
          </w:rPr>
          <w:fldChar w:fldCharType="end"/>
        </w:r>
      </w:p>
    </w:sdtContent>
  </w:sdt>
  <w:p w:rsidR="008A312E" w:rsidRDefault="008A31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2E" w:rsidRDefault="008A312E">
    <w:pPr>
      <w:framePr w:w="9360" w:h="256"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pgNum/>
    </w:r>
  </w:p>
  <w:p w:rsidR="008A312E" w:rsidRDefault="008A31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12E" w:rsidRDefault="008A312E">
    <w:pPr>
      <w:framePr w:w="9360" w:h="256" w:hRule="exact" w:wrap="notBeside" w:vAnchor="page" w:hAnchor="text" w:y="115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right"/>
      <w:rPr>
        <w:vanish/>
      </w:rPr>
    </w:pPr>
    <w:r>
      <w:rPr>
        <w:sz w:val="22"/>
      </w:rPr>
      <w:pgNum/>
    </w:r>
  </w:p>
  <w:p w:rsidR="008A312E" w:rsidRDefault="008A312E" w:rsidP="00733E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ED002F3"/>
    <w:multiLevelType w:val="hybridMultilevel"/>
    <w:tmpl w:val="15F4AB6C"/>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2A1342"/>
    <w:multiLevelType w:val="hybridMultilevel"/>
    <w:tmpl w:val="8F508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705D15"/>
    <w:multiLevelType w:val="hybridMultilevel"/>
    <w:tmpl w:val="553EA672"/>
    <w:lvl w:ilvl="0" w:tplc="C1C8933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9429BE"/>
    <w:multiLevelType w:val="hybridMultilevel"/>
    <w:tmpl w:val="0D7E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D63856"/>
    <w:multiLevelType w:val="hybridMultilevel"/>
    <w:tmpl w:val="F1AC15AC"/>
    <w:lvl w:ilvl="0" w:tplc="71AC396E">
      <w:start w:val="1"/>
      <w:numFmt w:val="decimal"/>
      <w:lvlText w:val="%1."/>
      <w:lvlJc w:val="left"/>
      <w:pPr>
        <w:tabs>
          <w:tab w:val="num" w:pos="1296"/>
        </w:tabs>
        <w:ind w:left="1296" w:hanging="576"/>
      </w:pPr>
      <w:rPr>
        <w:rFonts w:ascii="Garamond" w:hAnsi="Garamond" w:hint="default"/>
        <w:sz w:val="24"/>
      </w:rPr>
    </w:lvl>
    <w:lvl w:ilvl="1" w:tplc="04090019" w:tentative="1">
      <w:start w:val="1"/>
      <w:numFmt w:val="lowerLetter"/>
      <w:lvlText w:val="%2."/>
      <w:lvlJc w:val="left"/>
      <w:pPr>
        <w:tabs>
          <w:tab w:val="num" w:pos="432"/>
        </w:tabs>
        <w:ind w:left="432" w:hanging="360"/>
      </w:pPr>
    </w:lvl>
    <w:lvl w:ilvl="2" w:tplc="0409001B" w:tentative="1">
      <w:start w:val="1"/>
      <w:numFmt w:val="lowerRoman"/>
      <w:lvlText w:val="%3."/>
      <w:lvlJc w:val="right"/>
      <w:pPr>
        <w:tabs>
          <w:tab w:val="num" w:pos="1152"/>
        </w:tabs>
        <w:ind w:left="1152" w:hanging="180"/>
      </w:pPr>
    </w:lvl>
    <w:lvl w:ilvl="3" w:tplc="0409000F" w:tentative="1">
      <w:start w:val="1"/>
      <w:numFmt w:val="decimal"/>
      <w:lvlText w:val="%4."/>
      <w:lvlJc w:val="left"/>
      <w:pPr>
        <w:tabs>
          <w:tab w:val="num" w:pos="1872"/>
        </w:tabs>
        <w:ind w:left="1872" w:hanging="360"/>
      </w:pPr>
    </w:lvl>
    <w:lvl w:ilvl="4" w:tplc="04090019" w:tentative="1">
      <w:start w:val="1"/>
      <w:numFmt w:val="lowerLetter"/>
      <w:lvlText w:val="%5."/>
      <w:lvlJc w:val="left"/>
      <w:pPr>
        <w:tabs>
          <w:tab w:val="num" w:pos="2592"/>
        </w:tabs>
        <w:ind w:left="2592" w:hanging="360"/>
      </w:pPr>
    </w:lvl>
    <w:lvl w:ilvl="5" w:tplc="0409001B" w:tentative="1">
      <w:start w:val="1"/>
      <w:numFmt w:val="lowerRoman"/>
      <w:lvlText w:val="%6."/>
      <w:lvlJc w:val="right"/>
      <w:pPr>
        <w:tabs>
          <w:tab w:val="num" w:pos="3312"/>
        </w:tabs>
        <w:ind w:left="3312" w:hanging="180"/>
      </w:pPr>
    </w:lvl>
    <w:lvl w:ilvl="6" w:tplc="0409000F" w:tentative="1">
      <w:start w:val="1"/>
      <w:numFmt w:val="decimal"/>
      <w:lvlText w:val="%7."/>
      <w:lvlJc w:val="left"/>
      <w:pPr>
        <w:tabs>
          <w:tab w:val="num" w:pos="4032"/>
        </w:tabs>
        <w:ind w:left="4032" w:hanging="360"/>
      </w:pPr>
    </w:lvl>
    <w:lvl w:ilvl="7" w:tplc="04090019" w:tentative="1">
      <w:start w:val="1"/>
      <w:numFmt w:val="lowerLetter"/>
      <w:lvlText w:val="%8."/>
      <w:lvlJc w:val="left"/>
      <w:pPr>
        <w:tabs>
          <w:tab w:val="num" w:pos="4752"/>
        </w:tabs>
        <w:ind w:left="4752" w:hanging="360"/>
      </w:pPr>
    </w:lvl>
    <w:lvl w:ilvl="8" w:tplc="0409001B" w:tentative="1">
      <w:start w:val="1"/>
      <w:numFmt w:val="lowerRoman"/>
      <w:lvlText w:val="%9."/>
      <w:lvlJc w:val="right"/>
      <w:pPr>
        <w:tabs>
          <w:tab w:val="num" w:pos="5472"/>
        </w:tabs>
        <w:ind w:left="5472" w:hanging="180"/>
      </w:pPr>
    </w:lvl>
  </w:abstractNum>
  <w:abstractNum w:abstractNumId="12">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3EA793F"/>
    <w:multiLevelType w:val="hybridMultilevel"/>
    <w:tmpl w:val="51E652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5">
    <w:nsid w:val="59B66370"/>
    <w:multiLevelType w:val="hybridMultilevel"/>
    <w:tmpl w:val="4B6620C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nsid w:val="5EFB1E02"/>
    <w:multiLevelType w:val="hybridMultilevel"/>
    <w:tmpl w:val="F1AC15AC"/>
    <w:lvl w:ilvl="0" w:tplc="71AC396E">
      <w:start w:val="1"/>
      <w:numFmt w:val="decimal"/>
      <w:lvlText w:val="%1."/>
      <w:lvlJc w:val="left"/>
      <w:pPr>
        <w:tabs>
          <w:tab w:val="num" w:pos="1296"/>
        </w:tabs>
        <w:ind w:left="1296" w:hanging="576"/>
      </w:pPr>
      <w:rPr>
        <w:rFonts w:ascii="Garamond" w:hAnsi="Garamond" w:hint="default"/>
        <w:sz w:val="24"/>
      </w:rPr>
    </w:lvl>
    <w:lvl w:ilvl="1" w:tplc="04090019" w:tentative="1">
      <w:start w:val="1"/>
      <w:numFmt w:val="lowerLetter"/>
      <w:lvlText w:val="%2."/>
      <w:lvlJc w:val="left"/>
      <w:pPr>
        <w:tabs>
          <w:tab w:val="num" w:pos="432"/>
        </w:tabs>
        <w:ind w:left="432" w:hanging="360"/>
      </w:pPr>
    </w:lvl>
    <w:lvl w:ilvl="2" w:tplc="0409001B" w:tentative="1">
      <w:start w:val="1"/>
      <w:numFmt w:val="lowerRoman"/>
      <w:lvlText w:val="%3."/>
      <w:lvlJc w:val="right"/>
      <w:pPr>
        <w:tabs>
          <w:tab w:val="num" w:pos="1152"/>
        </w:tabs>
        <w:ind w:left="1152" w:hanging="180"/>
      </w:pPr>
    </w:lvl>
    <w:lvl w:ilvl="3" w:tplc="0409000F" w:tentative="1">
      <w:start w:val="1"/>
      <w:numFmt w:val="decimal"/>
      <w:lvlText w:val="%4."/>
      <w:lvlJc w:val="left"/>
      <w:pPr>
        <w:tabs>
          <w:tab w:val="num" w:pos="1872"/>
        </w:tabs>
        <w:ind w:left="1872" w:hanging="360"/>
      </w:pPr>
    </w:lvl>
    <w:lvl w:ilvl="4" w:tplc="04090019" w:tentative="1">
      <w:start w:val="1"/>
      <w:numFmt w:val="lowerLetter"/>
      <w:lvlText w:val="%5."/>
      <w:lvlJc w:val="left"/>
      <w:pPr>
        <w:tabs>
          <w:tab w:val="num" w:pos="2592"/>
        </w:tabs>
        <w:ind w:left="2592" w:hanging="360"/>
      </w:pPr>
    </w:lvl>
    <w:lvl w:ilvl="5" w:tplc="0409001B" w:tentative="1">
      <w:start w:val="1"/>
      <w:numFmt w:val="lowerRoman"/>
      <w:lvlText w:val="%6."/>
      <w:lvlJc w:val="right"/>
      <w:pPr>
        <w:tabs>
          <w:tab w:val="num" w:pos="3312"/>
        </w:tabs>
        <w:ind w:left="3312" w:hanging="180"/>
      </w:pPr>
    </w:lvl>
    <w:lvl w:ilvl="6" w:tplc="0409000F" w:tentative="1">
      <w:start w:val="1"/>
      <w:numFmt w:val="decimal"/>
      <w:lvlText w:val="%7."/>
      <w:lvlJc w:val="left"/>
      <w:pPr>
        <w:tabs>
          <w:tab w:val="num" w:pos="4032"/>
        </w:tabs>
        <w:ind w:left="4032" w:hanging="360"/>
      </w:pPr>
    </w:lvl>
    <w:lvl w:ilvl="7" w:tplc="04090019" w:tentative="1">
      <w:start w:val="1"/>
      <w:numFmt w:val="lowerLetter"/>
      <w:lvlText w:val="%8."/>
      <w:lvlJc w:val="left"/>
      <w:pPr>
        <w:tabs>
          <w:tab w:val="num" w:pos="4752"/>
        </w:tabs>
        <w:ind w:left="4752" w:hanging="360"/>
      </w:pPr>
    </w:lvl>
    <w:lvl w:ilvl="8" w:tplc="0409001B" w:tentative="1">
      <w:start w:val="1"/>
      <w:numFmt w:val="lowerRoman"/>
      <w:lvlText w:val="%9."/>
      <w:lvlJc w:val="right"/>
      <w:pPr>
        <w:tabs>
          <w:tab w:val="num" w:pos="5472"/>
        </w:tabs>
        <w:ind w:left="5472" w:hanging="180"/>
      </w:pPr>
    </w:lvl>
  </w:abstractNum>
  <w:abstractNum w:abstractNumId="17">
    <w:nsid w:val="6A2016D4"/>
    <w:multiLevelType w:val="hybridMultilevel"/>
    <w:tmpl w:val="10781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0EF50BE"/>
    <w:multiLevelType w:val="hybridMultilevel"/>
    <w:tmpl w:val="7A2A29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B6A6B66"/>
    <w:multiLevelType w:val="hybridMultilevel"/>
    <w:tmpl w:val="33F0FE7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F2D3EEC"/>
    <w:multiLevelType w:val="hybridMultilevel"/>
    <w:tmpl w:val="D37E32FE"/>
    <w:lvl w:ilvl="0" w:tplc="51F6BF2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9"/>
  </w:num>
  <w:num w:numId="3">
    <w:abstractNumId w:val="2"/>
  </w:num>
  <w:num w:numId="4">
    <w:abstractNumId w:val="3"/>
  </w:num>
  <w:num w:numId="5">
    <w:abstractNumId w:val="20"/>
  </w:num>
  <w:num w:numId="6">
    <w:abstractNumId w:val="7"/>
  </w:num>
  <w:num w:numId="7">
    <w:abstractNumId w:val="4"/>
  </w:num>
  <w:num w:numId="8">
    <w:abstractNumId w:val="19"/>
  </w:num>
  <w:num w:numId="9">
    <w:abstractNumId w:val="17"/>
  </w:num>
  <w:num w:numId="10">
    <w:abstractNumId w:val="18"/>
  </w:num>
  <w:num w:numId="11">
    <w:abstractNumId w:val="9"/>
  </w:num>
  <w:num w:numId="12">
    <w:abstractNumId w:val="9"/>
  </w:num>
  <w:num w:numId="13">
    <w:abstractNumId w:val="9"/>
    <w:lvlOverride w:ilvl="0">
      <w:startOverride w:val="1"/>
    </w:lvlOverride>
  </w:num>
  <w:num w:numId="14">
    <w:abstractNumId w:val="9"/>
  </w:num>
  <w:num w:numId="15">
    <w:abstractNumId w:val="14"/>
  </w:num>
  <w:num w:numId="16">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17">
    <w:abstractNumId w:val="6"/>
  </w:num>
  <w:num w:numId="18">
    <w:abstractNumId w:val="5"/>
  </w:num>
  <w:num w:numId="19">
    <w:abstractNumId w:val="12"/>
  </w:num>
  <w:num w:numId="20">
    <w:abstractNumId w:val="16"/>
  </w:num>
  <w:num w:numId="21">
    <w:abstractNumId w:val="13"/>
  </w:num>
  <w:num w:numId="22">
    <w:abstractNumId w:val="15"/>
  </w:num>
  <w:num w:numId="23">
    <w:abstractNumId w:val="10"/>
  </w:num>
  <w:num w:numId="24">
    <w:abstractNumId w:val="9"/>
  </w:num>
  <w:num w:numId="2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A99"/>
    <w:rsid w:val="00051B54"/>
    <w:rsid w:val="00062799"/>
    <w:rsid w:val="0007390C"/>
    <w:rsid w:val="0008441A"/>
    <w:rsid w:val="00086799"/>
    <w:rsid w:val="000A0493"/>
    <w:rsid w:val="000A4A99"/>
    <w:rsid w:val="000B4257"/>
    <w:rsid w:val="000C024F"/>
    <w:rsid w:val="000C11F8"/>
    <w:rsid w:val="000E4771"/>
    <w:rsid w:val="000F4704"/>
    <w:rsid w:val="000F5496"/>
    <w:rsid w:val="001101D1"/>
    <w:rsid w:val="00113BD0"/>
    <w:rsid w:val="00123C40"/>
    <w:rsid w:val="00125718"/>
    <w:rsid w:val="00154211"/>
    <w:rsid w:val="00161F7A"/>
    <w:rsid w:val="00166174"/>
    <w:rsid w:val="0016763E"/>
    <w:rsid w:val="00167A39"/>
    <w:rsid w:val="00167A75"/>
    <w:rsid w:val="001752F2"/>
    <w:rsid w:val="001A1E14"/>
    <w:rsid w:val="001A637B"/>
    <w:rsid w:val="001B2686"/>
    <w:rsid w:val="001B7603"/>
    <w:rsid w:val="001C10BC"/>
    <w:rsid w:val="001D1AFE"/>
    <w:rsid w:val="001D7131"/>
    <w:rsid w:val="0020590A"/>
    <w:rsid w:val="00207A3E"/>
    <w:rsid w:val="00211BF0"/>
    <w:rsid w:val="00226AB7"/>
    <w:rsid w:val="00237313"/>
    <w:rsid w:val="0024181F"/>
    <w:rsid w:val="002435D8"/>
    <w:rsid w:val="00255301"/>
    <w:rsid w:val="00264745"/>
    <w:rsid w:val="00293F38"/>
    <w:rsid w:val="002947A8"/>
    <w:rsid w:val="002953CA"/>
    <w:rsid w:val="002A429C"/>
    <w:rsid w:val="002B5733"/>
    <w:rsid w:val="002D7580"/>
    <w:rsid w:val="002E1D76"/>
    <w:rsid w:val="002F51EC"/>
    <w:rsid w:val="00302096"/>
    <w:rsid w:val="003069D2"/>
    <w:rsid w:val="003156B7"/>
    <w:rsid w:val="00316938"/>
    <w:rsid w:val="00316A8C"/>
    <w:rsid w:val="0032011D"/>
    <w:rsid w:val="00332412"/>
    <w:rsid w:val="0034224B"/>
    <w:rsid w:val="00342C5A"/>
    <w:rsid w:val="00362D60"/>
    <w:rsid w:val="003709AE"/>
    <w:rsid w:val="003726A3"/>
    <w:rsid w:val="00397A7F"/>
    <w:rsid w:val="003A1362"/>
    <w:rsid w:val="003A2D62"/>
    <w:rsid w:val="003A5AAD"/>
    <w:rsid w:val="003A6056"/>
    <w:rsid w:val="003B2F5E"/>
    <w:rsid w:val="003C0219"/>
    <w:rsid w:val="003C38A9"/>
    <w:rsid w:val="003C6700"/>
    <w:rsid w:val="003D18AD"/>
    <w:rsid w:val="003D2FDF"/>
    <w:rsid w:val="003E44B7"/>
    <w:rsid w:val="003E5FA6"/>
    <w:rsid w:val="003F40FD"/>
    <w:rsid w:val="004001AE"/>
    <w:rsid w:val="00401113"/>
    <w:rsid w:val="00411F24"/>
    <w:rsid w:val="00413876"/>
    <w:rsid w:val="004356AE"/>
    <w:rsid w:val="0045519D"/>
    <w:rsid w:val="0046073F"/>
    <w:rsid w:val="00460842"/>
    <w:rsid w:val="00460EEC"/>
    <w:rsid w:val="00465163"/>
    <w:rsid w:val="00484B4F"/>
    <w:rsid w:val="00493DB9"/>
    <w:rsid w:val="004A55E8"/>
    <w:rsid w:val="004A6969"/>
    <w:rsid w:val="004C1D66"/>
    <w:rsid w:val="004D268F"/>
    <w:rsid w:val="004F1EFD"/>
    <w:rsid w:val="0050285C"/>
    <w:rsid w:val="00510E96"/>
    <w:rsid w:val="00513164"/>
    <w:rsid w:val="005134AF"/>
    <w:rsid w:val="005209B1"/>
    <w:rsid w:val="00547701"/>
    <w:rsid w:val="0056039C"/>
    <w:rsid w:val="00573A81"/>
    <w:rsid w:val="00576326"/>
    <w:rsid w:val="005808EE"/>
    <w:rsid w:val="00583A67"/>
    <w:rsid w:val="00586769"/>
    <w:rsid w:val="005A634B"/>
    <w:rsid w:val="005A686E"/>
    <w:rsid w:val="005B1229"/>
    <w:rsid w:val="005C335B"/>
    <w:rsid w:val="005E2E8B"/>
    <w:rsid w:val="005F146A"/>
    <w:rsid w:val="005F2658"/>
    <w:rsid w:val="005F6BD4"/>
    <w:rsid w:val="00610A37"/>
    <w:rsid w:val="00615B19"/>
    <w:rsid w:val="00620035"/>
    <w:rsid w:val="00635BFF"/>
    <w:rsid w:val="00637C23"/>
    <w:rsid w:val="006449B1"/>
    <w:rsid w:val="006453C9"/>
    <w:rsid w:val="00647AE3"/>
    <w:rsid w:val="006747BB"/>
    <w:rsid w:val="00674E6B"/>
    <w:rsid w:val="00675CEE"/>
    <w:rsid w:val="006819B3"/>
    <w:rsid w:val="00691162"/>
    <w:rsid w:val="006920C1"/>
    <w:rsid w:val="006D154E"/>
    <w:rsid w:val="006D1B16"/>
    <w:rsid w:val="006D2016"/>
    <w:rsid w:val="006D4C7A"/>
    <w:rsid w:val="006D68C4"/>
    <w:rsid w:val="0071417D"/>
    <w:rsid w:val="0072060E"/>
    <w:rsid w:val="007237A1"/>
    <w:rsid w:val="007329A3"/>
    <w:rsid w:val="00733E5C"/>
    <w:rsid w:val="00744C3F"/>
    <w:rsid w:val="00744D2D"/>
    <w:rsid w:val="00746DB4"/>
    <w:rsid w:val="007702C3"/>
    <w:rsid w:val="007902F0"/>
    <w:rsid w:val="00793E73"/>
    <w:rsid w:val="0079461A"/>
    <w:rsid w:val="007A368F"/>
    <w:rsid w:val="007B43FB"/>
    <w:rsid w:val="007E5944"/>
    <w:rsid w:val="007F4BEB"/>
    <w:rsid w:val="0080041F"/>
    <w:rsid w:val="00833012"/>
    <w:rsid w:val="00837EE7"/>
    <w:rsid w:val="0084048F"/>
    <w:rsid w:val="00844495"/>
    <w:rsid w:val="00850F4E"/>
    <w:rsid w:val="00851C26"/>
    <w:rsid w:val="00861553"/>
    <w:rsid w:val="00862207"/>
    <w:rsid w:val="00862B61"/>
    <w:rsid w:val="008664A8"/>
    <w:rsid w:val="00874B0E"/>
    <w:rsid w:val="008A1A55"/>
    <w:rsid w:val="008A312E"/>
    <w:rsid w:val="008A46F2"/>
    <w:rsid w:val="008A4AF4"/>
    <w:rsid w:val="008C2691"/>
    <w:rsid w:val="008C4DEE"/>
    <w:rsid w:val="008C61D1"/>
    <w:rsid w:val="008D5ED1"/>
    <w:rsid w:val="008D609C"/>
    <w:rsid w:val="008E41CE"/>
    <w:rsid w:val="00903303"/>
    <w:rsid w:val="00904530"/>
    <w:rsid w:val="009075C2"/>
    <w:rsid w:val="00914D99"/>
    <w:rsid w:val="00914EA2"/>
    <w:rsid w:val="00923A30"/>
    <w:rsid w:val="00923EC3"/>
    <w:rsid w:val="00932EB2"/>
    <w:rsid w:val="00933923"/>
    <w:rsid w:val="00936DEA"/>
    <w:rsid w:val="009436C5"/>
    <w:rsid w:val="0096704A"/>
    <w:rsid w:val="009914AE"/>
    <w:rsid w:val="009A234B"/>
    <w:rsid w:val="009A3531"/>
    <w:rsid w:val="009B1417"/>
    <w:rsid w:val="009B4843"/>
    <w:rsid w:val="009D3807"/>
    <w:rsid w:val="009D7A9F"/>
    <w:rsid w:val="009E694E"/>
    <w:rsid w:val="009F0D7E"/>
    <w:rsid w:val="009F132D"/>
    <w:rsid w:val="00A0598D"/>
    <w:rsid w:val="00A221DE"/>
    <w:rsid w:val="00A364A8"/>
    <w:rsid w:val="00A4290B"/>
    <w:rsid w:val="00A5169F"/>
    <w:rsid w:val="00A57115"/>
    <w:rsid w:val="00A67C24"/>
    <w:rsid w:val="00A77234"/>
    <w:rsid w:val="00A80703"/>
    <w:rsid w:val="00A81F54"/>
    <w:rsid w:val="00A964DF"/>
    <w:rsid w:val="00A96E67"/>
    <w:rsid w:val="00AA0BE3"/>
    <w:rsid w:val="00AA33B3"/>
    <w:rsid w:val="00AA36E7"/>
    <w:rsid w:val="00AC32DC"/>
    <w:rsid w:val="00AC526C"/>
    <w:rsid w:val="00AE049A"/>
    <w:rsid w:val="00B1408D"/>
    <w:rsid w:val="00B275FB"/>
    <w:rsid w:val="00B30001"/>
    <w:rsid w:val="00B33F88"/>
    <w:rsid w:val="00B37F3D"/>
    <w:rsid w:val="00B4417D"/>
    <w:rsid w:val="00B62A59"/>
    <w:rsid w:val="00BB4658"/>
    <w:rsid w:val="00BB586B"/>
    <w:rsid w:val="00BD4C1A"/>
    <w:rsid w:val="00BD6EF7"/>
    <w:rsid w:val="00BE5EFA"/>
    <w:rsid w:val="00BF6174"/>
    <w:rsid w:val="00BF7A5E"/>
    <w:rsid w:val="00C05E5D"/>
    <w:rsid w:val="00C078C7"/>
    <w:rsid w:val="00C23183"/>
    <w:rsid w:val="00C2614D"/>
    <w:rsid w:val="00C37823"/>
    <w:rsid w:val="00C41898"/>
    <w:rsid w:val="00C41D62"/>
    <w:rsid w:val="00C44DA0"/>
    <w:rsid w:val="00C46AE7"/>
    <w:rsid w:val="00C564F9"/>
    <w:rsid w:val="00C73BA7"/>
    <w:rsid w:val="00C81C41"/>
    <w:rsid w:val="00C81F72"/>
    <w:rsid w:val="00C94024"/>
    <w:rsid w:val="00CA09A8"/>
    <w:rsid w:val="00CA1EF6"/>
    <w:rsid w:val="00CC4FA8"/>
    <w:rsid w:val="00CE1A8B"/>
    <w:rsid w:val="00CE510D"/>
    <w:rsid w:val="00CF61D7"/>
    <w:rsid w:val="00D1107C"/>
    <w:rsid w:val="00D123C8"/>
    <w:rsid w:val="00D20041"/>
    <w:rsid w:val="00D43CAF"/>
    <w:rsid w:val="00D465DA"/>
    <w:rsid w:val="00D56C82"/>
    <w:rsid w:val="00D73400"/>
    <w:rsid w:val="00D739C2"/>
    <w:rsid w:val="00D84156"/>
    <w:rsid w:val="00D959A0"/>
    <w:rsid w:val="00DA306F"/>
    <w:rsid w:val="00DA6565"/>
    <w:rsid w:val="00DC0166"/>
    <w:rsid w:val="00DC1961"/>
    <w:rsid w:val="00DC3C54"/>
    <w:rsid w:val="00DC52E8"/>
    <w:rsid w:val="00DE156A"/>
    <w:rsid w:val="00DE4B2A"/>
    <w:rsid w:val="00DE6D24"/>
    <w:rsid w:val="00DE7909"/>
    <w:rsid w:val="00DE7B25"/>
    <w:rsid w:val="00DF1C5C"/>
    <w:rsid w:val="00DF6EB7"/>
    <w:rsid w:val="00E06F32"/>
    <w:rsid w:val="00E25711"/>
    <w:rsid w:val="00E55C1F"/>
    <w:rsid w:val="00E7528E"/>
    <w:rsid w:val="00E8153A"/>
    <w:rsid w:val="00E850CD"/>
    <w:rsid w:val="00E8738B"/>
    <w:rsid w:val="00EA539A"/>
    <w:rsid w:val="00EB3FBD"/>
    <w:rsid w:val="00ED3C6E"/>
    <w:rsid w:val="00ED685A"/>
    <w:rsid w:val="00EE2E93"/>
    <w:rsid w:val="00EE65B7"/>
    <w:rsid w:val="00F07869"/>
    <w:rsid w:val="00F12DFF"/>
    <w:rsid w:val="00F217FD"/>
    <w:rsid w:val="00F31F9C"/>
    <w:rsid w:val="00F52D98"/>
    <w:rsid w:val="00F66772"/>
    <w:rsid w:val="00F73FF7"/>
    <w:rsid w:val="00F939CE"/>
    <w:rsid w:val="00F95B1B"/>
    <w:rsid w:val="00FA4171"/>
    <w:rsid w:val="00FA6C88"/>
    <w:rsid w:val="00FD4AE4"/>
    <w:rsid w:val="00FE1E48"/>
    <w:rsid w:val="00FF1893"/>
    <w:rsid w:val="00FF3677"/>
    <w:rsid w:val="00FF376C"/>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76"/>
    <w:pPr>
      <w:spacing w:line="240" w:lineRule="atLeast"/>
    </w:pPr>
    <w:rPr>
      <w:rFonts w:ascii="Garamond" w:hAnsi="Garamond"/>
      <w:sz w:val="24"/>
    </w:rPr>
  </w:style>
  <w:style w:type="paragraph" w:styleId="Heading1">
    <w:name w:val="heading 1"/>
    <w:aliases w:val="H1-Sec.Head"/>
    <w:basedOn w:val="Normal"/>
    <w:next w:val="L1-FlLSp12"/>
    <w:qFormat/>
    <w:rsid w:val="002E1D7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2E1D76"/>
    <w:pPr>
      <w:outlineLvl w:val="1"/>
    </w:pPr>
    <w:rPr>
      <w:sz w:val="28"/>
    </w:rPr>
  </w:style>
  <w:style w:type="paragraph" w:styleId="Heading3">
    <w:name w:val="heading 3"/>
    <w:aliases w:val="H3-Sec. Head"/>
    <w:basedOn w:val="Heading1"/>
    <w:next w:val="L1-FlLSp12"/>
    <w:qFormat/>
    <w:rsid w:val="002E1D76"/>
    <w:pPr>
      <w:outlineLvl w:val="2"/>
    </w:pPr>
    <w:rPr>
      <w:color w:val="auto"/>
      <w:sz w:val="24"/>
    </w:rPr>
  </w:style>
  <w:style w:type="paragraph" w:styleId="Heading4">
    <w:name w:val="heading 4"/>
    <w:aliases w:val="H4 Sec.Heading"/>
    <w:basedOn w:val="Heading1"/>
    <w:next w:val="L1-FlLSp12"/>
    <w:qFormat/>
    <w:rsid w:val="002E1D76"/>
    <w:pPr>
      <w:outlineLvl w:val="3"/>
    </w:pPr>
    <w:rPr>
      <w:i/>
      <w:color w:val="auto"/>
      <w:sz w:val="24"/>
    </w:rPr>
  </w:style>
  <w:style w:type="paragraph" w:styleId="Heading5">
    <w:name w:val="heading 5"/>
    <w:basedOn w:val="Normal"/>
    <w:next w:val="Normal"/>
    <w:qFormat/>
    <w:rsid w:val="002E1D76"/>
    <w:pPr>
      <w:keepLines/>
      <w:spacing w:before="360" w:line="360" w:lineRule="atLeast"/>
      <w:jc w:val="center"/>
      <w:outlineLvl w:val="4"/>
    </w:pPr>
  </w:style>
  <w:style w:type="paragraph" w:styleId="Heading6">
    <w:name w:val="heading 6"/>
    <w:basedOn w:val="Normal"/>
    <w:next w:val="Normal"/>
    <w:qFormat/>
    <w:rsid w:val="002E1D76"/>
    <w:pPr>
      <w:keepNext/>
      <w:spacing w:before="240"/>
      <w:jc w:val="center"/>
      <w:outlineLvl w:val="5"/>
    </w:pPr>
    <w:rPr>
      <w:b/>
      <w:caps/>
    </w:rPr>
  </w:style>
  <w:style w:type="paragraph" w:styleId="Heading7">
    <w:name w:val="heading 7"/>
    <w:basedOn w:val="Normal"/>
    <w:next w:val="Normal"/>
    <w:qFormat/>
    <w:rsid w:val="002E1D7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2E1D76"/>
    <w:pPr>
      <w:spacing w:line="360" w:lineRule="atLeast"/>
      <w:ind w:firstLine="1152"/>
    </w:pPr>
  </w:style>
  <w:style w:type="paragraph" w:customStyle="1" w:styleId="C1-CtrBoldHd">
    <w:name w:val="C1-Ctr BoldHd"/>
    <w:rsid w:val="002E1D7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E1D76"/>
    <w:pPr>
      <w:keepLines/>
      <w:jc w:val="center"/>
    </w:pPr>
  </w:style>
  <w:style w:type="paragraph" w:customStyle="1" w:styleId="C3-CtrSp12">
    <w:name w:val="C3-Ctr Sp&amp;1/2"/>
    <w:basedOn w:val="Normal"/>
    <w:rsid w:val="002E1D76"/>
    <w:pPr>
      <w:keepLines/>
      <w:spacing w:line="360" w:lineRule="atLeast"/>
      <w:jc w:val="center"/>
    </w:pPr>
  </w:style>
  <w:style w:type="paragraph" w:customStyle="1" w:styleId="E1-Equation">
    <w:name w:val="E1-Equation"/>
    <w:basedOn w:val="Normal"/>
    <w:link w:val="E1-EquationChar"/>
    <w:rsid w:val="002E1D76"/>
    <w:pPr>
      <w:tabs>
        <w:tab w:val="center" w:pos="4680"/>
        <w:tab w:val="right" w:pos="9360"/>
      </w:tabs>
    </w:pPr>
  </w:style>
  <w:style w:type="paragraph" w:customStyle="1" w:styleId="E2-Equation">
    <w:name w:val="E2-Equation"/>
    <w:basedOn w:val="Normal"/>
    <w:rsid w:val="002E1D76"/>
    <w:pPr>
      <w:tabs>
        <w:tab w:val="right" w:pos="1152"/>
        <w:tab w:val="center" w:pos="1440"/>
        <w:tab w:val="left" w:pos="1728"/>
      </w:tabs>
      <w:ind w:left="1728" w:hanging="1728"/>
    </w:pPr>
  </w:style>
  <w:style w:type="paragraph" w:styleId="Footer">
    <w:name w:val="footer"/>
    <w:basedOn w:val="Normal"/>
    <w:rsid w:val="002E1D76"/>
  </w:style>
  <w:style w:type="paragraph" w:styleId="FootnoteText">
    <w:name w:val="footnote text"/>
    <w:aliases w:val="F1"/>
    <w:link w:val="FootnoteTextChar"/>
    <w:rsid w:val="002E1D76"/>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2E1D76"/>
    <w:rPr>
      <w:sz w:val="16"/>
    </w:rPr>
  </w:style>
  <w:style w:type="paragraph" w:customStyle="1" w:styleId="L1-FlLSp12">
    <w:name w:val="L1-FlL Sp&amp;1/2"/>
    <w:basedOn w:val="Normal"/>
    <w:link w:val="L1-FlLSp12Char"/>
    <w:rsid w:val="002E1D76"/>
    <w:pPr>
      <w:tabs>
        <w:tab w:val="left" w:pos="1152"/>
      </w:tabs>
      <w:spacing w:line="360" w:lineRule="atLeast"/>
    </w:pPr>
  </w:style>
  <w:style w:type="paragraph" w:customStyle="1" w:styleId="N0-FlLftBullet">
    <w:name w:val="N0-Fl Lft Bullet"/>
    <w:basedOn w:val="Normal"/>
    <w:rsid w:val="002E1D76"/>
    <w:pPr>
      <w:tabs>
        <w:tab w:val="left" w:pos="576"/>
      </w:tabs>
      <w:spacing w:after="240"/>
      <w:ind w:left="576" w:hanging="576"/>
    </w:pPr>
  </w:style>
  <w:style w:type="paragraph" w:customStyle="1" w:styleId="N1-1stBullet">
    <w:name w:val="N1-1st Bullet"/>
    <w:basedOn w:val="Normal"/>
    <w:rsid w:val="002E1D76"/>
    <w:pPr>
      <w:numPr>
        <w:numId w:val="3"/>
      </w:numPr>
      <w:spacing w:after="240"/>
    </w:pPr>
  </w:style>
  <w:style w:type="paragraph" w:customStyle="1" w:styleId="N2-2ndBullet">
    <w:name w:val="N2-2nd Bullet"/>
    <w:basedOn w:val="Normal"/>
    <w:rsid w:val="002E1D76"/>
    <w:pPr>
      <w:numPr>
        <w:numId w:val="1"/>
      </w:numPr>
      <w:tabs>
        <w:tab w:val="left" w:pos="1728"/>
      </w:tabs>
      <w:spacing w:after="240"/>
    </w:pPr>
  </w:style>
  <w:style w:type="paragraph" w:customStyle="1" w:styleId="N3-3rdBullet">
    <w:name w:val="N3-3rd Bullet"/>
    <w:basedOn w:val="Normal"/>
    <w:rsid w:val="002E1D76"/>
    <w:pPr>
      <w:numPr>
        <w:numId w:val="2"/>
      </w:numPr>
      <w:spacing w:after="240"/>
    </w:pPr>
  </w:style>
  <w:style w:type="paragraph" w:customStyle="1" w:styleId="N4-4thBullet">
    <w:name w:val="N4-4th Bullet"/>
    <w:basedOn w:val="Normal"/>
    <w:rsid w:val="002E1D76"/>
    <w:pPr>
      <w:numPr>
        <w:numId w:val="4"/>
      </w:numPr>
      <w:spacing w:after="240"/>
    </w:pPr>
  </w:style>
  <w:style w:type="paragraph" w:customStyle="1" w:styleId="N5-5thBullet">
    <w:name w:val="N5-5th Bullet"/>
    <w:basedOn w:val="Normal"/>
    <w:rsid w:val="002E1D76"/>
    <w:pPr>
      <w:tabs>
        <w:tab w:val="left" w:pos="3456"/>
      </w:tabs>
      <w:spacing w:after="240"/>
      <w:ind w:left="3456" w:hanging="576"/>
    </w:pPr>
  </w:style>
  <w:style w:type="paragraph" w:customStyle="1" w:styleId="N6-DateInd">
    <w:name w:val="N6-Date Ind."/>
    <w:basedOn w:val="Normal"/>
    <w:rsid w:val="002E1D76"/>
    <w:pPr>
      <w:tabs>
        <w:tab w:val="left" w:pos="4910"/>
      </w:tabs>
      <w:ind w:left="4910"/>
    </w:pPr>
  </w:style>
  <w:style w:type="paragraph" w:customStyle="1" w:styleId="N7-3Block">
    <w:name w:val="N7-3&quot; Block"/>
    <w:basedOn w:val="Normal"/>
    <w:rsid w:val="002E1D76"/>
    <w:pPr>
      <w:tabs>
        <w:tab w:val="left" w:pos="1152"/>
      </w:tabs>
      <w:ind w:left="1152" w:right="1152"/>
    </w:pPr>
  </w:style>
  <w:style w:type="paragraph" w:customStyle="1" w:styleId="N8-QxQBlock">
    <w:name w:val="N8-QxQ Block"/>
    <w:basedOn w:val="Normal"/>
    <w:rsid w:val="002E1D76"/>
    <w:pPr>
      <w:tabs>
        <w:tab w:val="left" w:pos="1152"/>
      </w:tabs>
      <w:spacing w:after="360" w:line="360" w:lineRule="atLeast"/>
      <w:ind w:left="1152" w:hanging="1152"/>
    </w:pPr>
  </w:style>
  <w:style w:type="paragraph" w:customStyle="1" w:styleId="Q1-BestFinQ">
    <w:name w:val="Q1-Best/Fin Q"/>
    <w:basedOn w:val="Heading1"/>
    <w:rsid w:val="002E1D76"/>
    <w:pPr>
      <w:spacing w:line="240" w:lineRule="atLeast"/>
    </w:pPr>
    <w:rPr>
      <w:rFonts w:cs="Times New Roman Bold"/>
      <w:color w:val="auto"/>
      <w:sz w:val="24"/>
    </w:rPr>
  </w:style>
  <w:style w:type="paragraph" w:customStyle="1" w:styleId="SH-SglSpHead">
    <w:name w:val="SH-Sgl Sp Head"/>
    <w:basedOn w:val="Heading1"/>
    <w:rsid w:val="002E1D7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2E1D76"/>
  </w:style>
  <w:style w:type="paragraph" w:customStyle="1" w:styleId="SP-SglSpPara">
    <w:name w:val="SP-Sgl Sp Para"/>
    <w:basedOn w:val="Normal"/>
    <w:rsid w:val="002E1D76"/>
    <w:pPr>
      <w:tabs>
        <w:tab w:val="left" w:pos="576"/>
      </w:tabs>
      <w:ind w:firstLine="576"/>
    </w:pPr>
  </w:style>
  <w:style w:type="paragraph" w:customStyle="1" w:styleId="T0-ChapPgHd">
    <w:name w:val="T0-Chap/Pg Hd"/>
    <w:basedOn w:val="Normal"/>
    <w:rsid w:val="002E1D76"/>
    <w:pPr>
      <w:tabs>
        <w:tab w:val="left" w:pos="8640"/>
      </w:tabs>
    </w:pPr>
    <w:rPr>
      <w:rFonts w:ascii="Franklin Gothic Medium" w:hAnsi="Franklin Gothic Medium"/>
      <w:szCs w:val="24"/>
      <w:u w:val="words"/>
    </w:rPr>
  </w:style>
  <w:style w:type="paragraph" w:styleId="TOC1">
    <w:name w:val="toc 1"/>
    <w:basedOn w:val="Normal"/>
    <w:uiPriority w:val="39"/>
    <w:qFormat/>
    <w:rsid w:val="002E1D76"/>
    <w:pPr>
      <w:tabs>
        <w:tab w:val="left" w:pos="1440"/>
        <w:tab w:val="right" w:leader="dot" w:pos="8208"/>
        <w:tab w:val="left" w:pos="8640"/>
      </w:tabs>
      <w:ind w:left="1440" w:right="1800" w:hanging="1152"/>
    </w:pPr>
  </w:style>
  <w:style w:type="paragraph" w:styleId="TOC2">
    <w:name w:val="toc 2"/>
    <w:basedOn w:val="Normal"/>
    <w:uiPriority w:val="39"/>
    <w:qFormat/>
    <w:rsid w:val="002E1D76"/>
    <w:pPr>
      <w:tabs>
        <w:tab w:val="left" w:pos="2160"/>
        <w:tab w:val="right" w:leader="dot" w:pos="8208"/>
        <w:tab w:val="left" w:pos="8640"/>
      </w:tabs>
      <w:ind w:left="2160" w:right="1800" w:hanging="720"/>
    </w:pPr>
    <w:rPr>
      <w:szCs w:val="22"/>
    </w:rPr>
  </w:style>
  <w:style w:type="paragraph" w:styleId="TOC3">
    <w:name w:val="toc 3"/>
    <w:basedOn w:val="Normal"/>
    <w:uiPriority w:val="39"/>
    <w:qFormat/>
    <w:rsid w:val="002E1D76"/>
    <w:pPr>
      <w:tabs>
        <w:tab w:val="left" w:pos="3024"/>
        <w:tab w:val="right" w:leader="dot" w:pos="8208"/>
        <w:tab w:val="left" w:pos="8640"/>
      </w:tabs>
      <w:ind w:left="3024" w:right="1800" w:hanging="864"/>
    </w:pPr>
  </w:style>
  <w:style w:type="paragraph" w:styleId="TOC4">
    <w:name w:val="toc 4"/>
    <w:basedOn w:val="Normal"/>
    <w:uiPriority w:val="39"/>
    <w:rsid w:val="002E1D76"/>
    <w:pPr>
      <w:tabs>
        <w:tab w:val="left" w:pos="3888"/>
        <w:tab w:val="right" w:leader="dot" w:pos="8208"/>
        <w:tab w:val="left" w:pos="8640"/>
      </w:tabs>
      <w:ind w:left="3888" w:right="1800" w:hanging="864"/>
    </w:pPr>
  </w:style>
  <w:style w:type="paragraph" w:styleId="TOC5">
    <w:name w:val="toc 5"/>
    <w:basedOn w:val="Normal"/>
    <w:uiPriority w:val="39"/>
    <w:rsid w:val="002E1D76"/>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2E1D76"/>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2E1D76"/>
    <w:pPr>
      <w:tabs>
        <w:tab w:val="left" w:pos="2232"/>
      </w:tabs>
      <w:spacing w:line="240" w:lineRule="exact"/>
    </w:pPr>
    <w:rPr>
      <w:vanish/>
    </w:rPr>
  </w:style>
  <w:style w:type="paragraph" w:customStyle="1" w:styleId="R1-ResPara">
    <w:name w:val="R1-Res. Para"/>
    <w:basedOn w:val="Normal"/>
    <w:rsid w:val="002E1D76"/>
    <w:pPr>
      <w:ind w:left="288"/>
    </w:pPr>
  </w:style>
  <w:style w:type="paragraph" w:customStyle="1" w:styleId="R2-ResBullet">
    <w:name w:val="R2-Res Bullet"/>
    <w:basedOn w:val="Normal"/>
    <w:rsid w:val="002E1D76"/>
    <w:pPr>
      <w:tabs>
        <w:tab w:val="left" w:pos="720"/>
      </w:tabs>
      <w:ind w:left="720" w:hanging="432"/>
    </w:pPr>
  </w:style>
  <w:style w:type="paragraph" w:customStyle="1" w:styleId="RF-Reference">
    <w:name w:val="RF-Reference"/>
    <w:basedOn w:val="Normal"/>
    <w:rsid w:val="002E1D76"/>
    <w:pPr>
      <w:spacing w:line="240" w:lineRule="exact"/>
      <w:ind w:left="216" w:hanging="216"/>
    </w:pPr>
  </w:style>
  <w:style w:type="paragraph" w:customStyle="1" w:styleId="RH-SglSpHead">
    <w:name w:val="RH-Sgl Sp Head"/>
    <w:basedOn w:val="Heading1"/>
    <w:next w:val="RL-FlLftSgl"/>
    <w:rsid w:val="002E1D7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2E1D76"/>
    <w:pPr>
      <w:tabs>
        <w:tab w:val="clear" w:pos="1152"/>
      </w:tabs>
      <w:spacing w:after="0" w:line="240" w:lineRule="atLeast"/>
      <w:ind w:left="0" w:firstLine="0"/>
    </w:pPr>
    <w:rPr>
      <w:sz w:val="24"/>
    </w:rPr>
  </w:style>
  <w:style w:type="paragraph" w:customStyle="1" w:styleId="SU-FlLftUndln">
    <w:name w:val="SU-Fl Lft Undln"/>
    <w:basedOn w:val="Normal"/>
    <w:rsid w:val="002E1D76"/>
    <w:pPr>
      <w:keepNext/>
      <w:spacing w:line="240" w:lineRule="exact"/>
    </w:pPr>
    <w:rPr>
      <w:u w:val="single"/>
    </w:rPr>
  </w:style>
  <w:style w:type="character" w:styleId="PageNumber">
    <w:name w:val="page number"/>
    <w:basedOn w:val="DefaultParagraphFont"/>
    <w:rsid w:val="002E1D76"/>
  </w:style>
  <w:style w:type="paragraph" w:customStyle="1" w:styleId="TH-TableHeading">
    <w:name w:val="TH-Table Heading"/>
    <w:basedOn w:val="Heading1"/>
    <w:rsid w:val="002E1D76"/>
    <w:pPr>
      <w:tabs>
        <w:tab w:val="clear" w:pos="1152"/>
      </w:tabs>
      <w:spacing w:after="0" w:line="240" w:lineRule="atLeast"/>
      <w:ind w:left="0" w:firstLine="0"/>
      <w:jc w:val="center"/>
    </w:pPr>
    <w:rPr>
      <w:color w:val="auto"/>
      <w:sz w:val="20"/>
    </w:rPr>
  </w:style>
  <w:style w:type="paragraph" w:styleId="TOC6">
    <w:name w:val="toc 6"/>
    <w:uiPriority w:val="39"/>
    <w:rsid w:val="002E1D76"/>
    <w:pPr>
      <w:tabs>
        <w:tab w:val="right" w:leader="dot" w:pos="8208"/>
        <w:tab w:val="left" w:pos="8640"/>
      </w:tabs>
      <w:ind w:left="288" w:right="1800"/>
    </w:pPr>
    <w:rPr>
      <w:rFonts w:ascii="Garamond" w:hAnsi="Garamond"/>
      <w:sz w:val="24"/>
      <w:szCs w:val="22"/>
    </w:rPr>
  </w:style>
  <w:style w:type="paragraph" w:styleId="TOC7">
    <w:name w:val="toc 7"/>
    <w:uiPriority w:val="39"/>
    <w:rsid w:val="002E1D76"/>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2E1D7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2E1D76"/>
    <w:rPr>
      <w:rFonts w:ascii="Franklin Gothic Medium" w:hAnsi="Franklin Gothic Medium"/>
      <w:sz w:val="20"/>
    </w:rPr>
  </w:style>
  <w:style w:type="paragraph" w:customStyle="1" w:styleId="Heading0">
    <w:name w:val="Heading 0"/>
    <w:aliases w:val="H0-Chap Head"/>
    <w:basedOn w:val="Heading1"/>
    <w:rsid w:val="002E1D76"/>
    <w:pPr>
      <w:tabs>
        <w:tab w:val="clear" w:pos="1152"/>
      </w:tabs>
      <w:spacing w:after="0"/>
      <w:ind w:left="0" w:firstLine="0"/>
      <w:jc w:val="right"/>
    </w:pPr>
    <w:rPr>
      <w:sz w:val="40"/>
    </w:rPr>
  </w:style>
  <w:style w:type="paragraph" w:customStyle="1" w:styleId="Header-1">
    <w:name w:val="Header-1"/>
    <w:basedOn w:val="Heading1"/>
    <w:rsid w:val="002E1D76"/>
    <w:pPr>
      <w:tabs>
        <w:tab w:val="clear" w:pos="1152"/>
      </w:tabs>
      <w:spacing w:after="0" w:line="240" w:lineRule="atLeast"/>
      <w:ind w:left="0" w:firstLine="0"/>
      <w:jc w:val="right"/>
    </w:pPr>
    <w:rPr>
      <w:sz w:val="20"/>
    </w:rPr>
  </w:style>
  <w:style w:type="paragraph" w:styleId="TOC8">
    <w:name w:val="toc 8"/>
    <w:uiPriority w:val="39"/>
    <w:rsid w:val="002E1D76"/>
    <w:pPr>
      <w:tabs>
        <w:tab w:val="right" w:leader="dot" w:pos="8208"/>
        <w:tab w:val="left" w:pos="8640"/>
      </w:tabs>
      <w:ind w:left="2160" w:right="1800"/>
    </w:pPr>
    <w:rPr>
      <w:rFonts w:ascii="Garamond" w:hAnsi="Garamond"/>
      <w:sz w:val="24"/>
      <w:szCs w:val="22"/>
    </w:rPr>
  </w:style>
  <w:style w:type="paragraph" w:styleId="TOC9">
    <w:name w:val="toc 9"/>
    <w:uiPriority w:val="39"/>
    <w:rsid w:val="002E1D76"/>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2E1D7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2E1D7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2E1D76"/>
    <w:rPr>
      <w:rFonts w:ascii="Franklin Gothic Medium" w:hAnsi="Franklin Gothic Medium"/>
    </w:rPr>
  </w:style>
  <w:style w:type="character" w:styleId="FootnoteReference">
    <w:name w:val="footnote reference"/>
    <w:uiPriority w:val="99"/>
    <w:semiHidden/>
    <w:rsid w:val="000A4A99"/>
  </w:style>
  <w:style w:type="character" w:customStyle="1" w:styleId="Hypertext">
    <w:name w:val="Hypertext"/>
    <w:rsid w:val="000A4A99"/>
    <w:rPr>
      <w:color w:val="0000FF"/>
      <w:u w:val="single"/>
    </w:rPr>
  </w:style>
  <w:style w:type="character" w:customStyle="1" w:styleId="QuickFormat4">
    <w:name w:val="QuickFormat4"/>
    <w:rsid w:val="000A4A99"/>
    <w:rPr>
      <w:rFonts w:ascii="CG Times" w:hAnsi="CG Times" w:cs="CG Times"/>
      <w:color w:val="000000"/>
      <w:sz w:val="22"/>
      <w:szCs w:val="22"/>
    </w:rPr>
  </w:style>
  <w:style w:type="character" w:customStyle="1" w:styleId="QuickFormat3">
    <w:name w:val="QuickFormat3"/>
    <w:rsid w:val="000A4A99"/>
    <w:rPr>
      <w:rFonts w:ascii="CG Times" w:hAnsi="CG Times" w:cs="CG Times"/>
      <w:color w:val="000000"/>
      <w:sz w:val="22"/>
      <w:szCs w:val="22"/>
    </w:rPr>
  </w:style>
  <w:style w:type="character" w:customStyle="1" w:styleId="QuickFormat2">
    <w:name w:val="QuickFormat2"/>
    <w:rsid w:val="000A4A99"/>
    <w:rPr>
      <w:rFonts w:ascii="CG Times" w:hAnsi="CG Times" w:cs="CG Times"/>
      <w:color w:val="0000FF"/>
      <w:sz w:val="22"/>
      <w:szCs w:val="22"/>
    </w:rPr>
  </w:style>
  <w:style w:type="character" w:customStyle="1" w:styleId="QuickFormat1">
    <w:name w:val="QuickFormat1"/>
    <w:rsid w:val="000A4A99"/>
    <w:rPr>
      <w:rFonts w:ascii="CG Times" w:hAnsi="CG Times" w:cs="CG Times"/>
      <w:color w:val="0000FF"/>
      <w:sz w:val="22"/>
      <w:szCs w:val="22"/>
    </w:rPr>
  </w:style>
  <w:style w:type="paragraph" w:customStyle="1" w:styleId="a">
    <w:name w:val="_"/>
    <w:basedOn w:val="Normal"/>
    <w:rsid w:val="000A4A99"/>
    <w:pPr>
      <w:ind w:left="2160" w:hanging="720"/>
    </w:pPr>
  </w:style>
  <w:style w:type="character" w:customStyle="1" w:styleId="QuickFormat5">
    <w:name w:val="QuickFormat5"/>
    <w:rsid w:val="000A4A99"/>
    <w:rPr>
      <w:rFonts w:ascii="Times New Roman" w:hAnsi="Times New Roman" w:cs="Times New Roman"/>
      <w:i/>
      <w:iCs/>
      <w:color w:val="0000FF"/>
      <w:sz w:val="22"/>
      <w:szCs w:val="22"/>
    </w:rPr>
  </w:style>
  <w:style w:type="paragraph" w:customStyle="1" w:styleId="Level1">
    <w:name w:val="Level 1"/>
    <w:basedOn w:val="Normal"/>
    <w:rsid w:val="000A4A99"/>
    <w:pPr>
      <w:ind w:left="720" w:hanging="720"/>
      <w:outlineLvl w:val="0"/>
    </w:pPr>
  </w:style>
  <w:style w:type="paragraph" w:styleId="BalloonText">
    <w:name w:val="Balloon Text"/>
    <w:basedOn w:val="Normal"/>
    <w:link w:val="BalloonTextChar"/>
    <w:semiHidden/>
    <w:rsid w:val="000A4A99"/>
    <w:rPr>
      <w:rFonts w:ascii="Tahoma" w:hAnsi="Tahoma" w:cs="Tahoma"/>
      <w:sz w:val="16"/>
      <w:szCs w:val="16"/>
    </w:rPr>
  </w:style>
  <w:style w:type="character" w:customStyle="1" w:styleId="BalloonTextChar">
    <w:name w:val="Balloon Text Char"/>
    <w:basedOn w:val="DefaultParagraphFont"/>
    <w:link w:val="BalloonText"/>
    <w:semiHidden/>
    <w:rsid w:val="000A4A99"/>
    <w:rPr>
      <w:rFonts w:ascii="Tahoma" w:hAnsi="Tahoma" w:cs="Tahoma"/>
      <w:sz w:val="16"/>
      <w:szCs w:val="16"/>
    </w:rPr>
  </w:style>
  <w:style w:type="character" w:customStyle="1" w:styleId="SYSHYPERTEXT">
    <w:name w:val="SYS_HYPERTEXT"/>
    <w:rsid w:val="000A4A99"/>
    <w:rPr>
      <w:color w:val="0000FF"/>
      <w:u w:val="single"/>
    </w:rPr>
  </w:style>
  <w:style w:type="character" w:styleId="CommentReference">
    <w:name w:val="annotation reference"/>
    <w:uiPriority w:val="99"/>
    <w:semiHidden/>
    <w:rsid w:val="000A4A99"/>
    <w:rPr>
      <w:sz w:val="16"/>
      <w:szCs w:val="16"/>
    </w:rPr>
  </w:style>
  <w:style w:type="paragraph" w:styleId="CommentText">
    <w:name w:val="annotation text"/>
    <w:basedOn w:val="Normal"/>
    <w:link w:val="CommentTextChar"/>
    <w:uiPriority w:val="99"/>
    <w:semiHidden/>
    <w:rsid w:val="000A4A99"/>
    <w:rPr>
      <w:sz w:val="20"/>
    </w:rPr>
  </w:style>
  <w:style w:type="character" w:customStyle="1" w:styleId="CommentTextChar">
    <w:name w:val="Comment Text Char"/>
    <w:basedOn w:val="DefaultParagraphFont"/>
    <w:link w:val="CommentText"/>
    <w:uiPriority w:val="99"/>
    <w:semiHidden/>
    <w:rsid w:val="000A4A99"/>
    <w:rPr>
      <w:rFonts w:ascii="CG Times" w:hAnsi="CG Times"/>
    </w:rPr>
  </w:style>
  <w:style w:type="paragraph" w:styleId="CommentSubject">
    <w:name w:val="annotation subject"/>
    <w:basedOn w:val="CommentText"/>
    <w:next w:val="CommentText"/>
    <w:link w:val="CommentSubjectChar"/>
    <w:semiHidden/>
    <w:rsid w:val="000A4A99"/>
    <w:rPr>
      <w:b/>
      <w:bCs/>
    </w:rPr>
  </w:style>
  <w:style w:type="character" w:customStyle="1" w:styleId="CommentSubjectChar">
    <w:name w:val="Comment Subject Char"/>
    <w:basedOn w:val="CommentTextChar"/>
    <w:link w:val="CommentSubject"/>
    <w:semiHidden/>
    <w:rsid w:val="000A4A99"/>
    <w:rPr>
      <w:rFonts w:ascii="CG Times" w:hAnsi="CG Times"/>
      <w:b/>
      <w:bCs/>
    </w:rPr>
  </w:style>
  <w:style w:type="table" w:styleId="TableGrid">
    <w:name w:val="Table Grid"/>
    <w:basedOn w:val="TableNormal"/>
    <w:uiPriority w:val="59"/>
    <w:rsid w:val="000A4A99"/>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0A4A99"/>
    <w:pPr>
      <w:ind w:left="720" w:hanging="360"/>
    </w:pPr>
  </w:style>
  <w:style w:type="paragraph" w:styleId="ListContinue2">
    <w:name w:val="List Continue 2"/>
    <w:basedOn w:val="Normal"/>
    <w:rsid w:val="000A4A99"/>
    <w:pPr>
      <w:spacing w:after="120"/>
      <w:ind w:left="720"/>
    </w:pPr>
  </w:style>
  <w:style w:type="paragraph" w:customStyle="1" w:styleId="InsideAddress">
    <w:name w:val="Inside Address"/>
    <w:basedOn w:val="Normal"/>
    <w:rsid w:val="000A4A99"/>
  </w:style>
  <w:style w:type="paragraph" w:styleId="Title">
    <w:name w:val="Title"/>
    <w:basedOn w:val="Normal"/>
    <w:link w:val="TitleChar"/>
    <w:qFormat/>
    <w:rsid w:val="000A4A9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A4A99"/>
    <w:rPr>
      <w:rFonts w:ascii="Arial" w:hAnsi="Arial" w:cs="Arial"/>
      <w:b/>
      <w:bCs/>
      <w:kern w:val="28"/>
      <w:sz w:val="32"/>
      <w:szCs w:val="32"/>
    </w:rPr>
  </w:style>
  <w:style w:type="paragraph" w:styleId="BodyText">
    <w:name w:val="Body Text"/>
    <w:basedOn w:val="Normal"/>
    <w:link w:val="BodyTextChar"/>
    <w:rsid w:val="000A4A99"/>
    <w:pPr>
      <w:spacing w:after="120"/>
    </w:pPr>
  </w:style>
  <w:style w:type="character" w:customStyle="1" w:styleId="BodyTextChar">
    <w:name w:val="Body Text Char"/>
    <w:basedOn w:val="DefaultParagraphFont"/>
    <w:link w:val="BodyText"/>
    <w:rsid w:val="000A4A99"/>
    <w:rPr>
      <w:rFonts w:ascii="CG Times" w:hAnsi="CG Times"/>
      <w:sz w:val="24"/>
      <w:szCs w:val="24"/>
    </w:rPr>
  </w:style>
  <w:style w:type="paragraph" w:styleId="BodyTextIndent">
    <w:name w:val="Body Text Indent"/>
    <w:basedOn w:val="Normal"/>
    <w:link w:val="BodyTextIndentChar"/>
    <w:rsid w:val="000A4A99"/>
    <w:pPr>
      <w:spacing w:after="120"/>
      <w:ind w:left="360"/>
    </w:pPr>
  </w:style>
  <w:style w:type="character" w:customStyle="1" w:styleId="BodyTextIndentChar">
    <w:name w:val="Body Text Indent Char"/>
    <w:basedOn w:val="DefaultParagraphFont"/>
    <w:link w:val="BodyTextIndent"/>
    <w:rsid w:val="000A4A99"/>
    <w:rPr>
      <w:rFonts w:ascii="CG Times" w:hAnsi="CG Times"/>
      <w:sz w:val="24"/>
      <w:szCs w:val="24"/>
    </w:rPr>
  </w:style>
  <w:style w:type="paragraph" w:customStyle="1" w:styleId="ReturnAddress">
    <w:name w:val="Return Address"/>
    <w:basedOn w:val="Normal"/>
    <w:rsid w:val="000A4A99"/>
  </w:style>
  <w:style w:type="paragraph" w:customStyle="1" w:styleId="ReferenceLine">
    <w:name w:val="Reference Line"/>
    <w:basedOn w:val="BodyText"/>
    <w:rsid w:val="000A4A99"/>
  </w:style>
  <w:style w:type="character" w:styleId="Hyperlink">
    <w:name w:val="Hyperlink"/>
    <w:uiPriority w:val="99"/>
    <w:rsid w:val="000A4A99"/>
    <w:rPr>
      <w:color w:val="0000FF"/>
      <w:u w:val="single"/>
    </w:rPr>
  </w:style>
  <w:style w:type="character" w:styleId="Strong">
    <w:name w:val="Strong"/>
    <w:qFormat/>
    <w:rsid w:val="000A4A99"/>
    <w:rPr>
      <w:b/>
      <w:bCs/>
    </w:rPr>
  </w:style>
  <w:style w:type="paragraph" w:styleId="NormalWeb">
    <w:name w:val="Normal (Web)"/>
    <w:basedOn w:val="Normal"/>
    <w:uiPriority w:val="99"/>
    <w:rsid w:val="000A4A99"/>
    <w:pPr>
      <w:spacing w:before="100" w:beforeAutospacing="1" w:after="100" w:afterAutospacing="1"/>
    </w:pPr>
    <w:rPr>
      <w:rFonts w:ascii="Times New Roman" w:hAnsi="Times New Roman"/>
    </w:rPr>
  </w:style>
  <w:style w:type="paragraph" w:styleId="Revision">
    <w:name w:val="Revision"/>
    <w:hidden/>
    <w:uiPriority w:val="99"/>
    <w:semiHidden/>
    <w:rsid w:val="000A4A99"/>
    <w:rPr>
      <w:rFonts w:ascii="CG Times" w:hAnsi="CG Times"/>
      <w:sz w:val="24"/>
      <w:szCs w:val="24"/>
    </w:rPr>
  </w:style>
  <w:style w:type="paragraph" w:styleId="ListParagraph">
    <w:name w:val="List Paragraph"/>
    <w:basedOn w:val="Normal"/>
    <w:uiPriority w:val="34"/>
    <w:qFormat/>
    <w:rsid w:val="000A4A99"/>
    <w:pPr>
      <w:ind w:left="720"/>
      <w:contextualSpacing/>
    </w:pPr>
    <w:rPr>
      <w:rFonts w:eastAsia="Calibri"/>
    </w:rPr>
  </w:style>
  <w:style w:type="character" w:customStyle="1" w:styleId="L1-FlLSp12Char">
    <w:name w:val="L1-FlL Sp&amp;1/2 Char"/>
    <w:link w:val="L1-FlLSp12"/>
    <w:rsid w:val="000A4A99"/>
    <w:rPr>
      <w:rFonts w:ascii="Garamond" w:hAnsi="Garamond"/>
      <w:sz w:val="24"/>
    </w:rPr>
  </w:style>
  <w:style w:type="paragraph" w:customStyle="1" w:styleId="Default">
    <w:name w:val="Default"/>
    <w:rsid w:val="000A4A99"/>
    <w:pPr>
      <w:autoSpaceDE w:val="0"/>
      <w:autoSpaceDN w:val="0"/>
      <w:adjustRightInd w:val="0"/>
    </w:pPr>
    <w:rPr>
      <w:rFonts w:ascii="Garamond" w:eastAsia="Calibri" w:hAnsi="Garamond" w:cs="Garamond"/>
      <w:color w:val="000000"/>
      <w:sz w:val="24"/>
      <w:szCs w:val="24"/>
    </w:rPr>
  </w:style>
  <w:style w:type="paragraph" w:styleId="PlainText">
    <w:name w:val="Plain Text"/>
    <w:basedOn w:val="Normal"/>
    <w:link w:val="PlainTextChar"/>
    <w:rsid w:val="000A4A99"/>
    <w:rPr>
      <w:rFonts w:ascii="Courier New" w:hAnsi="Courier New" w:cs="Courier New"/>
      <w:sz w:val="20"/>
    </w:rPr>
  </w:style>
  <w:style w:type="character" w:customStyle="1" w:styleId="PlainTextChar">
    <w:name w:val="Plain Text Char"/>
    <w:basedOn w:val="DefaultParagraphFont"/>
    <w:link w:val="PlainText"/>
    <w:rsid w:val="000A4A99"/>
    <w:rPr>
      <w:rFonts w:ascii="Courier New" w:hAnsi="Courier New" w:cs="Courier New"/>
    </w:rPr>
  </w:style>
  <w:style w:type="character" w:styleId="Emphasis">
    <w:name w:val="Emphasis"/>
    <w:uiPriority w:val="20"/>
    <w:qFormat/>
    <w:rsid w:val="000A4A99"/>
    <w:rPr>
      <w:i/>
      <w:iCs/>
    </w:rPr>
  </w:style>
  <w:style w:type="character" w:customStyle="1" w:styleId="P1-StandParaChar">
    <w:name w:val="P1-Stand Para Char"/>
    <w:link w:val="P1-StandPara"/>
    <w:rsid w:val="000A4A99"/>
    <w:rPr>
      <w:rFonts w:ascii="Garamond" w:hAnsi="Garamond"/>
      <w:sz w:val="24"/>
    </w:rPr>
  </w:style>
  <w:style w:type="character" w:customStyle="1" w:styleId="TT-TableTitleChar">
    <w:name w:val="TT-Table Title Char"/>
    <w:link w:val="TT-TableTitle"/>
    <w:rsid w:val="000A4A99"/>
    <w:rPr>
      <w:rFonts w:ascii="Franklin Gothic Medium" w:hAnsi="Franklin Gothic Medium"/>
      <w:sz w:val="22"/>
    </w:rPr>
  </w:style>
  <w:style w:type="character" w:customStyle="1" w:styleId="E1-EquationChar">
    <w:name w:val="E1-Equation Char"/>
    <w:link w:val="E1-Equation"/>
    <w:rsid w:val="000A4A99"/>
    <w:rPr>
      <w:rFonts w:ascii="Garamond" w:hAnsi="Garamond"/>
      <w:sz w:val="24"/>
    </w:rPr>
  </w:style>
  <w:style w:type="paragraph" w:styleId="NoSpacing">
    <w:name w:val="No Spacing"/>
    <w:uiPriority w:val="99"/>
    <w:qFormat/>
    <w:rsid w:val="000A4A99"/>
    <w:pPr>
      <w:jc w:val="both"/>
    </w:pPr>
    <w:rPr>
      <w:sz w:val="22"/>
    </w:rPr>
  </w:style>
  <w:style w:type="character" w:customStyle="1" w:styleId="FootnoteTextChar">
    <w:name w:val="Footnote Text Char"/>
    <w:aliases w:val="F1 Char"/>
    <w:link w:val="FootnoteText"/>
    <w:rsid w:val="000A4A99"/>
    <w:rPr>
      <w:rFonts w:ascii="Garamond" w:hAnsi="Garamond"/>
      <w:sz w:val="16"/>
    </w:rPr>
  </w:style>
  <w:style w:type="paragraph" w:customStyle="1" w:styleId="L1-FlLfSp12">
    <w:name w:val="L1-FlLfSp&amp;1/2"/>
    <w:rsid w:val="000A4A99"/>
    <w:pPr>
      <w:tabs>
        <w:tab w:val="left" w:pos="1152"/>
      </w:tabs>
      <w:spacing w:line="240" w:lineRule="atLeast"/>
      <w:jc w:val="both"/>
    </w:pPr>
    <w:rPr>
      <w:rFonts w:eastAsia="Calibri"/>
      <w:sz w:val="24"/>
    </w:rPr>
  </w:style>
  <w:style w:type="character" w:customStyle="1" w:styleId="text1">
    <w:name w:val="text1"/>
    <w:rsid w:val="000A4A99"/>
    <w:rPr>
      <w:rFonts w:ascii="Arial" w:hAnsi="Arial" w:cs="Arial" w:hint="default"/>
      <w:b w:val="0"/>
      <w:bCs w:val="0"/>
      <w:color w:val="000000"/>
      <w:sz w:val="18"/>
      <w:szCs w:val="18"/>
    </w:rPr>
  </w:style>
  <w:style w:type="paragraph" w:customStyle="1" w:styleId="Pa13">
    <w:name w:val="Pa13"/>
    <w:basedOn w:val="Default"/>
    <w:next w:val="Default"/>
    <w:uiPriority w:val="99"/>
    <w:rsid w:val="000A4A99"/>
    <w:pPr>
      <w:spacing w:line="211" w:lineRule="atLeast"/>
    </w:pPr>
    <w:rPr>
      <w:rFonts w:ascii="GillSans" w:eastAsia="Times New Roman" w:hAnsi="GillSans" w:cs="Times New Roman"/>
      <w:color w:val="auto"/>
    </w:rPr>
  </w:style>
  <w:style w:type="paragraph" w:styleId="TOCHeading">
    <w:name w:val="TOC Heading"/>
    <w:basedOn w:val="Heading1"/>
    <w:next w:val="Normal"/>
    <w:uiPriority w:val="39"/>
    <w:semiHidden/>
    <w:unhideWhenUsed/>
    <w:qFormat/>
    <w:rsid w:val="00C73BA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baec5a81-e4d6-4674-97f3-e9220f0136c1">
    <w:name w:val="baec5a81-e4d6-4674-97f3-e9220f0136c1"/>
    <w:basedOn w:val="DefaultParagraphFont"/>
    <w:rsid w:val="00113BD0"/>
  </w:style>
  <w:style w:type="character" w:customStyle="1" w:styleId="HeaderChar">
    <w:name w:val="Header Char"/>
    <w:basedOn w:val="DefaultParagraphFont"/>
    <w:link w:val="Header"/>
    <w:uiPriority w:val="99"/>
    <w:rsid w:val="00293F38"/>
    <w:rPr>
      <w:rFonts w:ascii="Garamond" w:hAnsi="Garamond"/>
      <w:sz w:val="16"/>
    </w:rPr>
  </w:style>
  <w:style w:type="paragraph" w:styleId="TableofFigures">
    <w:name w:val="table of figures"/>
    <w:basedOn w:val="Normal"/>
    <w:next w:val="Normal"/>
    <w:uiPriority w:val="99"/>
    <w:unhideWhenUsed/>
    <w:rsid w:val="000B4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76"/>
    <w:pPr>
      <w:spacing w:line="240" w:lineRule="atLeast"/>
    </w:pPr>
    <w:rPr>
      <w:rFonts w:ascii="Garamond" w:hAnsi="Garamond"/>
      <w:sz w:val="24"/>
    </w:rPr>
  </w:style>
  <w:style w:type="paragraph" w:styleId="Heading1">
    <w:name w:val="heading 1"/>
    <w:aliases w:val="H1-Sec.Head"/>
    <w:basedOn w:val="Normal"/>
    <w:next w:val="L1-FlLSp12"/>
    <w:qFormat/>
    <w:rsid w:val="002E1D7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2E1D76"/>
    <w:pPr>
      <w:outlineLvl w:val="1"/>
    </w:pPr>
    <w:rPr>
      <w:sz w:val="28"/>
    </w:rPr>
  </w:style>
  <w:style w:type="paragraph" w:styleId="Heading3">
    <w:name w:val="heading 3"/>
    <w:aliases w:val="H3-Sec. Head"/>
    <w:basedOn w:val="Heading1"/>
    <w:next w:val="L1-FlLSp12"/>
    <w:qFormat/>
    <w:rsid w:val="002E1D76"/>
    <w:pPr>
      <w:outlineLvl w:val="2"/>
    </w:pPr>
    <w:rPr>
      <w:color w:val="auto"/>
      <w:sz w:val="24"/>
    </w:rPr>
  </w:style>
  <w:style w:type="paragraph" w:styleId="Heading4">
    <w:name w:val="heading 4"/>
    <w:aliases w:val="H4 Sec.Heading"/>
    <w:basedOn w:val="Heading1"/>
    <w:next w:val="L1-FlLSp12"/>
    <w:qFormat/>
    <w:rsid w:val="002E1D76"/>
    <w:pPr>
      <w:outlineLvl w:val="3"/>
    </w:pPr>
    <w:rPr>
      <w:i/>
      <w:color w:val="auto"/>
      <w:sz w:val="24"/>
    </w:rPr>
  </w:style>
  <w:style w:type="paragraph" w:styleId="Heading5">
    <w:name w:val="heading 5"/>
    <w:basedOn w:val="Normal"/>
    <w:next w:val="Normal"/>
    <w:qFormat/>
    <w:rsid w:val="002E1D76"/>
    <w:pPr>
      <w:keepLines/>
      <w:spacing w:before="360" w:line="360" w:lineRule="atLeast"/>
      <w:jc w:val="center"/>
      <w:outlineLvl w:val="4"/>
    </w:pPr>
  </w:style>
  <w:style w:type="paragraph" w:styleId="Heading6">
    <w:name w:val="heading 6"/>
    <w:basedOn w:val="Normal"/>
    <w:next w:val="Normal"/>
    <w:qFormat/>
    <w:rsid w:val="002E1D76"/>
    <w:pPr>
      <w:keepNext/>
      <w:spacing w:before="240"/>
      <w:jc w:val="center"/>
      <w:outlineLvl w:val="5"/>
    </w:pPr>
    <w:rPr>
      <w:b/>
      <w:caps/>
    </w:rPr>
  </w:style>
  <w:style w:type="paragraph" w:styleId="Heading7">
    <w:name w:val="heading 7"/>
    <w:basedOn w:val="Normal"/>
    <w:next w:val="Normal"/>
    <w:qFormat/>
    <w:rsid w:val="002E1D7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rsid w:val="002E1D76"/>
    <w:pPr>
      <w:spacing w:line="360" w:lineRule="atLeast"/>
      <w:ind w:firstLine="1152"/>
    </w:pPr>
  </w:style>
  <w:style w:type="paragraph" w:customStyle="1" w:styleId="C1-CtrBoldHd">
    <w:name w:val="C1-Ctr BoldHd"/>
    <w:rsid w:val="002E1D7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2E1D76"/>
    <w:pPr>
      <w:keepLines/>
      <w:jc w:val="center"/>
    </w:pPr>
  </w:style>
  <w:style w:type="paragraph" w:customStyle="1" w:styleId="C3-CtrSp12">
    <w:name w:val="C3-Ctr Sp&amp;1/2"/>
    <w:basedOn w:val="Normal"/>
    <w:rsid w:val="002E1D76"/>
    <w:pPr>
      <w:keepLines/>
      <w:spacing w:line="360" w:lineRule="atLeast"/>
      <w:jc w:val="center"/>
    </w:pPr>
  </w:style>
  <w:style w:type="paragraph" w:customStyle="1" w:styleId="E1-Equation">
    <w:name w:val="E1-Equation"/>
    <w:basedOn w:val="Normal"/>
    <w:link w:val="E1-EquationChar"/>
    <w:rsid w:val="002E1D76"/>
    <w:pPr>
      <w:tabs>
        <w:tab w:val="center" w:pos="4680"/>
        <w:tab w:val="right" w:pos="9360"/>
      </w:tabs>
    </w:pPr>
  </w:style>
  <w:style w:type="paragraph" w:customStyle="1" w:styleId="E2-Equation">
    <w:name w:val="E2-Equation"/>
    <w:basedOn w:val="Normal"/>
    <w:rsid w:val="002E1D76"/>
    <w:pPr>
      <w:tabs>
        <w:tab w:val="right" w:pos="1152"/>
        <w:tab w:val="center" w:pos="1440"/>
        <w:tab w:val="left" w:pos="1728"/>
      </w:tabs>
      <w:ind w:left="1728" w:hanging="1728"/>
    </w:pPr>
  </w:style>
  <w:style w:type="paragraph" w:styleId="Footer">
    <w:name w:val="footer"/>
    <w:basedOn w:val="Normal"/>
    <w:rsid w:val="002E1D76"/>
  </w:style>
  <w:style w:type="paragraph" w:styleId="FootnoteText">
    <w:name w:val="footnote text"/>
    <w:aliases w:val="F1"/>
    <w:link w:val="FootnoteTextChar"/>
    <w:rsid w:val="002E1D76"/>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2E1D76"/>
    <w:rPr>
      <w:sz w:val="16"/>
    </w:rPr>
  </w:style>
  <w:style w:type="paragraph" w:customStyle="1" w:styleId="L1-FlLSp12">
    <w:name w:val="L1-FlL Sp&amp;1/2"/>
    <w:basedOn w:val="Normal"/>
    <w:link w:val="L1-FlLSp12Char"/>
    <w:rsid w:val="002E1D76"/>
    <w:pPr>
      <w:tabs>
        <w:tab w:val="left" w:pos="1152"/>
      </w:tabs>
      <w:spacing w:line="360" w:lineRule="atLeast"/>
    </w:pPr>
  </w:style>
  <w:style w:type="paragraph" w:customStyle="1" w:styleId="N0-FlLftBullet">
    <w:name w:val="N0-Fl Lft Bullet"/>
    <w:basedOn w:val="Normal"/>
    <w:rsid w:val="002E1D76"/>
    <w:pPr>
      <w:tabs>
        <w:tab w:val="left" w:pos="576"/>
      </w:tabs>
      <w:spacing w:after="240"/>
      <w:ind w:left="576" w:hanging="576"/>
    </w:pPr>
  </w:style>
  <w:style w:type="paragraph" w:customStyle="1" w:styleId="N1-1stBullet">
    <w:name w:val="N1-1st Bullet"/>
    <w:basedOn w:val="Normal"/>
    <w:rsid w:val="002E1D76"/>
    <w:pPr>
      <w:numPr>
        <w:numId w:val="3"/>
      </w:numPr>
      <w:spacing w:after="240"/>
    </w:pPr>
  </w:style>
  <w:style w:type="paragraph" w:customStyle="1" w:styleId="N2-2ndBullet">
    <w:name w:val="N2-2nd Bullet"/>
    <w:basedOn w:val="Normal"/>
    <w:rsid w:val="002E1D76"/>
    <w:pPr>
      <w:numPr>
        <w:numId w:val="1"/>
      </w:numPr>
      <w:tabs>
        <w:tab w:val="left" w:pos="1728"/>
      </w:tabs>
      <w:spacing w:after="240"/>
    </w:pPr>
  </w:style>
  <w:style w:type="paragraph" w:customStyle="1" w:styleId="N3-3rdBullet">
    <w:name w:val="N3-3rd Bullet"/>
    <w:basedOn w:val="Normal"/>
    <w:rsid w:val="002E1D76"/>
    <w:pPr>
      <w:numPr>
        <w:numId w:val="2"/>
      </w:numPr>
      <w:spacing w:after="240"/>
    </w:pPr>
  </w:style>
  <w:style w:type="paragraph" w:customStyle="1" w:styleId="N4-4thBullet">
    <w:name w:val="N4-4th Bullet"/>
    <w:basedOn w:val="Normal"/>
    <w:rsid w:val="002E1D76"/>
    <w:pPr>
      <w:numPr>
        <w:numId w:val="4"/>
      </w:numPr>
      <w:spacing w:after="240"/>
    </w:pPr>
  </w:style>
  <w:style w:type="paragraph" w:customStyle="1" w:styleId="N5-5thBullet">
    <w:name w:val="N5-5th Bullet"/>
    <w:basedOn w:val="Normal"/>
    <w:rsid w:val="002E1D76"/>
    <w:pPr>
      <w:tabs>
        <w:tab w:val="left" w:pos="3456"/>
      </w:tabs>
      <w:spacing w:after="240"/>
      <w:ind w:left="3456" w:hanging="576"/>
    </w:pPr>
  </w:style>
  <w:style w:type="paragraph" w:customStyle="1" w:styleId="N6-DateInd">
    <w:name w:val="N6-Date Ind."/>
    <w:basedOn w:val="Normal"/>
    <w:rsid w:val="002E1D76"/>
    <w:pPr>
      <w:tabs>
        <w:tab w:val="left" w:pos="4910"/>
      </w:tabs>
      <w:ind w:left="4910"/>
    </w:pPr>
  </w:style>
  <w:style w:type="paragraph" w:customStyle="1" w:styleId="N7-3Block">
    <w:name w:val="N7-3&quot; Block"/>
    <w:basedOn w:val="Normal"/>
    <w:rsid w:val="002E1D76"/>
    <w:pPr>
      <w:tabs>
        <w:tab w:val="left" w:pos="1152"/>
      </w:tabs>
      <w:ind w:left="1152" w:right="1152"/>
    </w:pPr>
  </w:style>
  <w:style w:type="paragraph" w:customStyle="1" w:styleId="N8-QxQBlock">
    <w:name w:val="N8-QxQ Block"/>
    <w:basedOn w:val="Normal"/>
    <w:rsid w:val="002E1D76"/>
    <w:pPr>
      <w:tabs>
        <w:tab w:val="left" w:pos="1152"/>
      </w:tabs>
      <w:spacing w:after="360" w:line="360" w:lineRule="atLeast"/>
      <w:ind w:left="1152" w:hanging="1152"/>
    </w:pPr>
  </w:style>
  <w:style w:type="paragraph" w:customStyle="1" w:styleId="Q1-BestFinQ">
    <w:name w:val="Q1-Best/Fin Q"/>
    <w:basedOn w:val="Heading1"/>
    <w:rsid w:val="002E1D76"/>
    <w:pPr>
      <w:spacing w:line="240" w:lineRule="atLeast"/>
    </w:pPr>
    <w:rPr>
      <w:rFonts w:cs="Times New Roman Bold"/>
      <w:color w:val="auto"/>
      <w:sz w:val="24"/>
    </w:rPr>
  </w:style>
  <w:style w:type="paragraph" w:customStyle="1" w:styleId="SH-SglSpHead">
    <w:name w:val="SH-Sgl Sp Head"/>
    <w:basedOn w:val="Heading1"/>
    <w:rsid w:val="002E1D7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2E1D76"/>
  </w:style>
  <w:style w:type="paragraph" w:customStyle="1" w:styleId="SP-SglSpPara">
    <w:name w:val="SP-Sgl Sp Para"/>
    <w:basedOn w:val="Normal"/>
    <w:rsid w:val="002E1D76"/>
    <w:pPr>
      <w:tabs>
        <w:tab w:val="left" w:pos="576"/>
      </w:tabs>
      <w:ind w:firstLine="576"/>
    </w:pPr>
  </w:style>
  <w:style w:type="paragraph" w:customStyle="1" w:styleId="T0-ChapPgHd">
    <w:name w:val="T0-Chap/Pg Hd"/>
    <w:basedOn w:val="Normal"/>
    <w:rsid w:val="002E1D76"/>
    <w:pPr>
      <w:tabs>
        <w:tab w:val="left" w:pos="8640"/>
      </w:tabs>
    </w:pPr>
    <w:rPr>
      <w:rFonts w:ascii="Franklin Gothic Medium" w:hAnsi="Franklin Gothic Medium"/>
      <w:szCs w:val="24"/>
      <w:u w:val="words"/>
    </w:rPr>
  </w:style>
  <w:style w:type="paragraph" w:styleId="TOC1">
    <w:name w:val="toc 1"/>
    <w:basedOn w:val="Normal"/>
    <w:uiPriority w:val="39"/>
    <w:qFormat/>
    <w:rsid w:val="002E1D76"/>
    <w:pPr>
      <w:tabs>
        <w:tab w:val="left" w:pos="1440"/>
        <w:tab w:val="right" w:leader="dot" w:pos="8208"/>
        <w:tab w:val="left" w:pos="8640"/>
      </w:tabs>
      <w:ind w:left="1440" w:right="1800" w:hanging="1152"/>
    </w:pPr>
  </w:style>
  <w:style w:type="paragraph" w:styleId="TOC2">
    <w:name w:val="toc 2"/>
    <w:basedOn w:val="Normal"/>
    <w:uiPriority w:val="39"/>
    <w:qFormat/>
    <w:rsid w:val="002E1D76"/>
    <w:pPr>
      <w:tabs>
        <w:tab w:val="left" w:pos="2160"/>
        <w:tab w:val="right" w:leader="dot" w:pos="8208"/>
        <w:tab w:val="left" w:pos="8640"/>
      </w:tabs>
      <w:ind w:left="2160" w:right="1800" w:hanging="720"/>
    </w:pPr>
    <w:rPr>
      <w:szCs w:val="22"/>
    </w:rPr>
  </w:style>
  <w:style w:type="paragraph" w:styleId="TOC3">
    <w:name w:val="toc 3"/>
    <w:basedOn w:val="Normal"/>
    <w:uiPriority w:val="39"/>
    <w:qFormat/>
    <w:rsid w:val="002E1D76"/>
    <w:pPr>
      <w:tabs>
        <w:tab w:val="left" w:pos="3024"/>
        <w:tab w:val="right" w:leader="dot" w:pos="8208"/>
        <w:tab w:val="left" w:pos="8640"/>
      </w:tabs>
      <w:ind w:left="3024" w:right="1800" w:hanging="864"/>
    </w:pPr>
  </w:style>
  <w:style w:type="paragraph" w:styleId="TOC4">
    <w:name w:val="toc 4"/>
    <w:basedOn w:val="Normal"/>
    <w:uiPriority w:val="39"/>
    <w:rsid w:val="002E1D76"/>
    <w:pPr>
      <w:tabs>
        <w:tab w:val="left" w:pos="3888"/>
        <w:tab w:val="right" w:leader="dot" w:pos="8208"/>
        <w:tab w:val="left" w:pos="8640"/>
      </w:tabs>
      <w:ind w:left="3888" w:right="1800" w:hanging="864"/>
    </w:pPr>
  </w:style>
  <w:style w:type="paragraph" w:styleId="TOC5">
    <w:name w:val="toc 5"/>
    <w:basedOn w:val="Normal"/>
    <w:uiPriority w:val="39"/>
    <w:rsid w:val="002E1D76"/>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rsid w:val="002E1D76"/>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2E1D76"/>
    <w:pPr>
      <w:tabs>
        <w:tab w:val="left" w:pos="2232"/>
      </w:tabs>
      <w:spacing w:line="240" w:lineRule="exact"/>
    </w:pPr>
    <w:rPr>
      <w:vanish/>
    </w:rPr>
  </w:style>
  <w:style w:type="paragraph" w:customStyle="1" w:styleId="R1-ResPara">
    <w:name w:val="R1-Res. Para"/>
    <w:basedOn w:val="Normal"/>
    <w:rsid w:val="002E1D76"/>
    <w:pPr>
      <w:ind w:left="288"/>
    </w:pPr>
  </w:style>
  <w:style w:type="paragraph" w:customStyle="1" w:styleId="R2-ResBullet">
    <w:name w:val="R2-Res Bullet"/>
    <w:basedOn w:val="Normal"/>
    <w:rsid w:val="002E1D76"/>
    <w:pPr>
      <w:tabs>
        <w:tab w:val="left" w:pos="720"/>
      </w:tabs>
      <w:ind w:left="720" w:hanging="432"/>
    </w:pPr>
  </w:style>
  <w:style w:type="paragraph" w:customStyle="1" w:styleId="RF-Reference">
    <w:name w:val="RF-Reference"/>
    <w:basedOn w:val="Normal"/>
    <w:rsid w:val="002E1D76"/>
    <w:pPr>
      <w:spacing w:line="240" w:lineRule="exact"/>
      <w:ind w:left="216" w:hanging="216"/>
    </w:pPr>
  </w:style>
  <w:style w:type="paragraph" w:customStyle="1" w:styleId="RH-SglSpHead">
    <w:name w:val="RH-Sgl Sp Head"/>
    <w:basedOn w:val="Heading1"/>
    <w:next w:val="RL-FlLftSgl"/>
    <w:rsid w:val="002E1D76"/>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2E1D76"/>
    <w:pPr>
      <w:tabs>
        <w:tab w:val="clear" w:pos="1152"/>
      </w:tabs>
      <w:spacing w:after="0" w:line="240" w:lineRule="atLeast"/>
      <w:ind w:left="0" w:firstLine="0"/>
    </w:pPr>
    <w:rPr>
      <w:sz w:val="24"/>
    </w:rPr>
  </w:style>
  <w:style w:type="paragraph" w:customStyle="1" w:styleId="SU-FlLftUndln">
    <w:name w:val="SU-Fl Lft Undln"/>
    <w:basedOn w:val="Normal"/>
    <w:rsid w:val="002E1D76"/>
    <w:pPr>
      <w:keepNext/>
      <w:spacing w:line="240" w:lineRule="exact"/>
    </w:pPr>
    <w:rPr>
      <w:u w:val="single"/>
    </w:rPr>
  </w:style>
  <w:style w:type="character" w:styleId="PageNumber">
    <w:name w:val="page number"/>
    <w:basedOn w:val="DefaultParagraphFont"/>
    <w:rsid w:val="002E1D76"/>
  </w:style>
  <w:style w:type="paragraph" w:customStyle="1" w:styleId="TH-TableHeading">
    <w:name w:val="TH-Table Heading"/>
    <w:basedOn w:val="Heading1"/>
    <w:rsid w:val="002E1D76"/>
    <w:pPr>
      <w:tabs>
        <w:tab w:val="clear" w:pos="1152"/>
      </w:tabs>
      <w:spacing w:after="0" w:line="240" w:lineRule="atLeast"/>
      <w:ind w:left="0" w:firstLine="0"/>
      <w:jc w:val="center"/>
    </w:pPr>
    <w:rPr>
      <w:color w:val="auto"/>
      <w:sz w:val="20"/>
    </w:rPr>
  </w:style>
  <w:style w:type="paragraph" w:styleId="TOC6">
    <w:name w:val="toc 6"/>
    <w:uiPriority w:val="39"/>
    <w:rsid w:val="002E1D76"/>
    <w:pPr>
      <w:tabs>
        <w:tab w:val="right" w:leader="dot" w:pos="8208"/>
        <w:tab w:val="left" w:pos="8640"/>
      </w:tabs>
      <w:ind w:left="288" w:right="1800"/>
    </w:pPr>
    <w:rPr>
      <w:rFonts w:ascii="Garamond" w:hAnsi="Garamond"/>
      <w:sz w:val="24"/>
      <w:szCs w:val="22"/>
    </w:rPr>
  </w:style>
  <w:style w:type="paragraph" w:styleId="TOC7">
    <w:name w:val="toc 7"/>
    <w:uiPriority w:val="39"/>
    <w:rsid w:val="002E1D76"/>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2E1D76"/>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2E1D76"/>
    <w:rPr>
      <w:rFonts w:ascii="Franklin Gothic Medium" w:hAnsi="Franklin Gothic Medium"/>
      <w:sz w:val="20"/>
    </w:rPr>
  </w:style>
  <w:style w:type="paragraph" w:customStyle="1" w:styleId="Heading0">
    <w:name w:val="Heading 0"/>
    <w:aliases w:val="H0-Chap Head"/>
    <w:basedOn w:val="Heading1"/>
    <w:rsid w:val="002E1D76"/>
    <w:pPr>
      <w:tabs>
        <w:tab w:val="clear" w:pos="1152"/>
      </w:tabs>
      <w:spacing w:after="0"/>
      <w:ind w:left="0" w:firstLine="0"/>
      <w:jc w:val="right"/>
    </w:pPr>
    <w:rPr>
      <w:sz w:val="40"/>
    </w:rPr>
  </w:style>
  <w:style w:type="paragraph" w:customStyle="1" w:styleId="Header-1">
    <w:name w:val="Header-1"/>
    <w:basedOn w:val="Heading1"/>
    <w:rsid w:val="002E1D76"/>
    <w:pPr>
      <w:tabs>
        <w:tab w:val="clear" w:pos="1152"/>
      </w:tabs>
      <w:spacing w:after="0" w:line="240" w:lineRule="atLeast"/>
      <w:ind w:left="0" w:firstLine="0"/>
      <w:jc w:val="right"/>
    </w:pPr>
    <w:rPr>
      <w:sz w:val="20"/>
    </w:rPr>
  </w:style>
  <w:style w:type="paragraph" w:styleId="TOC8">
    <w:name w:val="toc 8"/>
    <w:uiPriority w:val="39"/>
    <w:rsid w:val="002E1D76"/>
    <w:pPr>
      <w:tabs>
        <w:tab w:val="right" w:leader="dot" w:pos="8208"/>
        <w:tab w:val="left" w:pos="8640"/>
      </w:tabs>
      <w:ind w:left="2160" w:right="1800"/>
    </w:pPr>
    <w:rPr>
      <w:rFonts w:ascii="Garamond" w:hAnsi="Garamond"/>
      <w:sz w:val="24"/>
      <w:szCs w:val="22"/>
    </w:rPr>
  </w:style>
  <w:style w:type="paragraph" w:styleId="TOC9">
    <w:name w:val="toc 9"/>
    <w:uiPriority w:val="39"/>
    <w:rsid w:val="002E1D76"/>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2E1D76"/>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2E1D76"/>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2E1D76"/>
    <w:rPr>
      <w:rFonts w:ascii="Franklin Gothic Medium" w:hAnsi="Franklin Gothic Medium"/>
    </w:rPr>
  </w:style>
  <w:style w:type="character" w:styleId="FootnoteReference">
    <w:name w:val="footnote reference"/>
    <w:uiPriority w:val="99"/>
    <w:semiHidden/>
    <w:rsid w:val="000A4A99"/>
  </w:style>
  <w:style w:type="character" w:customStyle="1" w:styleId="Hypertext">
    <w:name w:val="Hypertext"/>
    <w:rsid w:val="000A4A99"/>
    <w:rPr>
      <w:color w:val="0000FF"/>
      <w:u w:val="single"/>
    </w:rPr>
  </w:style>
  <w:style w:type="character" w:customStyle="1" w:styleId="QuickFormat4">
    <w:name w:val="QuickFormat4"/>
    <w:rsid w:val="000A4A99"/>
    <w:rPr>
      <w:rFonts w:ascii="CG Times" w:hAnsi="CG Times" w:cs="CG Times"/>
      <w:color w:val="000000"/>
      <w:sz w:val="22"/>
      <w:szCs w:val="22"/>
    </w:rPr>
  </w:style>
  <w:style w:type="character" w:customStyle="1" w:styleId="QuickFormat3">
    <w:name w:val="QuickFormat3"/>
    <w:rsid w:val="000A4A99"/>
    <w:rPr>
      <w:rFonts w:ascii="CG Times" w:hAnsi="CG Times" w:cs="CG Times"/>
      <w:color w:val="000000"/>
      <w:sz w:val="22"/>
      <w:szCs w:val="22"/>
    </w:rPr>
  </w:style>
  <w:style w:type="character" w:customStyle="1" w:styleId="QuickFormat2">
    <w:name w:val="QuickFormat2"/>
    <w:rsid w:val="000A4A99"/>
    <w:rPr>
      <w:rFonts w:ascii="CG Times" w:hAnsi="CG Times" w:cs="CG Times"/>
      <w:color w:val="0000FF"/>
      <w:sz w:val="22"/>
      <w:szCs w:val="22"/>
    </w:rPr>
  </w:style>
  <w:style w:type="character" w:customStyle="1" w:styleId="QuickFormat1">
    <w:name w:val="QuickFormat1"/>
    <w:rsid w:val="000A4A99"/>
    <w:rPr>
      <w:rFonts w:ascii="CG Times" w:hAnsi="CG Times" w:cs="CG Times"/>
      <w:color w:val="0000FF"/>
      <w:sz w:val="22"/>
      <w:szCs w:val="22"/>
    </w:rPr>
  </w:style>
  <w:style w:type="paragraph" w:customStyle="1" w:styleId="a">
    <w:name w:val="_"/>
    <w:basedOn w:val="Normal"/>
    <w:rsid w:val="000A4A99"/>
    <w:pPr>
      <w:ind w:left="2160" w:hanging="720"/>
    </w:pPr>
  </w:style>
  <w:style w:type="character" w:customStyle="1" w:styleId="QuickFormat5">
    <w:name w:val="QuickFormat5"/>
    <w:rsid w:val="000A4A99"/>
    <w:rPr>
      <w:rFonts w:ascii="Times New Roman" w:hAnsi="Times New Roman" w:cs="Times New Roman"/>
      <w:i/>
      <w:iCs/>
      <w:color w:val="0000FF"/>
      <w:sz w:val="22"/>
      <w:szCs w:val="22"/>
    </w:rPr>
  </w:style>
  <w:style w:type="paragraph" w:customStyle="1" w:styleId="Level1">
    <w:name w:val="Level 1"/>
    <w:basedOn w:val="Normal"/>
    <w:rsid w:val="000A4A99"/>
    <w:pPr>
      <w:ind w:left="720" w:hanging="720"/>
      <w:outlineLvl w:val="0"/>
    </w:pPr>
  </w:style>
  <w:style w:type="paragraph" w:styleId="BalloonText">
    <w:name w:val="Balloon Text"/>
    <w:basedOn w:val="Normal"/>
    <w:link w:val="BalloonTextChar"/>
    <w:semiHidden/>
    <w:rsid w:val="000A4A99"/>
    <w:rPr>
      <w:rFonts w:ascii="Tahoma" w:hAnsi="Tahoma" w:cs="Tahoma"/>
      <w:sz w:val="16"/>
      <w:szCs w:val="16"/>
    </w:rPr>
  </w:style>
  <w:style w:type="character" w:customStyle="1" w:styleId="BalloonTextChar">
    <w:name w:val="Balloon Text Char"/>
    <w:basedOn w:val="DefaultParagraphFont"/>
    <w:link w:val="BalloonText"/>
    <w:semiHidden/>
    <w:rsid w:val="000A4A99"/>
    <w:rPr>
      <w:rFonts w:ascii="Tahoma" w:hAnsi="Tahoma" w:cs="Tahoma"/>
      <w:sz w:val="16"/>
      <w:szCs w:val="16"/>
    </w:rPr>
  </w:style>
  <w:style w:type="character" w:customStyle="1" w:styleId="SYSHYPERTEXT">
    <w:name w:val="SYS_HYPERTEXT"/>
    <w:rsid w:val="000A4A99"/>
    <w:rPr>
      <w:color w:val="0000FF"/>
      <w:u w:val="single"/>
    </w:rPr>
  </w:style>
  <w:style w:type="character" w:styleId="CommentReference">
    <w:name w:val="annotation reference"/>
    <w:uiPriority w:val="99"/>
    <w:semiHidden/>
    <w:rsid w:val="000A4A99"/>
    <w:rPr>
      <w:sz w:val="16"/>
      <w:szCs w:val="16"/>
    </w:rPr>
  </w:style>
  <w:style w:type="paragraph" w:styleId="CommentText">
    <w:name w:val="annotation text"/>
    <w:basedOn w:val="Normal"/>
    <w:link w:val="CommentTextChar"/>
    <w:uiPriority w:val="99"/>
    <w:semiHidden/>
    <w:rsid w:val="000A4A99"/>
    <w:rPr>
      <w:sz w:val="20"/>
    </w:rPr>
  </w:style>
  <w:style w:type="character" w:customStyle="1" w:styleId="CommentTextChar">
    <w:name w:val="Comment Text Char"/>
    <w:basedOn w:val="DefaultParagraphFont"/>
    <w:link w:val="CommentText"/>
    <w:uiPriority w:val="99"/>
    <w:semiHidden/>
    <w:rsid w:val="000A4A99"/>
    <w:rPr>
      <w:rFonts w:ascii="CG Times" w:hAnsi="CG Times"/>
    </w:rPr>
  </w:style>
  <w:style w:type="paragraph" w:styleId="CommentSubject">
    <w:name w:val="annotation subject"/>
    <w:basedOn w:val="CommentText"/>
    <w:next w:val="CommentText"/>
    <w:link w:val="CommentSubjectChar"/>
    <w:semiHidden/>
    <w:rsid w:val="000A4A99"/>
    <w:rPr>
      <w:b/>
      <w:bCs/>
    </w:rPr>
  </w:style>
  <w:style w:type="character" w:customStyle="1" w:styleId="CommentSubjectChar">
    <w:name w:val="Comment Subject Char"/>
    <w:basedOn w:val="CommentTextChar"/>
    <w:link w:val="CommentSubject"/>
    <w:semiHidden/>
    <w:rsid w:val="000A4A99"/>
    <w:rPr>
      <w:rFonts w:ascii="CG Times" w:hAnsi="CG Times"/>
      <w:b/>
      <w:bCs/>
    </w:rPr>
  </w:style>
  <w:style w:type="table" w:styleId="TableGrid">
    <w:name w:val="Table Grid"/>
    <w:basedOn w:val="TableNormal"/>
    <w:uiPriority w:val="59"/>
    <w:rsid w:val="000A4A99"/>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rsid w:val="000A4A99"/>
    <w:pPr>
      <w:ind w:left="720" w:hanging="360"/>
    </w:pPr>
  </w:style>
  <w:style w:type="paragraph" w:styleId="ListContinue2">
    <w:name w:val="List Continue 2"/>
    <w:basedOn w:val="Normal"/>
    <w:rsid w:val="000A4A99"/>
    <w:pPr>
      <w:spacing w:after="120"/>
      <w:ind w:left="720"/>
    </w:pPr>
  </w:style>
  <w:style w:type="paragraph" w:customStyle="1" w:styleId="InsideAddress">
    <w:name w:val="Inside Address"/>
    <w:basedOn w:val="Normal"/>
    <w:rsid w:val="000A4A99"/>
  </w:style>
  <w:style w:type="paragraph" w:styleId="Title">
    <w:name w:val="Title"/>
    <w:basedOn w:val="Normal"/>
    <w:link w:val="TitleChar"/>
    <w:qFormat/>
    <w:rsid w:val="000A4A9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0A4A99"/>
    <w:rPr>
      <w:rFonts w:ascii="Arial" w:hAnsi="Arial" w:cs="Arial"/>
      <w:b/>
      <w:bCs/>
      <w:kern w:val="28"/>
      <w:sz w:val="32"/>
      <w:szCs w:val="32"/>
    </w:rPr>
  </w:style>
  <w:style w:type="paragraph" w:styleId="BodyText">
    <w:name w:val="Body Text"/>
    <w:basedOn w:val="Normal"/>
    <w:link w:val="BodyTextChar"/>
    <w:rsid w:val="000A4A99"/>
    <w:pPr>
      <w:spacing w:after="120"/>
    </w:pPr>
  </w:style>
  <w:style w:type="character" w:customStyle="1" w:styleId="BodyTextChar">
    <w:name w:val="Body Text Char"/>
    <w:basedOn w:val="DefaultParagraphFont"/>
    <w:link w:val="BodyText"/>
    <w:rsid w:val="000A4A99"/>
    <w:rPr>
      <w:rFonts w:ascii="CG Times" w:hAnsi="CG Times"/>
      <w:sz w:val="24"/>
      <w:szCs w:val="24"/>
    </w:rPr>
  </w:style>
  <w:style w:type="paragraph" w:styleId="BodyTextIndent">
    <w:name w:val="Body Text Indent"/>
    <w:basedOn w:val="Normal"/>
    <w:link w:val="BodyTextIndentChar"/>
    <w:rsid w:val="000A4A99"/>
    <w:pPr>
      <w:spacing w:after="120"/>
      <w:ind w:left="360"/>
    </w:pPr>
  </w:style>
  <w:style w:type="character" w:customStyle="1" w:styleId="BodyTextIndentChar">
    <w:name w:val="Body Text Indent Char"/>
    <w:basedOn w:val="DefaultParagraphFont"/>
    <w:link w:val="BodyTextIndent"/>
    <w:rsid w:val="000A4A99"/>
    <w:rPr>
      <w:rFonts w:ascii="CG Times" w:hAnsi="CG Times"/>
      <w:sz w:val="24"/>
      <w:szCs w:val="24"/>
    </w:rPr>
  </w:style>
  <w:style w:type="paragraph" w:customStyle="1" w:styleId="ReturnAddress">
    <w:name w:val="Return Address"/>
    <w:basedOn w:val="Normal"/>
    <w:rsid w:val="000A4A99"/>
  </w:style>
  <w:style w:type="paragraph" w:customStyle="1" w:styleId="ReferenceLine">
    <w:name w:val="Reference Line"/>
    <w:basedOn w:val="BodyText"/>
    <w:rsid w:val="000A4A99"/>
  </w:style>
  <w:style w:type="character" w:styleId="Hyperlink">
    <w:name w:val="Hyperlink"/>
    <w:uiPriority w:val="99"/>
    <w:rsid w:val="000A4A99"/>
    <w:rPr>
      <w:color w:val="0000FF"/>
      <w:u w:val="single"/>
    </w:rPr>
  </w:style>
  <w:style w:type="character" w:styleId="Strong">
    <w:name w:val="Strong"/>
    <w:qFormat/>
    <w:rsid w:val="000A4A99"/>
    <w:rPr>
      <w:b/>
      <w:bCs/>
    </w:rPr>
  </w:style>
  <w:style w:type="paragraph" w:styleId="NormalWeb">
    <w:name w:val="Normal (Web)"/>
    <w:basedOn w:val="Normal"/>
    <w:uiPriority w:val="99"/>
    <w:rsid w:val="000A4A99"/>
    <w:pPr>
      <w:spacing w:before="100" w:beforeAutospacing="1" w:after="100" w:afterAutospacing="1"/>
    </w:pPr>
    <w:rPr>
      <w:rFonts w:ascii="Times New Roman" w:hAnsi="Times New Roman"/>
    </w:rPr>
  </w:style>
  <w:style w:type="paragraph" w:styleId="Revision">
    <w:name w:val="Revision"/>
    <w:hidden/>
    <w:uiPriority w:val="99"/>
    <w:semiHidden/>
    <w:rsid w:val="000A4A99"/>
    <w:rPr>
      <w:rFonts w:ascii="CG Times" w:hAnsi="CG Times"/>
      <w:sz w:val="24"/>
      <w:szCs w:val="24"/>
    </w:rPr>
  </w:style>
  <w:style w:type="paragraph" w:styleId="ListParagraph">
    <w:name w:val="List Paragraph"/>
    <w:basedOn w:val="Normal"/>
    <w:uiPriority w:val="34"/>
    <w:qFormat/>
    <w:rsid w:val="000A4A99"/>
    <w:pPr>
      <w:ind w:left="720"/>
      <w:contextualSpacing/>
    </w:pPr>
    <w:rPr>
      <w:rFonts w:eastAsia="Calibri"/>
    </w:rPr>
  </w:style>
  <w:style w:type="character" w:customStyle="1" w:styleId="L1-FlLSp12Char">
    <w:name w:val="L1-FlL Sp&amp;1/2 Char"/>
    <w:link w:val="L1-FlLSp12"/>
    <w:rsid w:val="000A4A99"/>
    <w:rPr>
      <w:rFonts w:ascii="Garamond" w:hAnsi="Garamond"/>
      <w:sz w:val="24"/>
    </w:rPr>
  </w:style>
  <w:style w:type="paragraph" w:customStyle="1" w:styleId="Default">
    <w:name w:val="Default"/>
    <w:rsid w:val="000A4A99"/>
    <w:pPr>
      <w:autoSpaceDE w:val="0"/>
      <w:autoSpaceDN w:val="0"/>
      <w:adjustRightInd w:val="0"/>
    </w:pPr>
    <w:rPr>
      <w:rFonts w:ascii="Garamond" w:eastAsia="Calibri" w:hAnsi="Garamond" w:cs="Garamond"/>
      <w:color w:val="000000"/>
      <w:sz w:val="24"/>
      <w:szCs w:val="24"/>
    </w:rPr>
  </w:style>
  <w:style w:type="paragraph" w:styleId="PlainText">
    <w:name w:val="Plain Text"/>
    <w:basedOn w:val="Normal"/>
    <w:link w:val="PlainTextChar"/>
    <w:rsid w:val="000A4A99"/>
    <w:rPr>
      <w:rFonts w:ascii="Courier New" w:hAnsi="Courier New" w:cs="Courier New"/>
      <w:sz w:val="20"/>
    </w:rPr>
  </w:style>
  <w:style w:type="character" w:customStyle="1" w:styleId="PlainTextChar">
    <w:name w:val="Plain Text Char"/>
    <w:basedOn w:val="DefaultParagraphFont"/>
    <w:link w:val="PlainText"/>
    <w:rsid w:val="000A4A99"/>
    <w:rPr>
      <w:rFonts w:ascii="Courier New" w:hAnsi="Courier New" w:cs="Courier New"/>
    </w:rPr>
  </w:style>
  <w:style w:type="character" w:styleId="Emphasis">
    <w:name w:val="Emphasis"/>
    <w:uiPriority w:val="20"/>
    <w:qFormat/>
    <w:rsid w:val="000A4A99"/>
    <w:rPr>
      <w:i/>
      <w:iCs/>
    </w:rPr>
  </w:style>
  <w:style w:type="character" w:customStyle="1" w:styleId="P1-StandParaChar">
    <w:name w:val="P1-Stand Para Char"/>
    <w:link w:val="P1-StandPara"/>
    <w:rsid w:val="000A4A99"/>
    <w:rPr>
      <w:rFonts w:ascii="Garamond" w:hAnsi="Garamond"/>
      <w:sz w:val="24"/>
    </w:rPr>
  </w:style>
  <w:style w:type="character" w:customStyle="1" w:styleId="TT-TableTitleChar">
    <w:name w:val="TT-Table Title Char"/>
    <w:link w:val="TT-TableTitle"/>
    <w:rsid w:val="000A4A99"/>
    <w:rPr>
      <w:rFonts w:ascii="Franklin Gothic Medium" w:hAnsi="Franklin Gothic Medium"/>
      <w:sz w:val="22"/>
    </w:rPr>
  </w:style>
  <w:style w:type="character" w:customStyle="1" w:styleId="E1-EquationChar">
    <w:name w:val="E1-Equation Char"/>
    <w:link w:val="E1-Equation"/>
    <w:rsid w:val="000A4A99"/>
    <w:rPr>
      <w:rFonts w:ascii="Garamond" w:hAnsi="Garamond"/>
      <w:sz w:val="24"/>
    </w:rPr>
  </w:style>
  <w:style w:type="paragraph" w:styleId="NoSpacing">
    <w:name w:val="No Spacing"/>
    <w:uiPriority w:val="99"/>
    <w:qFormat/>
    <w:rsid w:val="000A4A99"/>
    <w:pPr>
      <w:jc w:val="both"/>
    </w:pPr>
    <w:rPr>
      <w:sz w:val="22"/>
    </w:rPr>
  </w:style>
  <w:style w:type="character" w:customStyle="1" w:styleId="FootnoteTextChar">
    <w:name w:val="Footnote Text Char"/>
    <w:aliases w:val="F1 Char"/>
    <w:link w:val="FootnoteText"/>
    <w:rsid w:val="000A4A99"/>
    <w:rPr>
      <w:rFonts w:ascii="Garamond" w:hAnsi="Garamond"/>
      <w:sz w:val="16"/>
    </w:rPr>
  </w:style>
  <w:style w:type="paragraph" w:customStyle="1" w:styleId="L1-FlLfSp12">
    <w:name w:val="L1-FlLfSp&amp;1/2"/>
    <w:rsid w:val="000A4A99"/>
    <w:pPr>
      <w:tabs>
        <w:tab w:val="left" w:pos="1152"/>
      </w:tabs>
      <w:spacing w:line="240" w:lineRule="atLeast"/>
      <w:jc w:val="both"/>
    </w:pPr>
    <w:rPr>
      <w:rFonts w:eastAsia="Calibri"/>
      <w:sz w:val="24"/>
    </w:rPr>
  </w:style>
  <w:style w:type="character" w:customStyle="1" w:styleId="text1">
    <w:name w:val="text1"/>
    <w:rsid w:val="000A4A99"/>
    <w:rPr>
      <w:rFonts w:ascii="Arial" w:hAnsi="Arial" w:cs="Arial" w:hint="default"/>
      <w:b w:val="0"/>
      <w:bCs w:val="0"/>
      <w:color w:val="000000"/>
      <w:sz w:val="18"/>
      <w:szCs w:val="18"/>
    </w:rPr>
  </w:style>
  <w:style w:type="paragraph" w:customStyle="1" w:styleId="Pa13">
    <w:name w:val="Pa13"/>
    <w:basedOn w:val="Default"/>
    <w:next w:val="Default"/>
    <w:uiPriority w:val="99"/>
    <w:rsid w:val="000A4A99"/>
    <w:pPr>
      <w:spacing w:line="211" w:lineRule="atLeast"/>
    </w:pPr>
    <w:rPr>
      <w:rFonts w:ascii="GillSans" w:eastAsia="Times New Roman" w:hAnsi="GillSans" w:cs="Times New Roman"/>
      <w:color w:val="auto"/>
    </w:rPr>
  </w:style>
  <w:style w:type="paragraph" w:styleId="TOCHeading">
    <w:name w:val="TOC Heading"/>
    <w:basedOn w:val="Heading1"/>
    <w:next w:val="Normal"/>
    <w:uiPriority w:val="39"/>
    <w:semiHidden/>
    <w:unhideWhenUsed/>
    <w:qFormat/>
    <w:rsid w:val="00C73BA7"/>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baec5a81-e4d6-4674-97f3-e9220f0136c1">
    <w:name w:val="baec5a81-e4d6-4674-97f3-e9220f0136c1"/>
    <w:basedOn w:val="DefaultParagraphFont"/>
    <w:rsid w:val="00113BD0"/>
  </w:style>
  <w:style w:type="character" w:customStyle="1" w:styleId="HeaderChar">
    <w:name w:val="Header Char"/>
    <w:basedOn w:val="DefaultParagraphFont"/>
    <w:link w:val="Header"/>
    <w:uiPriority w:val="99"/>
    <w:rsid w:val="00293F38"/>
    <w:rPr>
      <w:rFonts w:ascii="Garamond" w:hAnsi="Garamond"/>
      <w:sz w:val="16"/>
    </w:rPr>
  </w:style>
  <w:style w:type="paragraph" w:styleId="TableofFigures">
    <w:name w:val="table of figures"/>
    <w:basedOn w:val="Normal"/>
    <w:next w:val="Normal"/>
    <w:uiPriority w:val="99"/>
    <w:unhideWhenUsed/>
    <w:rsid w:val="000B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83410">
      <w:bodyDiv w:val="1"/>
      <w:marLeft w:val="0"/>
      <w:marRight w:val="0"/>
      <w:marTop w:val="0"/>
      <w:marBottom w:val="0"/>
      <w:divBdr>
        <w:top w:val="none" w:sz="0" w:space="0" w:color="auto"/>
        <w:left w:val="none" w:sz="0" w:space="0" w:color="auto"/>
        <w:bottom w:val="none" w:sz="0" w:space="0" w:color="auto"/>
        <w:right w:val="none" w:sz="0" w:space="0" w:color="auto"/>
      </w:divBdr>
    </w:div>
    <w:div w:id="1197817234">
      <w:bodyDiv w:val="1"/>
      <w:marLeft w:val="0"/>
      <w:marRight w:val="0"/>
      <w:marTop w:val="0"/>
      <w:marBottom w:val="0"/>
      <w:divBdr>
        <w:top w:val="none" w:sz="0" w:space="0" w:color="auto"/>
        <w:left w:val="none" w:sz="0" w:space="0" w:color="auto"/>
        <w:bottom w:val="none" w:sz="0" w:space="0" w:color="auto"/>
        <w:right w:val="none" w:sz="0" w:space="0" w:color="auto"/>
      </w:divBdr>
    </w:div>
    <w:div w:id="1394962179">
      <w:bodyDiv w:val="1"/>
      <w:marLeft w:val="0"/>
      <w:marRight w:val="0"/>
      <w:marTop w:val="0"/>
      <w:marBottom w:val="0"/>
      <w:divBdr>
        <w:top w:val="none" w:sz="0" w:space="0" w:color="auto"/>
        <w:left w:val="none" w:sz="0" w:space="0" w:color="auto"/>
        <w:bottom w:val="none" w:sz="0" w:space="0" w:color="auto"/>
        <w:right w:val="none" w:sz="0" w:space="0" w:color="auto"/>
      </w:divBdr>
    </w:div>
    <w:div w:id="14961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JLong@AEquitasResourc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oes259099.htm" TargetMode="External"/><Relationship Id="rId1" Type="http://schemas.openxmlformats.org/officeDocument/2006/relationships/hyperlink" Target="http://www.bls.gov/oes/current/oes2110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81480-E549-4735-9E26-ABBCAF070484}">
  <ds:schemaRefs>
    <ds:schemaRef ds:uri="http://schemas.openxmlformats.org/officeDocument/2006/bibliography"/>
  </ds:schemaRefs>
</ds:datastoreItem>
</file>

<file path=customXml/itemProps2.xml><?xml version="1.0" encoding="utf-8"?>
<ds:datastoreItem xmlns:ds="http://schemas.openxmlformats.org/officeDocument/2006/customXml" ds:itemID="{369E2780-23D6-4B16-88F3-776BC8DE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10073</Words>
  <Characters>57417</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Darby Steiger</dc:creator>
  <cp:lastModifiedBy>Beck, Allen</cp:lastModifiedBy>
  <cp:revision>2</cp:revision>
  <cp:lastPrinted>2013-07-10T21:52:00Z</cp:lastPrinted>
  <dcterms:created xsi:type="dcterms:W3CDTF">2014-02-24T20:56:00Z</dcterms:created>
  <dcterms:modified xsi:type="dcterms:W3CDTF">2014-02-24T20:56:00Z</dcterms:modified>
</cp:coreProperties>
</file>