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E33" w:rsidRDefault="00AA1E33">
      <w:pPr>
        <w:pStyle w:val="Heading1"/>
        <w:keepNext w:val="0"/>
        <w:widowControl/>
        <w:rPr>
          <w:b w:val="0"/>
          <w:bCs w:val="0"/>
        </w:rPr>
      </w:pPr>
      <w:r>
        <w:rPr>
          <w:b w:val="0"/>
          <w:bCs w:val="0"/>
        </w:rPr>
        <w:t>SUPPORTING STATEMENT FOR PAPERWORK REDUCTION ACT 1995 SUBMISSIONS</w:t>
      </w:r>
    </w:p>
    <w:p w:rsidR="00AA1E33" w:rsidRDefault="00AA1E33">
      <w:pPr>
        <w:widowControl/>
        <w:rPr>
          <w:b w:val="0"/>
          <w:bCs w:val="0"/>
          <w:sz w:val="24"/>
        </w:rPr>
      </w:pPr>
    </w:p>
    <w:p w:rsidR="00AA1E33" w:rsidRDefault="00AA1E33">
      <w:pPr>
        <w:widowControl/>
        <w:outlineLvl w:val="0"/>
        <w:rPr>
          <w:b w:val="0"/>
          <w:bCs w:val="0"/>
          <w:sz w:val="24"/>
        </w:rPr>
      </w:pPr>
      <w:r>
        <w:rPr>
          <w:b w:val="0"/>
          <w:bCs w:val="0"/>
          <w:sz w:val="24"/>
        </w:rPr>
        <w:t>A.  Justification</w:t>
      </w:r>
    </w:p>
    <w:p w:rsidR="00AA1E33" w:rsidRDefault="00AA1E33">
      <w:pPr>
        <w:widowControl/>
        <w:outlineLvl w:val="0"/>
        <w:rPr>
          <w:b w:val="0"/>
          <w:bCs w:val="0"/>
          <w:sz w:val="24"/>
        </w:rPr>
      </w:pPr>
    </w:p>
    <w:p w:rsidR="00AA1E33" w:rsidRDefault="00AA1E33">
      <w:pPr>
        <w:pStyle w:val="Quick1"/>
        <w:widowControl/>
        <w:numPr>
          <w:ilvl w:val="0"/>
          <w:numId w:val="0"/>
        </w:numPr>
        <w:tabs>
          <w:tab w:val="left" w:pos="-1440"/>
        </w:tabs>
        <w:rPr>
          <w:b w:val="0"/>
          <w:bCs w:val="0"/>
          <w:i/>
          <w:iCs/>
        </w:rPr>
      </w:pPr>
      <w:r>
        <w:rPr>
          <w:b w:val="0"/>
          <w:bCs w:val="0"/>
        </w:rPr>
        <w:t>1</w:t>
      </w:r>
      <w:r>
        <w:rPr>
          <w:b w:val="0"/>
          <w:bCs w:val="0"/>
          <w:i/>
          <w:iCs/>
        </w:rPr>
        <w:t>.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F3328" w:rsidRDefault="000F3328" w:rsidP="000F3328">
      <w:pPr>
        <w:pStyle w:val="Quick1"/>
        <w:widowControl/>
        <w:numPr>
          <w:ilvl w:val="0"/>
          <w:numId w:val="0"/>
        </w:numPr>
        <w:tabs>
          <w:tab w:val="left" w:pos="-1440"/>
        </w:tabs>
        <w:rPr>
          <w:rStyle w:val="footnoteref"/>
          <w:b w:val="0"/>
          <w:sz w:val="24"/>
          <w:szCs w:val="24"/>
        </w:rPr>
      </w:pPr>
    </w:p>
    <w:p w:rsidR="000D006B" w:rsidRDefault="000D006B" w:rsidP="00F04752">
      <w:pPr>
        <w:rPr>
          <w:rStyle w:val="footnoteref"/>
          <w:b w:val="0"/>
          <w:sz w:val="24"/>
          <w:szCs w:val="24"/>
        </w:rPr>
      </w:pPr>
      <w:r>
        <w:rPr>
          <w:rStyle w:val="footnoteref"/>
          <w:b w:val="0"/>
          <w:sz w:val="24"/>
          <w:szCs w:val="24"/>
        </w:rPr>
        <w:tab/>
      </w:r>
      <w:r w:rsidRPr="000D006B">
        <w:rPr>
          <w:rStyle w:val="footnoteref"/>
          <w:b w:val="0"/>
          <w:sz w:val="24"/>
          <w:szCs w:val="24"/>
        </w:rPr>
        <w:t>The Paul Wellstone and Pete Domenici Mental Health Parity and Addiction Equity Act of 2008 (MHPAEA) was enacted on October 3, 2008 as sections 511 and 512 of the Tax Extenders and Alternative Minimum Tax Relief Act of 2008 (Division C of Public Law 110-343).   MHPAEA amends the Employee Retirement Income Security Act of 1974 (ERISA), the Public Health Service Act (PHS Act), and the Internal Revenue Code of 1986 (</w:t>
      </w:r>
      <w:r w:rsidR="00FB5429">
        <w:rPr>
          <w:rStyle w:val="footnoteref"/>
          <w:b w:val="0"/>
          <w:sz w:val="24"/>
          <w:szCs w:val="24"/>
        </w:rPr>
        <w:t xml:space="preserve">the </w:t>
      </w:r>
      <w:r w:rsidRPr="000D006B">
        <w:rPr>
          <w:rStyle w:val="footnoteref"/>
          <w:b w:val="0"/>
          <w:sz w:val="24"/>
          <w:szCs w:val="24"/>
        </w:rPr>
        <w:t xml:space="preserve">Code).  In 1996, Congress enacted the Mental Health Parity Act of 1996, which required parity in aggregate lifetime and annual dollar limits for mental health benefits and medical and surgical benefits.  Those mental health parity provisions were codified in section 712 of ERISA, section 2705 of the PHS Act, and section 9812 of the Code.  The changes made by MHPAEA are codified in these same sections and consist of </w:t>
      </w:r>
      <w:r w:rsidR="00561D3B">
        <w:rPr>
          <w:rStyle w:val="footnoteref"/>
          <w:b w:val="0"/>
          <w:sz w:val="24"/>
          <w:szCs w:val="24"/>
        </w:rPr>
        <w:t>additional</w:t>
      </w:r>
      <w:r w:rsidRPr="000D006B">
        <w:rPr>
          <w:rStyle w:val="footnoteref"/>
          <w:b w:val="0"/>
          <w:sz w:val="24"/>
          <w:szCs w:val="24"/>
        </w:rPr>
        <w:t xml:space="preserve"> requirements as well as amendments to several of the existing mental health parity provisions applicable to group health plans and health insurance coverage offered in connection with a group health plan.  </w:t>
      </w:r>
      <w:r w:rsidR="001C18D0" w:rsidRPr="001C18D0">
        <w:rPr>
          <w:rStyle w:val="footnoteref"/>
          <w:b w:val="0"/>
          <w:sz w:val="24"/>
          <w:szCs w:val="24"/>
        </w:rPr>
        <w:t xml:space="preserve">MHPAEA </w:t>
      </w:r>
      <w:r w:rsidR="001C18D0">
        <w:rPr>
          <w:rStyle w:val="footnoteref"/>
          <w:b w:val="0"/>
          <w:sz w:val="24"/>
          <w:szCs w:val="24"/>
        </w:rPr>
        <w:t xml:space="preserve">and the interim final regulations </w:t>
      </w:r>
      <w:r w:rsidR="00937F70" w:rsidRPr="001C18D0">
        <w:rPr>
          <w:rStyle w:val="footnoteref"/>
          <w:b w:val="0"/>
          <w:sz w:val="24"/>
          <w:szCs w:val="24"/>
        </w:rPr>
        <w:t>d</w:t>
      </w:r>
      <w:r w:rsidR="00937F70">
        <w:rPr>
          <w:rStyle w:val="footnoteref"/>
          <w:b w:val="0"/>
          <w:sz w:val="24"/>
          <w:szCs w:val="24"/>
        </w:rPr>
        <w:t>id</w:t>
      </w:r>
      <w:r w:rsidR="00937F70" w:rsidRPr="001C18D0">
        <w:rPr>
          <w:rStyle w:val="footnoteref"/>
          <w:b w:val="0"/>
          <w:sz w:val="24"/>
          <w:szCs w:val="24"/>
        </w:rPr>
        <w:t xml:space="preserve"> </w:t>
      </w:r>
      <w:r w:rsidR="001C18D0" w:rsidRPr="001C18D0">
        <w:rPr>
          <w:rStyle w:val="footnoteref"/>
          <w:b w:val="0"/>
          <w:sz w:val="24"/>
          <w:szCs w:val="24"/>
        </w:rPr>
        <w:t xml:space="preserve">not apply to small employers who have between two and 50 employees.  </w:t>
      </w:r>
      <w:r w:rsidRPr="000D006B">
        <w:rPr>
          <w:rStyle w:val="footnoteref"/>
          <w:b w:val="0"/>
          <w:sz w:val="24"/>
          <w:szCs w:val="24"/>
        </w:rPr>
        <w:t>The changes made by MHPAEA are generally effective for plan years beginning after October 3, 2009.</w:t>
      </w:r>
      <w:r w:rsidR="000F3328">
        <w:rPr>
          <w:rStyle w:val="footnoteref"/>
          <w:b w:val="0"/>
          <w:sz w:val="24"/>
          <w:szCs w:val="24"/>
        </w:rPr>
        <w:tab/>
      </w:r>
    </w:p>
    <w:p w:rsidR="000D006B" w:rsidRDefault="000D006B" w:rsidP="00F04752">
      <w:pPr>
        <w:rPr>
          <w:rStyle w:val="footnoteref"/>
          <w:b w:val="0"/>
          <w:sz w:val="24"/>
          <w:szCs w:val="24"/>
        </w:rPr>
      </w:pPr>
    </w:p>
    <w:p w:rsidR="000D006B" w:rsidRDefault="000D006B" w:rsidP="00F04752">
      <w:pPr>
        <w:rPr>
          <w:rStyle w:val="footnoteref"/>
          <w:b w:val="0"/>
          <w:sz w:val="24"/>
          <w:szCs w:val="24"/>
        </w:rPr>
      </w:pPr>
      <w:r>
        <w:rPr>
          <w:rStyle w:val="footnoteref"/>
          <w:b w:val="0"/>
          <w:sz w:val="24"/>
          <w:szCs w:val="24"/>
        </w:rPr>
        <w:tab/>
      </w:r>
      <w:r w:rsidRPr="000D006B">
        <w:rPr>
          <w:rStyle w:val="footnoteref"/>
          <w:b w:val="0"/>
          <w:sz w:val="24"/>
          <w:szCs w:val="24"/>
        </w:rPr>
        <w:t>On April 28, 2009, the Departments of the Treasury, Labor, and HHS (collectively, the Departments) published in the Federal Register (74 FR 19155) a request for information (RFI) soliciting comments on the requirements of MHPAEA.  After consideration of the comments received in response to the RFI, the Departments publish</w:t>
      </w:r>
      <w:r w:rsidR="006A6772">
        <w:rPr>
          <w:rStyle w:val="footnoteref"/>
          <w:b w:val="0"/>
          <w:sz w:val="24"/>
          <w:szCs w:val="24"/>
        </w:rPr>
        <w:t>ed</w:t>
      </w:r>
      <w:r w:rsidRPr="000D006B">
        <w:rPr>
          <w:rStyle w:val="footnoteref"/>
          <w:b w:val="0"/>
          <w:sz w:val="24"/>
          <w:szCs w:val="24"/>
        </w:rPr>
        <w:t xml:space="preserve">  interim final regulations.  These regulations generally become applicable to plans and issuers for plan years beginning on or after July 1, 2010.  </w:t>
      </w:r>
    </w:p>
    <w:p w:rsidR="006A6772" w:rsidRDefault="006A6772" w:rsidP="00F04752">
      <w:pPr>
        <w:rPr>
          <w:rStyle w:val="footnoteref"/>
          <w:b w:val="0"/>
          <w:sz w:val="24"/>
          <w:szCs w:val="24"/>
        </w:rPr>
      </w:pPr>
    </w:p>
    <w:p w:rsidR="006A6772" w:rsidRPr="008F0DD2" w:rsidRDefault="006A6772" w:rsidP="008F0DD2">
      <w:pPr>
        <w:rPr>
          <w:b w:val="0"/>
          <w:sz w:val="24"/>
          <w:szCs w:val="24"/>
        </w:rPr>
      </w:pPr>
      <w:r>
        <w:rPr>
          <w:rStyle w:val="footnoteref"/>
          <w:b w:val="0"/>
          <w:sz w:val="24"/>
          <w:szCs w:val="24"/>
        </w:rPr>
        <w:tab/>
        <w:t xml:space="preserve">The Departments published final regulations </w:t>
      </w:r>
      <w:r w:rsidR="0049199A">
        <w:rPr>
          <w:rStyle w:val="footnoteref"/>
          <w:b w:val="0"/>
          <w:sz w:val="24"/>
          <w:szCs w:val="24"/>
        </w:rPr>
        <w:t>in  November 2013</w:t>
      </w:r>
      <w:r>
        <w:rPr>
          <w:rStyle w:val="footnoteref"/>
          <w:b w:val="0"/>
          <w:sz w:val="24"/>
          <w:szCs w:val="24"/>
        </w:rPr>
        <w:t xml:space="preserve">.  </w:t>
      </w:r>
      <w:r w:rsidRPr="008F0DD2">
        <w:rPr>
          <w:b w:val="0"/>
          <w:sz w:val="24"/>
          <w:szCs w:val="24"/>
        </w:rPr>
        <w:t>In general, t</w:t>
      </w:r>
      <w:r w:rsidRPr="003833C1">
        <w:rPr>
          <w:b w:val="0"/>
          <w:sz w:val="24"/>
          <w:szCs w:val="24"/>
        </w:rPr>
        <w:t>he</w:t>
      </w:r>
      <w:r w:rsidRPr="008F0DD2">
        <w:rPr>
          <w:b w:val="0"/>
          <w:sz w:val="24"/>
          <w:szCs w:val="24"/>
        </w:rPr>
        <w:t xml:space="preserve"> final regulations incorporate clarifications issued by the Departments through subregulatory guidance since the issuance of the interim final regulations, and provide new clarifications on issues such as nonquantitative treatment limitations </w:t>
      </w:r>
      <w:r w:rsidR="003860F7">
        <w:rPr>
          <w:b w:val="0"/>
          <w:sz w:val="24"/>
          <w:szCs w:val="24"/>
        </w:rPr>
        <w:t xml:space="preserve">and </w:t>
      </w:r>
      <w:r w:rsidRPr="008F0DD2">
        <w:rPr>
          <w:b w:val="0"/>
          <w:sz w:val="24"/>
          <w:szCs w:val="24"/>
        </w:rPr>
        <w:t>the increased cost exemption.</w:t>
      </w:r>
      <w:r w:rsidR="003833C1">
        <w:rPr>
          <w:b w:val="0"/>
          <w:sz w:val="24"/>
          <w:szCs w:val="24"/>
        </w:rPr>
        <w:t xml:space="preserve"> </w:t>
      </w:r>
      <w:r w:rsidR="003833C1" w:rsidRPr="008F0DD2">
        <w:rPr>
          <w:b w:val="0"/>
          <w:sz w:val="24"/>
          <w:szCs w:val="24"/>
        </w:rPr>
        <w:t>Additionally, the Department of Health and Human Services (HHS) final regulation regarding essential health benefits (EHB) requires qualified</w:t>
      </w:r>
      <w:r w:rsidR="00D41ACA">
        <w:rPr>
          <w:b w:val="0"/>
          <w:sz w:val="24"/>
          <w:szCs w:val="24"/>
        </w:rPr>
        <w:t xml:space="preserve"> non-</w:t>
      </w:r>
      <w:r w:rsidR="00C501AA">
        <w:rPr>
          <w:b w:val="0"/>
          <w:sz w:val="24"/>
          <w:szCs w:val="24"/>
        </w:rPr>
        <w:t>grandfathered</w:t>
      </w:r>
      <w:r w:rsidR="003833C1" w:rsidRPr="008F0DD2">
        <w:rPr>
          <w:b w:val="0"/>
          <w:sz w:val="24"/>
          <w:szCs w:val="24"/>
        </w:rPr>
        <w:t xml:space="preserve"> health plans and health insurance issuers in the individual and small group markets </w:t>
      </w:r>
      <w:r w:rsidR="003833C1">
        <w:rPr>
          <w:b w:val="0"/>
          <w:sz w:val="24"/>
          <w:szCs w:val="24"/>
        </w:rPr>
        <w:t xml:space="preserve">(plan with less than 50 participants) </w:t>
      </w:r>
      <w:r w:rsidR="003833C1" w:rsidRPr="008F0DD2">
        <w:rPr>
          <w:b w:val="0"/>
          <w:sz w:val="24"/>
          <w:szCs w:val="24"/>
        </w:rPr>
        <w:t>to comply with the requirements of MHPAEA and its implementing regulations in order to satisfy the requirement to cover EHB.</w:t>
      </w:r>
      <w:r w:rsidR="003833C1" w:rsidRPr="008F0DD2">
        <w:rPr>
          <w:rStyle w:val="FootnoteReference"/>
          <w:b w:val="0"/>
          <w:sz w:val="24"/>
          <w:szCs w:val="24"/>
          <w:vertAlign w:val="superscript"/>
        </w:rPr>
        <w:footnoteReference w:id="1"/>
      </w:r>
      <w:r w:rsidR="003833C1">
        <w:rPr>
          <w:b w:val="0"/>
          <w:sz w:val="24"/>
          <w:szCs w:val="24"/>
        </w:rPr>
        <w:t xml:space="preserve">  This information collection </w:t>
      </w:r>
      <w:r w:rsidR="00D3218B">
        <w:rPr>
          <w:b w:val="0"/>
          <w:sz w:val="24"/>
          <w:szCs w:val="24"/>
        </w:rPr>
        <w:t xml:space="preserve">has been revised to </w:t>
      </w:r>
      <w:r w:rsidR="003833C1">
        <w:rPr>
          <w:b w:val="0"/>
          <w:sz w:val="24"/>
          <w:szCs w:val="24"/>
        </w:rPr>
        <w:t>include these added burden</w:t>
      </w:r>
      <w:r w:rsidR="00D72175">
        <w:rPr>
          <w:b w:val="0"/>
          <w:sz w:val="24"/>
          <w:szCs w:val="24"/>
        </w:rPr>
        <w:t>s</w:t>
      </w:r>
      <w:r w:rsidR="003833C1">
        <w:rPr>
          <w:b w:val="0"/>
          <w:sz w:val="24"/>
          <w:szCs w:val="24"/>
        </w:rPr>
        <w:t>.</w:t>
      </w:r>
    </w:p>
    <w:p w:rsidR="006A6772" w:rsidRDefault="006A6772" w:rsidP="00F04752">
      <w:pPr>
        <w:rPr>
          <w:rStyle w:val="footnoteref"/>
          <w:b w:val="0"/>
          <w:sz w:val="24"/>
          <w:szCs w:val="24"/>
        </w:rPr>
      </w:pPr>
    </w:p>
    <w:p w:rsidR="006A6772" w:rsidRPr="000D006B" w:rsidRDefault="006A6772" w:rsidP="00F04752">
      <w:pPr>
        <w:rPr>
          <w:rStyle w:val="footnoteref"/>
          <w:b w:val="0"/>
          <w:sz w:val="24"/>
          <w:szCs w:val="24"/>
        </w:rPr>
      </w:pPr>
    </w:p>
    <w:p w:rsidR="000D006B" w:rsidRDefault="000D006B" w:rsidP="00F04752">
      <w:pPr>
        <w:rPr>
          <w:rStyle w:val="footnoteref"/>
          <w:b w:val="0"/>
          <w:sz w:val="24"/>
          <w:szCs w:val="24"/>
        </w:rPr>
      </w:pPr>
    </w:p>
    <w:p w:rsidR="000F3328" w:rsidRPr="00F04752" w:rsidRDefault="000F3328" w:rsidP="00F04752">
      <w:pPr>
        <w:rPr>
          <w:b w:val="0"/>
          <w:sz w:val="24"/>
          <w:szCs w:val="24"/>
        </w:rPr>
      </w:pPr>
      <w:r>
        <w:tab/>
      </w:r>
      <w:r w:rsidRPr="00F04752">
        <w:rPr>
          <w:b w:val="0"/>
          <w:sz w:val="24"/>
          <w:szCs w:val="24"/>
        </w:rPr>
        <w:t xml:space="preserve">MHPAEA </w:t>
      </w:r>
      <w:r w:rsidR="000D006B" w:rsidRPr="00F04752">
        <w:rPr>
          <w:b w:val="0"/>
          <w:sz w:val="24"/>
          <w:szCs w:val="24"/>
        </w:rPr>
        <w:t xml:space="preserve">and the final regulations (29 CFR 2590.712(d)) </w:t>
      </w:r>
      <w:r w:rsidRPr="00F04752">
        <w:rPr>
          <w:b w:val="0"/>
          <w:sz w:val="24"/>
          <w:szCs w:val="24"/>
        </w:rPr>
        <w:t xml:space="preserve">require plan administrators to provide two disclosures regarding MH/SUD benefits--one providing criteria for medical necessity determinations </w:t>
      </w:r>
      <w:r w:rsidR="000D006B" w:rsidRPr="00F04752">
        <w:rPr>
          <w:b w:val="0"/>
          <w:sz w:val="24"/>
          <w:szCs w:val="24"/>
        </w:rPr>
        <w:t xml:space="preserve">(medical necessity disclosure) </w:t>
      </w:r>
      <w:r w:rsidRPr="00F04752">
        <w:rPr>
          <w:b w:val="0"/>
          <w:sz w:val="24"/>
          <w:szCs w:val="24"/>
        </w:rPr>
        <w:t>and the other providing the reason for denial of claims reimbursement</w:t>
      </w:r>
      <w:r w:rsidR="000D006B" w:rsidRPr="00F04752">
        <w:rPr>
          <w:b w:val="0"/>
          <w:sz w:val="24"/>
          <w:szCs w:val="24"/>
        </w:rPr>
        <w:t xml:space="preserve"> (claims denial disclosure)</w:t>
      </w:r>
      <w:r w:rsidRPr="00F04752">
        <w:rPr>
          <w:b w:val="0"/>
          <w:sz w:val="24"/>
          <w:szCs w:val="24"/>
        </w:rPr>
        <w:t>. These disclosures are information collection requests for purposes of the Paperwork Reduction Act and are discussed below.</w:t>
      </w:r>
    </w:p>
    <w:p w:rsidR="000F3328" w:rsidRPr="00F04752" w:rsidRDefault="000F3328" w:rsidP="00F04752">
      <w:pPr>
        <w:rPr>
          <w:b w:val="0"/>
          <w:sz w:val="24"/>
          <w:szCs w:val="24"/>
        </w:rPr>
      </w:pPr>
    </w:p>
    <w:p w:rsidR="000F3328" w:rsidRPr="00F04752" w:rsidRDefault="000F3328" w:rsidP="00F04752">
      <w:pPr>
        <w:rPr>
          <w:b w:val="0"/>
          <w:i/>
          <w:sz w:val="24"/>
          <w:szCs w:val="24"/>
        </w:rPr>
      </w:pPr>
      <w:r w:rsidRPr="00F04752">
        <w:rPr>
          <w:b w:val="0"/>
          <w:i/>
          <w:sz w:val="24"/>
          <w:szCs w:val="24"/>
        </w:rPr>
        <w:t>Medical Necessity Disclosure under MHPAEA</w:t>
      </w:r>
    </w:p>
    <w:p w:rsidR="000F3328" w:rsidRPr="00F04752" w:rsidRDefault="000F3328" w:rsidP="00F04752">
      <w:pPr>
        <w:rPr>
          <w:b w:val="0"/>
          <w:i/>
          <w:sz w:val="24"/>
          <w:szCs w:val="24"/>
        </w:rPr>
      </w:pPr>
    </w:p>
    <w:p w:rsidR="000F3328" w:rsidRPr="00F04752" w:rsidRDefault="000F3328" w:rsidP="00A6466E">
      <w:pPr>
        <w:ind w:firstLine="720"/>
        <w:rPr>
          <w:b w:val="0"/>
          <w:sz w:val="24"/>
          <w:szCs w:val="24"/>
        </w:rPr>
      </w:pPr>
      <w:r w:rsidRPr="00F04752">
        <w:rPr>
          <w:b w:val="0"/>
          <w:sz w:val="24"/>
          <w:szCs w:val="24"/>
        </w:rPr>
        <w:t xml:space="preserve">MHPAEA </w:t>
      </w:r>
      <w:r w:rsidR="000D006B" w:rsidRPr="00F04752">
        <w:rPr>
          <w:b w:val="0"/>
          <w:sz w:val="24"/>
          <w:szCs w:val="24"/>
        </w:rPr>
        <w:t xml:space="preserve">and section 29 CFR 2590.712(d) (1) </w:t>
      </w:r>
      <w:r w:rsidRPr="00F04752">
        <w:rPr>
          <w:b w:val="0"/>
          <w:sz w:val="24"/>
          <w:szCs w:val="24"/>
        </w:rPr>
        <w:t xml:space="preserve">require </w:t>
      </w:r>
      <w:r w:rsidR="00FB5429">
        <w:rPr>
          <w:b w:val="0"/>
          <w:sz w:val="24"/>
          <w:szCs w:val="24"/>
        </w:rPr>
        <w:t xml:space="preserve">a </w:t>
      </w:r>
      <w:r w:rsidRPr="00F04752">
        <w:rPr>
          <w:b w:val="0"/>
          <w:sz w:val="24"/>
          <w:szCs w:val="24"/>
        </w:rPr>
        <w:t>plan</w:t>
      </w:r>
      <w:r w:rsidR="000D006B" w:rsidRPr="00F04752">
        <w:rPr>
          <w:b w:val="0"/>
          <w:sz w:val="24"/>
          <w:szCs w:val="24"/>
        </w:rPr>
        <w:t xml:space="preserve"> administrator</w:t>
      </w:r>
      <w:r w:rsidRPr="00F04752">
        <w:rPr>
          <w:b w:val="0"/>
          <w:sz w:val="24"/>
          <w:szCs w:val="24"/>
        </w:rPr>
        <w:t xml:space="preserve"> to provide, upon request, the criteria for medical necessity determinations made with respect to MH/SUD benefits to current or potential participants, beneficiaries, or contracting providers. </w:t>
      </w:r>
      <w:r w:rsidR="000D006B" w:rsidRPr="00F04752">
        <w:rPr>
          <w:b w:val="0"/>
          <w:sz w:val="24"/>
          <w:szCs w:val="24"/>
        </w:rPr>
        <w:t xml:space="preserve"> </w:t>
      </w:r>
      <w:r w:rsidRPr="00F04752">
        <w:rPr>
          <w:b w:val="0"/>
          <w:sz w:val="24"/>
          <w:szCs w:val="24"/>
        </w:rPr>
        <w:t xml:space="preserve">Accordingly, any plan that receives a request from a current or potential plan participant, beneficiary, or contracting health care provider must provide that party with a Medical Necessity Disclosure under MHPAEA. </w:t>
      </w:r>
      <w:r w:rsidR="00F04752" w:rsidRPr="00F04752">
        <w:rPr>
          <w:b w:val="0"/>
          <w:sz w:val="24"/>
          <w:szCs w:val="24"/>
        </w:rPr>
        <w:t>The Department of Labor,</w:t>
      </w:r>
      <w:r w:rsidRPr="00F04752">
        <w:rPr>
          <w:b w:val="0"/>
          <w:sz w:val="24"/>
          <w:szCs w:val="24"/>
        </w:rPr>
        <w:t xml:space="preserve"> however, is not proposing that plans or issuers use a specific form. </w:t>
      </w:r>
    </w:p>
    <w:p w:rsidR="000F3328" w:rsidRPr="00F04752" w:rsidRDefault="000F3328" w:rsidP="00F04752">
      <w:pPr>
        <w:rPr>
          <w:b w:val="0"/>
          <w:sz w:val="24"/>
          <w:szCs w:val="24"/>
        </w:rPr>
      </w:pPr>
    </w:p>
    <w:p w:rsidR="000F3328" w:rsidRPr="00F04752" w:rsidRDefault="000F3328" w:rsidP="00F04752">
      <w:pPr>
        <w:rPr>
          <w:b w:val="0"/>
          <w:i/>
          <w:sz w:val="24"/>
          <w:szCs w:val="24"/>
        </w:rPr>
      </w:pPr>
      <w:r w:rsidRPr="00F04752">
        <w:rPr>
          <w:b w:val="0"/>
          <w:i/>
          <w:sz w:val="24"/>
          <w:szCs w:val="24"/>
        </w:rPr>
        <w:t>Claims Denial Disclosure under MHPAEA</w:t>
      </w:r>
    </w:p>
    <w:p w:rsidR="00F04752" w:rsidRPr="00F04752" w:rsidRDefault="00F04752" w:rsidP="00F04752">
      <w:pPr>
        <w:rPr>
          <w:b w:val="0"/>
          <w:i/>
          <w:sz w:val="24"/>
          <w:szCs w:val="24"/>
        </w:rPr>
      </w:pPr>
    </w:p>
    <w:p w:rsidR="000F3328" w:rsidRPr="00F04752" w:rsidRDefault="00F04752" w:rsidP="00F04752">
      <w:pPr>
        <w:ind w:firstLine="720"/>
        <w:rPr>
          <w:b w:val="0"/>
          <w:sz w:val="24"/>
          <w:szCs w:val="24"/>
        </w:rPr>
      </w:pPr>
      <w:r w:rsidRPr="00F04752">
        <w:rPr>
          <w:b w:val="0"/>
          <w:sz w:val="24"/>
          <w:szCs w:val="24"/>
        </w:rPr>
        <w:t xml:space="preserve">MHPAEA and these final regulations </w:t>
      </w:r>
      <w:r>
        <w:rPr>
          <w:b w:val="0"/>
          <w:sz w:val="24"/>
          <w:szCs w:val="24"/>
        </w:rPr>
        <w:t>(29 CFR 2510.712(d)(2)</w:t>
      </w:r>
      <w:r w:rsidR="003860F7">
        <w:rPr>
          <w:b w:val="0"/>
          <w:sz w:val="24"/>
          <w:szCs w:val="24"/>
        </w:rPr>
        <w:t>)</w:t>
      </w:r>
      <w:r>
        <w:rPr>
          <w:b w:val="0"/>
          <w:sz w:val="24"/>
          <w:szCs w:val="24"/>
        </w:rPr>
        <w:t xml:space="preserve"> </w:t>
      </w:r>
      <w:r w:rsidRPr="00F04752">
        <w:rPr>
          <w:b w:val="0"/>
          <w:sz w:val="24"/>
          <w:szCs w:val="24"/>
        </w:rPr>
        <w:t>also provide that the reason for any denial under a group health plan (or health insurance coverage) of reimbursement or payment for services with respect to mental health or substance use disorder benefits in the case of any participant or beneficiary must be made available upon request or as otherwise required by the plan administrator (or the health insurance issuer offering such coverage) to t</w:t>
      </w:r>
      <w:r>
        <w:rPr>
          <w:b w:val="0"/>
          <w:sz w:val="24"/>
          <w:szCs w:val="24"/>
        </w:rPr>
        <w:t xml:space="preserve">he participant or beneficiary. </w:t>
      </w:r>
      <w:r w:rsidRPr="00F04752">
        <w:rPr>
          <w:b w:val="0"/>
          <w:sz w:val="24"/>
          <w:szCs w:val="24"/>
        </w:rPr>
        <w:t xml:space="preserve">The Department of Labor’s ERISA claims procedure regulation (29 CFR 2560.503-1) requires, among other things, </w:t>
      </w:r>
      <w:r w:rsidR="00380D0F" w:rsidRPr="00380D0F">
        <w:rPr>
          <w:b w:val="0"/>
          <w:sz w:val="24"/>
          <w:szCs w:val="24"/>
        </w:rPr>
        <w:t xml:space="preserve">plans to provide a claimant who is denied a claim with a written or electronic notice that contains the specific reasons for denial, a reference to the relevant plan provisions on which the denial is based, a description of any additional information necessary to perfect the claim, and a description of steps to be taken if the participant or beneficiary wishes to appeal the denial.  The regulation also requires that any adverse decision upon review be in writing (including electronic means) and include specific reasons for the decision, as well as references to relevant plan provisions. </w:t>
      </w:r>
      <w:r>
        <w:rPr>
          <w:b w:val="0"/>
          <w:sz w:val="24"/>
          <w:szCs w:val="24"/>
        </w:rPr>
        <w:t>Therefore, the</w:t>
      </w:r>
      <w:r w:rsidRPr="00F04752">
        <w:rPr>
          <w:b w:val="0"/>
          <w:sz w:val="24"/>
          <w:szCs w:val="24"/>
        </w:rPr>
        <w:t xml:space="preserve"> final regulations provide that </w:t>
      </w:r>
      <w:r>
        <w:rPr>
          <w:b w:val="0"/>
          <w:sz w:val="24"/>
          <w:szCs w:val="24"/>
        </w:rPr>
        <w:t xml:space="preserve">ERISA-covered </w:t>
      </w:r>
      <w:r w:rsidRPr="00F04752">
        <w:rPr>
          <w:b w:val="0"/>
          <w:sz w:val="24"/>
          <w:szCs w:val="24"/>
        </w:rPr>
        <w:t xml:space="preserve">plans (and health insurance coverage offered in connection with such plans) will be deemed to satisfy the MHPAEA claims denial disclosure requirement if they comply with the ERISA claims procedure regulation.  </w:t>
      </w:r>
    </w:p>
    <w:p w:rsidR="00AA1E33" w:rsidRDefault="00B062B9" w:rsidP="00EB5A4E">
      <w:pPr>
        <w:pStyle w:val="Quick1"/>
        <w:widowControl/>
        <w:numPr>
          <w:ilvl w:val="0"/>
          <w:numId w:val="0"/>
        </w:numPr>
        <w:tabs>
          <w:tab w:val="left" w:pos="-1440"/>
        </w:tabs>
        <w:rPr>
          <w:b w:val="0"/>
          <w:bCs w:val="0"/>
          <w:iCs/>
          <w:sz w:val="24"/>
        </w:rPr>
      </w:pPr>
      <w:r>
        <w:rPr>
          <w:b w:val="0"/>
          <w:bCs w:val="0"/>
          <w:iCs/>
          <w:sz w:val="24"/>
        </w:rPr>
        <w:tab/>
      </w:r>
      <w:r w:rsidR="0042020C" w:rsidRPr="0042020C">
        <w:rPr>
          <w:b w:val="0"/>
          <w:bCs w:val="0"/>
          <w:iCs/>
          <w:sz w:val="24"/>
        </w:rPr>
        <w:t xml:space="preserve"> </w:t>
      </w:r>
    </w:p>
    <w:p w:rsidR="00282B87" w:rsidRPr="0042020C" w:rsidRDefault="00282B87" w:rsidP="00282B87">
      <w:pPr>
        <w:pStyle w:val="Quick1"/>
        <w:widowControl/>
        <w:numPr>
          <w:ilvl w:val="0"/>
          <w:numId w:val="0"/>
        </w:numPr>
        <w:tabs>
          <w:tab w:val="left" w:pos="-1440"/>
        </w:tabs>
        <w:rPr>
          <w:b w:val="0"/>
          <w:bCs w:val="0"/>
          <w:iCs/>
          <w:sz w:val="24"/>
        </w:rPr>
      </w:pPr>
    </w:p>
    <w:p w:rsidR="00AA1E33" w:rsidRDefault="00AA1E33">
      <w:pPr>
        <w:pStyle w:val="Quick1"/>
        <w:widowControl/>
        <w:numPr>
          <w:ilvl w:val="0"/>
          <w:numId w:val="0"/>
        </w:numPr>
        <w:tabs>
          <w:tab w:val="left" w:pos="-1440"/>
        </w:tabs>
        <w:rPr>
          <w:b w:val="0"/>
          <w:bCs w:val="0"/>
        </w:rPr>
      </w:pPr>
      <w:r>
        <w:rPr>
          <w:b w:val="0"/>
          <w:bCs w:val="0"/>
        </w:rPr>
        <w:t xml:space="preserve">2.  </w:t>
      </w:r>
      <w:r>
        <w:rPr>
          <w:b w:val="0"/>
          <w:bCs w:val="0"/>
          <w:i/>
          <w:iCs/>
        </w:rPr>
        <w:t>Indicate how, by whom, and for what purpose the information is to be used.  Except for a new collection, indicate the actual use the agency has made of the information received from the current collection.</w:t>
      </w:r>
    </w:p>
    <w:p w:rsidR="00AA1E33" w:rsidRDefault="00AA1E33">
      <w:pPr>
        <w:pStyle w:val="Quick1"/>
        <w:widowControl/>
        <w:numPr>
          <w:ilvl w:val="0"/>
          <w:numId w:val="0"/>
        </w:numPr>
        <w:ind w:left="720" w:hanging="720"/>
        <w:rPr>
          <w:b w:val="0"/>
          <w:bCs w:val="0"/>
          <w:sz w:val="24"/>
        </w:rPr>
      </w:pPr>
    </w:p>
    <w:p w:rsidR="00380D0F" w:rsidRPr="00912617" w:rsidRDefault="00380D0F" w:rsidP="00380D0F">
      <w:pPr>
        <w:pStyle w:val="Quick1"/>
        <w:widowControl/>
        <w:numPr>
          <w:ilvl w:val="0"/>
          <w:numId w:val="0"/>
        </w:numPr>
        <w:tabs>
          <w:tab w:val="left" w:pos="-1440"/>
        </w:tabs>
        <w:rPr>
          <w:b w:val="0"/>
          <w:bCs w:val="0"/>
          <w:i/>
          <w:sz w:val="24"/>
        </w:rPr>
      </w:pPr>
      <w:r w:rsidRPr="00912617">
        <w:rPr>
          <w:b w:val="0"/>
          <w:bCs w:val="0"/>
          <w:i/>
          <w:sz w:val="24"/>
        </w:rPr>
        <w:t xml:space="preserve">Medical Necessity Disclosure </w:t>
      </w:r>
    </w:p>
    <w:p w:rsidR="00380D0F" w:rsidRPr="00380D0F" w:rsidRDefault="00380D0F" w:rsidP="00380D0F">
      <w:pPr>
        <w:pStyle w:val="Quick1"/>
        <w:widowControl/>
        <w:numPr>
          <w:ilvl w:val="0"/>
          <w:numId w:val="0"/>
        </w:numPr>
        <w:tabs>
          <w:tab w:val="left" w:pos="-1440"/>
        </w:tabs>
        <w:rPr>
          <w:bCs w:val="0"/>
          <w:sz w:val="24"/>
        </w:rPr>
      </w:pPr>
    </w:p>
    <w:p w:rsidR="00380D0F" w:rsidRDefault="00380D0F" w:rsidP="00380D0F">
      <w:pPr>
        <w:pStyle w:val="Quick1"/>
        <w:widowControl/>
        <w:numPr>
          <w:ilvl w:val="0"/>
          <w:numId w:val="0"/>
        </w:numPr>
        <w:tabs>
          <w:tab w:val="left" w:pos="-1440"/>
        </w:tabs>
        <w:rPr>
          <w:b w:val="0"/>
          <w:bCs w:val="0"/>
          <w:sz w:val="24"/>
        </w:rPr>
      </w:pPr>
      <w:r>
        <w:rPr>
          <w:b w:val="0"/>
          <w:bCs w:val="0"/>
          <w:sz w:val="24"/>
        </w:rPr>
        <w:lastRenderedPageBreak/>
        <w:tab/>
      </w:r>
      <w:r w:rsidR="00912617">
        <w:rPr>
          <w:b w:val="0"/>
          <w:bCs w:val="0"/>
          <w:sz w:val="24"/>
        </w:rPr>
        <w:t xml:space="preserve">As discussed above, MHPAEA and these final regulations require </w:t>
      </w:r>
      <w:r w:rsidRPr="00380D0F">
        <w:rPr>
          <w:b w:val="0"/>
          <w:bCs w:val="0"/>
          <w:sz w:val="24"/>
        </w:rPr>
        <w:t xml:space="preserve">plans and issuers </w:t>
      </w:r>
      <w:r w:rsidR="00912617">
        <w:rPr>
          <w:b w:val="0"/>
          <w:bCs w:val="0"/>
          <w:sz w:val="24"/>
        </w:rPr>
        <w:t xml:space="preserve">to </w:t>
      </w:r>
      <w:r w:rsidRPr="00380D0F">
        <w:rPr>
          <w:b w:val="0"/>
          <w:bCs w:val="0"/>
          <w:sz w:val="24"/>
        </w:rPr>
        <w:t xml:space="preserve">provide a Medical Necessity Disclosure. Receiving this information will enable potential and current participants and beneficiaries to make more </w:t>
      </w:r>
      <w:r w:rsidR="00912617">
        <w:rPr>
          <w:b w:val="0"/>
          <w:bCs w:val="0"/>
          <w:sz w:val="24"/>
        </w:rPr>
        <w:t xml:space="preserve">informed </w:t>
      </w:r>
      <w:r w:rsidRPr="00380D0F">
        <w:rPr>
          <w:b w:val="0"/>
          <w:bCs w:val="0"/>
          <w:sz w:val="24"/>
        </w:rPr>
        <w:t xml:space="preserve">decisions </w:t>
      </w:r>
      <w:r w:rsidR="00912617">
        <w:rPr>
          <w:b w:val="0"/>
          <w:bCs w:val="0"/>
          <w:sz w:val="24"/>
        </w:rPr>
        <w:t xml:space="preserve">regarding </w:t>
      </w:r>
      <w:r w:rsidRPr="00380D0F">
        <w:rPr>
          <w:b w:val="0"/>
          <w:bCs w:val="0"/>
          <w:sz w:val="24"/>
        </w:rPr>
        <w:t xml:space="preserve">the choices available to them </w:t>
      </w:r>
      <w:r w:rsidR="007B05BB">
        <w:rPr>
          <w:b w:val="0"/>
          <w:bCs w:val="0"/>
          <w:sz w:val="24"/>
        </w:rPr>
        <w:t xml:space="preserve">under </w:t>
      </w:r>
      <w:r w:rsidRPr="00380D0F">
        <w:rPr>
          <w:b w:val="0"/>
          <w:bCs w:val="0"/>
          <w:sz w:val="24"/>
        </w:rPr>
        <w:t>their plans and hopefully result in better treatment of their MH/SUD conditions.  MHPAEA also requires plans a</w:t>
      </w:r>
      <w:r w:rsidR="00912617">
        <w:rPr>
          <w:b w:val="0"/>
          <w:bCs w:val="0"/>
          <w:sz w:val="24"/>
        </w:rPr>
        <w:t xml:space="preserve">dministrators to </w:t>
      </w:r>
      <w:r w:rsidRPr="00380D0F">
        <w:rPr>
          <w:b w:val="0"/>
          <w:bCs w:val="0"/>
          <w:sz w:val="24"/>
        </w:rPr>
        <w:t xml:space="preserve">provide the Medical Necessity Disclosure to current and potential contracting health care providers. Because medically necessary criteria generally indicate appropriate treatment </w:t>
      </w:r>
      <w:r w:rsidR="007B05BB">
        <w:rPr>
          <w:b w:val="0"/>
          <w:bCs w:val="0"/>
          <w:sz w:val="24"/>
        </w:rPr>
        <w:t xml:space="preserve">for </w:t>
      </w:r>
      <w:r w:rsidRPr="00380D0F">
        <w:rPr>
          <w:b w:val="0"/>
          <w:bCs w:val="0"/>
          <w:sz w:val="24"/>
        </w:rPr>
        <w:t xml:space="preserve">certain illnesses in accordance with standards of good medical practice, this information should enable physicians and institutions to structure available resources to provide the most efficient </w:t>
      </w:r>
      <w:r w:rsidR="007B05BB">
        <w:rPr>
          <w:b w:val="0"/>
          <w:bCs w:val="0"/>
          <w:sz w:val="24"/>
        </w:rPr>
        <w:t xml:space="preserve">mental </w:t>
      </w:r>
      <w:r w:rsidRPr="00380D0F">
        <w:rPr>
          <w:b w:val="0"/>
          <w:bCs w:val="0"/>
          <w:sz w:val="24"/>
        </w:rPr>
        <w:t xml:space="preserve">health care for their patients. </w:t>
      </w:r>
    </w:p>
    <w:p w:rsidR="007B05BB" w:rsidRDefault="007B05BB" w:rsidP="00380D0F">
      <w:pPr>
        <w:pStyle w:val="Quick1"/>
        <w:widowControl/>
        <w:numPr>
          <w:ilvl w:val="0"/>
          <w:numId w:val="0"/>
        </w:numPr>
        <w:tabs>
          <w:tab w:val="left" w:pos="-1440"/>
        </w:tabs>
        <w:rPr>
          <w:b w:val="0"/>
          <w:bCs w:val="0"/>
          <w:sz w:val="24"/>
        </w:rPr>
      </w:pPr>
    </w:p>
    <w:p w:rsidR="00380D0F" w:rsidRPr="007B05BB" w:rsidRDefault="00380D0F" w:rsidP="00380D0F">
      <w:pPr>
        <w:pStyle w:val="Quick1"/>
        <w:widowControl/>
        <w:numPr>
          <w:ilvl w:val="0"/>
          <w:numId w:val="0"/>
        </w:numPr>
        <w:tabs>
          <w:tab w:val="left" w:pos="-1440"/>
        </w:tabs>
        <w:rPr>
          <w:b w:val="0"/>
          <w:bCs w:val="0"/>
          <w:i/>
          <w:sz w:val="24"/>
        </w:rPr>
      </w:pPr>
    </w:p>
    <w:p w:rsidR="00380D0F" w:rsidRPr="007B05BB" w:rsidRDefault="00380D0F" w:rsidP="00380D0F">
      <w:pPr>
        <w:pStyle w:val="Quick1"/>
        <w:widowControl/>
        <w:numPr>
          <w:ilvl w:val="0"/>
          <w:numId w:val="0"/>
        </w:numPr>
        <w:tabs>
          <w:tab w:val="left" w:pos="-1440"/>
        </w:tabs>
        <w:rPr>
          <w:b w:val="0"/>
          <w:bCs w:val="0"/>
          <w:i/>
          <w:sz w:val="24"/>
        </w:rPr>
      </w:pPr>
      <w:r w:rsidRPr="007B05BB">
        <w:rPr>
          <w:b w:val="0"/>
          <w:bCs w:val="0"/>
          <w:i/>
          <w:sz w:val="24"/>
        </w:rPr>
        <w:t xml:space="preserve">Claims Denial Disclosure </w:t>
      </w:r>
    </w:p>
    <w:p w:rsidR="00380D0F" w:rsidRDefault="00380D0F" w:rsidP="00380D0F">
      <w:pPr>
        <w:pStyle w:val="Quick1"/>
        <w:widowControl/>
        <w:numPr>
          <w:ilvl w:val="0"/>
          <w:numId w:val="0"/>
        </w:numPr>
        <w:tabs>
          <w:tab w:val="left" w:pos="-1440"/>
        </w:tabs>
        <w:rPr>
          <w:b w:val="0"/>
          <w:bCs w:val="0"/>
          <w:sz w:val="24"/>
        </w:rPr>
      </w:pPr>
    </w:p>
    <w:p w:rsidR="00380D0F" w:rsidRPr="00380D0F" w:rsidRDefault="00380D0F" w:rsidP="00380D0F">
      <w:pPr>
        <w:pStyle w:val="Quick1"/>
        <w:widowControl/>
        <w:numPr>
          <w:ilvl w:val="0"/>
          <w:numId w:val="0"/>
        </w:numPr>
        <w:tabs>
          <w:tab w:val="left" w:pos="-1440"/>
        </w:tabs>
        <w:rPr>
          <w:b w:val="0"/>
          <w:bCs w:val="0"/>
          <w:sz w:val="24"/>
        </w:rPr>
      </w:pPr>
      <w:r>
        <w:rPr>
          <w:b w:val="0"/>
          <w:bCs w:val="0"/>
          <w:sz w:val="24"/>
        </w:rPr>
        <w:tab/>
      </w:r>
      <w:r w:rsidRPr="00380D0F">
        <w:rPr>
          <w:b w:val="0"/>
          <w:bCs w:val="0"/>
          <w:sz w:val="24"/>
        </w:rPr>
        <w:t xml:space="preserve">Upon request, </w:t>
      </w:r>
      <w:r w:rsidR="007B05BB">
        <w:rPr>
          <w:b w:val="0"/>
          <w:bCs w:val="0"/>
          <w:sz w:val="24"/>
        </w:rPr>
        <w:t xml:space="preserve">MHPAEA and the final regulations require </w:t>
      </w:r>
      <w:r w:rsidRPr="00380D0F">
        <w:rPr>
          <w:b w:val="0"/>
          <w:bCs w:val="0"/>
          <w:sz w:val="24"/>
        </w:rPr>
        <w:t xml:space="preserve">plans and issuers </w:t>
      </w:r>
      <w:r w:rsidR="007B05BB">
        <w:rPr>
          <w:b w:val="0"/>
          <w:bCs w:val="0"/>
          <w:sz w:val="24"/>
        </w:rPr>
        <w:t xml:space="preserve">to </w:t>
      </w:r>
      <w:r w:rsidRPr="00380D0F">
        <w:rPr>
          <w:b w:val="0"/>
          <w:bCs w:val="0"/>
          <w:sz w:val="24"/>
        </w:rPr>
        <w:t xml:space="preserve">explain the reason that a specific claim is denied. Most practically, participants and beneficiaries need this information to determine whether they agree with the decision and, if not, whether to </w:t>
      </w:r>
      <w:r w:rsidR="007B05BB">
        <w:rPr>
          <w:b w:val="0"/>
          <w:bCs w:val="0"/>
          <w:sz w:val="24"/>
        </w:rPr>
        <w:t xml:space="preserve">pursue an </w:t>
      </w:r>
      <w:r w:rsidRPr="00380D0F">
        <w:rPr>
          <w:b w:val="0"/>
          <w:bCs w:val="0"/>
          <w:sz w:val="24"/>
        </w:rPr>
        <w:t xml:space="preserve">appeal. </w:t>
      </w:r>
    </w:p>
    <w:p w:rsidR="00AA1E33" w:rsidRDefault="00AA1E33">
      <w:pPr>
        <w:pStyle w:val="Quick1"/>
        <w:widowControl/>
        <w:numPr>
          <w:ilvl w:val="0"/>
          <w:numId w:val="0"/>
        </w:numPr>
        <w:ind w:left="720"/>
        <w:rPr>
          <w:b w:val="0"/>
          <w:bCs w:val="0"/>
          <w:sz w:val="24"/>
        </w:rPr>
      </w:pPr>
    </w:p>
    <w:p w:rsidR="00AA1E33" w:rsidRDefault="00AA1E33">
      <w:pPr>
        <w:widowControl/>
        <w:rPr>
          <w:b w:val="0"/>
          <w:bCs w:val="0"/>
          <w:sz w:val="24"/>
        </w:rPr>
      </w:pPr>
    </w:p>
    <w:p w:rsidR="00AA1E33" w:rsidRDefault="00AA1E33">
      <w:pPr>
        <w:pStyle w:val="Quick1"/>
        <w:widowControl/>
        <w:numPr>
          <w:ilvl w:val="0"/>
          <w:numId w:val="0"/>
        </w:numPr>
        <w:rPr>
          <w:b w:val="0"/>
          <w:bCs w:val="0"/>
          <w:i/>
          <w:iCs/>
        </w:rPr>
      </w:pPr>
      <w:r>
        <w:rPr>
          <w:b w:val="0"/>
          <w:bCs w:val="0"/>
        </w:rPr>
        <w:t xml:space="preserve">3.  </w:t>
      </w:r>
      <w:r>
        <w:rPr>
          <w:b w:val="0"/>
          <w:bCs w:val="0"/>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AA1E33" w:rsidRDefault="00AA1E33">
      <w:pPr>
        <w:pStyle w:val="Quick1"/>
        <w:widowControl/>
        <w:numPr>
          <w:ilvl w:val="0"/>
          <w:numId w:val="0"/>
        </w:numPr>
        <w:rPr>
          <w:b w:val="0"/>
          <w:bCs w:val="0"/>
          <w:sz w:val="24"/>
        </w:rPr>
      </w:pPr>
    </w:p>
    <w:p w:rsidR="00380D0F" w:rsidRPr="00380D0F" w:rsidRDefault="00380D0F" w:rsidP="00380D0F">
      <w:pPr>
        <w:pStyle w:val="BodyText"/>
        <w:ind w:firstLine="720"/>
        <w:rPr>
          <w:iCs/>
        </w:rPr>
      </w:pPr>
      <w:r w:rsidRPr="00380D0F">
        <w:rPr>
          <w:iCs/>
        </w:rPr>
        <w:t>The regulation does not restrict plans or issuers from using electronic technology to provide either disclosure.</w:t>
      </w:r>
      <w:r>
        <w:rPr>
          <w:iCs/>
        </w:rPr>
        <w:t xml:space="preserve"> </w:t>
      </w:r>
      <w:r w:rsidR="007B05BB">
        <w:rPr>
          <w:iCs/>
        </w:rPr>
        <w:t>The Department of Labor’s regulations u</w:t>
      </w:r>
      <w:r w:rsidRPr="00380D0F">
        <w:rPr>
          <w:iCs/>
        </w:rPr>
        <w:t xml:space="preserve">nder 29 C.F.R. § 2520.104b-1(b) </w:t>
      </w:r>
      <w:r w:rsidR="007B05BB">
        <w:rPr>
          <w:iCs/>
        </w:rPr>
        <w:t>provide that</w:t>
      </w:r>
      <w:r w:rsidRPr="00380D0F">
        <w:rPr>
          <w:iCs/>
        </w:rPr>
        <w:t xml:space="preserve">,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w:t>
      </w:r>
      <w:r w:rsidR="007B05BB">
        <w:rPr>
          <w:iCs/>
        </w:rPr>
        <w:t xml:space="preserve">29 CFR </w:t>
      </w:r>
      <w:r w:rsidRPr="00380D0F">
        <w:rPr>
          <w:iCs/>
        </w:rPr>
        <w:t xml:space="preserve">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  </w:t>
      </w:r>
    </w:p>
    <w:p w:rsidR="00380D0F" w:rsidRPr="00380D0F" w:rsidRDefault="00380D0F" w:rsidP="00380D0F">
      <w:pPr>
        <w:pStyle w:val="BodyText"/>
        <w:ind w:firstLine="720"/>
        <w:rPr>
          <w:iCs/>
        </w:rPr>
      </w:pPr>
    </w:p>
    <w:p w:rsidR="00AA1E33" w:rsidRPr="00380D0F" w:rsidRDefault="00380D0F" w:rsidP="00380D0F">
      <w:pPr>
        <w:pStyle w:val="BodyText"/>
        <w:ind w:firstLine="720"/>
        <w:rPr>
          <w:iCs/>
        </w:rPr>
      </w:pPr>
      <w:r w:rsidRPr="00380D0F">
        <w:rPr>
          <w:iCs/>
        </w:rPr>
        <w:t>The Government Paperwork Elimination Act (GPEA) requires agencies to allow customers the option to submit information or transact with the government electronically, when practicable.  Where feasible, and subject to resource availability and resolution of legal issues, EBSA has implemented the electronic acceptance of information submitted by customers to the federal government.</w:t>
      </w:r>
    </w:p>
    <w:p w:rsidR="00380D0F" w:rsidRDefault="00380D0F">
      <w:pPr>
        <w:pStyle w:val="BodyText"/>
        <w:rPr>
          <w:i/>
          <w:iCs/>
        </w:rPr>
      </w:pPr>
    </w:p>
    <w:p w:rsidR="00AA1E33" w:rsidRDefault="00AA1E33" w:rsidP="00380D0F">
      <w:pPr>
        <w:widowControl/>
        <w:numPr>
          <w:ilvl w:val="0"/>
          <w:numId w:val="24"/>
        </w:numPr>
        <w:tabs>
          <w:tab w:val="left" w:pos="-1440"/>
        </w:tabs>
        <w:rPr>
          <w:b w:val="0"/>
          <w:bCs w:val="0"/>
          <w:i/>
          <w:iCs/>
        </w:rPr>
      </w:pPr>
      <w:r>
        <w:rPr>
          <w:b w:val="0"/>
          <w:bCs w:val="0"/>
          <w:i/>
          <w:iCs/>
        </w:rPr>
        <w:t>Describe efforts to identify duplication.  Show specifically why any similar information already available cannot be used or modified for use for the purposes described in Item 2 above.</w:t>
      </w:r>
    </w:p>
    <w:p w:rsidR="00380D0F" w:rsidRDefault="00380D0F" w:rsidP="00D172CA">
      <w:pPr>
        <w:widowControl/>
        <w:tabs>
          <w:tab w:val="left" w:pos="-1440"/>
        </w:tabs>
        <w:ind w:left="360"/>
        <w:rPr>
          <w:b w:val="0"/>
          <w:bCs w:val="0"/>
          <w:i/>
          <w:iCs/>
        </w:rPr>
      </w:pPr>
    </w:p>
    <w:p w:rsidR="00AA1E33" w:rsidRDefault="00D172CA" w:rsidP="00380D0F">
      <w:pPr>
        <w:widowControl/>
        <w:tabs>
          <w:tab w:val="left" w:pos="-1440"/>
        </w:tabs>
        <w:rPr>
          <w:b w:val="0"/>
          <w:bCs w:val="0"/>
          <w:sz w:val="24"/>
        </w:rPr>
      </w:pPr>
      <w:r>
        <w:rPr>
          <w:b w:val="0"/>
          <w:bCs w:val="0"/>
          <w:sz w:val="24"/>
        </w:rPr>
        <w:tab/>
      </w:r>
      <w:r w:rsidR="00380D0F" w:rsidRPr="00380D0F">
        <w:rPr>
          <w:b w:val="0"/>
          <w:bCs w:val="0"/>
          <w:sz w:val="24"/>
        </w:rPr>
        <w:t xml:space="preserve">MHPAEA amended ERISA and the </w:t>
      </w:r>
      <w:r w:rsidR="00380D0F">
        <w:rPr>
          <w:b w:val="0"/>
          <w:bCs w:val="0"/>
          <w:sz w:val="24"/>
        </w:rPr>
        <w:t xml:space="preserve">Internal Revenue </w:t>
      </w:r>
      <w:r w:rsidR="00380D0F" w:rsidRPr="00380D0F">
        <w:rPr>
          <w:b w:val="0"/>
          <w:bCs w:val="0"/>
          <w:sz w:val="24"/>
        </w:rPr>
        <w:t xml:space="preserve">Code in addition to the PHS Act. Accordingly, both the Department of </w:t>
      </w:r>
      <w:r w:rsidR="00380D0F">
        <w:rPr>
          <w:b w:val="0"/>
          <w:bCs w:val="0"/>
          <w:sz w:val="24"/>
        </w:rPr>
        <w:t xml:space="preserve">Health and Human Services </w:t>
      </w:r>
      <w:r w:rsidR="00B62EB4">
        <w:rPr>
          <w:b w:val="0"/>
          <w:bCs w:val="0"/>
          <w:sz w:val="24"/>
        </w:rPr>
        <w:t xml:space="preserve">(HHS) </w:t>
      </w:r>
      <w:r w:rsidR="00380D0F">
        <w:rPr>
          <w:b w:val="0"/>
          <w:bCs w:val="0"/>
          <w:sz w:val="24"/>
        </w:rPr>
        <w:t>a</w:t>
      </w:r>
      <w:r w:rsidR="00380D0F" w:rsidRPr="00380D0F">
        <w:rPr>
          <w:b w:val="0"/>
          <w:bCs w:val="0"/>
          <w:sz w:val="24"/>
        </w:rPr>
        <w:t xml:space="preserve">nd the </w:t>
      </w:r>
      <w:r w:rsidR="00B62EB4">
        <w:rPr>
          <w:b w:val="0"/>
          <w:bCs w:val="0"/>
          <w:sz w:val="24"/>
        </w:rPr>
        <w:t>Department of the Treasury (</w:t>
      </w:r>
      <w:r w:rsidR="00380D0F" w:rsidRPr="00380D0F">
        <w:rPr>
          <w:b w:val="0"/>
          <w:bCs w:val="0"/>
          <w:sz w:val="24"/>
        </w:rPr>
        <w:t>Treasury) will require plans and issuers to provide, upon request, medical necessity and claims denial disclosures as well</w:t>
      </w:r>
      <w:r w:rsidR="00DB582F">
        <w:rPr>
          <w:b w:val="0"/>
          <w:bCs w:val="0"/>
          <w:sz w:val="24"/>
        </w:rPr>
        <w:t xml:space="preserve"> as the Department of Labor</w:t>
      </w:r>
      <w:r w:rsidR="00380D0F" w:rsidRPr="00380D0F">
        <w:rPr>
          <w:b w:val="0"/>
          <w:bCs w:val="0"/>
          <w:sz w:val="24"/>
        </w:rPr>
        <w:t xml:space="preserve">. </w:t>
      </w:r>
      <w:r w:rsidR="00DB582F">
        <w:rPr>
          <w:b w:val="0"/>
          <w:bCs w:val="0"/>
          <w:sz w:val="24"/>
        </w:rPr>
        <w:t>There will be no duplication of effort with HHS and Treasury, however,</w:t>
      </w:r>
      <w:r w:rsidR="00380D0F" w:rsidRPr="00380D0F">
        <w:rPr>
          <w:b w:val="0"/>
          <w:bCs w:val="0"/>
          <w:sz w:val="24"/>
        </w:rPr>
        <w:t xml:space="preserve"> because only </w:t>
      </w:r>
      <w:r w:rsidR="00B62EB4">
        <w:rPr>
          <w:b w:val="0"/>
          <w:bCs w:val="0"/>
          <w:sz w:val="24"/>
        </w:rPr>
        <w:t xml:space="preserve">the Department of Labor </w:t>
      </w:r>
      <w:r w:rsidR="00380D0F" w:rsidRPr="00380D0F">
        <w:rPr>
          <w:b w:val="0"/>
          <w:bCs w:val="0"/>
          <w:sz w:val="24"/>
        </w:rPr>
        <w:t xml:space="preserve">oversees </w:t>
      </w:r>
      <w:r w:rsidR="00B62EB4">
        <w:rPr>
          <w:b w:val="0"/>
          <w:bCs w:val="0"/>
          <w:sz w:val="24"/>
        </w:rPr>
        <w:t xml:space="preserve">ERISA-covered group </w:t>
      </w:r>
      <w:r w:rsidR="00380D0F" w:rsidRPr="00380D0F">
        <w:rPr>
          <w:b w:val="0"/>
          <w:bCs w:val="0"/>
          <w:sz w:val="24"/>
        </w:rPr>
        <w:t>health plans.</w:t>
      </w:r>
    </w:p>
    <w:p w:rsidR="003833C1" w:rsidRDefault="003833C1" w:rsidP="00380D0F">
      <w:pPr>
        <w:widowControl/>
        <w:tabs>
          <w:tab w:val="left" w:pos="-1440"/>
        </w:tabs>
        <w:rPr>
          <w:b w:val="0"/>
          <w:bCs w:val="0"/>
          <w:sz w:val="24"/>
        </w:rPr>
      </w:pPr>
    </w:p>
    <w:p w:rsidR="003833C1" w:rsidRDefault="003833C1" w:rsidP="00380D0F">
      <w:pPr>
        <w:widowControl/>
        <w:tabs>
          <w:tab w:val="left" w:pos="-1440"/>
        </w:tabs>
        <w:rPr>
          <w:b w:val="0"/>
          <w:bCs w:val="0"/>
          <w:sz w:val="24"/>
        </w:rPr>
      </w:pPr>
      <w:r>
        <w:rPr>
          <w:b w:val="0"/>
          <w:sz w:val="24"/>
          <w:szCs w:val="24"/>
        </w:rPr>
        <w:tab/>
        <w:t>Also, the</w:t>
      </w:r>
      <w:r w:rsidRPr="00F04752">
        <w:rPr>
          <w:b w:val="0"/>
          <w:sz w:val="24"/>
          <w:szCs w:val="24"/>
        </w:rPr>
        <w:t xml:space="preserve"> final regulations provide that </w:t>
      </w:r>
      <w:r>
        <w:rPr>
          <w:b w:val="0"/>
          <w:sz w:val="24"/>
          <w:szCs w:val="24"/>
        </w:rPr>
        <w:t xml:space="preserve">ERISA-covered </w:t>
      </w:r>
      <w:r w:rsidRPr="00F04752">
        <w:rPr>
          <w:b w:val="0"/>
          <w:sz w:val="24"/>
          <w:szCs w:val="24"/>
        </w:rPr>
        <w:t xml:space="preserve">plans (and health insurance coverage offered in connection with such plans) will be deemed to satisfy the MHPAEA claims denial disclosure requirement if they comply with the ERISA claims procedure regulation.  </w:t>
      </w:r>
    </w:p>
    <w:p w:rsidR="00B62EB4" w:rsidRPr="00380D0F" w:rsidRDefault="00B62EB4" w:rsidP="00380D0F">
      <w:pPr>
        <w:widowControl/>
        <w:tabs>
          <w:tab w:val="left" w:pos="-1440"/>
        </w:tabs>
        <w:rPr>
          <w:b w:val="0"/>
          <w:bCs w:val="0"/>
          <w:sz w:val="24"/>
        </w:rPr>
      </w:pPr>
    </w:p>
    <w:p w:rsidR="00AA1E33" w:rsidRDefault="00AA1E33">
      <w:pPr>
        <w:pStyle w:val="BodyText2"/>
      </w:pPr>
      <w:r>
        <w:rPr>
          <w:i w:val="0"/>
          <w:iCs w:val="0"/>
        </w:rPr>
        <w:t xml:space="preserve">5.  </w:t>
      </w:r>
      <w:r>
        <w:t>If the collection of information impacts small businesses or other small entities (Item 5 of OMB Form 83-I), describe any methods used to minimize burden.</w:t>
      </w:r>
    </w:p>
    <w:p w:rsidR="00AA1E33" w:rsidRDefault="00AA1E33">
      <w:pPr>
        <w:widowControl/>
        <w:tabs>
          <w:tab w:val="left" w:pos="-1440"/>
        </w:tabs>
        <w:rPr>
          <w:b w:val="0"/>
          <w:bCs w:val="0"/>
          <w:i/>
          <w:iCs/>
          <w:sz w:val="24"/>
        </w:rPr>
      </w:pPr>
    </w:p>
    <w:p w:rsidR="0056371A" w:rsidRDefault="00AF6B8B" w:rsidP="008F0DD2">
      <w:pPr>
        <w:pStyle w:val="Quick1"/>
        <w:widowControl/>
        <w:numPr>
          <w:ilvl w:val="0"/>
          <w:numId w:val="0"/>
        </w:numPr>
        <w:ind w:firstLine="720"/>
        <w:rPr>
          <w:b w:val="0"/>
          <w:bCs w:val="0"/>
          <w:sz w:val="24"/>
        </w:rPr>
      </w:pPr>
      <w:r>
        <w:rPr>
          <w:b w:val="0"/>
          <w:bCs w:val="0"/>
          <w:sz w:val="24"/>
        </w:rPr>
        <w:t>While MHPAEA does not affect plans with less than 50 participants</w:t>
      </w:r>
      <w:r w:rsidR="00D3218B">
        <w:rPr>
          <w:b w:val="0"/>
          <w:bCs w:val="0"/>
          <w:sz w:val="24"/>
        </w:rPr>
        <w:t>,</w:t>
      </w:r>
      <w:r>
        <w:rPr>
          <w:b w:val="0"/>
          <w:bCs w:val="0"/>
          <w:sz w:val="24"/>
        </w:rPr>
        <w:t xml:space="preserve"> the ACA Essential Health Benefits</w:t>
      </w:r>
      <w:r w:rsidR="00A151B1">
        <w:rPr>
          <w:b w:val="0"/>
          <w:bCs w:val="0"/>
          <w:sz w:val="24"/>
        </w:rPr>
        <w:t xml:space="preserve"> Regulation</w:t>
      </w:r>
      <w:r w:rsidR="00D41ACA">
        <w:rPr>
          <w:b w:val="0"/>
          <w:bCs w:val="0"/>
          <w:sz w:val="24"/>
        </w:rPr>
        <w:t xml:space="preserve"> </w:t>
      </w:r>
      <w:r w:rsidR="00D3218B">
        <w:rPr>
          <w:b w:val="0"/>
          <w:bCs w:val="0"/>
          <w:sz w:val="24"/>
        </w:rPr>
        <w:t xml:space="preserve">requires  </w:t>
      </w:r>
      <w:r w:rsidR="00D41ACA">
        <w:rPr>
          <w:b w:val="0"/>
          <w:bCs w:val="0"/>
          <w:sz w:val="24"/>
        </w:rPr>
        <w:t>non-grandfath</w:t>
      </w:r>
      <w:r w:rsidR="00D3218B">
        <w:rPr>
          <w:b w:val="0"/>
          <w:bCs w:val="0"/>
          <w:sz w:val="24"/>
        </w:rPr>
        <w:t>e</w:t>
      </w:r>
      <w:r w:rsidR="00D41ACA">
        <w:rPr>
          <w:b w:val="0"/>
          <w:bCs w:val="0"/>
          <w:sz w:val="24"/>
        </w:rPr>
        <w:t>red</w:t>
      </w:r>
      <w:r>
        <w:rPr>
          <w:b w:val="0"/>
          <w:bCs w:val="0"/>
          <w:sz w:val="24"/>
        </w:rPr>
        <w:t xml:space="preserve"> plans</w:t>
      </w:r>
      <w:r w:rsidR="00D41ACA">
        <w:rPr>
          <w:b w:val="0"/>
          <w:bCs w:val="0"/>
          <w:sz w:val="24"/>
        </w:rPr>
        <w:t xml:space="preserve"> with less than 50 participants</w:t>
      </w:r>
      <w:r w:rsidR="00D3218B">
        <w:rPr>
          <w:b w:val="0"/>
          <w:bCs w:val="0"/>
          <w:sz w:val="24"/>
        </w:rPr>
        <w:t xml:space="preserve"> to comply with MHPAEA</w:t>
      </w:r>
      <w:r>
        <w:rPr>
          <w:b w:val="0"/>
          <w:bCs w:val="0"/>
          <w:sz w:val="24"/>
        </w:rPr>
        <w:t xml:space="preserve">. </w:t>
      </w:r>
      <w:r w:rsidR="00A151B1">
        <w:rPr>
          <w:b w:val="0"/>
          <w:bCs w:val="0"/>
          <w:sz w:val="24"/>
        </w:rPr>
        <w:t>To help minimize burden</w:t>
      </w:r>
      <w:r w:rsidR="00D3218B">
        <w:rPr>
          <w:b w:val="0"/>
          <w:bCs w:val="0"/>
          <w:sz w:val="24"/>
        </w:rPr>
        <w:t>,</w:t>
      </w:r>
      <w:r w:rsidR="00A151B1">
        <w:rPr>
          <w:b w:val="0"/>
          <w:bCs w:val="0"/>
          <w:sz w:val="24"/>
        </w:rPr>
        <w:t xml:space="preserve"> </w:t>
      </w:r>
      <w:r w:rsidR="00D3218B">
        <w:rPr>
          <w:b w:val="0"/>
          <w:bCs w:val="0"/>
          <w:sz w:val="24"/>
        </w:rPr>
        <w:t>the final regulation</w:t>
      </w:r>
      <w:r w:rsidR="003860F7">
        <w:rPr>
          <w:b w:val="0"/>
          <w:bCs w:val="0"/>
          <w:sz w:val="24"/>
        </w:rPr>
        <w:t>s</w:t>
      </w:r>
      <w:r w:rsidR="00D3218B">
        <w:rPr>
          <w:b w:val="0"/>
          <w:bCs w:val="0"/>
          <w:sz w:val="24"/>
        </w:rPr>
        <w:t xml:space="preserve"> provide</w:t>
      </w:r>
      <w:r w:rsidR="003860F7">
        <w:rPr>
          <w:b w:val="0"/>
          <w:bCs w:val="0"/>
          <w:sz w:val="24"/>
        </w:rPr>
        <w:t xml:space="preserve"> </w:t>
      </w:r>
      <w:r w:rsidR="00D3218B">
        <w:rPr>
          <w:b w:val="0"/>
          <w:bCs w:val="0"/>
          <w:sz w:val="24"/>
        </w:rPr>
        <w:t xml:space="preserve">that </w:t>
      </w:r>
      <w:r w:rsidR="00A151B1">
        <w:rPr>
          <w:b w:val="0"/>
          <w:sz w:val="24"/>
          <w:szCs w:val="24"/>
        </w:rPr>
        <w:t xml:space="preserve">ERISA-covered </w:t>
      </w:r>
      <w:r w:rsidR="00A151B1" w:rsidRPr="00F04752">
        <w:rPr>
          <w:b w:val="0"/>
          <w:sz w:val="24"/>
          <w:szCs w:val="24"/>
        </w:rPr>
        <w:t>plans (and health insurance coverage offered in connection with such plans) will be deemed to satisfy the MHPAEA claims denial disclosure requirement if they comply with the ERISA claims procedure regulation.</w:t>
      </w:r>
    </w:p>
    <w:p w:rsidR="00AF6B8B" w:rsidRDefault="00AF6B8B">
      <w:pPr>
        <w:pStyle w:val="Quick1"/>
        <w:widowControl/>
        <w:numPr>
          <w:ilvl w:val="0"/>
          <w:numId w:val="0"/>
        </w:numPr>
        <w:ind w:left="720"/>
        <w:rPr>
          <w:b w:val="0"/>
          <w:bCs w:val="0"/>
          <w:sz w:val="24"/>
        </w:rPr>
      </w:pPr>
    </w:p>
    <w:p w:rsidR="00AA1E33" w:rsidRDefault="00AA1E33">
      <w:pPr>
        <w:widowControl/>
        <w:tabs>
          <w:tab w:val="left" w:pos="-1440"/>
        </w:tabs>
        <w:rPr>
          <w:b w:val="0"/>
          <w:bCs w:val="0"/>
          <w:i/>
          <w:iCs/>
        </w:rPr>
      </w:pPr>
      <w:r>
        <w:rPr>
          <w:b w:val="0"/>
          <w:bCs w:val="0"/>
        </w:rPr>
        <w:t xml:space="preserve">6.  </w:t>
      </w:r>
      <w:r>
        <w:rPr>
          <w:b w:val="0"/>
          <w:bCs w:val="0"/>
          <w:i/>
          <w:iCs/>
        </w:rPr>
        <w:t>Describe the consequence to Federal program or policy activities if the collection is not conducted or is conducted less frequently, as well as any technical or legal obstacles to reducing burden.</w:t>
      </w:r>
    </w:p>
    <w:p w:rsidR="00AA1E33" w:rsidRDefault="00AA1E33">
      <w:pPr>
        <w:widowControl/>
        <w:tabs>
          <w:tab w:val="left" w:pos="-1440"/>
        </w:tabs>
        <w:rPr>
          <w:b w:val="0"/>
          <w:bCs w:val="0"/>
          <w:i/>
          <w:iCs/>
        </w:rPr>
      </w:pPr>
    </w:p>
    <w:p w:rsidR="0056371A" w:rsidRPr="00B62EB4" w:rsidRDefault="00B62EB4" w:rsidP="00561D3B">
      <w:pPr>
        <w:widowControl/>
        <w:tabs>
          <w:tab w:val="left" w:pos="-1440"/>
        </w:tabs>
        <w:rPr>
          <w:b w:val="0"/>
          <w:bCs w:val="0"/>
          <w:sz w:val="24"/>
        </w:rPr>
      </w:pPr>
      <w:r>
        <w:rPr>
          <w:b w:val="0"/>
          <w:bCs w:val="0"/>
          <w:sz w:val="24"/>
        </w:rPr>
        <w:tab/>
      </w:r>
      <w:r w:rsidRPr="00B62EB4">
        <w:rPr>
          <w:b w:val="0"/>
          <w:bCs w:val="0"/>
          <w:sz w:val="24"/>
        </w:rPr>
        <w:t>The information collection arise</w:t>
      </w:r>
      <w:r w:rsidR="00424E2C">
        <w:rPr>
          <w:b w:val="0"/>
          <w:bCs w:val="0"/>
          <w:sz w:val="24"/>
        </w:rPr>
        <w:t>s</w:t>
      </w:r>
      <w:r w:rsidRPr="00B62EB4">
        <w:rPr>
          <w:b w:val="0"/>
          <w:bCs w:val="0"/>
          <w:sz w:val="24"/>
        </w:rPr>
        <w:t xml:space="preserve"> in connection with the occurrence of individual claims for benefits and consist</w:t>
      </w:r>
      <w:r w:rsidR="00424E2C">
        <w:rPr>
          <w:b w:val="0"/>
          <w:bCs w:val="0"/>
          <w:sz w:val="24"/>
        </w:rPr>
        <w:t>s</w:t>
      </w:r>
      <w:r w:rsidRPr="00B62EB4">
        <w:rPr>
          <w:b w:val="0"/>
          <w:bCs w:val="0"/>
          <w:sz w:val="24"/>
        </w:rPr>
        <w:t xml:space="preserve"> of third-party notices and disclosures.  While no information is reported to the Federal government, if the plans and issuers do not provide the two disclosures or provide those disclosures less frequently, the Federal policy goals underlying MHPAEA would be </w:t>
      </w:r>
      <w:r w:rsidR="00DB582F">
        <w:rPr>
          <w:b w:val="0"/>
          <w:bCs w:val="0"/>
          <w:sz w:val="24"/>
        </w:rPr>
        <w:t>impeded</w:t>
      </w:r>
      <w:r w:rsidRPr="00B62EB4">
        <w:rPr>
          <w:b w:val="0"/>
          <w:bCs w:val="0"/>
          <w:sz w:val="24"/>
        </w:rPr>
        <w:t xml:space="preserve">. Access to information about reasons for denials and medical necessity criteria enables participants, beneficiaries, and health care providers to better utilize health care resources which in turn may result in better treatment for </w:t>
      </w:r>
      <w:r w:rsidR="00082771">
        <w:rPr>
          <w:b w:val="0"/>
          <w:bCs w:val="0"/>
          <w:sz w:val="24"/>
        </w:rPr>
        <w:t xml:space="preserve">mental health/substance use disorder </w:t>
      </w:r>
      <w:r w:rsidRPr="00B62EB4">
        <w:rPr>
          <w:b w:val="0"/>
          <w:bCs w:val="0"/>
          <w:sz w:val="24"/>
        </w:rPr>
        <w:t xml:space="preserve">conditions. At the very least, these disclosures make it easier to </w:t>
      </w:r>
      <w:r w:rsidR="00DB582F">
        <w:rPr>
          <w:b w:val="0"/>
          <w:bCs w:val="0"/>
          <w:sz w:val="24"/>
        </w:rPr>
        <w:t>determine w</w:t>
      </w:r>
      <w:r w:rsidRPr="00B62EB4">
        <w:rPr>
          <w:b w:val="0"/>
          <w:bCs w:val="0"/>
          <w:sz w:val="24"/>
        </w:rPr>
        <w:t xml:space="preserve">hether plans are making decisions about </w:t>
      </w:r>
      <w:r w:rsidR="00082771">
        <w:rPr>
          <w:b w:val="0"/>
          <w:bCs w:val="0"/>
          <w:sz w:val="24"/>
        </w:rPr>
        <w:t>mental health/substance use disorder</w:t>
      </w:r>
      <w:r w:rsidRPr="00B62EB4">
        <w:rPr>
          <w:b w:val="0"/>
          <w:bCs w:val="0"/>
          <w:sz w:val="24"/>
        </w:rPr>
        <w:t xml:space="preserve"> conditions in parity to those made regarding med/surg conditions.  </w:t>
      </w:r>
    </w:p>
    <w:p w:rsidR="00B62EB4" w:rsidRDefault="00B62EB4">
      <w:pPr>
        <w:widowControl/>
        <w:tabs>
          <w:tab w:val="left" w:pos="-1440"/>
        </w:tabs>
        <w:ind w:left="720"/>
        <w:rPr>
          <w:b w:val="0"/>
          <w:bCs w:val="0"/>
          <w:sz w:val="24"/>
        </w:rPr>
      </w:pPr>
    </w:p>
    <w:p w:rsidR="00AA1E33" w:rsidRDefault="00AA1E33">
      <w:pPr>
        <w:widowControl/>
        <w:tabs>
          <w:tab w:val="left" w:pos="-1440"/>
        </w:tabs>
        <w:ind w:left="720" w:hanging="720"/>
        <w:rPr>
          <w:b w:val="0"/>
          <w:bCs w:val="0"/>
          <w:i/>
          <w:iCs/>
          <w:sz w:val="24"/>
        </w:rPr>
      </w:pPr>
      <w:r>
        <w:rPr>
          <w:b w:val="0"/>
          <w:bCs w:val="0"/>
        </w:rPr>
        <w:t xml:space="preserve">7.  </w:t>
      </w:r>
      <w:r>
        <w:rPr>
          <w:b w:val="0"/>
          <w:bCs w:val="0"/>
          <w:i/>
          <w:iCs/>
        </w:rPr>
        <w:t>Explain any special circumstances that would cause an information collection to be conducted in a manner:</w:t>
      </w:r>
    </w:p>
    <w:p w:rsidR="00AA1E33" w:rsidRDefault="00AA1E33">
      <w:pPr>
        <w:widowControl/>
        <w:rPr>
          <w:b w:val="0"/>
          <w:bCs w:val="0"/>
          <w:i/>
          <w:iCs/>
          <w:sz w:val="24"/>
        </w:rPr>
      </w:pPr>
    </w:p>
    <w:p w:rsidR="00AA1E33" w:rsidRDefault="00AA1E33">
      <w:pPr>
        <w:widowControl/>
        <w:numPr>
          <w:ilvl w:val="0"/>
          <w:numId w:val="11"/>
        </w:numPr>
        <w:tabs>
          <w:tab w:val="left" w:pos="-1440"/>
        </w:tabs>
        <w:rPr>
          <w:b w:val="0"/>
          <w:bCs w:val="0"/>
          <w:i/>
          <w:iCs/>
        </w:rPr>
      </w:pPr>
      <w:r>
        <w:rPr>
          <w:b w:val="0"/>
          <w:bCs w:val="0"/>
          <w:i/>
          <w:iCs/>
        </w:rPr>
        <w:t>requiring respondents to report information to the agency more often than quarterly;</w:t>
      </w:r>
    </w:p>
    <w:p w:rsidR="00AA1E33" w:rsidRDefault="00AA1E33">
      <w:pPr>
        <w:widowControl/>
        <w:numPr>
          <w:ilvl w:val="0"/>
          <w:numId w:val="11"/>
        </w:numPr>
        <w:tabs>
          <w:tab w:val="left" w:pos="-1440"/>
        </w:tabs>
        <w:rPr>
          <w:b w:val="0"/>
          <w:bCs w:val="0"/>
          <w:i/>
          <w:iCs/>
          <w:sz w:val="24"/>
        </w:rPr>
      </w:pPr>
      <w:r>
        <w:rPr>
          <w:b w:val="0"/>
          <w:bCs w:val="0"/>
          <w:i/>
          <w:iCs/>
        </w:rPr>
        <w:t>requiring respondents to prepare a written response to a collection of information in fewer than 30 days after receipt of it;</w:t>
      </w:r>
    </w:p>
    <w:p w:rsidR="00AA1E33" w:rsidRDefault="00AA1E33">
      <w:pPr>
        <w:widowControl/>
        <w:numPr>
          <w:ilvl w:val="0"/>
          <w:numId w:val="11"/>
        </w:numPr>
        <w:tabs>
          <w:tab w:val="left" w:pos="-1440"/>
        </w:tabs>
        <w:rPr>
          <w:b w:val="0"/>
          <w:bCs w:val="0"/>
          <w:i/>
          <w:iCs/>
          <w:sz w:val="24"/>
        </w:rPr>
      </w:pPr>
      <w:r>
        <w:rPr>
          <w:b w:val="0"/>
          <w:bCs w:val="0"/>
          <w:i/>
          <w:iCs/>
        </w:rPr>
        <w:lastRenderedPageBreak/>
        <w:t>requiring respondents to submit more than an original and two copies of any document;</w:t>
      </w:r>
    </w:p>
    <w:p w:rsidR="00AA1E33" w:rsidRDefault="00AA1E33">
      <w:pPr>
        <w:widowControl/>
        <w:numPr>
          <w:ilvl w:val="0"/>
          <w:numId w:val="11"/>
        </w:numPr>
        <w:tabs>
          <w:tab w:val="left" w:pos="-1440"/>
        </w:tabs>
        <w:rPr>
          <w:b w:val="0"/>
          <w:bCs w:val="0"/>
          <w:i/>
          <w:iCs/>
        </w:rPr>
      </w:pPr>
      <w:r>
        <w:rPr>
          <w:b w:val="0"/>
          <w:bCs w:val="0"/>
          <w:i/>
          <w:iCs/>
        </w:rPr>
        <w:t>requiring respondents to retain records, other than health, medical, government contract, grant-in-aid, or tax records for more than three years;</w:t>
      </w:r>
    </w:p>
    <w:p w:rsidR="00AA1E33" w:rsidRDefault="00AA1E33">
      <w:pPr>
        <w:widowControl/>
        <w:numPr>
          <w:ilvl w:val="0"/>
          <w:numId w:val="11"/>
        </w:numPr>
        <w:tabs>
          <w:tab w:val="left" w:pos="-1440"/>
        </w:tabs>
        <w:rPr>
          <w:b w:val="0"/>
          <w:bCs w:val="0"/>
          <w:i/>
          <w:iCs/>
        </w:rPr>
      </w:pPr>
      <w:r>
        <w:rPr>
          <w:b w:val="0"/>
          <w:bCs w:val="0"/>
          <w:i/>
          <w:iCs/>
        </w:rPr>
        <w:t>in connection with a statistical survey, that is not designed to produce valid and reliable results that can be generalized to the universe of study;</w:t>
      </w:r>
    </w:p>
    <w:p w:rsidR="00AA1E33" w:rsidRDefault="00AA1E33">
      <w:pPr>
        <w:widowControl/>
        <w:numPr>
          <w:ilvl w:val="0"/>
          <w:numId w:val="11"/>
        </w:numPr>
        <w:tabs>
          <w:tab w:val="left" w:pos="-1440"/>
        </w:tabs>
        <w:rPr>
          <w:b w:val="0"/>
          <w:bCs w:val="0"/>
          <w:i/>
          <w:iCs/>
          <w:sz w:val="24"/>
        </w:rPr>
      </w:pPr>
      <w:r>
        <w:rPr>
          <w:b w:val="0"/>
          <w:bCs w:val="0"/>
          <w:i/>
          <w:iCs/>
        </w:rPr>
        <w:t>requiring the use of a statistical data classification that has not been reviewed and approved by OMB;</w:t>
      </w:r>
    </w:p>
    <w:p w:rsidR="00AA1E33" w:rsidRDefault="00AA1E33">
      <w:pPr>
        <w:widowControl/>
        <w:numPr>
          <w:ilvl w:val="0"/>
          <w:numId w:val="11"/>
        </w:numPr>
        <w:tabs>
          <w:tab w:val="left" w:pos="-1440"/>
        </w:tabs>
        <w:rPr>
          <w:b w:val="0"/>
          <w:bCs w:val="0"/>
          <w:i/>
          <w:iCs/>
        </w:rPr>
      </w:pPr>
      <w:r>
        <w:rPr>
          <w:b w:val="0"/>
          <w:bCs w:val="0"/>
          <w:i/>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A1E33" w:rsidRDefault="00AA1E33">
      <w:pPr>
        <w:widowControl/>
        <w:numPr>
          <w:ilvl w:val="0"/>
          <w:numId w:val="11"/>
        </w:numPr>
        <w:tabs>
          <w:tab w:val="left" w:pos="-1440"/>
        </w:tabs>
        <w:rPr>
          <w:b w:val="0"/>
          <w:bCs w:val="0"/>
          <w:i/>
          <w:iCs/>
          <w:sz w:val="24"/>
        </w:rPr>
      </w:pPr>
      <w:r>
        <w:rPr>
          <w:b w:val="0"/>
          <w:bCs w:val="0"/>
          <w:i/>
          <w:iCs/>
        </w:rPr>
        <w:t>requiring respondents to submit proprietary trade secret, or other confidential information unless the agency can demonstrate that it has instituted procedures to protect the information's confidentiality to the extent permitted by law.</w:t>
      </w:r>
    </w:p>
    <w:p w:rsidR="00AA1E33" w:rsidRDefault="00AA1E33">
      <w:pPr>
        <w:widowControl/>
        <w:tabs>
          <w:tab w:val="left" w:pos="-1440"/>
        </w:tabs>
        <w:ind w:left="1440" w:hanging="720"/>
        <w:rPr>
          <w:b w:val="0"/>
          <w:bCs w:val="0"/>
          <w:i/>
          <w:iCs/>
          <w:sz w:val="24"/>
        </w:rPr>
      </w:pPr>
    </w:p>
    <w:p w:rsidR="00AA1E33" w:rsidRDefault="00AA1E33">
      <w:pPr>
        <w:pStyle w:val="BodyTextIndent2"/>
        <w:widowControl/>
        <w:rPr>
          <w:b w:val="0"/>
          <w:bCs w:val="0"/>
        </w:rPr>
      </w:pPr>
      <w:r>
        <w:rPr>
          <w:b w:val="0"/>
          <w:bCs w:val="0"/>
        </w:rPr>
        <w:t>None.</w:t>
      </w:r>
    </w:p>
    <w:p w:rsidR="00AA1E33" w:rsidRDefault="00AA1E33">
      <w:pPr>
        <w:widowControl/>
        <w:tabs>
          <w:tab w:val="left" w:pos="-1440"/>
        </w:tabs>
        <w:ind w:left="720" w:hanging="720"/>
        <w:rPr>
          <w:b w:val="0"/>
          <w:bCs w:val="0"/>
          <w:sz w:val="24"/>
        </w:rPr>
      </w:pPr>
    </w:p>
    <w:p w:rsidR="00AA1E33" w:rsidRDefault="00AA1E33">
      <w:pPr>
        <w:widowControl/>
        <w:tabs>
          <w:tab w:val="left" w:pos="-1440"/>
        </w:tabs>
        <w:rPr>
          <w:b w:val="0"/>
          <w:bCs w:val="0"/>
          <w:i/>
          <w:iCs/>
          <w:sz w:val="24"/>
        </w:rPr>
      </w:pPr>
      <w:r>
        <w:rPr>
          <w:b w:val="0"/>
          <w:bCs w:val="0"/>
        </w:rPr>
        <w:t xml:space="preserve">8.  </w:t>
      </w:r>
      <w:r>
        <w:rPr>
          <w:b w:val="0"/>
          <w:bCs w:val="0"/>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A1E33" w:rsidRDefault="00AA1E33">
      <w:pPr>
        <w:widowControl/>
        <w:rPr>
          <w:b w:val="0"/>
          <w:bCs w:val="0"/>
          <w:i/>
          <w:iCs/>
          <w:sz w:val="24"/>
        </w:rPr>
      </w:pPr>
    </w:p>
    <w:p w:rsidR="00AA1E33" w:rsidRDefault="00AA1E33">
      <w:pPr>
        <w:pStyle w:val="BodyText3"/>
        <w:rPr>
          <w:b w:val="0"/>
          <w:bCs w:val="0"/>
        </w:rPr>
      </w:pPr>
      <w:r>
        <w:rPr>
          <w:b w:val="0"/>
          <w:bCs w:val="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A1E33" w:rsidRDefault="00AA1E33">
      <w:pPr>
        <w:widowControl/>
        <w:rPr>
          <w:b w:val="0"/>
          <w:bCs w:val="0"/>
          <w:i/>
          <w:iCs/>
          <w:sz w:val="24"/>
        </w:rPr>
      </w:pPr>
    </w:p>
    <w:p w:rsidR="00AA1E33" w:rsidRDefault="00AA1E33">
      <w:pPr>
        <w:pStyle w:val="BodyText3"/>
      </w:pPr>
      <w:r>
        <w:rPr>
          <w:b w:val="0"/>
          <w:bCs w:val="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A1E33" w:rsidRDefault="00AA1E33">
      <w:pPr>
        <w:widowControl/>
        <w:ind w:left="720"/>
        <w:rPr>
          <w:b w:val="0"/>
          <w:bCs w:val="0"/>
          <w:i/>
          <w:iCs/>
          <w:sz w:val="24"/>
        </w:rPr>
      </w:pPr>
    </w:p>
    <w:p w:rsidR="00FB5429" w:rsidRPr="00FB5429" w:rsidRDefault="00FB5429" w:rsidP="00FB5429">
      <w:pPr>
        <w:widowControl/>
        <w:ind w:firstLine="720"/>
        <w:rPr>
          <w:b w:val="0"/>
          <w:bCs w:val="0"/>
          <w:sz w:val="24"/>
          <w:szCs w:val="24"/>
        </w:rPr>
      </w:pPr>
      <w:r w:rsidRPr="00FB5429">
        <w:rPr>
          <w:b w:val="0"/>
          <w:bCs w:val="0"/>
          <w:sz w:val="24"/>
          <w:szCs w:val="24"/>
        </w:rPr>
        <w:t>The Department</w:t>
      </w:r>
      <w:r w:rsidR="00C660C3">
        <w:rPr>
          <w:b w:val="0"/>
          <w:bCs w:val="0"/>
          <w:sz w:val="24"/>
          <w:szCs w:val="24"/>
        </w:rPr>
        <w:t xml:space="preserve"> provided the public with 60-days to comment </w:t>
      </w:r>
      <w:r w:rsidR="00804383">
        <w:rPr>
          <w:b w:val="0"/>
          <w:bCs w:val="0"/>
          <w:sz w:val="24"/>
          <w:szCs w:val="24"/>
        </w:rPr>
        <w:t xml:space="preserve">on </w:t>
      </w:r>
      <w:r w:rsidR="00C660C3">
        <w:rPr>
          <w:b w:val="0"/>
          <w:bCs w:val="0"/>
          <w:sz w:val="24"/>
          <w:szCs w:val="24"/>
        </w:rPr>
        <w:t xml:space="preserve">the ICR at the interim final rule stage and in a </w:t>
      </w:r>
      <w:r w:rsidR="00804383">
        <w:rPr>
          <w:b w:val="0"/>
          <w:bCs w:val="0"/>
          <w:sz w:val="24"/>
          <w:szCs w:val="24"/>
        </w:rPr>
        <w:t>proposed notice</w:t>
      </w:r>
      <w:r w:rsidR="00C660C3">
        <w:rPr>
          <w:b w:val="0"/>
          <w:bCs w:val="0"/>
          <w:sz w:val="24"/>
          <w:szCs w:val="24"/>
        </w:rPr>
        <w:t xml:space="preserve"> of extension of the ICR that was published in the </w:t>
      </w:r>
      <w:r w:rsidRPr="00FB5429">
        <w:rPr>
          <w:b w:val="0"/>
          <w:bCs w:val="0"/>
          <w:sz w:val="24"/>
          <w:szCs w:val="24"/>
          <w:u w:val="single"/>
        </w:rPr>
        <w:t>Federal Register</w:t>
      </w:r>
      <w:r w:rsidRPr="00FB5429">
        <w:rPr>
          <w:b w:val="0"/>
          <w:bCs w:val="0"/>
          <w:sz w:val="24"/>
          <w:szCs w:val="24"/>
        </w:rPr>
        <w:t xml:space="preserve"> </w:t>
      </w:r>
      <w:r w:rsidR="00804383">
        <w:rPr>
          <w:b w:val="0"/>
          <w:bCs w:val="0"/>
          <w:sz w:val="24"/>
          <w:szCs w:val="24"/>
        </w:rPr>
        <w:t xml:space="preserve">on November 27, 2012 as required by </w:t>
      </w:r>
      <w:r w:rsidRPr="00FB5429">
        <w:rPr>
          <w:b w:val="0"/>
          <w:bCs w:val="0"/>
          <w:sz w:val="24"/>
          <w:szCs w:val="24"/>
        </w:rPr>
        <w:t xml:space="preserve"> 5 CFR 1320.8(d)</w:t>
      </w:r>
      <w:r w:rsidR="00C660C3">
        <w:rPr>
          <w:b w:val="0"/>
          <w:bCs w:val="0"/>
          <w:sz w:val="24"/>
          <w:szCs w:val="24"/>
        </w:rPr>
        <w:t xml:space="preserve"> </w:t>
      </w:r>
      <w:r w:rsidR="0087539B">
        <w:rPr>
          <w:b w:val="0"/>
          <w:bCs w:val="0"/>
          <w:sz w:val="24"/>
          <w:szCs w:val="24"/>
        </w:rPr>
        <w:t xml:space="preserve"> </w:t>
      </w:r>
      <w:r w:rsidR="001F7342">
        <w:rPr>
          <w:b w:val="0"/>
          <w:bCs w:val="0"/>
          <w:sz w:val="24"/>
          <w:szCs w:val="24"/>
        </w:rPr>
        <w:t>(</w:t>
      </w:r>
      <w:r w:rsidR="0087539B">
        <w:rPr>
          <w:b w:val="0"/>
          <w:bCs w:val="0"/>
          <w:sz w:val="24"/>
          <w:szCs w:val="24"/>
        </w:rPr>
        <w:t>77</w:t>
      </w:r>
      <w:r w:rsidR="001F7342">
        <w:rPr>
          <w:b w:val="0"/>
          <w:bCs w:val="0"/>
          <w:sz w:val="24"/>
          <w:szCs w:val="24"/>
        </w:rPr>
        <w:t xml:space="preserve"> FR </w:t>
      </w:r>
      <w:r w:rsidR="0087539B">
        <w:rPr>
          <w:b w:val="0"/>
          <w:bCs w:val="0"/>
          <w:sz w:val="24"/>
          <w:szCs w:val="24"/>
        </w:rPr>
        <w:t xml:space="preserve"> 70829</w:t>
      </w:r>
      <w:r w:rsidRPr="00FB5429">
        <w:rPr>
          <w:b w:val="0"/>
          <w:bCs w:val="0"/>
          <w:sz w:val="24"/>
          <w:szCs w:val="24"/>
        </w:rPr>
        <w:t>)</w:t>
      </w:r>
      <w:r w:rsidR="00804383">
        <w:rPr>
          <w:b w:val="0"/>
          <w:bCs w:val="0"/>
          <w:sz w:val="24"/>
          <w:szCs w:val="24"/>
        </w:rPr>
        <w:t>.</w:t>
      </w:r>
      <w:r w:rsidRPr="00FB5429">
        <w:rPr>
          <w:b w:val="0"/>
          <w:bCs w:val="0"/>
          <w:sz w:val="24"/>
          <w:szCs w:val="24"/>
        </w:rPr>
        <w:t xml:space="preserve">  No comments were received. </w:t>
      </w:r>
    </w:p>
    <w:p w:rsidR="00A90073" w:rsidRDefault="00A90073">
      <w:pPr>
        <w:pStyle w:val="BodyText"/>
        <w:ind w:left="720"/>
        <w:rPr>
          <w:bCs/>
        </w:rPr>
      </w:pPr>
    </w:p>
    <w:p w:rsidR="00AA1E33" w:rsidRDefault="00AA1E33">
      <w:pPr>
        <w:widowControl/>
        <w:tabs>
          <w:tab w:val="left" w:pos="-1440"/>
        </w:tabs>
        <w:rPr>
          <w:b w:val="0"/>
          <w:bCs w:val="0"/>
          <w:i/>
          <w:iCs/>
          <w:sz w:val="24"/>
        </w:rPr>
      </w:pPr>
      <w:r>
        <w:rPr>
          <w:b w:val="0"/>
          <w:bCs w:val="0"/>
        </w:rPr>
        <w:t xml:space="preserve">9.  </w:t>
      </w:r>
      <w:r>
        <w:rPr>
          <w:b w:val="0"/>
          <w:bCs w:val="0"/>
          <w:i/>
          <w:iCs/>
        </w:rPr>
        <w:t>Explain any decision to provide any payment or gift to respondents, other than remuneration of contractors or grantees.</w:t>
      </w:r>
    </w:p>
    <w:p w:rsidR="00AA1E33" w:rsidRDefault="00AA1E33">
      <w:pPr>
        <w:widowControl/>
        <w:rPr>
          <w:b w:val="0"/>
          <w:bCs w:val="0"/>
          <w:sz w:val="24"/>
        </w:rPr>
      </w:pPr>
    </w:p>
    <w:p w:rsidR="00AA1E33" w:rsidRDefault="00AA1E33">
      <w:pPr>
        <w:pStyle w:val="BodyText"/>
        <w:ind w:firstLine="720"/>
      </w:pPr>
      <w:r>
        <w:t>None.</w:t>
      </w:r>
    </w:p>
    <w:p w:rsidR="00AA1E33" w:rsidRDefault="00AA1E33">
      <w:pPr>
        <w:widowControl/>
        <w:rPr>
          <w:b w:val="0"/>
          <w:bCs w:val="0"/>
          <w:sz w:val="24"/>
        </w:rPr>
      </w:pPr>
    </w:p>
    <w:p w:rsidR="00AA1E33" w:rsidRDefault="00AA1E33">
      <w:pPr>
        <w:widowControl/>
        <w:tabs>
          <w:tab w:val="left" w:pos="-1440"/>
        </w:tabs>
        <w:rPr>
          <w:b w:val="0"/>
          <w:bCs w:val="0"/>
          <w:i/>
          <w:iCs/>
          <w:sz w:val="24"/>
        </w:rPr>
      </w:pPr>
      <w:r>
        <w:rPr>
          <w:b w:val="0"/>
          <w:bCs w:val="0"/>
        </w:rPr>
        <w:t>10</w:t>
      </w:r>
      <w:r>
        <w:rPr>
          <w:b w:val="0"/>
          <w:bCs w:val="0"/>
          <w:sz w:val="24"/>
        </w:rPr>
        <w:t xml:space="preserve">.  </w:t>
      </w:r>
      <w:r>
        <w:rPr>
          <w:b w:val="0"/>
          <w:bCs w:val="0"/>
          <w:i/>
          <w:iCs/>
        </w:rPr>
        <w:t>Describe any assurance of confidentiality provided to respondents and the basis for the assurance in statute, regulation, or agency policy.</w:t>
      </w:r>
    </w:p>
    <w:p w:rsidR="00AA1E33" w:rsidRDefault="00AA1E33">
      <w:pPr>
        <w:widowControl/>
        <w:rPr>
          <w:b w:val="0"/>
          <w:bCs w:val="0"/>
          <w:sz w:val="24"/>
        </w:rPr>
      </w:pPr>
    </w:p>
    <w:p w:rsidR="003E1E53" w:rsidRDefault="003E1E53">
      <w:pPr>
        <w:widowControl/>
        <w:rPr>
          <w:b w:val="0"/>
          <w:bCs w:val="0"/>
          <w:sz w:val="24"/>
        </w:rPr>
      </w:pPr>
      <w:r>
        <w:rPr>
          <w:b w:val="0"/>
          <w:bCs w:val="0"/>
          <w:sz w:val="24"/>
        </w:rPr>
        <w:tab/>
      </w:r>
      <w:r w:rsidR="00A73525">
        <w:rPr>
          <w:b w:val="0"/>
          <w:bCs w:val="0"/>
          <w:sz w:val="24"/>
        </w:rPr>
        <w:t>Not applicable</w:t>
      </w:r>
    </w:p>
    <w:p w:rsidR="00A73525" w:rsidRPr="003E1E53" w:rsidRDefault="00A73525">
      <w:pPr>
        <w:widowControl/>
        <w:rPr>
          <w:b w:val="0"/>
          <w:bCs w:val="0"/>
          <w:sz w:val="24"/>
        </w:rPr>
      </w:pPr>
    </w:p>
    <w:p w:rsidR="00AA1E33" w:rsidRDefault="00AA1E33">
      <w:pPr>
        <w:widowControl/>
        <w:tabs>
          <w:tab w:val="left" w:pos="-1440"/>
        </w:tabs>
        <w:rPr>
          <w:b w:val="0"/>
          <w:bCs w:val="0"/>
          <w:i/>
          <w:iCs/>
          <w:sz w:val="24"/>
        </w:rPr>
      </w:pPr>
      <w:r>
        <w:rPr>
          <w:b w:val="0"/>
          <w:bCs w:val="0"/>
        </w:rPr>
        <w:lastRenderedPageBreak/>
        <w:t xml:space="preserve">11.  </w:t>
      </w:r>
      <w:r>
        <w:rPr>
          <w:b w:val="0"/>
          <w:bCs w:val="0"/>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A1E33" w:rsidRDefault="00AA1E33">
      <w:pPr>
        <w:widowControl/>
        <w:rPr>
          <w:b w:val="0"/>
          <w:bCs w:val="0"/>
          <w:i/>
          <w:iCs/>
          <w:sz w:val="24"/>
        </w:rPr>
      </w:pPr>
    </w:p>
    <w:p w:rsidR="003E1E53" w:rsidRDefault="003E1E53">
      <w:pPr>
        <w:pStyle w:val="BodyText"/>
      </w:pPr>
      <w:r>
        <w:tab/>
      </w:r>
      <w:r w:rsidR="00A73525">
        <w:t>Not applicable.</w:t>
      </w:r>
    </w:p>
    <w:p w:rsidR="00A73525" w:rsidRDefault="00A73525">
      <w:pPr>
        <w:pStyle w:val="BodyText"/>
      </w:pPr>
    </w:p>
    <w:p w:rsidR="00AA1E33" w:rsidRDefault="00AA1E33">
      <w:pPr>
        <w:widowControl/>
        <w:tabs>
          <w:tab w:val="left" w:pos="-1440"/>
        </w:tabs>
        <w:rPr>
          <w:b w:val="0"/>
          <w:bCs w:val="0"/>
          <w:i/>
          <w:iCs/>
          <w:sz w:val="24"/>
        </w:rPr>
      </w:pPr>
      <w:r>
        <w:rPr>
          <w:b w:val="0"/>
          <w:bCs w:val="0"/>
        </w:rPr>
        <w:t>12</w:t>
      </w:r>
      <w:r>
        <w:rPr>
          <w:b w:val="0"/>
          <w:bCs w:val="0"/>
          <w:i/>
          <w:iCs/>
        </w:rPr>
        <w:t>.  Provide estimates of the hour burden of the collection of information.  The statement should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w:t>
      </w:r>
      <w:r>
        <w:rPr>
          <w:b w:val="0"/>
          <w:bCs w:val="0"/>
          <w:i/>
          <w:iCs/>
          <w:sz w:val="24"/>
        </w:rPr>
        <w:t xml:space="preserve">  </w:t>
      </w:r>
      <w:r>
        <w:rPr>
          <w:b w:val="0"/>
          <w:bCs w:val="0"/>
          <w:i/>
          <w:iCs/>
        </w:rPr>
        <w:t>Generally, estimates should not include burden hours for customary and usual business</w:t>
      </w:r>
      <w:r>
        <w:rPr>
          <w:b w:val="0"/>
          <w:bCs w:val="0"/>
          <w:i/>
          <w:iCs/>
          <w:sz w:val="24"/>
        </w:rPr>
        <w:t xml:space="preserve"> </w:t>
      </w:r>
      <w:r>
        <w:rPr>
          <w:b w:val="0"/>
          <w:bCs w:val="0"/>
          <w:i/>
          <w:iCs/>
        </w:rPr>
        <w:t>practices.</w:t>
      </w:r>
    </w:p>
    <w:p w:rsidR="00AA1E33" w:rsidRDefault="00AA1E33">
      <w:pPr>
        <w:widowControl/>
        <w:rPr>
          <w:b w:val="0"/>
          <w:bCs w:val="0"/>
          <w:i/>
          <w:iCs/>
          <w:sz w:val="24"/>
        </w:rPr>
      </w:pPr>
    </w:p>
    <w:p w:rsidR="00AA1E33" w:rsidRDefault="00AA1E33">
      <w:pPr>
        <w:widowControl/>
        <w:numPr>
          <w:ilvl w:val="0"/>
          <w:numId w:val="10"/>
        </w:numPr>
        <w:tabs>
          <w:tab w:val="left" w:pos="-1440"/>
        </w:tabs>
        <w:rPr>
          <w:b w:val="0"/>
          <w:bCs w:val="0"/>
          <w:i/>
          <w:iCs/>
        </w:rPr>
      </w:pPr>
      <w:r>
        <w:rPr>
          <w:b w:val="0"/>
          <w:bCs w:val="0"/>
          <w:i/>
          <w:iCs/>
        </w:rPr>
        <w:t>If this request for approval covers more than one form, provide separate hour burden estimates for each form and aggregate the hour burdens in Item 13 of OMB Form 83-I.</w:t>
      </w:r>
    </w:p>
    <w:p w:rsidR="00AA1E33" w:rsidRDefault="00AA1E33">
      <w:pPr>
        <w:widowControl/>
        <w:rPr>
          <w:b w:val="0"/>
          <w:bCs w:val="0"/>
          <w:i/>
          <w:iCs/>
        </w:rPr>
      </w:pPr>
    </w:p>
    <w:p w:rsidR="00AA1E33" w:rsidRDefault="00AA1E33" w:rsidP="00652C4A">
      <w:pPr>
        <w:widowControl/>
        <w:numPr>
          <w:ilvl w:val="0"/>
          <w:numId w:val="10"/>
        </w:numPr>
        <w:tabs>
          <w:tab w:val="clear" w:pos="720"/>
          <w:tab w:val="left" w:pos="-1440"/>
        </w:tabs>
        <w:rPr>
          <w:b w:val="0"/>
          <w:bCs w:val="0"/>
          <w:i/>
          <w:iCs/>
          <w:sz w:val="24"/>
        </w:rPr>
      </w:pPr>
      <w:r>
        <w:rPr>
          <w:b w:val="0"/>
          <w:bCs w:val="0"/>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A1E33" w:rsidRDefault="00AA1E33">
      <w:pPr>
        <w:widowControl/>
        <w:tabs>
          <w:tab w:val="left" w:pos="-1440"/>
        </w:tabs>
        <w:rPr>
          <w:b w:val="0"/>
          <w:bCs w:val="0"/>
          <w:i/>
          <w:iCs/>
          <w:sz w:val="24"/>
        </w:rPr>
      </w:pPr>
    </w:p>
    <w:p w:rsidR="00AA1E33" w:rsidRPr="00F32121" w:rsidRDefault="00AA1E33">
      <w:pPr>
        <w:widowControl/>
        <w:numPr>
          <w:ilvl w:val="0"/>
          <w:numId w:val="10"/>
        </w:numPr>
        <w:tabs>
          <w:tab w:val="left" w:pos="-1440"/>
        </w:tabs>
        <w:rPr>
          <w:b w:val="0"/>
          <w:bCs w:val="0"/>
          <w:i/>
          <w:iCs/>
          <w:sz w:val="24"/>
        </w:rPr>
      </w:pPr>
      <w:r>
        <w:rPr>
          <w:b w:val="0"/>
          <w:bCs w:val="0"/>
          <w:i/>
          <w:iCs/>
        </w:rPr>
        <w:t>The cost of contracting out or paying outside parties for information collection activities should not be included here.  Instead, this cost should be included in Item 14.</w:t>
      </w:r>
    </w:p>
    <w:p w:rsidR="00DB582F" w:rsidRDefault="00DB582F" w:rsidP="00DB582F">
      <w:pPr>
        <w:widowControl/>
        <w:tabs>
          <w:tab w:val="left" w:pos="-1440"/>
        </w:tabs>
        <w:ind w:left="720"/>
        <w:rPr>
          <w:b w:val="0"/>
          <w:bCs w:val="0"/>
          <w:i/>
          <w:iCs/>
          <w:sz w:val="24"/>
        </w:rPr>
      </w:pPr>
    </w:p>
    <w:p w:rsidR="00DB582F" w:rsidRDefault="00DB582F" w:rsidP="00652C4A">
      <w:pPr>
        <w:widowControl/>
        <w:tabs>
          <w:tab w:val="left" w:pos="-1440"/>
        </w:tabs>
        <w:ind w:left="90"/>
        <w:rPr>
          <w:b w:val="0"/>
          <w:bCs w:val="0"/>
          <w:iCs/>
          <w:sz w:val="24"/>
        </w:rPr>
      </w:pPr>
      <w:r>
        <w:rPr>
          <w:b w:val="0"/>
          <w:bCs w:val="0"/>
          <w:iCs/>
          <w:sz w:val="24"/>
        </w:rPr>
        <w:tab/>
        <w:t xml:space="preserve">As discussed in item 1 above, </w:t>
      </w:r>
      <w:r w:rsidR="00B62EB4" w:rsidRPr="00B62EB4">
        <w:rPr>
          <w:b w:val="0"/>
          <w:bCs w:val="0"/>
          <w:iCs/>
          <w:sz w:val="24"/>
        </w:rPr>
        <w:t xml:space="preserve">MHPAEA and the regulations </w:t>
      </w:r>
      <w:r w:rsidR="00D172CA">
        <w:rPr>
          <w:b w:val="0"/>
          <w:bCs w:val="0"/>
          <w:iCs/>
          <w:sz w:val="24"/>
        </w:rPr>
        <w:t xml:space="preserve">(29 CFR 2590.712(d)) </w:t>
      </w:r>
      <w:r w:rsidR="00B62EB4" w:rsidRPr="00B62EB4">
        <w:rPr>
          <w:b w:val="0"/>
          <w:bCs w:val="0"/>
          <w:iCs/>
          <w:sz w:val="24"/>
        </w:rPr>
        <w:t xml:space="preserve">contain two disclosure provisions for group health plans and health insurance coverage offered in connection with a group health plan. </w:t>
      </w:r>
      <w:r>
        <w:rPr>
          <w:b w:val="0"/>
          <w:bCs w:val="0"/>
          <w:iCs/>
          <w:sz w:val="24"/>
        </w:rPr>
        <w:t xml:space="preserve">The Claims Denial Disclosure </w:t>
      </w:r>
      <w:r w:rsidR="009461A6">
        <w:rPr>
          <w:b w:val="0"/>
          <w:bCs w:val="0"/>
          <w:iCs/>
          <w:sz w:val="24"/>
        </w:rPr>
        <w:t xml:space="preserve">(29 CFR 2590.712(d)(2) requires </w:t>
      </w:r>
      <w:r w:rsidR="00B62EB4" w:rsidRPr="00B62EB4">
        <w:rPr>
          <w:b w:val="0"/>
          <w:bCs w:val="0"/>
          <w:iCs/>
          <w:sz w:val="24"/>
        </w:rPr>
        <w:t xml:space="preserve">the reason for any denial under a group health plan (or health insurance coverage) of reimbursement or payment for services with respect to mental health or substance use disorder benefits in the case of any participant or beneficiary </w:t>
      </w:r>
      <w:r w:rsidR="007D7EDC">
        <w:rPr>
          <w:b w:val="0"/>
          <w:bCs w:val="0"/>
          <w:iCs/>
          <w:sz w:val="24"/>
        </w:rPr>
        <w:t xml:space="preserve">to </w:t>
      </w:r>
      <w:r w:rsidR="00B62EB4" w:rsidRPr="00B62EB4">
        <w:rPr>
          <w:b w:val="0"/>
          <w:bCs w:val="0"/>
          <w:iCs/>
          <w:sz w:val="24"/>
        </w:rPr>
        <w:t xml:space="preserve">be made available upon request or as otherwise required by the plan administrator (or the health insurance issuer offering such coverage) to the participant or beneficiary.  </w:t>
      </w:r>
    </w:p>
    <w:p w:rsidR="00DB582F" w:rsidRDefault="00DB582F" w:rsidP="00DB582F">
      <w:pPr>
        <w:widowControl/>
        <w:tabs>
          <w:tab w:val="left" w:pos="-1440"/>
        </w:tabs>
        <w:ind w:left="360"/>
        <w:rPr>
          <w:b w:val="0"/>
          <w:bCs w:val="0"/>
          <w:iCs/>
          <w:sz w:val="24"/>
        </w:rPr>
      </w:pPr>
    </w:p>
    <w:p w:rsidR="00DB582F" w:rsidRPr="00F74126" w:rsidRDefault="00652C4A" w:rsidP="00DB582F">
      <w:pPr>
        <w:widowControl/>
        <w:tabs>
          <w:tab w:val="left" w:pos="-1440"/>
        </w:tabs>
        <w:rPr>
          <w:b w:val="0"/>
          <w:bCs w:val="0"/>
          <w:iCs/>
          <w:sz w:val="24"/>
        </w:rPr>
      </w:pPr>
      <w:r>
        <w:rPr>
          <w:b w:val="0"/>
          <w:bCs w:val="0"/>
          <w:iCs/>
          <w:sz w:val="24"/>
        </w:rPr>
        <w:tab/>
      </w:r>
      <w:r w:rsidR="00DB582F" w:rsidRPr="00DB582F">
        <w:rPr>
          <w:b w:val="0"/>
          <w:bCs w:val="0"/>
          <w:iCs/>
          <w:sz w:val="24"/>
        </w:rPr>
        <w:t>The Department of Labor’s ERISA claims procedure regulation (29 CFR 2560.503-1) requires, among other things, provide</w:t>
      </w:r>
      <w:r w:rsidR="00B25F71">
        <w:rPr>
          <w:b w:val="0"/>
          <w:bCs w:val="0"/>
          <w:iCs/>
          <w:sz w:val="24"/>
        </w:rPr>
        <w:t>s</w:t>
      </w:r>
      <w:r w:rsidR="00DB582F" w:rsidRPr="00DB582F">
        <w:rPr>
          <w:b w:val="0"/>
          <w:bCs w:val="0"/>
          <w:iCs/>
          <w:sz w:val="24"/>
        </w:rPr>
        <w:t xml:space="preserve"> a claimant who is denied a claim with a written or electronic notice that contains the specific reasons for denial, a reference to the relevant plan provisions on which the denial is based, a description of any additional information necessary to perfect the claim, and a description of steps to be taken if the participant or beneficiary wishes to appeal the denial.  The regulation also requires that any adverse decision upon review be in writing (including electronic means) and include specific reasons for the decision, as well as references to relevant plan provisions. Therefore, the final regulations </w:t>
      </w:r>
      <w:r w:rsidR="00D40DF0">
        <w:rPr>
          <w:b w:val="0"/>
          <w:bCs w:val="0"/>
          <w:iCs/>
          <w:sz w:val="24"/>
        </w:rPr>
        <w:t xml:space="preserve">(29 CFR 2590.712(d)(2) </w:t>
      </w:r>
      <w:r w:rsidR="00DB582F" w:rsidRPr="00DB582F">
        <w:rPr>
          <w:b w:val="0"/>
          <w:bCs w:val="0"/>
          <w:iCs/>
          <w:sz w:val="24"/>
        </w:rPr>
        <w:t xml:space="preserve">provide that ERISA-covered plans (and health insurance coverage offered in connection with such plans) will be deemed to satisfy the MHPAEA claims denial disclosure requirement if they </w:t>
      </w:r>
      <w:r w:rsidR="00DB582F" w:rsidRPr="00DB582F">
        <w:rPr>
          <w:b w:val="0"/>
          <w:bCs w:val="0"/>
          <w:iCs/>
          <w:sz w:val="24"/>
        </w:rPr>
        <w:lastRenderedPageBreak/>
        <w:t xml:space="preserve">comply with the ERISA claims procedure regulation.  </w:t>
      </w:r>
      <w:r w:rsidR="00C16E62">
        <w:rPr>
          <w:b w:val="0"/>
          <w:bCs w:val="0"/>
          <w:iCs/>
          <w:sz w:val="24"/>
        </w:rPr>
        <w:t xml:space="preserve">This ICR does not apply </w:t>
      </w:r>
      <w:r w:rsidR="00DB582F" w:rsidRPr="00A73525">
        <w:rPr>
          <w:b w:val="0"/>
          <w:bCs w:val="0"/>
          <w:iCs/>
          <w:sz w:val="24"/>
        </w:rPr>
        <w:t xml:space="preserve">to the </w:t>
      </w:r>
      <w:r w:rsidR="00DB582F">
        <w:rPr>
          <w:b w:val="0"/>
          <w:bCs w:val="0"/>
          <w:iCs/>
          <w:sz w:val="24"/>
        </w:rPr>
        <w:t>claims denial notice</w:t>
      </w:r>
      <w:r w:rsidR="00DB582F" w:rsidRPr="00A73525">
        <w:rPr>
          <w:b w:val="0"/>
          <w:bCs w:val="0"/>
          <w:iCs/>
          <w:sz w:val="24"/>
        </w:rPr>
        <w:t xml:space="preserve">, because the costs and burdens associated with complying with the </w:t>
      </w:r>
      <w:r w:rsidR="00DB582F">
        <w:rPr>
          <w:b w:val="0"/>
          <w:bCs w:val="0"/>
          <w:iCs/>
          <w:sz w:val="24"/>
        </w:rPr>
        <w:t xml:space="preserve">claims denial </w:t>
      </w:r>
      <w:r w:rsidR="00DB582F" w:rsidRPr="00A73525">
        <w:rPr>
          <w:b w:val="0"/>
          <w:bCs w:val="0"/>
          <w:iCs/>
          <w:sz w:val="24"/>
        </w:rPr>
        <w:t xml:space="preserve">disclosure requirement </w:t>
      </w:r>
      <w:r w:rsidR="00DB582F" w:rsidRPr="00F74126">
        <w:rPr>
          <w:b w:val="0"/>
          <w:bCs w:val="0"/>
          <w:iCs/>
          <w:sz w:val="24"/>
        </w:rPr>
        <w:t>already are accounted for under</w:t>
      </w:r>
      <w:r>
        <w:rPr>
          <w:b w:val="0"/>
          <w:bCs w:val="0"/>
          <w:iCs/>
          <w:sz w:val="24"/>
        </w:rPr>
        <w:t xml:space="preserve"> </w:t>
      </w:r>
      <w:r w:rsidR="00DB582F" w:rsidRPr="00F74126">
        <w:rPr>
          <w:b w:val="0"/>
          <w:bCs w:val="0"/>
          <w:iCs/>
          <w:sz w:val="24"/>
        </w:rPr>
        <w:t>the</w:t>
      </w:r>
      <w:r w:rsidR="00DB582F">
        <w:rPr>
          <w:b w:val="0"/>
          <w:bCs w:val="0"/>
          <w:iCs/>
          <w:sz w:val="24"/>
        </w:rPr>
        <w:t xml:space="preserve"> Department of Labor’s </w:t>
      </w:r>
      <w:r w:rsidRPr="00652C4A">
        <w:rPr>
          <w:b w:val="0"/>
          <w:bCs w:val="0"/>
          <w:iCs/>
          <w:sz w:val="24"/>
        </w:rPr>
        <w:t xml:space="preserve">Employee Benefit Plan Claims Procedure </w:t>
      </w:r>
      <w:r w:rsidR="00480856">
        <w:rPr>
          <w:b w:val="0"/>
          <w:bCs w:val="0"/>
          <w:iCs/>
          <w:sz w:val="24"/>
        </w:rPr>
        <w:t>u</w:t>
      </w:r>
      <w:r w:rsidRPr="00652C4A">
        <w:rPr>
          <w:b w:val="0"/>
          <w:bCs w:val="0"/>
          <w:iCs/>
          <w:sz w:val="24"/>
        </w:rPr>
        <w:t>nder ERISA</w:t>
      </w:r>
      <w:r>
        <w:rPr>
          <w:b w:val="0"/>
          <w:bCs w:val="0"/>
          <w:iCs/>
          <w:sz w:val="24"/>
        </w:rPr>
        <w:t xml:space="preserve"> regulation (</w:t>
      </w:r>
      <w:r w:rsidR="00DB582F" w:rsidRPr="00F74126">
        <w:rPr>
          <w:b w:val="0"/>
          <w:bCs w:val="0"/>
          <w:iCs/>
          <w:sz w:val="24"/>
        </w:rPr>
        <w:t xml:space="preserve">OMB Control Number </w:t>
      </w:r>
      <w:r w:rsidR="00DB582F">
        <w:rPr>
          <w:b w:val="0"/>
          <w:bCs w:val="0"/>
          <w:iCs/>
          <w:sz w:val="24"/>
        </w:rPr>
        <w:t>1210</w:t>
      </w:r>
      <w:r w:rsidR="00DB582F" w:rsidRPr="00F74126">
        <w:rPr>
          <w:b w:val="0"/>
          <w:bCs w:val="0"/>
          <w:iCs/>
          <w:sz w:val="24"/>
        </w:rPr>
        <w:t>-00</w:t>
      </w:r>
      <w:r>
        <w:rPr>
          <w:b w:val="0"/>
          <w:bCs w:val="0"/>
          <w:iCs/>
          <w:sz w:val="24"/>
        </w:rPr>
        <w:t>53)</w:t>
      </w:r>
      <w:r w:rsidR="00DB582F" w:rsidRPr="00F74126">
        <w:rPr>
          <w:b w:val="0"/>
          <w:bCs w:val="0"/>
          <w:iCs/>
          <w:sz w:val="24"/>
        </w:rPr>
        <w:t>.</w:t>
      </w:r>
    </w:p>
    <w:p w:rsidR="00B62EB4" w:rsidRPr="00B62EB4" w:rsidRDefault="00B62EB4" w:rsidP="00D172CA">
      <w:pPr>
        <w:widowControl/>
        <w:tabs>
          <w:tab w:val="left" w:pos="-1440"/>
        </w:tabs>
        <w:ind w:left="360"/>
        <w:rPr>
          <w:b w:val="0"/>
          <w:bCs w:val="0"/>
          <w:iCs/>
          <w:sz w:val="24"/>
        </w:rPr>
      </w:pPr>
      <w:r w:rsidRPr="00B62EB4">
        <w:rPr>
          <w:b w:val="0"/>
          <w:bCs w:val="0"/>
          <w:iCs/>
          <w:sz w:val="24"/>
        </w:rPr>
        <w:t xml:space="preserve">  </w:t>
      </w:r>
    </w:p>
    <w:p w:rsidR="00C608CC" w:rsidRDefault="00B62EB4" w:rsidP="008F0DD2">
      <w:pPr>
        <w:ind w:firstLine="720"/>
        <w:rPr>
          <w:b w:val="0"/>
          <w:sz w:val="24"/>
          <w:szCs w:val="24"/>
        </w:rPr>
      </w:pPr>
      <w:r w:rsidRPr="00B62EB4">
        <w:rPr>
          <w:b w:val="0"/>
          <w:bCs w:val="0"/>
          <w:iCs/>
          <w:sz w:val="24"/>
        </w:rPr>
        <w:t xml:space="preserve">MHPAEA </w:t>
      </w:r>
      <w:r w:rsidR="00D172CA">
        <w:rPr>
          <w:b w:val="0"/>
          <w:bCs w:val="0"/>
          <w:iCs/>
          <w:sz w:val="24"/>
        </w:rPr>
        <w:t>and the final regulations (29 CFR 2590.712(d)(</w:t>
      </w:r>
      <w:r w:rsidR="009461A6">
        <w:rPr>
          <w:b w:val="0"/>
          <w:bCs w:val="0"/>
          <w:iCs/>
          <w:sz w:val="24"/>
        </w:rPr>
        <w:t>1</w:t>
      </w:r>
      <w:r w:rsidR="00D172CA">
        <w:rPr>
          <w:b w:val="0"/>
          <w:bCs w:val="0"/>
          <w:iCs/>
          <w:sz w:val="24"/>
        </w:rPr>
        <w:t xml:space="preserve">)) </w:t>
      </w:r>
      <w:r w:rsidRPr="00B62EB4">
        <w:rPr>
          <w:b w:val="0"/>
          <w:bCs w:val="0"/>
          <w:iCs/>
          <w:sz w:val="24"/>
        </w:rPr>
        <w:t xml:space="preserve">also require plan administrators to make the plan’s medical necessity determination criteria available upon request to potential participants, beneficiaries, or contracting providers.  </w:t>
      </w:r>
      <w:r w:rsidR="00C608CC" w:rsidRPr="008F0DD2">
        <w:rPr>
          <w:b w:val="0"/>
          <w:sz w:val="24"/>
          <w:szCs w:val="24"/>
        </w:rPr>
        <w:t xml:space="preserve">The Department </w:t>
      </w:r>
      <w:r w:rsidR="000E6A06" w:rsidRPr="000E6A06">
        <w:rPr>
          <w:b w:val="0"/>
          <w:sz w:val="24"/>
          <w:szCs w:val="24"/>
        </w:rPr>
        <w:t>is</w:t>
      </w:r>
      <w:r w:rsidR="00C608CC" w:rsidRPr="008F0DD2">
        <w:rPr>
          <w:b w:val="0"/>
          <w:sz w:val="24"/>
          <w:szCs w:val="24"/>
        </w:rPr>
        <w:t xml:space="preserve"> unable to estimate with certainty the number of requests for medical necessity criteria disclosures that will be received by plan administrators; however, the Department </w:t>
      </w:r>
      <w:r w:rsidR="000E6A06" w:rsidRPr="000E6A06">
        <w:rPr>
          <w:b w:val="0"/>
          <w:sz w:val="24"/>
          <w:szCs w:val="24"/>
        </w:rPr>
        <w:t>has</w:t>
      </w:r>
      <w:r w:rsidR="00C608CC" w:rsidRPr="008F0DD2">
        <w:rPr>
          <w:b w:val="0"/>
          <w:sz w:val="24"/>
          <w:szCs w:val="24"/>
        </w:rPr>
        <w:t xml:space="preserve"> assumed that, on average, each plan affected by the rule will receive one request.   The Department </w:t>
      </w:r>
      <w:r w:rsidR="000E6A06" w:rsidRPr="000E6A06">
        <w:rPr>
          <w:b w:val="0"/>
          <w:sz w:val="24"/>
          <w:szCs w:val="24"/>
        </w:rPr>
        <w:t>estimates</w:t>
      </w:r>
      <w:r w:rsidR="00C608CC" w:rsidRPr="008F0DD2">
        <w:rPr>
          <w:b w:val="0"/>
          <w:sz w:val="24"/>
          <w:szCs w:val="24"/>
        </w:rPr>
        <w:t xml:space="preserve"> that </w:t>
      </w:r>
      <w:r w:rsidR="00D3218B">
        <w:rPr>
          <w:b w:val="0"/>
          <w:sz w:val="24"/>
          <w:szCs w:val="24"/>
        </w:rPr>
        <w:t xml:space="preserve"> </w:t>
      </w:r>
      <w:r w:rsidR="00C608CC" w:rsidRPr="008F0DD2">
        <w:rPr>
          <w:b w:val="0"/>
          <w:sz w:val="24"/>
          <w:szCs w:val="24"/>
        </w:rPr>
        <w:t xml:space="preserve">about </w:t>
      </w:r>
      <w:r w:rsidR="00CF32BF">
        <w:rPr>
          <w:b w:val="0"/>
          <w:sz w:val="24"/>
          <w:szCs w:val="24"/>
        </w:rPr>
        <w:t>1,258</w:t>
      </w:r>
      <w:r w:rsidR="00C608CC" w:rsidRPr="008F0DD2">
        <w:rPr>
          <w:b w:val="0"/>
          <w:sz w:val="24"/>
          <w:szCs w:val="24"/>
        </w:rPr>
        <w:t>,000 ERISA</w:t>
      </w:r>
      <w:r w:rsidR="00D3218B">
        <w:rPr>
          <w:b w:val="0"/>
          <w:sz w:val="24"/>
          <w:szCs w:val="24"/>
        </w:rPr>
        <w:t>-</w:t>
      </w:r>
      <w:r w:rsidR="00C608CC" w:rsidRPr="008F0DD2">
        <w:rPr>
          <w:b w:val="0"/>
          <w:sz w:val="24"/>
          <w:szCs w:val="24"/>
        </w:rPr>
        <w:t>covered health plans</w:t>
      </w:r>
      <w:r w:rsidR="00CF32BF">
        <w:rPr>
          <w:b w:val="0"/>
          <w:sz w:val="24"/>
          <w:szCs w:val="24"/>
        </w:rPr>
        <w:t xml:space="preserve"> </w:t>
      </w:r>
      <w:r w:rsidR="00D3218B">
        <w:rPr>
          <w:b w:val="0"/>
          <w:sz w:val="24"/>
          <w:szCs w:val="24"/>
        </w:rPr>
        <w:t>are a</w:t>
      </w:r>
      <w:r w:rsidR="00CF32BF">
        <w:rPr>
          <w:b w:val="0"/>
          <w:sz w:val="24"/>
          <w:szCs w:val="24"/>
        </w:rPr>
        <w:t>ffected by this rule</w:t>
      </w:r>
      <w:r w:rsidR="00C608CC" w:rsidRPr="008F0DD2">
        <w:rPr>
          <w:b w:val="0"/>
          <w:sz w:val="24"/>
          <w:szCs w:val="24"/>
        </w:rPr>
        <w:t>.  The Departmen</w:t>
      </w:r>
      <w:r w:rsidR="00CF32BF" w:rsidRPr="00CF32BF">
        <w:rPr>
          <w:b w:val="0"/>
          <w:sz w:val="24"/>
          <w:szCs w:val="24"/>
        </w:rPr>
        <w:t>t estimate</w:t>
      </w:r>
      <w:r w:rsidR="006E700C">
        <w:rPr>
          <w:b w:val="0"/>
          <w:sz w:val="24"/>
          <w:szCs w:val="24"/>
        </w:rPr>
        <w:t>s</w:t>
      </w:r>
      <w:r w:rsidR="00CF32BF" w:rsidRPr="00CF32BF">
        <w:rPr>
          <w:b w:val="0"/>
          <w:sz w:val="24"/>
          <w:szCs w:val="24"/>
        </w:rPr>
        <w:t xml:space="preserve"> that approximately </w:t>
      </w:r>
      <w:r w:rsidR="00CF32BF">
        <w:rPr>
          <w:b w:val="0"/>
          <w:sz w:val="24"/>
          <w:szCs w:val="24"/>
        </w:rPr>
        <w:t>seven</w:t>
      </w:r>
      <w:r w:rsidR="00C608CC" w:rsidRPr="008F0DD2">
        <w:rPr>
          <w:b w:val="0"/>
          <w:sz w:val="24"/>
          <w:szCs w:val="24"/>
        </w:rPr>
        <w:t xml:space="preserve"> p</w:t>
      </w:r>
      <w:bookmarkStart w:id="0" w:name="_GoBack"/>
      <w:bookmarkEnd w:id="0"/>
      <w:r w:rsidR="00C608CC" w:rsidRPr="008F0DD2">
        <w:rPr>
          <w:b w:val="0"/>
          <w:sz w:val="24"/>
          <w:szCs w:val="24"/>
        </w:rPr>
        <w:t xml:space="preserve">ercent of large plans and all small plans administer claims using service providers; therefore, only </w:t>
      </w:r>
      <w:r w:rsidR="00CF32BF">
        <w:rPr>
          <w:b w:val="0"/>
          <w:sz w:val="24"/>
          <w:szCs w:val="24"/>
        </w:rPr>
        <w:t>eleven</w:t>
      </w:r>
      <w:r w:rsidR="00C608CC" w:rsidRPr="008F0DD2">
        <w:rPr>
          <w:b w:val="0"/>
          <w:sz w:val="24"/>
          <w:szCs w:val="24"/>
        </w:rPr>
        <w:t xml:space="preserve"> percent of the medical necessity criteria disclosures will be done in-house.  For PRA purposes, plans using service providers will report the costs as a cost burden, while plans administering claims in-house will report the burden as an hour burden.  </w:t>
      </w:r>
    </w:p>
    <w:p w:rsidR="00C608CC" w:rsidRPr="008F0DD2" w:rsidRDefault="00C608CC" w:rsidP="008F0DD2">
      <w:pPr>
        <w:ind w:firstLine="720"/>
        <w:rPr>
          <w:b w:val="0"/>
          <w:sz w:val="24"/>
          <w:szCs w:val="24"/>
        </w:rPr>
      </w:pPr>
    </w:p>
    <w:p w:rsidR="00F32121" w:rsidRDefault="00C608CC" w:rsidP="008F0DD2">
      <w:pPr>
        <w:ind w:firstLine="720"/>
        <w:rPr>
          <w:b w:val="0"/>
          <w:bCs w:val="0"/>
          <w:iCs/>
          <w:sz w:val="24"/>
        </w:rPr>
      </w:pPr>
      <w:r w:rsidRPr="008F0DD2">
        <w:rPr>
          <w:b w:val="0"/>
          <w:sz w:val="24"/>
          <w:szCs w:val="24"/>
        </w:rPr>
        <w:t xml:space="preserve">The </w:t>
      </w:r>
      <w:r w:rsidR="008F0DD2" w:rsidRPr="008F0DD2">
        <w:rPr>
          <w:b w:val="0"/>
          <w:sz w:val="24"/>
          <w:szCs w:val="24"/>
        </w:rPr>
        <w:t>Department</w:t>
      </w:r>
      <w:r w:rsidR="008F0DD2" w:rsidRPr="000E6A06">
        <w:rPr>
          <w:b w:val="0"/>
          <w:sz w:val="24"/>
          <w:szCs w:val="24"/>
        </w:rPr>
        <w:t xml:space="preserve"> assumes</w:t>
      </w:r>
      <w:r w:rsidRPr="008F0DD2">
        <w:rPr>
          <w:b w:val="0"/>
          <w:sz w:val="24"/>
          <w:szCs w:val="24"/>
        </w:rPr>
        <w:t xml:space="preserve"> that it will take a medically trained clerical staff member five minutes to respond to each request at a wage rate of $26.85 per hour.  This results in an annual hour burden of nearly </w:t>
      </w:r>
      <w:r w:rsidR="00CF32BF">
        <w:rPr>
          <w:b w:val="0"/>
          <w:sz w:val="24"/>
          <w:szCs w:val="24"/>
        </w:rPr>
        <w:t>12,000</w:t>
      </w:r>
      <w:r w:rsidRPr="008F0DD2">
        <w:rPr>
          <w:b w:val="0"/>
          <w:sz w:val="24"/>
          <w:szCs w:val="24"/>
        </w:rPr>
        <w:t xml:space="preserve"> hours and an associated equivalent cost of nearly $</w:t>
      </w:r>
      <w:r w:rsidR="00CF32BF">
        <w:rPr>
          <w:b w:val="0"/>
          <w:sz w:val="24"/>
          <w:szCs w:val="24"/>
        </w:rPr>
        <w:t>322</w:t>
      </w:r>
      <w:r w:rsidRPr="008F0DD2">
        <w:rPr>
          <w:b w:val="0"/>
          <w:sz w:val="24"/>
          <w:szCs w:val="24"/>
        </w:rPr>
        <w:t xml:space="preserve">,000 for the approximately </w:t>
      </w:r>
      <w:r w:rsidR="00CF32BF">
        <w:rPr>
          <w:b w:val="0"/>
          <w:sz w:val="24"/>
          <w:szCs w:val="24"/>
        </w:rPr>
        <w:t>144</w:t>
      </w:r>
      <w:r w:rsidRPr="008F0DD2">
        <w:rPr>
          <w:b w:val="0"/>
          <w:sz w:val="24"/>
          <w:szCs w:val="24"/>
        </w:rPr>
        <w:t xml:space="preserve">,000 requests done in-house by plans.  The remaining </w:t>
      </w:r>
      <w:r w:rsidR="00CF32BF">
        <w:rPr>
          <w:b w:val="0"/>
          <w:sz w:val="24"/>
          <w:szCs w:val="24"/>
        </w:rPr>
        <w:t>1,114</w:t>
      </w:r>
      <w:r w:rsidRPr="008F0DD2">
        <w:rPr>
          <w:b w:val="0"/>
          <w:sz w:val="24"/>
          <w:szCs w:val="24"/>
        </w:rPr>
        <w:t xml:space="preserve">,000 medical necessity criteria disclosures will be provided through service providers resulting in a cost burden </w:t>
      </w:r>
      <w:r w:rsidR="00B62EB4" w:rsidRPr="00B62EB4">
        <w:rPr>
          <w:b w:val="0"/>
          <w:bCs w:val="0"/>
          <w:iCs/>
          <w:sz w:val="24"/>
        </w:rPr>
        <w:t xml:space="preserve">reported in </w:t>
      </w:r>
      <w:r w:rsidR="00D172CA">
        <w:rPr>
          <w:b w:val="0"/>
          <w:bCs w:val="0"/>
          <w:iCs/>
          <w:sz w:val="24"/>
        </w:rPr>
        <w:t xml:space="preserve">Item </w:t>
      </w:r>
      <w:r w:rsidR="00B62EB4" w:rsidRPr="00B62EB4">
        <w:rPr>
          <w:b w:val="0"/>
          <w:bCs w:val="0"/>
          <w:iCs/>
          <w:sz w:val="24"/>
        </w:rPr>
        <w:t>13</w:t>
      </w:r>
      <w:r w:rsidR="00D40DF0">
        <w:rPr>
          <w:b w:val="0"/>
          <w:bCs w:val="0"/>
          <w:iCs/>
          <w:sz w:val="24"/>
        </w:rPr>
        <w:t>, below</w:t>
      </w:r>
      <w:r w:rsidR="00B62EB4" w:rsidRPr="00B62EB4">
        <w:rPr>
          <w:b w:val="0"/>
          <w:bCs w:val="0"/>
          <w:iCs/>
          <w:sz w:val="24"/>
        </w:rPr>
        <w:t xml:space="preserve">. </w:t>
      </w:r>
      <w:r w:rsidR="00A73525" w:rsidRPr="00A73525">
        <w:rPr>
          <w:b w:val="0"/>
          <w:bCs w:val="0"/>
          <w:iCs/>
          <w:sz w:val="24"/>
        </w:rPr>
        <w:t xml:space="preserve"> </w:t>
      </w:r>
      <w:bookmarkStart w:id="1" w:name="OLE_LINK3"/>
      <w:bookmarkStart w:id="2" w:name="OLE_LINK4"/>
    </w:p>
    <w:p w:rsidR="005B36F9" w:rsidRDefault="005B36F9" w:rsidP="008F0DD2">
      <w:pPr>
        <w:ind w:firstLine="720"/>
        <w:rPr>
          <w:b w:val="0"/>
          <w:bCs w:val="0"/>
          <w:iCs/>
          <w:sz w:val="24"/>
        </w:rPr>
      </w:pPr>
    </w:p>
    <w:p w:rsidR="005B36F9" w:rsidRPr="00A73525" w:rsidRDefault="005B36F9" w:rsidP="008F0DD2">
      <w:pPr>
        <w:ind w:firstLine="720"/>
        <w:rPr>
          <w:b w:val="0"/>
          <w:bCs w:val="0"/>
          <w:iCs/>
          <w:sz w:val="24"/>
        </w:rPr>
      </w:pPr>
      <w:r w:rsidRPr="002E6D89">
        <w:rPr>
          <w:b w:val="0"/>
          <w:bCs w:val="0"/>
          <w:iCs/>
          <w:sz w:val="24"/>
        </w:rPr>
        <w:t xml:space="preserve">Because the Department of Labor and the Department of the Treasury share enforcement jurisdiction </w:t>
      </w:r>
      <w:r>
        <w:rPr>
          <w:b w:val="0"/>
          <w:bCs w:val="0"/>
          <w:iCs/>
          <w:sz w:val="24"/>
        </w:rPr>
        <w:t>of</w:t>
      </w:r>
      <w:r w:rsidRPr="002E6D89">
        <w:rPr>
          <w:b w:val="0"/>
          <w:bCs w:val="0"/>
          <w:iCs/>
          <w:sz w:val="24"/>
        </w:rPr>
        <w:t xml:space="preserve"> group health plans and employers under the </w:t>
      </w:r>
      <w:r>
        <w:rPr>
          <w:b w:val="0"/>
          <w:bCs w:val="0"/>
          <w:iCs/>
          <w:sz w:val="24"/>
        </w:rPr>
        <w:t xml:space="preserve">MHPAEA </w:t>
      </w:r>
      <w:r w:rsidRPr="002E6D89">
        <w:rPr>
          <w:b w:val="0"/>
          <w:bCs w:val="0"/>
          <w:iCs/>
          <w:sz w:val="24"/>
        </w:rPr>
        <w:t>provisions (see section 7</w:t>
      </w:r>
      <w:r>
        <w:rPr>
          <w:b w:val="0"/>
          <w:bCs w:val="0"/>
          <w:iCs/>
          <w:sz w:val="24"/>
        </w:rPr>
        <w:t>12</w:t>
      </w:r>
      <w:r w:rsidRPr="002E6D89">
        <w:rPr>
          <w:b w:val="0"/>
          <w:bCs w:val="0"/>
          <w:iCs/>
          <w:sz w:val="24"/>
        </w:rPr>
        <w:t xml:space="preserve"> of ERISA and section 98</w:t>
      </w:r>
      <w:r>
        <w:rPr>
          <w:b w:val="0"/>
          <w:bCs w:val="0"/>
          <w:iCs/>
          <w:sz w:val="24"/>
        </w:rPr>
        <w:t>12</w:t>
      </w:r>
      <w:r w:rsidRPr="002E6D89">
        <w:rPr>
          <w:b w:val="0"/>
          <w:bCs w:val="0"/>
          <w:iCs/>
          <w:sz w:val="24"/>
        </w:rPr>
        <w:t xml:space="preserve"> of the Internal Revenue Code), the aggregate paperwork burden of this information collection is divided equally </w:t>
      </w:r>
      <w:r>
        <w:rPr>
          <w:b w:val="0"/>
          <w:bCs w:val="0"/>
          <w:iCs/>
          <w:sz w:val="24"/>
        </w:rPr>
        <w:t xml:space="preserve">between those two Departments.  Therefore, the portion of the burden allocated to the Department of Labor is half of the total or </w:t>
      </w:r>
      <w:r w:rsidR="007243B1">
        <w:rPr>
          <w:b w:val="0"/>
          <w:bCs w:val="0"/>
          <w:iCs/>
          <w:sz w:val="24"/>
        </w:rPr>
        <w:t xml:space="preserve">approximately </w:t>
      </w:r>
      <w:r w:rsidR="00CF32BF">
        <w:rPr>
          <w:b w:val="0"/>
          <w:bCs w:val="0"/>
          <w:iCs/>
          <w:sz w:val="24"/>
        </w:rPr>
        <w:t>6,000</w:t>
      </w:r>
      <w:r>
        <w:rPr>
          <w:b w:val="0"/>
          <w:bCs w:val="0"/>
          <w:iCs/>
          <w:sz w:val="24"/>
        </w:rPr>
        <w:t xml:space="preserve"> hours with an associated equivalent cost of $</w:t>
      </w:r>
      <w:r w:rsidR="00CF32BF">
        <w:rPr>
          <w:b w:val="0"/>
          <w:bCs w:val="0"/>
          <w:iCs/>
          <w:sz w:val="24"/>
        </w:rPr>
        <w:t>160,800</w:t>
      </w:r>
      <w:r>
        <w:rPr>
          <w:b w:val="0"/>
          <w:bCs w:val="0"/>
          <w:iCs/>
          <w:sz w:val="24"/>
        </w:rPr>
        <w:t>.</w:t>
      </w:r>
    </w:p>
    <w:bookmarkEnd w:id="1"/>
    <w:bookmarkEnd w:id="2"/>
    <w:p w:rsidR="00EB5A4E" w:rsidRPr="00EB5A4E" w:rsidRDefault="00EB5A4E" w:rsidP="00EB5A4E">
      <w:pPr>
        <w:widowControl/>
        <w:tabs>
          <w:tab w:val="left" w:pos="-1440"/>
        </w:tabs>
        <w:rPr>
          <w:b w:val="0"/>
          <w:bCs w:val="0"/>
          <w:i/>
          <w:iCs/>
          <w:color w:val="000000"/>
          <w:sz w:val="24"/>
        </w:rPr>
      </w:pPr>
    </w:p>
    <w:p w:rsidR="00EB5A4E" w:rsidRPr="00EB5A4E" w:rsidRDefault="00EB5A4E" w:rsidP="00EB5A4E">
      <w:pPr>
        <w:rPr>
          <w:b w:val="0"/>
          <w:color w:val="000000"/>
        </w:rPr>
      </w:pPr>
      <w:r w:rsidRPr="00EB5A4E">
        <w:rPr>
          <w:b w:val="0"/>
          <w:color w:val="000000"/>
        </w:rPr>
        <w:t xml:space="preserve">13.  </w:t>
      </w:r>
      <w:r w:rsidRPr="00EB5A4E">
        <w:rPr>
          <w:b w:val="0"/>
          <w:i/>
          <w:iCs/>
          <w:color w:val="000000"/>
        </w:rPr>
        <w:t>Provide an estimate of the total annual cost burden to respondents or record-keepers resulting from the collection of information.  (Do not include the cost of any hour burden shown in Items 12.)</w:t>
      </w:r>
    </w:p>
    <w:p w:rsidR="00EB5A4E" w:rsidRPr="00EB5A4E" w:rsidRDefault="00EB5A4E" w:rsidP="00EB5A4E">
      <w:pPr>
        <w:widowControl/>
        <w:tabs>
          <w:tab w:val="left" w:pos="-1440"/>
        </w:tabs>
        <w:rPr>
          <w:b w:val="0"/>
          <w:bCs w:val="0"/>
          <w:iCs/>
          <w:sz w:val="24"/>
        </w:rPr>
      </w:pPr>
    </w:p>
    <w:p w:rsidR="00B62EB4" w:rsidRPr="00B62EB4" w:rsidRDefault="00FA42C1" w:rsidP="00B62EB4">
      <w:pPr>
        <w:widowControl/>
        <w:tabs>
          <w:tab w:val="left" w:pos="-1440"/>
        </w:tabs>
        <w:rPr>
          <w:b w:val="0"/>
          <w:bCs w:val="0"/>
          <w:iCs/>
          <w:sz w:val="24"/>
        </w:rPr>
      </w:pPr>
      <w:r>
        <w:rPr>
          <w:b w:val="0"/>
          <w:bCs w:val="0"/>
          <w:iCs/>
          <w:sz w:val="24"/>
        </w:rPr>
        <w:tab/>
      </w:r>
      <w:r w:rsidR="00B62EB4" w:rsidRPr="00B62EB4">
        <w:rPr>
          <w:b w:val="0"/>
          <w:bCs w:val="0"/>
          <w:iCs/>
          <w:sz w:val="24"/>
        </w:rPr>
        <w:t xml:space="preserve">As reported above in </w:t>
      </w:r>
      <w:r w:rsidR="00D172CA">
        <w:rPr>
          <w:b w:val="0"/>
          <w:bCs w:val="0"/>
          <w:iCs/>
          <w:sz w:val="24"/>
        </w:rPr>
        <w:t xml:space="preserve">Item </w:t>
      </w:r>
      <w:r w:rsidR="00B62EB4" w:rsidRPr="00B62EB4">
        <w:rPr>
          <w:b w:val="0"/>
          <w:bCs w:val="0"/>
          <w:iCs/>
          <w:sz w:val="24"/>
        </w:rPr>
        <w:t>12</w:t>
      </w:r>
      <w:r w:rsidR="00D172CA">
        <w:rPr>
          <w:b w:val="0"/>
          <w:bCs w:val="0"/>
          <w:iCs/>
          <w:sz w:val="24"/>
        </w:rPr>
        <w:t>,</w:t>
      </w:r>
      <w:r w:rsidR="00B62EB4" w:rsidRPr="00B62EB4">
        <w:rPr>
          <w:b w:val="0"/>
          <w:bCs w:val="0"/>
          <w:iCs/>
          <w:sz w:val="24"/>
        </w:rPr>
        <w:t xml:space="preserve"> </w:t>
      </w:r>
      <w:r w:rsidR="00D40DF0">
        <w:rPr>
          <w:b w:val="0"/>
          <w:bCs w:val="0"/>
          <w:iCs/>
          <w:sz w:val="24"/>
        </w:rPr>
        <w:t xml:space="preserve">above, </w:t>
      </w:r>
      <w:r w:rsidR="00B62EB4" w:rsidRPr="00B62EB4">
        <w:rPr>
          <w:b w:val="0"/>
          <w:bCs w:val="0"/>
          <w:iCs/>
          <w:sz w:val="24"/>
        </w:rPr>
        <w:t xml:space="preserve">plans using service providers will report the costs </w:t>
      </w:r>
      <w:r w:rsidR="00D172CA">
        <w:rPr>
          <w:b w:val="0"/>
          <w:bCs w:val="0"/>
          <w:iCs/>
          <w:sz w:val="24"/>
        </w:rPr>
        <w:t xml:space="preserve">associated with the medical necessity disclosure </w:t>
      </w:r>
      <w:r w:rsidR="00B62EB4" w:rsidRPr="00B62EB4">
        <w:rPr>
          <w:b w:val="0"/>
          <w:bCs w:val="0"/>
          <w:iCs/>
          <w:sz w:val="24"/>
        </w:rPr>
        <w:t xml:space="preserve">as a cost burden.  The Department estimates that </w:t>
      </w:r>
      <w:r w:rsidR="00CF32BF">
        <w:rPr>
          <w:b w:val="0"/>
          <w:bCs w:val="0"/>
          <w:iCs/>
          <w:sz w:val="24"/>
        </w:rPr>
        <w:t>89</w:t>
      </w:r>
      <w:r w:rsidR="00CF32BF" w:rsidRPr="00B62EB4">
        <w:rPr>
          <w:b w:val="0"/>
          <w:bCs w:val="0"/>
          <w:iCs/>
          <w:sz w:val="24"/>
        </w:rPr>
        <w:t xml:space="preserve"> </w:t>
      </w:r>
      <w:r w:rsidR="00B62EB4" w:rsidRPr="00B62EB4">
        <w:rPr>
          <w:b w:val="0"/>
          <w:bCs w:val="0"/>
          <w:iCs/>
          <w:sz w:val="24"/>
        </w:rPr>
        <w:t xml:space="preserve">percent of claims are done using a service provider resulting in nearly </w:t>
      </w:r>
      <w:r w:rsidR="00CF32BF">
        <w:rPr>
          <w:b w:val="0"/>
          <w:bCs w:val="0"/>
          <w:iCs/>
          <w:sz w:val="24"/>
        </w:rPr>
        <w:t>1,114</w:t>
      </w:r>
      <w:r w:rsidR="00F3406B">
        <w:rPr>
          <w:b w:val="0"/>
          <w:bCs w:val="0"/>
          <w:iCs/>
          <w:sz w:val="24"/>
        </w:rPr>
        <w:t>,000</w:t>
      </w:r>
      <w:r w:rsidR="00B62EB4" w:rsidRPr="00B62EB4">
        <w:rPr>
          <w:b w:val="0"/>
          <w:bCs w:val="0"/>
          <w:iCs/>
          <w:sz w:val="24"/>
        </w:rPr>
        <w:t xml:space="preserve"> medical necessity criteria disclosures being provided through service providers.</w:t>
      </w:r>
      <w:r w:rsidR="00D40DF0">
        <w:rPr>
          <w:b w:val="0"/>
          <w:bCs w:val="0"/>
          <w:iCs/>
          <w:sz w:val="24"/>
        </w:rPr>
        <w:t xml:space="preserve">  </w:t>
      </w:r>
      <w:r w:rsidR="00B62EB4" w:rsidRPr="00B62EB4">
        <w:rPr>
          <w:b w:val="0"/>
          <w:bCs w:val="0"/>
          <w:iCs/>
          <w:sz w:val="24"/>
        </w:rPr>
        <w:t xml:space="preserve">The Department assumes that it will take a medically trained clerical staff member five minutes to respond to each of the </w:t>
      </w:r>
      <w:r w:rsidR="00CF32BF">
        <w:rPr>
          <w:b w:val="0"/>
          <w:bCs w:val="0"/>
          <w:iCs/>
          <w:sz w:val="24"/>
        </w:rPr>
        <w:t>1,114</w:t>
      </w:r>
      <w:r w:rsidR="00F3406B">
        <w:rPr>
          <w:b w:val="0"/>
          <w:bCs w:val="0"/>
          <w:iCs/>
          <w:sz w:val="24"/>
        </w:rPr>
        <w:t>,000</w:t>
      </w:r>
      <w:r w:rsidR="00F3406B" w:rsidRPr="00B62EB4">
        <w:rPr>
          <w:b w:val="0"/>
          <w:bCs w:val="0"/>
          <w:iCs/>
          <w:sz w:val="24"/>
        </w:rPr>
        <w:t xml:space="preserve"> </w:t>
      </w:r>
      <w:r w:rsidR="00B62EB4" w:rsidRPr="00B62EB4">
        <w:rPr>
          <w:b w:val="0"/>
          <w:bCs w:val="0"/>
          <w:iCs/>
          <w:sz w:val="24"/>
        </w:rPr>
        <w:t>request</w:t>
      </w:r>
      <w:r w:rsidR="00CF32BF">
        <w:rPr>
          <w:b w:val="0"/>
          <w:bCs w:val="0"/>
          <w:iCs/>
          <w:sz w:val="24"/>
        </w:rPr>
        <w:t>s</w:t>
      </w:r>
      <w:r w:rsidR="00B62EB4" w:rsidRPr="00B62EB4">
        <w:rPr>
          <w:b w:val="0"/>
          <w:bCs w:val="0"/>
          <w:iCs/>
          <w:sz w:val="24"/>
        </w:rPr>
        <w:t xml:space="preserve"> at a labor rate of $</w:t>
      </w:r>
      <w:r w:rsidR="00C4012C">
        <w:rPr>
          <w:b w:val="0"/>
          <w:bCs w:val="0"/>
          <w:iCs/>
          <w:sz w:val="24"/>
        </w:rPr>
        <w:t>26.84</w:t>
      </w:r>
      <w:r w:rsidR="00B62EB4" w:rsidRPr="00B62EB4">
        <w:rPr>
          <w:b w:val="0"/>
          <w:bCs w:val="0"/>
          <w:iCs/>
          <w:sz w:val="24"/>
        </w:rPr>
        <w:t xml:space="preserve"> per hour.</w:t>
      </w:r>
      <w:r w:rsidR="00D172CA">
        <w:rPr>
          <w:b w:val="0"/>
          <w:bCs w:val="0"/>
          <w:iCs/>
          <w:sz w:val="24"/>
        </w:rPr>
        <w:t xml:space="preserve">  </w:t>
      </w:r>
      <w:r w:rsidR="00B62EB4" w:rsidRPr="00B62EB4">
        <w:rPr>
          <w:b w:val="0"/>
          <w:bCs w:val="0"/>
          <w:iCs/>
          <w:sz w:val="24"/>
        </w:rPr>
        <w:t>This results in a cost burden of approximately $</w:t>
      </w:r>
      <w:r w:rsidR="00CF32BF">
        <w:rPr>
          <w:b w:val="0"/>
          <w:bCs w:val="0"/>
          <w:iCs/>
          <w:sz w:val="24"/>
        </w:rPr>
        <w:t>2,493</w:t>
      </w:r>
      <w:r w:rsidR="00B62EB4" w:rsidRPr="00B62EB4">
        <w:rPr>
          <w:b w:val="0"/>
          <w:bCs w:val="0"/>
          <w:iCs/>
          <w:sz w:val="24"/>
        </w:rPr>
        <w:t xml:space="preserve">,000.  </w:t>
      </w:r>
    </w:p>
    <w:p w:rsidR="00B62EB4" w:rsidRPr="00B62EB4" w:rsidRDefault="00B62EB4" w:rsidP="00B62EB4">
      <w:pPr>
        <w:widowControl/>
        <w:tabs>
          <w:tab w:val="left" w:pos="-1440"/>
        </w:tabs>
        <w:rPr>
          <w:b w:val="0"/>
          <w:bCs w:val="0"/>
          <w:iCs/>
          <w:sz w:val="24"/>
        </w:rPr>
      </w:pPr>
    </w:p>
    <w:p w:rsidR="00B62EB4" w:rsidRPr="00B62EB4" w:rsidRDefault="00D172CA" w:rsidP="00B62EB4">
      <w:pPr>
        <w:widowControl/>
        <w:tabs>
          <w:tab w:val="left" w:pos="-1440"/>
        </w:tabs>
        <w:rPr>
          <w:b w:val="0"/>
          <w:bCs w:val="0"/>
          <w:iCs/>
          <w:sz w:val="24"/>
        </w:rPr>
      </w:pPr>
      <w:r>
        <w:rPr>
          <w:b w:val="0"/>
          <w:bCs w:val="0"/>
          <w:iCs/>
          <w:sz w:val="24"/>
        </w:rPr>
        <w:lastRenderedPageBreak/>
        <w:tab/>
      </w:r>
      <w:r w:rsidR="00B62EB4" w:rsidRPr="00B62EB4">
        <w:rPr>
          <w:b w:val="0"/>
          <w:bCs w:val="0"/>
          <w:iCs/>
          <w:sz w:val="24"/>
        </w:rPr>
        <w:t xml:space="preserve">The Department also calculated the cost to deliver the requested medical necessity criteria disclosures (regardless of whether the disclosure is prepared in-house or by service providers).  Many insurers and plans already may have the information prepared in electronic form, and the Departments assume that 38 percent of requests will be delivered electronically resulting </w:t>
      </w:r>
      <w:r w:rsidR="00C4012C">
        <w:rPr>
          <w:b w:val="0"/>
          <w:bCs w:val="0"/>
          <w:iCs/>
          <w:sz w:val="24"/>
        </w:rPr>
        <w:t>in</w:t>
      </w:r>
      <w:r w:rsidR="00C4012C" w:rsidRPr="00B62EB4">
        <w:rPr>
          <w:b w:val="0"/>
          <w:bCs w:val="0"/>
          <w:iCs/>
          <w:sz w:val="24"/>
        </w:rPr>
        <w:t xml:space="preserve"> </w:t>
      </w:r>
      <w:r w:rsidR="00B62EB4" w:rsidRPr="00B62EB4">
        <w:rPr>
          <w:b w:val="0"/>
          <w:bCs w:val="0"/>
          <w:iCs/>
          <w:sz w:val="24"/>
        </w:rPr>
        <w:t xml:space="preserve">a de minimis cost.  The Departments estimate that the cost burden associated with distributing the approximately </w:t>
      </w:r>
      <w:r w:rsidR="00CF32BF">
        <w:rPr>
          <w:b w:val="0"/>
          <w:bCs w:val="0"/>
          <w:iCs/>
          <w:sz w:val="24"/>
        </w:rPr>
        <w:t>779</w:t>
      </w:r>
      <w:r w:rsidR="00B62EB4" w:rsidRPr="00B62EB4">
        <w:rPr>
          <w:b w:val="0"/>
          <w:bCs w:val="0"/>
          <w:iCs/>
          <w:sz w:val="24"/>
        </w:rPr>
        <w:t>,</w:t>
      </w:r>
      <w:r w:rsidR="00CF32BF">
        <w:rPr>
          <w:b w:val="0"/>
          <w:bCs w:val="0"/>
          <w:iCs/>
          <w:sz w:val="24"/>
        </w:rPr>
        <w:t>9</w:t>
      </w:r>
      <w:r w:rsidR="00B62EB4" w:rsidRPr="00B62EB4">
        <w:rPr>
          <w:b w:val="0"/>
          <w:bCs w:val="0"/>
          <w:iCs/>
          <w:sz w:val="24"/>
        </w:rPr>
        <w:t>00 medical necessity criteria disclosures sent by paper will be approximately $</w:t>
      </w:r>
      <w:r w:rsidR="00CF32BF">
        <w:rPr>
          <w:b w:val="0"/>
          <w:bCs w:val="0"/>
          <w:iCs/>
          <w:sz w:val="24"/>
        </w:rPr>
        <w:t>495,800</w:t>
      </w:r>
      <w:r w:rsidR="00B62EB4" w:rsidRPr="00B62EB4">
        <w:rPr>
          <w:b w:val="0"/>
          <w:bCs w:val="0"/>
          <w:iCs/>
          <w:sz w:val="24"/>
        </w:rPr>
        <w:t>.  This estimate is based on an average document size of four pages</w:t>
      </w:r>
      <w:r>
        <w:rPr>
          <w:b w:val="0"/>
          <w:bCs w:val="0"/>
          <w:iCs/>
          <w:sz w:val="24"/>
        </w:rPr>
        <w:t xml:space="preserve">, </w:t>
      </w:r>
      <w:r w:rsidR="00B62EB4" w:rsidRPr="00B62EB4">
        <w:rPr>
          <w:b w:val="0"/>
          <w:bCs w:val="0"/>
          <w:iCs/>
          <w:sz w:val="24"/>
        </w:rPr>
        <w:t>five cents per page material and printing costs, and 4</w:t>
      </w:r>
      <w:r w:rsidR="00F3406B">
        <w:rPr>
          <w:b w:val="0"/>
          <w:bCs w:val="0"/>
          <w:iCs/>
          <w:sz w:val="24"/>
        </w:rPr>
        <w:t>6</w:t>
      </w:r>
      <w:r w:rsidR="00B62EB4" w:rsidRPr="00B62EB4">
        <w:rPr>
          <w:b w:val="0"/>
          <w:bCs w:val="0"/>
          <w:iCs/>
          <w:sz w:val="24"/>
        </w:rPr>
        <w:t xml:space="preserve"> cents postage costs.  </w:t>
      </w:r>
    </w:p>
    <w:p w:rsidR="00B62EB4" w:rsidRPr="00B62EB4" w:rsidRDefault="00B62EB4" w:rsidP="00B62EB4">
      <w:pPr>
        <w:widowControl/>
        <w:tabs>
          <w:tab w:val="left" w:pos="-1440"/>
        </w:tabs>
        <w:rPr>
          <w:b w:val="0"/>
          <w:bCs w:val="0"/>
          <w:iCs/>
          <w:sz w:val="24"/>
        </w:rPr>
      </w:pPr>
    </w:p>
    <w:p w:rsidR="00B031EF" w:rsidRPr="002E6D89" w:rsidRDefault="00D172CA" w:rsidP="00B031EF">
      <w:pPr>
        <w:widowControl/>
        <w:tabs>
          <w:tab w:val="left" w:pos="-1440"/>
        </w:tabs>
        <w:rPr>
          <w:b w:val="0"/>
          <w:bCs w:val="0"/>
          <w:iCs/>
          <w:sz w:val="24"/>
        </w:rPr>
      </w:pPr>
      <w:r>
        <w:rPr>
          <w:b w:val="0"/>
          <w:bCs w:val="0"/>
          <w:iCs/>
          <w:sz w:val="24"/>
        </w:rPr>
        <w:tab/>
        <w:t>Based on the foregoing, t</w:t>
      </w:r>
      <w:r w:rsidR="00B62EB4" w:rsidRPr="00B62EB4">
        <w:rPr>
          <w:b w:val="0"/>
          <w:bCs w:val="0"/>
          <w:iCs/>
          <w:sz w:val="24"/>
        </w:rPr>
        <w:t xml:space="preserve">he preparation and delivery of the medical necessity disclosures is estimated to have a total cost burden of </w:t>
      </w:r>
      <w:r w:rsidR="00D40DF0">
        <w:rPr>
          <w:b w:val="0"/>
          <w:bCs w:val="0"/>
          <w:iCs/>
          <w:sz w:val="24"/>
        </w:rPr>
        <w:t xml:space="preserve">approximately </w:t>
      </w:r>
      <w:r w:rsidR="00B62EB4" w:rsidRPr="00B62EB4">
        <w:rPr>
          <w:b w:val="0"/>
          <w:bCs w:val="0"/>
          <w:iCs/>
          <w:sz w:val="24"/>
        </w:rPr>
        <w:t>$</w:t>
      </w:r>
      <w:r w:rsidR="00CF32BF">
        <w:rPr>
          <w:b w:val="0"/>
          <w:bCs w:val="0"/>
          <w:iCs/>
          <w:sz w:val="24"/>
        </w:rPr>
        <w:t>2,989</w:t>
      </w:r>
      <w:r w:rsidR="00B62EB4" w:rsidRPr="00B62EB4">
        <w:rPr>
          <w:b w:val="0"/>
          <w:bCs w:val="0"/>
          <w:iCs/>
          <w:sz w:val="24"/>
        </w:rPr>
        <w:t>,000.</w:t>
      </w:r>
      <w:r w:rsidR="00FA42C1" w:rsidRPr="00A73525">
        <w:rPr>
          <w:b w:val="0"/>
          <w:bCs w:val="0"/>
          <w:iCs/>
          <w:sz w:val="24"/>
        </w:rPr>
        <w:t xml:space="preserve"> </w:t>
      </w:r>
      <w:r w:rsidR="00B031EF" w:rsidRPr="002E6D89">
        <w:rPr>
          <w:b w:val="0"/>
          <w:bCs w:val="0"/>
          <w:iCs/>
          <w:sz w:val="24"/>
        </w:rPr>
        <w:t xml:space="preserve">Because the Department of Labor and the Department of the Treasury share enforcement jurisdiction against group health plans and employers under the </w:t>
      </w:r>
      <w:r w:rsidR="00B031EF">
        <w:rPr>
          <w:b w:val="0"/>
          <w:bCs w:val="0"/>
          <w:iCs/>
          <w:sz w:val="24"/>
        </w:rPr>
        <w:t xml:space="preserve">MHPAEA </w:t>
      </w:r>
      <w:r w:rsidR="00B031EF" w:rsidRPr="002E6D89">
        <w:rPr>
          <w:b w:val="0"/>
          <w:bCs w:val="0"/>
          <w:iCs/>
          <w:sz w:val="24"/>
        </w:rPr>
        <w:t>provisions (see section 7</w:t>
      </w:r>
      <w:r w:rsidR="00B031EF">
        <w:rPr>
          <w:b w:val="0"/>
          <w:bCs w:val="0"/>
          <w:iCs/>
          <w:sz w:val="24"/>
        </w:rPr>
        <w:t>12</w:t>
      </w:r>
      <w:r w:rsidR="00B031EF" w:rsidRPr="002E6D89">
        <w:rPr>
          <w:b w:val="0"/>
          <w:bCs w:val="0"/>
          <w:iCs/>
          <w:sz w:val="24"/>
        </w:rPr>
        <w:t xml:space="preserve"> of ERISA and section 98</w:t>
      </w:r>
      <w:r w:rsidR="00B031EF">
        <w:rPr>
          <w:b w:val="0"/>
          <w:bCs w:val="0"/>
          <w:iCs/>
          <w:sz w:val="24"/>
        </w:rPr>
        <w:t>12</w:t>
      </w:r>
      <w:r w:rsidR="00B031EF" w:rsidRPr="002E6D89">
        <w:rPr>
          <w:b w:val="0"/>
          <w:bCs w:val="0"/>
          <w:iCs/>
          <w:sz w:val="24"/>
        </w:rPr>
        <w:t xml:space="preserve"> of the Internal Revenue Code), the aggregate paperwork burden of this information collection is divided equally </w:t>
      </w:r>
      <w:r w:rsidR="00B031EF">
        <w:rPr>
          <w:b w:val="0"/>
          <w:bCs w:val="0"/>
          <w:iCs/>
          <w:sz w:val="24"/>
        </w:rPr>
        <w:t xml:space="preserve">between those two Departments.  Therefore, the portion of the cost burden allocated to the Department of Labor is </w:t>
      </w:r>
      <w:r w:rsidR="007243B1">
        <w:rPr>
          <w:b w:val="0"/>
          <w:bCs w:val="0"/>
          <w:iCs/>
          <w:sz w:val="24"/>
        </w:rPr>
        <w:t>approximately</w:t>
      </w:r>
      <w:r w:rsidR="00C660C3">
        <w:rPr>
          <w:b w:val="0"/>
          <w:bCs w:val="0"/>
          <w:iCs/>
          <w:sz w:val="24"/>
        </w:rPr>
        <w:t xml:space="preserve"> </w:t>
      </w:r>
      <w:r w:rsidR="00B031EF">
        <w:rPr>
          <w:b w:val="0"/>
          <w:bCs w:val="0"/>
          <w:iCs/>
          <w:sz w:val="24"/>
        </w:rPr>
        <w:t>$</w:t>
      </w:r>
      <w:r w:rsidR="00CF32BF">
        <w:rPr>
          <w:b w:val="0"/>
          <w:bCs w:val="0"/>
          <w:iCs/>
          <w:sz w:val="24"/>
        </w:rPr>
        <w:t>1,49</w:t>
      </w:r>
      <w:r w:rsidR="003860F7">
        <w:rPr>
          <w:b w:val="0"/>
          <w:bCs w:val="0"/>
          <w:iCs/>
          <w:sz w:val="24"/>
        </w:rPr>
        <w:t>4</w:t>
      </w:r>
      <w:r w:rsidR="002421D4">
        <w:rPr>
          <w:b w:val="0"/>
          <w:bCs w:val="0"/>
          <w:iCs/>
          <w:sz w:val="24"/>
        </w:rPr>
        <w:t>,000</w:t>
      </w:r>
      <w:r w:rsidR="00B031EF">
        <w:rPr>
          <w:b w:val="0"/>
          <w:bCs w:val="0"/>
          <w:iCs/>
          <w:sz w:val="24"/>
        </w:rPr>
        <w:t xml:space="preserve">. </w:t>
      </w:r>
    </w:p>
    <w:p w:rsidR="00AA1E33" w:rsidRPr="00F32121" w:rsidRDefault="00AA1E33" w:rsidP="00B62EB4">
      <w:pPr>
        <w:widowControl/>
        <w:tabs>
          <w:tab w:val="left" w:pos="-1440"/>
        </w:tabs>
        <w:rPr>
          <w:b w:val="0"/>
          <w:bCs w:val="0"/>
          <w:iCs/>
          <w:sz w:val="24"/>
        </w:rPr>
      </w:pPr>
    </w:p>
    <w:p w:rsidR="00AA1E33" w:rsidRDefault="00AA1E33">
      <w:pPr>
        <w:widowControl/>
        <w:ind w:left="720"/>
        <w:rPr>
          <w:b w:val="0"/>
          <w:bCs w:val="0"/>
          <w:sz w:val="24"/>
        </w:rPr>
      </w:pPr>
    </w:p>
    <w:p w:rsidR="00AA1E33" w:rsidRDefault="00AA1E33">
      <w:pPr>
        <w:widowControl/>
        <w:tabs>
          <w:tab w:val="left" w:pos="-1440"/>
        </w:tabs>
        <w:rPr>
          <w:b w:val="0"/>
          <w:bCs w:val="0"/>
          <w:i/>
          <w:iCs/>
          <w:sz w:val="24"/>
        </w:rPr>
      </w:pPr>
      <w:r>
        <w:rPr>
          <w:b w:val="0"/>
          <w:bCs w:val="0"/>
        </w:rPr>
        <w:t xml:space="preserve">14.  </w:t>
      </w:r>
      <w:r>
        <w:rPr>
          <w:b w:val="0"/>
          <w:bCs w:val="0"/>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A1E33" w:rsidRDefault="00AA1E33">
      <w:pPr>
        <w:widowControl/>
        <w:rPr>
          <w:b w:val="0"/>
          <w:bCs w:val="0"/>
          <w:sz w:val="24"/>
        </w:rPr>
      </w:pPr>
    </w:p>
    <w:p w:rsidR="00AA1E33" w:rsidRDefault="00A73525" w:rsidP="0058117B">
      <w:pPr>
        <w:widowControl/>
        <w:ind w:left="-90" w:firstLine="810"/>
        <w:rPr>
          <w:b w:val="0"/>
          <w:bCs w:val="0"/>
          <w:sz w:val="24"/>
        </w:rPr>
      </w:pPr>
      <w:bookmarkStart w:id="3" w:name="OLE_LINK1"/>
      <w:bookmarkStart w:id="4" w:name="OLE_LINK2"/>
      <w:r>
        <w:rPr>
          <w:b w:val="0"/>
          <w:bCs w:val="0"/>
          <w:sz w:val="24"/>
        </w:rPr>
        <w:t>Not applicable.</w:t>
      </w:r>
      <w:r w:rsidR="00FF59F5">
        <w:rPr>
          <w:b w:val="0"/>
          <w:bCs w:val="0"/>
          <w:sz w:val="24"/>
        </w:rPr>
        <w:tab/>
      </w:r>
      <w:bookmarkEnd w:id="3"/>
      <w:bookmarkEnd w:id="4"/>
    </w:p>
    <w:p w:rsidR="00FF59F5" w:rsidRDefault="00FF59F5">
      <w:pPr>
        <w:widowControl/>
        <w:rPr>
          <w:b w:val="0"/>
          <w:bCs w:val="0"/>
          <w:sz w:val="24"/>
        </w:rPr>
      </w:pPr>
    </w:p>
    <w:p w:rsidR="00AA1E33" w:rsidRDefault="00AA1E33">
      <w:pPr>
        <w:widowControl/>
        <w:tabs>
          <w:tab w:val="left" w:pos="-1440"/>
        </w:tabs>
        <w:rPr>
          <w:b w:val="0"/>
          <w:bCs w:val="0"/>
          <w:i/>
          <w:iCs/>
        </w:rPr>
      </w:pPr>
      <w:r>
        <w:rPr>
          <w:b w:val="0"/>
          <w:bCs w:val="0"/>
        </w:rPr>
        <w:t>15</w:t>
      </w:r>
      <w:r>
        <w:rPr>
          <w:b w:val="0"/>
          <w:bCs w:val="0"/>
          <w:sz w:val="24"/>
        </w:rPr>
        <w:t xml:space="preserve">.  </w:t>
      </w:r>
      <w:r>
        <w:rPr>
          <w:b w:val="0"/>
          <w:bCs w:val="0"/>
          <w:i/>
          <w:iCs/>
        </w:rPr>
        <w:t>Explain the reasons for any program changes or adjustments reporting in Items 13 or 14 of the OMB Form 83-I.</w:t>
      </w:r>
    </w:p>
    <w:p w:rsidR="005228CC" w:rsidRDefault="005228CC">
      <w:pPr>
        <w:widowControl/>
        <w:tabs>
          <w:tab w:val="left" w:pos="-1440"/>
        </w:tabs>
        <w:rPr>
          <w:b w:val="0"/>
          <w:bCs w:val="0"/>
          <w:i/>
          <w:iCs/>
        </w:rPr>
      </w:pPr>
    </w:p>
    <w:p w:rsidR="005228CC" w:rsidRPr="005228CC" w:rsidRDefault="005228CC">
      <w:pPr>
        <w:widowControl/>
        <w:tabs>
          <w:tab w:val="left" w:pos="-1440"/>
        </w:tabs>
        <w:rPr>
          <w:b w:val="0"/>
          <w:bCs w:val="0"/>
          <w:sz w:val="24"/>
        </w:rPr>
      </w:pPr>
      <w:r>
        <w:rPr>
          <w:b w:val="0"/>
          <w:bCs w:val="0"/>
          <w:iCs/>
        </w:rPr>
        <w:tab/>
      </w:r>
      <w:r w:rsidR="00512D05" w:rsidRPr="008F0DD2">
        <w:rPr>
          <w:b w:val="0"/>
          <w:bCs w:val="0"/>
          <w:iCs/>
          <w:sz w:val="24"/>
          <w:szCs w:val="24"/>
        </w:rPr>
        <w:t xml:space="preserve">The Interim Final Regulations only covered plans with more than 50 participants.  The ACA </w:t>
      </w:r>
      <w:r w:rsidR="000436F1" w:rsidRPr="008F0DD2">
        <w:rPr>
          <w:b w:val="0"/>
          <w:bCs w:val="0"/>
          <w:iCs/>
          <w:sz w:val="24"/>
          <w:szCs w:val="24"/>
        </w:rPr>
        <w:t>Essential Health Benefits Regulation</w:t>
      </w:r>
      <w:r w:rsidR="00512D05" w:rsidRPr="008F0DD2">
        <w:rPr>
          <w:b w:val="0"/>
          <w:bCs w:val="0"/>
          <w:iCs/>
          <w:sz w:val="24"/>
          <w:szCs w:val="24"/>
        </w:rPr>
        <w:t xml:space="preserve"> </w:t>
      </w:r>
      <w:r w:rsidR="000E6A06">
        <w:rPr>
          <w:b w:val="0"/>
          <w:bCs w:val="0"/>
          <w:iCs/>
          <w:sz w:val="24"/>
          <w:szCs w:val="24"/>
        </w:rPr>
        <w:t>requires</w:t>
      </w:r>
      <w:r w:rsidR="00D3218B">
        <w:rPr>
          <w:b w:val="0"/>
          <w:bCs w:val="0"/>
          <w:iCs/>
          <w:sz w:val="24"/>
          <w:szCs w:val="24"/>
        </w:rPr>
        <w:t xml:space="preserve"> </w:t>
      </w:r>
      <w:r w:rsidR="00512D05" w:rsidRPr="008F0DD2">
        <w:rPr>
          <w:b w:val="0"/>
          <w:bCs w:val="0"/>
          <w:iCs/>
          <w:sz w:val="24"/>
          <w:szCs w:val="24"/>
        </w:rPr>
        <w:t xml:space="preserve"> </w:t>
      </w:r>
      <w:r w:rsidR="00190119" w:rsidRPr="008F0DD2">
        <w:rPr>
          <w:b w:val="0"/>
          <w:bCs w:val="0"/>
          <w:iCs/>
          <w:sz w:val="24"/>
          <w:szCs w:val="24"/>
        </w:rPr>
        <w:t>no</w:t>
      </w:r>
      <w:r w:rsidR="00D3218B">
        <w:rPr>
          <w:b w:val="0"/>
          <w:bCs w:val="0"/>
          <w:iCs/>
          <w:sz w:val="24"/>
          <w:szCs w:val="24"/>
        </w:rPr>
        <w:t>n</w:t>
      </w:r>
      <w:r w:rsidR="00190119" w:rsidRPr="008F0DD2">
        <w:rPr>
          <w:b w:val="0"/>
          <w:bCs w:val="0"/>
          <w:iCs/>
          <w:sz w:val="24"/>
          <w:szCs w:val="24"/>
        </w:rPr>
        <w:t>-Grandfathered plans with fewer than 50 participants</w:t>
      </w:r>
      <w:r w:rsidR="00D3218B">
        <w:rPr>
          <w:b w:val="0"/>
          <w:bCs w:val="0"/>
          <w:iCs/>
          <w:sz w:val="24"/>
          <w:szCs w:val="24"/>
        </w:rPr>
        <w:t xml:space="preserve"> to comply with MHPAEA</w:t>
      </w:r>
      <w:r w:rsidR="000436F1" w:rsidRPr="008F0DD2">
        <w:rPr>
          <w:b w:val="0"/>
          <w:bCs w:val="0"/>
          <w:iCs/>
          <w:sz w:val="24"/>
          <w:szCs w:val="24"/>
        </w:rPr>
        <w:t>.  The increased burden</w:t>
      </w:r>
      <w:r w:rsidR="00512D05" w:rsidRPr="008F0DD2">
        <w:rPr>
          <w:b w:val="0"/>
          <w:bCs w:val="0"/>
          <w:iCs/>
          <w:sz w:val="24"/>
          <w:szCs w:val="24"/>
        </w:rPr>
        <w:t xml:space="preserve"> is primarily </w:t>
      </w:r>
      <w:r w:rsidR="00947503" w:rsidRPr="008F0DD2">
        <w:rPr>
          <w:b w:val="0"/>
          <w:bCs w:val="0"/>
          <w:iCs/>
          <w:sz w:val="24"/>
          <w:szCs w:val="24"/>
        </w:rPr>
        <w:t xml:space="preserve">due to including </w:t>
      </w:r>
      <w:r w:rsidR="00D3218B">
        <w:rPr>
          <w:b w:val="0"/>
          <w:bCs w:val="0"/>
          <w:iCs/>
          <w:sz w:val="24"/>
          <w:szCs w:val="24"/>
        </w:rPr>
        <w:t xml:space="preserve">this </w:t>
      </w:r>
      <w:r w:rsidR="00947503" w:rsidRPr="008F0DD2">
        <w:rPr>
          <w:b w:val="0"/>
          <w:bCs w:val="0"/>
          <w:iCs/>
          <w:sz w:val="24"/>
          <w:szCs w:val="24"/>
        </w:rPr>
        <w:t xml:space="preserve"> burden in th</w:t>
      </w:r>
      <w:r w:rsidR="00D3218B">
        <w:rPr>
          <w:b w:val="0"/>
          <w:bCs w:val="0"/>
          <w:iCs/>
          <w:sz w:val="24"/>
          <w:szCs w:val="24"/>
        </w:rPr>
        <w:t>e</w:t>
      </w:r>
      <w:r w:rsidR="00947503" w:rsidRPr="008F0DD2">
        <w:rPr>
          <w:b w:val="0"/>
          <w:bCs w:val="0"/>
          <w:iCs/>
          <w:sz w:val="24"/>
          <w:szCs w:val="24"/>
        </w:rPr>
        <w:t xml:space="preserve"> ICR.  </w:t>
      </w:r>
      <w:r w:rsidR="00512D05" w:rsidRPr="008F0DD2">
        <w:rPr>
          <w:b w:val="0"/>
          <w:bCs w:val="0"/>
          <w:iCs/>
          <w:sz w:val="24"/>
          <w:szCs w:val="24"/>
        </w:rPr>
        <w:t xml:space="preserve"> </w:t>
      </w:r>
      <w:r w:rsidR="00986567" w:rsidRPr="00D3218B">
        <w:rPr>
          <w:b w:val="0"/>
          <w:bCs w:val="0"/>
          <w:iCs/>
          <w:sz w:val="24"/>
          <w:szCs w:val="24"/>
        </w:rPr>
        <w:t>Al</w:t>
      </w:r>
      <w:r w:rsidR="00947503" w:rsidRPr="00D3218B">
        <w:rPr>
          <w:b w:val="0"/>
          <w:bCs w:val="0"/>
          <w:iCs/>
          <w:sz w:val="24"/>
          <w:szCs w:val="24"/>
        </w:rPr>
        <w:t>so</w:t>
      </w:r>
      <w:r w:rsidR="00986567" w:rsidRPr="00D3218B">
        <w:rPr>
          <w:b w:val="0"/>
          <w:bCs w:val="0"/>
          <w:iCs/>
          <w:sz w:val="24"/>
          <w:szCs w:val="24"/>
        </w:rPr>
        <w:t xml:space="preserve"> adjustments to </w:t>
      </w:r>
      <w:r w:rsidR="00947503" w:rsidRPr="00D3218B">
        <w:rPr>
          <w:b w:val="0"/>
          <w:bCs w:val="0"/>
          <w:iCs/>
          <w:sz w:val="24"/>
          <w:szCs w:val="24"/>
        </w:rPr>
        <w:t>burden estimates</w:t>
      </w:r>
      <w:r w:rsidR="00947503">
        <w:rPr>
          <w:b w:val="0"/>
          <w:bCs w:val="0"/>
          <w:iCs/>
          <w:sz w:val="24"/>
          <w:szCs w:val="24"/>
        </w:rPr>
        <w:t xml:space="preserve"> </w:t>
      </w:r>
      <w:r w:rsidR="00D3218B">
        <w:rPr>
          <w:b w:val="0"/>
          <w:bCs w:val="0"/>
          <w:iCs/>
          <w:sz w:val="24"/>
          <w:szCs w:val="24"/>
        </w:rPr>
        <w:t xml:space="preserve">resulted from </w:t>
      </w:r>
      <w:r w:rsidR="00986567">
        <w:rPr>
          <w:b w:val="0"/>
          <w:bCs w:val="0"/>
          <w:iCs/>
          <w:sz w:val="24"/>
          <w:szCs w:val="24"/>
        </w:rPr>
        <w:t xml:space="preserve"> changes in wage rates and postage costs due to inflation</w:t>
      </w:r>
      <w:r w:rsidR="00947503">
        <w:rPr>
          <w:b w:val="0"/>
          <w:bCs w:val="0"/>
          <w:iCs/>
          <w:sz w:val="24"/>
          <w:szCs w:val="24"/>
        </w:rPr>
        <w:t>.</w:t>
      </w:r>
      <w:r w:rsidR="008669E4">
        <w:rPr>
          <w:b w:val="0"/>
          <w:bCs w:val="0"/>
          <w:iCs/>
          <w:sz w:val="24"/>
          <w:szCs w:val="24"/>
        </w:rPr>
        <w:t>.</w:t>
      </w:r>
    </w:p>
    <w:p w:rsidR="00AA1E33" w:rsidRDefault="00AA1E33">
      <w:pPr>
        <w:widowControl/>
        <w:tabs>
          <w:tab w:val="left" w:pos="-1440"/>
        </w:tabs>
        <w:ind w:left="720" w:hanging="720"/>
        <w:rPr>
          <w:b w:val="0"/>
          <w:bCs w:val="0"/>
          <w:sz w:val="24"/>
        </w:rPr>
      </w:pPr>
    </w:p>
    <w:p w:rsidR="00AA1E33" w:rsidRDefault="00AA1E33">
      <w:pPr>
        <w:widowControl/>
        <w:tabs>
          <w:tab w:val="left" w:pos="-1440"/>
        </w:tabs>
        <w:rPr>
          <w:b w:val="0"/>
          <w:bCs w:val="0"/>
          <w:i/>
          <w:iCs/>
          <w:sz w:val="24"/>
        </w:rPr>
      </w:pPr>
      <w:r>
        <w:rPr>
          <w:b w:val="0"/>
          <w:bCs w:val="0"/>
        </w:rPr>
        <w:t>16.</w:t>
      </w:r>
      <w:r>
        <w:rPr>
          <w:b w:val="0"/>
          <w:bCs w:val="0"/>
          <w:sz w:val="24"/>
        </w:rPr>
        <w:t xml:space="preserve">  </w:t>
      </w:r>
      <w:r>
        <w:rPr>
          <w:b w:val="0"/>
          <w:bCs w:val="0"/>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A1E33" w:rsidRDefault="00AA1E33">
      <w:pPr>
        <w:widowControl/>
        <w:rPr>
          <w:b w:val="0"/>
          <w:bCs w:val="0"/>
          <w:sz w:val="24"/>
        </w:rPr>
      </w:pPr>
    </w:p>
    <w:p w:rsidR="00AA1E33" w:rsidRDefault="00AA1E33">
      <w:pPr>
        <w:pStyle w:val="BodyText"/>
        <w:ind w:firstLine="720"/>
        <w:outlineLvl w:val="0"/>
      </w:pPr>
      <w:r>
        <w:t>There are no plans to publish the results of this collection of information.</w:t>
      </w:r>
    </w:p>
    <w:p w:rsidR="00AA1E33" w:rsidRDefault="00AA1E33">
      <w:pPr>
        <w:widowControl/>
        <w:rPr>
          <w:b w:val="0"/>
          <w:bCs w:val="0"/>
          <w:sz w:val="24"/>
        </w:rPr>
      </w:pPr>
    </w:p>
    <w:p w:rsidR="00AA1E33" w:rsidRDefault="00AA1E33">
      <w:pPr>
        <w:widowControl/>
        <w:tabs>
          <w:tab w:val="left" w:pos="-1440"/>
        </w:tabs>
        <w:rPr>
          <w:b w:val="0"/>
          <w:bCs w:val="0"/>
          <w:i/>
          <w:iCs/>
          <w:sz w:val="24"/>
        </w:rPr>
      </w:pPr>
      <w:r>
        <w:rPr>
          <w:b w:val="0"/>
          <w:bCs w:val="0"/>
        </w:rPr>
        <w:t xml:space="preserve">17.  </w:t>
      </w:r>
      <w:r>
        <w:rPr>
          <w:b w:val="0"/>
          <w:bCs w:val="0"/>
          <w:i/>
          <w:iCs/>
        </w:rPr>
        <w:t>If seeking approval to not display the expiration date for OMB approval of the information collection, explain the reasons that display would be inappropriate.</w:t>
      </w:r>
    </w:p>
    <w:p w:rsidR="00A7230A" w:rsidRDefault="00A7230A">
      <w:pPr>
        <w:widowControl/>
        <w:tabs>
          <w:tab w:val="left" w:pos="-1440"/>
        </w:tabs>
        <w:rPr>
          <w:b w:val="0"/>
          <w:bCs w:val="0"/>
        </w:rPr>
      </w:pPr>
    </w:p>
    <w:p w:rsidR="00A7230A" w:rsidRDefault="00A7230A" w:rsidP="00A7230A">
      <w:pPr>
        <w:pStyle w:val="BodyText"/>
        <w:ind w:firstLine="720"/>
      </w:pPr>
      <w:r>
        <w:lastRenderedPageBreak/>
        <w:t>The OMB expiration date will be published in the Federal Register following OMB approval.</w:t>
      </w:r>
    </w:p>
    <w:p w:rsidR="00A7230A" w:rsidRDefault="00A7230A">
      <w:pPr>
        <w:widowControl/>
        <w:tabs>
          <w:tab w:val="left" w:pos="-1440"/>
        </w:tabs>
        <w:rPr>
          <w:b w:val="0"/>
          <w:bCs w:val="0"/>
        </w:rPr>
      </w:pPr>
    </w:p>
    <w:p w:rsidR="00A7230A" w:rsidRDefault="00A7230A">
      <w:pPr>
        <w:widowControl/>
        <w:tabs>
          <w:tab w:val="left" w:pos="-1440"/>
        </w:tabs>
        <w:rPr>
          <w:b w:val="0"/>
          <w:bCs w:val="0"/>
        </w:rPr>
      </w:pPr>
    </w:p>
    <w:p w:rsidR="00AA1E33" w:rsidRDefault="00AA1E33">
      <w:pPr>
        <w:widowControl/>
        <w:tabs>
          <w:tab w:val="left" w:pos="-1440"/>
        </w:tabs>
        <w:rPr>
          <w:i/>
          <w:iCs/>
          <w:sz w:val="24"/>
        </w:rPr>
      </w:pPr>
      <w:r>
        <w:rPr>
          <w:b w:val="0"/>
          <w:bCs w:val="0"/>
        </w:rPr>
        <w:t>18</w:t>
      </w:r>
      <w:r>
        <w:rPr>
          <w:b w:val="0"/>
          <w:bCs w:val="0"/>
          <w:sz w:val="24"/>
        </w:rPr>
        <w:t xml:space="preserve">.  </w:t>
      </w:r>
      <w:r>
        <w:rPr>
          <w:b w:val="0"/>
          <w:bCs w:val="0"/>
          <w:i/>
          <w:iCs/>
        </w:rPr>
        <w:t>Explain each exception to the certification statement identified in Item 19, "Certification for Paperwork Reduction Act Submission," of OMB 83-I.</w:t>
      </w:r>
    </w:p>
    <w:p w:rsidR="00AA1E33" w:rsidRDefault="00AA1E33">
      <w:pPr>
        <w:widowControl/>
        <w:rPr>
          <w:sz w:val="24"/>
        </w:rPr>
      </w:pPr>
    </w:p>
    <w:p w:rsidR="00AA1E33" w:rsidRDefault="00AA1E33">
      <w:pPr>
        <w:widowControl/>
        <w:ind w:firstLine="720"/>
        <w:outlineLvl w:val="0"/>
        <w:rPr>
          <w:b w:val="0"/>
          <w:bCs w:val="0"/>
          <w:sz w:val="24"/>
        </w:rPr>
      </w:pPr>
      <w:r>
        <w:rPr>
          <w:b w:val="0"/>
          <w:bCs w:val="0"/>
          <w:sz w:val="24"/>
        </w:rPr>
        <w:t>None.</w:t>
      </w:r>
    </w:p>
    <w:p w:rsidR="00AA1E33" w:rsidRDefault="00AA1E33">
      <w:pPr>
        <w:widowControl/>
        <w:rPr>
          <w:b w:val="0"/>
          <w:bCs w:val="0"/>
          <w:sz w:val="24"/>
        </w:rPr>
      </w:pPr>
    </w:p>
    <w:p w:rsidR="00AA1E33" w:rsidRDefault="00AA1E33">
      <w:pPr>
        <w:pStyle w:val="Heading3"/>
      </w:pPr>
      <w:r>
        <w:t>B.</w:t>
      </w:r>
      <w:r>
        <w:tab/>
        <w:t>Collections of Information Employing Statistical Methods</w:t>
      </w:r>
    </w:p>
    <w:p w:rsidR="00AA1E33" w:rsidRDefault="00AA1E33">
      <w:pPr>
        <w:widowControl/>
        <w:rPr>
          <w:b w:val="0"/>
          <w:bCs w:val="0"/>
          <w:sz w:val="24"/>
        </w:rPr>
      </w:pPr>
    </w:p>
    <w:p w:rsidR="00AA1E33" w:rsidRDefault="00AA1E33">
      <w:pPr>
        <w:widowControl/>
        <w:ind w:left="720"/>
        <w:rPr>
          <w:b w:val="0"/>
          <w:bCs w:val="0"/>
          <w:sz w:val="24"/>
        </w:rPr>
      </w:pPr>
      <w:r>
        <w:rPr>
          <w:b w:val="0"/>
          <w:bCs w:val="0"/>
          <w:sz w:val="24"/>
        </w:rPr>
        <w:t>Not applicable.</w:t>
      </w:r>
    </w:p>
    <w:sectPr w:rsidR="00AA1E33">
      <w:headerReference w:type="default" r:id="rId9"/>
      <w:footerReference w:type="even" r:id="rId10"/>
      <w:footerReference w:type="default" r:id="rId11"/>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06C" w:rsidRDefault="001B006C">
      <w:r>
        <w:separator/>
      </w:r>
    </w:p>
  </w:endnote>
  <w:endnote w:type="continuationSeparator" w:id="0">
    <w:p w:rsidR="001B006C" w:rsidRDefault="001B0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1A6" w:rsidRDefault="009461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61A6" w:rsidRDefault="009461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1A6" w:rsidRDefault="009461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0A8F">
      <w:rPr>
        <w:rStyle w:val="PageNumber"/>
        <w:noProof/>
      </w:rPr>
      <w:t>7</w:t>
    </w:r>
    <w:r>
      <w:rPr>
        <w:rStyle w:val="PageNumber"/>
      </w:rPr>
      <w:fldChar w:fldCharType="end"/>
    </w:r>
  </w:p>
  <w:p w:rsidR="009461A6" w:rsidRDefault="009461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06C" w:rsidRDefault="001B006C">
      <w:r>
        <w:separator/>
      </w:r>
    </w:p>
  </w:footnote>
  <w:footnote w:type="continuationSeparator" w:id="0">
    <w:p w:rsidR="001B006C" w:rsidRDefault="001B006C">
      <w:r>
        <w:continuationSeparator/>
      </w:r>
    </w:p>
  </w:footnote>
  <w:footnote w:id="1">
    <w:p w:rsidR="009461A6" w:rsidRDefault="009461A6" w:rsidP="003833C1">
      <w:pPr>
        <w:pStyle w:val="FootnoteText"/>
      </w:pPr>
      <w:r w:rsidRPr="008F0DD2">
        <w:rPr>
          <w:rStyle w:val="FootnoteReference"/>
          <w:vertAlign w:val="superscript"/>
        </w:rPr>
        <w:footnoteRef/>
      </w:r>
      <w:r>
        <w:t xml:space="preserve"> </w:t>
      </w:r>
      <w:r w:rsidRPr="00D47EAD">
        <w:t xml:space="preserve"> </w:t>
      </w:r>
      <w:r w:rsidRPr="008F0DD2">
        <w:rPr>
          <w:b w:val="0"/>
        </w:rPr>
        <w:t>See 45 CFR 147.150 and 156.115 (78 FR 12834, February 25, 2013).</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1A6" w:rsidRDefault="009461A6" w:rsidP="00B062B9">
    <w:pPr>
      <w:pStyle w:val="Header"/>
      <w:jc w:val="right"/>
      <w:rPr>
        <w:b w:val="0"/>
        <w:bCs w:val="0"/>
      </w:rPr>
    </w:pPr>
    <w:r>
      <w:rPr>
        <w:b w:val="0"/>
        <w:bCs w:val="0"/>
      </w:rPr>
      <w:t>Notice of Medical Necessity Criteria</w:t>
    </w:r>
  </w:p>
  <w:p w:rsidR="009461A6" w:rsidRDefault="009461A6" w:rsidP="00B062B9">
    <w:pPr>
      <w:pStyle w:val="Header"/>
      <w:jc w:val="right"/>
      <w:rPr>
        <w:b w:val="0"/>
        <w:bCs w:val="0"/>
      </w:rPr>
    </w:pPr>
    <w:r>
      <w:rPr>
        <w:b w:val="0"/>
        <w:bCs w:val="0"/>
      </w:rPr>
      <w:t xml:space="preserve"> Under the Mental Health Parity</w:t>
    </w:r>
  </w:p>
  <w:p w:rsidR="009461A6" w:rsidRDefault="009461A6" w:rsidP="00B062B9">
    <w:pPr>
      <w:pStyle w:val="Header"/>
      <w:jc w:val="right"/>
      <w:rPr>
        <w:b w:val="0"/>
        <w:bCs w:val="0"/>
      </w:rPr>
    </w:pPr>
    <w:r>
      <w:rPr>
        <w:b w:val="0"/>
        <w:bCs w:val="0"/>
      </w:rPr>
      <w:t xml:space="preserve">   and Addiction Equity Act of 2008 </w:t>
    </w:r>
  </w:p>
  <w:p w:rsidR="009461A6" w:rsidRDefault="0049199A">
    <w:pPr>
      <w:pStyle w:val="Header"/>
      <w:jc w:val="right"/>
    </w:pPr>
    <w:r>
      <w:rPr>
        <w:b w:val="0"/>
        <w:bCs w:val="0"/>
      </w:rPr>
      <w:t xml:space="preserve">November </w:t>
    </w:r>
    <w:r w:rsidR="009461A6">
      <w:rPr>
        <w:b w:val="0"/>
        <w:bCs w:val="0"/>
      </w:rPr>
      <w:t xml:space="preserve"> 2013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2CE3F56"/>
    <w:multiLevelType w:val="hybridMultilevel"/>
    <w:tmpl w:val="4C8AA262"/>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236435"/>
    <w:multiLevelType w:val="hybridMultilevel"/>
    <w:tmpl w:val="7FCA0D88"/>
    <w:lvl w:ilvl="0" w:tplc="6EE48C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D52C5C"/>
    <w:multiLevelType w:val="hybridMultilevel"/>
    <w:tmpl w:val="FD9E36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C976E0"/>
    <w:multiLevelType w:val="hybridMultilevel"/>
    <w:tmpl w:val="7FCA0D88"/>
    <w:lvl w:ilvl="0" w:tplc="6EE48C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046665"/>
    <w:multiLevelType w:val="hybridMultilevel"/>
    <w:tmpl w:val="DAB4BFAA"/>
    <w:lvl w:ilvl="0" w:tplc="6EE48C1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31B7955"/>
    <w:multiLevelType w:val="hybridMultilevel"/>
    <w:tmpl w:val="EE445E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32DF4E66"/>
    <w:multiLevelType w:val="hybridMultilevel"/>
    <w:tmpl w:val="DAB4BF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45D1452"/>
    <w:multiLevelType w:val="hybridMultilevel"/>
    <w:tmpl w:val="7F6856F4"/>
    <w:lvl w:ilvl="0" w:tplc="0409000F">
      <w:start w:val="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F9564E"/>
    <w:multiLevelType w:val="hybridMultilevel"/>
    <w:tmpl w:val="825A324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2C40C23"/>
    <w:multiLevelType w:val="hybridMultilevel"/>
    <w:tmpl w:val="F1CA5354"/>
    <w:lvl w:ilvl="0" w:tplc="0409000F">
      <w:start w:val="12"/>
      <w:numFmt w:val="decimal"/>
      <w:lvlText w:val="%1."/>
      <w:lvlJc w:val="left"/>
      <w:pPr>
        <w:tabs>
          <w:tab w:val="num" w:pos="720"/>
        </w:tabs>
        <w:ind w:left="720" w:hanging="360"/>
      </w:pPr>
      <w:rPr>
        <w:rFonts w:hint="default"/>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34D2F16"/>
    <w:multiLevelType w:val="hybridMultilevel"/>
    <w:tmpl w:val="51D015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45D5E05"/>
    <w:multiLevelType w:val="hybridMultilevel"/>
    <w:tmpl w:val="6074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95A3AA1"/>
    <w:multiLevelType w:val="hybridMultilevel"/>
    <w:tmpl w:val="25269FCA"/>
    <w:lvl w:ilvl="0" w:tplc="0409000F">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D613C92"/>
    <w:multiLevelType w:val="hybridMultilevel"/>
    <w:tmpl w:val="D2CE9F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59316EE5"/>
    <w:multiLevelType w:val="hybridMultilevel"/>
    <w:tmpl w:val="563481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5E912CF6"/>
    <w:multiLevelType w:val="hybridMultilevel"/>
    <w:tmpl w:val="3048A8EA"/>
    <w:lvl w:ilvl="0" w:tplc="0409000F">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1AA025A"/>
    <w:multiLevelType w:val="hybridMultilevel"/>
    <w:tmpl w:val="D0B0AE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A1F6E23"/>
    <w:multiLevelType w:val="hybridMultilevel"/>
    <w:tmpl w:val="469AF0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73555839"/>
    <w:multiLevelType w:val="hybridMultilevel"/>
    <w:tmpl w:val="981015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61552FF"/>
    <w:multiLevelType w:val="hybridMultilevel"/>
    <w:tmpl w:val="448E853E"/>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DFE4577"/>
    <w:multiLevelType w:val="hybridMultilevel"/>
    <w:tmpl w:val="6240B9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0"/>
    <w:lvlOverride w:ilvl="0">
      <w:startOverride w:val="3"/>
      <w:lvl w:ilvl="0">
        <w:start w:val="3"/>
        <w:numFmt w:val="decimal"/>
        <w:pStyle w:val="Quick1"/>
        <w:lvlText w:val="%1."/>
        <w:lvlJc w:val="left"/>
      </w:lvl>
    </w:lvlOverride>
  </w:num>
  <w:num w:numId="4">
    <w:abstractNumId w:val="16"/>
  </w:num>
  <w:num w:numId="5">
    <w:abstractNumId w:val="7"/>
  </w:num>
  <w:num w:numId="6">
    <w:abstractNumId w:val="17"/>
  </w:num>
  <w:num w:numId="7">
    <w:abstractNumId w:val="8"/>
  </w:num>
  <w:num w:numId="8">
    <w:abstractNumId w:val="4"/>
  </w:num>
  <w:num w:numId="9">
    <w:abstractNumId w:val="10"/>
  </w:num>
  <w:num w:numId="10">
    <w:abstractNumId w:val="2"/>
  </w:num>
  <w:num w:numId="11">
    <w:abstractNumId w:val="5"/>
  </w:num>
  <w:num w:numId="12">
    <w:abstractNumId w:val="20"/>
  </w:num>
  <w:num w:numId="13">
    <w:abstractNumId w:val="1"/>
  </w:num>
  <w:num w:numId="14">
    <w:abstractNumId w:val="12"/>
  </w:num>
  <w:num w:numId="15">
    <w:abstractNumId w:val="14"/>
  </w:num>
  <w:num w:numId="16">
    <w:abstractNumId w:val="3"/>
  </w:num>
  <w:num w:numId="17">
    <w:abstractNumId w:val="21"/>
  </w:num>
  <w:num w:numId="18">
    <w:abstractNumId w:val="6"/>
  </w:num>
  <w:num w:numId="19">
    <w:abstractNumId w:val="11"/>
  </w:num>
  <w:num w:numId="20">
    <w:abstractNumId w:val="15"/>
  </w:num>
  <w:num w:numId="21">
    <w:abstractNumId w:val="18"/>
  </w:num>
  <w:num w:numId="22">
    <w:abstractNumId w:val="19"/>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A8C"/>
    <w:rsid w:val="0000293D"/>
    <w:rsid w:val="00031451"/>
    <w:rsid w:val="000436F1"/>
    <w:rsid w:val="00065DB6"/>
    <w:rsid w:val="00082771"/>
    <w:rsid w:val="000B41C2"/>
    <w:rsid w:val="000D006B"/>
    <w:rsid w:val="000D3063"/>
    <w:rsid w:val="000D4366"/>
    <w:rsid w:val="000E6A06"/>
    <w:rsid w:val="000F0248"/>
    <w:rsid w:val="000F24C3"/>
    <w:rsid w:val="000F3328"/>
    <w:rsid w:val="000F778A"/>
    <w:rsid w:val="00115277"/>
    <w:rsid w:val="001213F7"/>
    <w:rsid w:val="00123383"/>
    <w:rsid w:val="00170248"/>
    <w:rsid w:val="001818F3"/>
    <w:rsid w:val="00184897"/>
    <w:rsid w:val="00190119"/>
    <w:rsid w:val="001912CD"/>
    <w:rsid w:val="001A524F"/>
    <w:rsid w:val="001B006C"/>
    <w:rsid w:val="001B37C2"/>
    <w:rsid w:val="001C18D0"/>
    <w:rsid w:val="001C72CF"/>
    <w:rsid w:val="001D5B76"/>
    <w:rsid w:val="001F7342"/>
    <w:rsid w:val="00206DED"/>
    <w:rsid w:val="00226772"/>
    <w:rsid w:val="002421D4"/>
    <w:rsid w:val="00282B87"/>
    <w:rsid w:val="002A749A"/>
    <w:rsid w:val="002B48E2"/>
    <w:rsid w:val="002C7CB0"/>
    <w:rsid w:val="002D3AE7"/>
    <w:rsid w:val="00303F1B"/>
    <w:rsid w:val="0031046A"/>
    <w:rsid w:val="00321123"/>
    <w:rsid w:val="003312F1"/>
    <w:rsid w:val="00345486"/>
    <w:rsid w:val="0036756A"/>
    <w:rsid w:val="00372681"/>
    <w:rsid w:val="00380D0F"/>
    <w:rsid w:val="003833C1"/>
    <w:rsid w:val="003860F7"/>
    <w:rsid w:val="00390D02"/>
    <w:rsid w:val="003C33DC"/>
    <w:rsid w:val="003C53F2"/>
    <w:rsid w:val="003C6E5E"/>
    <w:rsid w:val="003E0A27"/>
    <w:rsid w:val="003E1E53"/>
    <w:rsid w:val="003E2784"/>
    <w:rsid w:val="004111E2"/>
    <w:rsid w:val="0042020C"/>
    <w:rsid w:val="00424E2C"/>
    <w:rsid w:val="00425B89"/>
    <w:rsid w:val="00446041"/>
    <w:rsid w:val="00457FA3"/>
    <w:rsid w:val="0047252F"/>
    <w:rsid w:val="00480856"/>
    <w:rsid w:val="004914C3"/>
    <w:rsid w:val="0049199A"/>
    <w:rsid w:val="0049601B"/>
    <w:rsid w:val="00497BDE"/>
    <w:rsid w:val="004B464B"/>
    <w:rsid w:val="00512D05"/>
    <w:rsid w:val="00517ECB"/>
    <w:rsid w:val="005228CC"/>
    <w:rsid w:val="00535772"/>
    <w:rsid w:val="00561D3B"/>
    <w:rsid w:val="0056371A"/>
    <w:rsid w:val="00573BF9"/>
    <w:rsid w:val="00577D16"/>
    <w:rsid w:val="0058117B"/>
    <w:rsid w:val="005B36F9"/>
    <w:rsid w:val="005B3B5A"/>
    <w:rsid w:val="006213C9"/>
    <w:rsid w:val="00623436"/>
    <w:rsid w:val="00640AE0"/>
    <w:rsid w:val="00652C4A"/>
    <w:rsid w:val="00684E70"/>
    <w:rsid w:val="00696BFE"/>
    <w:rsid w:val="006A0BD2"/>
    <w:rsid w:val="006A6772"/>
    <w:rsid w:val="006D4648"/>
    <w:rsid w:val="006E2999"/>
    <w:rsid w:val="006E700C"/>
    <w:rsid w:val="006F0E4C"/>
    <w:rsid w:val="007055E6"/>
    <w:rsid w:val="00705B6A"/>
    <w:rsid w:val="00710D1B"/>
    <w:rsid w:val="00720996"/>
    <w:rsid w:val="00722CF4"/>
    <w:rsid w:val="007243B1"/>
    <w:rsid w:val="00742A93"/>
    <w:rsid w:val="0077147A"/>
    <w:rsid w:val="00782EAB"/>
    <w:rsid w:val="007B05BB"/>
    <w:rsid w:val="007D7EDC"/>
    <w:rsid w:val="007F04F3"/>
    <w:rsid w:val="00800AF8"/>
    <w:rsid w:val="00804383"/>
    <w:rsid w:val="00812DB6"/>
    <w:rsid w:val="00816ABF"/>
    <w:rsid w:val="00827EB7"/>
    <w:rsid w:val="00846BFD"/>
    <w:rsid w:val="008669E4"/>
    <w:rsid w:val="0087097D"/>
    <w:rsid w:val="0087539B"/>
    <w:rsid w:val="00884D13"/>
    <w:rsid w:val="00891FE1"/>
    <w:rsid w:val="008936B0"/>
    <w:rsid w:val="008A645C"/>
    <w:rsid w:val="008B1062"/>
    <w:rsid w:val="008B32B2"/>
    <w:rsid w:val="008C4D5C"/>
    <w:rsid w:val="008C524B"/>
    <w:rsid w:val="008E22FB"/>
    <w:rsid w:val="008E5A4B"/>
    <w:rsid w:val="008F0DD2"/>
    <w:rsid w:val="008F7C96"/>
    <w:rsid w:val="00900934"/>
    <w:rsid w:val="00902D27"/>
    <w:rsid w:val="00912617"/>
    <w:rsid w:val="00924373"/>
    <w:rsid w:val="00936B6E"/>
    <w:rsid w:val="00937F70"/>
    <w:rsid w:val="00943844"/>
    <w:rsid w:val="009461A6"/>
    <w:rsid w:val="00947503"/>
    <w:rsid w:val="00947B2C"/>
    <w:rsid w:val="00971F14"/>
    <w:rsid w:val="00986567"/>
    <w:rsid w:val="00A151B1"/>
    <w:rsid w:val="00A24DEA"/>
    <w:rsid w:val="00A43F18"/>
    <w:rsid w:val="00A44FF5"/>
    <w:rsid w:val="00A6466E"/>
    <w:rsid w:val="00A667BB"/>
    <w:rsid w:val="00A7230A"/>
    <w:rsid w:val="00A73525"/>
    <w:rsid w:val="00A857A7"/>
    <w:rsid w:val="00A85E29"/>
    <w:rsid w:val="00A90073"/>
    <w:rsid w:val="00AA1E33"/>
    <w:rsid w:val="00AB73A1"/>
    <w:rsid w:val="00AC0A8F"/>
    <w:rsid w:val="00AD1B6F"/>
    <w:rsid w:val="00AF4EFB"/>
    <w:rsid w:val="00AF6B8B"/>
    <w:rsid w:val="00B0011B"/>
    <w:rsid w:val="00B031EF"/>
    <w:rsid w:val="00B037E3"/>
    <w:rsid w:val="00B062B9"/>
    <w:rsid w:val="00B073DA"/>
    <w:rsid w:val="00B125C2"/>
    <w:rsid w:val="00B12AE1"/>
    <w:rsid w:val="00B25F71"/>
    <w:rsid w:val="00B448A0"/>
    <w:rsid w:val="00B62EB4"/>
    <w:rsid w:val="00B70CDA"/>
    <w:rsid w:val="00B93D10"/>
    <w:rsid w:val="00BC56D4"/>
    <w:rsid w:val="00BE6818"/>
    <w:rsid w:val="00BF09EA"/>
    <w:rsid w:val="00C11E41"/>
    <w:rsid w:val="00C16E62"/>
    <w:rsid w:val="00C4012C"/>
    <w:rsid w:val="00C501AA"/>
    <w:rsid w:val="00C50681"/>
    <w:rsid w:val="00C608CC"/>
    <w:rsid w:val="00C63DF8"/>
    <w:rsid w:val="00C660C3"/>
    <w:rsid w:val="00C70173"/>
    <w:rsid w:val="00CA18CA"/>
    <w:rsid w:val="00CA72FB"/>
    <w:rsid w:val="00CB3B3F"/>
    <w:rsid w:val="00CF32BF"/>
    <w:rsid w:val="00CF5F16"/>
    <w:rsid w:val="00D073D7"/>
    <w:rsid w:val="00D172CA"/>
    <w:rsid w:val="00D273C6"/>
    <w:rsid w:val="00D3218B"/>
    <w:rsid w:val="00D40DF0"/>
    <w:rsid w:val="00D41ACA"/>
    <w:rsid w:val="00D45EF9"/>
    <w:rsid w:val="00D72175"/>
    <w:rsid w:val="00D96240"/>
    <w:rsid w:val="00DB582F"/>
    <w:rsid w:val="00E01C03"/>
    <w:rsid w:val="00E52E2F"/>
    <w:rsid w:val="00EB5A4E"/>
    <w:rsid w:val="00EE278E"/>
    <w:rsid w:val="00EE6077"/>
    <w:rsid w:val="00EF5A8C"/>
    <w:rsid w:val="00F04752"/>
    <w:rsid w:val="00F2079B"/>
    <w:rsid w:val="00F32121"/>
    <w:rsid w:val="00F32D85"/>
    <w:rsid w:val="00F3406B"/>
    <w:rsid w:val="00F74126"/>
    <w:rsid w:val="00FA42C1"/>
    <w:rsid w:val="00FB5429"/>
    <w:rsid w:val="00FF5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b/>
      <w:bC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widowControl/>
      <w:ind w:left="720"/>
      <w:outlineLvl w:val="1"/>
    </w:pPr>
    <w:rPr>
      <w:b w:val="0"/>
      <w:bCs w:val="0"/>
      <w:sz w:val="24"/>
    </w:rPr>
  </w:style>
  <w:style w:type="paragraph" w:styleId="Heading3">
    <w:name w:val="heading 3"/>
    <w:basedOn w:val="Normal"/>
    <w:next w:val="Normal"/>
    <w:qFormat/>
    <w:pPr>
      <w:keepNext/>
      <w:widowControl/>
      <w:tabs>
        <w:tab w:val="left" w:pos="-1440"/>
      </w:tabs>
      <w:ind w:left="720" w:hanging="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Quick1">
    <w:name w:val="Quick 1."/>
    <w:basedOn w:val="Normal"/>
    <w:pPr>
      <w:numPr>
        <w:numId w:val="2"/>
      </w:numPr>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basedOn w:val="Normal"/>
    <w:link w:val="FootnoteTextChar"/>
    <w:uiPriority w:val="99"/>
    <w:semiHidden/>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pPr>
    <w:rPr>
      <w:b w:val="0"/>
      <w:bCs w:val="0"/>
      <w:sz w:val="24"/>
    </w:rPr>
  </w:style>
  <w:style w:type="paragraph" w:styleId="BodyText2">
    <w:name w:val="Body Text 2"/>
    <w:basedOn w:val="Normal"/>
    <w:pPr>
      <w:widowControl/>
      <w:tabs>
        <w:tab w:val="left" w:pos="-1440"/>
      </w:tabs>
    </w:pPr>
    <w:rPr>
      <w:b w:val="0"/>
      <w:bCs w:val="0"/>
      <w:i/>
      <w:iCs/>
    </w:rPr>
  </w:style>
  <w:style w:type="paragraph" w:styleId="BodyText3">
    <w:name w:val="Body Text 3"/>
    <w:basedOn w:val="Normal"/>
    <w:pPr>
      <w:widowControl/>
    </w:pPr>
    <w:rPr>
      <w:i/>
      <w:iCs/>
    </w:rPr>
  </w:style>
  <w:style w:type="character" w:styleId="PageNumber">
    <w:name w:val="page number"/>
    <w:basedOn w:val="DefaultParagraphFont"/>
  </w:style>
  <w:style w:type="paragraph" w:styleId="BalloonText">
    <w:name w:val="Balloon Text"/>
    <w:basedOn w:val="Normal"/>
    <w:semiHidden/>
    <w:rsid w:val="00722CF4"/>
    <w:rPr>
      <w:rFonts w:ascii="Tahoma" w:hAnsi="Tahoma" w:cs="Tahoma"/>
      <w:sz w:val="16"/>
      <w:szCs w:val="16"/>
    </w:rPr>
  </w:style>
  <w:style w:type="character" w:styleId="Hyperlink">
    <w:name w:val="Hyperlink"/>
    <w:rsid w:val="008A645C"/>
    <w:rPr>
      <w:color w:val="0000FF"/>
      <w:u w:val="single"/>
    </w:rPr>
  </w:style>
  <w:style w:type="character" w:styleId="FollowedHyperlink">
    <w:name w:val="FollowedHyperlink"/>
    <w:rsid w:val="008A645C"/>
    <w:rPr>
      <w:color w:val="800080"/>
      <w:u w:val="single"/>
    </w:rPr>
  </w:style>
  <w:style w:type="character" w:customStyle="1" w:styleId="footnoteref">
    <w:name w:val="footnote ref"/>
    <w:rsid w:val="00A73525"/>
  </w:style>
  <w:style w:type="paragraph" w:styleId="Caption">
    <w:name w:val="caption"/>
    <w:basedOn w:val="Normal"/>
    <w:next w:val="Normal"/>
    <w:qFormat/>
    <w:rsid w:val="00A6466E"/>
  </w:style>
  <w:style w:type="character" w:customStyle="1" w:styleId="FootnoteTextChar">
    <w:name w:val="Footnote Text Char"/>
    <w:link w:val="FootnoteText"/>
    <w:uiPriority w:val="99"/>
    <w:semiHidden/>
    <w:rsid w:val="00742A93"/>
    <w:rPr>
      <w:b/>
      <w:bCs/>
      <w:sz w:val="16"/>
      <w:lang w:val="en-US" w:eastAsia="en-US" w:bidi="ar-SA"/>
    </w:rPr>
  </w:style>
  <w:style w:type="character" w:styleId="CommentReference">
    <w:name w:val="annotation reference"/>
    <w:basedOn w:val="DefaultParagraphFont"/>
    <w:rsid w:val="00AD1B6F"/>
    <w:rPr>
      <w:sz w:val="16"/>
      <w:szCs w:val="16"/>
    </w:rPr>
  </w:style>
  <w:style w:type="paragraph" w:styleId="CommentText">
    <w:name w:val="annotation text"/>
    <w:basedOn w:val="Normal"/>
    <w:link w:val="CommentTextChar"/>
    <w:rsid w:val="00AD1B6F"/>
  </w:style>
  <w:style w:type="character" w:customStyle="1" w:styleId="CommentTextChar">
    <w:name w:val="Comment Text Char"/>
    <w:basedOn w:val="DefaultParagraphFont"/>
    <w:link w:val="CommentText"/>
    <w:rsid w:val="00AD1B6F"/>
    <w:rPr>
      <w:b/>
      <w:bCs/>
    </w:rPr>
  </w:style>
  <w:style w:type="paragraph" w:styleId="CommentSubject">
    <w:name w:val="annotation subject"/>
    <w:basedOn w:val="CommentText"/>
    <w:next w:val="CommentText"/>
    <w:link w:val="CommentSubjectChar"/>
    <w:rsid w:val="00AD1B6F"/>
  </w:style>
  <w:style w:type="character" w:customStyle="1" w:styleId="CommentSubjectChar">
    <w:name w:val="Comment Subject Char"/>
    <w:basedOn w:val="CommentTextChar"/>
    <w:link w:val="CommentSubject"/>
    <w:rsid w:val="00AD1B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b/>
      <w:bC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widowControl/>
      <w:ind w:left="720"/>
      <w:outlineLvl w:val="1"/>
    </w:pPr>
    <w:rPr>
      <w:b w:val="0"/>
      <w:bCs w:val="0"/>
      <w:sz w:val="24"/>
    </w:rPr>
  </w:style>
  <w:style w:type="paragraph" w:styleId="Heading3">
    <w:name w:val="heading 3"/>
    <w:basedOn w:val="Normal"/>
    <w:next w:val="Normal"/>
    <w:qFormat/>
    <w:pPr>
      <w:keepNext/>
      <w:widowControl/>
      <w:tabs>
        <w:tab w:val="left" w:pos="-1440"/>
      </w:tabs>
      <w:ind w:left="720" w:hanging="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Quick1">
    <w:name w:val="Quick 1."/>
    <w:basedOn w:val="Normal"/>
    <w:pPr>
      <w:numPr>
        <w:numId w:val="2"/>
      </w:numPr>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basedOn w:val="Normal"/>
    <w:link w:val="FootnoteTextChar"/>
    <w:uiPriority w:val="99"/>
    <w:semiHidden/>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pPr>
    <w:rPr>
      <w:b w:val="0"/>
      <w:bCs w:val="0"/>
      <w:sz w:val="24"/>
    </w:rPr>
  </w:style>
  <w:style w:type="paragraph" w:styleId="BodyText2">
    <w:name w:val="Body Text 2"/>
    <w:basedOn w:val="Normal"/>
    <w:pPr>
      <w:widowControl/>
      <w:tabs>
        <w:tab w:val="left" w:pos="-1440"/>
      </w:tabs>
    </w:pPr>
    <w:rPr>
      <w:b w:val="0"/>
      <w:bCs w:val="0"/>
      <w:i/>
      <w:iCs/>
    </w:rPr>
  </w:style>
  <w:style w:type="paragraph" w:styleId="BodyText3">
    <w:name w:val="Body Text 3"/>
    <w:basedOn w:val="Normal"/>
    <w:pPr>
      <w:widowControl/>
    </w:pPr>
    <w:rPr>
      <w:i/>
      <w:iCs/>
    </w:rPr>
  </w:style>
  <w:style w:type="character" w:styleId="PageNumber">
    <w:name w:val="page number"/>
    <w:basedOn w:val="DefaultParagraphFont"/>
  </w:style>
  <w:style w:type="paragraph" w:styleId="BalloonText">
    <w:name w:val="Balloon Text"/>
    <w:basedOn w:val="Normal"/>
    <w:semiHidden/>
    <w:rsid w:val="00722CF4"/>
    <w:rPr>
      <w:rFonts w:ascii="Tahoma" w:hAnsi="Tahoma" w:cs="Tahoma"/>
      <w:sz w:val="16"/>
      <w:szCs w:val="16"/>
    </w:rPr>
  </w:style>
  <w:style w:type="character" w:styleId="Hyperlink">
    <w:name w:val="Hyperlink"/>
    <w:rsid w:val="008A645C"/>
    <w:rPr>
      <w:color w:val="0000FF"/>
      <w:u w:val="single"/>
    </w:rPr>
  </w:style>
  <w:style w:type="character" w:styleId="FollowedHyperlink">
    <w:name w:val="FollowedHyperlink"/>
    <w:rsid w:val="008A645C"/>
    <w:rPr>
      <w:color w:val="800080"/>
      <w:u w:val="single"/>
    </w:rPr>
  </w:style>
  <w:style w:type="character" w:customStyle="1" w:styleId="footnoteref">
    <w:name w:val="footnote ref"/>
    <w:rsid w:val="00A73525"/>
  </w:style>
  <w:style w:type="paragraph" w:styleId="Caption">
    <w:name w:val="caption"/>
    <w:basedOn w:val="Normal"/>
    <w:next w:val="Normal"/>
    <w:qFormat/>
    <w:rsid w:val="00A6466E"/>
  </w:style>
  <w:style w:type="character" w:customStyle="1" w:styleId="FootnoteTextChar">
    <w:name w:val="Footnote Text Char"/>
    <w:link w:val="FootnoteText"/>
    <w:uiPriority w:val="99"/>
    <w:semiHidden/>
    <w:rsid w:val="00742A93"/>
    <w:rPr>
      <w:b/>
      <w:bCs/>
      <w:sz w:val="16"/>
      <w:lang w:val="en-US" w:eastAsia="en-US" w:bidi="ar-SA"/>
    </w:rPr>
  </w:style>
  <w:style w:type="character" w:styleId="CommentReference">
    <w:name w:val="annotation reference"/>
    <w:basedOn w:val="DefaultParagraphFont"/>
    <w:rsid w:val="00AD1B6F"/>
    <w:rPr>
      <w:sz w:val="16"/>
      <w:szCs w:val="16"/>
    </w:rPr>
  </w:style>
  <w:style w:type="paragraph" w:styleId="CommentText">
    <w:name w:val="annotation text"/>
    <w:basedOn w:val="Normal"/>
    <w:link w:val="CommentTextChar"/>
    <w:rsid w:val="00AD1B6F"/>
  </w:style>
  <w:style w:type="character" w:customStyle="1" w:styleId="CommentTextChar">
    <w:name w:val="Comment Text Char"/>
    <w:basedOn w:val="DefaultParagraphFont"/>
    <w:link w:val="CommentText"/>
    <w:rsid w:val="00AD1B6F"/>
    <w:rPr>
      <w:b/>
      <w:bCs/>
    </w:rPr>
  </w:style>
  <w:style w:type="paragraph" w:styleId="CommentSubject">
    <w:name w:val="annotation subject"/>
    <w:basedOn w:val="CommentText"/>
    <w:next w:val="CommentText"/>
    <w:link w:val="CommentSubjectChar"/>
    <w:rsid w:val="00AD1B6F"/>
  </w:style>
  <w:style w:type="character" w:customStyle="1" w:styleId="CommentSubjectChar">
    <w:name w:val="Comment Subject Char"/>
    <w:basedOn w:val="CommentTextChar"/>
    <w:link w:val="CommentSubject"/>
    <w:rsid w:val="00AD1B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E258F-F85F-4CB9-B71E-655414259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3660</Words>
  <Characters>20910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Smyth, Michel - OASAM OCIO</cp:lastModifiedBy>
  <cp:revision>2</cp:revision>
  <cp:lastPrinted>2009-05-11T17:56:00Z</cp:lastPrinted>
  <dcterms:created xsi:type="dcterms:W3CDTF">2013-11-05T23:49:00Z</dcterms:created>
  <dcterms:modified xsi:type="dcterms:W3CDTF">2013-11-05T23:49:00Z</dcterms:modified>
</cp:coreProperties>
</file>