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23B21" w:rsidRPr="00323B21" w:rsidTr="00323B21">
        <w:trPr>
          <w:tblCellSpacing w:w="15" w:type="dxa"/>
          <w:jc w:val="center"/>
        </w:trPr>
        <w:tc>
          <w:tcPr>
            <w:tcW w:w="0" w:type="auto"/>
            <w:hideMark/>
          </w:tcPr>
          <w:p w:rsidR="00323B21" w:rsidRPr="00323B21" w:rsidRDefault="00323B21" w:rsidP="00323B21">
            <w:pPr>
              <w:spacing w:before="100" w:beforeAutospacing="1" w:after="100" w:afterAutospacing="1" w:line="240" w:lineRule="auto"/>
              <w:rPr>
                <w:rFonts w:ascii="Arial" w:eastAsia="Times New Roman" w:hAnsi="Arial" w:cs="Arial"/>
                <w:b/>
                <w:bCs/>
                <w:color w:val="FF0000"/>
                <w:sz w:val="27"/>
                <w:szCs w:val="27"/>
              </w:rPr>
            </w:pPr>
            <w:r w:rsidRPr="00323B21">
              <w:rPr>
                <w:rFonts w:ascii="Arial" w:eastAsia="Times New Roman" w:hAnsi="Arial" w:cs="Arial"/>
                <w:b/>
                <w:bCs/>
                <w:color w:val="FF0000"/>
                <w:sz w:val="27"/>
                <w:szCs w:val="27"/>
              </w:rPr>
              <w:t>e-CFR Data is current as of November 29, 2013</w:t>
            </w:r>
          </w:p>
        </w:tc>
      </w:tr>
    </w:tbl>
    <w:p w:rsidR="00323B21" w:rsidRPr="00323B21" w:rsidRDefault="00323B21" w:rsidP="00323B21">
      <w:pPr>
        <w:spacing w:before="200" w:after="100" w:afterAutospacing="1" w:line="240" w:lineRule="auto"/>
        <w:rPr>
          <w:rFonts w:ascii="Arial" w:eastAsia="Times New Roman" w:hAnsi="Arial" w:cs="Arial"/>
          <w:sz w:val="20"/>
          <w:szCs w:val="20"/>
        </w:rPr>
      </w:pPr>
      <w:r w:rsidRPr="00323B21">
        <w:rPr>
          <w:rFonts w:ascii="Arial" w:eastAsia="Times New Roman" w:hAnsi="Arial" w:cs="Arial"/>
          <w:sz w:val="20"/>
          <w:szCs w:val="20"/>
        </w:rPr>
        <w:t xml:space="preserve">Title 29: Labor </w:t>
      </w:r>
      <w:r w:rsidRPr="00323B21">
        <w:rPr>
          <w:rFonts w:ascii="Arial" w:eastAsia="Times New Roman" w:hAnsi="Arial" w:cs="Arial"/>
          <w:sz w:val="20"/>
          <w:szCs w:val="20"/>
        </w:rPr>
        <w:br/>
      </w:r>
      <w:hyperlink r:id="rId7" w:history="1">
        <w:r w:rsidRPr="00323B21">
          <w:rPr>
            <w:rFonts w:ascii="Arial" w:eastAsia="Times New Roman" w:hAnsi="Arial" w:cs="Arial"/>
            <w:color w:val="0000FF"/>
            <w:sz w:val="17"/>
            <w:szCs w:val="17"/>
          </w:rPr>
          <w:t>PART 1913—RULES OF AGENCY PRACTICE AND PROCEDURE CONCERNING OSHA ACCESS TO EMPLOYEE MEDICAL RECORDS</w:t>
        </w:r>
      </w:hyperlink>
      <w:r w:rsidRPr="00323B21">
        <w:rPr>
          <w:rFonts w:ascii="Arial" w:eastAsia="Times New Roman" w:hAnsi="Arial" w:cs="Arial"/>
          <w:sz w:val="20"/>
          <w:szCs w:val="20"/>
        </w:rPr>
        <w:t xml:space="preserve"> </w:t>
      </w:r>
    </w:p>
    <w:p w:rsidR="00323B21" w:rsidRPr="00323B21" w:rsidRDefault="00323B21" w:rsidP="00323B21">
      <w:pPr>
        <w:spacing w:after="0" w:line="240" w:lineRule="auto"/>
        <w:rPr>
          <w:rFonts w:ascii="Arial" w:eastAsia="Times New Roman" w:hAnsi="Arial" w:cs="Arial"/>
          <w:sz w:val="20"/>
          <w:szCs w:val="20"/>
        </w:rPr>
      </w:pPr>
      <w:r w:rsidRPr="00323B21">
        <w:rPr>
          <w:rFonts w:ascii="Arial" w:eastAsia="Times New Roman" w:hAnsi="Arial" w:cs="Arial"/>
          <w:sz w:val="20"/>
          <w:szCs w:val="20"/>
        </w:rPr>
        <w:pict>
          <v:rect id="_x0000_i1025" style="width:0;height:1.5pt" o:hrstd="t" o:hr="t" fillcolor="#a0a0a0" stroked="f"/>
        </w:pict>
      </w:r>
    </w:p>
    <w:p w:rsidR="00323B21" w:rsidRPr="00323B21" w:rsidRDefault="00323B21" w:rsidP="00323B21">
      <w:pPr>
        <w:spacing w:before="200" w:after="100" w:line="240" w:lineRule="auto"/>
        <w:outlineLvl w:val="1"/>
        <w:rPr>
          <w:rFonts w:ascii="Arial" w:eastAsia="Times New Roman" w:hAnsi="Arial" w:cs="Arial"/>
          <w:b/>
          <w:bCs/>
          <w:sz w:val="20"/>
          <w:szCs w:val="20"/>
        </w:rPr>
      </w:pPr>
      <w:bookmarkStart w:id="0" w:name="_top"/>
      <w:bookmarkEnd w:id="0"/>
      <w:r w:rsidRPr="00323B21">
        <w:rPr>
          <w:rFonts w:ascii="Arial" w:eastAsia="Times New Roman" w:hAnsi="Arial" w:cs="Arial"/>
          <w:b/>
          <w:bCs/>
          <w:sz w:val="20"/>
          <w:szCs w:val="20"/>
        </w:rPr>
        <w:t>§1913.10   Rules of agency practice and procedure concerning OSHA access to employee medical records.</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(a) </w:t>
      </w:r>
      <w:r w:rsidRPr="00323B21">
        <w:rPr>
          <w:rFonts w:ascii="Arial" w:eastAsia="Times New Roman" w:hAnsi="Arial" w:cs="Arial"/>
          <w:i/>
          <w:iCs/>
          <w:sz w:val="20"/>
          <w:szCs w:val="20"/>
        </w:rPr>
        <w:t>General policy.</w:t>
      </w:r>
      <w:r w:rsidRPr="00323B21">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(b) </w:t>
      </w:r>
      <w:r w:rsidRPr="00323B21">
        <w:rPr>
          <w:rFonts w:ascii="Arial" w:eastAsia="Times New Roman" w:hAnsi="Arial" w:cs="Arial"/>
          <w:i/>
          <w:iCs/>
          <w:sz w:val="20"/>
          <w:szCs w:val="20"/>
        </w:rPr>
        <w:t>Scope and application.</w:t>
      </w:r>
      <w:r w:rsidRPr="00323B21">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323B21">
        <w:rPr>
          <w:rFonts w:ascii="Arial" w:eastAsia="Times New Roman" w:hAnsi="Arial" w:cs="Arial"/>
          <w:sz w:val="20"/>
          <w:szCs w:val="20"/>
        </w:rPr>
        <w:t>recordholder</w:t>
      </w:r>
      <w:proofErr w:type="spellEnd"/>
      <w:r w:rsidRPr="00323B21">
        <w:rPr>
          <w:rFonts w:ascii="Arial" w:eastAsia="Times New Roman" w:hAnsi="Arial" w:cs="Arial"/>
          <w:sz w:val="20"/>
          <w:szCs w:val="20"/>
        </w:rPr>
        <w:t xml:space="preserve">. The OSHA compliance personnel shall not record and take off-site any information from medical records other than documentation of the fact of compliance or non-compliance.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(5) This section does not apply to agency access to, or the use of, personally identifiable employee medical information obtained in the course of litigation.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lastRenderedPageBreak/>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t>
      </w:r>
      <w:proofErr w:type="gramStart"/>
      <w:r w:rsidRPr="00323B21">
        <w:rPr>
          <w:rFonts w:ascii="Arial" w:eastAsia="Times New Roman" w:hAnsi="Arial" w:cs="Arial"/>
          <w:sz w:val="20"/>
          <w:szCs w:val="20"/>
        </w:rPr>
        <w:t>which</w:t>
      </w:r>
      <w:proofErr w:type="gramEnd"/>
      <w:r w:rsidRPr="00323B21">
        <w:rPr>
          <w:rFonts w:ascii="Arial" w:eastAsia="Times New Roman" w:hAnsi="Arial" w:cs="Arial"/>
          <w:sz w:val="20"/>
          <w:szCs w:val="20"/>
        </w:rPr>
        <w:t xml:space="preserve"> militate against disclosure of this kind of information to the public (</w:t>
      </w:r>
      <w:r w:rsidRPr="00323B21">
        <w:rPr>
          <w:rFonts w:ascii="Arial" w:eastAsia="Times New Roman" w:hAnsi="Arial" w:cs="Arial"/>
          <w:i/>
          <w:iCs/>
          <w:sz w:val="20"/>
          <w:szCs w:val="20"/>
        </w:rPr>
        <w:t>See,</w:t>
      </w:r>
      <w:r w:rsidRPr="00323B21">
        <w:rPr>
          <w:rFonts w:ascii="Arial" w:eastAsia="Times New Roman" w:hAnsi="Arial" w:cs="Arial"/>
          <w:sz w:val="20"/>
          <w:szCs w:val="20"/>
        </w:rPr>
        <w:t xml:space="preserve"> 29 CFR 70.26 and 70a.3).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(c) </w:t>
      </w:r>
      <w:r w:rsidRPr="00323B21">
        <w:rPr>
          <w:rFonts w:ascii="Arial" w:eastAsia="Times New Roman" w:hAnsi="Arial" w:cs="Arial"/>
          <w:i/>
          <w:iCs/>
          <w:sz w:val="20"/>
          <w:szCs w:val="20"/>
        </w:rPr>
        <w:t>Responsible persons</w:t>
      </w:r>
      <w:r w:rsidRPr="00323B21">
        <w:rPr>
          <w:rFonts w:ascii="Arial" w:eastAsia="Times New Roman" w:hAnsi="Arial" w:cs="Arial"/>
          <w:sz w:val="20"/>
          <w:szCs w:val="20"/>
        </w:rPr>
        <w:t xml:space="preserve">—(1) </w:t>
      </w:r>
      <w:r w:rsidRPr="00323B21">
        <w:rPr>
          <w:rFonts w:ascii="Arial" w:eastAsia="Times New Roman" w:hAnsi="Arial" w:cs="Arial"/>
          <w:i/>
          <w:iCs/>
          <w:sz w:val="20"/>
          <w:szCs w:val="20"/>
        </w:rPr>
        <w:t>Assistant Secretary.</w:t>
      </w:r>
      <w:r w:rsidRPr="00323B21">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 Access to personally identifiable employee medical information (paragraph (d)), and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 Inter-agency transfer or public disclosure of personally identifiable employee medical information (paragraph (m)).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(2) </w:t>
      </w:r>
      <w:r w:rsidRPr="00323B21">
        <w:rPr>
          <w:rFonts w:ascii="Arial" w:eastAsia="Times New Roman" w:hAnsi="Arial" w:cs="Arial"/>
          <w:i/>
          <w:iCs/>
          <w:sz w:val="20"/>
          <w:szCs w:val="20"/>
        </w:rPr>
        <w:t>OSHA Medical Records Officer.</w:t>
      </w:r>
      <w:r w:rsidRPr="00323B21">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 Making recommendations to the Assistant Secretary as to the approval or denial of written access orders (paragraph (d)),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 Assuring that written access orders meet the requirements of paragraphs (d) (2) and (3) of this section,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(iii) Responding to employee, collective bargaining agent, and employer objections concerning written access orders (paragraph (f)),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proofErr w:type="gramStart"/>
      <w:r w:rsidRPr="00323B21">
        <w:rPr>
          <w:rFonts w:ascii="Arial" w:eastAsia="Times New Roman" w:hAnsi="Arial" w:cs="Arial"/>
          <w:sz w:val="20"/>
          <w:szCs w:val="20"/>
        </w:rPr>
        <w:t>(iv) Regulating</w:t>
      </w:r>
      <w:proofErr w:type="gramEnd"/>
      <w:r w:rsidRPr="00323B21">
        <w:rPr>
          <w:rFonts w:ascii="Arial" w:eastAsia="Times New Roman" w:hAnsi="Arial" w:cs="Arial"/>
          <w:sz w:val="20"/>
          <w:szCs w:val="20"/>
        </w:rPr>
        <w:t xml:space="preserve"> the use of direct personal identifiers (paragraph (g)),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(v) Regulating internal agency use and security of personally identifiable employee medical information (paragraphs (h) through (j)),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proofErr w:type="gramStart"/>
      <w:r w:rsidRPr="00323B21">
        <w:rPr>
          <w:rFonts w:ascii="Arial" w:eastAsia="Times New Roman" w:hAnsi="Arial" w:cs="Arial"/>
          <w:sz w:val="20"/>
          <w:szCs w:val="20"/>
        </w:rPr>
        <w:t>(vi) Assuring</w:t>
      </w:r>
      <w:proofErr w:type="gramEnd"/>
      <w:r w:rsidRPr="00323B21">
        <w:rPr>
          <w:rFonts w:ascii="Arial" w:eastAsia="Times New Roman" w:hAnsi="Arial" w:cs="Arial"/>
          <w:sz w:val="20"/>
          <w:szCs w:val="20"/>
        </w:rPr>
        <w:t xml:space="preserve"> that the results of agency analyses of personally identifiable medical information are, where appropriate, communicated to employees (paragraph (k)),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(vii) Preparing an annual report of OSHA's experience under this section (paragraph (l)), and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(viii) Assuring that advance notice is given of intended inter-agency transfers or public disclosures (paragraph (m)).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(3) </w:t>
      </w:r>
      <w:r w:rsidRPr="00323B21">
        <w:rPr>
          <w:rFonts w:ascii="Arial" w:eastAsia="Times New Roman" w:hAnsi="Arial" w:cs="Arial"/>
          <w:i/>
          <w:iCs/>
          <w:sz w:val="20"/>
          <w:szCs w:val="20"/>
        </w:rPr>
        <w:t>Principal OSHA Investigator.</w:t>
      </w:r>
      <w:r w:rsidRPr="00323B21">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(d) </w:t>
      </w:r>
      <w:r w:rsidRPr="00323B21">
        <w:rPr>
          <w:rFonts w:ascii="Arial" w:eastAsia="Times New Roman" w:hAnsi="Arial" w:cs="Arial"/>
          <w:i/>
          <w:iCs/>
          <w:sz w:val="20"/>
          <w:szCs w:val="20"/>
        </w:rPr>
        <w:t>Written access orders</w:t>
      </w:r>
      <w:r w:rsidRPr="00323B21">
        <w:rPr>
          <w:rFonts w:ascii="Arial" w:eastAsia="Times New Roman" w:hAnsi="Arial" w:cs="Arial"/>
          <w:sz w:val="20"/>
          <w:szCs w:val="20"/>
        </w:rPr>
        <w:t xml:space="preserve">—(1) </w:t>
      </w:r>
      <w:r w:rsidRPr="00323B21">
        <w:rPr>
          <w:rFonts w:ascii="Arial" w:eastAsia="Times New Roman" w:hAnsi="Arial" w:cs="Arial"/>
          <w:i/>
          <w:iCs/>
          <w:sz w:val="20"/>
          <w:szCs w:val="20"/>
        </w:rPr>
        <w:t>Requirement for written access order.</w:t>
      </w:r>
      <w:r w:rsidRPr="00323B21">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323B21">
        <w:rPr>
          <w:rFonts w:ascii="Arial" w:eastAsia="Times New Roman" w:hAnsi="Arial" w:cs="Arial"/>
          <w:sz w:val="20"/>
          <w:szCs w:val="20"/>
        </w:rPr>
        <w:lastRenderedPageBreak/>
        <w:t>recordholder</w:t>
      </w:r>
      <w:proofErr w:type="spellEnd"/>
      <w:r w:rsidRPr="00323B21">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w:t>
      </w:r>
      <w:proofErr w:type="gramStart"/>
      <w:r w:rsidRPr="00323B21">
        <w:rPr>
          <w:rFonts w:ascii="Arial" w:eastAsia="Times New Roman" w:hAnsi="Arial" w:cs="Arial"/>
          <w:sz w:val="20"/>
          <w:szCs w:val="20"/>
        </w:rPr>
        <w:t>If deemed appropriate, a written access order may constitute, or be accompanied by, an administrative subpoena.</w:t>
      </w:r>
      <w:proofErr w:type="gramEnd"/>
      <w:r w:rsidRPr="00323B21">
        <w:rPr>
          <w:rFonts w:ascii="Arial" w:eastAsia="Times New Roman" w:hAnsi="Arial" w:cs="Arial"/>
          <w:sz w:val="20"/>
          <w:szCs w:val="20"/>
        </w:rPr>
        <w:t xml:space="preserve">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(2) </w:t>
      </w:r>
      <w:r w:rsidRPr="00323B21">
        <w:rPr>
          <w:rFonts w:ascii="Arial" w:eastAsia="Times New Roman" w:hAnsi="Arial" w:cs="Arial"/>
          <w:i/>
          <w:iCs/>
          <w:sz w:val="20"/>
          <w:szCs w:val="20"/>
        </w:rPr>
        <w:t>Approval criteria for written access order.</w:t>
      </w:r>
      <w:r w:rsidRPr="00323B21">
        <w:rPr>
          <w:rFonts w:ascii="Arial" w:eastAsia="Times New Roman" w:hAnsi="Arial" w:cs="Arial"/>
          <w:sz w:val="20"/>
          <w:szCs w:val="20"/>
        </w:rPr>
        <w:t xml:space="preserve"> Before approving a written access order, the Assistant Secretary and the OSHA Medical Records Officer shall determine that: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 The medical information to be examined or copied is relevant to a statutory purpose and there is a need to gain access to this personally identifiable information,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 The personally identifiable medical information to be examined or copied is limited to only that information needed to accomplish the purpose for access, and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(iii) The personnel authorized to review and analyze the personally identifiable medical information are limited to those who have a need for access and have appropriate professional qualifications.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(3) </w:t>
      </w:r>
      <w:r w:rsidRPr="00323B21">
        <w:rPr>
          <w:rFonts w:ascii="Arial" w:eastAsia="Times New Roman" w:hAnsi="Arial" w:cs="Arial"/>
          <w:i/>
          <w:iCs/>
          <w:sz w:val="20"/>
          <w:szCs w:val="20"/>
        </w:rPr>
        <w:t>Content of written access order.</w:t>
      </w:r>
      <w:r w:rsidRPr="00323B21">
        <w:rPr>
          <w:rFonts w:ascii="Arial" w:eastAsia="Times New Roman" w:hAnsi="Arial" w:cs="Arial"/>
          <w:sz w:val="20"/>
          <w:szCs w:val="20"/>
        </w:rPr>
        <w:t xml:space="preserve"> Each written access order shall state with reasonable particularity: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 The statutory purposes for which access is sought,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 A general description of the kind of employee medical information that will be examined and why there is a need to examine personally identifiable information,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(iii) Whether medical information will be examined on-site, and what type of information will be copied and removed off-site,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proofErr w:type="gramStart"/>
      <w:r w:rsidRPr="00323B21">
        <w:rPr>
          <w:rFonts w:ascii="Arial" w:eastAsia="Times New Roman" w:hAnsi="Arial" w:cs="Arial"/>
          <w:sz w:val="20"/>
          <w:szCs w:val="20"/>
        </w:rPr>
        <w:t>(iv) The</w:t>
      </w:r>
      <w:proofErr w:type="gramEnd"/>
      <w:r w:rsidRPr="00323B21">
        <w:rPr>
          <w:rFonts w:ascii="Arial" w:eastAsia="Times New Roman" w:hAnsi="Arial" w:cs="Arial"/>
          <w:sz w:val="20"/>
          <w:szCs w:val="20"/>
        </w:rPr>
        <w:t xml:space="preserve"> name, address, and phone number of the Principal OSHA Investigator and the names of any other authorized persons who are expected to review and analyze the medical information.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(v) The name, address, and phone number of the OSHA Medical Records Officer, and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proofErr w:type="gramStart"/>
      <w:r w:rsidRPr="00323B21">
        <w:rPr>
          <w:rFonts w:ascii="Arial" w:eastAsia="Times New Roman" w:hAnsi="Arial" w:cs="Arial"/>
          <w:sz w:val="20"/>
          <w:szCs w:val="20"/>
        </w:rPr>
        <w:t>(vi) The</w:t>
      </w:r>
      <w:proofErr w:type="gramEnd"/>
      <w:r w:rsidRPr="00323B21">
        <w:rPr>
          <w:rFonts w:ascii="Arial" w:eastAsia="Times New Roman" w:hAnsi="Arial" w:cs="Arial"/>
          <w:sz w:val="20"/>
          <w:szCs w:val="20"/>
        </w:rPr>
        <w:t xml:space="preserve"> anticipated period of time during which OSHA expects to retain the employee medical information in a personally identifiable form.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(4) </w:t>
      </w:r>
      <w:r w:rsidRPr="00323B21">
        <w:rPr>
          <w:rFonts w:ascii="Arial" w:eastAsia="Times New Roman" w:hAnsi="Arial" w:cs="Arial"/>
          <w:i/>
          <w:iCs/>
          <w:sz w:val="20"/>
          <w:szCs w:val="20"/>
        </w:rPr>
        <w:t>Special situations.</w:t>
      </w:r>
      <w:r w:rsidRPr="00323B21">
        <w:rPr>
          <w:rFonts w:ascii="Arial" w:eastAsia="Times New Roman" w:hAnsi="Arial" w:cs="Arial"/>
          <w:sz w:val="20"/>
          <w:szCs w:val="20"/>
        </w:rPr>
        <w:t xml:space="preserve"> Written access orders need not be obtained to examine or copy personally identifiable employee medical information under the following circumstances: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 </w:t>
      </w:r>
      <w:r w:rsidRPr="00323B21">
        <w:rPr>
          <w:rFonts w:ascii="Arial" w:eastAsia="Times New Roman" w:hAnsi="Arial" w:cs="Arial"/>
          <w:i/>
          <w:iCs/>
          <w:sz w:val="20"/>
          <w:szCs w:val="20"/>
        </w:rPr>
        <w:t>Specific written consent.</w:t>
      </w:r>
      <w:r w:rsidRPr="00323B21">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(ii) </w:t>
      </w:r>
      <w:r w:rsidRPr="00323B21">
        <w:rPr>
          <w:rFonts w:ascii="Arial" w:eastAsia="Times New Roman" w:hAnsi="Arial" w:cs="Arial"/>
          <w:i/>
          <w:iCs/>
          <w:sz w:val="20"/>
          <w:szCs w:val="20"/>
        </w:rPr>
        <w:t>Physician consultations.</w:t>
      </w:r>
      <w:r w:rsidRPr="00323B21">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w:t>
      </w:r>
      <w:r w:rsidRPr="00323B21">
        <w:rPr>
          <w:rFonts w:ascii="Arial" w:eastAsia="Times New Roman" w:hAnsi="Arial" w:cs="Arial"/>
          <w:sz w:val="20"/>
          <w:szCs w:val="20"/>
        </w:rPr>
        <w:lastRenderedPageBreak/>
        <w:t xml:space="preserve">identifiable employee medical information made by the OSHA physician shall leave his or her control without the permission of the OSHA Medical Records Officer.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(e) </w:t>
      </w:r>
      <w:r w:rsidRPr="00323B21">
        <w:rPr>
          <w:rFonts w:ascii="Arial" w:eastAsia="Times New Roman" w:hAnsi="Arial" w:cs="Arial"/>
          <w:i/>
          <w:iCs/>
          <w:sz w:val="20"/>
          <w:szCs w:val="20"/>
        </w:rPr>
        <w:t>Presentation of written access order and notice to employees.</w:t>
      </w:r>
      <w:r w:rsidRPr="00323B21">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sidRPr="00323B21">
        <w:rPr>
          <w:rFonts w:ascii="Arial" w:eastAsia="Times New Roman" w:hAnsi="Arial" w:cs="Arial"/>
          <w:i/>
          <w:iCs/>
          <w:sz w:val="20"/>
          <w:szCs w:val="20"/>
        </w:rPr>
        <w:t>See,</w:t>
      </w:r>
      <w:r w:rsidRPr="00323B21">
        <w:rPr>
          <w:rFonts w:ascii="Arial" w:eastAsia="Times New Roman" w:hAnsi="Arial" w:cs="Arial"/>
          <w:sz w:val="20"/>
          <w:szCs w:val="20"/>
        </w:rPr>
        <w:t xml:space="preserve"> 29 CFR 1910.1020(e)(3)(ii)).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(f) </w:t>
      </w:r>
      <w:r w:rsidRPr="00323B21">
        <w:rPr>
          <w:rFonts w:ascii="Arial" w:eastAsia="Times New Roman" w:hAnsi="Arial" w:cs="Arial"/>
          <w:i/>
          <w:iCs/>
          <w:sz w:val="20"/>
          <w:szCs w:val="20"/>
        </w:rPr>
        <w:t>Objections concerning a written access order.</w:t>
      </w:r>
      <w:r w:rsidRPr="00323B21">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323B21">
        <w:rPr>
          <w:rFonts w:ascii="Arial" w:eastAsia="Times New Roman" w:hAnsi="Arial" w:cs="Arial"/>
          <w:sz w:val="20"/>
          <w:szCs w:val="20"/>
        </w:rPr>
        <w:t>recordholder</w:t>
      </w:r>
      <w:proofErr w:type="spellEnd"/>
      <w:r w:rsidRPr="00323B21">
        <w:rPr>
          <w:rFonts w:ascii="Arial" w:eastAsia="Times New Roman" w:hAnsi="Arial" w:cs="Arial"/>
          <w:sz w:val="20"/>
          <w:szCs w:val="20"/>
        </w:rPr>
        <w:t xml:space="preserve"> or destroyed. The Principal OSHA Investigator shall assure that such instructions by the OSHA Medical Records Officer are promptly implemented.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(g) </w:t>
      </w:r>
      <w:r w:rsidRPr="00323B21">
        <w:rPr>
          <w:rFonts w:ascii="Arial" w:eastAsia="Times New Roman" w:hAnsi="Arial" w:cs="Arial"/>
          <w:i/>
          <w:iCs/>
          <w:sz w:val="20"/>
          <w:szCs w:val="20"/>
        </w:rPr>
        <w:t>Removal of direct personal identifiers.</w:t>
      </w:r>
      <w:r w:rsidRPr="00323B21">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(h) </w:t>
      </w:r>
      <w:r w:rsidRPr="00323B21">
        <w:rPr>
          <w:rFonts w:ascii="Arial" w:eastAsia="Times New Roman" w:hAnsi="Arial" w:cs="Arial"/>
          <w:i/>
          <w:iCs/>
          <w:sz w:val="20"/>
          <w:szCs w:val="20"/>
        </w:rPr>
        <w:t>Internal agency use of personally identifiable employee medical information.</w:t>
      </w:r>
      <w:r w:rsidRPr="00323B21">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lastRenderedPageBreak/>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(5) Whenever practicable, the examination of personally identifiable employee medical information shall be performed on-site with a minimum of medical information taken off-site in a personally identifiable form. </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(i) </w:t>
      </w:r>
      <w:r w:rsidRPr="00323B21">
        <w:rPr>
          <w:rFonts w:ascii="Arial" w:eastAsia="Times New Roman" w:hAnsi="Arial" w:cs="Arial"/>
          <w:i/>
          <w:iCs/>
          <w:sz w:val="20"/>
          <w:szCs w:val="20"/>
        </w:rPr>
        <w:t>Security procedures.</w:t>
      </w:r>
      <w:r w:rsidRPr="00323B21">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(j) </w:t>
      </w:r>
      <w:r w:rsidRPr="00323B21">
        <w:rPr>
          <w:rFonts w:ascii="Arial" w:eastAsia="Times New Roman" w:hAnsi="Arial" w:cs="Arial"/>
          <w:i/>
          <w:iCs/>
          <w:sz w:val="20"/>
          <w:szCs w:val="20"/>
        </w:rPr>
        <w:t>Retention and destruction of records.</w:t>
      </w:r>
      <w:r w:rsidRPr="00323B21">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323B21">
        <w:rPr>
          <w:rFonts w:ascii="Arial" w:eastAsia="Times New Roman" w:hAnsi="Arial" w:cs="Arial"/>
          <w:sz w:val="20"/>
          <w:szCs w:val="20"/>
        </w:rPr>
        <w:t>recordholder</w:t>
      </w:r>
      <w:proofErr w:type="spellEnd"/>
      <w:r w:rsidRPr="00323B21">
        <w:rPr>
          <w:rFonts w:ascii="Arial" w:eastAsia="Times New Roman" w:hAnsi="Arial" w:cs="Arial"/>
          <w:sz w:val="20"/>
          <w:szCs w:val="20"/>
        </w:rPr>
        <w:t xml:space="preserve"> when no longer needed for the purposes for which they were obtained.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(k) </w:t>
      </w:r>
      <w:r w:rsidRPr="00323B21">
        <w:rPr>
          <w:rFonts w:ascii="Arial" w:eastAsia="Times New Roman" w:hAnsi="Arial" w:cs="Arial"/>
          <w:i/>
          <w:iCs/>
          <w:sz w:val="20"/>
          <w:szCs w:val="20"/>
        </w:rPr>
        <w:t>Results of an agency analysis using personally identifiable employee medical information.</w:t>
      </w:r>
      <w:r w:rsidRPr="00323B21">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lastRenderedPageBreak/>
        <w:t xml:space="preserve">(l) </w:t>
      </w:r>
      <w:r w:rsidRPr="00323B21">
        <w:rPr>
          <w:rFonts w:ascii="Arial" w:eastAsia="Times New Roman" w:hAnsi="Arial" w:cs="Arial"/>
          <w:i/>
          <w:iCs/>
          <w:sz w:val="20"/>
          <w:szCs w:val="20"/>
        </w:rPr>
        <w:t>Annual report.</w:t>
      </w:r>
      <w:r w:rsidRPr="00323B21">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(1) The number of written access orders approved and a summary of the purposes for access,</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(3) The nature and disposition of requests for inter-agency transfer or public disclosure of personally identifiable employee medical information.</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(m) </w:t>
      </w:r>
      <w:r w:rsidRPr="00323B21">
        <w:rPr>
          <w:rFonts w:ascii="Arial" w:eastAsia="Times New Roman" w:hAnsi="Arial" w:cs="Arial"/>
          <w:i/>
          <w:iCs/>
          <w:sz w:val="20"/>
          <w:szCs w:val="20"/>
        </w:rPr>
        <w:t>Inter-agency transfer and public disclosure.</w:t>
      </w:r>
      <w:r w:rsidRPr="00323B21">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323B21">
        <w:rPr>
          <w:rFonts w:ascii="Arial" w:eastAsia="Times New Roman" w:hAnsi="Arial" w:cs="Arial"/>
          <w:sz w:val="20"/>
          <w:szCs w:val="20"/>
        </w:rPr>
        <w:t>recordholder</w:t>
      </w:r>
      <w:proofErr w:type="spellEnd"/>
      <w:r w:rsidRPr="00323B21">
        <w:rPr>
          <w:rFonts w:ascii="Arial" w:eastAsia="Times New Roman" w:hAnsi="Arial" w:cs="Arial"/>
          <w:sz w:val="20"/>
          <w:szCs w:val="20"/>
        </w:rPr>
        <w:t>) except when required by law or when approved by the Assistant Secretary.</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w:t>
      </w:r>
      <w:proofErr w:type="gramStart"/>
      <w:r w:rsidRPr="00323B21">
        <w:rPr>
          <w:rFonts w:ascii="Arial" w:eastAsia="Times New Roman" w:hAnsi="Arial" w:cs="Arial"/>
          <w:sz w:val="20"/>
          <w:szCs w:val="20"/>
        </w:rPr>
        <w:t>i</w:t>
      </w:r>
      <w:proofErr w:type="gramEnd"/>
      <w:r w:rsidRPr="00323B21">
        <w:rPr>
          <w:rFonts w:ascii="Arial" w:eastAsia="Times New Roman" w:hAnsi="Arial" w:cs="Arial"/>
          <w:sz w:val="20"/>
          <w:szCs w:val="20"/>
        </w:rPr>
        <w:t>) Needs the requested information in a personally identifiable form for a substantial public health purpose,</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(ii) Will not use the requested information to make individual determinations concerning affected employees which could be to their detriment,</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(iv) Satisfies an exemption to the Privacy Act to the extent that the Privacy Act applies to the requested information (</w:t>
      </w:r>
      <w:r w:rsidRPr="00323B21">
        <w:rPr>
          <w:rFonts w:ascii="Arial" w:eastAsia="Times New Roman" w:hAnsi="Arial" w:cs="Arial"/>
          <w:i/>
          <w:iCs/>
          <w:sz w:val="20"/>
          <w:szCs w:val="20"/>
        </w:rPr>
        <w:t>See,</w:t>
      </w:r>
      <w:r w:rsidRPr="00323B21">
        <w:rPr>
          <w:rFonts w:ascii="Arial" w:eastAsia="Times New Roman" w:hAnsi="Arial" w:cs="Arial"/>
          <w:sz w:val="20"/>
          <w:szCs w:val="20"/>
        </w:rPr>
        <w:t xml:space="preserve"> 5 U.S.C. </w:t>
      </w:r>
      <w:proofErr w:type="gramStart"/>
      <w:r w:rsidRPr="00323B21">
        <w:rPr>
          <w:rFonts w:ascii="Arial" w:eastAsia="Times New Roman" w:hAnsi="Arial" w:cs="Arial"/>
          <w:sz w:val="20"/>
          <w:szCs w:val="20"/>
        </w:rPr>
        <w:t>552a(</w:t>
      </w:r>
      <w:proofErr w:type="gramEnd"/>
      <w:r w:rsidRPr="00323B21">
        <w:rPr>
          <w:rFonts w:ascii="Arial" w:eastAsia="Times New Roman" w:hAnsi="Arial" w:cs="Arial"/>
          <w:sz w:val="20"/>
          <w:szCs w:val="20"/>
        </w:rPr>
        <w:t>b); 29 CFR 70a.3).</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(3) Upon the approval of the Assistant Secretary, personally identifiable employee medical information may be transferred to:</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(i) The National Institute for Occupational Safety and Health (NIOSH) and</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(ii) The Department of Justice when necessary with respect to a specific action under the Occupational Safety and Health Act.</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r w:rsidRPr="00323B21">
        <w:rPr>
          <w:rFonts w:ascii="Arial" w:eastAsia="Times New Roman" w:hAnsi="Arial" w:cs="Arial"/>
          <w:i/>
          <w:iCs/>
          <w:sz w:val="20"/>
          <w:szCs w:val="20"/>
        </w:rPr>
        <w:t>See,</w:t>
      </w:r>
      <w:r w:rsidRPr="00323B21">
        <w:rPr>
          <w:rFonts w:ascii="Arial" w:eastAsia="Times New Roman" w:hAnsi="Arial" w:cs="Arial"/>
          <w:sz w:val="20"/>
          <w:szCs w:val="20"/>
        </w:rPr>
        <w:t xml:space="preserve"> 5 U.S.C. 552(b</w:t>
      </w:r>
      <w:proofErr w:type="gramStart"/>
      <w:r w:rsidRPr="00323B21">
        <w:rPr>
          <w:rFonts w:ascii="Arial" w:eastAsia="Times New Roman" w:hAnsi="Arial" w:cs="Arial"/>
          <w:sz w:val="20"/>
          <w:szCs w:val="20"/>
        </w:rPr>
        <w:t>)(</w:t>
      </w:r>
      <w:proofErr w:type="gramEnd"/>
      <w:r w:rsidRPr="00323B21">
        <w:rPr>
          <w:rFonts w:ascii="Arial" w:eastAsia="Times New Roman" w:hAnsi="Arial" w:cs="Arial"/>
          <w:sz w:val="20"/>
          <w:szCs w:val="20"/>
        </w:rPr>
        <w:t>6); 29 CFR 70.26).</w:t>
      </w:r>
    </w:p>
    <w:p w:rsidR="00323B21" w:rsidRPr="00323B21" w:rsidRDefault="00323B21" w:rsidP="00323B21">
      <w:pPr>
        <w:spacing w:before="100" w:beforeAutospacing="1" w:after="100" w:afterAutospacing="1" w:line="240" w:lineRule="auto"/>
        <w:ind w:firstLine="480"/>
        <w:rPr>
          <w:rFonts w:ascii="Arial" w:eastAsia="Times New Roman" w:hAnsi="Arial" w:cs="Arial"/>
          <w:sz w:val="20"/>
          <w:szCs w:val="20"/>
        </w:rPr>
      </w:pPr>
      <w:r w:rsidRPr="00323B21">
        <w:rPr>
          <w:rFonts w:ascii="Arial" w:eastAsia="Times New Roman" w:hAnsi="Arial" w:cs="Arial"/>
          <w:sz w:val="20"/>
          <w:szCs w:val="20"/>
        </w:rPr>
        <w:t xml:space="preserve">(6)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w:t>
      </w:r>
      <w:r w:rsidRPr="00323B21">
        <w:rPr>
          <w:rFonts w:ascii="Arial" w:eastAsia="Times New Roman" w:hAnsi="Arial" w:cs="Arial"/>
          <w:sz w:val="20"/>
          <w:szCs w:val="20"/>
        </w:rPr>
        <w:lastRenderedPageBreak/>
        <w:t>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23B21" w:rsidRPr="00323B21" w:rsidRDefault="00323B21" w:rsidP="00323B21">
      <w:pPr>
        <w:spacing w:before="200" w:after="100" w:afterAutospacing="1" w:line="240" w:lineRule="auto"/>
        <w:rPr>
          <w:rFonts w:ascii="Arial" w:eastAsia="Times New Roman" w:hAnsi="Arial" w:cs="Arial"/>
          <w:sz w:val="18"/>
          <w:szCs w:val="18"/>
        </w:rPr>
      </w:pPr>
      <w:r w:rsidRPr="00323B21">
        <w:rPr>
          <w:rFonts w:ascii="Arial" w:eastAsia="Times New Roman" w:hAnsi="Arial" w:cs="Arial"/>
          <w:sz w:val="18"/>
          <w:szCs w:val="18"/>
        </w:rPr>
        <w:t>[45 FR 35294, May 23, 1980; 45 FR 54334, Aug. 15, 1980, as amended at 71 FR 16674, Apr. 3</w:t>
      </w:r>
      <w:r>
        <w:rPr>
          <w:rFonts w:ascii="Arial" w:eastAsia="Times New Roman" w:hAnsi="Arial" w:cs="Arial"/>
          <w:sz w:val="18"/>
          <w:szCs w:val="18"/>
        </w:rPr>
        <w:t>, 2006]</w:t>
      </w:r>
      <w:bookmarkStart w:id="1" w:name="_GoBack"/>
      <w:bookmarkEnd w:id="1"/>
    </w:p>
    <w:p w:rsidR="006C2EB2" w:rsidRDefault="006C2EB2" w:rsidP="00323B21"/>
    <w:sectPr w:rsidR="006C2E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21" w:rsidRDefault="00323B21" w:rsidP="00323B21">
      <w:pPr>
        <w:spacing w:after="0" w:line="240" w:lineRule="auto"/>
      </w:pPr>
      <w:r>
        <w:separator/>
      </w:r>
    </w:p>
  </w:endnote>
  <w:endnote w:type="continuationSeparator" w:id="0">
    <w:p w:rsidR="00323B21" w:rsidRDefault="00323B21" w:rsidP="0032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189375"/>
      <w:docPartObj>
        <w:docPartGallery w:val="Page Numbers (Bottom of Page)"/>
        <w:docPartUnique/>
      </w:docPartObj>
    </w:sdtPr>
    <w:sdtEndPr>
      <w:rPr>
        <w:noProof/>
      </w:rPr>
    </w:sdtEndPr>
    <w:sdtContent>
      <w:p w:rsidR="00323B21" w:rsidRDefault="00323B2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323B21" w:rsidRDefault="00323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21" w:rsidRDefault="00323B21" w:rsidP="00323B21">
      <w:pPr>
        <w:spacing w:after="0" w:line="240" w:lineRule="auto"/>
      </w:pPr>
      <w:r>
        <w:separator/>
      </w:r>
    </w:p>
  </w:footnote>
  <w:footnote w:type="continuationSeparator" w:id="0">
    <w:p w:rsidR="00323B21" w:rsidRDefault="00323B21" w:rsidP="00323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21"/>
    <w:rsid w:val="00002135"/>
    <w:rsid w:val="00012167"/>
    <w:rsid w:val="00031334"/>
    <w:rsid w:val="000527F9"/>
    <w:rsid w:val="00061F63"/>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3565"/>
    <w:rsid w:val="001B674D"/>
    <w:rsid w:val="001C6942"/>
    <w:rsid w:val="001D16DB"/>
    <w:rsid w:val="001F5ABB"/>
    <w:rsid w:val="0020551F"/>
    <w:rsid w:val="00293F3F"/>
    <w:rsid w:val="002A6CA1"/>
    <w:rsid w:val="002D1DF5"/>
    <w:rsid w:val="002E39B2"/>
    <w:rsid w:val="002F0485"/>
    <w:rsid w:val="003177DB"/>
    <w:rsid w:val="00322DF5"/>
    <w:rsid w:val="00323B21"/>
    <w:rsid w:val="00342315"/>
    <w:rsid w:val="003533CC"/>
    <w:rsid w:val="00356AFA"/>
    <w:rsid w:val="00360035"/>
    <w:rsid w:val="00370E6E"/>
    <w:rsid w:val="003749A4"/>
    <w:rsid w:val="00390B9E"/>
    <w:rsid w:val="0039412B"/>
    <w:rsid w:val="003965F0"/>
    <w:rsid w:val="00397C33"/>
    <w:rsid w:val="003B0388"/>
    <w:rsid w:val="003B14EA"/>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B09FF"/>
    <w:rsid w:val="004B3A08"/>
    <w:rsid w:val="004D7ED9"/>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399B"/>
    <w:rsid w:val="005F7808"/>
    <w:rsid w:val="00613532"/>
    <w:rsid w:val="006136D2"/>
    <w:rsid w:val="00615A72"/>
    <w:rsid w:val="006265DC"/>
    <w:rsid w:val="006276CD"/>
    <w:rsid w:val="00641C02"/>
    <w:rsid w:val="00650DDD"/>
    <w:rsid w:val="00665375"/>
    <w:rsid w:val="006716AA"/>
    <w:rsid w:val="00686426"/>
    <w:rsid w:val="00693106"/>
    <w:rsid w:val="00694C2A"/>
    <w:rsid w:val="006C2EB2"/>
    <w:rsid w:val="006E39D1"/>
    <w:rsid w:val="00706473"/>
    <w:rsid w:val="00743FFA"/>
    <w:rsid w:val="00761A06"/>
    <w:rsid w:val="0076584E"/>
    <w:rsid w:val="00795C48"/>
    <w:rsid w:val="007C0469"/>
    <w:rsid w:val="007C6CA6"/>
    <w:rsid w:val="007F1B99"/>
    <w:rsid w:val="007F6072"/>
    <w:rsid w:val="00800AE6"/>
    <w:rsid w:val="0081069D"/>
    <w:rsid w:val="008133A7"/>
    <w:rsid w:val="00821AA1"/>
    <w:rsid w:val="0084515F"/>
    <w:rsid w:val="008477C9"/>
    <w:rsid w:val="00885313"/>
    <w:rsid w:val="00896CE8"/>
    <w:rsid w:val="008B20F9"/>
    <w:rsid w:val="008C4A4A"/>
    <w:rsid w:val="008F09BE"/>
    <w:rsid w:val="008F2A9E"/>
    <w:rsid w:val="009022E5"/>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B2FC1"/>
    <w:rsid w:val="00BE2737"/>
    <w:rsid w:val="00BF3BB4"/>
    <w:rsid w:val="00C05269"/>
    <w:rsid w:val="00C118D8"/>
    <w:rsid w:val="00C4738E"/>
    <w:rsid w:val="00C51CE1"/>
    <w:rsid w:val="00C614B0"/>
    <w:rsid w:val="00C64742"/>
    <w:rsid w:val="00C80962"/>
    <w:rsid w:val="00C92682"/>
    <w:rsid w:val="00C973E4"/>
    <w:rsid w:val="00CA2212"/>
    <w:rsid w:val="00CA64BF"/>
    <w:rsid w:val="00CB10A8"/>
    <w:rsid w:val="00CB3B94"/>
    <w:rsid w:val="00CC01EB"/>
    <w:rsid w:val="00CC220A"/>
    <w:rsid w:val="00CC7E24"/>
    <w:rsid w:val="00CD3B55"/>
    <w:rsid w:val="00CF1CED"/>
    <w:rsid w:val="00CF73D4"/>
    <w:rsid w:val="00D140B8"/>
    <w:rsid w:val="00D64EEC"/>
    <w:rsid w:val="00D758D9"/>
    <w:rsid w:val="00D773F1"/>
    <w:rsid w:val="00D84131"/>
    <w:rsid w:val="00D90CA0"/>
    <w:rsid w:val="00D92B05"/>
    <w:rsid w:val="00DA1D4A"/>
    <w:rsid w:val="00DC3F8D"/>
    <w:rsid w:val="00DC5705"/>
    <w:rsid w:val="00DD32CE"/>
    <w:rsid w:val="00E01E60"/>
    <w:rsid w:val="00E03C23"/>
    <w:rsid w:val="00E10DAB"/>
    <w:rsid w:val="00E23F6E"/>
    <w:rsid w:val="00E37031"/>
    <w:rsid w:val="00E4707A"/>
    <w:rsid w:val="00E64583"/>
    <w:rsid w:val="00EA7910"/>
    <w:rsid w:val="00ED3DF1"/>
    <w:rsid w:val="00EE6C1D"/>
    <w:rsid w:val="00F00B18"/>
    <w:rsid w:val="00F03184"/>
    <w:rsid w:val="00F14778"/>
    <w:rsid w:val="00F30A72"/>
    <w:rsid w:val="00F41390"/>
    <w:rsid w:val="00F512A7"/>
    <w:rsid w:val="00F5778C"/>
    <w:rsid w:val="00F613C4"/>
    <w:rsid w:val="00F67C82"/>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B21"/>
    <w:rPr>
      <w:rFonts w:ascii="Tahoma" w:hAnsi="Tahoma" w:cs="Tahoma"/>
      <w:sz w:val="16"/>
      <w:szCs w:val="16"/>
    </w:rPr>
  </w:style>
  <w:style w:type="paragraph" w:styleId="Header">
    <w:name w:val="header"/>
    <w:basedOn w:val="Normal"/>
    <w:link w:val="HeaderChar"/>
    <w:uiPriority w:val="99"/>
    <w:unhideWhenUsed/>
    <w:rsid w:val="00323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B21"/>
  </w:style>
  <w:style w:type="paragraph" w:styleId="Footer">
    <w:name w:val="footer"/>
    <w:basedOn w:val="Normal"/>
    <w:link w:val="FooterChar"/>
    <w:uiPriority w:val="99"/>
    <w:unhideWhenUsed/>
    <w:rsid w:val="00323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B21"/>
    <w:rPr>
      <w:rFonts w:ascii="Tahoma" w:hAnsi="Tahoma" w:cs="Tahoma"/>
      <w:sz w:val="16"/>
      <w:szCs w:val="16"/>
    </w:rPr>
  </w:style>
  <w:style w:type="paragraph" w:styleId="Header">
    <w:name w:val="header"/>
    <w:basedOn w:val="Normal"/>
    <w:link w:val="HeaderChar"/>
    <w:uiPriority w:val="99"/>
    <w:unhideWhenUsed/>
    <w:rsid w:val="00323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B21"/>
  </w:style>
  <w:style w:type="paragraph" w:styleId="Footer">
    <w:name w:val="footer"/>
    <w:basedOn w:val="Normal"/>
    <w:link w:val="FooterChar"/>
    <w:uiPriority w:val="99"/>
    <w:unhideWhenUsed/>
    <w:rsid w:val="00323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4194">
      <w:bodyDiv w:val="1"/>
      <w:marLeft w:val="0"/>
      <w:marRight w:val="0"/>
      <w:marTop w:val="30"/>
      <w:marBottom w:val="750"/>
      <w:divBdr>
        <w:top w:val="none" w:sz="0" w:space="0" w:color="auto"/>
        <w:left w:val="none" w:sz="0" w:space="0" w:color="auto"/>
        <w:bottom w:val="none" w:sz="0" w:space="0" w:color="auto"/>
        <w:right w:val="none" w:sz="0" w:space="0" w:color="auto"/>
      </w:divBdr>
      <w:divsChild>
        <w:div w:id="154783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5d405a98445e730c4e566a3bb3717cdd&amp;n=29y7.1.1.1.4&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2013-12-03T18:12:00Z</dcterms:created>
  <dcterms:modified xsi:type="dcterms:W3CDTF">2013-12-03T18:27:00Z</dcterms:modified>
</cp:coreProperties>
</file>