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Section 487(c) of the Higher Education Act (HEA) of 1965, as amended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ED’s gatekeeping responsibilities.  In general, the statutory provisions tightened the eligibility requirements for institutions participating in the student financial assistance programs authorized under Title IV of the HEA.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 authorized by Title IV of the HEA.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Part H, Subpart 3, Section 498 of the HEA of 1965, as amended, gives the Secretary the responsibility for determining qualifications of institutions of higher education to participate in programs under the HEA.  To comply with this requirement Section 498(b) of the </w:t>
      </w:r>
      <w:r w:rsidR="00204CB3">
        <w:rPr>
          <w:rFonts w:ascii="Times New Roman" w:hAnsi="Times New Roman"/>
        </w:rPr>
        <w:t>HEA</w:t>
      </w:r>
      <w:r w:rsidR="00FE2118">
        <w:rPr>
          <w:rFonts w:ascii="Times New Roman" w:hAnsi="Times New Roman"/>
        </w:rPr>
        <w:t xml:space="preserve"> specified that the Secretary prepare and prescribe a single application form.  The Department developed the Application for Approval to Participate in the Federal Student Financial Aid Programs to comply with the statutory requirements of collecting necessary information under the HEA.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An institution must use this Application to apply for approval to be determined to be eligible and if the institution wishes, to participate; to expand its eligibility; or to continue to participate in the Title IV programs.  An institution must also use the application to report certain required data as part of its recordkeeping requirements contained in the regulations under 34 CFR Part 600 (Institutional Eligibility under the Higher Education Act of 1965, as amended).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ab/>
      </w:r>
      <w:r w:rsidR="00FE2118">
        <w:rPr>
          <w:rFonts w:ascii="Times New Roman" w:hAnsi="Times New Roman"/>
        </w:rPr>
        <w:t>The Department uses the information reported on the Application in its determination of whether an institution meets the statutory and regulatory requirements.</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54DFD"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Listed below are the specific regulations that require an institution to apply to the Department of Education for:</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FE2118" w:rsidP="00AE5734">
      <w:pPr>
        <w:numPr>
          <w:ilvl w:val="0"/>
          <w:numId w:val="11"/>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An eligibility determination and if requested, certification to participate;</w:t>
      </w:r>
    </w:p>
    <w:p w:rsidR="00FE2118" w:rsidRDefault="00FE2118" w:rsidP="00AE5734">
      <w:pPr>
        <w:numPr>
          <w:ilvl w:val="0"/>
          <w:numId w:val="11"/>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Continued eligibility to participate;</w:t>
      </w:r>
    </w:p>
    <w:p w:rsidR="00FE2118" w:rsidRDefault="00FE2118" w:rsidP="00AE5734">
      <w:pPr>
        <w:numPr>
          <w:ilvl w:val="0"/>
          <w:numId w:val="11"/>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Reporting changes made to the institution, as required; and</w:t>
      </w:r>
    </w:p>
    <w:p w:rsidR="00FE2118" w:rsidRDefault="00FE2118" w:rsidP="00AE5734">
      <w:pPr>
        <w:numPr>
          <w:ilvl w:val="0"/>
          <w:numId w:val="11"/>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Expansion of its current approval.</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Section 600.20 - </w:t>
      </w:r>
      <w:r w:rsidR="00FE2118">
        <w:rPr>
          <w:rFonts w:ascii="Times New Roman" w:hAnsi="Times New Roman"/>
          <w:u w:val="single"/>
        </w:rPr>
        <w:t>Application procedures</w:t>
      </w:r>
      <w:r w:rsidR="00FE2118">
        <w:rPr>
          <w:rFonts w:ascii="Times New Roman" w:hAnsi="Times New Roman"/>
        </w:rPr>
        <w:t xml:space="preserve"> - requires an institution that wishes to participate in any Title IV program, to apply for initial eligibility, as well as continued or expanded approval including new locations or new programs.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Section 600.21 – </w:t>
      </w:r>
      <w:r w:rsidR="00FE2118">
        <w:rPr>
          <w:rFonts w:ascii="Times New Roman" w:hAnsi="Times New Roman"/>
          <w:u w:val="single"/>
        </w:rPr>
        <w:t>Updating Application Information</w:t>
      </w:r>
      <w:r w:rsidR="00FE2118">
        <w:rPr>
          <w:rFonts w:ascii="Times New Roman" w:hAnsi="Times New Roman"/>
        </w:rPr>
        <w:t xml:space="preserve"> - requires an institution to notify the Secretary of any changes to certain information, including its name, address, etc.</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Section 600.31 - </w:t>
      </w:r>
      <w:r w:rsidR="00FE2118">
        <w:rPr>
          <w:rFonts w:ascii="Times New Roman" w:hAnsi="Times New Roman"/>
          <w:u w:val="single"/>
        </w:rPr>
        <w:t>Change in ownership resulting in a change of control</w:t>
      </w:r>
      <w:r w:rsidR="00FE2118">
        <w:rPr>
          <w:rFonts w:ascii="Times New Roman" w:hAnsi="Times New Roman"/>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FE2118" w:rsidP="00AE5734">
      <w:pPr>
        <w:ind w:firstLine="720"/>
        <w:rPr>
          <w:rFonts w:ascii="Times New Roman" w:hAnsi="Times New Roman"/>
        </w:rPr>
      </w:pPr>
      <w:r>
        <w:rPr>
          <w:rFonts w:ascii="Times New Roman" w:hAnsi="Times New Roman"/>
        </w:rPr>
        <w:t xml:space="preserve">In addition to the information above, the application is also the place where schools can report other information to us that it needs or wants us to know.  For example, the Higher Education Act of 1965 (HEA), as amended, requires an institution of postsecondary education to file a disclosure report with the Secretary on January 31 or July 31 of each year, containing certain information about gifts received from or contracts entered into with foreign sources or about ownership or control of the institution by a foreign source (Section 1209, 20 U.S.C. 1145d).  </w:t>
      </w: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FE2118" w:rsidRPr="00EF7FF5" w:rsidRDefault="00FE2118">
      <w:pPr>
        <w:tabs>
          <w:tab w:val="left" w:pos="-720"/>
        </w:tabs>
        <w:suppressAutoHyphens/>
        <w:rPr>
          <w:rFonts w:ascii="Times New Roman" w:hAnsi="Times New Roman"/>
          <w:szCs w:val="24"/>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The School Eligibility Service Group, (the organization within the Department of Education, Federal Student Aid, responsible for providing integrated oversight to postsecondary schools) reviews and analyzes the information reported on the application and makes a determination on the institution’s request.   The School Participation 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w:t>
      </w:r>
      <w:r w:rsidR="00FE2118">
        <w:rPr>
          <w:rFonts w:ascii="Times New Roman" w:hAnsi="Times New Roman"/>
        </w:rPr>
        <w:lastRenderedPageBreak/>
        <w:t xml:space="preserve">institution on the application, but also on other information in the team’s possession. SPD makes its decision using a case team approach to its work processes.  This allows SPD to evaluate a school based on a total picture of integrated institutional information. </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SPD’s decision includes determining that the institution:</w:t>
      </w:r>
    </w:p>
    <w:p w:rsidR="00FE2118" w:rsidRDefault="00FE2118" w:rsidP="00AE5734">
      <w:pPr>
        <w:numPr>
          <w:ilvl w:val="0"/>
          <w:numId w:val="1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Is designated an eligible institution; </w:t>
      </w:r>
    </w:p>
    <w:p w:rsidR="00FE2118" w:rsidRDefault="00FE2118" w:rsidP="00AE5734">
      <w:pPr>
        <w:numPr>
          <w:ilvl w:val="0"/>
          <w:numId w:val="1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Is certified or recertified to participate in Title IV programs;</w:t>
      </w:r>
    </w:p>
    <w:p w:rsidR="00FE2118" w:rsidRDefault="00FE2118" w:rsidP="00AE5734">
      <w:pPr>
        <w:numPr>
          <w:ilvl w:val="0"/>
          <w:numId w:val="1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Is approved, for Title IV purpose, to expand its current approval (new location or new programs, etc.); </w:t>
      </w:r>
    </w:p>
    <w:p w:rsidR="00FE2118" w:rsidRDefault="00FE2118" w:rsidP="00AE5734">
      <w:pPr>
        <w:numPr>
          <w:ilvl w:val="0"/>
          <w:numId w:val="1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Met its reporting requirements and we have updated our records (changes to name or address, etc.); or</w:t>
      </w:r>
    </w:p>
    <w:p w:rsidR="00FE2118" w:rsidRDefault="00FE2118" w:rsidP="00AE5734">
      <w:pPr>
        <w:numPr>
          <w:ilvl w:val="0"/>
          <w:numId w:val="1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Is denied eligibility, certification or approval of its expansion for purposes of Title IV.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FE2118" w:rsidRDefault="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The data submitted by an institution during the initial round of certification became part of the Postsecondary Education Participants System (PEPS), the Department of Education's computerized information management system of institutional data. Subsequently, the School Eligibility Service Group designed a computerized version of the Application.  An institution accesses the Application using the Internet.  Many of the questions on the Application are pre-populated using information the institution submitted on its previous Application, which is stored in PEPS.  Pre-populating the answers to the questions reduces burden for the institution and alleviates the need for the institution to enter a response to every question.  Instead, the institution needs to review the pre-populated information and if necessary, update it.  (Note:  Certain questions must be answered each time an institution submits a complete application.)  Once the institution has completed its updates to the Application, the updated application is submitted to the School Eligibility Service Group via the Internet.  The institution receives immediate notification of receipt by the Department.  Once the Department makes its decision to approve or to deny the Application, the information from the Application is migrated to PEPS electronically, thus reducing the Department’s burden for data entry as well as increasing the accuracy of the data in PEPS.</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The electronic application has additional features such as:</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Hot links to take the user from one area to another in one mouse click; </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Skip features that skip questions or a section if it does not apply to the institution;</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Edits that help the institution not miss a required question or enter the wrong type of information;</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A Help section;  </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ED contacts, both phone numbers and e-mail address.  The e-mail address is actually a hot link directly to SPT or PEPS and allows an institution to submit its questions to the Department electronically; and </w:t>
      </w:r>
    </w:p>
    <w:p w:rsidR="00FE2118" w:rsidRDefault="00FE2118" w:rsidP="00AE5734">
      <w:pPr>
        <w:numPr>
          <w:ilvl w:val="0"/>
          <w:numId w:val="1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 status page that tells the institution where the application is in SPT’s review process.</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86054" w:rsidRPr="00FE2118" w:rsidRDefault="00DC7DB3" w:rsidP="00FE2118">
      <w:pPr>
        <w:pStyle w:val="Heading1"/>
        <w:numPr>
          <w:ilvl w:val="0"/>
          <w:numId w:val="0"/>
        </w:numPr>
        <w:rPr>
          <w:rFonts w:eastAsia="MS Mincho"/>
          <w:b w:val="0"/>
          <w:bCs/>
        </w:rPr>
      </w:pPr>
      <w:r>
        <w:rPr>
          <w:b w:val="0"/>
          <w:bCs/>
        </w:rPr>
        <w:tab/>
      </w:r>
      <w:r w:rsidR="00FE2118">
        <w:rPr>
          <w:b w:val="0"/>
          <w:bCs/>
        </w:rPr>
        <w:t xml:space="preserve">System of Record Notice: </w:t>
      </w:r>
      <w:bookmarkStart w:id="2" w:name="_Toc39471540"/>
      <w:bookmarkStart w:id="3" w:name="_Toc39472114"/>
      <w:bookmarkStart w:id="4" w:name="_Toc71340257"/>
      <w:r w:rsidR="00FE2118">
        <w:rPr>
          <w:b w:val="0"/>
          <w:bCs/>
        </w:rPr>
        <w:t xml:space="preserve">18-11-09 </w:t>
      </w:r>
      <w:bookmarkEnd w:id="2"/>
      <w:bookmarkEnd w:id="3"/>
      <w:bookmarkEnd w:id="4"/>
      <w:r w:rsidR="00FE2118">
        <w:rPr>
          <w:b w:val="0"/>
          <w:bCs/>
        </w:rPr>
        <w:t xml:space="preserve">-- </w:t>
      </w:r>
      <w:r w:rsidR="00FE2118">
        <w:rPr>
          <w:rFonts w:eastAsia="MS Mincho"/>
          <w:b w:val="0"/>
          <w:bCs/>
        </w:rPr>
        <w:t>64 FR 30171-30173, June 4, 1999</w:t>
      </w:r>
      <w:bookmarkStart w:id="5" w:name="Notice181109"/>
      <w:bookmarkEnd w:id="5"/>
      <w:r w:rsidR="00FE2118">
        <w:rPr>
          <w:rFonts w:eastAsia="MS Mincho"/>
          <w:b w:val="0"/>
          <w:bCs/>
        </w:rPr>
        <w:tab/>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FE2118" w:rsidRDefault="00DC7DB3"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Institutions are not required to maintain duplicate records.  The Application for Approval to Participate in the Federal Student Financial Aid Programs provides the initial contact of an institution seeking to participate in Federal programs administered by 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pPr>
        <w:tabs>
          <w:tab w:val="left" w:pos="-720"/>
        </w:tabs>
        <w:suppressAutoHyphens/>
        <w:rPr>
          <w:rFonts w:ascii="Times New Roman" w:hAnsi="Times New Roman"/>
          <w:szCs w:val="24"/>
        </w:rPr>
      </w:pPr>
    </w:p>
    <w:p w:rsidR="00FE2118" w:rsidRDefault="007464CD"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The information collection does not impact small businesses or other small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FE2118" w:rsidRDefault="007464CD"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Section 498(g) of the HEA requires that the Department recertify all eligible institutions that wish to continue to participate in the Title IV programs. The maximum time period the Secretary may approve an institution is up to 6 years.</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7464CD"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The statute also provides that the Secretary may provisionally certify new institutions, institutions that change ownership, and institutions with questionable financial responsibility and administrative capability for a period of time from one to three years.  The Department uses provisional approval as a tool to allow for increased monitoring of institutions with no track record and institutions with documented problems.  If information were collected less frequently, ED would not be in compliance with the HEA and would not be using the tools Congress provided to improve gatekeeping capability.</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E2118" w:rsidRDefault="007464CD"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FE2118">
        <w:rPr>
          <w:rFonts w:ascii="Times New Roman" w:hAnsi="Times New Roman"/>
        </w:rPr>
        <w:t xml:space="preserve">Note that it is not necessary for an institution to submit a complete application to report activities such as change in name or address, a change in level of course offering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w:t>
      </w:r>
      <w:r w:rsidR="00FE2118">
        <w:rPr>
          <w:rFonts w:ascii="Times New Roman" w:hAnsi="Times New Roman"/>
        </w:rPr>
        <w:lastRenderedPageBreak/>
        <w:t>pieces of information relative to the institution's eligibility, the reporting burden for those actions is decreased significantly.</w:t>
      </w:r>
    </w:p>
    <w:p w:rsidR="00FE2118" w:rsidRDefault="00FE2118" w:rsidP="00FE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7936" w:rsidRPr="00FE2118" w:rsidRDefault="007464CD" w:rsidP="005F2002">
      <w:pPr>
        <w:tabs>
          <w:tab w:val="left" w:pos="-720"/>
        </w:tabs>
        <w:suppressAutoHyphens/>
        <w:rPr>
          <w:rFonts w:ascii="Times New Roman" w:hAnsi="Times New Roman"/>
        </w:rPr>
      </w:pPr>
      <w:r>
        <w:rPr>
          <w:rFonts w:ascii="Times New Roman" w:hAnsi="Times New Roman"/>
        </w:rPr>
        <w:tab/>
      </w:r>
      <w:r w:rsidR="00FE2118">
        <w:rPr>
          <w:rFonts w:ascii="Times New Roman" w:hAnsi="Times New Roman"/>
        </w:rPr>
        <w:t>If the collection is not conducted, a new institution would not be able to participate in Title IV programs, a currently approved institution would not be able to participate past its approved expiration date, meet the notification and recordkeeping requirements or be able to expand its eligibility.  Further, the Department would lose a valuable gatekeeping tool.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1D655B" w:rsidRDefault="007464CD">
      <w:pPr>
        <w:tabs>
          <w:tab w:val="left" w:pos="-720"/>
        </w:tabs>
        <w:suppressAutoHyphens/>
        <w:rPr>
          <w:rFonts w:ascii="Times New Roman" w:hAnsi="Times New Roman"/>
        </w:rPr>
      </w:pPr>
      <w:r>
        <w:rPr>
          <w:rFonts w:ascii="Times New Roman" w:hAnsi="Times New Roman"/>
        </w:rPr>
        <w:tab/>
      </w:r>
      <w:r w:rsidR="00FE2118">
        <w:rPr>
          <w:rFonts w:ascii="Times New Roman" w:hAnsi="Times New Roman"/>
        </w:rPr>
        <w:t>This collection of information does not meet any of the special circumstances described above.</w:t>
      </w:r>
    </w:p>
    <w:p w:rsidR="00386054" w:rsidRPr="00EF7FF5" w:rsidRDefault="00386054">
      <w:pPr>
        <w:tabs>
          <w:tab w:val="left" w:pos="-720"/>
        </w:tabs>
        <w:suppressAutoHyphens/>
        <w:rPr>
          <w:rFonts w:ascii="Times New Roman" w:hAnsi="Times New Roman"/>
          <w:szCs w:val="24"/>
        </w:rPr>
      </w:pPr>
    </w:p>
    <w:p w:rsidR="00386054"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w:t>
      </w:r>
      <w:r w:rsidRPr="00EF7FF5">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7464CD" w:rsidRDefault="00D54DFD" w:rsidP="007464CD">
      <w:pPr>
        <w:tabs>
          <w:tab w:val="left" w:pos="-720"/>
          <w:tab w:val="left" w:pos="375"/>
        </w:tabs>
        <w:suppressAutoHyphens/>
        <w:rPr>
          <w:rFonts w:ascii="Times New Roman" w:hAnsi="Times New Roman"/>
        </w:rPr>
      </w:pPr>
      <w:r>
        <w:rPr>
          <w:rFonts w:ascii="Times New Roman" w:hAnsi="Times New Roman"/>
        </w:rPr>
        <w:tab/>
      </w:r>
      <w:r w:rsidR="007464CD">
        <w:rPr>
          <w:rFonts w:ascii="Times New Roman" w:hAnsi="Times New Roman"/>
        </w:rPr>
        <w:t xml:space="preserve">We will publish 60-day and 30-day </w:t>
      </w:r>
      <w:r w:rsidR="007464CD">
        <w:rPr>
          <w:rFonts w:ascii="Times New Roman" w:hAnsi="Times New Roman"/>
          <w:u w:val="single"/>
        </w:rPr>
        <w:t>Federal</w:t>
      </w:r>
      <w:r w:rsidR="007464CD">
        <w:rPr>
          <w:rFonts w:ascii="Times New Roman" w:hAnsi="Times New Roman"/>
        </w:rPr>
        <w:t xml:space="preserve"> </w:t>
      </w:r>
      <w:r w:rsidR="007464CD">
        <w:rPr>
          <w:rFonts w:ascii="Times New Roman" w:hAnsi="Times New Roman"/>
          <w:u w:val="single"/>
        </w:rPr>
        <w:t>Register</w:t>
      </w:r>
      <w:r w:rsidR="007464CD">
        <w:rPr>
          <w:rFonts w:ascii="Times New Roman" w:hAnsi="Times New Roman"/>
        </w:rPr>
        <w:t xml:space="preserve"> notices to seek public comment.</w:t>
      </w:r>
      <w:r w:rsidR="002254FF">
        <w:rPr>
          <w:rFonts w:ascii="Times New Roman" w:hAnsi="Times New Roman"/>
        </w:rPr>
        <w:t xml:space="preserve"> There were no comments received for the 60-day Federal Register. We will publish a 30-day Federal Register notice for public comments. </w:t>
      </w:r>
    </w:p>
    <w:p w:rsidR="007464CD" w:rsidRDefault="007464CD"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D001D" w:rsidRDefault="00BD001D" w:rsidP="00D54DFD">
      <w:pPr>
        <w:ind w:firstLine="720"/>
        <w:rPr>
          <w:rFonts w:ascii="Times New Roman" w:hAnsi="Times New Roman"/>
        </w:rPr>
      </w:pPr>
      <w:r>
        <w:rPr>
          <w:rFonts w:ascii="Times New Roman" w:hAnsi="Times New Roman"/>
        </w:rPr>
        <w:t>The Application has been widely accepted by the community and has been in use in its current form since September of 1996.  The current form was created after a focus group of industry professionals (redesign group) worked with the Department to address the higher education community’s concerns about complexity, length, and burden regarding the previous version of the Application.  The goals of improving the clarity, accuracy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do not burden institutions.</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7464CD"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1D655B">
        <w:rPr>
          <w:rFonts w:ascii="Times New Roman" w:hAnsi="Times New Roman"/>
        </w:rPr>
        <w:t xml:space="preserve">The Department holds </w:t>
      </w:r>
      <w:r>
        <w:rPr>
          <w:rFonts w:ascii="Times New Roman" w:hAnsi="Times New Roman"/>
        </w:rPr>
        <w:t xml:space="preserve">a </w:t>
      </w:r>
      <w:r w:rsidR="00BD001D">
        <w:rPr>
          <w:rFonts w:ascii="Times New Roman" w:hAnsi="Times New Roman"/>
        </w:rPr>
        <w:t>conference each F</w:t>
      </w:r>
      <w:r w:rsidR="001D655B">
        <w:rPr>
          <w:rFonts w:ascii="Times New Roman" w:hAnsi="Times New Roman"/>
        </w:rPr>
        <w:t xml:space="preserve">all devoted to the effective and efficient administration of the Title IV, HEA programs.  The Application is one of the processes that are featured at these conferences.  Responses received from school officials continue to be extremely positive.  The feedback provided by users indicates that the questions in the Application are clear and that the process to complete the Application is simple.   </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7464CD"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1D655B">
        <w:rPr>
          <w:rFonts w:ascii="Times New Roman" w:hAnsi="Times New Roman"/>
        </w:rPr>
        <w:t xml:space="preserve">In addition, Department officials routinely attend state, regional and 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overwhelming approve the Application in part, due to the reduction of data collection burden.  </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p>
    <w:p w:rsidR="001D655B" w:rsidRDefault="007464CD"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1D655B">
        <w:rPr>
          <w:rFonts w:ascii="Times New Roman" w:hAnsi="Times New Roman"/>
        </w:rPr>
        <w:t>In addition to attending meetings and conferences, the Department also receives feedback from the community via telephone calls and e-mails.  The Department has been responsive to these comments and suggestions from the community.  We continued to make changes to improve the Application, which make it even easier to use.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Default="007464CD" w:rsidP="005F2002">
      <w:pPr>
        <w:tabs>
          <w:tab w:val="left" w:pos="-720"/>
        </w:tabs>
        <w:suppressAutoHyphens/>
        <w:rPr>
          <w:rFonts w:ascii="Times New Roman" w:hAnsi="Times New Roman"/>
          <w:szCs w:val="24"/>
        </w:rPr>
      </w:pPr>
      <w:r>
        <w:rPr>
          <w:rFonts w:ascii="Times New Roman" w:hAnsi="Times New Roman"/>
          <w:szCs w:val="24"/>
        </w:rPr>
        <w:tab/>
      </w:r>
      <w:r w:rsidR="001D655B">
        <w:rPr>
          <w:rFonts w:ascii="Times New Roman" w:hAnsi="Times New Roman"/>
          <w:szCs w:val="24"/>
        </w:rPr>
        <w:t>None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1D655B" w:rsidRDefault="001D655B" w:rsidP="00AE5734">
      <w:pPr>
        <w:autoSpaceDE w:val="0"/>
        <w:autoSpaceDN w:val="0"/>
        <w:adjustRightInd w:val="0"/>
        <w:ind w:firstLine="720"/>
        <w:rPr>
          <w:rFonts w:ascii="Times New Roman" w:hAnsi="Times New Roman" w:cs="Arial"/>
          <w:szCs w:val="24"/>
        </w:rPr>
      </w:pPr>
      <w:r>
        <w:rPr>
          <w:rFonts w:ascii="Times New Roman" w:hAnsi="Times New Roman" w:cs="Arial"/>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 HEA programs, and (3) identifies the third parties to whom the information may be disclosed.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1D655B" w:rsidRDefault="007464CD" w:rsidP="001D655B">
      <w:pPr>
        <w:tabs>
          <w:tab w:val="left" w:pos="-720"/>
        </w:tabs>
        <w:suppressAutoHyphens/>
        <w:rPr>
          <w:rFonts w:ascii="Times New Roman" w:hAnsi="Times New Roman"/>
        </w:rPr>
      </w:pPr>
      <w:r>
        <w:rPr>
          <w:rFonts w:ascii="Times New Roman" w:hAnsi="Times New Roman"/>
        </w:rPr>
        <w:tab/>
      </w:r>
      <w:r w:rsidR="001D655B">
        <w:rPr>
          <w:rFonts w:ascii="Times New Roman" w:hAnsi="Times New Roman"/>
        </w:rPr>
        <w:t>This collection does not ask questions of a sensitive nature.</w:t>
      </w:r>
    </w:p>
    <w:p w:rsidR="001D655B" w:rsidRPr="00EF7FF5" w:rsidRDefault="001D655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710"/>
        <w:gridCol w:w="2250"/>
        <w:gridCol w:w="1800"/>
        <w:gridCol w:w="1530"/>
      </w:tblGrid>
      <w:tr w:rsidR="001D655B" w:rsidTr="00DC7DB3">
        <w:trPr>
          <w:tblHeader/>
        </w:trPr>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 CFR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Requirement</w:t>
            </w:r>
          </w:p>
        </w:tc>
        <w:tc>
          <w:tcPr>
            <w:tcW w:w="1710" w:type="dxa"/>
          </w:tcPr>
          <w:p w:rsidR="001D655B" w:rsidRDefault="001D655B" w:rsidP="00DC7DB3">
            <w:pPr>
              <w:tabs>
                <w:tab w:val="left" w:pos="0"/>
                <w:tab w:val="left" w:pos="720"/>
                <w:tab w:val="left" w:pos="1345"/>
                <w:tab w:val="left" w:pos="2160"/>
                <w:tab w:val="left" w:pos="2880"/>
                <w:tab w:val="left" w:pos="3600"/>
                <w:tab w:val="left" w:pos="4320"/>
                <w:tab w:val="left" w:pos="5040"/>
                <w:tab w:val="left" w:pos="5760"/>
                <w:tab w:val="left" w:pos="6480"/>
                <w:tab w:val="left" w:pos="7200"/>
                <w:tab w:val="left" w:pos="7920"/>
                <w:tab w:val="left" w:pos="8640"/>
              </w:tabs>
              <w:ind w:right="132"/>
              <w:jc w:val="center"/>
              <w:rPr>
                <w:rFonts w:ascii="Times New Roman" w:hAnsi="Times New Roman"/>
              </w:rPr>
            </w:pPr>
            <w:r>
              <w:rPr>
                <w:rFonts w:ascii="Times New Roman" w:hAnsi="Times New Roman"/>
              </w:rPr>
              <w:t>Number of Respondents</w:t>
            </w:r>
            <w:r>
              <w:rPr>
                <w:rStyle w:val="FootnoteReference"/>
              </w:rPr>
              <w:footnoteReference w:id="3"/>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Number of Responses/</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Applications Reported Annually</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Required to Collect and Report</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Total Hours</w:t>
            </w:r>
          </w:p>
        </w:tc>
      </w:tr>
      <w:tr w:rsidR="001D655B" w:rsidTr="00DC7DB3">
        <w:trPr>
          <w:trHeight w:val="242"/>
        </w:trPr>
        <w:tc>
          <w:tcPr>
            <w:tcW w:w="1998"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Initial Applications– Affected Entities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8"/>
              <w:jc w:val="center"/>
              <w:rPr>
                <w:rFonts w:ascii="Times New Roman" w:hAnsi="Times New Roman"/>
              </w:rPr>
            </w:pP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rPr>
          <w:trHeight w:val="296"/>
        </w:trPr>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70</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70</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190</w:t>
            </w:r>
          </w:p>
        </w:tc>
      </w:tr>
      <w:tr w:rsidR="001D655B" w:rsidTr="00DC7DB3">
        <w:trPr>
          <w:trHeight w:val="296"/>
        </w:trPr>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13</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13</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221</w:t>
            </w:r>
          </w:p>
        </w:tc>
      </w:tr>
      <w:tr w:rsidR="001D655B" w:rsidTr="00DC7DB3">
        <w:trPr>
          <w:trHeight w:val="413"/>
        </w:trPr>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w:t>
            </w:r>
          </w:p>
        </w:tc>
        <w:tc>
          <w:tcPr>
            <w:tcW w:w="225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w:t>
            </w:r>
          </w:p>
        </w:tc>
        <w:tc>
          <w:tcPr>
            <w:tcW w:w="180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w:t>
            </w:r>
          </w:p>
        </w:tc>
        <w:tc>
          <w:tcPr>
            <w:tcW w:w="153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51</w:t>
            </w:r>
          </w:p>
        </w:tc>
      </w:tr>
      <w:tr w:rsidR="001D655B" w:rsidTr="00DC7DB3">
        <w:trPr>
          <w:trHeight w:val="296"/>
        </w:trPr>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225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180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w:t>
            </w:r>
          </w:p>
        </w:tc>
        <w:tc>
          <w:tcPr>
            <w:tcW w:w="153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462</w:t>
            </w:r>
          </w:p>
        </w:tc>
      </w:tr>
      <w:tr w:rsidR="001D655B" w:rsidTr="00DC7DB3">
        <w:trPr>
          <w:trHeight w:val="296"/>
        </w:trPr>
        <w:tc>
          <w:tcPr>
            <w:tcW w:w="1998"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Recertification – Affected Entities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rPr>
          <w:trHeight w:val="296"/>
        </w:trPr>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488</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488</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4,880</w:t>
            </w:r>
          </w:p>
        </w:tc>
      </w:tr>
      <w:tr w:rsidR="001D655B" w:rsidTr="00DC7DB3">
        <w:trPr>
          <w:trHeight w:val="296"/>
        </w:trPr>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455</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455</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4,550</w:t>
            </w:r>
          </w:p>
        </w:tc>
      </w:tr>
      <w:tr w:rsidR="001D655B" w:rsidTr="00DC7DB3">
        <w:trPr>
          <w:trHeight w:val="296"/>
        </w:trPr>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477</w:t>
            </w:r>
          </w:p>
        </w:tc>
        <w:tc>
          <w:tcPr>
            <w:tcW w:w="225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477</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4,770</w:t>
            </w:r>
          </w:p>
        </w:tc>
      </w:tr>
      <w:tr w:rsidR="001D655B" w:rsidTr="00DC7DB3">
        <w:trPr>
          <w:trHeight w:val="296"/>
        </w:trPr>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420</w:t>
            </w:r>
          </w:p>
        </w:tc>
        <w:tc>
          <w:tcPr>
            <w:tcW w:w="225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420</w:t>
            </w:r>
          </w:p>
        </w:tc>
        <w:tc>
          <w:tcPr>
            <w:tcW w:w="180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14,200</w:t>
            </w:r>
          </w:p>
        </w:tc>
      </w:tr>
      <w:tr w:rsidR="001D655B" w:rsidTr="00DC7DB3">
        <w:tc>
          <w:tcPr>
            <w:tcW w:w="1998"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600.20 Foreign Recert – Affected Entities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15</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30</w:t>
            </w: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29</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29</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15</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435</w:t>
            </w: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137</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137</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15</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2,055</w:t>
            </w:r>
          </w:p>
        </w:tc>
      </w:tr>
      <w:tr w:rsidR="001D655B" w:rsidTr="00DC7DB3">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225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180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15</w:t>
            </w:r>
          </w:p>
        </w:tc>
        <w:tc>
          <w:tcPr>
            <w:tcW w:w="153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w:t>
            </w:r>
            <w:r w:rsidR="00953841">
              <w:rPr>
                <w:rFonts w:ascii="Times New Roman" w:hAnsi="Times New Roman"/>
              </w:rPr>
              <w:t>,</w:t>
            </w:r>
            <w:r>
              <w:rPr>
                <w:rFonts w:ascii="Times New Roman" w:hAnsi="Times New Roman"/>
              </w:rPr>
              <w:t>520</w:t>
            </w:r>
          </w:p>
        </w:tc>
      </w:tr>
      <w:tr w:rsidR="001D655B" w:rsidTr="00DC7DB3">
        <w:trPr>
          <w:trHeight w:val="1142"/>
        </w:trPr>
        <w:tc>
          <w:tcPr>
            <w:tcW w:w="1998" w:type="dxa"/>
            <w:shd w:val="clear" w:color="auto" w:fill="B3B3B3"/>
          </w:tcPr>
          <w:p w:rsidR="001D655B" w:rsidRPr="00F7722F"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7722F">
              <w:rPr>
                <w:rFonts w:ascii="Times New Roman" w:hAnsi="Times New Roman"/>
              </w:rPr>
              <w:lastRenderedPageBreak/>
              <w:t>600.20</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7722F">
              <w:rPr>
                <w:rFonts w:ascii="Times New Roman" w:hAnsi="Times New Roman"/>
              </w:rPr>
              <w:t>Expanded Eligibility – Affected Entities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330</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647</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647</w:t>
            </w: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244</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244</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244</w:t>
            </w:r>
          </w:p>
        </w:tc>
      </w:tr>
      <w:tr w:rsidR="001D655B" w:rsidTr="00DC7DB3">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596</w:t>
            </w:r>
          </w:p>
        </w:tc>
        <w:tc>
          <w:tcPr>
            <w:tcW w:w="225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168</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168</w:t>
            </w:r>
          </w:p>
        </w:tc>
      </w:tr>
      <w:tr w:rsidR="001D655B" w:rsidTr="00DC7DB3">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170</w:t>
            </w:r>
          </w:p>
        </w:tc>
        <w:tc>
          <w:tcPr>
            <w:tcW w:w="225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r w:rsidR="00953841">
              <w:rPr>
                <w:rFonts w:ascii="Times New Roman" w:hAnsi="Times New Roman"/>
              </w:rPr>
              <w:t>,</w:t>
            </w:r>
            <w:r>
              <w:rPr>
                <w:rFonts w:ascii="Times New Roman" w:hAnsi="Times New Roman"/>
              </w:rPr>
              <w:t>05</w:t>
            </w:r>
            <w:r w:rsidR="006C30F0">
              <w:rPr>
                <w:rFonts w:ascii="Times New Roman" w:hAnsi="Times New Roman"/>
              </w:rPr>
              <w:t>9</w:t>
            </w:r>
          </w:p>
        </w:tc>
        <w:tc>
          <w:tcPr>
            <w:tcW w:w="180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Borders>
              <w:bottom w:val="single" w:sz="4" w:space="0" w:color="auto"/>
            </w:tcBorders>
            <w:shd w:val="clear" w:color="auto" w:fill="E0E0E0"/>
          </w:tcPr>
          <w:p w:rsidR="001D655B" w:rsidRDefault="001D655B" w:rsidP="00953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w:t>
            </w:r>
            <w:r w:rsidR="00953841">
              <w:rPr>
                <w:rFonts w:ascii="Times New Roman" w:hAnsi="Times New Roman"/>
              </w:rPr>
              <w:t>,</w:t>
            </w:r>
            <w:r>
              <w:rPr>
                <w:rFonts w:ascii="Times New Roman" w:hAnsi="Times New Roman"/>
              </w:rPr>
              <w:t>05</w:t>
            </w:r>
            <w:r w:rsidR="00953841">
              <w:rPr>
                <w:rFonts w:ascii="Times New Roman" w:hAnsi="Times New Roman"/>
              </w:rPr>
              <w:t>9</w:t>
            </w:r>
          </w:p>
        </w:tc>
      </w:tr>
      <w:tr w:rsidR="001D655B" w:rsidTr="00DC7DB3">
        <w:tc>
          <w:tcPr>
            <w:tcW w:w="1998" w:type="dxa"/>
            <w:shd w:val="clear" w:color="auto" w:fill="B3B3B3"/>
          </w:tcPr>
          <w:p w:rsidR="001D655B" w:rsidRPr="00F7722F"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7722F">
              <w:rPr>
                <w:rFonts w:ascii="Times New Roman" w:hAnsi="Times New Roman"/>
              </w:rPr>
              <w:t>600.21</w:t>
            </w:r>
          </w:p>
          <w:p w:rsidR="001D655B" w:rsidRPr="00827A1E"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F7722F">
              <w:rPr>
                <w:rFonts w:ascii="Times New Roman" w:hAnsi="Times New Roman"/>
              </w:rPr>
              <w:t>Updating Eligibility – Affected Entities</w:t>
            </w:r>
          </w:p>
        </w:tc>
        <w:tc>
          <w:tcPr>
            <w:tcW w:w="1710"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026</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477</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477</w:t>
            </w: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953841"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1D655B">
              <w:rPr>
                <w:rFonts w:ascii="Times New Roman" w:hAnsi="Times New Roman"/>
              </w:rPr>
              <w:t>696</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002</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002</w:t>
            </w:r>
          </w:p>
        </w:tc>
      </w:tr>
      <w:tr w:rsidR="001D655B" w:rsidTr="00DC7DB3">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Borders>
              <w:bottom w:val="single" w:sz="4" w:space="0" w:color="auto"/>
            </w:tcBorders>
          </w:tcPr>
          <w:p w:rsidR="001D655B" w:rsidRDefault="00953841"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1D655B">
              <w:rPr>
                <w:rFonts w:ascii="Times New Roman" w:hAnsi="Times New Roman"/>
              </w:rPr>
              <w:t>703</w:t>
            </w:r>
          </w:p>
        </w:tc>
        <w:tc>
          <w:tcPr>
            <w:tcW w:w="225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darkGray"/>
              </w:rPr>
            </w:pPr>
            <w:r>
              <w:rPr>
                <w:rFonts w:ascii="Times New Roman" w:hAnsi="Times New Roman"/>
              </w:rPr>
              <w:t>1</w:t>
            </w:r>
            <w:r w:rsidR="00953841">
              <w:rPr>
                <w:rFonts w:ascii="Times New Roman" w:hAnsi="Times New Roman"/>
              </w:rPr>
              <w:t>,</w:t>
            </w:r>
            <w:r>
              <w:rPr>
                <w:rFonts w:ascii="Times New Roman" w:hAnsi="Times New Roman"/>
              </w:rPr>
              <w:t>012</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darkGray"/>
              </w:rPr>
            </w:pPr>
          </w:p>
        </w:tc>
        <w:tc>
          <w:tcPr>
            <w:tcW w:w="180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1</w:t>
            </w:r>
            <w:r w:rsidR="00953841">
              <w:rPr>
                <w:rFonts w:ascii="Times New Roman" w:hAnsi="Times New Roman"/>
              </w:rPr>
              <w:t>,</w:t>
            </w:r>
            <w:r>
              <w:rPr>
                <w:rFonts w:ascii="Times New Roman" w:hAnsi="Times New Roman"/>
              </w:rPr>
              <w:t>012</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r w:rsidR="00953841">
              <w:rPr>
                <w:rFonts w:ascii="Times New Roman" w:hAnsi="Times New Roman"/>
              </w:rPr>
              <w:t>,</w:t>
            </w:r>
            <w:r>
              <w:rPr>
                <w:rFonts w:ascii="Times New Roman" w:hAnsi="Times New Roman"/>
              </w:rPr>
              <w:t>425</w:t>
            </w:r>
          </w:p>
        </w:tc>
        <w:tc>
          <w:tcPr>
            <w:tcW w:w="225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w:t>
            </w:r>
            <w:r w:rsidR="00953841">
              <w:rPr>
                <w:rFonts w:ascii="Times New Roman" w:hAnsi="Times New Roman"/>
              </w:rPr>
              <w:t>,</w:t>
            </w:r>
            <w:r>
              <w:rPr>
                <w:rFonts w:ascii="Times New Roman" w:hAnsi="Times New Roman"/>
              </w:rPr>
              <w:t>491</w:t>
            </w:r>
          </w:p>
        </w:tc>
        <w:tc>
          <w:tcPr>
            <w:tcW w:w="180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30" w:type="dxa"/>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3</w:t>
            </w:r>
            <w:r w:rsidR="00953841">
              <w:rPr>
                <w:rFonts w:ascii="Times New Roman" w:hAnsi="Times New Roman"/>
              </w:rPr>
              <w:t>,</w:t>
            </w:r>
            <w:r>
              <w:rPr>
                <w:rFonts w:ascii="Times New Roman" w:hAnsi="Times New Roman"/>
              </w:rPr>
              <w:t>491</w:t>
            </w:r>
          </w:p>
        </w:tc>
      </w:tr>
      <w:tr w:rsidR="001D655B" w:rsidTr="00DC7DB3">
        <w:tc>
          <w:tcPr>
            <w:tcW w:w="1998" w:type="dxa"/>
            <w:shd w:val="clear" w:color="auto" w:fill="B3B3B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600.31</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Change in Ownership – Affected Entities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53</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53</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530</w:t>
            </w:r>
          </w:p>
        </w:tc>
      </w:tr>
      <w:tr w:rsidR="001D655B" w:rsidTr="00DC7DB3">
        <w:tc>
          <w:tcPr>
            <w:tcW w:w="199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Not-for-Profit Institutions</w:t>
            </w:r>
          </w:p>
        </w:tc>
        <w:tc>
          <w:tcPr>
            <w:tcW w:w="171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w:t>
            </w:r>
          </w:p>
        </w:tc>
        <w:tc>
          <w:tcPr>
            <w:tcW w:w="180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90</w:t>
            </w:r>
          </w:p>
        </w:tc>
      </w:tr>
      <w:tr w:rsidR="001D655B" w:rsidTr="00DC7DB3">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Public Institutions</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0</w:t>
            </w:r>
          </w:p>
        </w:tc>
        <w:tc>
          <w:tcPr>
            <w:tcW w:w="225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0</w:t>
            </w:r>
          </w:p>
        </w:tc>
        <w:tc>
          <w:tcPr>
            <w:tcW w:w="180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0</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Sub-total</w:t>
            </w:r>
          </w:p>
        </w:tc>
        <w:tc>
          <w:tcPr>
            <w:tcW w:w="1710" w:type="dxa"/>
            <w:tcBorders>
              <w:bottom w:val="single" w:sz="4" w:space="0" w:color="auto"/>
            </w:tcBorders>
            <w:shd w:val="pct15"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63</w:t>
            </w:r>
          </w:p>
        </w:tc>
        <w:tc>
          <w:tcPr>
            <w:tcW w:w="225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w:t>
            </w:r>
            <w:r w:rsidR="006C30F0">
              <w:rPr>
                <w:rFonts w:ascii="Times New Roman" w:hAnsi="Times New Roman"/>
              </w:rPr>
              <w:t>2</w:t>
            </w:r>
          </w:p>
        </w:tc>
        <w:tc>
          <w:tcPr>
            <w:tcW w:w="180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30" w:type="dxa"/>
            <w:tcBorders>
              <w:bottom w:val="single" w:sz="4" w:space="0" w:color="auto"/>
            </w:tcBorders>
            <w:shd w:val="clear" w:color="auto" w:fill="E0E0E0"/>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620</w:t>
            </w:r>
          </w:p>
        </w:tc>
      </w:tr>
      <w:tr w:rsidR="001D655B" w:rsidTr="00DC7DB3">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Total Responses</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5,33</w:t>
            </w:r>
            <w:r w:rsidR="00953841">
              <w:rPr>
                <w:rFonts w:ascii="Times New Roman" w:hAnsi="Times New Roman"/>
              </w:rPr>
              <w:t>1</w:t>
            </w:r>
            <w:r>
              <w:rPr>
                <w:rStyle w:val="EndnoteReference"/>
              </w:rPr>
              <w:endnoteReference w:customMarkFollows="1" w:id="2"/>
              <w:t>1</w:t>
            </w:r>
          </w:p>
        </w:tc>
        <w:tc>
          <w:tcPr>
            <w:tcW w:w="2250" w:type="dxa"/>
            <w:tcBorders>
              <w:bottom w:val="single" w:sz="4" w:space="0" w:color="auto"/>
            </w:tcBorders>
          </w:tcPr>
          <w:p w:rsidR="001D655B" w:rsidRDefault="001D655B" w:rsidP="00953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7,28</w:t>
            </w:r>
            <w:r w:rsidR="00953841">
              <w:rPr>
                <w:rFonts w:ascii="Times New Roman" w:hAnsi="Times New Roman"/>
              </w:rPr>
              <w:t>6</w:t>
            </w:r>
          </w:p>
        </w:tc>
        <w:tc>
          <w:tcPr>
            <w:tcW w:w="1800" w:type="dxa"/>
            <w:tcBorders>
              <w:bottom w:val="single" w:sz="4" w:space="0" w:color="auto"/>
            </w:tcBorders>
            <w:shd w:val="pct30"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Borders>
              <w:bottom w:val="single" w:sz="4" w:space="0" w:color="auto"/>
            </w:tcBorders>
            <w:shd w:val="pct30"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c>
          <w:tcPr>
            <w:tcW w:w="1998"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lastRenderedPageBreak/>
              <w:t xml:space="preserve">Total Unduplicated Respondents  </w:t>
            </w:r>
          </w:p>
        </w:tc>
        <w:tc>
          <w:tcPr>
            <w:tcW w:w="1710" w:type="dxa"/>
            <w:tcBorders>
              <w:bottom w:val="single" w:sz="4" w:space="0" w:color="auto"/>
            </w:tcBorders>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 xml:space="preserve">      </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 xml:space="preserve">     4,983</w:t>
            </w:r>
            <w:r>
              <w:rPr>
                <w:rStyle w:val="FootnoteReference"/>
              </w:rPr>
              <w:footnoteReference w:customMarkFollows="1" w:id="4"/>
              <w:t>2</w:t>
            </w:r>
          </w:p>
        </w:tc>
        <w:tc>
          <w:tcPr>
            <w:tcW w:w="2250" w:type="dxa"/>
            <w:tcBorders>
              <w:bottom w:val="single" w:sz="4" w:space="0" w:color="auto"/>
            </w:tcBorders>
            <w:shd w:val="pct35"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Borders>
              <w:bottom w:val="single" w:sz="4" w:space="0" w:color="auto"/>
            </w:tcBorders>
            <w:shd w:val="pct30"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Borders>
              <w:bottom w:val="single" w:sz="4" w:space="0" w:color="auto"/>
            </w:tcBorders>
            <w:shd w:val="pct30" w:color="auto" w:fill="auto"/>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1D655B" w:rsidTr="00DC7DB3">
        <w:trPr>
          <w:cantSplit/>
        </w:trPr>
        <w:tc>
          <w:tcPr>
            <w:tcW w:w="7758" w:type="dxa"/>
            <w:gridSpan w:val="4"/>
            <w:shd w:val="clear" w:color="auto" w:fill="B3B3B3"/>
          </w:tcPr>
          <w:p w:rsidR="001D655B" w:rsidRDefault="001D655B" w:rsidP="00DC7DB3">
            <w:pPr>
              <w:pStyle w:val="EndnoteText"/>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Times New Roman" w:hAnsi="Times New Roman"/>
              </w:rPr>
            </w:pPr>
            <w:r>
              <w:rPr>
                <w:rFonts w:ascii="Times New Roman" w:hAnsi="Times New Roman"/>
              </w:rPr>
              <w:lastRenderedPageBreak/>
              <w:t xml:space="preserve">Total Hour Burden of Collection Information </w:t>
            </w:r>
          </w:p>
        </w:tc>
        <w:tc>
          <w:tcPr>
            <w:tcW w:w="1530" w:type="dxa"/>
            <w:shd w:val="clear" w:color="auto" w:fill="B3B3B3"/>
          </w:tcPr>
          <w:p w:rsidR="001D655B" w:rsidRDefault="001D655B" w:rsidP="00953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24,3</w:t>
            </w:r>
            <w:r w:rsidR="00953841">
              <w:rPr>
                <w:rFonts w:ascii="Times New Roman" w:hAnsi="Times New Roman"/>
              </w:rPr>
              <w:t>52</w:t>
            </w:r>
          </w:p>
        </w:tc>
      </w:tr>
    </w:tbl>
    <w:p w:rsidR="001D655B" w:rsidRDefault="001D655B" w:rsidP="001D655B">
      <w:pPr>
        <w:pStyle w:val="FootnoteText"/>
      </w:pPr>
    </w:p>
    <w:p w:rsidR="001D655B" w:rsidRDefault="001D655B" w:rsidP="001D655B">
      <w:pPr>
        <w:pStyle w:val="TOC6"/>
        <w:numPr>
          <w:ilvl w:val="1"/>
          <w:numId w:val="15"/>
        </w:numPr>
        <w:tabs>
          <w:tab w:val="clear"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720"/>
        <w:rPr>
          <w:rFonts w:ascii="Times New Roman" w:hAnsi="Times New Roman"/>
        </w:rPr>
      </w:pPr>
      <w:r>
        <w:rPr>
          <w:rFonts w:ascii="Times New Roman" w:hAnsi="Times New Roman"/>
        </w:rPr>
        <w:t>Refers to applications submitted by institutions for initial approval, reinstatement, recertification and expansion of its current eligibility.  This requirement has been broken down into four lines since it takes a new school longer to complete an initial application than one that is submitting a recertification application.  As explained earlier, the electronic application is pre-populated with information the Department previously received from the institution. Further, an institution applying for expansion of its current eligibility only needs to complete the portion of the application that applies to the expansion, so it takes much less time to complete that type of application.</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pStyle w:val="TOC6"/>
        <w:numPr>
          <w:ilvl w:val="1"/>
          <w:numId w:val="15"/>
        </w:numPr>
        <w:tabs>
          <w:tab w:val="clear"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720"/>
        <w:rPr>
          <w:rFonts w:ascii="Times New Roman" w:hAnsi="Times New Roman"/>
        </w:rPr>
      </w:pPr>
      <w:r>
        <w:rPr>
          <w:rFonts w:ascii="Times New Roman" w:hAnsi="Times New Roman"/>
        </w:rPr>
        <w:t>Refers to the requirement that institutions must update the Department regarding certain required information such as changes to the institution’s name or address.</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Pr="001D655B" w:rsidRDefault="001D655B" w:rsidP="001D655B">
      <w:pPr>
        <w:pStyle w:val="BodyTextIndent2"/>
        <w:spacing w:line="240" w:lineRule="auto"/>
        <w:ind w:left="0"/>
        <w:rPr>
          <w:rFonts w:ascii="Times New Roman" w:hAnsi="Times New Roman"/>
        </w:rPr>
      </w:pPr>
      <w:r w:rsidRPr="001D655B">
        <w:rPr>
          <w:rFonts w:ascii="Times New Roman" w:hAnsi="Times New Roman"/>
        </w:rPr>
        <w:t>600.31 Refers to applications submitted for change in ownership that result in the change of control.</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7464CD"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1D655B">
        <w:rPr>
          <w:rFonts w:ascii="Times New Roman" w:hAnsi="Times New Roman"/>
        </w:rPr>
        <w:t>This burden information was estimated based on recent (FY 20</w:t>
      </w:r>
      <w:r w:rsidR="00AE5734">
        <w:rPr>
          <w:rFonts w:ascii="Times New Roman" w:hAnsi="Times New Roman"/>
        </w:rPr>
        <w:t>12</w:t>
      </w:r>
      <w:r w:rsidR="001D655B">
        <w:rPr>
          <w:rFonts w:ascii="Times New Roman" w:hAnsi="Times New Roman"/>
        </w:rPr>
        <w:t>) conversations with institutions that have submitted applications for these various purposes.</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7464CD" w:rsidP="001D655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rPr>
        <w:tab/>
      </w:r>
      <w:r w:rsidR="001D655B" w:rsidRPr="001D655B">
        <w:rPr>
          <w:rFonts w:ascii="Times New Roman" w:hAnsi="Times New Roman"/>
        </w:rPr>
        <w:t>Provide estimates of annualized cost to respondents for the hour burdens for collection of information, identifying and using appropriate wage rate categories</w:t>
      </w:r>
      <w:r w:rsidR="001D655B">
        <w:t xml:space="preserve">.  </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600.20 Initial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$480</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$577</w:t>
            </w:r>
          </w:p>
        </w:tc>
      </w:tr>
    </w:tbl>
    <w:p w:rsidR="001D655B" w:rsidRDefault="001D655B" w:rsidP="001D655B">
      <w:pPr>
        <w:pStyle w:val="FootnoteText"/>
        <w:rPr>
          <w:rFonts w:ascii="Times New Roman" w:hAnsi="Times New Roman"/>
          <w:sz w:val="20"/>
        </w:rPr>
      </w:pPr>
      <w:r>
        <w:rPr>
          <w:rStyle w:val="FootnoteReference"/>
          <w:sz w:val="20"/>
        </w:rPr>
        <w:footnoteReference w:customMarkFollows="1" w:id="5"/>
        <w:t>1</w:t>
      </w:r>
      <w:r>
        <w:rPr>
          <w:sz w:val="20"/>
        </w:rPr>
        <w:t xml:space="preserve"> </w:t>
      </w:r>
      <w:r>
        <w:rPr>
          <w:rFonts w:ascii="Times New Roman" w:hAnsi="Times New Roman"/>
          <w:sz w:val="20"/>
        </w:rPr>
        <w:t>Many institutions respond more than once a year, therefore a single respondent could be counted under several of the required regulatory reporting areas.  As a result, the unduplicated number of respondents is a number smaller than the sum of the sub-totals.</w:t>
      </w: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lastRenderedPageBreak/>
        <w:t>600.20 Recertification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$270</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$367</w:t>
            </w:r>
          </w:p>
        </w:tc>
      </w:tr>
    </w:tbl>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600.20 Recertification of Foreign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$420</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15</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$517</w:t>
            </w:r>
          </w:p>
        </w:tc>
      </w:tr>
    </w:tbl>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b/>
          <w:bCs/>
        </w:rPr>
      </w:pPr>
      <w:r>
        <w:rPr>
          <w:rFonts w:ascii="Times New Roman" w:hAnsi="Times New Roman"/>
          <w:b/>
          <w:bCs/>
        </w:rPr>
        <w:t>600.20 Request to Expand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$39</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$ 18</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w:t>
            </w:r>
          </w:p>
        </w:tc>
      </w:tr>
    </w:tbl>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 xml:space="preserve">600.21 Update Changes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$39</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$ 18</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w:t>
            </w:r>
          </w:p>
        </w:tc>
      </w:tr>
    </w:tbl>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D655B" w:rsidRDefault="001D655B" w:rsidP="001D6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600.31 Change in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Position</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 Rate</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Category</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Expended</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Burden</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Senior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Administrator</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$200,956</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$97</w:t>
            </w:r>
          </w:p>
        </w:tc>
      </w:tr>
      <w:tr w:rsidR="001D655B" w:rsidTr="00DC7DB3">
        <w:tc>
          <w:tcPr>
            <w:tcW w:w="208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Professional</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Staff</w:t>
            </w:r>
          </w:p>
        </w:tc>
        <w:tc>
          <w:tcPr>
            <w:tcW w:w="168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$62,800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$30</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$270</w:t>
            </w:r>
          </w:p>
        </w:tc>
      </w:tr>
      <w:tr w:rsidR="001D655B" w:rsidTr="00DC7DB3">
        <w:trPr>
          <w:cantSplit/>
        </w:trPr>
        <w:tc>
          <w:tcPr>
            <w:tcW w:w="565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886"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64"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$367</w:t>
            </w:r>
          </w:p>
        </w:tc>
      </w:tr>
    </w:tbl>
    <w:p w:rsidR="001D655B" w:rsidRDefault="001D655B" w:rsidP="001D655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rPr>
      </w:pPr>
    </w:p>
    <w:p w:rsidR="001D655B" w:rsidRDefault="001D655B" w:rsidP="001D655B">
      <w:pPr>
        <w:pStyle w:val="Heading2"/>
      </w:pPr>
      <w:r>
        <w:t xml:space="preserve">Annualized Cost for Collection of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2250"/>
        <w:gridCol w:w="1980"/>
      </w:tblGrid>
      <w:tr w:rsidR="001D655B" w:rsidTr="00DC7DB3">
        <w:trPr>
          <w:tblHeader/>
        </w:trPr>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 CFR</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Requirement</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Number of Institutions Reporting Annually</w:t>
            </w:r>
            <w:r>
              <w:rPr>
                <w:rStyle w:val="FootnoteReference"/>
                <w:rFonts w:ascii="Times New Roman" w:hAnsi="Times New Roman"/>
              </w:rPr>
              <w:footnoteReference w:id="6"/>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 Institution</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 Burden</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Initial</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109</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$62,893</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Recertification</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1412</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$367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$518,204</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600.20</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Foreign Recert</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87</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$517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$44,979</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600.20</w:t>
            </w:r>
          </w:p>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Expand Eligibility</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1,266</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$72,162</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600.21</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1,497</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$85,329</w:t>
            </w:r>
          </w:p>
        </w:tc>
      </w:tr>
      <w:tr w:rsidR="001D655B" w:rsidTr="00DC7DB3">
        <w:tc>
          <w:tcPr>
            <w:tcW w:w="2448"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600.31</w:t>
            </w:r>
          </w:p>
        </w:tc>
        <w:tc>
          <w:tcPr>
            <w:tcW w:w="243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114</w:t>
            </w:r>
          </w:p>
        </w:tc>
        <w:tc>
          <w:tcPr>
            <w:tcW w:w="225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$367</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$41,838</w:t>
            </w:r>
          </w:p>
        </w:tc>
      </w:tr>
      <w:tr w:rsidR="001D655B" w:rsidTr="00DC7DB3">
        <w:trPr>
          <w:cantSplit/>
        </w:trPr>
        <w:tc>
          <w:tcPr>
            <w:tcW w:w="7128" w:type="dxa"/>
            <w:gridSpan w:val="3"/>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Total Annualized Cost per Application for Institutions </w:t>
            </w:r>
          </w:p>
        </w:tc>
        <w:tc>
          <w:tcPr>
            <w:tcW w:w="1980" w:type="dxa"/>
          </w:tcPr>
          <w:p w:rsidR="001D655B" w:rsidRDefault="001D655B"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Pr>
                <w:rFonts w:ascii="Times New Roman" w:hAnsi="Times New Roman"/>
              </w:rPr>
              <w:t>$825,405</w:t>
            </w:r>
          </w:p>
        </w:tc>
      </w:tr>
    </w:tbl>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w:t>
      </w:r>
      <w:r w:rsidRPr="00EF7FF5">
        <w:rPr>
          <w:rFonts w:ascii="Times New Roman" w:hAnsi="Times New Roman"/>
          <w:szCs w:val="24"/>
        </w:rPr>
        <w:lastRenderedPageBreak/>
        <w:t>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6"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6"/>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7"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7"/>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8"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8"/>
    </w:p>
    <w:p w:rsidR="00386054" w:rsidRDefault="00386054">
      <w:pPr>
        <w:tabs>
          <w:tab w:val="left" w:pos="-720"/>
        </w:tabs>
        <w:suppressAutoHyphens/>
        <w:rPr>
          <w:rFonts w:ascii="Times New Roman" w:hAnsi="Times New Roman"/>
          <w:szCs w:val="24"/>
        </w:rPr>
      </w:pPr>
    </w:p>
    <w:p w:rsidR="00F92FDC" w:rsidRDefault="007464CD">
      <w:pPr>
        <w:tabs>
          <w:tab w:val="left" w:pos="-720"/>
        </w:tabs>
        <w:suppressAutoHyphens/>
        <w:rPr>
          <w:rFonts w:ascii="Times New Roman" w:hAnsi="Times New Roman"/>
          <w:szCs w:val="24"/>
        </w:rPr>
      </w:pPr>
      <w:r>
        <w:rPr>
          <w:rFonts w:ascii="Times New Roman" w:hAnsi="Times New Roman"/>
        </w:rPr>
        <w:tab/>
        <w:t xml:space="preserve">There is no cost burden to respondents or </w:t>
      </w:r>
      <w:r w:rsidR="00BD001D">
        <w:rPr>
          <w:rFonts w:ascii="Times New Roman" w:hAnsi="Times New Roman"/>
        </w:rPr>
        <w:t>record-keepers</w:t>
      </w:r>
      <w:r>
        <w:rPr>
          <w:rFonts w:ascii="Times New Roman" w:hAnsi="Times New Roman"/>
        </w:rPr>
        <w:t xml:space="preserve"> resulting from the information collection other than shown in items 12 and 14.  The total government expense for capital and start up costs for this Information Collection is zero.</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3FA0" w:rsidRDefault="007464CD"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6C3FA0">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620"/>
        <w:gridCol w:w="1530"/>
        <w:gridCol w:w="1440"/>
        <w:gridCol w:w="1440"/>
        <w:gridCol w:w="1620"/>
      </w:tblGrid>
      <w:tr w:rsidR="006C3FA0" w:rsidTr="00DC7DB3">
        <w:trPr>
          <w:tblHeader/>
        </w:trPr>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 CFR</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Requirement</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Number of Institutions Reporting Annually</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Hours Required for ED Review</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Total Hours</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Average</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Hourly</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Wage</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Cost per CFR Requirement</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Initial</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109</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218</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204CB3" w:rsidP="00204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6C3FA0">
              <w:rPr>
                <w:rFonts w:ascii="Times New Roman" w:hAnsi="Times New Roman"/>
              </w:rPr>
              <w:t>$7,412</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Recertification</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1,412</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2,824</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204CB3" w:rsidP="00204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6C3FA0">
              <w:rPr>
                <w:rFonts w:ascii="Times New Roman" w:hAnsi="Times New Roman"/>
              </w:rPr>
              <w:t>$96,016</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600.20 </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Foreign Recert</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87</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261</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6C3FA0" w:rsidP="00204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204CB3">
              <w:rPr>
                <w:rFonts w:ascii="Times New Roman" w:hAnsi="Times New Roman"/>
              </w:rPr>
              <w:t xml:space="preserve"> </w:t>
            </w:r>
            <w:r>
              <w:rPr>
                <w:rFonts w:ascii="Times New Roman" w:hAnsi="Times New Roman"/>
              </w:rPr>
              <w:t xml:space="preserve"> $8,874</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600.20</w:t>
            </w:r>
          </w:p>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Expand Eligibility</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204CB3">
              <w:rPr>
                <w:rFonts w:ascii="Times New Roman" w:hAnsi="Times New Roman"/>
              </w:rPr>
              <w:t>,</w:t>
            </w:r>
            <w:r>
              <w:rPr>
                <w:rFonts w:ascii="Times New Roman" w:hAnsi="Times New Roman"/>
              </w:rPr>
              <w:t>266</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204CB3">
              <w:rPr>
                <w:rFonts w:ascii="Times New Roman" w:hAnsi="Times New Roman"/>
              </w:rPr>
              <w:t>,</w:t>
            </w:r>
            <w:r>
              <w:rPr>
                <w:rFonts w:ascii="Times New Roman" w:hAnsi="Times New Roman"/>
              </w:rPr>
              <w:t>266</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$43,044</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600.21</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r w:rsidR="00204CB3">
              <w:rPr>
                <w:rFonts w:ascii="Times New Roman" w:hAnsi="Times New Roman"/>
              </w:rPr>
              <w:t>,</w:t>
            </w:r>
            <w:r>
              <w:rPr>
                <w:rFonts w:ascii="Times New Roman" w:hAnsi="Times New Roman"/>
              </w:rPr>
              <w:t>497</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749</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$25,466</w:t>
            </w:r>
          </w:p>
        </w:tc>
      </w:tr>
      <w:tr w:rsidR="006C3FA0" w:rsidTr="00DC7DB3">
        <w:tc>
          <w:tcPr>
            <w:tcW w:w="2178"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600.31</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114</w:t>
            </w:r>
          </w:p>
        </w:tc>
        <w:tc>
          <w:tcPr>
            <w:tcW w:w="153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228</w:t>
            </w:r>
          </w:p>
        </w:tc>
        <w:tc>
          <w:tcPr>
            <w:tcW w:w="144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$7,752</w:t>
            </w:r>
          </w:p>
        </w:tc>
      </w:tr>
      <w:tr w:rsidR="006C3FA0" w:rsidTr="00DC7DB3">
        <w:trPr>
          <w:cantSplit/>
        </w:trPr>
        <w:tc>
          <w:tcPr>
            <w:tcW w:w="8208" w:type="dxa"/>
            <w:gridSpan w:val="5"/>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ED Cost to review of the Application information</w:t>
            </w:r>
          </w:p>
        </w:tc>
        <w:tc>
          <w:tcPr>
            <w:tcW w:w="1620" w:type="dxa"/>
          </w:tcPr>
          <w:p w:rsidR="006C3FA0" w:rsidRDefault="006C3FA0" w:rsidP="00DC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$188,564</w:t>
            </w:r>
          </w:p>
        </w:tc>
      </w:tr>
    </w:tbl>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ED Cost to maintain system and improve electronic Application: </w:t>
      </w:r>
      <w:r>
        <w:rPr>
          <w:rFonts w:ascii="Times New Roman" w:hAnsi="Times New Roman"/>
        </w:rPr>
        <w:tab/>
        <w:t xml:space="preserve">         </w:t>
      </w:r>
      <w:r>
        <w:rPr>
          <w:rFonts w:ascii="Times New Roman" w:hAnsi="Times New Roman"/>
        </w:rPr>
        <w:tab/>
        <w:t xml:space="preserve">                     $450,000</w:t>
      </w: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 Annualized Cost to the Federal government: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$638,564</w:t>
      </w:r>
    </w:p>
    <w:p w:rsidR="006C3FA0" w:rsidRDefault="006C3FA0" w:rsidP="006C3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w:t>
      </w:r>
      <w:r w:rsidRPr="00EF7FF5">
        <w:rPr>
          <w:rFonts w:ascii="Times New Roman" w:hAnsi="Times New Roman"/>
          <w:szCs w:val="24"/>
        </w:rPr>
        <w:lastRenderedPageBreak/>
        <w:t>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5A59D3" w:rsidRDefault="005A59D3" w:rsidP="005A59D3">
      <w:pPr>
        <w:tabs>
          <w:tab w:val="left" w:pos="-720"/>
        </w:tabs>
        <w:suppressAutoHyphens/>
        <w:rPr>
          <w:rFonts w:ascii="Times New Roman" w:hAnsi="Times New Roman"/>
          <w:szCs w:val="24"/>
        </w:rPr>
      </w:pPr>
      <w:r>
        <w:rPr>
          <w:rFonts w:ascii="Times New Roman" w:hAnsi="Times New Roman"/>
          <w:szCs w:val="24"/>
        </w:rPr>
        <w:t>There have been no significant program changes.  The change in hours is due to a change in the number of applications projected.  Th</w:t>
      </w:r>
      <w:r w:rsidR="003E623B">
        <w:rPr>
          <w:rFonts w:ascii="Times New Roman" w:hAnsi="Times New Roman"/>
          <w:szCs w:val="24"/>
        </w:rPr>
        <w:t>ere is an anticipated</w:t>
      </w:r>
      <w:r>
        <w:rPr>
          <w:rFonts w:ascii="Times New Roman" w:hAnsi="Times New Roman"/>
          <w:szCs w:val="24"/>
        </w:rPr>
        <w:t xml:space="preserve"> decrease in Initial applications and Change in Ownership applications, while all other types of applications are expected to increase.  The decrease in new institutions and in the buying and selling of existing institutions is likely due to the current economic conditions in the United States.  As for the increases, Recertification applications are submitted shortly before an institution’s current eligibility expires and can therefore be reasonably projected.  The increase in applications for Expanded and Updated Eligibility likely results from continued improvement in the understanding of the application process, more consistent compliance with our reporting requirements, and institutions being more responsive to economic changes resulting in more changes to locations and educational programs.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Default="00386054">
      <w:pPr>
        <w:tabs>
          <w:tab w:val="left" w:pos="-720"/>
        </w:tabs>
        <w:suppressAutoHyphens/>
        <w:rPr>
          <w:rFonts w:ascii="Times New Roman" w:hAnsi="Times New Roman"/>
          <w:szCs w:val="24"/>
        </w:rPr>
      </w:pPr>
    </w:p>
    <w:p w:rsidR="006C3FA0" w:rsidRDefault="00441889" w:rsidP="006C3FA0">
      <w:pPr>
        <w:tabs>
          <w:tab w:val="left" w:pos="-720"/>
        </w:tabs>
        <w:suppressAutoHyphens/>
        <w:rPr>
          <w:rFonts w:ascii="Times New Roman" w:hAnsi="Times New Roman"/>
        </w:rPr>
      </w:pPr>
      <w:r>
        <w:rPr>
          <w:rFonts w:ascii="Times New Roman" w:hAnsi="Times New Roman"/>
        </w:rPr>
        <w:tab/>
      </w:r>
      <w:r w:rsidR="006C3FA0">
        <w:rPr>
          <w:rFonts w:ascii="Times New Roman" w:hAnsi="Times New Roman"/>
        </w:rPr>
        <w:t>Application information is not expected to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Default="00386054">
      <w:pPr>
        <w:tabs>
          <w:tab w:val="left" w:pos="-720"/>
        </w:tabs>
        <w:suppressAutoHyphens/>
        <w:rPr>
          <w:rFonts w:ascii="Times New Roman" w:hAnsi="Times New Roman"/>
          <w:szCs w:val="24"/>
        </w:rPr>
      </w:pPr>
    </w:p>
    <w:p w:rsidR="006C3FA0" w:rsidRDefault="00441889" w:rsidP="006C3FA0">
      <w:pPr>
        <w:tabs>
          <w:tab w:val="left" w:pos="-720"/>
        </w:tabs>
        <w:suppressAutoHyphens/>
        <w:rPr>
          <w:rFonts w:ascii="Times New Roman" w:hAnsi="Times New Roman"/>
        </w:rPr>
      </w:pPr>
      <w:r>
        <w:rPr>
          <w:rFonts w:ascii="Times New Roman" w:hAnsi="Times New Roman"/>
        </w:rPr>
        <w:tab/>
      </w:r>
      <w:r w:rsidR="006C3FA0">
        <w:rPr>
          <w:rFonts w:ascii="Times New Roman" w:hAnsi="Times New Roman"/>
        </w:rPr>
        <w:t>The Department will display the expiration date for the OMB approval on the form.</w:t>
      </w:r>
    </w:p>
    <w:p w:rsidR="006C3FA0" w:rsidRPr="00EF7FF5" w:rsidRDefault="006C3FA0">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sectPr w:rsidR="00386054"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69" w:rsidRDefault="00951B69">
      <w:pPr>
        <w:spacing w:line="20" w:lineRule="exact"/>
      </w:pPr>
    </w:p>
  </w:endnote>
  <w:endnote w:type="continuationSeparator" w:id="0">
    <w:p w:rsidR="00951B69" w:rsidRDefault="00951B69">
      <w:r>
        <w:t xml:space="preserve"> </w:t>
      </w:r>
    </w:p>
  </w:endnote>
  <w:endnote w:type="continuationNotice" w:id="1">
    <w:p w:rsidR="00951B69" w:rsidRDefault="00951B69">
      <w:r>
        <w:t xml:space="preserve"> </w:t>
      </w:r>
    </w:p>
  </w:endnote>
  <w:endnote w:id="2">
    <w:p w:rsidR="00953841" w:rsidRDefault="00953841" w:rsidP="001D655B">
      <w:pPr>
        <w:pStyle w:val="EndnoteText"/>
      </w:pPr>
    </w:p>
    <w:p w:rsidR="00953841" w:rsidRDefault="00953841" w:rsidP="006C3FA0">
      <w:pPr>
        <w:tabs>
          <w:tab w:val="left" w:pos="-720"/>
        </w:tabs>
        <w:suppressAutoHyphens/>
        <w:rPr>
          <w:rFonts w:ascii="Times New Roman" w:hAnsi="Times New Roman"/>
        </w:rPr>
      </w:pPr>
      <w:r>
        <w:rPr>
          <w:rFonts w:ascii="Times New Roman" w:hAnsi="Times New Roman"/>
        </w:rPr>
        <w:tab/>
        <w:t>There are no exceptions to the certification statement.</w:t>
      </w:r>
    </w:p>
    <w:p w:rsidR="00953841" w:rsidRDefault="00953841" w:rsidP="001D655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41" w:rsidRDefault="00953841">
    <w:pPr>
      <w:spacing w:before="140" w:line="100" w:lineRule="exact"/>
      <w:rPr>
        <w:sz w:val="10"/>
      </w:rPr>
    </w:pPr>
  </w:p>
  <w:p w:rsidR="00953841" w:rsidRDefault="00953841">
    <w:pPr>
      <w:tabs>
        <w:tab w:val="left" w:pos="0"/>
      </w:tabs>
      <w:suppressAutoHyphens/>
    </w:pPr>
  </w:p>
  <w:p w:rsidR="00953841" w:rsidRDefault="007E0C8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53841" w:rsidRDefault="00953841">
                          <w:pPr>
                            <w:tabs>
                              <w:tab w:val="center" w:pos="4650"/>
                            </w:tabs>
                            <w:suppressAutoHyphens/>
                            <w:jc w:val="both"/>
                          </w:pPr>
                          <w:r>
                            <w:tab/>
                          </w:r>
                          <w:r>
                            <w:fldChar w:fldCharType="begin"/>
                          </w:r>
                          <w:r>
                            <w:instrText>page \* arabic</w:instrText>
                          </w:r>
                          <w:r>
                            <w:fldChar w:fldCharType="separate"/>
                          </w:r>
                          <w:r w:rsidR="007E0C8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53841" w:rsidRDefault="00953841">
                    <w:pPr>
                      <w:tabs>
                        <w:tab w:val="center" w:pos="4650"/>
                      </w:tabs>
                      <w:suppressAutoHyphens/>
                      <w:jc w:val="both"/>
                    </w:pPr>
                    <w:r>
                      <w:tab/>
                    </w:r>
                    <w:r>
                      <w:fldChar w:fldCharType="begin"/>
                    </w:r>
                    <w:r>
                      <w:instrText>page \* arabic</w:instrText>
                    </w:r>
                    <w:r>
                      <w:fldChar w:fldCharType="separate"/>
                    </w:r>
                    <w:r w:rsidR="007E0C8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69" w:rsidRDefault="00951B69">
      <w:r>
        <w:separator/>
      </w:r>
    </w:p>
  </w:footnote>
  <w:footnote w:type="continuationSeparator" w:id="0">
    <w:p w:rsidR="00951B69" w:rsidRDefault="00951B69">
      <w:r>
        <w:continuationSeparator/>
      </w:r>
    </w:p>
  </w:footnote>
  <w:footnote w:id="1">
    <w:p w:rsidR="00953841" w:rsidRDefault="00953841">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53841" w:rsidRDefault="00953841">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953841" w:rsidRDefault="00953841" w:rsidP="001D655B">
      <w:pPr>
        <w:pStyle w:val="FootnoteText"/>
      </w:pPr>
      <w:r>
        <w:rPr>
          <w:rStyle w:val="FootnoteReference"/>
        </w:rPr>
        <w:footnoteRef/>
      </w:r>
      <w:r>
        <w:t xml:space="preserve"> </w:t>
      </w:r>
      <w:r>
        <w:rPr>
          <w:rFonts w:ascii="Times New Roman" w:hAnsi="Times New Roman"/>
        </w:rPr>
        <w:t>Many institutions report more than once a year, therefore a single respondent could be counted under several of the required regulatory reporting areas.  As a result, the unduplicated number of respondents is a number smaller than the sum of the sub-totals – see below.</w:t>
      </w:r>
    </w:p>
  </w:footnote>
  <w:footnote w:id="4">
    <w:p w:rsidR="00953841" w:rsidRDefault="00953841" w:rsidP="001D655B">
      <w:pPr>
        <w:pStyle w:val="FootnoteText"/>
      </w:pPr>
    </w:p>
  </w:footnote>
  <w:footnote w:id="5">
    <w:p w:rsidR="00953841" w:rsidRDefault="00953841" w:rsidP="001D655B">
      <w:pPr>
        <w:pStyle w:val="FootnoteText"/>
        <w:rPr>
          <w:rFonts w:ascii="Times New Roman" w:hAnsi="Times New Roman"/>
          <w:sz w:val="20"/>
        </w:rPr>
      </w:pPr>
      <w:r>
        <w:rPr>
          <w:rFonts w:ascii="Times New Roman" w:hAnsi="Times New Roman"/>
          <w:sz w:val="20"/>
        </w:rPr>
        <w:t>2 The unduplicated number of Respondents.</w:t>
      </w:r>
    </w:p>
  </w:footnote>
  <w:footnote w:id="6">
    <w:p w:rsidR="00953841" w:rsidRDefault="00953841" w:rsidP="001D65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41" w:rsidRDefault="00953841">
    <w:pPr>
      <w:pStyle w:val="Header"/>
      <w:rPr>
        <w:rFonts w:ascii="Times New Roman" w:hAnsi="Times New Roman"/>
        <w:sz w:val="20"/>
      </w:rPr>
    </w:pPr>
    <w:r>
      <w:rPr>
        <w:rFonts w:ascii="Times New Roman" w:hAnsi="Times New Roman"/>
        <w:sz w:val="20"/>
      </w:rPr>
      <w:t xml:space="preserve">ICRAS Tracking and OMB Number: (1393) 1845-0012                                         Revised: </w:t>
    </w:r>
    <w:r w:rsidR="00680544">
      <w:rPr>
        <w:rFonts w:ascii="Times New Roman" w:hAnsi="Times New Roman"/>
        <w:sz w:val="20"/>
      </w:rPr>
      <w:t>11/</w:t>
    </w:r>
    <w:r w:rsidR="00C8043F">
      <w:rPr>
        <w:rFonts w:ascii="Times New Roman" w:hAnsi="Times New Roman"/>
        <w:sz w:val="20"/>
      </w:rPr>
      <w:t>8</w:t>
    </w:r>
    <w:r w:rsidR="00680544">
      <w:rPr>
        <w:rFonts w:ascii="Times New Roman" w:hAnsi="Times New Roman"/>
        <w:sz w:val="20"/>
      </w:rPr>
      <w:t>/2013</w:t>
    </w:r>
  </w:p>
  <w:p w:rsidR="00953841" w:rsidRPr="00386054" w:rsidRDefault="00953841">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971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BC79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085621C"/>
    <w:multiLevelType w:val="hybridMultilevel"/>
    <w:tmpl w:val="F65EF9BA"/>
    <w:lvl w:ilvl="0" w:tplc="00984322">
      <w:start w:val="2"/>
      <w:numFmt w:val="upperLetter"/>
      <w:pStyle w:val="Heading1"/>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7BB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AFA0AD1"/>
    <w:multiLevelType w:val="multilevel"/>
    <w:tmpl w:val="4C20C61C"/>
    <w:lvl w:ilvl="0">
      <w:start w:val="600"/>
      <w:numFmt w:val="decimal"/>
      <w:lvlText w:val="%1"/>
      <w:lvlJc w:val="left"/>
      <w:pPr>
        <w:tabs>
          <w:tab w:val="num" w:pos="975"/>
        </w:tabs>
        <w:ind w:left="975" w:hanging="975"/>
      </w:pPr>
      <w:rPr>
        <w:rFonts w:hint="default"/>
      </w:rPr>
    </w:lvl>
    <w:lvl w:ilvl="1">
      <w:start w:val="20"/>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2"/>
  </w:num>
  <w:num w:numId="5">
    <w:abstractNumId w:val="1"/>
  </w:num>
  <w:num w:numId="6">
    <w:abstractNumId w:val="2"/>
  </w:num>
  <w:num w:numId="7">
    <w:abstractNumId w:val="10"/>
  </w:num>
  <w:num w:numId="8">
    <w:abstractNumId w:val="9"/>
  </w:num>
  <w:num w:numId="9">
    <w:abstractNumId w:val="11"/>
  </w:num>
  <w:num w:numId="10">
    <w:abstractNumId w:val="13"/>
  </w:num>
  <w:num w:numId="11">
    <w:abstractNumId w:val="5"/>
  </w:num>
  <w:num w:numId="12">
    <w:abstractNumId w:val="8"/>
  </w:num>
  <w:num w:numId="13">
    <w:abstractNumId w:val="4"/>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144F"/>
    <w:rsid w:val="000909E0"/>
    <w:rsid w:val="000B14D8"/>
    <w:rsid w:val="000D6AC7"/>
    <w:rsid w:val="000E592D"/>
    <w:rsid w:val="000F175B"/>
    <w:rsid w:val="0014500F"/>
    <w:rsid w:val="00153F20"/>
    <w:rsid w:val="001743A5"/>
    <w:rsid w:val="0018279C"/>
    <w:rsid w:val="001D655B"/>
    <w:rsid w:val="00204CB3"/>
    <w:rsid w:val="002254FF"/>
    <w:rsid w:val="002473CE"/>
    <w:rsid w:val="002B0412"/>
    <w:rsid w:val="002B0A95"/>
    <w:rsid w:val="002C656F"/>
    <w:rsid w:val="002E4BB4"/>
    <w:rsid w:val="00386054"/>
    <w:rsid w:val="003C29C2"/>
    <w:rsid w:val="003C7F70"/>
    <w:rsid w:val="003E285A"/>
    <w:rsid w:val="003E623B"/>
    <w:rsid w:val="003F7936"/>
    <w:rsid w:val="00441889"/>
    <w:rsid w:val="00462824"/>
    <w:rsid w:val="00480DDB"/>
    <w:rsid w:val="004A2DBB"/>
    <w:rsid w:val="004E23D9"/>
    <w:rsid w:val="004F692A"/>
    <w:rsid w:val="00512598"/>
    <w:rsid w:val="00563CCF"/>
    <w:rsid w:val="00581118"/>
    <w:rsid w:val="00587243"/>
    <w:rsid w:val="005958DC"/>
    <w:rsid w:val="005A1566"/>
    <w:rsid w:val="005A1DFC"/>
    <w:rsid w:val="005A4185"/>
    <w:rsid w:val="005A59D3"/>
    <w:rsid w:val="005C6F49"/>
    <w:rsid w:val="005D2E7B"/>
    <w:rsid w:val="005F2002"/>
    <w:rsid w:val="006303E3"/>
    <w:rsid w:val="0063484C"/>
    <w:rsid w:val="00654305"/>
    <w:rsid w:val="00667C85"/>
    <w:rsid w:val="006737C0"/>
    <w:rsid w:val="00677BC2"/>
    <w:rsid w:val="00680544"/>
    <w:rsid w:val="006A1DD4"/>
    <w:rsid w:val="006A3B5C"/>
    <w:rsid w:val="006C01D0"/>
    <w:rsid w:val="006C30F0"/>
    <w:rsid w:val="006C3FA0"/>
    <w:rsid w:val="007464CD"/>
    <w:rsid w:val="007661D9"/>
    <w:rsid w:val="007812A4"/>
    <w:rsid w:val="007B14E8"/>
    <w:rsid w:val="007C12B5"/>
    <w:rsid w:val="007E0C8B"/>
    <w:rsid w:val="007E77FA"/>
    <w:rsid w:val="008011B6"/>
    <w:rsid w:val="008173F9"/>
    <w:rsid w:val="008D2B8B"/>
    <w:rsid w:val="008F3062"/>
    <w:rsid w:val="00921CB1"/>
    <w:rsid w:val="00951B69"/>
    <w:rsid w:val="00953841"/>
    <w:rsid w:val="009544A3"/>
    <w:rsid w:val="009949A8"/>
    <w:rsid w:val="00A01331"/>
    <w:rsid w:val="00A41F2C"/>
    <w:rsid w:val="00A87940"/>
    <w:rsid w:val="00A94CCB"/>
    <w:rsid w:val="00AB0D7D"/>
    <w:rsid w:val="00AE5734"/>
    <w:rsid w:val="00B23EC0"/>
    <w:rsid w:val="00BC244F"/>
    <w:rsid w:val="00BD001D"/>
    <w:rsid w:val="00BD1325"/>
    <w:rsid w:val="00BF5BCD"/>
    <w:rsid w:val="00C641E9"/>
    <w:rsid w:val="00C723C2"/>
    <w:rsid w:val="00C8043F"/>
    <w:rsid w:val="00CE72AF"/>
    <w:rsid w:val="00D115BF"/>
    <w:rsid w:val="00D269C3"/>
    <w:rsid w:val="00D54DFD"/>
    <w:rsid w:val="00DC7DB3"/>
    <w:rsid w:val="00E023B7"/>
    <w:rsid w:val="00E07290"/>
    <w:rsid w:val="00E407A4"/>
    <w:rsid w:val="00EA3C1F"/>
    <w:rsid w:val="00EC2CC4"/>
    <w:rsid w:val="00EE6E1B"/>
    <w:rsid w:val="00EF7FF5"/>
    <w:rsid w:val="00F313DF"/>
    <w:rsid w:val="00F92FDC"/>
    <w:rsid w:val="00FE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FE2118"/>
    <w:pPr>
      <w:keepNext/>
      <w:numPr>
        <w:numId w:val="14"/>
      </w:numPr>
      <w:tabs>
        <w:tab w:val="left" w:pos="-720"/>
      </w:tabs>
      <w:suppressAutoHyphens/>
      <w:outlineLvl w:val="0"/>
    </w:pPr>
    <w:rPr>
      <w:rFonts w:ascii="Times New Roman" w:hAnsi="Times New Roman"/>
      <w:b/>
    </w:rPr>
  </w:style>
  <w:style w:type="paragraph" w:styleId="Heading2">
    <w:name w:val="heading 2"/>
    <w:basedOn w:val="Normal"/>
    <w:next w:val="Normal"/>
    <w:link w:val="Heading2Char"/>
    <w:semiHidden/>
    <w:unhideWhenUsed/>
    <w:qFormat/>
    <w:locked/>
    <w:rsid w:val="001D65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customStyle="1" w:styleId="Heading1Char">
    <w:name w:val="Heading 1 Char"/>
    <w:basedOn w:val="DefaultParagraphFont"/>
    <w:link w:val="Heading1"/>
    <w:rsid w:val="00FE2118"/>
    <w:rPr>
      <w:b/>
      <w:sz w:val="24"/>
      <w:szCs w:val="20"/>
    </w:rPr>
  </w:style>
  <w:style w:type="character" w:customStyle="1" w:styleId="Heading2Char">
    <w:name w:val="Heading 2 Char"/>
    <w:basedOn w:val="DefaultParagraphFont"/>
    <w:link w:val="Heading2"/>
    <w:semiHidden/>
    <w:rsid w:val="001D655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D655B"/>
    <w:pPr>
      <w:spacing w:after="120"/>
    </w:pPr>
  </w:style>
  <w:style w:type="character" w:customStyle="1" w:styleId="BodyTextChar">
    <w:name w:val="Body Text Char"/>
    <w:basedOn w:val="DefaultParagraphFont"/>
    <w:link w:val="BodyText"/>
    <w:uiPriority w:val="99"/>
    <w:semiHidden/>
    <w:rsid w:val="001D655B"/>
    <w:rPr>
      <w:rFonts w:ascii="Courier" w:hAnsi="Courier"/>
      <w:sz w:val="24"/>
      <w:szCs w:val="20"/>
    </w:rPr>
  </w:style>
  <w:style w:type="paragraph" w:styleId="BodyTextIndent2">
    <w:name w:val="Body Text Indent 2"/>
    <w:basedOn w:val="Normal"/>
    <w:link w:val="BodyTextIndent2Char"/>
    <w:uiPriority w:val="99"/>
    <w:semiHidden/>
    <w:unhideWhenUsed/>
    <w:rsid w:val="001D655B"/>
    <w:pPr>
      <w:spacing w:after="120" w:line="480" w:lineRule="auto"/>
      <w:ind w:left="360"/>
    </w:pPr>
  </w:style>
  <w:style w:type="character" w:customStyle="1" w:styleId="BodyTextIndent2Char">
    <w:name w:val="Body Text Indent 2 Char"/>
    <w:basedOn w:val="DefaultParagraphFont"/>
    <w:link w:val="BodyTextIndent2"/>
    <w:uiPriority w:val="99"/>
    <w:semiHidden/>
    <w:rsid w:val="001D655B"/>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FE2118"/>
    <w:pPr>
      <w:keepNext/>
      <w:numPr>
        <w:numId w:val="14"/>
      </w:numPr>
      <w:tabs>
        <w:tab w:val="left" w:pos="-720"/>
      </w:tabs>
      <w:suppressAutoHyphens/>
      <w:outlineLvl w:val="0"/>
    </w:pPr>
    <w:rPr>
      <w:rFonts w:ascii="Times New Roman" w:hAnsi="Times New Roman"/>
      <w:b/>
    </w:rPr>
  </w:style>
  <w:style w:type="paragraph" w:styleId="Heading2">
    <w:name w:val="heading 2"/>
    <w:basedOn w:val="Normal"/>
    <w:next w:val="Normal"/>
    <w:link w:val="Heading2Char"/>
    <w:semiHidden/>
    <w:unhideWhenUsed/>
    <w:qFormat/>
    <w:locked/>
    <w:rsid w:val="001D65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customStyle="1" w:styleId="Heading1Char">
    <w:name w:val="Heading 1 Char"/>
    <w:basedOn w:val="DefaultParagraphFont"/>
    <w:link w:val="Heading1"/>
    <w:rsid w:val="00FE2118"/>
    <w:rPr>
      <w:b/>
      <w:sz w:val="24"/>
      <w:szCs w:val="20"/>
    </w:rPr>
  </w:style>
  <w:style w:type="character" w:customStyle="1" w:styleId="Heading2Char">
    <w:name w:val="Heading 2 Char"/>
    <w:basedOn w:val="DefaultParagraphFont"/>
    <w:link w:val="Heading2"/>
    <w:semiHidden/>
    <w:rsid w:val="001D655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D655B"/>
    <w:pPr>
      <w:spacing w:after="120"/>
    </w:pPr>
  </w:style>
  <w:style w:type="character" w:customStyle="1" w:styleId="BodyTextChar">
    <w:name w:val="Body Text Char"/>
    <w:basedOn w:val="DefaultParagraphFont"/>
    <w:link w:val="BodyText"/>
    <w:uiPriority w:val="99"/>
    <w:semiHidden/>
    <w:rsid w:val="001D655B"/>
    <w:rPr>
      <w:rFonts w:ascii="Courier" w:hAnsi="Courier"/>
      <w:sz w:val="24"/>
      <w:szCs w:val="20"/>
    </w:rPr>
  </w:style>
  <w:style w:type="paragraph" w:styleId="BodyTextIndent2">
    <w:name w:val="Body Text Indent 2"/>
    <w:basedOn w:val="Normal"/>
    <w:link w:val="BodyTextIndent2Char"/>
    <w:uiPriority w:val="99"/>
    <w:semiHidden/>
    <w:unhideWhenUsed/>
    <w:rsid w:val="001D655B"/>
    <w:pPr>
      <w:spacing w:after="120" w:line="480" w:lineRule="auto"/>
      <w:ind w:left="360"/>
    </w:pPr>
  </w:style>
  <w:style w:type="character" w:customStyle="1" w:styleId="BodyTextIndent2Char">
    <w:name w:val="Body Text Indent 2 Char"/>
    <w:basedOn w:val="DefaultParagraphFont"/>
    <w:link w:val="BodyTextIndent2"/>
    <w:uiPriority w:val="99"/>
    <w:semiHidden/>
    <w:rsid w:val="001D655B"/>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4793">
      <w:bodyDiv w:val="1"/>
      <w:marLeft w:val="0"/>
      <w:marRight w:val="0"/>
      <w:marTop w:val="0"/>
      <w:marBottom w:val="0"/>
      <w:divBdr>
        <w:top w:val="none" w:sz="0" w:space="0" w:color="auto"/>
        <w:left w:val="none" w:sz="0" w:space="0" w:color="auto"/>
        <w:bottom w:val="none" w:sz="0" w:space="0" w:color="auto"/>
        <w:right w:val="none" w:sz="0" w:space="0" w:color="auto"/>
      </w:divBdr>
    </w:div>
    <w:div w:id="213990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C0C2-3CE8-4755-898E-A0259924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2013-08-30T13:35:00Z</cp:lastPrinted>
  <dcterms:created xsi:type="dcterms:W3CDTF">2013-11-15T14:16:00Z</dcterms:created>
  <dcterms:modified xsi:type="dcterms:W3CDTF">2013-11-15T14:16:00Z</dcterms:modified>
</cp:coreProperties>
</file>