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8963D" w14:textId="77777777" w:rsidR="00324AE8" w:rsidRPr="00F9190E" w:rsidRDefault="00324AE8" w:rsidP="00F932EE">
      <w:pPr>
        <w:spacing w:line="240" w:lineRule="auto"/>
        <w:rPr>
          <w:rFonts w:asciiTheme="minorHAnsi" w:hAnsiTheme="minorHAnsi" w:cstheme="minorHAnsi"/>
          <w:szCs w:val="24"/>
        </w:rPr>
      </w:pPr>
      <w:bookmarkStart w:id="0" w:name="_GoBack"/>
      <w:bookmarkEnd w:id="0"/>
      <w:r w:rsidRPr="00F9190E">
        <w:rPr>
          <w:rFonts w:asciiTheme="minorHAnsi" w:hAnsiTheme="minorHAnsi" w:cstheme="minorHAnsi"/>
          <w:b/>
          <w:szCs w:val="24"/>
        </w:rPr>
        <w:t>SUPPORTING STATEMENT</w:t>
      </w:r>
    </w:p>
    <w:p w14:paraId="26E87DB9" w14:textId="77777777" w:rsidR="00F041A5" w:rsidRPr="00F9190E" w:rsidRDefault="00901DA9" w:rsidP="0026750E">
      <w:pPr>
        <w:spacing w:line="240" w:lineRule="auto"/>
        <w:rPr>
          <w:rFonts w:asciiTheme="minorHAnsi" w:hAnsiTheme="minorHAnsi" w:cstheme="minorHAnsi"/>
          <w:b/>
          <w:szCs w:val="24"/>
        </w:rPr>
      </w:pPr>
      <w:r w:rsidRPr="00F9190E">
        <w:rPr>
          <w:rFonts w:asciiTheme="minorHAnsi" w:hAnsiTheme="minorHAnsi" w:cstheme="minorHAnsi"/>
          <w:b/>
          <w:szCs w:val="24"/>
        </w:rPr>
        <w:t>RIN 1840-</w:t>
      </w:r>
      <w:r w:rsidR="00F9190E" w:rsidRPr="00F9190E">
        <w:rPr>
          <w:rFonts w:asciiTheme="minorHAnsi" w:hAnsiTheme="minorHAnsi" w:cstheme="minorHAnsi"/>
          <w:b/>
          <w:szCs w:val="24"/>
        </w:rPr>
        <w:t>AD11</w:t>
      </w:r>
      <w:r w:rsidR="00D86CCA" w:rsidRPr="00F9190E">
        <w:rPr>
          <w:rFonts w:asciiTheme="minorHAnsi" w:hAnsiTheme="minorHAnsi" w:cstheme="minorHAnsi"/>
          <w:b/>
          <w:szCs w:val="24"/>
        </w:rPr>
        <w:t xml:space="preserve"> </w:t>
      </w:r>
    </w:p>
    <w:p w14:paraId="402BFAB3" w14:textId="77777777" w:rsidR="005E293A" w:rsidRPr="00F9190E" w:rsidRDefault="00D86CCA" w:rsidP="0026750E">
      <w:pPr>
        <w:spacing w:line="240" w:lineRule="auto"/>
        <w:rPr>
          <w:rFonts w:asciiTheme="minorHAnsi" w:hAnsiTheme="minorHAnsi" w:cstheme="minorHAnsi"/>
          <w:b/>
          <w:szCs w:val="24"/>
        </w:rPr>
      </w:pPr>
      <w:r w:rsidRPr="00F9190E">
        <w:rPr>
          <w:rFonts w:asciiTheme="minorHAnsi" w:hAnsiTheme="minorHAnsi" w:cstheme="minorHAnsi"/>
          <w:b/>
          <w:szCs w:val="24"/>
        </w:rPr>
        <w:t>Justification</w:t>
      </w:r>
    </w:p>
    <w:p w14:paraId="723D6C5B" w14:textId="77777777" w:rsidR="00C31230" w:rsidRPr="00F9190E" w:rsidRDefault="00C31230" w:rsidP="0026750E">
      <w:pPr>
        <w:pStyle w:val="NoSpacing"/>
        <w:numPr>
          <w:ilvl w:val="0"/>
          <w:numId w:val="16"/>
        </w:numPr>
        <w:ind w:left="0" w:firstLine="0"/>
        <w:rPr>
          <w:rFonts w:asciiTheme="minorHAnsi" w:hAnsiTheme="minorHAnsi" w:cstheme="minorHAnsi"/>
          <w:b/>
        </w:rPr>
      </w:pPr>
      <w:r w:rsidRPr="00F9190E">
        <w:rPr>
          <w:rFonts w:asciiTheme="minorHAnsi" w:hAnsiTheme="minorHAnsi" w:cstheme="minorHAnsi"/>
          <w:b/>
        </w:rPr>
        <w:t xml:space="preserve">Explain the circumstances that make the collection of information necessary.  Identify any legal or administrative requirements that necessitate the collection.  Attach a copy of the </w:t>
      </w:r>
      <w:proofErr w:type="gramStart"/>
      <w:r w:rsidRPr="00F9190E">
        <w:rPr>
          <w:rFonts w:asciiTheme="minorHAnsi" w:hAnsiTheme="minorHAnsi" w:cstheme="minorHAnsi"/>
          <w:b/>
        </w:rPr>
        <w:t>appropriate</w:t>
      </w:r>
      <w:proofErr w:type="gramEnd"/>
      <w:r w:rsidRPr="00F9190E">
        <w:rPr>
          <w:rFonts w:asciiTheme="minorHAnsi" w:hAnsiTheme="minorHAnsi" w:cstheme="minorHAnsi"/>
          <w:b/>
        </w:rPr>
        <w:t xml:space="preserve"> section of each statute and regulation mandating or authorizing the collection of information.</w:t>
      </w:r>
    </w:p>
    <w:p w14:paraId="3972DC44" w14:textId="77777777" w:rsidR="00B83634" w:rsidRPr="00F9190E" w:rsidRDefault="00B83634" w:rsidP="0026750E">
      <w:pPr>
        <w:tabs>
          <w:tab w:val="left" w:pos="0"/>
        </w:tabs>
        <w:suppressAutoHyphens/>
        <w:spacing w:line="240" w:lineRule="auto"/>
        <w:rPr>
          <w:rFonts w:asciiTheme="minorHAnsi" w:hAnsiTheme="minorHAnsi" w:cstheme="minorHAnsi"/>
          <w:szCs w:val="24"/>
        </w:rPr>
      </w:pPr>
    </w:p>
    <w:p w14:paraId="0678E443" w14:textId="77777777" w:rsidR="00DF0F79" w:rsidRDefault="00DF0F79" w:rsidP="00DF0F79">
      <w:pPr>
        <w:tabs>
          <w:tab w:val="left" w:pos="0"/>
        </w:tabs>
        <w:suppressAutoHyphens/>
        <w:spacing w:line="240" w:lineRule="auto"/>
        <w:rPr>
          <w:rFonts w:asciiTheme="minorHAnsi" w:hAnsiTheme="minorHAnsi" w:cstheme="minorHAnsi"/>
          <w:szCs w:val="24"/>
        </w:rPr>
      </w:pPr>
      <w:r w:rsidRPr="00DF0F79">
        <w:rPr>
          <w:rFonts w:asciiTheme="minorHAnsi" w:hAnsiTheme="minorHAnsi" w:cstheme="minorHAnsi"/>
          <w:szCs w:val="24"/>
        </w:rPr>
        <w:t>On July 6, 2012, the President signed Moving Ahead for Progress in the 21st Century Act (MAP-21) into law.  MAP-21 included two changes to the William D.  Ford Federal Direct Loan (Direct Loan) Program.  Specifically, MAP-21 amended section 455 of the Higher Education Act of 1954,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14:paraId="66D9A3B9" w14:textId="00932680" w:rsidR="00F644D7" w:rsidRDefault="00F644D7" w:rsidP="00DF0F79">
      <w:pPr>
        <w:tabs>
          <w:tab w:val="left" w:pos="0"/>
        </w:tabs>
        <w:suppressAutoHyphens/>
        <w:spacing w:line="240" w:lineRule="auto"/>
        <w:rPr>
          <w:rFonts w:asciiTheme="minorHAnsi" w:hAnsiTheme="minorHAnsi" w:cstheme="minorHAnsi"/>
          <w:szCs w:val="24"/>
        </w:rPr>
      </w:pPr>
      <w:r>
        <w:rPr>
          <w:rFonts w:asciiTheme="minorHAnsi" w:hAnsiTheme="minorHAnsi" w:cstheme="minorHAnsi"/>
          <w:szCs w:val="24"/>
        </w:rPr>
        <w:t xml:space="preserve">The Department </w:t>
      </w:r>
      <w:r w:rsidR="00996C17">
        <w:rPr>
          <w:rFonts w:asciiTheme="minorHAnsi" w:hAnsiTheme="minorHAnsi" w:cstheme="minorHAnsi"/>
          <w:szCs w:val="24"/>
        </w:rPr>
        <w:t>published</w:t>
      </w:r>
      <w:r>
        <w:rPr>
          <w:rFonts w:asciiTheme="minorHAnsi" w:hAnsiTheme="minorHAnsi" w:cstheme="minorHAnsi"/>
          <w:szCs w:val="24"/>
        </w:rPr>
        <w:t xml:space="preserve"> interim final regulation implementing the changes to the Direct Loan Program made by MAP-21.  These regulations contain</w:t>
      </w:r>
      <w:r w:rsidR="001A52B9">
        <w:rPr>
          <w:rFonts w:asciiTheme="minorHAnsi" w:hAnsiTheme="minorHAnsi" w:cstheme="minorHAnsi"/>
          <w:szCs w:val="24"/>
        </w:rPr>
        <w:t>ed</w:t>
      </w:r>
      <w:r>
        <w:rPr>
          <w:rFonts w:asciiTheme="minorHAnsi" w:hAnsiTheme="minorHAnsi" w:cstheme="minorHAnsi"/>
          <w:szCs w:val="24"/>
        </w:rPr>
        <w:t xml:space="preserve"> information collection requirements of borrowers an</w:t>
      </w:r>
      <w:r w:rsidR="00996C17">
        <w:rPr>
          <w:rFonts w:asciiTheme="minorHAnsi" w:hAnsiTheme="minorHAnsi" w:cstheme="minorHAnsi"/>
          <w:szCs w:val="24"/>
        </w:rPr>
        <w:t>d</w:t>
      </w:r>
      <w:r w:rsidR="001A52B9">
        <w:rPr>
          <w:rFonts w:asciiTheme="minorHAnsi" w:hAnsiTheme="minorHAnsi" w:cstheme="minorHAnsi"/>
          <w:szCs w:val="24"/>
        </w:rPr>
        <w:t xml:space="preserve"> institutions, which were previously approved on an emergency basis, and for which approval is now sought on a regular basis.  No changes have been made to the collection since it was approved on an emergency basis.</w:t>
      </w:r>
    </w:p>
    <w:p w14:paraId="2551951B" w14:textId="77777777" w:rsidR="005E293A" w:rsidRPr="00C31E5B" w:rsidRDefault="00C31230" w:rsidP="0026750E">
      <w:pPr>
        <w:pStyle w:val="ListParagraph"/>
        <w:numPr>
          <w:ilvl w:val="0"/>
          <w:numId w:val="16"/>
        </w:numPr>
        <w:spacing w:line="240" w:lineRule="auto"/>
        <w:ind w:left="0" w:firstLine="0"/>
        <w:rPr>
          <w:rFonts w:asciiTheme="minorHAnsi" w:hAnsiTheme="minorHAnsi" w:cstheme="minorHAnsi"/>
        </w:rPr>
      </w:pPr>
      <w:r w:rsidRPr="00F9190E">
        <w:rPr>
          <w:rFonts w:asciiTheme="minorHAnsi" w:hAnsiTheme="minorHAnsi" w:cstheme="minorHAnsi"/>
          <w:b/>
          <w:szCs w:val="24"/>
        </w:rPr>
        <w:t>Indicate how, by whom, and for what purpose the information is to be used.  Except for a new collection, indicate the actual use the agency has made of the information received from the current collection.</w:t>
      </w:r>
    </w:p>
    <w:p w14:paraId="45D1E441" w14:textId="77777777" w:rsidR="00C31E5B" w:rsidRPr="00F9190E" w:rsidRDefault="00E955EF" w:rsidP="00C31E5B">
      <w:pPr>
        <w:pStyle w:val="ListParagraph"/>
        <w:spacing w:line="240" w:lineRule="auto"/>
        <w:ind w:left="0"/>
        <w:rPr>
          <w:rFonts w:asciiTheme="minorHAnsi" w:hAnsiTheme="minorHAnsi" w:cstheme="minorHAnsi"/>
        </w:rPr>
      </w:pPr>
      <w:r>
        <w:rPr>
          <w:rFonts w:asciiTheme="minorHAnsi" w:hAnsiTheme="minorHAnsi" w:cstheme="minorHAnsi"/>
        </w:rPr>
        <w:t xml:space="preserve">The Department will use the additional information reported to the COD System to determine whether the borrower has remaining eligibility for Direct Subsidized Loans under the new regulations at </w:t>
      </w:r>
      <w:r w:rsidRPr="00E955EF">
        <w:rPr>
          <w:rFonts w:asciiTheme="minorHAnsi" w:hAnsiTheme="minorHAnsi" w:cstheme="minorHAnsi"/>
          <w:szCs w:val="24"/>
        </w:rPr>
        <w:t>§685.200(f)</w:t>
      </w:r>
      <w:r>
        <w:rPr>
          <w:rFonts w:asciiTheme="minorHAnsi" w:hAnsiTheme="minorHAnsi" w:cstheme="minorHAnsi"/>
          <w:szCs w:val="24"/>
        </w:rPr>
        <w:t>.  Similarly, the Department will use the additional information reported to NSLDS to determine whether the borrower will become responsible for accruing interest on previously received Direct Subsidized Loans.</w:t>
      </w:r>
    </w:p>
    <w:p w14:paraId="202E7B57" w14:textId="77777777" w:rsidR="00C31230" w:rsidRDefault="00C31230" w:rsidP="0026750E">
      <w:pPr>
        <w:pStyle w:val="ListParagraph"/>
        <w:spacing w:line="240" w:lineRule="auto"/>
        <w:ind w:left="0"/>
        <w:rPr>
          <w:rFonts w:asciiTheme="minorHAnsi" w:hAnsiTheme="minorHAnsi" w:cstheme="minorHAnsi"/>
          <w:b/>
          <w:szCs w:val="24"/>
        </w:rPr>
      </w:pPr>
      <w:r w:rsidRPr="00F9190E">
        <w:rPr>
          <w:rFonts w:asciiTheme="minorHAnsi" w:hAnsiTheme="minorHAnsi" w:cstheme="minorHAnsi"/>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F9190E">
        <w:rPr>
          <w:rFonts w:asciiTheme="minorHAnsi" w:hAnsiTheme="minorHAnsi" w:cstheme="minorHAnsi"/>
          <w:b/>
          <w:szCs w:val="24"/>
        </w:rPr>
        <w:lastRenderedPageBreak/>
        <w:t>the decision of adopting this means of collection.  Also describe any consideration given to using technology to reduce burden.</w:t>
      </w:r>
    </w:p>
    <w:p w14:paraId="323E7766" w14:textId="77777777" w:rsidR="00E955EF" w:rsidRPr="00280768" w:rsidRDefault="00280768" w:rsidP="0026750E">
      <w:pPr>
        <w:pStyle w:val="ListParagraph"/>
        <w:spacing w:line="240" w:lineRule="auto"/>
        <w:ind w:left="0"/>
        <w:rPr>
          <w:rFonts w:asciiTheme="minorHAnsi" w:hAnsiTheme="minorHAnsi" w:cstheme="minorHAnsi"/>
          <w:szCs w:val="24"/>
        </w:rPr>
      </w:pPr>
      <w:r>
        <w:rPr>
          <w:rFonts w:asciiTheme="minorHAnsi" w:hAnsiTheme="minorHAnsi" w:cstheme="minorHAnsi"/>
          <w:szCs w:val="24"/>
        </w:rPr>
        <w:t>All information being collected as part of this collection is only submitted by institutions electronically, and in a highly automated format.</w:t>
      </w:r>
    </w:p>
    <w:p w14:paraId="21773FC6" w14:textId="77777777" w:rsidR="005E293A" w:rsidRDefault="00C31230" w:rsidP="0026750E">
      <w:pPr>
        <w:tabs>
          <w:tab w:val="left" w:pos="-720"/>
        </w:tabs>
        <w:suppressAutoHyphens/>
        <w:spacing w:line="240" w:lineRule="auto"/>
        <w:rPr>
          <w:rFonts w:asciiTheme="minorHAnsi" w:hAnsiTheme="minorHAnsi" w:cstheme="minorHAnsi"/>
          <w:b/>
          <w:szCs w:val="24"/>
        </w:rPr>
      </w:pPr>
      <w:r w:rsidRPr="00F9190E">
        <w:rPr>
          <w:rFonts w:asciiTheme="minorHAnsi" w:hAnsiTheme="minorHAnsi" w:cstheme="minorHAnsi"/>
          <w:b/>
          <w:szCs w:val="24"/>
        </w:rPr>
        <w:t>4.  Describe efforts to identify duplication.  Show specifically why any similar information already available cannot be used or modified for use for the purposes described in Item 2 above.</w:t>
      </w:r>
    </w:p>
    <w:p w14:paraId="76D65FD9" w14:textId="77777777" w:rsidR="00280768" w:rsidRPr="00280768" w:rsidRDefault="00280768" w:rsidP="0026750E">
      <w:pPr>
        <w:tabs>
          <w:tab w:val="left" w:pos="-720"/>
        </w:tabs>
        <w:suppressAutoHyphens/>
        <w:spacing w:line="240" w:lineRule="auto"/>
        <w:rPr>
          <w:rFonts w:asciiTheme="minorHAnsi" w:hAnsiTheme="minorHAnsi" w:cstheme="minorHAnsi"/>
          <w:szCs w:val="24"/>
        </w:rPr>
      </w:pPr>
      <w:r>
        <w:rPr>
          <w:rFonts w:asciiTheme="minorHAnsi" w:hAnsiTheme="minorHAnsi" w:cstheme="minorHAnsi"/>
          <w:szCs w:val="24"/>
        </w:rPr>
        <w:t xml:space="preserve">Though institutions will be required to report similar information to different systems as a result of this collection, the information, itself, is not duplicative.  </w:t>
      </w:r>
      <w:r w:rsidR="00E33313">
        <w:rPr>
          <w:rFonts w:asciiTheme="minorHAnsi" w:hAnsiTheme="minorHAnsi" w:cstheme="minorHAnsi"/>
          <w:szCs w:val="24"/>
        </w:rPr>
        <w:t>The information that will be reported to the COD System will be true as of the time the Direct Loan is disbursed.  The information that will be reported to NSLDS will be true as of the time that the institution reports on the student’s enrollment.</w:t>
      </w:r>
    </w:p>
    <w:p w14:paraId="19280EA1" w14:textId="77777777" w:rsidR="00E33313" w:rsidRPr="00E33313" w:rsidRDefault="00E33313" w:rsidP="0026750E">
      <w:pPr>
        <w:tabs>
          <w:tab w:val="left" w:pos="-720"/>
        </w:tabs>
        <w:suppressAutoHyphens/>
        <w:spacing w:line="240" w:lineRule="auto"/>
        <w:rPr>
          <w:rFonts w:asciiTheme="minorHAnsi" w:hAnsiTheme="minorHAnsi" w:cstheme="minorHAnsi"/>
          <w:szCs w:val="24"/>
        </w:rPr>
      </w:pPr>
      <w:r w:rsidRPr="00E33313">
        <w:rPr>
          <w:rFonts w:asciiTheme="minorHAnsi" w:hAnsiTheme="minorHAnsi" w:cstheme="minorHAnsi"/>
          <w:szCs w:val="24"/>
        </w:rPr>
        <w:t>This information is not available from other sources.</w:t>
      </w:r>
    </w:p>
    <w:p w14:paraId="30C607A3" w14:textId="77777777" w:rsidR="00C31230" w:rsidRPr="00F9190E" w:rsidRDefault="00C31230" w:rsidP="0026750E">
      <w:pPr>
        <w:tabs>
          <w:tab w:val="left" w:pos="-720"/>
        </w:tabs>
        <w:suppressAutoHyphens/>
        <w:spacing w:line="240" w:lineRule="auto"/>
        <w:rPr>
          <w:rFonts w:asciiTheme="minorHAnsi" w:hAnsiTheme="minorHAnsi" w:cstheme="minorHAnsi"/>
          <w:szCs w:val="24"/>
        </w:rPr>
      </w:pPr>
      <w:r w:rsidRPr="00F9190E">
        <w:rPr>
          <w:rFonts w:asciiTheme="minorHAnsi" w:hAnsiTheme="minorHAnsi" w:cstheme="minorHAnsi"/>
          <w:b/>
          <w:szCs w:val="24"/>
        </w:rPr>
        <w:t>5.  If the collection of information impacts small businesses or other small entities (Item 8b of IC Data Part 2), describe any methods used to minimize burden.</w:t>
      </w:r>
    </w:p>
    <w:p w14:paraId="381FC731" w14:textId="77777777" w:rsidR="00707383" w:rsidRPr="00F9190E" w:rsidRDefault="0070738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No small businesses are impacted by this collection.</w:t>
      </w:r>
    </w:p>
    <w:p w14:paraId="36296783" w14:textId="77777777" w:rsidR="00C31230" w:rsidRPr="00F9190E" w:rsidRDefault="00C31230" w:rsidP="0026750E">
      <w:pPr>
        <w:tabs>
          <w:tab w:val="left" w:pos="-720"/>
        </w:tabs>
        <w:suppressAutoHyphens/>
        <w:spacing w:line="240" w:lineRule="auto"/>
        <w:rPr>
          <w:rFonts w:asciiTheme="minorHAnsi" w:hAnsiTheme="minorHAnsi" w:cstheme="minorHAnsi"/>
          <w:b/>
          <w:szCs w:val="24"/>
        </w:rPr>
      </w:pPr>
      <w:r w:rsidRPr="00F9190E">
        <w:rPr>
          <w:rFonts w:asciiTheme="minorHAnsi" w:hAnsiTheme="minorHAnsi" w:cstheme="minorHAnsi"/>
          <w:b/>
          <w:szCs w:val="24"/>
        </w:rPr>
        <w:t>6.  Describe the consequences to Federal program or policy activities if the collection is not conducted or is conducted less frequently, as well as any technical or legal obstacles to reducing burden.</w:t>
      </w:r>
    </w:p>
    <w:p w14:paraId="6D74D5B8" w14:textId="77777777" w:rsidR="007E6338" w:rsidRPr="007E6338" w:rsidRDefault="007E6338" w:rsidP="0026750E">
      <w:pPr>
        <w:tabs>
          <w:tab w:val="left" w:pos="-720"/>
        </w:tabs>
        <w:suppressAutoHyphens/>
        <w:spacing w:line="240" w:lineRule="auto"/>
        <w:rPr>
          <w:rFonts w:asciiTheme="minorHAnsi" w:hAnsiTheme="minorHAnsi" w:cstheme="minorHAnsi"/>
          <w:szCs w:val="24"/>
        </w:rPr>
      </w:pPr>
      <w:r w:rsidRPr="007E6338">
        <w:rPr>
          <w:rFonts w:asciiTheme="minorHAnsi" w:hAnsiTheme="minorHAnsi" w:cstheme="minorHAnsi"/>
          <w:szCs w:val="24"/>
        </w:rPr>
        <w:t xml:space="preserve">If the information was not collected or was not collected on an as-frequent basis, the Department would be unable to administer the Direct Loan Program </w:t>
      </w:r>
      <w:r>
        <w:rPr>
          <w:rFonts w:asciiTheme="minorHAnsi" w:hAnsiTheme="minorHAnsi" w:cstheme="minorHAnsi"/>
          <w:szCs w:val="24"/>
        </w:rPr>
        <w:t>in a manner that complies with the new statutory provisions created by MAP-21.</w:t>
      </w:r>
    </w:p>
    <w:p w14:paraId="3637D879" w14:textId="77777777" w:rsidR="00C31230" w:rsidRPr="00F9190E" w:rsidRDefault="00C31230" w:rsidP="0026750E">
      <w:pPr>
        <w:tabs>
          <w:tab w:val="left" w:pos="-720"/>
        </w:tabs>
        <w:suppressAutoHyphens/>
        <w:spacing w:line="240" w:lineRule="auto"/>
        <w:rPr>
          <w:rFonts w:asciiTheme="minorHAnsi" w:hAnsiTheme="minorHAnsi" w:cstheme="minorHAnsi"/>
          <w:b/>
          <w:szCs w:val="24"/>
        </w:rPr>
      </w:pPr>
      <w:r w:rsidRPr="00F9190E">
        <w:rPr>
          <w:rFonts w:asciiTheme="minorHAnsi" w:hAnsiTheme="minorHAnsi" w:cstheme="minorHAnsi"/>
          <w:b/>
          <w:szCs w:val="24"/>
        </w:rPr>
        <w:t xml:space="preserve">7. </w:t>
      </w:r>
      <w:r w:rsidR="005E293A" w:rsidRPr="00F9190E">
        <w:rPr>
          <w:rFonts w:asciiTheme="minorHAnsi" w:hAnsiTheme="minorHAnsi" w:cstheme="minorHAnsi"/>
          <w:b/>
          <w:szCs w:val="24"/>
        </w:rPr>
        <w:t>E</w:t>
      </w:r>
      <w:r w:rsidRPr="00F9190E">
        <w:rPr>
          <w:rFonts w:asciiTheme="minorHAnsi" w:hAnsiTheme="minorHAnsi" w:cstheme="minorHAnsi"/>
          <w:b/>
          <w:szCs w:val="24"/>
        </w:rPr>
        <w:t>xplain any special circumstances that would cause an information collection to be conducted in a manner:</w:t>
      </w:r>
    </w:p>
    <w:p w14:paraId="177871B3"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report information to the agency more often than quarterly;</w:t>
      </w:r>
    </w:p>
    <w:p w14:paraId="02AEAE68"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prepare a written response to a collection of information in fewer than 30 days after receipt of it;</w:t>
      </w:r>
    </w:p>
    <w:p w14:paraId="02657F1C"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submit more than an original and two copies of any document;</w:t>
      </w:r>
    </w:p>
    <w:p w14:paraId="0ACA18EA"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respondents to retain records, other than health, medical, government contract, grant-in-aid, or tax records for more than three years;</w:t>
      </w:r>
    </w:p>
    <w:p w14:paraId="062A74EA"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in connection with a statistical survey, that is not designed to produce valid and reliable results than can be generalized to the universe of study;</w:t>
      </w:r>
    </w:p>
    <w:p w14:paraId="25D3F1CC"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requiring the use of a statistical data classification that has not been reviewed and approved by OMB;</w:t>
      </w:r>
    </w:p>
    <w:p w14:paraId="4EEFD6A6" w14:textId="77777777" w:rsidR="00C31230" w:rsidRPr="00F9190E" w:rsidRDefault="00C31230" w:rsidP="0026750E">
      <w:pPr>
        <w:numPr>
          <w:ilvl w:val="0"/>
          <w:numId w:val="8"/>
        </w:numPr>
        <w:tabs>
          <w:tab w:val="left" w:pos="-720"/>
          <w:tab w:val="left" w:pos="1247"/>
        </w:tabs>
        <w:suppressAutoHyphens/>
        <w:spacing w:after="0" w:line="240" w:lineRule="auto"/>
        <w:rPr>
          <w:rFonts w:asciiTheme="minorHAnsi" w:hAnsiTheme="minorHAnsi" w:cstheme="minorHAnsi"/>
          <w:b/>
          <w:szCs w:val="24"/>
        </w:rPr>
      </w:pPr>
      <w:r w:rsidRPr="00F9190E">
        <w:rPr>
          <w:rFonts w:asciiTheme="minorHAnsi" w:hAnsiTheme="minorHAnsi" w:cstheme="minorHAnsi"/>
          <w:b/>
          <w:szCs w:val="24"/>
        </w:rPr>
        <w:t xml:space="preserve">that includes a pledge of confidentiality that is not supported by authority established in statute or regulation, that is not supported by disclosure and data security policies </w:t>
      </w:r>
      <w:r w:rsidRPr="00F9190E">
        <w:rPr>
          <w:rFonts w:asciiTheme="minorHAnsi" w:hAnsiTheme="minorHAnsi" w:cstheme="minorHAnsi"/>
          <w:b/>
          <w:szCs w:val="24"/>
        </w:rPr>
        <w:lastRenderedPageBreak/>
        <w:t>that are consistent with the pledge, or that unnecessarily impedes sharing of data with other agencies for compatible confidential use; or</w:t>
      </w:r>
    </w:p>
    <w:p w14:paraId="620A8721" w14:textId="77777777" w:rsidR="00C31230" w:rsidRPr="00F9190E" w:rsidRDefault="00C31230" w:rsidP="0026750E">
      <w:pPr>
        <w:pStyle w:val="ListParagraph"/>
        <w:numPr>
          <w:ilvl w:val="0"/>
          <w:numId w:val="9"/>
        </w:numPr>
        <w:spacing w:line="240" w:lineRule="auto"/>
        <w:ind w:left="720"/>
        <w:rPr>
          <w:rFonts w:asciiTheme="minorHAnsi" w:hAnsiTheme="minorHAnsi" w:cstheme="minorHAnsi"/>
          <w:b/>
          <w:szCs w:val="24"/>
        </w:rPr>
      </w:pPr>
      <w:proofErr w:type="gramStart"/>
      <w:r w:rsidRPr="00F9190E">
        <w:rPr>
          <w:rFonts w:asciiTheme="minorHAnsi" w:hAnsiTheme="minorHAnsi" w:cstheme="minorHAnsi"/>
          <w:b/>
          <w:szCs w:val="24"/>
        </w:rPr>
        <w:t>requiring</w:t>
      </w:r>
      <w:proofErr w:type="gramEnd"/>
      <w:r w:rsidRPr="00F9190E">
        <w:rPr>
          <w:rFonts w:asciiTheme="minorHAnsi" w:hAnsiTheme="minorHAnsi" w:cstheme="minorHAnsi"/>
          <w:b/>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48EEDB3F" w14:textId="77777777"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Special Circumstances Governing Data Collection</w:t>
      </w:r>
    </w:p>
    <w:p w14:paraId="0E5DED10" w14:textId="77777777" w:rsidR="00E375C9" w:rsidRPr="00F9190E" w:rsidRDefault="00B73AC5"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 xml:space="preserve">This </w:t>
      </w:r>
      <w:r w:rsidR="008C73FF" w:rsidRPr="00F9190E">
        <w:rPr>
          <w:rFonts w:asciiTheme="minorHAnsi" w:hAnsiTheme="minorHAnsi" w:cstheme="minorHAnsi"/>
          <w:szCs w:val="24"/>
        </w:rPr>
        <w:t xml:space="preserve">requirement </w:t>
      </w:r>
      <w:r w:rsidRPr="00F9190E">
        <w:rPr>
          <w:rFonts w:asciiTheme="minorHAnsi" w:hAnsiTheme="minorHAnsi" w:cstheme="minorHAnsi"/>
          <w:szCs w:val="24"/>
        </w:rPr>
        <w:t>is consistent with the guidelines in 5 CFR 1302.5(d</w:t>
      </w:r>
      <w:proofErr w:type="gramStart"/>
      <w:r w:rsidRPr="00F9190E">
        <w:rPr>
          <w:rFonts w:asciiTheme="minorHAnsi" w:hAnsiTheme="minorHAnsi" w:cstheme="minorHAnsi"/>
          <w:szCs w:val="24"/>
        </w:rPr>
        <w:t>)(</w:t>
      </w:r>
      <w:proofErr w:type="gramEnd"/>
      <w:r w:rsidRPr="00F9190E">
        <w:rPr>
          <w:rFonts w:asciiTheme="minorHAnsi" w:hAnsiTheme="minorHAnsi" w:cstheme="minorHAnsi"/>
          <w:szCs w:val="24"/>
        </w:rPr>
        <w:t>2)</w:t>
      </w:r>
      <w:r w:rsidR="00E375C9" w:rsidRPr="00F9190E">
        <w:rPr>
          <w:rFonts w:asciiTheme="minorHAnsi" w:hAnsiTheme="minorHAnsi" w:cstheme="minorHAnsi"/>
          <w:szCs w:val="24"/>
        </w:rPr>
        <w:t>.</w:t>
      </w:r>
    </w:p>
    <w:p w14:paraId="445C24E0" w14:textId="77777777" w:rsidR="00E811A4" w:rsidRPr="00F9190E" w:rsidRDefault="00E811A4" w:rsidP="0026750E">
      <w:pPr>
        <w:numPr>
          <w:ilvl w:val="0"/>
          <w:numId w:val="10"/>
        </w:numPr>
        <w:tabs>
          <w:tab w:val="left" w:pos="-720"/>
          <w:tab w:val="left" w:pos="0"/>
        </w:tabs>
        <w:suppressAutoHyphens/>
        <w:spacing w:after="0" w:line="240" w:lineRule="auto"/>
        <w:ind w:left="0" w:firstLine="0"/>
        <w:rPr>
          <w:rFonts w:asciiTheme="minorHAnsi" w:hAnsiTheme="minorHAnsi" w:cstheme="minorHAnsi"/>
          <w:b/>
          <w:szCs w:val="24"/>
        </w:rPr>
      </w:pPr>
      <w:r w:rsidRPr="00F9190E">
        <w:rPr>
          <w:rFonts w:asciiTheme="minorHAnsi" w:hAnsiTheme="minorHAnsi" w:cstheme="minorHAnsi"/>
          <w:b/>
          <w:szCs w:val="24"/>
        </w:rPr>
        <w:t xml:space="preserve">If applicable, provide a copy and identify the date and page number of publication in the </w:t>
      </w:r>
      <w:r w:rsidRPr="00F9190E">
        <w:rPr>
          <w:rFonts w:asciiTheme="minorHAnsi" w:hAnsiTheme="minorHAnsi" w:cstheme="minorHAnsi"/>
          <w:b/>
          <w:u w:val="single"/>
        </w:rPr>
        <w:t>Federal</w:t>
      </w:r>
      <w:r w:rsidRPr="00F9190E">
        <w:rPr>
          <w:rFonts w:asciiTheme="minorHAnsi" w:hAnsiTheme="minorHAnsi" w:cstheme="minorHAnsi"/>
          <w:b/>
          <w:szCs w:val="24"/>
        </w:rPr>
        <w:t xml:space="preserve"> </w:t>
      </w:r>
      <w:r w:rsidRPr="00F9190E">
        <w:rPr>
          <w:rFonts w:asciiTheme="minorHAnsi" w:hAnsiTheme="minorHAnsi" w:cstheme="minorHAnsi"/>
          <w:b/>
          <w:u w:val="single"/>
        </w:rPr>
        <w:t>Register</w:t>
      </w:r>
      <w:r w:rsidRPr="00F9190E">
        <w:rPr>
          <w:rFonts w:asciiTheme="minorHAnsi" w:hAnsiTheme="minorHAnsi" w:cstheme="minorHAnsi"/>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FF89B5" w14:textId="77777777" w:rsidR="001E348E" w:rsidRPr="00F9190E" w:rsidRDefault="001E348E" w:rsidP="0026750E">
      <w:pPr>
        <w:tabs>
          <w:tab w:val="left" w:pos="-720"/>
        </w:tabs>
        <w:suppressAutoHyphens/>
        <w:spacing w:line="240" w:lineRule="auto"/>
        <w:rPr>
          <w:rStyle w:val="a"/>
          <w:rFonts w:asciiTheme="minorHAnsi" w:hAnsiTheme="minorHAnsi" w:cstheme="minorHAnsi"/>
          <w:b/>
          <w:szCs w:val="24"/>
        </w:rPr>
      </w:pPr>
    </w:p>
    <w:p w14:paraId="6F52A08B" w14:textId="77777777" w:rsidR="00E811A4" w:rsidRPr="00F9190E" w:rsidRDefault="00E811A4" w:rsidP="0026750E">
      <w:pPr>
        <w:tabs>
          <w:tab w:val="left" w:pos="-720"/>
        </w:tabs>
        <w:suppressAutoHyphens/>
        <w:spacing w:line="240" w:lineRule="auto"/>
        <w:rPr>
          <w:rStyle w:val="a"/>
          <w:rFonts w:asciiTheme="minorHAnsi" w:hAnsiTheme="minorHAnsi" w:cstheme="minorHAnsi"/>
          <w:b/>
          <w:szCs w:val="24"/>
        </w:rPr>
      </w:pPr>
      <w:r w:rsidRPr="00F9190E">
        <w:rPr>
          <w:rStyle w:val="a"/>
          <w:rFonts w:asciiTheme="minorHAnsi" w:hAnsiTheme="minorHAnsi" w:cstheme="minorHAnsi"/>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FE5F2C0" w14:textId="77777777" w:rsidR="00E811A4" w:rsidRPr="00F9190E" w:rsidRDefault="00E811A4" w:rsidP="0026750E">
      <w:pPr>
        <w:tabs>
          <w:tab w:val="left" w:pos="-720"/>
        </w:tabs>
        <w:suppressAutoHyphens/>
        <w:spacing w:line="240" w:lineRule="auto"/>
        <w:rPr>
          <w:rFonts w:asciiTheme="minorHAnsi" w:hAnsiTheme="minorHAnsi" w:cstheme="minorHAnsi"/>
          <w:b/>
          <w:szCs w:val="24"/>
        </w:rPr>
      </w:pPr>
      <w:r w:rsidRPr="00F9190E">
        <w:rPr>
          <w:rStyle w:val="a"/>
          <w:rFonts w:asciiTheme="minorHAnsi" w:hAnsiTheme="minorHAnsi" w:cstheme="minorHAnsi"/>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472F322" w14:textId="528983D3" w:rsidR="00736726" w:rsidRPr="00F9190E" w:rsidRDefault="001A52B9" w:rsidP="0026750E">
      <w:pPr>
        <w:pStyle w:val="ListParagraph"/>
        <w:spacing w:line="240" w:lineRule="auto"/>
        <w:ind w:left="0"/>
        <w:rPr>
          <w:rFonts w:asciiTheme="minorHAnsi" w:hAnsiTheme="minorHAnsi" w:cstheme="minorHAnsi"/>
          <w:szCs w:val="24"/>
        </w:rPr>
      </w:pPr>
      <w:r>
        <w:rPr>
          <w:rFonts w:asciiTheme="minorHAnsi" w:hAnsiTheme="minorHAnsi" w:cstheme="minorHAnsi"/>
          <w:szCs w:val="24"/>
        </w:rPr>
        <w:t>T</w:t>
      </w:r>
      <w:r w:rsidR="00646720">
        <w:rPr>
          <w:rFonts w:asciiTheme="minorHAnsi" w:hAnsiTheme="minorHAnsi" w:cstheme="minorHAnsi"/>
          <w:szCs w:val="24"/>
        </w:rPr>
        <w:t xml:space="preserve">he collection was initially cleared through emergency procedures outlined in </w:t>
      </w:r>
      <w:r w:rsidR="00736726">
        <w:rPr>
          <w:rFonts w:asciiTheme="minorHAnsi" w:hAnsiTheme="minorHAnsi" w:cstheme="minorHAnsi"/>
          <w:szCs w:val="24"/>
        </w:rPr>
        <w:t xml:space="preserve">5 CFR </w:t>
      </w:r>
      <w:proofErr w:type="gramStart"/>
      <w:r w:rsidR="00736726">
        <w:rPr>
          <w:rFonts w:asciiTheme="minorHAnsi" w:hAnsiTheme="minorHAnsi" w:cstheme="minorHAnsi"/>
          <w:szCs w:val="24"/>
        </w:rPr>
        <w:t>1320.13,</w:t>
      </w:r>
      <w:proofErr w:type="gramEnd"/>
      <w:r w:rsidR="00736726">
        <w:rPr>
          <w:rFonts w:asciiTheme="minorHAnsi" w:hAnsiTheme="minorHAnsi" w:cstheme="minorHAnsi"/>
          <w:szCs w:val="24"/>
        </w:rPr>
        <w:t xml:space="preserve"> the public had no prior opportunity to comment on the collection</w:t>
      </w:r>
      <w:r>
        <w:rPr>
          <w:rFonts w:asciiTheme="minorHAnsi" w:hAnsiTheme="minorHAnsi" w:cstheme="minorHAnsi"/>
          <w:szCs w:val="24"/>
        </w:rPr>
        <w:t xml:space="preserve">.  </w:t>
      </w:r>
      <w:r w:rsidR="00736726">
        <w:rPr>
          <w:rFonts w:asciiTheme="minorHAnsi" w:hAnsiTheme="minorHAnsi" w:cstheme="minorHAnsi"/>
          <w:szCs w:val="24"/>
        </w:rPr>
        <w:t xml:space="preserve">However, the Department </w:t>
      </w:r>
      <w:r w:rsidR="009B6675">
        <w:rPr>
          <w:rFonts w:asciiTheme="minorHAnsi" w:hAnsiTheme="minorHAnsi" w:cstheme="minorHAnsi"/>
          <w:szCs w:val="24"/>
        </w:rPr>
        <w:t>has since provided</w:t>
      </w:r>
      <w:r w:rsidR="00736726">
        <w:rPr>
          <w:rFonts w:asciiTheme="minorHAnsi" w:hAnsiTheme="minorHAnsi" w:cstheme="minorHAnsi"/>
          <w:szCs w:val="24"/>
        </w:rPr>
        <w:t xml:space="preserve"> the public an opportunity to comment on the collection requirements through th</w:t>
      </w:r>
      <w:r>
        <w:rPr>
          <w:rFonts w:asciiTheme="minorHAnsi" w:hAnsiTheme="minorHAnsi" w:cstheme="minorHAnsi"/>
          <w:szCs w:val="24"/>
        </w:rPr>
        <w:t>e routine 60-day comment period</w:t>
      </w:r>
      <w:r w:rsidR="00736726">
        <w:rPr>
          <w:rFonts w:asciiTheme="minorHAnsi" w:hAnsiTheme="minorHAnsi" w:cstheme="minorHAnsi"/>
          <w:szCs w:val="24"/>
        </w:rPr>
        <w:t>.</w:t>
      </w:r>
      <w:r w:rsidR="009B6675">
        <w:rPr>
          <w:rFonts w:asciiTheme="minorHAnsi" w:hAnsiTheme="minorHAnsi" w:cstheme="minorHAnsi"/>
          <w:szCs w:val="24"/>
        </w:rPr>
        <w:t xml:space="preserve">  During that comment period, the Department received no comments on the collection and is not proposing to make any further changes to the collection.  The public will now have a further 30 days to comment on the collection.</w:t>
      </w:r>
    </w:p>
    <w:p w14:paraId="38E61FB7" w14:textId="77777777" w:rsidR="00E811A4" w:rsidRPr="00F9190E" w:rsidRDefault="00E811A4" w:rsidP="0026750E">
      <w:pPr>
        <w:pStyle w:val="ListParagraph"/>
        <w:numPr>
          <w:ilvl w:val="0"/>
          <w:numId w:val="10"/>
        </w:numPr>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Explain any decision to provide any payment or gift to respondents, other than remuneration of contractors or grantees.</w:t>
      </w:r>
    </w:p>
    <w:p w14:paraId="6F5B8A71" w14:textId="77777777" w:rsidR="002F13ED" w:rsidRPr="00F9190E" w:rsidRDefault="002F13ED" w:rsidP="0026750E">
      <w:pPr>
        <w:pStyle w:val="ListParagraph"/>
        <w:spacing w:line="240" w:lineRule="auto"/>
        <w:ind w:left="0"/>
        <w:rPr>
          <w:rFonts w:asciiTheme="minorHAnsi" w:hAnsiTheme="minorHAnsi" w:cstheme="minorHAnsi"/>
          <w:b/>
          <w:szCs w:val="24"/>
        </w:rPr>
      </w:pPr>
      <w:r w:rsidRPr="00F9190E">
        <w:rPr>
          <w:rFonts w:asciiTheme="minorHAnsi" w:hAnsiTheme="minorHAnsi" w:cstheme="minorHAnsi"/>
          <w:b/>
          <w:szCs w:val="24"/>
        </w:rPr>
        <w:t>Payments or Gifts to Respondents</w:t>
      </w:r>
    </w:p>
    <w:p w14:paraId="25DAFE86" w14:textId="77777777" w:rsidR="00E375C9" w:rsidRPr="00F9190E" w:rsidRDefault="00E375C9"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No payments or gifts will be provided to the respondents.</w:t>
      </w:r>
    </w:p>
    <w:p w14:paraId="5D631CB1" w14:textId="77777777" w:rsidR="00E811A4" w:rsidRPr="00F9190E" w:rsidRDefault="00E811A4" w:rsidP="0026750E">
      <w:pPr>
        <w:numPr>
          <w:ilvl w:val="0"/>
          <w:numId w:val="10"/>
        </w:numPr>
        <w:tabs>
          <w:tab w:val="left" w:pos="-720"/>
        </w:tabs>
        <w:suppressAutoHyphens/>
        <w:spacing w:line="240" w:lineRule="auto"/>
        <w:ind w:left="0" w:firstLine="0"/>
        <w:rPr>
          <w:rFonts w:asciiTheme="minorHAnsi" w:hAnsiTheme="minorHAnsi" w:cstheme="minorHAnsi"/>
          <w:b/>
          <w:szCs w:val="24"/>
        </w:rPr>
      </w:pPr>
      <w:r w:rsidRPr="00F9190E">
        <w:rPr>
          <w:rFonts w:asciiTheme="minorHAnsi" w:hAnsiTheme="minorHAnsi" w:cstheme="minorHAnsi"/>
          <w:b/>
          <w:szCs w:val="24"/>
        </w:rPr>
        <w:t xml:space="preserve">Describe any assurance of confidentiality provided to respondents and the basis for the assurance in statute, regulation, or agency policy. </w:t>
      </w:r>
    </w:p>
    <w:p w14:paraId="3E508D1D" w14:textId="77777777" w:rsidR="00E811A4" w:rsidRPr="00F9190E" w:rsidRDefault="00E375C9"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These requirements do not cover any confidential information.</w:t>
      </w:r>
    </w:p>
    <w:p w14:paraId="33427112" w14:textId="77777777" w:rsidR="00DC611D" w:rsidRPr="00F9190E" w:rsidRDefault="00E811A4" w:rsidP="0026750E">
      <w:pPr>
        <w:pStyle w:val="ListParagraph"/>
        <w:numPr>
          <w:ilvl w:val="0"/>
          <w:numId w:val="10"/>
        </w:numPr>
        <w:spacing w:line="240" w:lineRule="auto"/>
        <w:ind w:left="0" w:firstLine="0"/>
        <w:rPr>
          <w:rFonts w:asciiTheme="minorHAnsi" w:hAnsiTheme="minorHAnsi" w:cstheme="minorHAnsi"/>
          <w:b/>
          <w:szCs w:val="24"/>
        </w:rPr>
      </w:pPr>
      <w:r w:rsidRPr="00F9190E">
        <w:rPr>
          <w:rFonts w:asciiTheme="minorHAnsi" w:hAnsiTheme="minorHAnsi" w:cstheme="minorHAnsi"/>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DC611D" w:rsidRPr="00F9190E">
        <w:rPr>
          <w:rFonts w:asciiTheme="minorHAnsi" w:hAnsiTheme="minorHAnsi" w:cstheme="minorHAnsi"/>
          <w:b/>
          <w:szCs w:val="24"/>
        </w:rPr>
        <w:t xml:space="preserve"> </w:t>
      </w:r>
    </w:p>
    <w:p w14:paraId="16F889B9" w14:textId="6DD301CC" w:rsidR="00E375C9" w:rsidRPr="00F9190E" w:rsidRDefault="00E375C9"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Department is no</w:t>
      </w:r>
      <w:r w:rsidR="00AC2451">
        <w:rPr>
          <w:rFonts w:asciiTheme="minorHAnsi" w:hAnsiTheme="minorHAnsi" w:cstheme="minorHAnsi"/>
          <w:szCs w:val="24"/>
        </w:rPr>
        <w:t>t</w:t>
      </w:r>
      <w:r w:rsidRPr="00F9190E">
        <w:rPr>
          <w:rFonts w:asciiTheme="minorHAnsi" w:hAnsiTheme="minorHAnsi" w:cstheme="minorHAnsi"/>
          <w:szCs w:val="24"/>
        </w:rPr>
        <w:t xml:space="preserve"> requesting any sensitive data.</w:t>
      </w:r>
    </w:p>
    <w:p w14:paraId="57C82AF0" w14:textId="77777777" w:rsidR="00E811A4" w:rsidRPr="00F9190E" w:rsidRDefault="00E811A4" w:rsidP="0026750E">
      <w:pPr>
        <w:numPr>
          <w:ilvl w:val="0"/>
          <w:numId w:val="12"/>
        </w:numPr>
        <w:tabs>
          <w:tab w:val="left" w:pos="-720"/>
        </w:tabs>
        <w:suppressAutoHyphens/>
        <w:spacing w:line="240" w:lineRule="auto"/>
        <w:ind w:left="0" w:firstLine="0"/>
        <w:rPr>
          <w:rStyle w:val="a"/>
          <w:rFonts w:asciiTheme="minorHAnsi" w:hAnsiTheme="minorHAnsi" w:cstheme="minorHAnsi"/>
          <w:b/>
          <w:szCs w:val="24"/>
        </w:rPr>
      </w:pPr>
      <w:r w:rsidRPr="00F9190E">
        <w:rPr>
          <w:rStyle w:val="a"/>
          <w:rFonts w:asciiTheme="minorHAnsi" w:hAnsiTheme="minorHAnsi" w:cstheme="minorHAnsi"/>
          <w:b/>
          <w:szCs w:val="24"/>
        </w:rPr>
        <w:t>Provide estimates of the hour burden of the collection of information.  The statement should:</w:t>
      </w:r>
    </w:p>
    <w:p w14:paraId="352423E3" w14:textId="77777777" w:rsidR="00E811A4" w:rsidRPr="00F9190E" w:rsidRDefault="00E811A4" w:rsidP="0026750E">
      <w:pPr>
        <w:numPr>
          <w:ilvl w:val="0"/>
          <w:numId w:val="11"/>
        </w:numPr>
        <w:tabs>
          <w:tab w:val="left" w:pos="-720"/>
          <w:tab w:val="left" w:pos="1247"/>
        </w:tabs>
        <w:suppressAutoHyphens/>
        <w:spacing w:after="0" w:line="240" w:lineRule="auto"/>
        <w:rPr>
          <w:rStyle w:val="a"/>
          <w:rFonts w:asciiTheme="minorHAnsi" w:hAnsiTheme="minorHAnsi" w:cstheme="minorHAnsi"/>
          <w:b/>
          <w:szCs w:val="24"/>
        </w:rPr>
      </w:pPr>
      <w:r w:rsidRPr="00F9190E">
        <w:rPr>
          <w:rStyle w:val="a"/>
          <w:rFonts w:asciiTheme="minorHAnsi" w:hAnsiTheme="minorHAnsi" w:cstheme="minorHAnsi"/>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81881E" w14:textId="77777777" w:rsidR="00E811A4" w:rsidRPr="00F9190E" w:rsidRDefault="00E811A4" w:rsidP="0026750E">
      <w:pPr>
        <w:numPr>
          <w:ilvl w:val="0"/>
          <w:numId w:val="11"/>
        </w:numPr>
        <w:tabs>
          <w:tab w:val="left" w:pos="-720"/>
          <w:tab w:val="left" w:pos="1247"/>
        </w:tabs>
        <w:suppressAutoHyphens/>
        <w:spacing w:after="0" w:line="240" w:lineRule="auto"/>
        <w:rPr>
          <w:rStyle w:val="a"/>
          <w:rFonts w:asciiTheme="minorHAnsi" w:hAnsiTheme="minorHAnsi" w:cstheme="minorHAnsi"/>
          <w:b/>
          <w:szCs w:val="24"/>
        </w:rPr>
      </w:pPr>
      <w:r w:rsidRPr="00F9190E">
        <w:rPr>
          <w:rStyle w:val="a"/>
          <w:rFonts w:asciiTheme="minorHAnsi" w:hAnsiTheme="minorHAnsi" w:cstheme="minorHAnsi"/>
          <w:b/>
          <w:szCs w:val="24"/>
        </w:rPr>
        <w:t>If this request for approval covers more than one form, provide separate hour burden estimates for each form and aggregate the hour burdens in item 16 of IC Data Part 1.</w:t>
      </w:r>
    </w:p>
    <w:p w14:paraId="724FB9C4" w14:textId="77777777" w:rsidR="00FB6A50" w:rsidRPr="00F9190E" w:rsidRDefault="00E811A4" w:rsidP="0026750E">
      <w:pPr>
        <w:numPr>
          <w:ilvl w:val="0"/>
          <w:numId w:val="11"/>
        </w:numPr>
        <w:tabs>
          <w:tab w:val="left" w:pos="-720"/>
          <w:tab w:val="left" w:pos="1247"/>
        </w:tabs>
        <w:suppressAutoHyphens/>
        <w:spacing w:after="0" w:line="240" w:lineRule="auto"/>
        <w:rPr>
          <w:rStyle w:val="a"/>
          <w:rFonts w:asciiTheme="minorHAnsi" w:hAnsiTheme="minorHAnsi" w:cstheme="minorHAnsi"/>
        </w:rPr>
      </w:pPr>
      <w:r w:rsidRPr="00F9190E">
        <w:rPr>
          <w:rStyle w:val="a"/>
          <w:rFonts w:asciiTheme="minorHAnsi" w:hAnsiTheme="minorHAnsi" w:cstheme="minorHAnsi"/>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796905B" w14:textId="77777777" w:rsidR="00332B36" w:rsidRPr="00F9190E" w:rsidRDefault="00332B36" w:rsidP="0026750E">
      <w:pPr>
        <w:tabs>
          <w:tab w:val="left" w:pos="-720"/>
          <w:tab w:val="left" w:pos="1247"/>
        </w:tabs>
        <w:suppressAutoHyphens/>
        <w:spacing w:after="0" w:line="240" w:lineRule="auto"/>
        <w:ind w:left="1060"/>
        <w:rPr>
          <w:rFonts w:asciiTheme="minorHAnsi" w:hAnsiTheme="minorHAnsi" w:cstheme="minorHAnsi"/>
        </w:rPr>
      </w:pPr>
    </w:p>
    <w:p w14:paraId="662CF282" w14:textId="77777777" w:rsidR="001675D5"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Annual Hour Burden for Respondents/Recordkeepers</w:t>
      </w:r>
    </w:p>
    <w:p w14:paraId="65606461" w14:textId="77777777" w:rsidR="00464ADD" w:rsidRPr="00AF5295" w:rsidRDefault="00464ADD" w:rsidP="00AF5295">
      <w:pPr>
        <w:pStyle w:val="ListParagraph"/>
        <w:spacing w:line="240" w:lineRule="auto"/>
        <w:ind w:left="0"/>
        <w:jc w:val="both"/>
        <w:rPr>
          <w:rFonts w:asciiTheme="minorHAnsi" w:hAnsiTheme="minorHAnsi" w:cstheme="minorHAnsi"/>
          <w:b/>
          <w:szCs w:val="24"/>
          <w:u w:val="single"/>
        </w:rPr>
      </w:pPr>
      <w:r w:rsidRPr="00AF5295">
        <w:rPr>
          <w:rFonts w:asciiTheme="minorHAnsi" w:hAnsiTheme="minorHAnsi" w:cstheme="minorHAnsi"/>
          <w:b/>
          <w:szCs w:val="24"/>
          <w:u w:val="single"/>
        </w:rPr>
        <w:t>Section 685.301(e)--COD Reporting Requirements by Institutions</w:t>
      </w:r>
    </w:p>
    <w:p w14:paraId="3DF7C072"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Section 685.301(e)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new regulation in §685.200(f) provides that a borrower is not eligible to receive an additional Direct Subsidized Loan if the sum of the borrower’s subsidized usage periods equals or exceeds the borrower’s maximum eligibility period.  The new regulation also provides different rules for borrowers who are enrolled in teacher certification programs for which the institution awards no academic credential, </w:t>
      </w:r>
      <w:r w:rsidRPr="00464ADD">
        <w:rPr>
          <w:rFonts w:asciiTheme="minorHAnsi" w:hAnsiTheme="minorHAnsi" w:cstheme="minorHAnsi"/>
          <w:szCs w:val="24"/>
        </w:rPr>
        <w:lastRenderedPageBreak/>
        <w:t>preparatory coursework necessary for enrollment in an undergraduate program, and preparatory coursework necessary for enrollment in a graduate or professional program.</w:t>
      </w:r>
    </w:p>
    <w:p w14:paraId="649E9BC5"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14:paraId="33CAC3E9"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These data will allow the Department to calculate the borrower’s maximum eligibility period, subsidized usage period, and remaining eligibility period as described in §685.200(f</w:t>
      </w:r>
      <w:proofErr w:type="gramStart"/>
      <w:r w:rsidRPr="00464ADD">
        <w:rPr>
          <w:rFonts w:asciiTheme="minorHAnsi" w:hAnsiTheme="minorHAnsi" w:cstheme="minorHAnsi"/>
          <w:szCs w:val="24"/>
        </w:rPr>
        <w:t>)(</w:t>
      </w:r>
      <w:proofErr w:type="gramEnd"/>
      <w:r w:rsidRPr="00464ADD">
        <w:rPr>
          <w:rFonts w:asciiTheme="minorHAnsi" w:hAnsiTheme="minorHAnsi" w:cstheme="minorHAnsi"/>
          <w:szCs w:val="24"/>
        </w:rPr>
        <w:t xml:space="preserve">1)(ii)-(f)(1)(iv), determine whether the borrower is eligible to receive an additional Direct Subsidized Loan, and ensure that borrowers do not receive Direct Subsidized Loans if they are no longer eligible to receive a Direct Subsidized Loan under §685.200(f)(2).  </w:t>
      </w:r>
    </w:p>
    <w:p w14:paraId="04CA9857"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14:paraId="6B42FB26"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1,933 of them are public institutions.  The average number of reports per day that public institutions submit is 2.73.  We further estimate that additional reporting will add 26,174 hours (1,933 institutions multiplied by 248 business days, multiplied by 2.73 reports per day, multiplied by 0.02 hours per report).</w:t>
      </w:r>
    </w:p>
    <w:p w14:paraId="03A9CDD4"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1,750 of them are private, not-for-profit institutions.  The average number of reports per day that private, not-for-profit institutions submit is 1.29.  We estimate that additional reporting will add 11,197 hours (1,750 institutions multiplied by 248 business days, multiplied by 1.29 reports per day, multiplied by 0.02 hours per report).</w:t>
      </w:r>
    </w:p>
    <w:p w14:paraId="2449FC95" w14:textId="77777777" w:rsidR="00464ADD" w:rsidRP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2,164 of them are proprietary institutions.  The average number of reports per day that proprietary institutions submit is 0.84.  We further estimate that additional reporting will add 9,016 hours (2,164 institutions multiplied by 248 business days, multiplied by 0.84 reports per day, multiplied by 0.02 hours per report).</w:t>
      </w:r>
    </w:p>
    <w:p w14:paraId="456BAD4E" w14:textId="77777777" w:rsidR="00464ADD" w:rsidRDefault="00464ADD" w:rsidP="00AF5295">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lastRenderedPageBreak/>
        <w:t>Collectively, as a result of the new reporting requirements created for public, private and proprietary institutions, the total burden associated with §685.301(e), under 1845-NEW1, will increase by 46,387 hours (26,174 hours for public institutions + 11,197 hours for private, not-for-profit institutions + 9,016 hours for proprietary institutions).</w:t>
      </w:r>
    </w:p>
    <w:tbl>
      <w:tblPr>
        <w:tblW w:w="0" w:type="auto"/>
        <w:tblInd w:w="93" w:type="dxa"/>
        <w:tblLook w:val="04A0" w:firstRow="1" w:lastRow="0" w:firstColumn="1" w:lastColumn="0" w:noHBand="0" w:noVBand="1"/>
      </w:tblPr>
      <w:tblGrid>
        <w:gridCol w:w="4745"/>
        <w:gridCol w:w="1696"/>
        <w:gridCol w:w="672"/>
        <w:gridCol w:w="1026"/>
        <w:gridCol w:w="571"/>
        <w:gridCol w:w="773"/>
      </w:tblGrid>
      <w:tr w:rsidR="00704B2E" w:rsidRPr="00704B2E" w14:paraId="70D0CEBE" w14:textId="77777777" w:rsidTr="00704B2E">
        <w:trPr>
          <w:trHeight w:val="510"/>
        </w:trPr>
        <w:tc>
          <w:tcPr>
            <w:tcW w:w="0" w:type="auto"/>
            <w:tcBorders>
              <w:top w:val="nil"/>
              <w:left w:val="nil"/>
              <w:bottom w:val="nil"/>
              <w:right w:val="nil"/>
            </w:tcBorders>
            <w:shd w:val="clear" w:color="auto" w:fill="auto"/>
            <w:vAlign w:val="bottom"/>
            <w:hideMark/>
          </w:tcPr>
          <w:p w14:paraId="4EE4669F"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 34 CFR 685.301(e) - additional reporting to the COD System</w:t>
            </w:r>
          </w:p>
        </w:tc>
        <w:tc>
          <w:tcPr>
            <w:tcW w:w="0" w:type="auto"/>
            <w:tcBorders>
              <w:top w:val="nil"/>
              <w:left w:val="nil"/>
              <w:bottom w:val="nil"/>
              <w:right w:val="nil"/>
            </w:tcBorders>
            <w:shd w:val="clear" w:color="auto" w:fill="auto"/>
            <w:noWrap/>
            <w:vAlign w:val="bottom"/>
            <w:hideMark/>
          </w:tcPr>
          <w:p w14:paraId="2B41C112"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498AB2E"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FEBBCCE"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1B71469"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796D75C"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273A140C" w14:textId="77777777" w:rsidTr="00704B2E">
        <w:trPr>
          <w:trHeight w:val="255"/>
        </w:trPr>
        <w:tc>
          <w:tcPr>
            <w:tcW w:w="0" w:type="auto"/>
            <w:tcBorders>
              <w:top w:val="nil"/>
              <w:left w:val="nil"/>
              <w:bottom w:val="nil"/>
              <w:right w:val="nil"/>
            </w:tcBorders>
            <w:shd w:val="clear" w:color="auto" w:fill="auto"/>
            <w:noWrap/>
            <w:vAlign w:val="bottom"/>
            <w:hideMark/>
          </w:tcPr>
          <w:p w14:paraId="159845A3"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14:paraId="0DB4466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7FC8147"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CF867AC"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0ADF40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C77490C"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2F9EBC5A" w14:textId="77777777" w:rsidTr="00704B2E">
        <w:trPr>
          <w:trHeight w:val="255"/>
        </w:trPr>
        <w:tc>
          <w:tcPr>
            <w:tcW w:w="0" w:type="auto"/>
            <w:tcBorders>
              <w:top w:val="nil"/>
              <w:left w:val="nil"/>
              <w:bottom w:val="nil"/>
              <w:right w:val="nil"/>
            </w:tcBorders>
            <w:shd w:val="clear" w:color="auto" w:fill="auto"/>
            <w:noWrap/>
            <w:vAlign w:val="bottom"/>
            <w:hideMark/>
          </w:tcPr>
          <w:p w14:paraId="7A1FDD28" w14:textId="77777777"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33744EB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FFC1CF2"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5EF235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22AA52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90DC080"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791E395D" w14:textId="77777777" w:rsidTr="00704B2E">
        <w:trPr>
          <w:trHeight w:val="255"/>
        </w:trPr>
        <w:tc>
          <w:tcPr>
            <w:tcW w:w="0" w:type="auto"/>
            <w:tcBorders>
              <w:top w:val="nil"/>
              <w:left w:val="nil"/>
              <w:bottom w:val="nil"/>
              <w:right w:val="nil"/>
            </w:tcBorders>
            <w:shd w:val="clear" w:color="auto" w:fill="auto"/>
            <w:noWrap/>
            <w:vAlign w:val="bottom"/>
            <w:hideMark/>
          </w:tcPr>
          <w:p w14:paraId="77AC97F7"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14:paraId="334EE5AD"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4CDFCEE"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D6D238F"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EF9EA67"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4A2803B"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2F084BBB" w14:textId="77777777" w:rsidTr="00704B2E">
        <w:trPr>
          <w:trHeight w:val="255"/>
        </w:trPr>
        <w:tc>
          <w:tcPr>
            <w:tcW w:w="0" w:type="auto"/>
            <w:tcBorders>
              <w:top w:val="nil"/>
              <w:left w:val="nil"/>
              <w:bottom w:val="nil"/>
              <w:right w:val="nil"/>
            </w:tcBorders>
            <w:shd w:val="clear" w:color="auto" w:fill="auto"/>
            <w:noWrap/>
            <w:vAlign w:val="bottom"/>
            <w:hideMark/>
          </w:tcPr>
          <w:p w14:paraId="178B8E23"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14:paraId="5FD8972D"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32C779C"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BF5627B"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FCFD51B"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32F7780"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3A64EB3F" w14:textId="77777777" w:rsidTr="00704B2E">
        <w:trPr>
          <w:trHeight w:val="510"/>
        </w:trPr>
        <w:tc>
          <w:tcPr>
            <w:tcW w:w="0" w:type="auto"/>
            <w:tcBorders>
              <w:top w:val="nil"/>
              <w:left w:val="nil"/>
              <w:bottom w:val="nil"/>
              <w:right w:val="nil"/>
            </w:tcBorders>
            <w:shd w:val="clear" w:color="auto" w:fill="auto"/>
            <w:vAlign w:val="bottom"/>
            <w:hideMark/>
          </w:tcPr>
          <w:p w14:paraId="6C4E23CA"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Proprietary institutions - additional reporting to the COD System</w:t>
            </w:r>
          </w:p>
        </w:tc>
        <w:tc>
          <w:tcPr>
            <w:tcW w:w="0" w:type="auto"/>
            <w:tcBorders>
              <w:top w:val="nil"/>
              <w:left w:val="nil"/>
              <w:bottom w:val="nil"/>
              <w:right w:val="nil"/>
            </w:tcBorders>
            <w:shd w:val="clear" w:color="auto" w:fill="auto"/>
            <w:noWrap/>
            <w:vAlign w:val="bottom"/>
            <w:hideMark/>
          </w:tcPr>
          <w:p w14:paraId="0CBFFAF1"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685.301(e)</w:t>
            </w:r>
          </w:p>
        </w:tc>
        <w:tc>
          <w:tcPr>
            <w:tcW w:w="0" w:type="auto"/>
            <w:tcBorders>
              <w:top w:val="nil"/>
              <w:left w:val="nil"/>
              <w:bottom w:val="nil"/>
              <w:right w:val="nil"/>
            </w:tcBorders>
            <w:shd w:val="clear" w:color="auto" w:fill="auto"/>
            <w:noWrap/>
            <w:vAlign w:val="bottom"/>
            <w:hideMark/>
          </w:tcPr>
          <w:p w14:paraId="3C0A9B16"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14:paraId="7DEC62EB"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450,804</w:t>
            </w:r>
          </w:p>
        </w:tc>
        <w:tc>
          <w:tcPr>
            <w:tcW w:w="0" w:type="auto"/>
            <w:tcBorders>
              <w:top w:val="nil"/>
              <w:left w:val="nil"/>
              <w:bottom w:val="nil"/>
              <w:right w:val="nil"/>
            </w:tcBorders>
            <w:shd w:val="clear" w:color="auto" w:fill="auto"/>
            <w:noWrap/>
            <w:vAlign w:val="bottom"/>
            <w:hideMark/>
          </w:tcPr>
          <w:p w14:paraId="709BDFF5"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0.02</w:t>
            </w:r>
          </w:p>
        </w:tc>
        <w:tc>
          <w:tcPr>
            <w:tcW w:w="0" w:type="auto"/>
            <w:tcBorders>
              <w:top w:val="nil"/>
              <w:left w:val="nil"/>
              <w:bottom w:val="nil"/>
              <w:right w:val="nil"/>
            </w:tcBorders>
            <w:shd w:val="clear" w:color="auto" w:fill="auto"/>
            <w:noWrap/>
            <w:vAlign w:val="bottom"/>
            <w:hideMark/>
          </w:tcPr>
          <w:p w14:paraId="26EBAD52"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9,016</w:t>
            </w:r>
          </w:p>
        </w:tc>
      </w:tr>
      <w:tr w:rsidR="00704B2E" w:rsidRPr="00704B2E" w14:paraId="6179DF74" w14:textId="77777777" w:rsidTr="00704B2E">
        <w:trPr>
          <w:trHeight w:val="255"/>
        </w:trPr>
        <w:tc>
          <w:tcPr>
            <w:tcW w:w="0" w:type="auto"/>
            <w:tcBorders>
              <w:top w:val="nil"/>
              <w:left w:val="nil"/>
              <w:bottom w:val="nil"/>
              <w:right w:val="nil"/>
            </w:tcBorders>
            <w:shd w:val="clear" w:color="auto" w:fill="auto"/>
            <w:noWrap/>
            <w:vAlign w:val="bottom"/>
            <w:hideMark/>
          </w:tcPr>
          <w:p w14:paraId="4CA19C2A" w14:textId="77777777"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6EF0CDA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70E43B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9482788"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0216FC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DC96022"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482219F7" w14:textId="77777777" w:rsidTr="00704B2E">
        <w:trPr>
          <w:trHeight w:val="255"/>
        </w:trPr>
        <w:tc>
          <w:tcPr>
            <w:tcW w:w="0" w:type="auto"/>
            <w:tcBorders>
              <w:top w:val="nil"/>
              <w:left w:val="nil"/>
              <w:bottom w:val="nil"/>
              <w:right w:val="nil"/>
            </w:tcBorders>
            <w:shd w:val="clear" w:color="auto" w:fill="auto"/>
            <w:noWrap/>
            <w:vAlign w:val="bottom"/>
            <w:hideMark/>
          </w:tcPr>
          <w:p w14:paraId="1B7E3C96"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14:paraId="54E6F8FE"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BEB1273"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42F880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E81CACE"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44E3A60"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08B8DB51" w14:textId="77777777" w:rsidTr="00704B2E">
        <w:trPr>
          <w:trHeight w:val="510"/>
        </w:trPr>
        <w:tc>
          <w:tcPr>
            <w:tcW w:w="0" w:type="auto"/>
            <w:tcBorders>
              <w:top w:val="nil"/>
              <w:left w:val="nil"/>
              <w:bottom w:val="nil"/>
              <w:right w:val="nil"/>
            </w:tcBorders>
            <w:shd w:val="clear" w:color="auto" w:fill="auto"/>
            <w:vAlign w:val="bottom"/>
            <w:hideMark/>
          </w:tcPr>
          <w:p w14:paraId="5F4AEF32"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Not-for-profit institutions - additional reporting to the COD System</w:t>
            </w:r>
          </w:p>
        </w:tc>
        <w:tc>
          <w:tcPr>
            <w:tcW w:w="0" w:type="auto"/>
            <w:tcBorders>
              <w:top w:val="nil"/>
              <w:left w:val="nil"/>
              <w:bottom w:val="nil"/>
              <w:right w:val="nil"/>
            </w:tcBorders>
            <w:shd w:val="clear" w:color="auto" w:fill="auto"/>
            <w:noWrap/>
            <w:vAlign w:val="bottom"/>
            <w:hideMark/>
          </w:tcPr>
          <w:p w14:paraId="58C74288"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685.301(e)</w:t>
            </w:r>
          </w:p>
        </w:tc>
        <w:tc>
          <w:tcPr>
            <w:tcW w:w="0" w:type="auto"/>
            <w:tcBorders>
              <w:top w:val="nil"/>
              <w:left w:val="nil"/>
              <w:bottom w:val="nil"/>
              <w:right w:val="nil"/>
            </w:tcBorders>
            <w:shd w:val="clear" w:color="auto" w:fill="auto"/>
            <w:noWrap/>
            <w:vAlign w:val="bottom"/>
            <w:hideMark/>
          </w:tcPr>
          <w:p w14:paraId="6F502E6D"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14:paraId="7211EF53"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559,860</w:t>
            </w:r>
          </w:p>
        </w:tc>
        <w:tc>
          <w:tcPr>
            <w:tcW w:w="0" w:type="auto"/>
            <w:tcBorders>
              <w:top w:val="nil"/>
              <w:left w:val="nil"/>
              <w:bottom w:val="nil"/>
              <w:right w:val="nil"/>
            </w:tcBorders>
            <w:shd w:val="clear" w:color="auto" w:fill="auto"/>
            <w:noWrap/>
            <w:vAlign w:val="bottom"/>
            <w:hideMark/>
          </w:tcPr>
          <w:p w14:paraId="35173A5D"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0.02</w:t>
            </w:r>
          </w:p>
        </w:tc>
        <w:tc>
          <w:tcPr>
            <w:tcW w:w="0" w:type="auto"/>
            <w:tcBorders>
              <w:top w:val="nil"/>
              <w:left w:val="nil"/>
              <w:bottom w:val="nil"/>
              <w:right w:val="nil"/>
            </w:tcBorders>
            <w:shd w:val="clear" w:color="auto" w:fill="auto"/>
            <w:noWrap/>
            <w:vAlign w:val="bottom"/>
            <w:hideMark/>
          </w:tcPr>
          <w:p w14:paraId="5726DB53"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11,197</w:t>
            </w:r>
          </w:p>
        </w:tc>
      </w:tr>
      <w:tr w:rsidR="00704B2E" w:rsidRPr="00704B2E" w14:paraId="5FF64CDB" w14:textId="77777777" w:rsidTr="00704B2E">
        <w:trPr>
          <w:trHeight w:val="255"/>
        </w:trPr>
        <w:tc>
          <w:tcPr>
            <w:tcW w:w="0" w:type="auto"/>
            <w:tcBorders>
              <w:top w:val="nil"/>
              <w:left w:val="nil"/>
              <w:bottom w:val="nil"/>
              <w:right w:val="nil"/>
            </w:tcBorders>
            <w:shd w:val="clear" w:color="auto" w:fill="auto"/>
            <w:vAlign w:val="bottom"/>
            <w:hideMark/>
          </w:tcPr>
          <w:p w14:paraId="36C275F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D3344E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2E79ED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AC5BC8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EDD7A4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1A7DDD7"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5AB353B6" w14:textId="77777777" w:rsidTr="00704B2E">
        <w:trPr>
          <w:trHeight w:val="255"/>
        </w:trPr>
        <w:tc>
          <w:tcPr>
            <w:tcW w:w="0" w:type="auto"/>
            <w:tcBorders>
              <w:top w:val="nil"/>
              <w:left w:val="nil"/>
              <w:bottom w:val="nil"/>
              <w:right w:val="nil"/>
            </w:tcBorders>
            <w:shd w:val="clear" w:color="auto" w:fill="auto"/>
            <w:noWrap/>
            <w:vAlign w:val="bottom"/>
            <w:hideMark/>
          </w:tcPr>
          <w:p w14:paraId="06EF5FE7"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14:paraId="283EDB7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E752C3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02DC2E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69ABCA2"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9436CD7"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71B69389" w14:textId="77777777" w:rsidTr="00704B2E">
        <w:trPr>
          <w:trHeight w:val="510"/>
        </w:trPr>
        <w:tc>
          <w:tcPr>
            <w:tcW w:w="0" w:type="auto"/>
            <w:tcBorders>
              <w:top w:val="nil"/>
              <w:left w:val="nil"/>
              <w:bottom w:val="nil"/>
              <w:right w:val="nil"/>
            </w:tcBorders>
            <w:shd w:val="clear" w:color="auto" w:fill="auto"/>
            <w:vAlign w:val="bottom"/>
            <w:hideMark/>
          </w:tcPr>
          <w:p w14:paraId="2C9F64A1"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Public institutions - additional reporting to the COD System</w:t>
            </w:r>
          </w:p>
        </w:tc>
        <w:tc>
          <w:tcPr>
            <w:tcW w:w="0" w:type="auto"/>
            <w:tcBorders>
              <w:top w:val="nil"/>
              <w:left w:val="nil"/>
              <w:bottom w:val="nil"/>
              <w:right w:val="nil"/>
            </w:tcBorders>
            <w:shd w:val="clear" w:color="auto" w:fill="auto"/>
            <w:noWrap/>
            <w:vAlign w:val="bottom"/>
            <w:hideMark/>
          </w:tcPr>
          <w:p w14:paraId="79E44376"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685.301(e)</w:t>
            </w:r>
          </w:p>
        </w:tc>
        <w:tc>
          <w:tcPr>
            <w:tcW w:w="0" w:type="auto"/>
            <w:tcBorders>
              <w:top w:val="nil"/>
              <w:left w:val="nil"/>
              <w:bottom w:val="nil"/>
              <w:right w:val="nil"/>
            </w:tcBorders>
            <w:shd w:val="clear" w:color="auto" w:fill="auto"/>
            <w:noWrap/>
            <w:vAlign w:val="bottom"/>
            <w:hideMark/>
          </w:tcPr>
          <w:p w14:paraId="44FCF0F1"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14:paraId="36B416C2"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1,308,718</w:t>
            </w:r>
          </w:p>
        </w:tc>
        <w:tc>
          <w:tcPr>
            <w:tcW w:w="0" w:type="auto"/>
            <w:tcBorders>
              <w:top w:val="nil"/>
              <w:left w:val="nil"/>
              <w:bottom w:val="nil"/>
              <w:right w:val="nil"/>
            </w:tcBorders>
            <w:shd w:val="clear" w:color="auto" w:fill="auto"/>
            <w:noWrap/>
            <w:vAlign w:val="bottom"/>
            <w:hideMark/>
          </w:tcPr>
          <w:p w14:paraId="35D9D5B6"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0.02</w:t>
            </w:r>
          </w:p>
        </w:tc>
        <w:tc>
          <w:tcPr>
            <w:tcW w:w="0" w:type="auto"/>
            <w:tcBorders>
              <w:top w:val="nil"/>
              <w:left w:val="nil"/>
              <w:bottom w:val="nil"/>
              <w:right w:val="nil"/>
            </w:tcBorders>
            <w:shd w:val="clear" w:color="auto" w:fill="auto"/>
            <w:noWrap/>
            <w:vAlign w:val="bottom"/>
            <w:hideMark/>
          </w:tcPr>
          <w:p w14:paraId="00E87AAB"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26,174</w:t>
            </w:r>
          </w:p>
        </w:tc>
      </w:tr>
      <w:tr w:rsidR="00704B2E" w:rsidRPr="00704B2E" w14:paraId="04AEB1FE" w14:textId="77777777" w:rsidTr="00704B2E">
        <w:trPr>
          <w:trHeight w:val="255"/>
        </w:trPr>
        <w:tc>
          <w:tcPr>
            <w:tcW w:w="0" w:type="auto"/>
            <w:tcBorders>
              <w:top w:val="nil"/>
              <w:left w:val="nil"/>
              <w:bottom w:val="nil"/>
              <w:right w:val="nil"/>
            </w:tcBorders>
            <w:shd w:val="clear" w:color="auto" w:fill="auto"/>
            <w:vAlign w:val="bottom"/>
            <w:hideMark/>
          </w:tcPr>
          <w:p w14:paraId="0446EF6D"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05BE2F8"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01F0AAD"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1E96CBB"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2FD32A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68C0528"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5AF580C6" w14:textId="77777777" w:rsidTr="00704B2E">
        <w:trPr>
          <w:trHeight w:val="510"/>
        </w:trPr>
        <w:tc>
          <w:tcPr>
            <w:tcW w:w="0" w:type="auto"/>
            <w:tcBorders>
              <w:top w:val="nil"/>
              <w:left w:val="nil"/>
              <w:bottom w:val="nil"/>
              <w:right w:val="nil"/>
            </w:tcBorders>
            <w:shd w:val="clear" w:color="auto" w:fill="auto"/>
            <w:vAlign w:val="bottom"/>
            <w:hideMark/>
          </w:tcPr>
          <w:p w14:paraId="3CEF1B51"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TOTAL 34 CFR 685.301(e) - additional reporting to the COD System</w:t>
            </w:r>
          </w:p>
        </w:tc>
        <w:tc>
          <w:tcPr>
            <w:tcW w:w="0" w:type="auto"/>
            <w:tcBorders>
              <w:top w:val="nil"/>
              <w:left w:val="nil"/>
              <w:bottom w:val="nil"/>
              <w:right w:val="nil"/>
            </w:tcBorders>
            <w:shd w:val="clear" w:color="auto" w:fill="auto"/>
            <w:noWrap/>
            <w:vAlign w:val="bottom"/>
            <w:hideMark/>
          </w:tcPr>
          <w:p w14:paraId="3BF7B53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8EEC636"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5,847</w:t>
            </w:r>
          </w:p>
        </w:tc>
        <w:tc>
          <w:tcPr>
            <w:tcW w:w="0" w:type="auto"/>
            <w:tcBorders>
              <w:top w:val="nil"/>
              <w:left w:val="nil"/>
              <w:bottom w:val="nil"/>
              <w:right w:val="nil"/>
            </w:tcBorders>
            <w:shd w:val="clear" w:color="auto" w:fill="auto"/>
            <w:noWrap/>
            <w:vAlign w:val="bottom"/>
            <w:hideMark/>
          </w:tcPr>
          <w:p w14:paraId="6B36BBF0"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2,319,383</w:t>
            </w:r>
          </w:p>
        </w:tc>
        <w:tc>
          <w:tcPr>
            <w:tcW w:w="0" w:type="auto"/>
            <w:tcBorders>
              <w:top w:val="nil"/>
              <w:left w:val="nil"/>
              <w:bottom w:val="nil"/>
              <w:right w:val="nil"/>
            </w:tcBorders>
            <w:shd w:val="clear" w:color="auto" w:fill="auto"/>
            <w:noWrap/>
            <w:vAlign w:val="bottom"/>
            <w:hideMark/>
          </w:tcPr>
          <w:p w14:paraId="2DD4DA7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9CE5090"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46,388</w:t>
            </w:r>
          </w:p>
        </w:tc>
      </w:tr>
    </w:tbl>
    <w:p w14:paraId="175A0B51" w14:textId="77777777" w:rsidR="00464ADD" w:rsidRDefault="00464ADD" w:rsidP="00464ADD">
      <w:pPr>
        <w:pStyle w:val="ListParagraph"/>
        <w:spacing w:line="240" w:lineRule="auto"/>
        <w:ind w:left="0"/>
        <w:jc w:val="both"/>
        <w:rPr>
          <w:rFonts w:asciiTheme="minorHAnsi" w:hAnsiTheme="minorHAnsi" w:cstheme="minorHAnsi"/>
          <w:szCs w:val="24"/>
        </w:rPr>
      </w:pPr>
    </w:p>
    <w:p w14:paraId="7470DEAA" w14:textId="77777777" w:rsidR="00AF5295" w:rsidRPr="00AF5295" w:rsidRDefault="00AF5295" w:rsidP="00AF5295">
      <w:pPr>
        <w:spacing w:line="240" w:lineRule="auto"/>
        <w:jc w:val="both"/>
        <w:rPr>
          <w:rFonts w:asciiTheme="minorHAnsi" w:hAnsiTheme="minorHAnsi" w:cstheme="minorHAnsi"/>
          <w:b/>
          <w:szCs w:val="24"/>
          <w:u w:val="single"/>
        </w:rPr>
      </w:pPr>
      <w:r w:rsidRPr="00AF5295">
        <w:rPr>
          <w:rFonts w:asciiTheme="minorHAnsi" w:hAnsiTheme="minorHAnsi" w:cstheme="minorHAnsi"/>
          <w:b/>
          <w:szCs w:val="24"/>
          <w:u w:val="single"/>
        </w:rPr>
        <w:t>Section 685.309(b)--NSLDS Enrollment Reporting by Institutions</w:t>
      </w:r>
    </w:p>
    <w:p w14:paraId="291B2176"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    The new Direct Subsidized Loan regulations in §685.200(f</w:t>
      </w:r>
      <w:proofErr w:type="gramStart"/>
      <w:r w:rsidRPr="00AF5295">
        <w:rPr>
          <w:rFonts w:asciiTheme="minorHAnsi" w:hAnsiTheme="minorHAnsi" w:cstheme="minorHAnsi"/>
          <w:szCs w:val="24"/>
        </w:rPr>
        <w:t>)(</w:t>
      </w:r>
      <w:proofErr w:type="gramEnd"/>
      <w:r w:rsidRPr="00AF5295">
        <w:rPr>
          <w:rFonts w:asciiTheme="minorHAnsi" w:hAnsiTheme="minorHAnsi" w:cstheme="minorHAnsi"/>
          <w:szCs w:val="24"/>
        </w:rPr>
        <w:t xml:space="preserve">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new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14:paraId="10DF6F88"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w:t>
      </w:r>
      <w:r w:rsidRPr="00AF5295">
        <w:rPr>
          <w:rFonts w:asciiTheme="minorHAnsi" w:hAnsiTheme="minorHAnsi" w:cstheme="minorHAnsi"/>
          <w:szCs w:val="24"/>
        </w:rPr>
        <w:lastRenderedPageBreak/>
        <w:t>program in academic years, weeks, or months (consistent with current institutional reporting in the COD System); and a more detailed enrollment status of the borrower (e.g., full-time, three-quarter-time, half-time, or less-than-half-time).</w:t>
      </w:r>
    </w:p>
    <w:p w14:paraId="66C668B4"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These data will allow the Department to determine whether a borrower who is not eligible for additional Direct Subsidized Loans is responsible for accruing interest on his or her previously received Direct Subsidized Loans.</w:t>
      </w:r>
    </w:p>
    <w:p w14:paraId="64ABB959"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To estimate the total increase in burden imposed on institutions of higher education due to the new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twice per year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p>
    <w:p w14:paraId="2AF2841E"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8,186 institutions that reported enrollment information during the most recently completed award year, 2,710 of them are public institutions.  Of the 2,710 public institutions, 2,092 use enrollment servicers.  For the 2,092 public institutions that use enrollment servicers, we estimate that additional reporting will add 1,046 hours (2,092 institutions multiplied by 0.25 additional hours per report, multiplied by 2 reports per year).  </w:t>
      </w:r>
    </w:p>
    <w:p w14:paraId="34C3453F"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8,196 institutions that reported enrollment information during the most recently completed award year, 2,453 of them are private, not-for-profit institutions.  Of the 2,453 private, not-for-profit institutions, 1,894 use enrollment servicers.  For the 1,894 private, not-for-profit institutions that use enrollment servicers, we estimate that additional reporting will add 947 hours (1,894 institutions multiplied by 0.25 additional hours per report, multiplied by 2 reports per year).</w:t>
      </w:r>
    </w:p>
    <w:p w14:paraId="42444D44"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3,033 of them are proprietary institutions.  Of the 3,033 proprietary institutions, 2,342 use enrollment servicers.  For the 2,342 proprietary institutions that use enrollment servicers, we estimate that additional reporting will add 1,171 hours (2,342 institutions multiplied by 0.25 additional hours per report, multiplied by 2 reports per year).  </w:t>
      </w:r>
    </w:p>
    <w:p w14:paraId="5154F934"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8,186 institutions that reported enrollment information during the most recently completed award year, 2,710 of them are public institutions.  Of the 2,710 institutions, 618 of them do not use enrollment servicers.  For the 618 public institutions that do not use enrollment servicers, we estimate that additional reporting will add 618 hours (618 institutions multiplied by 0.5 additional hours per report, multiplied by 2 reports per year).</w:t>
      </w:r>
    </w:p>
    <w:p w14:paraId="43E90F04"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2,453 of them are private, not-for-profit institutions.  Of the 2,453 private, not-for-profit institutions, 559 of them do not use enrollment servicers.  For the 559 </w:t>
      </w:r>
      <w:r w:rsidRPr="00AF5295">
        <w:rPr>
          <w:rFonts w:asciiTheme="minorHAnsi" w:hAnsiTheme="minorHAnsi" w:cstheme="minorHAnsi"/>
          <w:szCs w:val="24"/>
        </w:rPr>
        <w:lastRenderedPageBreak/>
        <w:t>private, not-for-profit institutions that do not use enrollment servicers, we estimate that additional reporting will add 559 hours (559 institutions multiplied by 0.5 additional hours per report, multiplied by 2 reports per year).</w:t>
      </w:r>
    </w:p>
    <w:p w14:paraId="5EF1DF19" w14:textId="77777777" w:rsidR="00AF5295" w:rsidRP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3,033 of them are proprietary institutions.  Of the 3,033 proprietary institutions, 691 of them do not use enrollment servicers.  For the 691 proprietary institutions that do not use enrollment servicers, we estimate that additional reporting will add 691 hours (691 institutions multiplied by 0.5 additional hours per report, multiplied by 2 reports per year).  </w:t>
      </w:r>
    </w:p>
    <w:p w14:paraId="0008A956" w14:textId="77777777" w:rsidR="00AF5295" w:rsidRDefault="00AF5295" w:rsidP="00AF5295">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Collectively, as a result of the new reporting requirements, the total burden associated with §685.309(b), under 1845-NEW1, will be increased by 5,032 hours (1,046 hours for public institutions using enrollment servicers + 947 hours for private, not-for-profit institutions using enrollment servicers + 1,171 hours for proprietary institutions using enrollment servicers + 618 hours for public institutions not using enrollment servicers + 559 hours for private, not-for-profit institutions not using enrollment servicers + 691 hours for proprietary institutions that do not use enrollment servicers).</w:t>
      </w:r>
    </w:p>
    <w:p w14:paraId="67550741" w14:textId="77777777" w:rsidR="00AF5295" w:rsidRDefault="00AF5295" w:rsidP="00AF5295">
      <w:pPr>
        <w:pStyle w:val="ListParagraph"/>
        <w:spacing w:line="240" w:lineRule="auto"/>
        <w:ind w:left="0"/>
        <w:jc w:val="both"/>
        <w:rPr>
          <w:rFonts w:asciiTheme="minorHAnsi" w:hAnsiTheme="minorHAnsi" w:cstheme="minorHAnsi"/>
          <w:szCs w:val="24"/>
        </w:rPr>
      </w:pPr>
    </w:p>
    <w:tbl>
      <w:tblPr>
        <w:tblW w:w="0" w:type="auto"/>
        <w:tblInd w:w="93" w:type="dxa"/>
        <w:tblLook w:val="04A0" w:firstRow="1" w:lastRow="0" w:firstColumn="1" w:lastColumn="0" w:noHBand="0" w:noVBand="1"/>
      </w:tblPr>
      <w:tblGrid>
        <w:gridCol w:w="5446"/>
        <w:gridCol w:w="1349"/>
        <w:gridCol w:w="672"/>
        <w:gridCol w:w="773"/>
        <w:gridCol w:w="571"/>
        <w:gridCol w:w="672"/>
      </w:tblGrid>
      <w:tr w:rsidR="00704B2E" w:rsidRPr="00704B2E" w14:paraId="01B832A2" w14:textId="77777777" w:rsidTr="00704B2E">
        <w:trPr>
          <w:trHeight w:val="510"/>
        </w:trPr>
        <w:tc>
          <w:tcPr>
            <w:tcW w:w="0" w:type="auto"/>
            <w:tcBorders>
              <w:top w:val="nil"/>
              <w:left w:val="nil"/>
              <w:bottom w:val="nil"/>
              <w:right w:val="nil"/>
            </w:tcBorders>
            <w:shd w:val="clear" w:color="auto" w:fill="auto"/>
            <w:vAlign w:val="bottom"/>
            <w:hideMark/>
          </w:tcPr>
          <w:p w14:paraId="44043F9A"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 34 CFR 685.309(b) - additional reporting to NSLDS</w:t>
            </w:r>
          </w:p>
        </w:tc>
        <w:tc>
          <w:tcPr>
            <w:tcW w:w="0" w:type="auto"/>
            <w:tcBorders>
              <w:top w:val="nil"/>
              <w:left w:val="nil"/>
              <w:bottom w:val="nil"/>
              <w:right w:val="nil"/>
            </w:tcBorders>
            <w:shd w:val="clear" w:color="auto" w:fill="auto"/>
            <w:noWrap/>
            <w:vAlign w:val="bottom"/>
            <w:hideMark/>
          </w:tcPr>
          <w:p w14:paraId="7208C92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6194DE2"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3CDAED8"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4B962D9"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711D228"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4A522ACB" w14:textId="77777777" w:rsidTr="00704B2E">
        <w:trPr>
          <w:trHeight w:val="255"/>
        </w:trPr>
        <w:tc>
          <w:tcPr>
            <w:tcW w:w="0" w:type="auto"/>
            <w:tcBorders>
              <w:top w:val="nil"/>
              <w:left w:val="nil"/>
              <w:bottom w:val="nil"/>
              <w:right w:val="nil"/>
            </w:tcBorders>
            <w:shd w:val="clear" w:color="auto" w:fill="auto"/>
            <w:noWrap/>
            <w:vAlign w:val="bottom"/>
            <w:hideMark/>
          </w:tcPr>
          <w:p w14:paraId="127B2C1F"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14:paraId="1A586EBE"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D9D3275"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2A59EA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6C33E1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B31A34A"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4FF2386E" w14:textId="77777777" w:rsidTr="00704B2E">
        <w:trPr>
          <w:trHeight w:val="255"/>
        </w:trPr>
        <w:tc>
          <w:tcPr>
            <w:tcW w:w="0" w:type="auto"/>
            <w:tcBorders>
              <w:top w:val="nil"/>
              <w:left w:val="nil"/>
              <w:bottom w:val="nil"/>
              <w:right w:val="nil"/>
            </w:tcBorders>
            <w:shd w:val="clear" w:color="auto" w:fill="auto"/>
            <w:noWrap/>
            <w:vAlign w:val="bottom"/>
            <w:hideMark/>
          </w:tcPr>
          <w:p w14:paraId="4D409093" w14:textId="77777777"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40F747A5"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984628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6C4A9DD"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1B54E7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38EFFA4"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0226E026" w14:textId="77777777" w:rsidTr="00704B2E">
        <w:trPr>
          <w:trHeight w:val="255"/>
        </w:trPr>
        <w:tc>
          <w:tcPr>
            <w:tcW w:w="0" w:type="auto"/>
            <w:tcBorders>
              <w:top w:val="nil"/>
              <w:left w:val="nil"/>
              <w:bottom w:val="nil"/>
              <w:right w:val="nil"/>
            </w:tcBorders>
            <w:shd w:val="clear" w:color="auto" w:fill="auto"/>
            <w:noWrap/>
            <w:vAlign w:val="bottom"/>
            <w:hideMark/>
          </w:tcPr>
          <w:p w14:paraId="1A6BA58F"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14:paraId="2EBB315F"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E61DBDB"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B3C524C"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42E237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913A827"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7E9125C8" w14:textId="77777777" w:rsidTr="00704B2E">
        <w:trPr>
          <w:trHeight w:val="255"/>
        </w:trPr>
        <w:tc>
          <w:tcPr>
            <w:tcW w:w="0" w:type="auto"/>
            <w:tcBorders>
              <w:top w:val="nil"/>
              <w:left w:val="nil"/>
              <w:bottom w:val="nil"/>
              <w:right w:val="nil"/>
            </w:tcBorders>
            <w:shd w:val="clear" w:color="auto" w:fill="auto"/>
            <w:noWrap/>
            <w:vAlign w:val="bottom"/>
            <w:hideMark/>
          </w:tcPr>
          <w:p w14:paraId="2871CE93"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14:paraId="310E9CCC"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8A1FBD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947A773"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CEFA4A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08D0F4F"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373E91D3" w14:textId="77777777" w:rsidTr="00704B2E">
        <w:trPr>
          <w:trHeight w:val="765"/>
        </w:trPr>
        <w:tc>
          <w:tcPr>
            <w:tcW w:w="0" w:type="auto"/>
            <w:tcBorders>
              <w:top w:val="nil"/>
              <w:left w:val="nil"/>
              <w:bottom w:val="nil"/>
              <w:right w:val="nil"/>
            </w:tcBorders>
            <w:shd w:val="clear" w:color="auto" w:fill="auto"/>
            <w:vAlign w:val="bottom"/>
            <w:hideMark/>
          </w:tcPr>
          <w:p w14:paraId="216372ED"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Proprietary institutions - additional reporting to NSLDS - institution uses enrollment servicer</w:t>
            </w:r>
          </w:p>
        </w:tc>
        <w:tc>
          <w:tcPr>
            <w:tcW w:w="0" w:type="auto"/>
            <w:tcBorders>
              <w:top w:val="nil"/>
              <w:left w:val="nil"/>
              <w:bottom w:val="nil"/>
              <w:right w:val="nil"/>
            </w:tcBorders>
            <w:shd w:val="clear" w:color="auto" w:fill="auto"/>
            <w:vAlign w:val="bottom"/>
            <w:hideMark/>
          </w:tcPr>
          <w:p w14:paraId="7F3CBEF1"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14:paraId="58762361"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2,342</w:t>
            </w:r>
          </w:p>
        </w:tc>
        <w:tc>
          <w:tcPr>
            <w:tcW w:w="0" w:type="auto"/>
            <w:tcBorders>
              <w:top w:val="nil"/>
              <w:left w:val="nil"/>
              <w:bottom w:val="nil"/>
              <w:right w:val="nil"/>
            </w:tcBorders>
            <w:shd w:val="clear" w:color="auto" w:fill="auto"/>
            <w:vAlign w:val="bottom"/>
            <w:hideMark/>
          </w:tcPr>
          <w:p w14:paraId="47381595"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4,684</w:t>
            </w:r>
          </w:p>
        </w:tc>
        <w:tc>
          <w:tcPr>
            <w:tcW w:w="0" w:type="auto"/>
            <w:tcBorders>
              <w:top w:val="nil"/>
              <w:left w:val="nil"/>
              <w:bottom w:val="nil"/>
              <w:right w:val="nil"/>
            </w:tcBorders>
            <w:shd w:val="clear" w:color="auto" w:fill="auto"/>
            <w:vAlign w:val="bottom"/>
            <w:hideMark/>
          </w:tcPr>
          <w:p w14:paraId="4DA0CAB2"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0.25</w:t>
            </w:r>
          </w:p>
        </w:tc>
        <w:tc>
          <w:tcPr>
            <w:tcW w:w="0" w:type="auto"/>
            <w:tcBorders>
              <w:top w:val="nil"/>
              <w:left w:val="nil"/>
              <w:bottom w:val="nil"/>
              <w:right w:val="nil"/>
            </w:tcBorders>
            <w:shd w:val="clear" w:color="auto" w:fill="auto"/>
            <w:vAlign w:val="bottom"/>
            <w:hideMark/>
          </w:tcPr>
          <w:p w14:paraId="2C8CF924"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1,171</w:t>
            </w:r>
          </w:p>
        </w:tc>
      </w:tr>
      <w:tr w:rsidR="00704B2E" w:rsidRPr="00704B2E" w14:paraId="787FCB68" w14:textId="77777777" w:rsidTr="00704B2E">
        <w:trPr>
          <w:trHeight w:val="765"/>
        </w:trPr>
        <w:tc>
          <w:tcPr>
            <w:tcW w:w="0" w:type="auto"/>
            <w:tcBorders>
              <w:top w:val="nil"/>
              <w:left w:val="nil"/>
              <w:bottom w:val="nil"/>
              <w:right w:val="nil"/>
            </w:tcBorders>
            <w:shd w:val="clear" w:color="auto" w:fill="auto"/>
            <w:vAlign w:val="bottom"/>
            <w:hideMark/>
          </w:tcPr>
          <w:p w14:paraId="766D2AE2"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Proprietary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14:paraId="55131B22"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14:paraId="5904CB14"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691</w:t>
            </w:r>
          </w:p>
        </w:tc>
        <w:tc>
          <w:tcPr>
            <w:tcW w:w="0" w:type="auto"/>
            <w:tcBorders>
              <w:top w:val="nil"/>
              <w:left w:val="nil"/>
              <w:bottom w:val="nil"/>
              <w:right w:val="nil"/>
            </w:tcBorders>
            <w:shd w:val="clear" w:color="auto" w:fill="auto"/>
            <w:vAlign w:val="bottom"/>
            <w:hideMark/>
          </w:tcPr>
          <w:p w14:paraId="27EFB567"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1,382</w:t>
            </w:r>
          </w:p>
        </w:tc>
        <w:tc>
          <w:tcPr>
            <w:tcW w:w="0" w:type="auto"/>
            <w:tcBorders>
              <w:top w:val="nil"/>
              <w:left w:val="nil"/>
              <w:bottom w:val="nil"/>
              <w:right w:val="nil"/>
            </w:tcBorders>
            <w:shd w:val="clear" w:color="auto" w:fill="auto"/>
            <w:vAlign w:val="bottom"/>
            <w:hideMark/>
          </w:tcPr>
          <w:p w14:paraId="320F02EA"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0.50</w:t>
            </w:r>
          </w:p>
        </w:tc>
        <w:tc>
          <w:tcPr>
            <w:tcW w:w="0" w:type="auto"/>
            <w:tcBorders>
              <w:top w:val="nil"/>
              <w:left w:val="nil"/>
              <w:bottom w:val="nil"/>
              <w:right w:val="nil"/>
            </w:tcBorders>
            <w:shd w:val="clear" w:color="auto" w:fill="auto"/>
            <w:vAlign w:val="bottom"/>
            <w:hideMark/>
          </w:tcPr>
          <w:p w14:paraId="04EFA454"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691</w:t>
            </w:r>
          </w:p>
        </w:tc>
      </w:tr>
      <w:tr w:rsidR="00704B2E" w:rsidRPr="00704B2E" w14:paraId="388BC620" w14:textId="77777777" w:rsidTr="00704B2E">
        <w:trPr>
          <w:trHeight w:val="255"/>
        </w:trPr>
        <w:tc>
          <w:tcPr>
            <w:tcW w:w="0" w:type="auto"/>
            <w:tcBorders>
              <w:top w:val="nil"/>
              <w:left w:val="nil"/>
              <w:bottom w:val="nil"/>
              <w:right w:val="nil"/>
            </w:tcBorders>
            <w:shd w:val="clear" w:color="auto" w:fill="auto"/>
            <w:noWrap/>
            <w:vAlign w:val="bottom"/>
            <w:hideMark/>
          </w:tcPr>
          <w:p w14:paraId="59AB4B04" w14:textId="77777777" w:rsidR="00704B2E" w:rsidRPr="00704B2E" w:rsidRDefault="00704B2E" w:rsidP="00704B2E">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1B69CA92"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48D0F0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285ED55"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6EED0C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2CB9E7B"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2D8A9F2D" w14:textId="77777777" w:rsidTr="00704B2E">
        <w:trPr>
          <w:trHeight w:val="255"/>
        </w:trPr>
        <w:tc>
          <w:tcPr>
            <w:tcW w:w="0" w:type="auto"/>
            <w:tcBorders>
              <w:top w:val="nil"/>
              <w:left w:val="nil"/>
              <w:bottom w:val="nil"/>
              <w:right w:val="nil"/>
            </w:tcBorders>
            <w:shd w:val="clear" w:color="auto" w:fill="auto"/>
            <w:noWrap/>
            <w:vAlign w:val="bottom"/>
            <w:hideMark/>
          </w:tcPr>
          <w:p w14:paraId="653C939D"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14:paraId="5FF7CDA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0990417"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93EB55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5BF4298"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56A63FD"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1F6A2B75" w14:textId="77777777" w:rsidTr="00704B2E">
        <w:trPr>
          <w:trHeight w:val="765"/>
        </w:trPr>
        <w:tc>
          <w:tcPr>
            <w:tcW w:w="0" w:type="auto"/>
            <w:tcBorders>
              <w:top w:val="nil"/>
              <w:left w:val="nil"/>
              <w:bottom w:val="nil"/>
              <w:right w:val="nil"/>
            </w:tcBorders>
            <w:shd w:val="clear" w:color="auto" w:fill="auto"/>
            <w:vAlign w:val="bottom"/>
            <w:hideMark/>
          </w:tcPr>
          <w:p w14:paraId="3A095904"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Not-for-profit institutions - additional reporting to NSLDS - institution uses enrollment servicer</w:t>
            </w:r>
          </w:p>
        </w:tc>
        <w:tc>
          <w:tcPr>
            <w:tcW w:w="0" w:type="auto"/>
            <w:tcBorders>
              <w:top w:val="nil"/>
              <w:left w:val="nil"/>
              <w:bottom w:val="nil"/>
              <w:right w:val="nil"/>
            </w:tcBorders>
            <w:shd w:val="clear" w:color="auto" w:fill="auto"/>
            <w:vAlign w:val="bottom"/>
            <w:hideMark/>
          </w:tcPr>
          <w:p w14:paraId="13A8B5DD"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14:paraId="4A5596BB"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1,894</w:t>
            </w:r>
          </w:p>
        </w:tc>
        <w:tc>
          <w:tcPr>
            <w:tcW w:w="0" w:type="auto"/>
            <w:tcBorders>
              <w:top w:val="nil"/>
              <w:left w:val="nil"/>
              <w:bottom w:val="nil"/>
              <w:right w:val="nil"/>
            </w:tcBorders>
            <w:shd w:val="clear" w:color="auto" w:fill="auto"/>
            <w:vAlign w:val="bottom"/>
            <w:hideMark/>
          </w:tcPr>
          <w:p w14:paraId="50846DA8"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3,788</w:t>
            </w:r>
          </w:p>
        </w:tc>
        <w:tc>
          <w:tcPr>
            <w:tcW w:w="0" w:type="auto"/>
            <w:tcBorders>
              <w:top w:val="nil"/>
              <w:left w:val="nil"/>
              <w:bottom w:val="nil"/>
              <w:right w:val="nil"/>
            </w:tcBorders>
            <w:shd w:val="clear" w:color="auto" w:fill="auto"/>
            <w:vAlign w:val="bottom"/>
            <w:hideMark/>
          </w:tcPr>
          <w:p w14:paraId="036FAB30"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0.25</w:t>
            </w:r>
          </w:p>
        </w:tc>
        <w:tc>
          <w:tcPr>
            <w:tcW w:w="0" w:type="auto"/>
            <w:tcBorders>
              <w:top w:val="nil"/>
              <w:left w:val="nil"/>
              <w:bottom w:val="nil"/>
              <w:right w:val="nil"/>
            </w:tcBorders>
            <w:shd w:val="clear" w:color="auto" w:fill="auto"/>
            <w:vAlign w:val="bottom"/>
            <w:hideMark/>
          </w:tcPr>
          <w:p w14:paraId="6E070C27"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947</w:t>
            </w:r>
          </w:p>
        </w:tc>
      </w:tr>
      <w:tr w:rsidR="00704B2E" w:rsidRPr="00704B2E" w14:paraId="3978E0A6" w14:textId="77777777" w:rsidTr="00704B2E">
        <w:trPr>
          <w:trHeight w:val="765"/>
        </w:trPr>
        <w:tc>
          <w:tcPr>
            <w:tcW w:w="0" w:type="auto"/>
            <w:tcBorders>
              <w:top w:val="nil"/>
              <w:left w:val="nil"/>
              <w:bottom w:val="nil"/>
              <w:right w:val="nil"/>
            </w:tcBorders>
            <w:shd w:val="clear" w:color="auto" w:fill="auto"/>
            <w:vAlign w:val="bottom"/>
            <w:hideMark/>
          </w:tcPr>
          <w:p w14:paraId="4711E193"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Not-for-profit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14:paraId="1407957A"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14:paraId="01FE3155"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559</w:t>
            </w:r>
          </w:p>
        </w:tc>
        <w:tc>
          <w:tcPr>
            <w:tcW w:w="0" w:type="auto"/>
            <w:tcBorders>
              <w:top w:val="nil"/>
              <w:left w:val="nil"/>
              <w:bottom w:val="nil"/>
              <w:right w:val="nil"/>
            </w:tcBorders>
            <w:shd w:val="clear" w:color="auto" w:fill="auto"/>
            <w:vAlign w:val="bottom"/>
            <w:hideMark/>
          </w:tcPr>
          <w:p w14:paraId="0FB72C59"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1,118</w:t>
            </w:r>
          </w:p>
        </w:tc>
        <w:tc>
          <w:tcPr>
            <w:tcW w:w="0" w:type="auto"/>
            <w:tcBorders>
              <w:top w:val="nil"/>
              <w:left w:val="nil"/>
              <w:bottom w:val="nil"/>
              <w:right w:val="nil"/>
            </w:tcBorders>
            <w:shd w:val="clear" w:color="auto" w:fill="auto"/>
            <w:vAlign w:val="bottom"/>
            <w:hideMark/>
          </w:tcPr>
          <w:p w14:paraId="012D1B18"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0.50</w:t>
            </w:r>
          </w:p>
        </w:tc>
        <w:tc>
          <w:tcPr>
            <w:tcW w:w="0" w:type="auto"/>
            <w:tcBorders>
              <w:top w:val="nil"/>
              <w:left w:val="nil"/>
              <w:bottom w:val="nil"/>
              <w:right w:val="nil"/>
            </w:tcBorders>
            <w:shd w:val="clear" w:color="auto" w:fill="auto"/>
            <w:vAlign w:val="bottom"/>
            <w:hideMark/>
          </w:tcPr>
          <w:p w14:paraId="3A751A25"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559</w:t>
            </w:r>
          </w:p>
        </w:tc>
      </w:tr>
      <w:tr w:rsidR="00704B2E" w:rsidRPr="00704B2E" w14:paraId="43F82CB3" w14:textId="77777777" w:rsidTr="00704B2E">
        <w:trPr>
          <w:trHeight w:val="255"/>
        </w:trPr>
        <w:tc>
          <w:tcPr>
            <w:tcW w:w="0" w:type="auto"/>
            <w:tcBorders>
              <w:top w:val="nil"/>
              <w:left w:val="nil"/>
              <w:bottom w:val="nil"/>
              <w:right w:val="nil"/>
            </w:tcBorders>
            <w:shd w:val="clear" w:color="auto" w:fill="auto"/>
            <w:vAlign w:val="bottom"/>
            <w:hideMark/>
          </w:tcPr>
          <w:p w14:paraId="6D4F122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D773CF4"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26A22B3"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CC20080"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999EF5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17EAE7A"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26860830" w14:textId="77777777" w:rsidTr="00704B2E">
        <w:trPr>
          <w:trHeight w:val="255"/>
        </w:trPr>
        <w:tc>
          <w:tcPr>
            <w:tcW w:w="0" w:type="auto"/>
            <w:tcBorders>
              <w:top w:val="nil"/>
              <w:left w:val="nil"/>
              <w:bottom w:val="nil"/>
              <w:right w:val="nil"/>
            </w:tcBorders>
            <w:shd w:val="clear" w:color="auto" w:fill="auto"/>
            <w:noWrap/>
            <w:vAlign w:val="bottom"/>
            <w:hideMark/>
          </w:tcPr>
          <w:p w14:paraId="22D7B994" w14:textId="77777777" w:rsidR="00704B2E" w:rsidRPr="00704B2E" w:rsidRDefault="00704B2E" w:rsidP="00704B2E">
            <w:pPr>
              <w:spacing w:after="0" w:line="240" w:lineRule="auto"/>
              <w:rPr>
                <w:rFonts w:asciiTheme="minorHAnsi" w:eastAsia="Times New Roman" w:hAnsiTheme="minorHAnsi" w:cstheme="minorHAnsi"/>
                <w:b/>
                <w:bCs/>
                <w:sz w:val="20"/>
                <w:szCs w:val="20"/>
              </w:rPr>
            </w:pPr>
            <w:r w:rsidRPr="00704B2E">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14:paraId="48F7217B"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BCC46CC"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6C4D52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8321939"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4FE9AD1"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411E6826" w14:textId="77777777" w:rsidTr="00704B2E">
        <w:trPr>
          <w:trHeight w:val="510"/>
        </w:trPr>
        <w:tc>
          <w:tcPr>
            <w:tcW w:w="0" w:type="auto"/>
            <w:tcBorders>
              <w:top w:val="nil"/>
              <w:left w:val="nil"/>
              <w:bottom w:val="nil"/>
              <w:right w:val="nil"/>
            </w:tcBorders>
            <w:shd w:val="clear" w:color="auto" w:fill="auto"/>
            <w:vAlign w:val="bottom"/>
            <w:hideMark/>
          </w:tcPr>
          <w:p w14:paraId="7EF4DF1E"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Public institutions - additional reporting to NSLDS - institution uses enrollment servicer</w:t>
            </w:r>
          </w:p>
        </w:tc>
        <w:tc>
          <w:tcPr>
            <w:tcW w:w="0" w:type="auto"/>
            <w:tcBorders>
              <w:top w:val="nil"/>
              <w:left w:val="nil"/>
              <w:bottom w:val="nil"/>
              <w:right w:val="nil"/>
            </w:tcBorders>
            <w:shd w:val="clear" w:color="auto" w:fill="auto"/>
            <w:vAlign w:val="bottom"/>
            <w:hideMark/>
          </w:tcPr>
          <w:p w14:paraId="13207F42"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14:paraId="60BEB61B"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2,092</w:t>
            </w:r>
          </w:p>
        </w:tc>
        <w:tc>
          <w:tcPr>
            <w:tcW w:w="0" w:type="auto"/>
            <w:tcBorders>
              <w:top w:val="nil"/>
              <w:left w:val="nil"/>
              <w:bottom w:val="nil"/>
              <w:right w:val="nil"/>
            </w:tcBorders>
            <w:shd w:val="clear" w:color="auto" w:fill="auto"/>
            <w:vAlign w:val="bottom"/>
            <w:hideMark/>
          </w:tcPr>
          <w:p w14:paraId="0F5D0D51"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4,184</w:t>
            </w:r>
          </w:p>
        </w:tc>
        <w:tc>
          <w:tcPr>
            <w:tcW w:w="0" w:type="auto"/>
            <w:tcBorders>
              <w:top w:val="nil"/>
              <w:left w:val="nil"/>
              <w:bottom w:val="nil"/>
              <w:right w:val="nil"/>
            </w:tcBorders>
            <w:shd w:val="clear" w:color="auto" w:fill="auto"/>
            <w:vAlign w:val="bottom"/>
            <w:hideMark/>
          </w:tcPr>
          <w:p w14:paraId="7FD4984A"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0.25</w:t>
            </w:r>
          </w:p>
        </w:tc>
        <w:tc>
          <w:tcPr>
            <w:tcW w:w="0" w:type="auto"/>
            <w:tcBorders>
              <w:top w:val="nil"/>
              <w:left w:val="nil"/>
              <w:bottom w:val="nil"/>
              <w:right w:val="nil"/>
            </w:tcBorders>
            <w:shd w:val="clear" w:color="auto" w:fill="auto"/>
            <w:vAlign w:val="bottom"/>
            <w:hideMark/>
          </w:tcPr>
          <w:p w14:paraId="19E3541C"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1,046</w:t>
            </w:r>
          </w:p>
        </w:tc>
      </w:tr>
      <w:tr w:rsidR="00704B2E" w:rsidRPr="00704B2E" w14:paraId="0E15F974" w14:textId="77777777" w:rsidTr="00704B2E">
        <w:trPr>
          <w:trHeight w:val="765"/>
        </w:trPr>
        <w:tc>
          <w:tcPr>
            <w:tcW w:w="0" w:type="auto"/>
            <w:tcBorders>
              <w:top w:val="nil"/>
              <w:left w:val="nil"/>
              <w:bottom w:val="nil"/>
              <w:right w:val="nil"/>
            </w:tcBorders>
            <w:shd w:val="clear" w:color="auto" w:fill="auto"/>
            <w:vAlign w:val="bottom"/>
            <w:hideMark/>
          </w:tcPr>
          <w:p w14:paraId="468E5990"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Public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14:paraId="5E0EC865"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34 CFR 685.309(b)</w:t>
            </w:r>
          </w:p>
        </w:tc>
        <w:tc>
          <w:tcPr>
            <w:tcW w:w="0" w:type="auto"/>
            <w:tcBorders>
              <w:top w:val="nil"/>
              <w:left w:val="nil"/>
              <w:bottom w:val="nil"/>
              <w:right w:val="nil"/>
            </w:tcBorders>
            <w:shd w:val="clear" w:color="auto" w:fill="auto"/>
            <w:vAlign w:val="bottom"/>
            <w:hideMark/>
          </w:tcPr>
          <w:p w14:paraId="782AB7C9"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618</w:t>
            </w:r>
          </w:p>
        </w:tc>
        <w:tc>
          <w:tcPr>
            <w:tcW w:w="0" w:type="auto"/>
            <w:tcBorders>
              <w:top w:val="nil"/>
              <w:left w:val="nil"/>
              <w:bottom w:val="nil"/>
              <w:right w:val="nil"/>
            </w:tcBorders>
            <w:shd w:val="clear" w:color="auto" w:fill="auto"/>
            <w:vAlign w:val="bottom"/>
            <w:hideMark/>
          </w:tcPr>
          <w:p w14:paraId="19D985D8"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1,236</w:t>
            </w:r>
          </w:p>
        </w:tc>
        <w:tc>
          <w:tcPr>
            <w:tcW w:w="0" w:type="auto"/>
            <w:tcBorders>
              <w:top w:val="nil"/>
              <w:left w:val="nil"/>
              <w:bottom w:val="nil"/>
              <w:right w:val="nil"/>
            </w:tcBorders>
            <w:shd w:val="clear" w:color="auto" w:fill="auto"/>
            <w:vAlign w:val="bottom"/>
            <w:hideMark/>
          </w:tcPr>
          <w:p w14:paraId="48F071A1"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0.50</w:t>
            </w:r>
          </w:p>
        </w:tc>
        <w:tc>
          <w:tcPr>
            <w:tcW w:w="0" w:type="auto"/>
            <w:tcBorders>
              <w:top w:val="nil"/>
              <w:left w:val="nil"/>
              <w:bottom w:val="nil"/>
              <w:right w:val="nil"/>
            </w:tcBorders>
            <w:shd w:val="clear" w:color="auto" w:fill="auto"/>
            <w:vAlign w:val="bottom"/>
            <w:hideMark/>
          </w:tcPr>
          <w:p w14:paraId="4B44163D"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618</w:t>
            </w:r>
          </w:p>
        </w:tc>
      </w:tr>
      <w:tr w:rsidR="00704B2E" w:rsidRPr="00704B2E" w14:paraId="5C5A0997" w14:textId="77777777" w:rsidTr="00704B2E">
        <w:trPr>
          <w:trHeight w:val="255"/>
        </w:trPr>
        <w:tc>
          <w:tcPr>
            <w:tcW w:w="0" w:type="auto"/>
            <w:tcBorders>
              <w:top w:val="nil"/>
              <w:left w:val="nil"/>
              <w:bottom w:val="nil"/>
              <w:right w:val="nil"/>
            </w:tcBorders>
            <w:shd w:val="clear" w:color="auto" w:fill="auto"/>
            <w:vAlign w:val="bottom"/>
            <w:hideMark/>
          </w:tcPr>
          <w:p w14:paraId="7C0FA211"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EC95896"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D5880C9"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751501A"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57AA7F3"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D89D916" w14:textId="77777777" w:rsidR="00704B2E" w:rsidRPr="00704B2E" w:rsidRDefault="00704B2E" w:rsidP="00704B2E">
            <w:pPr>
              <w:spacing w:after="0" w:line="240" w:lineRule="auto"/>
              <w:rPr>
                <w:rFonts w:asciiTheme="minorHAnsi" w:eastAsia="Times New Roman" w:hAnsiTheme="minorHAnsi" w:cstheme="minorHAnsi"/>
                <w:sz w:val="20"/>
                <w:szCs w:val="20"/>
              </w:rPr>
            </w:pPr>
          </w:p>
        </w:tc>
      </w:tr>
      <w:tr w:rsidR="00704B2E" w:rsidRPr="00704B2E" w14:paraId="7F95DDEE" w14:textId="77777777" w:rsidTr="00704B2E">
        <w:trPr>
          <w:trHeight w:val="510"/>
        </w:trPr>
        <w:tc>
          <w:tcPr>
            <w:tcW w:w="0" w:type="auto"/>
            <w:tcBorders>
              <w:top w:val="nil"/>
              <w:left w:val="nil"/>
              <w:bottom w:val="nil"/>
              <w:right w:val="nil"/>
            </w:tcBorders>
            <w:shd w:val="clear" w:color="auto" w:fill="auto"/>
            <w:vAlign w:val="bottom"/>
            <w:hideMark/>
          </w:tcPr>
          <w:p w14:paraId="052ED594" w14:textId="77777777" w:rsidR="00704B2E" w:rsidRPr="00704B2E" w:rsidRDefault="00704B2E" w:rsidP="00704B2E">
            <w:pPr>
              <w:spacing w:after="0" w:line="240" w:lineRule="auto"/>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lastRenderedPageBreak/>
              <w:t>TOTAL 34 CFR 685.309(b) - additional reporting to NSLDS</w:t>
            </w:r>
          </w:p>
        </w:tc>
        <w:tc>
          <w:tcPr>
            <w:tcW w:w="0" w:type="auto"/>
            <w:tcBorders>
              <w:top w:val="nil"/>
              <w:left w:val="nil"/>
              <w:bottom w:val="nil"/>
              <w:right w:val="nil"/>
            </w:tcBorders>
            <w:shd w:val="clear" w:color="auto" w:fill="auto"/>
            <w:noWrap/>
            <w:vAlign w:val="bottom"/>
            <w:hideMark/>
          </w:tcPr>
          <w:p w14:paraId="70C43B92"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32E41B5"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8,196</w:t>
            </w:r>
          </w:p>
        </w:tc>
        <w:tc>
          <w:tcPr>
            <w:tcW w:w="0" w:type="auto"/>
            <w:tcBorders>
              <w:top w:val="nil"/>
              <w:left w:val="nil"/>
              <w:bottom w:val="nil"/>
              <w:right w:val="nil"/>
            </w:tcBorders>
            <w:shd w:val="clear" w:color="auto" w:fill="auto"/>
            <w:noWrap/>
            <w:vAlign w:val="bottom"/>
            <w:hideMark/>
          </w:tcPr>
          <w:p w14:paraId="109B855D"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16,392</w:t>
            </w:r>
          </w:p>
        </w:tc>
        <w:tc>
          <w:tcPr>
            <w:tcW w:w="0" w:type="auto"/>
            <w:tcBorders>
              <w:top w:val="nil"/>
              <w:left w:val="nil"/>
              <w:bottom w:val="nil"/>
              <w:right w:val="nil"/>
            </w:tcBorders>
            <w:shd w:val="clear" w:color="auto" w:fill="auto"/>
            <w:noWrap/>
            <w:vAlign w:val="bottom"/>
            <w:hideMark/>
          </w:tcPr>
          <w:p w14:paraId="3957F4A3" w14:textId="77777777" w:rsidR="00704B2E" w:rsidRPr="00704B2E" w:rsidRDefault="00704B2E" w:rsidP="00704B2E">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E50DF5D" w14:textId="77777777" w:rsidR="00704B2E" w:rsidRPr="00704B2E" w:rsidRDefault="00704B2E" w:rsidP="00704B2E">
            <w:pPr>
              <w:spacing w:after="0" w:line="240" w:lineRule="auto"/>
              <w:jc w:val="right"/>
              <w:rPr>
                <w:rFonts w:asciiTheme="minorHAnsi" w:eastAsia="Times New Roman" w:hAnsiTheme="minorHAnsi" w:cstheme="minorHAnsi"/>
                <w:sz w:val="20"/>
                <w:szCs w:val="20"/>
              </w:rPr>
            </w:pPr>
            <w:r w:rsidRPr="00704B2E">
              <w:rPr>
                <w:rFonts w:asciiTheme="minorHAnsi" w:eastAsia="Times New Roman" w:hAnsiTheme="minorHAnsi" w:cstheme="minorHAnsi"/>
                <w:sz w:val="20"/>
                <w:szCs w:val="20"/>
              </w:rPr>
              <w:t>5,032</w:t>
            </w:r>
          </w:p>
        </w:tc>
      </w:tr>
    </w:tbl>
    <w:p w14:paraId="336FEA13" w14:textId="77777777" w:rsidR="00AF5295" w:rsidRDefault="00AF5295" w:rsidP="00AF5295">
      <w:pPr>
        <w:pStyle w:val="ListParagraph"/>
        <w:spacing w:line="240" w:lineRule="auto"/>
        <w:ind w:left="0"/>
        <w:jc w:val="both"/>
        <w:rPr>
          <w:rFonts w:asciiTheme="minorHAnsi" w:hAnsiTheme="minorHAnsi" w:cstheme="minorHAnsi"/>
          <w:szCs w:val="24"/>
        </w:rPr>
      </w:pPr>
    </w:p>
    <w:p w14:paraId="6773A30E" w14:textId="77777777" w:rsidR="00EC4A41" w:rsidRPr="00A47C2A" w:rsidRDefault="00EC4A41" w:rsidP="00A47C2A">
      <w:pPr>
        <w:pStyle w:val="ListParagraph"/>
        <w:spacing w:line="240" w:lineRule="auto"/>
        <w:ind w:left="0"/>
        <w:jc w:val="both"/>
        <w:rPr>
          <w:rFonts w:asciiTheme="minorHAnsi" w:hAnsiTheme="minorHAnsi" w:cstheme="minorHAnsi"/>
          <w:b/>
          <w:szCs w:val="24"/>
          <w:u w:val="single"/>
        </w:rPr>
      </w:pPr>
      <w:r w:rsidRPr="00A47C2A">
        <w:rPr>
          <w:rFonts w:asciiTheme="minorHAnsi" w:hAnsiTheme="minorHAnsi" w:cstheme="minorHAnsi"/>
          <w:b/>
          <w:szCs w:val="24"/>
          <w:u w:val="single"/>
        </w:rPr>
        <w:t>Section 685.304 – Entrance and Exit Counseling for Borrowers by Institutions</w:t>
      </w:r>
    </w:p>
    <w:p w14:paraId="5A434D37"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The regulations implement a new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14:paraId="62F61DDB"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For entrance counseling, the added counseling requirements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14:paraId="16E44376"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For exit counseling, the requirements added under new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
    <w:p w14:paraId="4DFCC4BB"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The burden associated with entrance and exit counseling is two-fold, there is burden on borrowers, who are required to complete entrance counseling by virtue of their participation in the Title IV loan programs and there is burden on institutions, which are required to provide counseling to such borrowers.</w:t>
      </w:r>
    </w:p>
    <w:p w14:paraId="751422FB"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lastRenderedPageBreak/>
        <w:t>We estimate that each entrance counseling interview will take 2 additional minutes (0.03 hours) per borrower to complete and estimated that number of borrowers who took entrance counseling in the last award year as 2,723,751.  Therefore, we estimate that burden will increase by 81,713 hours (2,723,751 borrowers multiplied by 1 interview per borrower multiplied by 0.03 additional hours per interview).</w:t>
      </w:r>
    </w:p>
    <w:p w14:paraId="208EEA5A"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We estimate that, for all institutions, the additional entrance counseling requirements will add 1 hour of burden per institution to incorporate new material into their counseling and implement new counseling procedures.  Of the 5,847 institutions that are required to perform entrance counseling, 1,933 are public institutions, 1,750 are private, not-for-profit institutions, and 2,164 are proprietary institutions.  For the 1,933 public institutions, we estimate that burden will increase by 1,933 hours (1,933 institutions multiplied by 1 hour).  For the 1,740 private, not-for-profit institutions, we estimate that burden will increase by 1,750 hours (1,750 institutions multiplied by 1 hour).  Of the 2,164 proprietary institutions, we estimate that burden will increase by 2,164 hours (2,164 institutions multiplied by 1 hour).  Collectively, we estimate that the total burden created for institutions of higher education to provide the added entrance counseling is 5,847 hours (1,933 hours + 1,750 hours + 2,164 hours).</w:t>
      </w:r>
    </w:p>
    <w:p w14:paraId="25C13937"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We estimate that each exit counseling interview will take an additional 3 minutes (0.05 hours) per borrower to complete and estimated the 2,699,275 borrowers took exit counseling in the most recently completed award year.  Therefore, we estimate that burden will increase by </w:t>
      </w:r>
      <w:r w:rsidR="00186247" w:rsidRPr="00186247">
        <w:rPr>
          <w:rFonts w:asciiTheme="minorHAnsi" w:hAnsiTheme="minorHAnsi" w:cstheme="minorHAnsi"/>
          <w:szCs w:val="24"/>
        </w:rPr>
        <w:t>134,964</w:t>
      </w:r>
      <w:r w:rsidRPr="00EC4A41">
        <w:rPr>
          <w:rFonts w:asciiTheme="minorHAnsi" w:hAnsiTheme="minorHAnsi" w:cstheme="minorHAnsi"/>
          <w:szCs w:val="24"/>
        </w:rPr>
        <w:t xml:space="preserve"> hours (2,699,275 borrowers multiplied by 1 interview per borrower multiplied by 0.</w:t>
      </w:r>
      <w:r w:rsidR="00186247">
        <w:rPr>
          <w:rFonts w:asciiTheme="minorHAnsi" w:hAnsiTheme="minorHAnsi" w:cstheme="minorHAnsi"/>
          <w:szCs w:val="24"/>
        </w:rPr>
        <w:t>05</w:t>
      </w:r>
      <w:r w:rsidRPr="00EC4A41">
        <w:rPr>
          <w:rFonts w:asciiTheme="minorHAnsi" w:hAnsiTheme="minorHAnsi" w:cstheme="minorHAnsi"/>
          <w:szCs w:val="24"/>
        </w:rPr>
        <w:t xml:space="preserve"> additional hours per interview).</w:t>
      </w:r>
    </w:p>
    <w:p w14:paraId="00BCC781" w14:textId="77777777" w:rsidR="00EC4A41" w:rsidRP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Of the 5,847 institutions, 1,933 are public institutions, 1,750 are private, not-for-profit institutions, and 2,164 are proprietary institutions.  We estimate that, for all institutions, the additional exit counseling requirements will add 1.5 hours of burden per institution to incorporate new material into their counseling and implement new counseling procedures.  For the 1,933 public institutions, we estimate that burden will increase by 2,900 hours (1,933 institutions multiplied by 1.5 hours).  For the 1,750 private, not-for-profit institutions, we estimate that burden will increase by 2,625 hours (1,750 institutions multiplied by 1.5 hours).  Of the 2,164 proprietary institutions, we estimate that burden will increase by 3,246 hours (2,164 institutions multiplied by 1.5 hours).  The total burden created for institutions of higher education to provide the added exit counseling is 8,771 hours (2,900 hours + 2,625 hours + 3,246 hours).</w:t>
      </w:r>
    </w:p>
    <w:p w14:paraId="653E4F24" w14:textId="77777777" w:rsidR="00EC4A41" w:rsidRDefault="00EC4A41" w:rsidP="00A47C2A">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Collectively, under 1845-NEW1 the new entrance and exit counseling regulatory requirements in section 685.304, will add </w:t>
      </w:r>
      <w:r w:rsidR="00C26E95">
        <w:rPr>
          <w:rFonts w:asciiTheme="minorHAnsi" w:hAnsiTheme="minorHAnsi" w:cstheme="minorHAnsi"/>
          <w:szCs w:val="24"/>
        </w:rPr>
        <w:t>231,322</w:t>
      </w:r>
      <w:r w:rsidRPr="00EC4A41">
        <w:rPr>
          <w:rFonts w:asciiTheme="minorHAnsi" w:hAnsiTheme="minorHAnsi" w:cstheme="minorHAnsi"/>
          <w:szCs w:val="24"/>
        </w:rPr>
        <w:t xml:space="preserve"> hours ([81,713 + </w:t>
      </w:r>
      <w:r w:rsidR="00186247">
        <w:rPr>
          <w:rFonts w:asciiTheme="minorHAnsi" w:hAnsiTheme="minorHAnsi" w:cstheme="minorHAnsi"/>
          <w:szCs w:val="24"/>
        </w:rPr>
        <w:t>134,964</w:t>
      </w:r>
      <w:r w:rsidRPr="00EC4A41">
        <w:rPr>
          <w:rFonts w:asciiTheme="minorHAnsi" w:hAnsiTheme="minorHAnsi" w:cstheme="minorHAnsi"/>
          <w:szCs w:val="24"/>
        </w:rPr>
        <w:t xml:space="preserve"> for borrowers] + [5,847 + 8,771 hours for institutions]) of additional burden on institutions and borrowers.</w:t>
      </w:r>
    </w:p>
    <w:tbl>
      <w:tblPr>
        <w:tblW w:w="0" w:type="auto"/>
        <w:tblInd w:w="93" w:type="dxa"/>
        <w:tblLook w:val="04A0" w:firstRow="1" w:lastRow="0" w:firstColumn="1" w:lastColumn="0" w:noHBand="0" w:noVBand="1"/>
      </w:tblPr>
      <w:tblGrid>
        <w:gridCol w:w="3761"/>
        <w:gridCol w:w="2224"/>
        <w:gridCol w:w="1026"/>
        <w:gridCol w:w="1026"/>
        <w:gridCol w:w="571"/>
        <w:gridCol w:w="875"/>
      </w:tblGrid>
      <w:tr w:rsidR="00222C99" w:rsidRPr="00222C99" w14:paraId="57F50588" w14:textId="77777777" w:rsidTr="00222C99">
        <w:trPr>
          <w:trHeight w:val="510"/>
        </w:trPr>
        <w:tc>
          <w:tcPr>
            <w:tcW w:w="0" w:type="auto"/>
            <w:tcBorders>
              <w:top w:val="nil"/>
              <w:left w:val="nil"/>
              <w:bottom w:val="nil"/>
              <w:right w:val="nil"/>
            </w:tcBorders>
            <w:shd w:val="clear" w:color="auto" w:fill="auto"/>
            <w:vAlign w:val="bottom"/>
            <w:hideMark/>
          </w:tcPr>
          <w:p w14:paraId="226F0986"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1. 34 CFR 685.304(a)(6)(xii) - entrance counseling explaining new provisions </w:t>
            </w:r>
          </w:p>
        </w:tc>
        <w:tc>
          <w:tcPr>
            <w:tcW w:w="0" w:type="auto"/>
            <w:tcBorders>
              <w:top w:val="nil"/>
              <w:left w:val="nil"/>
              <w:bottom w:val="nil"/>
              <w:right w:val="nil"/>
            </w:tcBorders>
            <w:shd w:val="clear" w:color="auto" w:fill="auto"/>
            <w:noWrap/>
            <w:vAlign w:val="bottom"/>
            <w:hideMark/>
          </w:tcPr>
          <w:p w14:paraId="18CD18C6"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F3C1529"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F048656"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BA24CD0"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C698A8C"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426A3D3C" w14:textId="77777777" w:rsidTr="00222C99">
        <w:trPr>
          <w:trHeight w:val="255"/>
        </w:trPr>
        <w:tc>
          <w:tcPr>
            <w:tcW w:w="0" w:type="auto"/>
            <w:tcBorders>
              <w:top w:val="nil"/>
              <w:left w:val="nil"/>
              <w:bottom w:val="nil"/>
              <w:right w:val="nil"/>
            </w:tcBorders>
            <w:shd w:val="clear" w:color="auto" w:fill="auto"/>
            <w:noWrap/>
            <w:vAlign w:val="bottom"/>
            <w:hideMark/>
          </w:tcPr>
          <w:p w14:paraId="6DE22917"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14:paraId="184F4CC5"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540ED5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6DD2EC5"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E57F616"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F887E83"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7C791121" w14:textId="77777777" w:rsidTr="00222C99">
        <w:trPr>
          <w:trHeight w:val="510"/>
        </w:trPr>
        <w:tc>
          <w:tcPr>
            <w:tcW w:w="0" w:type="auto"/>
            <w:tcBorders>
              <w:top w:val="nil"/>
              <w:left w:val="nil"/>
              <w:bottom w:val="nil"/>
              <w:right w:val="nil"/>
            </w:tcBorders>
            <w:shd w:val="clear" w:color="auto" w:fill="auto"/>
            <w:vAlign w:val="bottom"/>
            <w:hideMark/>
          </w:tcPr>
          <w:p w14:paraId="00BBF1E1"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Students receiving entrance counseling explaining new provisions</w:t>
            </w:r>
          </w:p>
        </w:tc>
        <w:tc>
          <w:tcPr>
            <w:tcW w:w="0" w:type="auto"/>
            <w:tcBorders>
              <w:top w:val="nil"/>
              <w:left w:val="nil"/>
              <w:bottom w:val="nil"/>
              <w:right w:val="nil"/>
            </w:tcBorders>
            <w:shd w:val="clear" w:color="auto" w:fill="auto"/>
            <w:noWrap/>
            <w:vAlign w:val="bottom"/>
            <w:hideMark/>
          </w:tcPr>
          <w:p w14:paraId="453AF85D"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14:paraId="0256E766"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2,723,751</w:t>
            </w:r>
          </w:p>
        </w:tc>
        <w:tc>
          <w:tcPr>
            <w:tcW w:w="0" w:type="auto"/>
            <w:tcBorders>
              <w:top w:val="nil"/>
              <w:left w:val="nil"/>
              <w:bottom w:val="nil"/>
              <w:right w:val="nil"/>
            </w:tcBorders>
            <w:shd w:val="clear" w:color="auto" w:fill="auto"/>
            <w:noWrap/>
            <w:vAlign w:val="bottom"/>
            <w:hideMark/>
          </w:tcPr>
          <w:p w14:paraId="5AF7EA4D"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2,723,751</w:t>
            </w:r>
          </w:p>
        </w:tc>
        <w:tc>
          <w:tcPr>
            <w:tcW w:w="0" w:type="auto"/>
            <w:tcBorders>
              <w:top w:val="nil"/>
              <w:left w:val="nil"/>
              <w:bottom w:val="nil"/>
              <w:right w:val="nil"/>
            </w:tcBorders>
            <w:shd w:val="clear" w:color="auto" w:fill="auto"/>
            <w:noWrap/>
            <w:vAlign w:val="bottom"/>
            <w:hideMark/>
          </w:tcPr>
          <w:p w14:paraId="73E4794B"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0.03</w:t>
            </w:r>
          </w:p>
        </w:tc>
        <w:tc>
          <w:tcPr>
            <w:tcW w:w="0" w:type="auto"/>
            <w:tcBorders>
              <w:top w:val="nil"/>
              <w:left w:val="nil"/>
              <w:bottom w:val="nil"/>
              <w:right w:val="nil"/>
            </w:tcBorders>
            <w:shd w:val="clear" w:color="auto" w:fill="auto"/>
            <w:noWrap/>
            <w:vAlign w:val="bottom"/>
            <w:hideMark/>
          </w:tcPr>
          <w:p w14:paraId="1F0E239D"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81,713</w:t>
            </w:r>
          </w:p>
        </w:tc>
      </w:tr>
      <w:tr w:rsidR="00222C99" w:rsidRPr="00222C99" w14:paraId="5ABA77B3" w14:textId="77777777" w:rsidTr="00222C99">
        <w:trPr>
          <w:trHeight w:val="255"/>
        </w:trPr>
        <w:tc>
          <w:tcPr>
            <w:tcW w:w="0" w:type="auto"/>
            <w:tcBorders>
              <w:top w:val="nil"/>
              <w:left w:val="nil"/>
              <w:bottom w:val="nil"/>
              <w:right w:val="nil"/>
            </w:tcBorders>
            <w:shd w:val="clear" w:color="auto" w:fill="auto"/>
            <w:noWrap/>
            <w:vAlign w:val="bottom"/>
            <w:hideMark/>
          </w:tcPr>
          <w:p w14:paraId="4B9309B0" w14:textId="77777777"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62E77196"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3FD80B9"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F40355E"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D4C09CD"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920CF38"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74FCBB92" w14:textId="77777777" w:rsidTr="00222C99">
        <w:trPr>
          <w:trHeight w:val="255"/>
        </w:trPr>
        <w:tc>
          <w:tcPr>
            <w:tcW w:w="0" w:type="auto"/>
            <w:tcBorders>
              <w:top w:val="nil"/>
              <w:left w:val="nil"/>
              <w:bottom w:val="nil"/>
              <w:right w:val="nil"/>
            </w:tcBorders>
            <w:shd w:val="clear" w:color="auto" w:fill="auto"/>
            <w:noWrap/>
            <w:vAlign w:val="bottom"/>
            <w:hideMark/>
          </w:tcPr>
          <w:p w14:paraId="3E8EFE7F"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lastRenderedPageBreak/>
              <w:t xml:space="preserve">   Private Sector</w:t>
            </w:r>
          </w:p>
        </w:tc>
        <w:tc>
          <w:tcPr>
            <w:tcW w:w="0" w:type="auto"/>
            <w:tcBorders>
              <w:top w:val="nil"/>
              <w:left w:val="nil"/>
              <w:bottom w:val="nil"/>
              <w:right w:val="nil"/>
            </w:tcBorders>
            <w:shd w:val="clear" w:color="auto" w:fill="auto"/>
            <w:noWrap/>
            <w:vAlign w:val="bottom"/>
            <w:hideMark/>
          </w:tcPr>
          <w:p w14:paraId="0EC61A4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0EA6B28"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C1DD02D"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EC7FE6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9769347"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237B48B9" w14:textId="77777777" w:rsidTr="00222C99">
        <w:trPr>
          <w:trHeight w:val="255"/>
        </w:trPr>
        <w:tc>
          <w:tcPr>
            <w:tcW w:w="0" w:type="auto"/>
            <w:tcBorders>
              <w:top w:val="nil"/>
              <w:left w:val="nil"/>
              <w:bottom w:val="nil"/>
              <w:right w:val="nil"/>
            </w:tcBorders>
            <w:shd w:val="clear" w:color="auto" w:fill="auto"/>
            <w:noWrap/>
            <w:vAlign w:val="bottom"/>
            <w:hideMark/>
          </w:tcPr>
          <w:p w14:paraId="1EB4B365"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14:paraId="1552FE23"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BEC536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447F288"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72FFEA7"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749562A"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2E96409A" w14:textId="77777777" w:rsidTr="00222C99">
        <w:trPr>
          <w:trHeight w:val="765"/>
        </w:trPr>
        <w:tc>
          <w:tcPr>
            <w:tcW w:w="0" w:type="auto"/>
            <w:tcBorders>
              <w:top w:val="nil"/>
              <w:left w:val="nil"/>
              <w:bottom w:val="nil"/>
              <w:right w:val="nil"/>
            </w:tcBorders>
            <w:shd w:val="clear" w:color="auto" w:fill="auto"/>
            <w:vAlign w:val="bottom"/>
            <w:hideMark/>
          </w:tcPr>
          <w:p w14:paraId="4BA1B547"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Proprietary institutions - provide entrance counseling to students explaining new provisions</w:t>
            </w:r>
          </w:p>
        </w:tc>
        <w:tc>
          <w:tcPr>
            <w:tcW w:w="0" w:type="auto"/>
            <w:tcBorders>
              <w:top w:val="nil"/>
              <w:left w:val="nil"/>
              <w:bottom w:val="nil"/>
              <w:right w:val="nil"/>
            </w:tcBorders>
            <w:shd w:val="clear" w:color="auto" w:fill="auto"/>
            <w:noWrap/>
            <w:vAlign w:val="bottom"/>
            <w:hideMark/>
          </w:tcPr>
          <w:p w14:paraId="15B436FE"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14:paraId="3DAE6BB7"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14:paraId="67672338"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14:paraId="7ABF1014"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1.00</w:t>
            </w:r>
          </w:p>
        </w:tc>
        <w:tc>
          <w:tcPr>
            <w:tcW w:w="0" w:type="auto"/>
            <w:tcBorders>
              <w:top w:val="nil"/>
              <w:left w:val="nil"/>
              <w:bottom w:val="nil"/>
              <w:right w:val="nil"/>
            </w:tcBorders>
            <w:shd w:val="clear" w:color="auto" w:fill="auto"/>
            <w:noWrap/>
            <w:vAlign w:val="bottom"/>
            <w:hideMark/>
          </w:tcPr>
          <w:p w14:paraId="0ED8CF52"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r>
      <w:tr w:rsidR="00222C99" w:rsidRPr="00222C99" w14:paraId="76806038" w14:textId="77777777" w:rsidTr="00222C99">
        <w:trPr>
          <w:trHeight w:val="255"/>
        </w:trPr>
        <w:tc>
          <w:tcPr>
            <w:tcW w:w="0" w:type="auto"/>
            <w:tcBorders>
              <w:top w:val="nil"/>
              <w:left w:val="nil"/>
              <w:bottom w:val="nil"/>
              <w:right w:val="nil"/>
            </w:tcBorders>
            <w:shd w:val="clear" w:color="auto" w:fill="auto"/>
            <w:noWrap/>
            <w:vAlign w:val="bottom"/>
            <w:hideMark/>
          </w:tcPr>
          <w:p w14:paraId="5539162E" w14:textId="77777777"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0A14D26F"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BD9992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5D478A8"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3258D9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2B4A08F"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5C79A70D" w14:textId="77777777" w:rsidTr="00222C99">
        <w:trPr>
          <w:trHeight w:val="255"/>
        </w:trPr>
        <w:tc>
          <w:tcPr>
            <w:tcW w:w="0" w:type="auto"/>
            <w:tcBorders>
              <w:top w:val="nil"/>
              <w:left w:val="nil"/>
              <w:bottom w:val="nil"/>
              <w:right w:val="nil"/>
            </w:tcBorders>
            <w:shd w:val="clear" w:color="auto" w:fill="auto"/>
            <w:noWrap/>
            <w:vAlign w:val="bottom"/>
            <w:hideMark/>
          </w:tcPr>
          <w:p w14:paraId="35F8461F"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14:paraId="10A6DDD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C986A7F"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E3A8698"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64A43D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A189785"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347307B1" w14:textId="77777777" w:rsidTr="00222C99">
        <w:trPr>
          <w:trHeight w:val="765"/>
        </w:trPr>
        <w:tc>
          <w:tcPr>
            <w:tcW w:w="0" w:type="auto"/>
            <w:tcBorders>
              <w:top w:val="nil"/>
              <w:left w:val="nil"/>
              <w:bottom w:val="nil"/>
              <w:right w:val="nil"/>
            </w:tcBorders>
            <w:shd w:val="clear" w:color="auto" w:fill="auto"/>
            <w:vAlign w:val="bottom"/>
            <w:hideMark/>
          </w:tcPr>
          <w:p w14:paraId="420A807A"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Not-for-profit institutions - provide entrance counseling to students explaining new provisions</w:t>
            </w:r>
          </w:p>
        </w:tc>
        <w:tc>
          <w:tcPr>
            <w:tcW w:w="0" w:type="auto"/>
            <w:tcBorders>
              <w:top w:val="nil"/>
              <w:left w:val="nil"/>
              <w:bottom w:val="nil"/>
              <w:right w:val="nil"/>
            </w:tcBorders>
            <w:shd w:val="clear" w:color="auto" w:fill="auto"/>
            <w:noWrap/>
            <w:vAlign w:val="bottom"/>
            <w:hideMark/>
          </w:tcPr>
          <w:p w14:paraId="27EFB199"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14:paraId="317CF5ED"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14:paraId="21F3598B"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14:paraId="0FBEF82D"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1.00</w:t>
            </w:r>
          </w:p>
        </w:tc>
        <w:tc>
          <w:tcPr>
            <w:tcW w:w="0" w:type="auto"/>
            <w:tcBorders>
              <w:top w:val="nil"/>
              <w:left w:val="nil"/>
              <w:bottom w:val="nil"/>
              <w:right w:val="nil"/>
            </w:tcBorders>
            <w:shd w:val="clear" w:color="auto" w:fill="auto"/>
            <w:noWrap/>
            <w:vAlign w:val="bottom"/>
            <w:hideMark/>
          </w:tcPr>
          <w:p w14:paraId="2C437F2F"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r>
      <w:tr w:rsidR="00222C99" w:rsidRPr="00222C99" w14:paraId="34A202D5" w14:textId="77777777" w:rsidTr="00222C99">
        <w:trPr>
          <w:trHeight w:val="255"/>
        </w:trPr>
        <w:tc>
          <w:tcPr>
            <w:tcW w:w="0" w:type="auto"/>
            <w:tcBorders>
              <w:top w:val="nil"/>
              <w:left w:val="nil"/>
              <w:bottom w:val="nil"/>
              <w:right w:val="nil"/>
            </w:tcBorders>
            <w:shd w:val="clear" w:color="auto" w:fill="auto"/>
            <w:vAlign w:val="bottom"/>
            <w:hideMark/>
          </w:tcPr>
          <w:p w14:paraId="3BFACE1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14:paraId="1FC047EE"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E944290"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8CA64A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78357EB"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4D0ADA2"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1E3FB08C" w14:textId="77777777" w:rsidTr="00222C99">
        <w:trPr>
          <w:trHeight w:val="255"/>
        </w:trPr>
        <w:tc>
          <w:tcPr>
            <w:tcW w:w="0" w:type="auto"/>
            <w:tcBorders>
              <w:top w:val="nil"/>
              <w:left w:val="nil"/>
              <w:bottom w:val="nil"/>
              <w:right w:val="nil"/>
            </w:tcBorders>
            <w:shd w:val="clear" w:color="auto" w:fill="auto"/>
            <w:noWrap/>
            <w:vAlign w:val="bottom"/>
            <w:hideMark/>
          </w:tcPr>
          <w:p w14:paraId="46537D32"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14:paraId="0BF6BC83"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3AA9CC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34E0239"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2B7FC7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75CCD60"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6D83F2B9" w14:textId="77777777" w:rsidTr="00222C99">
        <w:trPr>
          <w:trHeight w:val="765"/>
        </w:trPr>
        <w:tc>
          <w:tcPr>
            <w:tcW w:w="0" w:type="auto"/>
            <w:tcBorders>
              <w:top w:val="nil"/>
              <w:left w:val="nil"/>
              <w:bottom w:val="nil"/>
              <w:right w:val="nil"/>
            </w:tcBorders>
            <w:shd w:val="clear" w:color="auto" w:fill="auto"/>
            <w:vAlign w:val="bottom"/>
            <w:hideMark/>
          </w:tcPr>
          <w:p w14:paraId="0C64A814"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Public institutions - provide entrance counseling to students explaining new provisions</w:t>
            </w:r>
          </w:p>
        </w:tc>
        <w:tc>
          <w:tcPr>
            <w:tcW w:w="0" w:type="auto"/>
            <w:tcBorders>
              <w:top w:val="nil"/>
              <w:left w:val="nil"/>
              <w:bottom w:val="nil"/>
              <w:right w:val="nil"/>
            </w:tcBorders>
            <w:shd w:val="clear" w:color="auto" w:fill="auto"/>
            <w:noWrap/>
            <w:vAlign w:val="bottom"/>
            <w:hideMark/>
          </w:tcPr>
          <w:p w14:paraId="0C90CA1B"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685.304(a)(6)(xii)</w:t>
            </w:r>
          </w:p>
        </w:tc>
        <w:tc>
          <w:tcPr>
            <w:tcW w:w="0" w:type="auto"/>
            <w:tcBorders>
              <w:top w:val="nil"/>
              <w:left w:val="nil"/>
              <w:bottom w:val="nil"/>
              <w:right w:val="nil"/>
            </w:tcBorders>
            <w:shd w:val="clear" w:color="auto" w:fill="auto"/>
            <w:noWrap/>
            <w:vAlign w:val="bottom"/>
            <w:hideMark/>
          </w:tcPr>
          <w:p w14:paraId="29A6222F"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14:paraId="657A3DA3"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14:paraId="1D9B8AE1"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1.00</w:t>
            </w:r>
          </w:p>
        </w:tc>
        <w:tc>
          <w:tcPr>
            <w:tcW w:w="0" w:type="auto"/>
            <w:tcBorders>
              <w:top w:val="nil"/>
              <w:left w:val="nil"/>
              <w:bottom w:val="nil"/>
              <w:right w:val="nil"/>
            </w:tcBorders>
            <w:shd w:val="clear" w:color="auto" w:fill="auto"/>
            <w:noWrap/>
            <w:vAlign w:val="bottom"/>
            <w:hideMark/>
          </w:tcPr>
          <w:p w14:paraId="732BAC75"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r>
      <w:tr w:rsidR="00222C99" w:rsidRPr="00222C99" w14:paraId="596E786A" w14:textId="77777777" w:rsidTr="00222C99">
        <w:trPr>
          <w:trHeight w:val="255"/>
        </w:trPr>
        <w:tc>
          <w:tcPr>
            <w:tcW w:w="0" w:type="auto"/>
            <w:tcBorders>
              <w:top w:val="nil"/>
              <w:left w:val="nil"/>
              <w:bottom w:val="nil"/>
              <w:right w:val="nil"/>
            </w:tcBorders>
            <w:shd w:val="clear" w:color="auto" w:fill="auto"/>
            <w:vAlign w:val="bottom"/>
            <w:hideMark/>
          </w:tcPr>
          <w:p w14:paraId="7A038489"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14:paraId="74007A2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15BD44F"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AECAAF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466F45B"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CB93D39"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570C58F1" w14:textId="77777777" w:rsidTr="00222C99">
        <w:trPr>
          <w:trHeight w:val="510"/>
        </w:trPr>
        <w:tc>
          <w:tcPr>
            <w:tcW w:w="0" w:type="auto"/>
            <w:tcBorders>
              <w:top w:val="nil"/>
              <w:left w:val="nil"/>
              <w:bottom w:val="nil"/>
              <w:right w:val="nil"/>
            </w:tcBorders>
            <w:shd w:val="clear" w:color="auto" w:fill="auto"/>
            <w:vAlign w:val="bottom"/>
            <w:hideMark/>
          </w:tcPr>
          <w:p w14:paraId="7E0E69FF"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TOTAL 34 CFR 685.304(a)(6)(xii) - exit counseling explaining new provisions</w:t>
            </w:r>
          </w:p>
        </w:tc>
        <w:tc>
          <w:tcPr>
            <w:tcW w:w="0" w:type="auto"/>
            <w:tcBorders>
              <w:top w:val="nil"/>
              <w:left w:val="nil"/>
              <w:bottom w:val="nil"/>
              <w:right w:val="nil"/>
            </w:tcBorders>
            <w:shd w:val="clear" w:color="auto" w:fill="auto"/>
            <w:vAlign w:val="bottom"/>
            <w:hideMark/>
          </w:tcPr>
          <w:p w14:paraId="0A0566A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C3F063C"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2,729,598</w:t>
            </w:r>
          </w:p>
        </w:tc>
        <w:tc>
          <w:tcPr>
            <w:tcW w:w="0" w:type="auto"/>
            <w:tcBorders>
              <w:top w:val="nil"/>
              <w:left w:val="nil"/>
              <w:bottom w:val="nil"/>
              <w:right w:val="nil"/>
            </w:tcBorders>
            <w:shd w:val="clear" w:color="auto" w:fill="auto"/>
            <w:noWrap/>
            <w:vAlign w:val="bottom"/>
            <w:hideMark/>
          </w:tcPr>
          <w:p w14:paraId="68DED3CE"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2,729,598</w:t>
            </w:r>
          </w:p>
        </w:tc>
        <w:tc>
          <w:tcPr>
            <w:tcW w:w="0" w:type="auto"/>
            <w:tcBorders>
              <w:top w:val="nil"/>
              <w:left w:val="nil"/>
              <w:bottom w:val="nil"/>
              <w:right w:val="nil"/>
            </w:tcBorders>
            <w:shd w:val="clear" w:color="auto" w:fill="auto"/>
            <w:noWrap/>
            <w:vAlign w:val="bottom"/>
            <w:hideMark/>
          </w:tcPr>
          <w:p w14:paraId="477085E3"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2CD3F90"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87,560</w:t>
            </w:r>
          </w:p>
        </w:tc>
      </w:tr>
      <w:tr w:rsidR="00222C99" w:rsidRPr="00222C99" w14:paraId="1BDC1EAF" w14:textId="77777777" w:rsidTr="00222C99">
        <w:trPr>
          <w:trHeight w:val="255"/>
        </w:trPr>
        <w:tc>
          <w:tcPr>
            <w:tcW w:w="0" w:type="auto"/>
            <w:tcBorders>
              <w:top w:val="nil"/>
              <w:left w:val="nil"/>
              <w:bottom w:val="nil"/>
              <w:right w:val="nil"/>
            </w:tcBorders>
            <w:shd w:val="clear" w:color="auto" w:fill="auto"/>
            <w:noWrap/>
            <w:vAlign w:val="bottom"/>
            <w:hideMark/>
          </w:tcPr>
          <w:p w14:paraId="0FBD0965"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14:paraId="621E141F"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6F6DE73"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7C0BEEA"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868E860"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BA7B51E"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0791D1F0" w14:textId="77777777" w:rsidTr="00222C99">
        <w:trPr>
          <w:trHeight w:val="255"/>
        </w:trPr>
        <w:tc>
          <w:tcPr>
            <w:tcW w:w="0" w:type="auto"/>
            <w:tcBorders>
              <w:top w:val="nil"/>
              <w:left w:val="nil"/>
              <w:bottom w:val="nil"/>
              <w:right w:val="nil"/>
            </w:tcBorders>
            <w:shd w:val="clear" w:color="auto" w:fill="auto"/>
            <w:vAlign w:val="bottom"/>
            <w:hideMark/>
          </w:tcPr>
          <w:p w14:paraId="6691F0DF"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14:paraId="07D277ED"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04F7B9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444338D"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77AAC2B"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82BE8E1"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0A08F353" w14:textId="77777777" w:rsidTr="00222C99">
        <w:trPr>
          <w:trHeight w:val="510"/>
        </w:trPr>
        <w:tc>
          <w:tcPr>
            <w:tcW w:w="0" w:type="auto"/>
            <w:tcBorders>
              <w:top w:val="nil"/>
              <w:left w:val="nil"/>
              <w:bottom w:val="nil"/>
              <w:right w:val="nil"/>
            </w:tcBorders>
            <w:shd w:val="clear" w:color="auto" w:fill="auto"/>
            <w:vAlign w:val="bottom"/>
            <w:hideMark/>
          </w:tcPr>
          <w:p w14:paraId="002FA1A2"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2. 34 CFR 685.304(b)(6)(xii) - exit counseling explaining new provisions </w:t>
            </w:r>
          </w:p>
        </w:tc>
        <w:tc>
          <w:tcPr>
            <w:tcW w:w="0" w:type="auto"/>
            <w:tcBorders>
              <w:top w:val="nil"/>
              <w:left w:val="nil"/>
              <w:bottom w:val="nil"/>
              <w:right w:val="nil"/>
            </w:tcBorders>
            <w:shd w:val="clear" w:color="auto" w:fill="auto"/>
            <w:noWrap/>
            <w:vAlign w:val="bottom"/>
            <w:hideMark/>
          </w:tcPr>
          <w:p w14:paraId="3E58753B"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29626CF"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55BBB47"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B2C51B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E4862F4"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43D6214F" w14:textId="77777777" w:rsidTr="00222C99">
        <w:trPr>
          <w:trHeight w:val="255"/>
        </w:trPr>
        <w:tc>
          <w:tcPr>
            <w:tcW w:w="0" w:type="auto"/>
            <w:tcBorders>
              <w:top w:val="nil"/>
              <w:left w:val="nil"/>
              <w:bottom w:val="nil"/>
              <w:right w:val="nil"/>
            </w:tcBorders>
            <w:shd w:val="clear" w:color="auto" w:fill="auto"/>
            <w:noWrap/>
            <w:vAlign w:val="bottom"/>
            <w:hideMark/>
          </w:tcPr>
          <w:p w14:paraId="146B71F9"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Individuals</w:t>
            </w:r>
          </w:p>
        </w:tc>
        <w:tc>
          <w:tcPr>
            <w:tcW w:w="0" w:type="auto"/>
            <w:tcBorders>
              <w:top w:val="nil"/>
              <w:left w:val="nil"/>
              <w:bottom w:val="nil"/>
              <w:right w:val="nil"/>
            </w:tcBorders>
            <w:shd w:val="clear" w:color="auto" w:fill="auto"/>
            <w:noWrap/>
            <w:vAlign w:val="bottom"/>
            <w:hideMark/>
          </w:tcPr>
          <w:p w14:paraId="7900277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5F7AB9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97DCCB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A22752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6F5EEC7"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485D0A0A" w14:textId="77777777" w:rsidTr="00222C99">
        <w:trPr>
          <w:trHeight w:val="510"/>
        </w:trPr>
        <w:tc>
          <w:tcPr>
            <w:tcW w:w="0" w:type="auto"/>
            <w:tcBorders>
              <w:top w:val="nil"/>
              <w:left w:val="nil"/>
              <w:bottom w:val="nil"/>
              <w:right w:val="nil"/>
            </w:tcBorders>
            <w:shd w:val="clear" w:color="auto" w:fill="auto"/>
            <w:vAlign w:val="bottom"/>
            <w:hideMark/>
          </w:tcPr>
          <w:p w14:paraId="08C8A573"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Students receiving exit counseling explaining new provisions</w:t>
            </w:r>
          </w:p>
        </w:tc>
        <w:tc>
          <w:tcPr>
            <w:tcW w:w="0" w:type="auto"/>
            <w:tcBorders>
              <w:top w:val="nil"/>
              <w:left w:val="nil"/>
              <w:bottom w:val="nil"/>
              <w:right w:val="nil"/>
            </w:tcBorders>
            <w:shd w:val="clear" w:color="auto" w:fill="auto"/>
            <w:noWrap/>
            <w:vAlign w:val="bottom"/>
            <w:hideMark/>
          </w:tcPr>
          <w:p w14:paraId="147FE6C6"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14:paraId="09C5040A"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2,699,275</w:t>
            </w:r>
          </w:p>
        </w:tc>
        <w:tc>
          <w:tcPr>
            <w:tcW w:w="0" w:type="auto"/>
            <w:tcBorders>
              <w:top w:val="nil"/>
              <w:left w:val="nil"/>
              <w:bottom w:val="nil"/>
              <w:right w:val="nil"/>
            </w:tcBorders>
            <w:shd w:val="clear" w:color="auto" w:fill="auto"/>
            <w:noWrap/>
            <w:vAlign w:val="bottom"/>
            <w:hideMark/>
          </w:tcPr>
          <w:p w14:paraId="66389965"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2,699,275</w:t>
            </w:r>
          </w:p>
        </w:tc>
        <w:tc>
          <w:tcPr>
            <w:tcW w:w="0" w:type="auto"/>
            <w:tcBorders>
              <w:top w:val="nil"/>
              <w:left w:val="nil"/>
              <w:bottom w:val="nil"/>
              <w:right w:val="nil"/>
            </w:tcBorders>
            <w:shd w:val="clear" w:color="auto" w:fill="auto"/>
            <w:noWrap/>
            <w:vAlign w:val="bottom"/>
            <w:hideMark/>
          </w:tcPr>
          <w:p w14:paraId="2461A683"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0.05</w:t>
            </w:r>
          </w:p>
        </w:tc>
        <w:tc>
          <w:tcPr>
            <w:tcW w:w="0" w:type="auto"/>
            <w:tcBorders>
              <w:top w:val="nil"/>
              <w:left w:val="nil"/>
              <w:bottom w:val="nil"/>
              <w:right w:val="nil"/>
            </w:tcBorders>
            <w:shd w:val="clear" w:color="auto" w:fill="auto"/>
            <w:noWrap/>
            <w:vAlign w:val="bottom"/>
            <w:hideMark/>
          </w:tcPr>
          <w:p w14:paraId="513DBBDE"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134,964</w:t>
            </w:r>
          </w:p>
        </w:tc>
      </w:tr>
      <w:tr w:rsidR="00222C99" w:rsidRPr="00222C99" w14:paraId="476AC932" w14:textId="77777777" w:rsidTr="00222C99">
        <w:trPr>
          <w:trHeight w:val="255"/>
        </w:trPr>
        <w:tc>
          <w:tcPr>
            <w:tcW w:w="0" w:type="auto"/>
            <w:tcBorders>
              <w:top w:val="nil"/>
              <w:left w:val="nil"/>
              <w:bottom w:val="nil"/>
              <w:right w:val="nil"/>
            </w:tcBorders>
            <w:shd w:val="clear" w:color="auto" w:fill="auto"/>
            <w:noWrap/>
            <w:vAlign w:val="bottom"/>
            <w:hideMark/>
          </w:tcPr>
          <w:p w14:paraId="34570C08" w14:textId="77777777"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0A75660D"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4D8BDB7"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9F2E9C7"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6FF3809"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8156259"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7C4A8F03" w14:textId="77777777" w:rsidTr="00222C99">
        <w:trPr>
          <w:trHeight w:val="255"/>
        </w:trPr>
        <w:tc>
          <w:tcPr>
            <w:tcW w:w="0" w:type="auto"/>
            <w:tcBorders>
              <w:top w:val="nil"/>
              <w:left w:val="nil"/>
              <w:bottom w:val="nil"/>
              <w:right w:val="nil"/>
            </w:tcBorders>
            <w:shd w:val="clear" w:color="auto" w:fill="auto"/>
            <w:noWrap/>
            <w:vAlign w:val="bottom"/>
            <w:hideMark/>
          </w:tcPr>
          <w:p w14:paraId="66B56D56"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Private Sector</w:t>
            </w:r>
          </w:p>
        </w:tc>
        <w:tc>
          <w:tcPr>
            <w:tcW w:w="0" w:type="auto"/>
            <w:tcBorders>
              <w:top w:val="nil"/>
              <w:left w:val="nil"/>
              <w:bottom w:val="nil"/>
              <w:right w:val="nil"/>
            </w:tcBorders>
            <w:shd w:val="clear" w:color="auto" w:fill="auto"/>
            <w:noWrap/>
            <w:vAlign w:val="bottom"/>
            <w:hideMark/>
          </w:tcPr>
          <w:p w14:paraId="593064D7"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0997BD3"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B3020D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06809F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252C489"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1DA2ABC9" w14:textId="77777777" w:rsidTr="00222C99">
        <w:trPr>
          <w:trHeight w:val="255"/>
        </w:trPr>
        <w:tc>
          <w:tcPr>
            <w:tcW w:w="0" w:type="auto"/>
            <w:tcBorders>
              <w:top w:val="nil"/>
              <w:left w:val="nil"/>
              <w:bottom w:val="nil"/>
              <w:right w:val="nil"/>
            </w:tcBorders>
            <w:shd w:val="clear" w:color="auto" w:fill="auto"/>
            <w:noWrap/>
            <w:vAlign w:val="bottom"/>
            <w:hideMark/>
          </w:tcPr>
          <w:p w14:paraId="535D5EB9"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 xml:space="preserve">   Business or other for-profits</w:t>
            </w:r>
          </w:p>
        </w:tc>
        <w:tc>
          <w:tcPr>
            <w:tcW w:w="0" w:type="auto"/>
            <w:tcBorders>
              <w:top w:val="nil"/>
              <w:left w:val="nil"/>
              <w:bottom w:val="nil"/>
              <w:right w:val="nil"/>
            </w:tcBorders>
            <w:shd w:val="clear" w:color="auto" w:fill="auto"/>
            <w:noWrap/>
            <w:vAlign w:val="bottom"/>
            <w:hideMark/>
          </w:tcPr>
          <w:p w14:paraId="4007CA2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5E2358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22D025E"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3C0A71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0D605A1"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324266AC" w14:textId="77777777" w:rsidTr="00222C99">
        <w:trPr>
          <w:trHeight w:val="765"/>
        </w:trPr>
        <w:tc>
          <w:tcPr>
            <w:tcW w:w="0" w:type="auto"/>
            <w:tcBorders>
              <w:top w:val="nil"/>
              <w:left w:val="nil"/>
              <w:bottom w:val="nil"/>
              <w:right w:val="nil"/>
            </w:tcBorders>
            <w:shd w:val="clear" w:color="auto" w:fill="auto"/>
            <w:vAlign w:val="bottom"/>
            <w:hideMark/>
          </w:tcPr>
          <w:p w14:paraId="04A4FDA3"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Proprietary institutions - provide exit counseling to students explaining new provisions</w:t>
            </w:r>
          </w:p>
        </w:tc>
        <w:tc>
          <w:tcPr>
            <w:tcW w:w="0" w:type="auto"/>
            <w:tcBorders>
              <w:top w:val="nil"/>
              <w:left w:val="nil"/>
              <w:bottom w:val="nil"/>
              <w:right w:val="nil"/>
            </w:tcBorders>
            <w:shd w:val="clear" w:color="auto" w:fill="auto"/>
            <w:noWrap/>
            <w:vAlign w:val="bottom"/>
            <w:hideMark/>
          </w:tcPr>
          <w:p w14:paraId="48A311DC"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14:paraId="32F0EEE1"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14:paraId="6008EBED"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2,164</w:t>
            </w:r>
          </w:p>
        </w:tc>
        <w:tc>
          <w:tcPr>
            <w:tcW w:w="0" w:type="auto"/>
            <w:tcBorders>
              <w:top w:val="nil"/>
              <w:left w:val="nil"/>
              <w:bottom w:val="nil"/>
              <w:right w:val="nil"/>
            </w:tcBorders>
            <w:shd w:val="clear" w:color="auto" w:fill="auto"/>
            <w:noWrap/>
            <w:vAlign w:val="bottom"/>
            <w:hideMark/>
          </w:tcPr>
          <w:p w14:paraId="514FDA28"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1.50</w:t>
            </w:r>
          </w:p>
        </w:tc>
        <w:tc>
          <w:tcPr>
            <w:tcW w:w="0" w:type="auto"/>
            <w:tcBorders>
              <w:top w:val="nil"/>
              <w:left w:val="nil"/>
              <w:bottom w:val="nil"/>
              <w:right w:val="nil"/>
            </w:tcBorders>
            <w:shd w:val="clear" w:color="auto" w:fill="auto"/>
            <w:noWrap/>
            <w:vAlign w:val="bottom"/>
            <w:hideMark/>
          </w:tcPr>
          <w:p w14:paraId="7F71226B"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3,246</w:t>
            </w:r>
          </w:p>
        </w:tc>
      </w:tr>
      <w:tr w:rsidR="00222C99" w:rsidRPr="00222C99" w14:paraId="187A576E" w14:textId="77777777" w:rsidTr="00222C99">
        <w:trPr>
          <w:trHeight w:val="255"/>
        </w:trPr>
        <w:tc>
          <w:tcPr>
            <w:tcW w:w="0" w:type="auto"/>
            <w:tcBorders>
              <w:top w:val="nil"/>
              <w:left w:val="nil"/>
              <w:bottom w:val="nil"/>
              <w:right w:val="nil"/>
            </w:tcBorders>
            <w:shd w:val="clear" w:color="auto" w:fill="auto"/>
            <w:noWrap/>
            <w:vAlign w:val="bottom"/>
            <w:hideMark/>
          </w:tcPr>
          <w:p w14:paraId="38699B71" w14:textId="77777777" w:rsidR="00222C99" w:rsidRPr="00222C99" w:rsidRDefault="00222C99" w:rsidP="00222C99">
            <w:pPr>
              <w:spacing w:after="0" w:line="240" w:lineRule="auto"/>
              <w:rPr>
                <w:rFonts w:asciiTheme="minorHAnsi" w:eastAsia="Times New Roman" w:hAnsiTheme="minorHAnsi" w:cstheme="minorHAnsi"/>
                <w:b/>
                <w:bCs/>
                <w:sz w:val="20"/>
                <w:szCs w:val="20"/>
              </w:rPr>
            </w:pPr>
          </w:p>
        </w:tc>
        <w:tc>
          <w:tcPr>
            <w:tcW w:w="0" w:type="auto"/>
            <w:tcBorders>
              <w:top w:val="nil"/>
              <w:left w:val="nil"/>
              <w:bottom w:val="nil"/>
              <w:right w:val="nil"/>
            </w:tcBorders>
            <w:shd w:val="clear" w:color="auto" w:fill="auto"/>
            <w:noWrap/>
            <w:vAlign w:val="bottom"/>
            <w:hideMark/>
          </w:tcPr>
          <w:p w14:paraId="467D186A"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81E7698"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3B88820"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94B0478"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DF76F6B"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002C76E4" w14:textId="77777777" w:rsidTr="00222C99">
        <w:trPr>
          <w:trHeight w:val="255"/>
        </w:trPr>
        <w:tc>
          <w:tcPr>
            <w:tcW w:w="0" w:type="auto"/>
            <w:tcBorders>
              <w:top w:val="nil"/>
              <w:left w:val="nil"/>
              <w:bottom w:val="nil"/>
              <w:right w:val="nil"/>
            </w:tcBorders>
            <w:shd w:val="clear" w:color="auto" w:fill="auto"/>
            <w:noWrap/>
            <w:vAlign w:val="bottom"/>
            <w:hideMark/>
          </w:tcPr>
          <w:p w14:paraId="2878DEAB"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Not-for profits</w:t>
            </w:r>
          </w:p>
        </w:tc>
        <w:tc>
          <w:tcPr>
            <w:tcW w:w="0" w:type="auto"/>
            <w:tcBorders>
              <w:top w:val="nil"/>
              <w:left w:val="nil"/>
              <w:bottom w:val="nil"/>
              <w:right w:val="nil"/>
            </w:tcBorders>
            <w:shd w:val="clear" w:color="auto" w:fill="auto"/>
            <w:noWrap/>
            <w:vAlign w:val="bottom"/>
            <w:hideMark/>
          </w:tcPr>
          <w:p w14:paraId="4003197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1F3DD4A"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37D468A"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807C9C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DD42F6E"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63F19DF8" w14:textId="77777777" w:rsidTr="00222C99">
        <w:trPr>
          <w:trHeight w:val="765"/>
        </w:trPr>
        <w:tc>
          <w:tcPr>
            <w:tcW w:w="0" w:type="auto"/>
            <w:tcBorders>
              <w:top w:val="nil"/>
              <w:left w:val="nil"/>
              <w:bottom w:val="nil"/>
              <w:right w:val="nil"/>
            </w:tcBorders>
            <w:shd w:val="clear" w:color="auto" w:fill="auto"/>
            <w:vAlign w:val="bottom"/>
            <w:hideMark/>
          </w:tcPr>
          <w:p w14:paraId="44D9B9E8"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Not-for-profit institutions - provide exit counseling to students explaining new provisions</w:t>
            </w:r>
          </w:p>
        </w:tc>
        <w:tc>
          <w:tcPr>
            <w:tcW w:w="0" w:type="auto"/>
            <w:tcBorders>
              <w:top w:val="nil"/>
              <w:left w:val="nil"/>
              <w:bottom w:val="nil"/>
              <w:right w:val="nil"/>
            </w:tcBorders>
            <w:shd w:val="clear" w:color="auto" w:fill="auto"/>
            <w:noWrap/>
            <w:vAlign w:val="bottom"/>
            <w:hideMark/>
          </w:tcPr>
          <w:p w14:paraId="6FBDD225"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14:paraId="6033CE00"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14:paraId="3E72B9E1"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1,750</w:t>
            </w:r>
          </w:p>
        </w:tc>
        <w:tc>
          <w:tcPr>
            <w:tcW w:w="0" w:type="auto"/>
            <w:tcBorders>
              <w:top w:val="nil"/>
              <w:left w:val="nil"/>
              <w:bottom w:val="nil"/>
              <w:right w:val="nil"/>
            </w:tcBorders>
            <w:shd w:val="clear" w:color="auto" w:fill="auto"/>
            <w:noWrap/>
            <w:vAlign w:val="bottom"/>
            <w:hideMark/>
          </w:tcPr>
          <w:p w14:paraId="5251CB72"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1.50</w:t>
            </w:r>
          </w:p>
        </w:tc>
        <w:tc>
          <w:tcPr>
            <w:tcW w:w="0" w:type="auto"/>
            <w:tcBorders>
              <w:top w:val="nil"/>
              <w:left w:val="nil"/>
              <w:bottom w:val="nil"/>
              <w:right w:val="nil"/>
            </w:tcBorders>
            <w:shd w:val="clear" w:color="auto" w:fill="auto"/>
            <w:noWrap/>
            <w:vAlign w:val="bottom"/>
            <w:hideMark/>
          </w:tcPr>
          <w:p w14:paraId="26F6C508"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2,625</w:t>
            </w:r>
          </w:p>
        </w:tc>
      </w:tr>
      <w:tr w:rsidR="00222C99" w:rsidRPr="00222C99" w14:paraId="741F2CD8" w14:textId="77777777" w:rsidTr="00222C99">
        <w:trPr>
          <w:trHeight w:val="255"/>
        </w:trPr>
        <w:tc>
          <w:tcPr>
            <w:tcW w:w="0" w:type="auto"/>
            <w:tcBorders>
              <w:top w:val="nil"/>
              <w:left w:val="nil"/>
              <w:bottom w:val="nil"/>
              <w:right w:val="nil"/>
            </w:tcBorders>
            <w:shd w:val="clear" w:color="auto" w:fill="auto"/>
            <w:vAlign w:val="bottom"/>
            <w:hideMark/>
          </w:tcPr>
          <w:p w14:paraId="474619A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14:paraId="6753A882"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F7478F1"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25076BE"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63E80B8C"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80FE05D"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59001D80" w14:textId="77777777" w:rsidTr="00222C99">
        <w:trPr>
          <w:trHeight w:val="255"/>
        </w:trPr>
        <w:tc>
          <w:tcPr>
            <w:tcW w:w="0" w:type="auto"/>
            <w:tcBorders>
              <w:top w:val="nil"/>
              <w:left w:val="nil"/>
              <w:bottom w:val="nil"/>
              <w:right w:val="nil"/>
            </w:tcBorders>
            <w:shd w:val="clear" w:color="auto" w:fill="auto"/>
            <w:noWrap/>
            <w:vAlign w:val="bottom"/>
            <w:hideMark/>
          </w:tcPr>
          <w:p w14:paraId="6B084B3C" w14:textId="77777777" w:rsidR="00222C99" w:rsidRPr="00222C99" w:rsidRDefault="00222C99" w:rsidP="00222C99">
            <w:pPr>
              <w:spacing w:after="0" w:line="240" w:lineRule="auto"/>
              <w:rPr>
                <w:rFonts w:asciiTheme="minorHAnsi" w:eastAsia="Times New Roman" w:hAnsiTheme="minorHAnsi" w:cstheme="minorHAnsi"/>
                <w:b/>
                <w:bCs/>
                <w:sz w:val="20"/>
                <w:szCs w:val="20"/>
              </w:rPr>
            </w:pPr>
            <w:r w:rsidRPr="00222C99">
              <w:rPr>
                <w:rFonts w:asciiTheme="minorHAnsi" w:eastAsia="Times New Roman" w:hAnsiTheme="minorHAnsi" w:cstheme="minorHAnsi"/>
                <w:b/>
                <w:bCs/>
                <w:sz w:val="20"/>
                <w:szCs w:val="20"/>
              </w:rPr>
              <w:t xml:space="preserve">   State, Local, or Tribal Governments</w:t>
            </w:r>
          </w:p>
        </w:tc>
        <w:tc>
          <w:tcPr>
            <w:tcW w:w="0" w:type="auto"/>
            <w:tcBorders>
              <w:top w:val="nil"/>
              <w:left w:val="nil"/>
              <w:bottom w:val="nil"/>
              <w:right w:val="nil"/>
            </w:tcBorders>
            <w:shd w:val="clear" w:color="auto" w:fill="auto"/>
            <w:noWrap/>
            <w:vAlign w:val="bottom"/>
            <w:hideMark/>
          </w:tcPr>
          <w:p w14:paraId="383B24E0"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002646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06D220F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4646F533"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B398716"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1E5A7B17" w14:textId="77777777" w:rsidTr="00222C99">
        <w:trPr>
          <w:trHeight w:val="510"/>
        </w:trPr>
        <w:tc>
          <w:tcPr>
            <w:tcW w:w="0" w:type="auto"/>
            <w:tcBorders>
              <w:top w:val="nil"/>
              <w:left w:val="nil"/>
              <w:bottom w:val="nil"/>
              <w:right w:val="nil"/>
            </w:tcBorders>
            <w:shd w:val="clear" w:color="auto" w:fill="auto"/>
            <w:vAlign w:val="bottom"/>
            <w:hideMark/>
          </w:tcPr>
          <w:p w14:paraId="74788E6A"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Public institutions - provide exit counseling to students explaining new provisions</w:t>
            </w:r>
          </w:p>
        </w:tc>
        <w:tc>
          <w:tcPr>
            <w:tcW w:w="0" w:type="auto"/>
            <w:tcBorders>
              <w:top w:val="nil"/>
              <w:left w:val="nil"/>
              <w:bottom w:val="nil"/>
              <w:right w:val="nil"/>
            </w:tcBorders>
            <w:shd w:val="clear" w:color="auto" w:fill="auto"/>
            <w:noWrap/>
            <w:vAlign w:val="bottom"/>
            <w:hideMark/>
          </w:tcPr>
          <w:p w14:paraId="4FFC6D52"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34 CFR 685.304(b)(4)(xii)</w:t>
            </w:r>
          </w:p>
        </w:tc>
        <w:tc>
          <w:tcPr>
            <w:tcW w:w="0" w:type="auto"/>
            <w:tcBorders>
              <w:top w:val="nil"/>
              <w:left w:val="nil"/>
              <w:bottom w:val="nil"/>
              <w:right w:val="nil"/>
            </w:tcBorders>
            <w:shd w:val="clear" w:color="auto" w:fill="auto"/>
            <w:noWrap/>
            <w:vAlign w:val="bottom"/>
            <w:hideMark/>
          </w:tcPr>
          <w:p w14:paraId="21FAC386"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14:paraId="2C2BB244"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1,933</w:t>
            </w:r>
          </w:p>
        </w:tc>
        <w:tc>
          <w:tcPr>
            <w:tcW w:w="0" w:type="auto"/>
            <w:tcBorders>
              <w:top w:val="nil"/>
              <w:left w:val="nil"/>
              <w:bottom w:val="nil"/>
              <w:right w:val="nil"/>
            </w:tcBorders>
            <w:shd w:val="clear" w:color="auto" w:fill="auto"/>
            <w:noWrap/>
            <w:vAlign w:val="bottom"/>
            <w:hideMark/>
          </w:tcPr>
          <w:p w14:paraId="2362923A"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1.50</w:t>
            </w:r>
          </w:p>
        </w:tc>
        <w:tc>
          <w:tcPr>
            <w:tcW w:w="0" w:type="auto"/>
            <w:tcBorders>
              <w:top w:val="nil"/>
              <w:left w:val="nil"/>
              <w:bottom w:val="nil"/>
              <w:right w:val="nil"/>
            </w:tcBorders>
            <w:shd w:val="clear" w:color="auto" w:fill="auto"/>
            <w:noWrap/>
            <w:vAlign w:val="bottom"/>
            <w:hideMark/>
          </w:tcPr>
          <w:p w14:paraId="17908567"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2,900</w:t>
            </w:r>
          </w:p>
        </w:tc>
      </w:tr>
      <w:tr w:rsidR="00222C99" w:rsidRPr="00222C99" w14:paraId="068032E3" w14:textId="77777777" w:rsidTr="00222C99">
        <w:trPr>
          <w:trHeight w:val="255"/>
        </w:trPr>
        <w:tc>
          <w:tcPr>
            <w:tcW w:w="0" w:type="auto"/>
            <w:tcBorders>
              <w:top w:val="nil"/>
              <w:left w:val="nil"/>
              <w:bottom w:val="nil"/>
              <w:right w:val="nil"/>
            </w:tcBorders>
            <w:shd w:val="clear" w:color="auto" w:fill="auto"/>
            <w:vAlign w:val="bottom"/>
            <w:hideMark/>
          </w:tcPr>
          <w:p w14:paraId="1030DD7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vAlign w:val="bottom"/>
            <w:hideMark/>
          </w:tcPr>
          <w:p w14:paraId="3DAC522E"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16D97A8B"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303ED31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5348306"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7A93786F" w14:textId="77777777" w:rsidR="00222C99" w:rsidRPr="00222C99" w:rsidRDefault="00222C99" w:rsidP="00222C99">
            <w:pPr>
              <w:spacing w:after="0" w:line="240" w:lineRule="auto"/>
              <w:rPr>
                <w:rFonts w:asciiTheme="minorHAnsi" w:eastAsia="Times New Roman" w:hAnsiTheme="minorHAnsi" w:cstheme="minorHAnsi"/>
                <w:sz w:val="20"/>
                <w:szCs w:val="20"/>
              </w:rPr>
            </w:pPr>
          </w:p>
        </w:tc>
      </w:tr>
      <w:tr w:rsidR="00222C99" w:rsidRPr="00222C99" w14:paraId="6D26CDAE" w14:textId="77777777" w:rsidTr="00222C99">
        <w:trPr>
          <w:trHeight w:val="510"/>
        </w:trPr>
        <w:tc>
          <w:tcPr>
            <w:tcW w:w="0" w:type="auto"/>
            <w:tcBorders>
              <w:top w:val="nil"/>
              <w:left w:val="nil"/>
              <w:bottom w:val="nil"/>
              <w:right w:val="nil"/>
            </w:tcBorders>
            <w:shd w:val="clear" w:color="auto" w:fill="auto"/>
            <w:vAlign w:val="bottom"/>
            <w:hideMark/>
          </w:tcPr>
          <w:p w14:paraId="7F2CEBFA" w14:textId="77777777" w:rsidR="00222C99" w:rsidRPr="00222C99" w:rsidRDefault="00222C99" w:rsidP="00222C99">
            <w:pPr>
              <w:spacing w:after="0" w:line="240" w:lineRule="auto"/>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TOTAL 34 CFR 685.304(b)(6)(xii) - exit counseling explaining new provisions</w:t>
            </w:r>
          </w:p>
        </w:tc>
        <w:tc>
          <w:tcPr>
            <w:tcW w:w="0" w:type="auto"/>
            <w:tcBorders>
              <w:top w:val="nil"/>
              <w:left w:val="nil"/>
              <w:bottom w:val="nil"/>
              <w:right w:val="nil"/>
            </w:tcBorders>
            <w:shd w:val="clear" w:color="auto" w:fill="auto"/>
            <w:vAlign w:val="bottom"/>
            <w:hideMark/>
          </w:tcPr>
          <w:p w14:paraId="7965DAE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538B4D72"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2,705,122</w:t>
            </w:r>
          </w:p>
        </w:tc>
        <w:tc>
          <w:tcPr>
            <w:tcW w:w="0" w:type="auto"/>
            <w:tcBorders>
              <w:top w:val="nil"/>
              <w:left w:val="nil"/>
              <w:bottom w:val="nil"/>
              <w:right w:val="nil"/>
            </w:tcBorders>
            <w:shd w:val="clear" w:color="auto" w:fill="auto"/>
            <w:noWrap/>
            <w:vAlign w:val="bottom"/>
            <w:hideMark/>
          </w:tcPr>
          <w:p w14:paraId="2226E88E"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2,705,122</w:t>
            </w:r>
          </w:p>
        </w:tc>
        <w:tc>
          <w:tcPr>
            <w:tcW w:w="0" w:type="auto"/>
            <w:tcBorders>
              <w:top w:val="nil"/>
              <w:left w:val="nil"/>
              <w:bottom w:val="nil"/>
              <w:right w:val="nil"/>
            </w:tcBorders>
            <w:shd w:val="clear" w:color="auto" w:fill="auto"/>
            <w:noWrap/>
            <w:vAlign w:val="bottom"/>
            <w:hideMark/>
          </w:tcPr>
          <w:p w14:paraId="49B456C4" w14:textId="77777777" w:rsidR="00222C99" w:rsidRPr="00222C99" w:rsidRDefault="00222C99" w:rsidP="00222C99">
            <w:pPr>
              <w:spacing w:after="0" w:line="240" w:lineRule="auto"/>
              <w:rPr>
                <w:rFonts w:asciiTheme="minorHAnsi" w:eastAsia="Times New Roman" w:hAnsiTheme="minorHAnsi" w:cstheme="minorHAnsi"/>
                <w:sz w:val="20"/>
                <w:szCs w:val="20"/>
              </w:rPr>
            </w:pPr>
          </w:p>
        </w:tc>
        <w:tc>
          <w:tcPr>
            <w:tcW w:w="0" w:type="auto"/>
            <w:tcBorders>
              <w:top w:val="nil"/>
              <w:left w:val="nil"/>
              <w:bottom w:val="nil"/>
              <w:right w:val="nil"/>
            </w:tcBorders>
            <w:shd w:val="clear" w:color="auto" w:fill="auto"/>
            <w:noWrap/>
            <w:vAlign w:val="bottom"/>
            <w:hideMark/>
          </w:tcPr>
          <w:p w14:paraId="26718C79" w14:textId="77777777" w:rsidR="00222C99" w:rsidRPr="00222C99" w:rsidRDefault="00222C99" w:rsidP="00222C99">
            <w:pPr>
              <w:spacing w:after="0" w:line="240" w:lineRule="auto"/>
              <w:jc w:val="right"/>
              <w:rPr>
                <w:rFonts w:asciiTheme="minorHAnsi" w:eastAsia="Times New Roman" w:hAnsiTheme="minorHAnsi" w:cstheme="minorHAnsi"/>
                <w:sz w:val="20"/>
                <w:szCs w:val="20"/>
              </w:rPr>
            </w:pPr>
            <w:r w:rsidRPr="00222C99">
              <w:rPr>
                <w:rFonts w:asciiTheme="minorHAnsi" w:eastAsia="Times New Roman" w:hAnsiTheme="minorHAnsi" w:cstheme="minorHAnsi"/>
                <w:sz w:val="20"/>
                <w:szCs w:val="20"/>
              </w:rPr>
              <w:t>143,734</w:t>
            </w:r>
          </w:p>
        </w:tc>
      </w:tr>
    </w:tbl>
    <w:p w14:paraId="04AD703F" w14:textId="77777777" w:rsidR="00AF5295" w:rsidRPr="00464ADD" w:rsidRDefault="00AF5295" w:rsidP="00AF5295">
      <w:pPr>
        <w:pStyle w:val="ListParagraph"/>
        <w:spacing w:line="240" w:lineRule="auto"/>
        <w:ind w:left="0"/>
        <w:jc w:val="both"/>
        <w:rPr>
          <w:rFonts w:asciiTheme="minorHAnsi" w:hAnsiTheme="minorHAnsi" w:cstheme="minorHAnsi"/>
          <w:szCs w:val="24"/>
        </w:rPr>
      </w:pPr>
    </w:p>
    <w:p w14:paraId="0CB7C0E2" w14:textId="77777777" w:rsidR="00E811A4" w:rsidRPr="00F9190E" w:rsidRDefault="00E811A4" w:rsidP="0026750E">
      <w:pPr>
        <w:numPr>
          <w:ilvl w:val="0"/>
          <w:numId w:val="12"/>
        </w:numPr>
        <w:tabs>
          <w:tab w:val="left" w:pos="-720"/>
        </w:tabs>
        <w:suppressAutoHyphens/>
        <w:spacing w:line="240" w:lineRule="auto"/>
        <w:ind w:left="0" w:firstLine="0"/>
        <w:rPr>
          <w:rFonts w:asciiTheme="minorHAnsi" w:hAnsiTheme="minorHAnsi" w:cstheme="minorHAnsi"/>
          <w:b/>
        </w:rPr>
      </w:pPr>
      <w:r w:rsidRPr="00F9190E">
        <w:rPr>
          <w:rStyle w:val="a"/>
          <w:rFonts w:asciiTheme="minorHAnsi" w:hAnsiTheme="minorHAnsi" w:cstheme="minorHAnsi"/>
          <w:b/>
        </w:rPr>
        <w:t>Provide an estimate of the total annual cost burden to respondents or record keepers resulting from the collection of information.  (Do not include the cost of any hour burden shown in Items 12 and 14.)</w:t>
      </w:r>
    </w:p>
    <w:p w14:paraId="006F6716" w14:textId="77777777" w:rsidR="00E811A4" w:rsidRPr="00F9190E" w:rsidRDefault="00E811A4" w:rsidP="0026750E">
      <w:pPr>
        <w:numPr>
          <w:ilvl w:val="0"/>
          <w:numId w:val="13"/>
        </w:numPr>
        <w:tabs>
          <w:tab w:val="left" w:pos="-720"/>
          <w:tab w:val="left" w:pos="1247"/>
        </w:tabs>
        <w:suppressAutoHyphens/>
        <w:spacing w:after="0" w:line="240" w:lineRule="auto"/>
        <w:rPr>
          <w:rFonts w:asciiTheme="minorHAnsi" w:hAnsiTheme="minorHAnsi" w:cstheme="minorHAnsi"/>
          <w:b/>
        </w:rPr>
      </w:pPr>
      <w:r w:rsidRPr="00F9190E">
        <w:rPr>
          <w:rFonts w:asciiTheme="minorHAnsi" w:hAnsiTheme="minorHAnsi" w:cstheme="minorHAnsi"/>
          <w:b/>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CD26752" w14:textId="77777777" w:rsidR="00E811A4" w:rsidRPr="00F9190E" w:rsidRDefault="00E811A4" w:rsidP="0026750E">
      <w:pPr>
        <w:numPr>
          <w:ilvl w:val="0"/>
          <w:numId w:val="13"/>
        </w:numPr>
        <w:tabs>
          <w:tab w:val="left" w:pos="-720"/>
          <w:tab w:val="left" w:pos="1247"/>
        </w:tabs>
        <w:suppressAutoHyphens/>
        <w:spacing w:after="0" w:line="240" w:lineRule="auto"/>
        <w:rPr>
          <w:rFonts w:asciiTheme="minorHAnsi" w:hAnsiTheme="minorHAnsi" w:cstheme="minorHAnsi"/>
          <w:b/>
        </w:rPr>
      </w:pPr>
      <w:r w:rsidRPr="00F9190E">
        <w:rPr>
          <w:rFonts w:asciiTheme="minorHAnsi" w:hAnsiTheme="minorHAnsi" w:cstheme="minorHAnsi"/>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D294B3" w14:textId="77777777" w:rsidR="00E811A4" w:rsidRPr="00F9190E" w:rsidRDefault="00E811A4" w:rsidP="0026750E">
      <w:pPr>
        <w:numPr>
          <w:ilvl w:val="0"/>
          <w:numId w:val="13"/>
        </w:numPr>
        <w:tabs>
          <w:tab w:val="left" w:pos="-720"/>
          <w:tab w:val="left" w:pos="1247"/>
        </w:tabs>
        <w:suppressAutoHyphens/>
        <w:spacing w:after="0" w:line="240" w:lineRule="auto"/>
        <w:rPr>
          <w:rFonts w:asciiTheme="minorHAnsi" w:hAnsiTheme="minorHAnsi" w:cstheme="minorHAnsi"/>
          <w:b/>
        </w:rPr>
      </w:pPr>
      <w:r w:rsidRPr="00F9190E">
        <w:rPr>
          <w:rFonts w:asciiTheme="minorHAnsi" w:hAnsiTheme="minorHAnsi" w:cstheme="minorHAnsi"/>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9190E">
        <w:rPr>
          <w:rFonts w:asciiTheme="minorHAnsi" w:hAnsiTheme="minorHAnsi" w:cstheme="minorHAnsi"/>
          <w:b/>
        </w:rPr>
        <w:t>government,</w:t>
      </w:r>
      <w:proofErr w:type="gramEnd"/>
      <w:r w:rsidRPr="00F9190E">
        <w:rPr>
          <w:rFonts w:asciiTheme="minorHAnsi" w:hAnsiTheme="minorHAnsi" w:cstheme="minorHAnsi"/>
          <w:b/>
        </w:rPr>
        <w:t xml:space="preserve"> or (4) as part of customary and usual business or private practices.</w:t>
      </w:r>
    </w:p>
    <w:p w14:paraId="2F9F6926" w14:textId="77777777" w:rsidR="00E811A4" w:rsidRPr="00F9190E" w:rsidRDefault="00E811A4" w:rsidP="0026750E">
      <w:pPr>
        <w:tabs>
          <w:tab w:val="left" w:pos="-720"/>
        </w:tabs>
        <w:suppressAutoHyphens/>
        <w:spacing w:line="240" w:lineRule="auto"/>
        <w:rPr>
          <w:rFonts w:asciiTheme="minorHAnsi" w:hAnsiTheme="minorHAnsi" w:cstheme="minorHAnsi"/>
          <w:b/>
        </w:rPr>
      </w:pPr>
    </w:p>
    <w:p w14:paraId="1191B3A5" w14:textId="77777777" w:rsidR="00E811A4"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ab/>
        <w:t>Total Annualized Capital/Startup Cost</w:t>
      </w:r>
      <w:r w:rsidRPr="00F9190E">
        <w:rPr>
          <w:rFonts w:asciiTheme="minorHAnsi" w:hAnsiTheme="minorHAnsi" w:cstheme="minorHAnsi"/>
          <w:b/>
        </w:rPr>
        <w:tab/>
        <w:t>: 0</w:t>
      </w:r>
    </w:p>
    <w:p w14:paraId="1DA57671" w14:textId="77777777" w:rsidR="00E811A4"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ab/>
        <w:t>Total Annual Costs (O&amp;M)</w:t>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t xml:space="preserve">: </w:t>
      </w:r>
      <w:r w:rsidR="00C50D60" w:rsidRPr="00F9190E">
        <w:rPr>
          <w:rFonts w:asciiTheme="minorHAnsi" w:hAnsiTheme="minorHAnsi" w:cstheme="minorHAnsi"/>
          <w:b/>
        </w:rPr>
        <w:t>0</w:t>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r>
      <w:r w:rsidRPr="00F9190E">
        <w:rPr>
          <w:rFonts w:asciiTheme="minorHAnsi" w:hAnsiTheme="minorHAnsi" w:cstheme="minorHAnsi"/>
          <w:b/>
        </w:rPr>
        <w:tab/>
        <w:t xml:space="preserve"> ____________________</w:t>
      </w:r>
    </w:p>
    <w:p w14:paraId="6FBD9B0C" w14:textId="77777777" w:rsidR="00C50D60"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ab/>
        <w:t>Total Annualized Costs Requested</w:t>
      </w:r>
      <w:r w:rsidRPr="00F9190E">
        <w:rPr>
          <w:rFonts w:asciiTheme="minorHAnsi" w:hAnsiTheme="minorHAnsi" w:cstheme="minorHAnsi"/>
          <w:b/>
        </w:rPr>
        <w:tab/>
      </w:r>
      <w:r w:rsidRPr="00F9190E">
        <w:rPr>
          <w:rFonts w:asciiTheme="minorHAnsi" w:hAnsiTheme="minorHAnsi" w:cstheme="minorHAnsi"/>
          <w:b/>
        </w:rPr>
        <w:tab/>
        <w:t xml:space="preserve">: </w:t>
      </w:r>
      <w:r w:rsidR="00C50D60" w:rsidRPr="00F9190E">
        <w:rPr>
          <w:rFonts w:asciiTheme="minorHAnsi" w:hAnsiTheme="minorHAnsi" w:cstheme="minorHAnsi"/>
          <w:b/>
        </w:rPr>
        <w:t>0</w:t>
      </w:r>
    </w:p>
    <w:p w14:paraId="57F21EEF" w14:textId="77777777" w:rsidR="00E811A4" w:rsidRPr="00F9190E" w:rsidRDefault="00E811A4" w:rsidP="0026750E">
      <w:pPr>
        <w:tabs>
          <w:tab w:val="left" w:pos="-720"/>
        </w:tabs>
        <w:suppressAutoHyphens/>
        <w:spacing w:line="240" w:lineRule="auto"/>
        <w:rPr>
          <w:rFonts w:asciiTheme="minorHAnsi" w:hAnsiTheme="minorHAnsi" w:cstheme="minorHAnsi"/>
          <w:b/>
        </w:rPr>
      </w:pPr>
      <w:r w:rsidRPr="00F9190E">
        <w:rPr>
          <w:rFonts w:asciiTheme="minorHAnsi" w:hAnsiTheme="minorHAnsi" w:cstheme="minorHAnsi"/>
          <w:b/>
        </w:rPr>
        <w:t xml:space="preserve"> </w:t>
      </w:r>
    </w:p>
    <w:p w14:paraId="7E998F29" w14:textId="77777777" w:rsidR="002F13ED" w:rsidRPr="00F9190E" w:rsidRDefault="002F13ED" w:rsidP="0026750E">
      <w:pPr>
        <w:pStyle w:val="ListParagraph"/>
        <w:spacing w:line="240" w:lineRule="auto"/>
        <w:ind w:left="0"/>
        <w:rPr>
          <w:rFonts w:asciiTheme="minorHAnsi" w:hAnsiTheme="minorHAnsi" w:cstheme="minorHAnsi"/>
          <w:b/>
          <w:szCs w:val="24"/>
        </w:rPr>
      </w:pPr>
      <w:r w:rsidRPr="00F9190E">
        <w:rPr>
          <w:rFonts w:asciiTheme="minorHAnsi" w:hAnsiTheme="minorHAnsi" w:cstheme="minorHAnsi"/>
          <w:b/>
          <w:szCs w:val="24"/>
        </w:rPr>
        <w:t>Start-Up Cost Burden to the Respondents</w:t>
      </w:r>
    </w:p>
    <w:p w14:paraId="64161E04" w14:textId="77777777" w:rsidR="00E375C9"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There is no new system start-up costs associated with these proposed regulations.</w:t>
      </w:r>
    </w:p>
    <w:p w14:paraId="3F8A5EB0" w14:textId="77777777"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A5F5A9B" w14:textId="77777777"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Estimated Annual Cost to the Federal Government</w:t>
      </w:r>
    </w:p>
    <w:p w14:paraId="7723CFE3" w14:textId="77777777" w:rsidR="00E375C9"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There are no additional costs to the Federal government as a result of the</w:t>
      </w:r>
      <w:r w:rsidR="00F1137B" w:rsidRPr="00F9190E">
        <w:rPr>
          <w:rFonts w:asciiTheme="minorHAnsi" w:hAnsiTheme="minorHAnsi" w:cstheme="minorHAnsi"/>
          <w:szCs w:val="24"/>
        </w:rPr>
        <w:t>se</w:t>
      </w:r>
      <w:r w:rsidRPr="00F9190E">
        <w:rPr>
          <w:rFonts w:asciiTheme="minorHAnsi" w:hAnsiTheme="minorHAnsi" w:cstheme="minorHAnsi"/>
          <w:szCs w:val="24"/>
        </w:rPr>
        <w:t xml:space="preserve"> regulation</w:t>
      </w:r>
      <w:r w:rsidR="00F1137B" w:rsidRPr="00F9190E">
        <w:rPr>
          <w:rFonts w:asciiTheme="minorHAnsi" w:hAnsiTheme="minorHAnsi" w:cstheme="minorHAnsi"/>
          <w:szCs w:val="24"/>
        </w:rPr>
        <w:t>s</w:t>
      </w:r>
      <w:r w:rsidRPr="00F9190E">
        <w:rPr>
          <w:rFonts w:asciiTheme="minorHAnsi" w:hAnsiTheme="minorHAnsi" w:cstheme="minorHAnsi"/>
          <w:szCs w:val="24"/>
        </w:rPr>
        <w:t>.</w:t>
      </w:r>
    </w:p>
    <w:p w14:paraId="33EB20AA" w14:textId="77777777"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Fonts w:asciiTheme="minorHAnsi" w:hAnsiTheme="minorHAnsi" w:cstheme="minorHAnsi"/>
          <w:b/>
          <w:szCs w:val="24"/>
        </w:rPr>
        <w:lastRenderedPageBreak/>
        <w:t>Explain the reasons for any program changes or adjustments to #16f of the IC Data Part 1 Form.</w:t>
      </w:r>
    </w:p>
    <w:p w14:paraId="5E50F47F" w14:textId="77777777"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Reasons for Changes to Burden Hour Estimated</w:t>
      </w:r>
    </w:p>
    <w:p w14:paraId="62C084B3" w14:textId="66800BB9" w:rsidR="006F41A4" w:rsidRDefault="00AC2451" w:rsidP="006F41A4">
      <w:pPr>
        <w:pStyle w:val="ListParagraph"/>
        <w:spacing w:line="240" w:lineRule="auto"/>
        <w:ind w:left="0"/>
        <w:rPr>
          <w:rFonts w:asciiTheme="minorHAnsi" w:hAnsiTheme="minorHAnsi" w:cstheme="minorHAnsi"/>
          <w:szCs w:val="24"/>
        </w:rPr>
      </w:pPr>
      <w:r>
        <w:rPr>
          <w:rFonts w:asciiTheme="minorHAnsi" w:hAnsiTheme="minorHAnsi" w:cstheme="minorHAnsi"/>
          <w:szCs w:val="24"/>
        </w:rPr>
        <w:t>There is no change to the burden hours from the prior iteration of the collection</w:t>
      </w:r>
      <w:r w:rsidR="00770E7B" w:rsidRPr="00F9190E">
        <w:rPr>
          <w:rFonts w:asciiTheme="minorHAnsi" w:hAnsiTheme="minorHAnsi" w:cstheme="minorHAnsi"/>
          <w:szCs w:val="24"/>
        </w:rPr>
        <w:t xml:space="preserve">. </w:t>
      </w:r>
      <w:r w:rsidR="006F41A4" w:rsidRPr="00F9190E">
        <w:rPr>
          <w:rFonts w:asciiTheme="minorHAnsi" w:hAnsiTheme="minorHAnsi" w:cstheme="minorHAnsi"/>
          <w:szCs w:val="24"/>
        </w:rPr>
        <w:t xml:space="preserve">The burden hours calculated below include time for reviewing the change in regulations; for determining the method and means to incorporate changes; develop or update systems and forms and formats for gathering the required information; and to prepare the required reports. </w:t>
      </w:r>
      <w:r w:rsidR="00D0245F">
        <w:rPr>
          <w:rFonts w:asciiTheme="minorHAnsi" w:hAnsiTheme="minorHAnsi" w:cstheme="minorHAnsi"/>
          <w:szCs w:val="24"/>
        </w:rPr>
        <w:t xml:space="preserve"> </w:t>
      </w:r>
    </w:p>
    <w:tbl>
      <w:tblPr>
        <w:tblW w:w="4693" w:type="pct"/>
        <w:tblLayout w:type="fixed"/>
        <w:tblLook w:val="04A0" w:firstRow="1" w:lastRow="0" w:firstColumn="1" w:lastColumn="0" w:noHBand="0" w:noVBand="1"/>
      </w:tblPr>
      <w:tblGrid>
        <w:gridCol w:w="5504"/>
        <w:gridCol w:w="1221"/>
        <w:gridCol w:w="1217"/>
        <w:gridCol w:w="1046"/>
      </w:tblGrid>
      <w:tr w:rsidR="0059662E" w:rsidRPr="00D55F20" w14:paraId="671D240A" w14:textId="77777777" w:rsidTr="00D55F20">
        <w:trPr>
          <w:trHeight w:val="255"/>
        </w:trPr>
        <w:tc>
          <w:tcPr>
            <w:tcW w:w="3062" w:type="pct"/>
            <w:tcBorders>
              <w:top w:val="nil"/>
              <w:left w:val="nil"/>
              <w:bottom w:val="nil"/>
              <w:right w:val="nil"/>
            </w:tcBorders>
            <w:shd w:val="clear" w:color="auto" w:fill="auto"/>
            <w:noWrap/>
            <w:vAlign w:val="bottom"/>
          </w:tcPr>
          <w:p w14:paraId="0EAFBBB2" w14:textId="77777777" w:rsidR="0059662E" w:rsidRPr="00D55F20" w:rsidRDefault="0059662E" w:rsidP="00D55F20">
            <w:pPr>
              <w:spacing w:after="0" w:line="240" w:lineRule="auto"/>
              <w:jc w:val="right"/>
              <w:rPr>
                <w:rFonts w:asciiTheme="minorHAnsi" w:eastAsia="Times New Roman" w:hAnsiTheme="minorHAnsi" w:cstheme="minorHAnsi"/>
                <w:b/>
                <w:bCs/>
                <w:sz w:val="20"/>
                <w:szCs w:val="20"/>
              </w:rPr>
            </w:pPr>
          </w:p>
        </w:tc>
        <w:tc>
          <w:tcPr>
            <w:tcW w:w="679" w:type="pct"/>
            <w:tcBorders>
              <w:top w:val="nil"/>
              <w:left w:val="nil"/>
              <w:bottom w:val="nil"/>
              <w:right w:val="nil"/>
            </w:tcBorders>
            <w:shd w:val="clear" w:color="auto" w:fill="auto"/>
            <w:noWrap/>
            <w:vAlign w:val="bottom"/>
          </w:tcPr>
          <w:p w14:paraId="06C04807" w14:textId="77777777" w:rsidR="0059662E" w:rsidRPr="00D55F20" w:rsidRDefault="0059662E" w:rsidP="00D55F20">
            <w:pPr>
              <w:spacing w:after="0" w:line="240" w:lineRule="auto"/>
              <w:jc w:val="right"/>
              <w:rPr>
                <w:rFonts w:asciiTheme="minorHAnsi" w:eastAsia="Times New Roman" w:hAnsiTheme="minorHAnsi" w:cstheme="minorHAnsi"/>
                <w:sz w:val="20"/>
                <w:szCs w:val="20"/>
              </w:rPr>
            </w:pPr>
            <w:r w:rsidRPr="00D55F20">
              <w:rPr>
                <w:rFonts w:asciiTheme="minorHAnsi" w:hAnsiTheme="minorHAnsi" w:cstheme="minorHAnsi"/>
                <w:b/>
                <w:bCs/>
                <w:sz w:val="20"/>
                <w:szCs w:val="20"/>
              </w:rPr>
              <w:t># of Respondents</w:t>
            </w:r>
          </w:p>
        </w:tc>
        <w:tc>
          <w:tcPr>
            <w:tcW w:w="677" w:type="pct"/>
            <w:tcBorders>
              <w:top w:val="nil"/>
              <w:left w:val="nil"/>
              <w:bottom w:val="nil"/>
              <w:right w:val="nil"/>
            </w:tcBorders>
            <w:shd w:val="clear" w:color="auto" w:fill="auto"/>
            <w:noWrap/>
            <w:vAlign w:val="bottom"/>
          </w:tcPr>
          <w:p w14:paraId="1997D60A" w14:textId="77777777" w:rsidR="0059662E" w:rsidRPr="00D55F20" w:rsidRDefault="0059662E" w:rsidP="00D55F20">
            <w:pPr>
              <w:spacing w:after="0" w:line="240" w:lineRule="auto"/>
              <w:jc w:val="right"/>
              <w:rPr>
                <w:rFonts w:asciiTheme="minorHAnsi" w:eastAsia="Times New Roman" w:hAnsiTheme="minorHAnsi" w:cstheme="minorHAnsi"/>
                <w:sz w:val="20"/>
                <w:szCs w:val="20"/>
              </w:rPr>
            </w:pPr>
            <w:r w:rsidRPr="00D55F20">
              <w:rPr>
                <w:rFonts w:asciiTheme="minorHAnsi" w:hAnsiTheme="minorHAnsi" w:cstheme="minorHAnsi"/>
                <w:b/>
                <w:bCs/>
                <w:sz w:val="20"/>
                <w:szCs w:val="20"/>
              </w:rPr>
              <w:t># of Responses</w:t>
            </w:r>
          </w:p>
        </w:tc>
        <w:tc>
          <w:tcPr>
            <w:tcW w:w="582" w:type="pct"/>
            <w:tcBorders>
              <w:top w:val="nil"/>
              <w:left w:val="nil"/>
              <w:bottom w:val="nil"/>
              <w:right w:val="nil"/>
            </w:tcBorders>
            <w:shd w:val="clear" w:color="auto" w:fill="auto"/>
            <w:noWrap/>
            <w:vAlign w:val="bottom"/>
          </w:tcPr>
          <w:p w14:paraId="70FAF886" w14:textId="77777777" w:rsidR="0059662E" w:rsidRPr="00D55F20" w:rsidRDefault="0059662E" w:rsidP="00D55F20">
            <w:pPr>
              <w:spacing w:after="0" w:line="240" w:lineRule="auto"/>
              <w:jc w:val="right"/>
              <w:rPr>
                <w:rFonts w:asciiTheme="minorHAnsi" w:eastAsia="Times New Roman" w:hAnsiTheme="minorHAnsi" w:cstheme="minorHAnsi"/>
                <w:sz w:val="20"/>
                <w:szCs w:val="20"/>
              </w:rPr>
            </w:pPr>
            <w:r w:rsidRPr="00D55F20">
              <w:rPr>
                <w:rFonts w:asciiTheme="minorHAnsi" w:hAnsiTheme="minorHAnsi" w:cstheme="minorHAnsi"/>
                <w:b/>
                <w:bCs/>
                <w:sz w:val="20"/>
                <w:szCs w:val="20"/>
              </w:rPr>
              <w:t>Total Hours</w:t>
            </w:r>
          </w:p>
        </w:tc>
      </w:tr>
      <w:tr w:rsidR="00CE3744" w:rsidRPr="00D55F20" w14:paraId="4B6E7AA4" w14:textId="77777777" w:rsidTr="00D55F20">
        <w:trPr>
          <w:trHeight w:val="255"/>
        </w:trPr>
        <w:tc>
          <w:tcPr>
            <w:tcW w:w="3062" w:type="pct"/>
            <w:tcBorders>
              <w:top w:val="nil"/>
              <w:left w:val="nil"/>
              <w:bottom w:val="nil"/>
              <w:right w:val="nil"/>
            </w:tcBorders>
            <w:shd w:val="clear" w:color="auto" w:fill="auto"/>
            <w:noWrap/>
            <w:vAlign w:val="bottom"/>
          </w:tcPr>
          <w:p w14:paraId="63FC7B1B" w14:textId="77777777" w:rsidR="00CE3744" w:rsidRPr="00D55F20" w:rsidRDefault="00CE3744"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685.304(a)(6)(xii) - entrance counseling explaining new provisions</w:t>
            </w:r>
          </w:p>
        </w:tc>
        <w:tc>
          <w:tcPr>
            <w:tcW w:w="679" w:type="pct"/>
            <w:tcBorders>
              <w:top w:val="nil"/>
              <w:left w:val="nil"/>
              <w:bottom w:val="nil"/>
              <w:right w:val="nil"/>
            </w:tcBorders>
            <w:shd w:val="clear" w:color="auto" w:fill="auto"/>
            <w:noWrap/>
            <w:vAlign w:val="bottom"/>
          </w:tcPr>
          <w:p w14:paraId="680BB517"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2,729,598</w:t>
            </w:r>
          </w:p>
        </w:tc>
        <w:tc>
          <w:tcPr>
            <w:tcW w:w="677" w:type="pct"/>
            <w:tcBorders>
              <w:top w:val="nil"/>
              <w:left w:val="nil"/>
              <w:bottom w:val="nil"/>
              <w:right w:val="nil"/>
            </w:tcBorders>
            <w:shd w:val="clear" w:color="auto" w:fill="auto"/>
            <w:noWrap/>
            <w:vAlign w:val="bottom"/>
          </w:tcPr>
          <w:p w14:paraId="242F1DFB"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2,729,598</w:t>
            </w:r>
          </w:p>
        </w:tc>
        <w:tc>
          <w:tcPr>
            <w:tcW w:w="582" w:type="pct"/>
            <w:tcBorders>
              <w:top w:val="nil"/>
              <w:left w:val="nil"/>
              <w:bottom w:val="nil"/>
              <w:right w:val="nil"/>
            </w:tcBorders>
            <w:shd w:val="clear" w:color="auto" w:fill="auto"/>
            <w:noWrap/>
            <w:vAlign w:val="bottom"/>
          </w:tcPr>
          <w:p w14:paraId="3E9DEBDE"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87,560</w:t>
            </w:r>
          </w:p>
        </w:tc>
      </w:tr>
      <w:tr w:rsidR="00CE3744" w:rsidRPr="00D55F20" w14:paraId="1F95FF5C" w14:textId="77777777" w:rsidTr="00D55F20">
        <w:trPr>
          <w:trHeight w:val="255"/>
        </w:trPr>
        <w:tc>
          <w:tcPr>
            <w:tcW w:w="3062" w:type="pct"/>
            <w:tcBorders>
              <w:top w:val="nil"/>
              <w:left w:val="nil"/>
              <w:bottom w:val="nil"/>
              <w:right w:val="nil"/>
            </w:tcBorders>
            <w:shd w:val="clear" w:color="auto" w:fill="auto"/>
            <w:noWrap/>
            <w:vAlign w:val="bottom"/>
          </w:tcPr>
          <w:p w14:paraId="6863BAFF" w14:textId="77777777" w:rsidR="00CE3744" w:rsidRPr="00D55F20" w:rsidRDefault="00CE3744"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685.304(b)(4)(xii) - exit counseling explaining new provisions</w:t>
            </w:r>
          </w:p>
        </w:tc>
        <w:tc>
          <w:tcPr>
            <w:tcW w:w="679" w:type="pct"/>
            <w:tcBorders>
              <w:top w:val="nil"/>
              <w:left w:val="nil"/>
              <w:bottom w:val="nil"/>
              <w:right w:val="nil"/>
            </w:tcBorders>
            <w:shd w:val="clear" w:color="auto" w:fill="auto"/>
            <w:noWrap/>
            <w:vAlign w:val="bottom"/>
          </w:tcPr>
          <w:p w14:paraId="5509A52C"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2,705,122</w:t>
            </w:r>
          </w:p>
        </w:tc>
        <w:tc>
          <w:tcPr>
            <w:tcW w:w="677" w:type="pct"/>
            <w:tcBorders>
              <w:top w:val="nil"/>
              <w:left w:val="nil"/>
              <w:bottom w:val="nil"/>
              <w:right w:val="nil"/>
            </w:tcBorders>
            <w:shd w:val="clear" w:color="auto" w:fill="auto"/>
            <w:noWrap/>
            <w:vAlign w:val="bottom"/>
          </w:tcPr>
          <w:p w14:paraId="6E126F55"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2,705,122</w:t>
            </w:r>
          </w:p>
        </w:tc>
        <w:tc>
          <w:tcPr>
            <w:tcW w:w="582" w:type="pct"/>
            <w:tcBorders>
              <w:top w:val="nil"/>
              <w:left w:val="nil"/>
              <w:bottom w:val="nil"/>
              <w:right w:val="nil"/>
            </w:tcBorders>
            <w:shd w:val="clear" w:color="auto" w:fill="auto"/>
            <w:noWrap/>
            <w:vAlign w:val="bottom"/>
          </w:tcPr>
          <w:p w14:paraId="544614BA"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143,734</w:t>
            </w:r>
          </w:p>
        </w:tc>
      </w:tr>
      <w:tr w:rsidR="00D55F20" w:rsidRPr="00D55F20" w14:paraId="021176C9" w14:textId="77777777" w:rsidTr="00D55F20">
        <w:trPr>
          <w:trHeight w:val="549"/>
        </w:trPr>
        <w:tc>
          <w:tcPr>
            <w:tcW w:w="3062" w:type="pct"/>
            <w:tcBorders>
              <w:top w:val="nil"/>
              <w:left w:val="nil"/>
              <w:bottom w:val="nil"/>
              <w:right w:val="nil"/>
            </w:tcBorders>
            <w:shd w:val="clear" w:color="auto" w:fill="auto"/>
            <w:noWrap/>
            <w:vAlign w:val="bottom"/>
          </w:tcPr>
          <w:p w14:paraId="58723374"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685.301(e) - additional reporting to the COD System</w:t>
            </w:r>
          </w:p>
        </w:tc>
        <w:tc>
          <w:tcPr>
            <w:tcW w:w="679" w:type="pct"/>
            <w:tcBorders>
              <w:top w:val="nil"/>
              <w:left w:val="nil"/>
              <w:bottom w:val="nil"/>
              <w:right w:val="nil"/>
            </w:tcBorders>
            <w:shd w:val="clear" w:color="auto" w:fill="auto"/>
            <w:noWrap/>
            <w:vAlign w:val="bottom"/>
          </w:tcPr>
          <w:p w14:paraId="302CCA79"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5,847</w:t>
            </w:r>
          </w:p>
        </w:tc>
        <w:tc>
          <w:tcPr>
            <w:tcW w:w="677" w:type="pct"/>
            <w:tcBorders>
              <w:top w:val="nil"/>
              <w:left w:val="nil"/>
              <w:bottom w:val="nil"/>
              <w:right w:val="nil"/>
            </w:tcBorders>
            <w:shd w:val="clear" w:color="auto" w:fill="auto"/>
            <w:noWrap/>
            <w:vAlign w:val="bottom"/>
          </w:tcPr>
          <w:p w14:paraId="41605BEC"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2,319,383</w:t>
            </w:r>
          </w:p>
        </w:tc>
        <w:tc>
          <w:tcPr>
            <w:tcW w:w="582" w:type="pct"/>
            <w:tcBorders>
              <w:top w:val="nil"/>
              <w:left w:val="nil"/>
              <w:bottom w:val="nil"/>
              <w:right w:val="nil"/>
            </w:tcBorders>
            <w:shd w:val="clear" w:color="auto" w:fill="auto"/>
            <w:noWrap/>
            <w:vAlign w:val="bottom"/>
          </w:tcPr>
          <w:p w14:paraId="28B35004"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46,388</w:t>
            </w:r>
          </w:p>
        </w:tc>
      </w:tr>
      <w:tr w:rsidR="00D55F20" w:rsidRPr="00D55F20" w14:paraId="4173EF3A" w14:textId="77777777" w:rsidTr="00D55F20">
        <w:trPr>
          <w:trHeight w:val="255"/>
        </w:trPr>
        <w:tc>
          <w:tcPr>
            <w:tcW w:w="3062" w:type="pct"/>
            <w:tcBorders>
              <w:top w:val="nil"/>
              <w:left w:val="nil"/>
              <w:bottom w:val="nil"/>
              <w:right w:val="nil"/>
            </w:tcBorders>
            <w:shd w:val="clear" w:color="auto" w:fill="auto"/>
            <w:noWrap/>
            <w:vAlign w:val="bottom"/>
          </w:tcPr>
          <w:p w14:paraId="73069B83"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34 CFR 685.309(b) - additional reporting to NSLDS</w:t>
            </w:r>
          </w:p>
        </w:tc>
        <w:tc>
          <w:tcPr>
            <w:tcW w:w="679" w:type="pct"/>
            <w:tcBorders>
              <w:top w:val="nil"/>
              <w:left w:val="nil"/>
              <w:bottom w:val="nil"/>
              <w:right w:val="nil"/>
            </w:tcBorders>
            <w:shd w:val="clear" w:color="auto" w:fill="auto"/>
            <w:noWrap/>
            <w:vAlign w:val="bottom"/>
          </w:tcPr>
          <w:p w14:paraId="5F88EE05"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8,196</w:t>
            </w:r>
          </w:p>
        </w:tc>
        <w:tc>
          <w:tcPr>
            <w:tcW w:w="677" w:type="pct"/>
            <w:tcBorders>
              <w:top w:val="nil"/>
              <w:left w:val="nil"/>
              <w:bottom w:val="nil"/>
              <w:right w:val="nil"/>
            </w:tcBorders>
            <w:shd w:val="clear" w:color="auto" w:fill="auto"/>
            <w:noWrap/>
            <w:vAlign w:val="bottom"/>
          </w:tcPr>
          <w:p w14:paraId="23202948"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16,392</w:t>
            </w:r>
          </w:p>
        </w:tc>
        <w:tc>
          <w:tcPr>
            <w:tcW w:w="582" w:type="pct"/>
            <w:tcBorders>
              <w:top w:val="nil"/>
              <w:left w:val="nil"/>
              <w:bottom w:val="nil"/>
              <w:right w:val="nil"/>
            </w:tcBorders>
            <w:shd w:val="clear" w:color="auto" w:fill="auto"/>
            <w:noWrap/>
            <w:vAlign w:val="bottom"/>
          </w:tcPr>
          <w:p w14:paraId="23DC857A"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5,032</w:t>
            </w:r>
          </w:p>
          <w:p w14:paraId="5DF95663"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p>
        </w:tc>
      </w:tr>
      <w:tr w:rsidR="00CE3744" w:rsidRPr="00D55F20" w14:paraId="67F03BCE" w14:textId="77777777" w:rsidTr="00D55F20">
        <w:trPr>
          <w:trHeight w:val="255"/>
        </w:trPr>
        <w:tc>
          <w:tcPr>
            <w:tcW w:w="3062" w:type="pct"/>
            <w:tcBorders>
              <w:top w:val="nil"/>
              <w:left w:val="nil"/>
              <w:bottom w:val="nil"/>
              <w:right w:val="nil"/>
            </w:tcBorders>
            <w:shd w:val="clear" w:color="auto" w:fill="auto"/>
            <w:noWrap/>
            <w:vAlign w:val="bottom"/>
            <w:hideMark/>
          </w:tcPr>
          <w:p w14:paraId="17AD670E" w14:textId="77777777" w:rsidR="00CE3744" w:rsidRPr="00D55F20" w:rsidRDefault="00CE3744" w:rsidP="00D55F20">
            <w:pPr>
              <w:spacing w:after="0" w:line="240" w:lineRule="auto"/>
              <w:jc w:val="right"/>
              <w:rPr>
                <w:rFonts w:asciiTheme="minorHAnsi" w:eastAsia="Times New Roman" w:hAnsiTheme="minorHAnsi" w:cstheme="minorHAnsi"/>
                <w:b/>
                <w:bCs/>
                <w:sz w:val="20"/>
                <w:szCs w:val="20"/>
              </w:rPr>
            </w:pPr>
          </w:p>
        </w:tc>
        <w:tc>
          <w:tcPr>
            <w:tcW w:w="679" w:type="pct"/>
            <w:tcBorders>
              <w:top w:val="nil"/>
              <w:left w:val="nil"/>
              <w:bottom w:val="nil"/>
              <w:right w:val="nil"/>
            </w:tcBorders>
            <w:shd w:val="clear" w:color="auto" w:fill="auto"/>
            <w:noWrap/>
            <w:vAlign w:val="bottom"/>
            <w:hideMark/>
          </w:tcPr>
          <w:p w14:paraId="72573589"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16ADC47B"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235751F7" w14:textId="77777777" w:rsidR="00CE3744" w:rsidRPr="00D55F20" w:rsidRDefault="00CE3744" w:rsidP="00D55F20">
            <w:pPr>
              <w:spacing w:after="0" w:line="240" w:lineRule="auto"/>
              <w:jc w:val="right"/>
              <w:rPr>
                <w:rFonts w:asciiTheme="minorHAnsi" w:eastAsia="Times New Roman" w:hAnsiTheme="minorHAnsi" w:cstheme="minorHAnsi"/>
                <w:sz w:val="20"/>
                <w:szCs w:val="20"/>
              </w:rPr>
            </w:pPr>
          </w:p>
        </w:tc>
      </w:tr>
      <w:tr w:rsidR="00D55F20" w:rsidRPr="00D55F20" w14:paraId="18219979" w14:textId="77777777" w:rsidTr="00D55F20">
        <w:trPr>
          <w:trHeight w:val="255"/>
        </w:trPr>
        <w:tc>
          <w:tcPr>
            <w:tcW w:w="3062" w:type="pct"/>
            <w:tcBorders>
              <w:top w:val="nil"/>
              <w:left w:val="nil"/>
              <w:bottom w:val="nil"/>
              <w:right w:val="nil"/>
            </w:tcBorders>
            <w:shd w:val="clear" w:color="auto" w:fill="auto"/>
            <w:noWrap/>
            <w:vAlign w:val="bottom"/>
            <w:hideMark/>
          </w:tcPr>
          <w:p w14:paraId="06334E31"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w:t>
            </w:r>
          </w:p>
        </w:tc>
        <w:tc>
          <w:tcPr>
            <w:tcW w:w="679" w:type="pct"/>
            <w:tcBorders>
              <w:top w:val="nil"/>
              <w:left w:val="nil"/>
              <w:bottom w:val="nil"/>
              <w:right w:val="nil"/>
            </w:tcBorders>
            <w:shd w:val="clear" w:color="auto" w:fill="auto"/>
            <w:noWrap/>
            <w:vAlign w:val="bottom"/>
            <w:hideMark/>
          </w:tcPr>
          <w:p w14:paraId="794B670B" w14:textId="77777777" w:rsidR="00D55F20" w:rsidRPr="00D55F20" w:rsidRDefault="00D55F20" w:rsidP="00D55F20">
            <w:pPr>
              <w:jc w:val="right"/>
              <w:rPr>
                <w:rFonts w:asciiTheme="minorHAnsi" w:hAnsiTheme="minorHAnsi" w:cstheme="minorHAnsi"/>
                <w:b/>
                <w:bCs/>
                <w:sz w:val="20"/>
                <w:szCs w:val="20"/>
              </w:rPr>
            </w:pPr>
            <w:r w:rsidRPr="00D55F20">
              <w:rPr>
                <w:rFonts w:asciiTheme="minorHAnsi" w:hAnsiTheme="minorHAnsi" w:cstheme="minorHAnsi"/>
                <w:b/>
                <w:bCs/>
                <w:sz w:val="20"/>
                <w:szCs w:val="20"/>
              </w:rPr>
              <w:t>5,448,763</w:t>
            </w:r>
          </w:p>
        </w:tc>
        <w:tc>
          <w:tcPr>
            <w:tcW w:w="677" w:type="pct"/>
            <w:tcBorders>
              <w:top w:val="nil"/>
              <w:left w:val="nil"/>
              <w:bottom w:val="nil"/>
              <w:right w:val="nil"/>
            </w:tcBorders>
            <w:shd w:val="clear" w:color="auto" w:fill="auto"/>
            <w:noWrap/>
            <w:vAlign w:val="bottom"/>
            <w:hideMark/>
          </w:tcPr>
          <w:p w14:paraId="5CBD0881" w14:textId="77777777" w:rsidR="00D55F20" w:rsidRPr="00D55F20" w:rsidRDefault="00D55F20" w:rsidP="00D55F20">
            <w:pPr>
              <w:jc w:val="right"/>
              <w:rPr>
                <w:rFonts w:asciiTheme="minorHAnsi" w:hAnsiTheme="minorHAnsi" w:cstheme="minorHAnsi"/>
                <w:b/>
                <w:bCs/>
                <w:sz w:val="20"/>
                <w:szCs w:val="20"/>
              </w:rPr>
            </w:pPr>
            <w:r w:rsidRPr="00D55F20">
              <w:rPr>
                <w:rFonts w:asciiTheme="minorHAnsi" w:hAnsiTheme="minorHAnsi" w:cstheme="minorHAnsi"/>
                <w:b/>
                <w:bCs/>
                <w:sz w:val="20"/>
                <w:szCs w:val="20"/>
              </w:rPr>
              <w:t>7,770,495</w:t>
            </w:r>
          </w:p>
        </w:tc>
        <w:tc>
          <w:tcPr>
            <w:tcW w:w="582" w:type="pct"/>
            <w:tcBorders>
              <w:top w:val="nil"/>
              <w:left w:val="nil"/>
              <w:bottom w:val="nil"/>
              <w:right w:val="nil"/>
            </w:tcBorders>
            <w:shd w:val="clear" w:color="auto" w:fill="auto"/>
            <w:noWrap/>
            <w:vAlign w:val="bottom"/>
            <w:hideMark/>
          </w:tcPr>
          <w:p w14:paraId="5AFC3246" w14:textId="77777777" w:rsidR="00D55F20" w:rsidRPr="00D55F20" w:rsidRDefault="00D55F20" w:rsidP="00D55F20">
            <w:pPr>
              <w:jc w:val="right"/>
              <w:rPr>
                <w:rFonts w:asciiTheme="minorHAnsi" w:hAnsiTheme="minorHAnsi" w:cstheme="minorHAnsi"/>
                <w:b/>
                <w:bCs/>
                <w:sz w:val="20"/>
                <w:szCs w:val="20"/>
              </w:rPr>
            </w:pPr>
            <w:r w:rsidRPr="00D55F20">
              <w:rPr>
                <w:rFonts w:asciiTheme="minorHAnsi" w:hAnsiTheme="minorHAnsi" w:cstheme="minorHAnsi"/>
                <w:b/>
                <w:bCs/>
                <w:sz w:val="20"/>
                <w:szCs w:val="20"/>
              </w:rPr>
              <w:t>282,713</w:t>
            </w:r>
          </w:p>
        </w:tc>
      </w:tr>
      <w:tr w:rsidR="00D55F20" w:rsidRPr="00D55F20" w14:paraId="0A3E989D" w14:textId="77777777" w:rsidTr="00D55F20">
        <w:trPr>
          <w:trHeight w:val="255"/>
        </w:trPr>
        <w:tc>
          <w:tcPr>
            <w:tcW w:w="3062" w:type="pct"/>
            <w:tcBorders>
              <w:top w:val="nil"/>
              <w:left w:val="nil"/>
              <w:bottom w:val="nil"/>
              <w:right w:val="nil"/>
            </w:tcBorders>
            <w:shd w:val="clear" w:color="auto" w:fill="auto"/>
            <w:noWrap/>
            <w:vAlign w:val="bottom"/>
            <w:hideMark/>
          </w:tcPr>
          <w:p w14:paraId="5C097BF7"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p>
        </w:tc>
        <w:tc>
          <w:tcPr>
            <w:tcW w:w="679" w:type="pct"/>
            <w:tcBorders>
              <w:top w:val="nil"/>
              <w:left w:val="nil"/>
              <w:bottom w:val="nil"/>
              <w:right w:val="nil"/>
            </w:tcBorders>
            <w:shd w:val="clear" w:color="auto" w:fill="auto"/>
            <w:noWrap/>
            <w:vAlign w:val="bottom"/>
            <w:hideMark/>
          </w:tcPr>
          <w:p w14:paraId="72E597BB"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6CFADB70"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6EC1574A" w14:textId="77777777" w:rsidR="00D55F20" w:rsidRPr="00D55F20" w:rsidRDefault="00D55F20" w:rsidP="00D55F20">
            <w:pPr>
              <w:jc w:val="right"/>
              <w:rPr>
                <w:rFonts w:asciiTheme="minorHAnsi" w:hAnsiTheme="minorHAnsi" w:cstheme="minorHAnsi"/>
                <w:sz w:val="20"/>
                <w:szCs w:val="20"/>
              </w:rPr>
            </w:pPr>
          </w:p>
        </w:tc>
      </w:tr>
      <w:tr w:rsidR="00D55F20" w:rsidRPr="00D55F20" w14:paraId="63F30203" w14:textId="77777777" w:rsidTr="00D55F20">
        <w:trPr>
          <w:trHeight w:val="255"/>
        </w:trPr>
        <w:tc>
          <w:tcPr>
            <w:tcW w:w="3062" w:type="pct"/>
            <w:tcBorders>
              <w:top w:val="nil"/>
              <w:left w:val="nil"/>
              <w:bottom w:val="nil"/>
              <w:right w:val="nil"/>
            </w:tcBorders>
            <w:shd w:val="clear" w:color="auto" w:fill="auto"/>
            <w:noWrap/>
            <w:vAlign w:val="bottom"/>
            <w:hideMark/>
          </w:tcPr>
          <w:p w14:paraId="1E7173B6"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CURRENT INVENTORY`</w:t>
            </w:r>
          </w:p>
        </w:tc>
        <w:tc>
          <w:tcPr>
            <w:tcW w:w="679" w:type="pct"/>
            <w:tcBorders>
              <w:top w:val="nil"/>
              <w:left w:val="nil"/>
              <w:bottom w:val="nil"/>
              <w:right w:val="nil"/>
            </w:tcBorders>
            <w:shd w:val="clear" w:color="auto" w:fill="auto"/>
            <w:noWrap/>
            <w:vAlign w:val="bottom"/>
            <w:hideMark/>
          </w:tcPr>
          <w:p w14:paraId="0170DB32"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6195CAFA"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4A98D367" w14:textId="77777777" w:rsidR="00D55F20" w:rsidRPr="00D55F20" w:rsidRDefault="00D55F20" w:rsidP="00D55F20">
            <w:pPr>
              <w:jc w:val="right"/>
              <w:rPr>
                <w:rFonts w:asciiTheme="minorHAnsi" w:hAnsiTheme="minorHAnsi" w:cstheme="minorHAnsi"/>
                <w:sz w:val="20"/>
                <w:szCs w:val="20"/>
              </w:rPr>
            </w:pPr>
          </w:p>
        </w:tc>
      </w:tr>
      <w:tr w:rsidR="00D55F20" w:rsidRPr="00D55F20" w14:paraId="3FC99EB7" w14:textId="77777777" w:rsidTr="00D55F20">
        <w:trPr>
          <w:trHeight w:val="255"/>
        </w:trPr>
        <w:tc>
          <w:tcPr>
            <w:tcW w:w="3062" w:type="pct"/>
            <w:tcBorders>
              <w:top w:val="nil"/>
              <w:left w:val="nil"/>
              <w:bottom w:val="nil"/>
              <w:right w:val="nil"/>
            </w:tcBorders>
            <w:shd w:val="clear" w:color="auto" w:fill="auto"/>
            <w:noWrap/>
            <w:vAlign w:val="bottom"/>
            <w:hideMark/>
          </w:tcPr>
          <w:p w14:paraId="7CA126FF"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Current # of Respondents</w:t>
            </w:r>
          </w:p>
        </w:tc>
        <w:tc>
          <w:tcPr>
            <w:tcW w:w="679" w:type="pct"/>
            <w:tcBorders>
              <w:top w:val="nil"/>
              <w:left w:val="nil"/>
              <w:bottom w:val="nil"/>
              <w:right w:val="nil"/>
            </w:tcBorders>
            <w:shd w:val="clear" w:color="auto" w:fill="auto"/>
            <w:noWrap/>
            <w:vAlign w:val="bottom"/>
            <w:hideMark/>
          </w:tcPr>
          <w:p w14:paraId="4D61F2C8"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0</w:t>
            </w:r>
          </w:p>
        </w:tc>
        <w:tc>
          <w:tcPr>
            <w:tcW w:w="677" w:type="pct"/>
            <w:tcBorders>
              <w:top w:val="nil"/>
              <w:left w:val="nil"/>
              <w:bottom w:val="nil"/>
              <w:right w:val="nil"/>
            </w:tcBorders>
            <w:shd w:val="clear" w:color="auto" w:fill="auto"/>
            <w:noWrap/>
            <w:vAlign w:val="bottom"/>
            <w:hideMark/>
          </w:tcPr>
          <w:p w14:paraId="41ABBD18"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748224C5" w14:textId="77777777" w:rsidR="00D55F20" w:rsidRPr="00D55F20" w:rsidRDefault="00D55F20" w:rsidP="00D55F20">
            <w:pPr>
              <w:jc w:val="right"/>
              <w:rPr>
                <w:rFonts w:asciiTheme="minorHAnsi" w:hAnsiTheme="minorHAnsi" w:cstheme="minorHAnsi"/>
                <w:sz w:val="20"/>
                <w:szCs w:val="20"/>
              </w:rPr>
            </w:pPr>
          </w:p>
        </w:tc>
      </w:tr>
      <w:tr w:rsidR="00D55F20" w:rsidRPr="00D55F20" w14:paraId="31D01394" w14:textId="77777777" w:rsidTr="00D55F20">
        <w:trPr>
          <w:trHeight w:val="255"/>
        </w:trPr>
        <w:tc>
          <w:tcPr>
            <w:tcW w:w="3062" w:type="pct"/>
            <w:tcBorders>
              <w:top w:val="nil"/>
              <w:left w:val="nil"/>
              <w:bottom w:val="nil"/>
              <w:right w:val="nil"/>
            </w:tcBorders>
            <w:shd w:val="clear" w:color="auto" w:fill="auto"/>
            <w:noWrap/>
            <w:vAlign w:val="bottom"/>
            <w:hideMark/>
          </w:tcPr>
          <w:p w14:paraId="34DAA3C7"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Current # of Responses</w:t>
            </w:r>
          </w:p>
        </w:tc>
        <w:tc>
          <w:tcPr>
            <w:tcW w:w="679" w:type="pct"/>
            <w:tcBorders>
              <w:top w:val="nil"/>
              <w:left w:val="nil"/>
              <w:bottom w:val="nil"/>
              <w:right w:val="nil"/>
            </w:tcBorders>
            <w:shd w:val="clear" w:color="auto" w:fill="auto"/>
            <w:noWrap/>
            <w:vAlign w:val="bottom"/>
            <w:hideMark/>
          </w:tcPr>
          <w:p w14:paraId="42C9E634"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56913BB8"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0</w:t>
            </w:r>
          </w:p>
        </w:tc>
        <w:tc>
          <w:tcPr>
            <w:tcW w:w="582" w:type="pct"/>
            <w:tcBorders>
              <w:top w:val="nil"/>
              <w:left w:val="nil"/>
              <w:bottom w:val="nil"/>
              <w:right w:val="nil"/>
            </w:tcBorders>
            <w:shd w:val="clear" w:color="auto" w:fill="auto"/>
            <w:noWrap/>
            <w:vAlign w:val="bottom"/>
            <w:hideMark/>
          </w:tcPr>
          <w:p w14:paraId="1CACF217" w14:textId="77777777" w:rsidR="00D55F20" w:rsidRPr="00D55F20" w:rsidRDefault="00D55F20" w:rsidP="00D55F20">
            <w:pPr>
              <w:jc w:val="right"/>
              <w:rPr>
                <w:rFonts w:asciiTheme="minorHAnsi" w:hAnsiTheme="minorHAnsi" w:cstheme="minorHAnsi"/>
                <w:sz w:val="20"/>
                <w:szCs w:val="20"/>
              </w:rPr>
            </w:pPr>
          </w:p>
        </w:tc>
      </w:tr>
      <w:tr w:rsidR="00D55F20" w:rsidRPr="00D55F20" w14:paraId="425A1A85" w14:textId="77777777" w:rsidTr="00D55F20">
        <w:trPr>
          <w:trHeight w:val="255"/>
        </w:trPr>
        <w:tc>
          <w:tcPr>
            <w:tcW w:w="3062" w:type="pct"/>
            <w:tcBorders>
              <w:top w:val="nil"/>
              <w:left w:val="nil"/>
              <w:bottom w:val="nil"/>
              <w:right w:val="nil"/>
            </w:tcBorders>
            <w:shd w:val="clear" w:color="auto" w:fill="auto"/>
            <w:noWrap/>
            <w:vAlign w:val="bottom"/>
            <w:hideMark/>
          </w:tcPr>
          <w:p w14:paraId="168BE996"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Current Inventory of Hours</w:t>
            </w:r>
          </w:p>
        </w:tc>
        <w:tc>
          <w:tcPr>
            <w:tcW w:w="679" w:type="pct"/>
            <w:tcBorders>
              <w:top w:val="nil"/>
              <w:left w:val="nil"/>
              <w:bottom w:val="nil"/>
              <w:right w:val="nil"/>
            </w:tcBorders>
            <w:shd w:val="clear" w:color="auto" w:fill="auto"/>
            <w:noWrap/>
            <w:vAlign w:val="bottom"/>
            <w:hideMark/>
          </w:tcPr>
          <w:p w14:paraId="108CEAA6"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09129CE7"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2A19FF0B"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0</w:t>
            </w:r>
          </w:p>
        </w:tc>
      </w:tr>
      <w:tr w:rsidR="00D55F20" w:rsidRPr="00D55F20" w14:paraId="1B805A82" w14:textId="77777777" w:rsidTr="00D55F20">
        <w:trPr>
          <w:trHeight w:val="255"/>
        </w:trPr>
        <w:tc>
          <w:tcPr>
            <w:tcW w:w="3062" w:type="pct"/>
            <w:tcBorders>
              <w:top w:val="nil"/>
              <w:left w:val="nil"/>
              <w:bottom w:val="nil"/>
              <w:right w:val="nil"/>
            </w:tcBorders>
            <w:shd w:val="clear" w:color="auto" w:fill="auto"/>
            <w:noWrap/>
            <w:vAlign w:val="bottom"/>
            <w:hideMark/>
          </w:tcPr>
          <w:p w14:paraId="15B82BC6"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p>
        </w:tc>
        <w:tc>
          <w:tcPr>
            <w:tcW w:w="679" w:type="pct"/>
            <w:tcBorders>
              <w:top w:val="nil"/>
              <w:left w:val="nil"/>
              <w:bottom w:val="nil"/>
              <w:right w:val="nil"/>
            </w:tcBorders>
            <w:shd w:val="clear" w:color="auto" w:fill="auto"/>
            <w:noWrap/>
            <w:vAlign w:val="bottom"/>
            <w:hideMark/>
          </w:tcPr>
          <w:p w14:paraId="5573FB08"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5D725345"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05F17774" w14:textId="77777777" w:rsidR="00D55F20" w:rsidRPr="00D55F20" w:rsidRDefault="00D55F20" w:rsidP="00D55F20">
            <w:pPr>
              <w:jc w:val="right"/>
              <w:rPr>
                <w:rFonts w:asciiTheme="minorHAnsi" w:hAnsiTheme="minorHAnsi" w:cstheme="minorHAnsi"/>
                <w:sz w:val="20"/>
                <w:szCs w:val="20"/>
              </w:rPr>
            </w:pPr>
          </w:p>
        </w:tc>
      </w:tr>
      <w:tr w:rsidR="00D55F20" w:rsidRPr="00D55F20" w14:paraId="4C791EEE" w14:textId="77777777" w:rsidTr="00D55F20">
        <w:trPr>
          <w:trHeight w:val="255"/>
        </w:trPr>
        <w:tc>
          <w:tcPr>
            <w:tcW w:w="3062" w:type="pct"/>
            <w:tcBorders>
              <w:top w:val="nil"/>
              <w:left w:val="nil"/>
              <w:bottom w:val="nil"/>
              <w:right w:val="nil"/>
            </w:tcBorders>
            <w:shd w:val="clear" w:color="auto" w:fill="auto"/>
            <w:noWrap/>
            <w:vAlign w:val="bottom"/>
            <w:hideMark/>
          </w:tcPr>
          <w:p w14:paraId="261CFE00"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REVISED # OF RESPONDENTS</w:t>
            </w:r>
          </w:p>
        </w:tc>
        <w:tc>
          <w:tcPr>
            <w:tcW w:w="679" w:type="pct"/>
            <w:tcBorders>
              <w:top w:val="nil"/>
              <w:left w:val="nil"/>
              <w:bottom w:val="nil"/>
              <w:right w:val="nil"/>
            </w:tcBorders>
            <w:shd w:val="clear" w:color="auto" w:fill="auto"/>
            <w:noWrap/>
            <w:vAlign w:val="bottom"/>
            <w:hideMark/>
          </w:tcPr>
          <w:p w14:paraId="4149187F"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5,448,763</w:t>
            </w:r>
          </w:p>
        </w:tc>
        <w:tc>
          <w:tcPr>
            <w:tcW w:w="677" w:type="pct"/>
            <w:tcBorders>
              <w:top w:val="nil"/>
              <w:left w:val="nil"/>
              <w:bottom w:val="nil"/>
              <w:right w:val="nil"/>
            </w:tcBorders>
            <w:shd w:val="clear" w:color="auto" w:fill="auto"/>
            <w:noWrap/>
            <w:vAlign w:val="bottom"/>
            <w:hideMark/>
          </w:tcPr>
          <w:p w14:paraId="2C3D9974"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5234BE66" w14:textId="77777777" w:rsidR="00D55F20" w:rsidRPr="00D55F20" w:rsidRDefault="00D55F20" w:rsidP="00D55F20">
            <w:pPr>
              <w:jc w:val="right"/>
              <w:rPr>
                <w:rFonts w:asciiTheme="minorHAnsi" w:hAnsiTheme="minorHAnsi" w:cstheme="minorHAnsi"/>
                <w:sz w:val="20"/>
                <w:szCs w:val="20"/>
              </w:rPr>
            </w:pPr>
          </w:p>
        </w:tc>
      </w:tr>
      <w:tr w:rsidR="00D55F20" w:rsidRPr="00D55F20" w14:paraId="77143A73" w14:textId="77777777" w:rsidTr="00D55F20">
        <w:trPr>
          <w:trHeight w:val="255"/>
        </w:trPr>
        <w:tc>
          <w:tcPr>
            <w:tcW w:w="3062" w:type="pct"/>
            <w:tcBorders>
              <w:top w:val="nil"/>
              <w:left w:val="nil"/>
              <w:bottom w:val="nil"/>
              <w:right w:val="nil"/>
            </w:tcBorders>
            <w:shd w:val="clear" w:color="auto" w:fill="auto"/>
            <w:noWrap/>
            <w:vAlign w:val="bottom"/>
            <w:hideMark/>
          </w:tcPr>
          <w:p w14:paraId="5DA45C10"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REVISED # OF RESPONSES</w:t>
            </w:r>
          </w:p>
        </w:tc>
        <w:tc>
          <w:tcPr>
            <w:tcW w:w="679" w:type="pct"/>
            <w:tcBorders>
              <w:top w:val="nil"/>
              <w:left w:val="nil"/>
              <w:bottom w:val="nil"/>
              <w:right w:val="nil"/>
            </w:tcBorders>
            <w:shd w:val="clear" w:color="auto" w:fill="auto"/>
            <w:noWrap/>
            <w:vAlign w:val="bottom"/>
            <w:hideMark/>
          </w:tcPr>
          <w:p w14:paraId="056CB638"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3697451B"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7,770,495</w:t>
            </w:r>
          </w:p>
        </w:tc>
        <w:tc>
          <w:tcPr>
            <w:tcW w:w="582" w:type="pct"/>
            <w:tcBorders>
              <w:top w:val="nil"/>
              <w:left w:val="nil"/>
              <w:bottom w:val="nil"/>
              <w:right w:val="nil"/>
            </w:tcBorders>
            <w:shd w:val="clear" w:color="auto" w:fill="auto"/>
            <w:noWrap/>
            <w:vAlign w:val="bottom"/>
            <w:hideMark/>
          </w:tcPr>
          <w:p w14:paraId="6442F094" w14:textId="77777777" w:rsidR="00D55F20" w:rsidRPr="00D55F20" w:rsidRDefault="00D55F20" w:rsidP="00D55F20">
            <w:pPr>
              <w:jc w:val="right"/>
              <w:rPr>
                <w:rFonts w:asciiTheme="minorHAnsi" w:hAnsiTheme="minorHAnsi" w:cstheme="minorHAnsi"/>
                <w:sz w:val="20"/>
                <w:szCs w:val="20"/>
              </w:rPr>
            </w:pPr>
          </w:p>
        </w:tc>
      </w:tr>
      <w:tr w:rsidR="00D55F20" w:rsidRPr="00D55F20" w14:paraId="597131F2" w14:textId="77777777" w:rsidTr="00D55F20">
        <w:trPr>
          <w:trHeight w:val="255"/>
        </w:trPr>
        <w:tc>
          <w:tcPr>
            <w:tcW w:w="3062" w:type="pct"/>
            <w:tcBorders>
              <w:top w:val="nil"/>
              <w:left w:val="nil"/>
              <w:bottom w:val="nil"/>
              <w:right w:val="nil"/>
            </w:tcBorders>
            <w:shd w:val="clear" w:color="auto" w:fill="auto"/>
            <w:noWrap/>
            <w:vAlign w:val="bottom"/>
            <w:hideMark/>
          </w:tcPr>
          <w:p w14:paraId="5E134211"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REVISED # OF BURDEN HOURS</w:t>
            </w:r>
          </w:p>
        </w:tc>
        <w:tc>
          <w:tcPr>
            <w:tcW w:w="679" w:type="pct"/>
            <w:tcBorders>
              <w:top w:val="nil"/>
              <w:left w:val="nil"/>
              <w:bottom w:val="nil"/>
              <w:right w:val="nil"/>
            </w:tcBorders>
            <w:shd w:val="clear" w:color="auto" w:fill="auto"/>
            <w:noWrap/>
            <w:vAlign w:val="bottom"/>
            <w:hideMark/>
          </w:tcPr>
          <w:p w14:paraId="23DA5C6C"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0B185156"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3EF50943"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282,713</w:t>
            </w:r>
          </w:p>
        </w:tc>
      </w:tr>
      <w:tr w:rsidR="00D55F20" w:rsidRPr="00D55F20" w14:paraId="075D70A6" w14:textId="77777777" w:rsidTr="00D55F20">
        <w:trPr>
          <w:trHeight w:val="255"/>
        </w:trPr>
        <w:tc>
          <w:tcPr>
            <w:tcW w:w="3062" w:type="pct"/>
            <w:tcBorders>
              <w:top w:val="nil"/>
              <w:left w:val="nil"/>
              <w:bottom w:val="nil"/>
              <w:right w:val="nil"/>
            </w:tcBorders>
            <w:shd w:val="clear" w:color="auto" w:fill="auto"/>
            <w:noWrap/>
            <w:vAlign w:val="bottom"/>
            <w:hideMark/>
          </w:tcPr>
          <w:p w14:paraId="6695EC40"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p>
        </w:tc>
        <w:tc>
          <w:tcPr>
            <w:tcW w:w="679" w:type="pct"/>
            <w:tcBorders>
              <w:top w:val="nil"/>
              <w:left w:val="nil"/>
              <w:bottom w:val="nil"/>
              <w:right w:val="nil"/>
            </w:tcBorders>
            <w:shd w:val="clear" w:color="auto" w:fill="auto"/>
            <w:noWrap/>
            <w:vAlign w:val="bottom"/>
            <w:hideMark/>
          </w:tcPr>
          <w:p w14:paraId="20953D33"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1859A13A"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418ADD6D" w14:textId="77777777" w:rsidR="00D55F20" w:rsidRPr="00D55F20" w:rsidRDefault="00D55F20" w:rsidP="00D55F20">
            <w:pPr>
              <w:jc w:val="right"/>
              <w:rPr>
                <w:rFonts w:asciiTheme="minorHAnsi" w:hAnsiTheme="minorHAnsi" w:cstheme="minorHAnsi"/>
                <w:sz w:val="20"/>
                <w:szCs w:val="20"/>
              </w:rPr>
            </w:pPr>
          </w:p>
        </w:tc>
      </w:tr>
      <w:tr w:rsidR="00D55F20" w:rsidRPr="00D55F20" w14:paraId="35EB866C" w14:textId="77777777" w:rsidTr="00D55F20">
        <w:trPr>
          <w:trHeight w:val="255"/>
        </w:trPr>
        <w:tc>
          <w:tcPr>
            <w:tcW w:w="3062" w:type="pct"/>
            <w:tcBorders>
              <w:top w:val="nil"/>
              <w:left w:val="nil"/>
              <w:bottom w:val="nil"/>
              <w:right w:val="nil"/>
            </w:tcBorders>
            <w:shd w:val="clear" w:color="auto" w:fill="auto"/>
            <w:noWrap/>
            <w:vAlign w:val="bottom"/>
            <w:hideMark/>
          </w:tcPr>
          <w:p w14:paraId="26B73FD0"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 RESPONDENTS</w:t>
            </w:r>
          </w:p>
        </w:tc>
        <w:tc>
          <w:tcPr>
            <w:tcW w:w="679" w:type="pct"/>
            <w:tcBorders>
              <w:top w:val="nil"/>
              <w:left w:val="nil"/>
              <w:bottom w:val="nil"/>
              <w:right w:val="nil"/>
            </w:tcBorders>
            <w:shd w:val="clear" w:color="auto" w:fill="auto"/>
            <w:noWrap/>
            <w:vAlign w:val="bottom"/>
            <w:hideMark/>
          </w:tcPr>
          <w:p w14:paraId="5F17C82E"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5,448,763</w:t>
            </w:r>
          </w:p>
        </w:tc>
        <w:tc>
          <w:tcPr>
            <w:tcW w:w="677" w:type="pct"/>
            <w:tcBorders>
              <w:top w:val="nil"/>
              <w:left w:val="nil"/>
              <w:bottom w:val="nil"/>
              <w:right w:val="nil"/>
            </w:tcBorders>
            <w:shd w:val="clear" w:color="auto" w:fill="auto"/>
            <w:noWrap/>
            <w:vAlign w:val="bottom"/>
            <w:hideMark/>
          </w:tcPr>
          <w:p w14:paraId="2E6780B4"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53C133C2" w14:textId="77777777" w:rsidR="00D55F20" w:rsidRPr="00D55F20" w:rsidRDefault="00D55F20" w:rsidP="00D55F20">
            <w:pPr>
              <w:jc w:val="right"/>
              <w:rPr>
                <w:rFonts w:asciiTheme="minorHAnsi" w:hAnsiTheme="minorHAnsi" w:cstheme="minorHAnsi"/>
                <w:sz w:val="20"/>
                <w:szCs w:val="20"/>
              </w:rPr>
            </w:pPr>
          </w:p>
        </w:tc>
      </w:tr>
      <w:tr w:rsidR="00D55F20" w:rsidRPr="00D55F20" w14:paraId="40F2B815" w14:textId="77777777" w:rsidTr="00D55F20">
        <w:trPr>
          <w:trHeight w:val="255"/>
        </w:trPr>
        <w:tc>
          <w:tcPr>
            <w:tcW w:w="3062" w:type="pct"/>
            <w:tcBorders>
              <w:top w:val="nil"/>
              <w:left w:val="nil"/>
              <w:bottom w:val="nil"/>
              <w:right w:val="nil"/>
            </w:tcBorders>
            <w:shd w:val="clear" w:color="auto" w:fill="auto"/>
            <w:noWrap/>
            <w:vAlign w:val="bottom"/>
            <w:hideMark/>
          </w:tcPr>
          <w:p w14:paraId="2790BB1F"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 RESPONSES</w:t>
            </w:r>
          </w:p>
        </w:tc>
        <w:tc>
          <w:tcPr>
            <w:tcW w:w="679" w:type="pct"/>
            <w:tcBorders>
              <w:top w:val="nil"/>
              <w:left w:val="nil"/>
              <w:bottom w:val="nil"/>
              <w:right w:val="nil"/>
            </w:tcBorders>
            <w:shd w:val="clear" w:color="auto" w:fill="auto"/>
            <w:noWrap/>
            <w:vAlign w:val="bottom"/>
            <w:hideMark/>
          </w:tcPr>
          <w:p w14:paraId="76675E96"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76A4A7E2"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7,770,495</w:t>
            </w:r>
          </w:p>
        </w:tc>
        <w:tc>
          <w:tcPr>
            <w:tcW w:w="582" w:type="pct"/>
            <w:tcBorders>
              <w:top w:val="nil"/>
              <w:left w:val="nil"/>
              <w:bottom w:val="nil"/>
              <w:right w:val="nil"/>
            </w:tcBorders>
            <w:shd w:val="clear" w:color="auto" w:fill="auto"/>
            <w:noWrap/>
            <w:vAlign w:val="bottom"/>
            <w:hideMark/>
          </w:tcPr>
          <w:p w14:paraId="25C991FF" w14:textId="77777777" w:rsidR="00D55F20" w:rsidRPr="00D55F20" w:rsidRDefault="00D55F20" w:rsidP="00D55F20">
            <w:pPr>
              <w:jc w:val="right"/>
              <w:rPr>
                <w:rFonts w:asciiTheme="minorHAnsi" w:hAnsiTheme="minorHAnsi" w:cstheme="minorHAnsi"/>
                <w:sz w:val="20"/>
                <w:szCs w:val="20"/>
              </w:rPr>
            </w:pPr>
          </w:p>
        </w:tc>
      </w:tr>
      <w:tr w:rsidR="00D55F20" w:rsidRPr="00D55F20" w14:paraId="276425B0" w14:textId="77777777" w:rsidTr="00D55F20">
        <w:trPr>
          <w:trHeight w:val="255"/>
        </w:trPr>
        <w:tc>
          <w:tcPr>
            <w:tcW w:w="3062" w:type="pct"/>
            <w:tcBorders>
              <w:top w:val="nil"/>
              <w:left w:val="nil"/>
              <w:bottom w:val="nil"/>
              <w:right w:val="nil"/>
            </w:tcBorders>
            <w:shd w:val="clear" w:color="auto" w:fill="auto"/>
            <w:noWrap/>
            <w:vAlign w:val="bottom"/>
            <w:hideMark/>
          </w:tcPr>
          <w:p w14:paraId="3A8CCC4E" w14:textId="77777777" w:rsidR="00D55F20" w:rsidRPr="00D55F20" w:rsidRDefault="00D55F20" w:rsidP="00D55F20">
            <w:pPr>
              <w:spacing w:after="0" w:line="240" w:lineRule="auto"/>
              <w:jc w:val="right"/>
              <w:rPr>
                <w:rFonts w:asciiTheme="minorHAnsi" w:eastAsia="Times New Roman" w:hAnsiTheme="minorHAnsi" w:cstheme="minorHAnsi"/>
                <w:b/>
                <w:bCs/>
                <w:sz w:val="20"/>
                <w:szCs w:val="20"/>
              </w:rPr>
            </w:pPr>
            <w:r w:rsidRPr="00D55F20">
              <w:rPr>
                <w:rFonts w:asciiTheme="minorHAnsi" w:eastAsia="Times New Roman" w:hAnsiTheme="minorHAnsi" w:cstheme="minorHAnsi"/>
                <w:b/>
                <w:bCs/>
                <w:sz w:val="20"/>
                <w:szCs w:val="20"/>
              </w:rPr>
              <w:t>TOTAL # HOURS</w:t>
            </w:r>
          </w:p>
        </w:tc>
        <w:tc>
          <w:tcPr>
            <w:tcW w:w="679" w:type="pct"/>
            <w:tcBorders>
              <w:top w:val="nil"/>
              <w:left w:val="nil"/>
              <w:bottom w:val="nil"/>
              <w:right w:val="nil"/>
            </w:tcBorders>
            <w:shd w:val="clear" w:color="auto" w:fill="auto"/>
            <w:noWrap/>
            <w:vAlign w:val="bottom"/>
            <w:hideMark/>
          </w:tcPr>
          <w:p w14:paraId="46869B89"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3509B062"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4FC082BB"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282,713</w:t>
            </w:r>
          </w:p>
        </w:tc>
      </w:tr>
      <w:tr w:rsidR="00D55F20" w:rsidRPr="00D55F20" w14:paraId="1A0CC770" w14:textId="77777777" w:rsidTr="00D55F20">
        <w:trPr>
          <w:trHeight w:val="255"/>
        </w:trPr>
        <w:tc>
          <w:tcPr>
            <w:tcW w:w="3062" w:type="pct"/>
            <w:tcBorders>
              <w:top w:val="nil"/>
              <w:left w:val="nil"/>
              <w:bottom w:val="nil"/>
              <w:right w:val="nil"/>
            </w:tcBorders>
            <w:shd w:val="clear" w:color="auto" w:fill="auto"/>
            <w:noWrap/>
            <w:vAlign w:val="bottom"/>
            <w:hideMark/>
          </w:tcPr>
          <w:p w14:paraId="48069E0A"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p>
        </w:tc>
        <w:tc>
          <w:tcPr>
            <w:tcW w:w="679" w:type="pct"/>
            <w:tcBorders>
              <w:top w:val="nil"/>
              <w:left w:val="nil"/>
              <w:bottom w:val="nil"/>
              <w:right w:val="nil"/>
            </w:tcBorders>
            <w:shd w:val="clear" w:color="auto" w:fill="auto"/>
            <w:noWrap/>
            <w:vAlign w:val="bottom"/>
            <w:hideMark/>
          </w:tcPr>
          <w:p w14:paraId="40E9BBF3"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61DC3CB5"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5911C704" w14:textId="77777777" w:rsidR="00D55F20" w:rsidRPr="00D55F20" w:rsidRDefault="00D55F20" w:rsidP="00D55F20">
            <w:pPr>
              <w:jc w:val="right"/>
              <w:rPr>
                <w:rFonts w:asciiTheme="minorHAnsi" w:hAnsiTheme="minorHAnsi" w:cstheme="minorHAnsi"/>
                <w:sz w:val="20"/>
                <w:szCs w:val="20"/>
              </w:rPr>
            </w:pPr>
          </w:p>
        </w:tc>
      </w:tr>
      <w:tr w:rsidR="00D55F20" w:rsidRPr="00D55F20" w14:paraId="27E380EB" w14:textId="77777777" w:rsidTr="00D55F20">
        <w:trPr>
          <w:trHeight w:val="255"/>
        </w:trPr>
        <w:tc>
          <w:tcPr>
            <w:tcW w:w="3062" w:type="pct"/>
            <w:tcBorders>
              <w:top w:val="nil"/>
              <w:left w:val="nil"/>
              <w:bottom w:val="nil"/>
              <w:right w:val="nil"/>
            </w:tcBorders>
            <w:shd w:val="clear" w:color="auto" w:fill="auto"/>
            <w:noWrap/>
            <w:vAlign w:val="bottom"/>
            <w:hideMark/>
          </w:tcPr>
          <w:p w14:paraId="774BC523" w14:textId="77777777" w:rsidR="00D55F20" w:rsidRPr="00D55F20" w:rsidRDefault="00D55F20" w:rsidP="00D55F20">
            <w:pPr>
              <w:spacing w:after="0" w:line="240" w:lineRule="auto"/>
              <w:jc w:val="right"/>
              <w:rPr>
                <w:rFonts w:asciiTheme="minorHAnsi" w:eastAsia="Times New Roman" w:hAnsiTheme="minorHAnsi" w:cstheme="minorHAnsi"/>
                <w:sz w:val="20"/>
                <w:szCs w:val="20"/>
              </w:rPr>
            </w:pPr>
            <w:r w:rsidRPr="00D55F20">
              <w:rPr>
                <w:rFonts w:asciiTheme="minorHAnsi" w:eastAsia="Times New Roman" w:hAnsiTheme="minorHAnsi" w:cstheme="minorHAnsi"/>
                <w:sz w:val="20"/>
                <w:szCs w:val="20"/>
              </w:rPr>
              <w:t>Difference</w:t>
            </w:r>
          </w:p>
        </w:tc>
        <w:tc>
          <w:tcPr>
            <w:tcW w:w="679" w:type="pct"/>
            <w:tcBorders>
              <w:top w:val="nil"/>
              <w:left w:val="nil"/>
              <w:bottom w:val="nil"/>
              <w:right w:val="nil"/>
            </w:tcBorders>
            <w:shd w:val="clear" w:color="auto" w:fill="auto"/>
            <w:noWrap/>
            <w:vAlign w:val="bottom"/>
            <w:hideMark/>
          </w:tcPr>
          <w:p w14:paraId="30D6CB6C" w14:textId="77777777" w:rsidR="00D55F20" w:rsidRPr="00D55F20" w:rsidRDefault="00D55F20" w:rsidP="00D55F20">
            <w:pPr>
              <w:jc w:val="right"/>
              <w:rPr>
                <w:rFonts w:asciiTheme="minorHAnsi" w:hAnsiTheme="minorHAnsi" w:cstheme="minorHAnsi"/>
                <w:sz w:val="20"/>
                <w:szCs w:val="20"/>
              </w:rPr>
            </w:pPr>
          </w:p>
        </w:tc>
        <w:tc>
          <w:tcPr>
            <w:tcW w:w="677" w:type="pct"/>
            <w:tcBorders>
              <w:top w:val="nil"/>
              <w:left w:val="nil"/>
              <w:bottom w:val="nil"/>
              <w:right w:val="nil"/>
            </w:tcBorders>
            <w:shd w:val="clear" w:color="auto" w:fill="auto"/>
            <w:noWrap/>
            <w:vAlign w:val="bottom"/>
            <w:hideMark/>
          </w:tcPr>
          <w:p w14:paraId="3B46C3E1" w14:textId="77777777" w:rsidR="00D55F20" w:rsidRPr="00D55F20" w:rsidRDefault="00D55F20" w:rsidP="00D55F20">
            <w:pPr>
              <w:jc w:val="right"/>
              <w:rPr>
                <w:rFonts w:asciiTheme="minorHAnsi" w:hAnsiTheme="minorHAnsi" w:cstheme="minorHAnsi"/>
                <w:sz w:val="20"/>
                <w:szCs w:val="20"/>
              </w:rPr>
            </w:pPr>
          </w:p>
        </w:tc>
        <w:tc>
          <w:tcPr>
            <w:tcW w:w="582" w:type="pct"/>
            <w:tcBorders>
              <w:top w:val="nil"/>
              <w:left w:val="nil"/>
              <w:bottom w:val="nil"/>
              <w:right w:val="nil"/>
            </w:tcBorders>
            <w:shd w:val="clear" w:color="auto" w:fill="auto"/>
            <w:noWrap/>
            <w:vAlign w:val="bottom"/>
            <w:hideMark/>
          </w:tcPr>
          <w:p w14:paraId="24D559D2" w14:textId="77777777" w:rsidR="00D55F20" w:rsidRPr="00D55F20" w:rsidRDefault="00D55F20" w:rsidP="00D55F20">
            <w:pPr>
              <w:jc w:val="right"/>
              <w:rPr>
                <w:rFonts w:asciiTheme="minorHAnsi" w:hAnsiTheme="minorHAnsi" w:cstheme="minorHAnsi"/>
                <w:sz w:val="20"/>
                <w:szCs w:val="20"/>
              </w:rPr>
            </w:pPr>
            <w:r w:rsidRPr="00D55F20">
              <w:rPr>
                <w:rFonts w:asciiTheme="minorHAnsi" w:hAnsiTheme="minorHAnsi" w:cstheme="minorHAnsi"/>
                <w:sz w:val="20"/>
                <w:szCs w:val="20"/>
              </w:rPr>
              <w:t>282,713</w:t>
            </w:r>
          </w:p>
        </w:tc>
      </w:tr>
    </w:tbl>
    <w:p w14:paraId="5DD5709D" w14:textId="77777777" w:rsidR="004336D2" w:rsidRPr="00F9190E" w:rsidRDefault="004336D2" w:rsidP="006F41A4">
      <w:pPr>
        <w:pStyle w:val="ListParagraph"/>
        <w:spacing w:line="240" w:lineRule="auto"/>
        <w:ind w:left="0"/>
        <w:rPr>
          <w:rFonts w:asciiTheme="minorHAnsi" w:hAnsiTheme="minorHAnsi" w:cstheme="minorHAnsi"/>
          <w:szCs w:val="24"/>
        </w:rPr>
      </w:pPr>
    </w:p>
    <w:p w14:paraId="604E2E8B" w14:textId="77777777" w:rsidR="00E811A4" w:rsidRPr="00F9190E" w:rsidRDefault="00E811A4" w:rsidP="0026750E">
      <w:pPr>
        <w:numPr>
          <w:ilvl w:val="0"/>
          <w:numId w:val="14"/>
        </w:numPr>
        <w:tabs>
          <w:tab w:val="left" w:pos="-720"/>
        </w:tabs>
        <w:suppressAutoHyphens/>
        <w:spacing w:line="240" w:lineRule="auto"/>
        <w:ind w:left="0" w:firstLine="0"/>
        <w:rPr>
          <w:rStyle w:val="a"/>
          <w:rFonts w:asciiTheme="minorHAnsi" w:hAnsiTheme="minorHAnsi" w:cstheme="minorHAnsi"/>
          <w:b/>
          <w:szCs w:val="24"/>
        </w:rPr>
      </w:pPr>
      <w:r w:rsidRPr="00F9190E">
        <w:rPr>
          <w:rStyle w:val="a"/>
          <w:rFonts w:asciiTheme="minorHAnsi" w:hAnsiTheme="minorHAnsi" w:cstheme="minorHAnsi"/>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5C7FD6" w14:textId="77777777"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Collection of Information with Published Results</w:t>
      </w:r>
    </w:p>
    <w:p w14:paraId="21A0F974" w14:textId="77777777" w:rsidR="00E375C9"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results of the collection of information will not be published.</w:t>
      </w:r>
    </w:p>
    <w:p w14:paraId="378EA045" w14:textId="77777777"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If seeking approval to not display the expiration date for OMB approval of the information collection, explain the reasons that display would be inappropriate.</w:t>
      </w:r>
    </w:p>
    <w:p w14:paraId="75A75BB1" w14:textId="77777777" w:rsidR="002F13ED" w:rsidRPr="00F9190E" w:rsidRDefault="002F13ED"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 xml:space="preserve">Approval to </w:t>
      </w:r>
      <w:r w:rsidR="00316E60" w:rsidRPr="00F9190E">
        <w:rPr>
          <w:rFonts w:asciiTheme="minorHAnsi" w:hAnsiTheme="minorHAnsi" w:cstheme="minorHAnsi"/>
          <w:b/>
          <w:szCs w:val="24"/>
        </w:rPr>
        <w:t>Not Display Expiration Date</w:t>
      </w:r>
    </w:p>
    <w:p w14:paraId="30759355" w14:textId="77777777" w:rsidR="00C52313" w:rsidRPr="00F9190E"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Department is not seeking this approval.</w:t>
      </w:r>
      <w:r w:rsidR="001317EC" w:rsidRPr="00F9190E">
        <w:rPr>
          <w:rFonts w:asciiTheme="minorHAnsi" w:hAnsiTheme="minorHAnsi" w:cstheme="minorHAnsi"/>
          <w:szCs w:val="24"/>
        </w:rPr>
        <w:t xml:space="preserve"> </w:t>
      </w:r>
      <w:r w:rsidR="001317EC" w:rsidRPr="00F9190E">
        <w:rPr>
          <w:rFonts w:asciiTheme="minorHAnsi" w:hAnsiTheme="minorHAnsi" w:cstheme="minorHAnsi"/>
        </w:rPr>
        <w:t xml:space="preserve">The OMB control number and expiration date will be announced in the </w:t>
      </w:r>
      <w:r w:rsidR="001317EC" w:rsidRPr="00F9190E">
        <w:rPr>
          <w:rFonts w:asciiTheme="minorHAnsi" w:hAnsiTheme="minorHAnsi" w:cstheme="minorHAnsi"/>
          <w:u w:val="single"/>
        </w:rPr>
        <w:t>Federal</w:t>
      </w:r>
      <w:r w:rsidR="001317EC" w:rsidRPr="00F9190E">
        <w:rPr>
          <w:rFonts w:asciiTheme="minorHAnsi" w:hAnsiTheme="minorHAnsi" w:cstheme="minorHAnsi"/>
        </w:rPr>
        <w:t xml:space="preserve"> </w:t>
      </w:r>
      <w:r w:rsidR="001317EC" w:rsidRPr="00F9190E">
        <w:rPr>
          <w:rFonts w:asciiTheme="minorHAnsi" w:hAnsiTheme="minorHAnsi" w:cstheme="minorHAnsi"/>
          <w:u w:val="single"/>
        </w:rPr>
        <w:t>Register</w:t>
      </w:r>
      <w:r w:rsidR="001317EC" w:rsidRPr="00F9190E">
        <w:rPr>
          <w:rFonts w:asciiTheme="minorHAnsi" w:hAnsiTheme="minorHAnsi" w:cstheme="minorHAnsi"/>
        </w:rPr>
        <w:t xml:space="preserve"> upon OMB approval and will also be displayed </w:t>
      </w:r>
      <w:r w:rsidR="001A5ECA" w:rsidRPr="00F9190E">
        <w:rPr>
          <w:rFonts w:asciiTheme="minorHAnsi" w:hAnsiTheme="minorHAnsi" w:cstheme="minorHAnsi"/>
        </w:rPr>
        <w:t xml:space="preserve">on the </w:t>
      </w:r>
      <w:r w:rsidR="001A5ECA" w:rsidRPr="00F9190E">
        <w:rPr>
          <w:rFonts w:asciiTheme="minorHAnsi" w:hAnsiTheme="minorHAnsi" w:cstheme="minorHAnsi"/>
          <w:i/>
        </w:rPr>
        <w:t>Electronic Application for Approval to Participate in Federal Student Financial Aid Programs.</w:t>
      </w:r>
    </w:p>
    <w:p w14:paraId="29A1EB70" w14:textId="77777777" w:rsidR="00E811A4" w:rsidRPr="00F9190E" w:rsidRDefault="00E811A4" w:rsidP="0026750E">
      <w:pPr>
        <w:numPr>
          <w:ilvl w:val="0"/>
          <w:numId w:val="14"/>
        </w:numPr>
        <w:tabs>
          <w:tab w:val="left" w:pos="-720"/>
        </w:tabs>
        <w:suppressAutoHyphens/>
        <w:spacing w:line="240" w:lineRule="auto"/>
        <w:ind w:left="0" w:firstLine="0"/>
        <w:rPr>
          <w:rFonts w:asciiTheme="minorHAnsi" w:hAnsiTheme="minorHAnsi" w:cstheme="minorHAnsi"/>
          <w:b/>
          <w:szCs w:val="24"/>
        </w:rPr>
      </w:pPr>
      <w:r w:rsidRPr="00F9190E">
        <w:rPr>
          <w:rStyle w:val="a"/>
          <w:rFonts w:asciiTheme="minorHAnsi" w:hAnsiTheme="minorHAnsi" w:cstheme="minorHAnsi"/>
          <w:b/>
          <w:szCs w:val="24"/>
        </w:rPr>
        <w:t>Explain each exception to the certification statement identified in the Certification of Paperwork Reduction Act.</w:t>
      </w:r>
    </w:p>
    <w:p w14:paraId="43D1ED12" w14:textId="77777777" w:rsidR="00316E60" w:rsidRPr="00F9190E" w:rsidRDefault="00316E60" w:rsidP="0026750E">
      <w:pPr>
        <w:pStyle w:val="ListParagraph"/>
        <w:spacing w:line="240" w:lineRule="auto"/>
        <w:ind w:left="0"/>
        <w:jc w:val="both"/>
        <w:rPr>
          <w:rFonts w:asciiTheme="minorHAnsi" w:hAnsiTheme="minorHAnsi" w:cstheme="minorHAnsi"/>
          <w:b/>
          <w:szCs w:val="24"/>
        </w:rPr>
      </w:pPr>
      <w:r w:rsidRPr="00F9190E">
        <w:rPr>
          <w:rFonts w:asciiTheme="minorHAnsi" w:hAnsiTheme="minorHAnsi" w:cstheme="minorHAnsi"/>
          <w:b/>
          <w:szCs w:val="24"/>
        </w:rPr>
        <w:t>Exception to the Certification Statement</w:t>
      </w:r>
    </w:p>
    <w:p w14:paraId="6780AD05" w14:textId="77777777" w:rsidR="00C52313" w:rsidRDefault="00C52313" w:rsidP="0026750E">
      <w:pPr>
        <w:pStyle w:val="ListParagraph"/>
        <w:spacing w:line="240" w:lineRule="auto"/>
        <w:ind w:left="0"/>
        <w:rPr>
          <w:rFonts w:asciiTheme="minorHAnsi" w:hAnsiTheme="minorHAnsi" w:cstheme="minorHAnsi"/>
          <w:szCs w:val="24"/>
        </w:rPr>
      </w:pPr>
      <w:r w:rsidRPr="00F9190E">
        <w:rPr>
          <w:rFonts w:asciiTheme="minorHAnsi" w:hAnsiTheme="minorHAnsi" w:cstheme="minorHAnsi"/>
          <w:szCs w:val="24"/>
        </w:rPr>
        <w:t>The Department is not requesting any exceptions to the “Certification of Paperwork Reduction Act Submissions”.</w:t>
      </w:r>
    </w:p>
    <w:p w14:paraId="4E7A7EB8" w14:textId="77777777" w:rsidR="0059662E" w:rsidRDefault="0059662E" w:rsidP="0026750E">
      <w:pPr>
        <w:pStyle w:val="ListParagraph"/>
        <w:spacing w:line="240" w:lineRule="auto"/>
        <w:ind w:left="0"/>
        <w:rPr>
          <w:rFonts w:asciiTheme="minorHAnsi" w:hAnsiTheme="minorHAnsi" w:cstheme="minorHAnsi"/>
          <w:szCs w:val="24"/>
        </w:rPr>
      </w:pPr>
    </w:p>
    <w:p w14:paraId="4C5C33E2" w14:textId="77777777" w:rsidR="0059662E" w:rsidRPr="00F9190E" w:rsidRDefault="0059662E" w:rsidP="0026750E">
      <w:pPr>
        <w:pStyle w:val="ListParagraph"/>
        <w:spacing w:line="240" w:lineRule="auto"/>
        <w:ind w:left="0"/>
        <w:rPr>
          <w:rFonts w:asciiTheme="minorHAnsi" w:hAnsiTheme="minorHAnsi" w:cstheme="minorHAnsi"/>
          <w:szCs w:val="24"/>
        </w:rPr>
      </w:pPr>
    </w:p>
    <w:sectPr w:rsidR="0059662E" w:rsidRPr="00F9190E" w:rsidSect="00FC55A3">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584E6" w14:textId="77777777" w:rsidR="00CD1675" w:rsidRDefault="00CD1675" w:rsidP="00EC231F">
      <w:pPr>
        <w:spacing w:after="0" w:line="240" w:lineRule="auto"/>
      </w:pPr>
      <w:r>
        <w:separator/>
      </w:r>
    </w:p>
  </w:endnote>
  <w:endnote w:type="continuationSeparator" w:id="0">
    <w:p w14:paraId="4C623A3E" w14:textId="77777777" w:rsidR="00CD1675" w:rsidRDefault="00CD1675" w:rsidP="00EC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BA05F" w14:textId="77777777" w:rsidR="00D55F20" w:rsidRPr="00914D10" w:rsidRDefault="00D55F20">
    <w:pPr>
      <w:pStyle w:val="Footer"/>
      <w:jc w:val="right"/>
      <w:rPr>
        <w:sz w:val="20"/>
        <w:szCs w:val="20"/>
      </w:rPr>
    </w:pPr>
    <w:r w:rsidRPr="00914D10">
      <w:rPr>
        <w:sz w:val="20"/>
        <w:szCs w:val="20"/>
      </w:rPr>
      <w:fldChar w:fldCharType="begin"/>
    </w:r>
    <w:r w:rsidRPr="00914D10">
      <w:rPr>
        <w:sz w:val="20"/>
        <w:szCs w:val="20"/>
      </w:rPr>
      <w:instrText xml:space="preserve"> PAGE   \* MERGEFORMAT </w:instrText>
    </w:r>
    <w:r w:rsidRPr="00914D10">
      <w:rPr>
        <w:sz w:val="20"/>
        <w:szCs w:val="20"/>
      </w:rPr>
      <w:fldChar w:fldCharType="separate"/>
    </w:r>
    <w:r w:rsidR="00A00F68">
      <w:rPr>
        <w:noProof/>
        <w:sz w:val="20"/>
        <w:szCs w:val="20"/>
      </w:rPr>
      <w:t>14</w:t>
    </w:r>
    <w:r w:rsidRPr="00914D1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B0438" w14:textId="77777777" w:rsidR="00D55F20" w:rsidRPr="00F9190E" w:rsidRDefault="00D55F20">
    <w:pPr>
      <w:pStyle w:val="Footer"/>
      <w:jc w:val="right"/>
      <w:rPr>
        <w:rFonts w:asciiTheme="minorHAnsi" w:hAnsiTheme="minorHAnsi" w:cstheme="minorHAnsi"/>
      </w:rPr>
    </w:pPr>
    <w:r w:rsidRPr="00F9190E">
      <w:rPr>
        <w:rFonts w:asciiTheme="minorHAnsi" w:hAnsiTheme="minorHAnsi" w:cstheme="minorHAnsi"/>
      </w:rPr>
      <w:fldChar w:fldCharType="begin"/>
    </w:r>
    <w:r w:rsidRPr="00F9190E">
      <w:rPr>
        <w:rFonts w:asciiTheme="minorHAnsi" w:hAnsiTheme="minorHAnsi" w:cstheme="minorHAnsi"/>
      </w:rPr>
      <w:instrText xml:space="preserve"> PAGE   \* MERGEFORMAT </w:instrText>
    </w:r>
    <w:r w:rsidRPr="00F9190E">
      <w:rPr>
        <w:rFonts w:asciiTheme="minorHAnsi" w:hAnsiTheme="minorHAnsi" w:cstheme="minorHAnsi"/>
      </w:rPr>
      <w:fldChar w:fldCharType="separate"/>
    </w:r>
    <w:r w:rsidR="00A00F68">
      <w:rPr>
        <w:rFonts w:asciiTheme="minorHAnsi" w:hAnsiTheme="minorHAnsi" w:cstheme="minorHAnsi"/>
        <w:noProof/>
      </w:rPr>
      <w:t>1</w:t>
    </w:r>
    <w:r w:rsidRPr="00F9190E">
      <w:rPr>
        <w:rFonts w:asciiTheme="minorHAnsi" w:hAnsiTheme="minorHAnsi" w:cstheme="minorHAnsi"/>
        <w:noProof/>
      </w:rPr>
      <w:fldChar w:fldCharType="end"/>
    </w:r>
  </w:p>
  <w:p w14:paraId="794DBAA6" w14:textId="77777777" w:rsidR="00D55F20" w:rsidRDefault="00D55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3C43D" w14:textId="77777777" w:rsidR="00CD1675" w:rsidRDefault="00CD1675" w:rsidP="00EC231F">
      <w:pPr>
        <w:spacing w:after="0" w:line="240" w:lineRule="auto"/>
      </w:pPr>
      <w:r>
        <w:separator/>
      </w:r>
    </w:p>
  </w:footnote>
  <w:footnote w:type="continuationSeparator" w:id="0">
    <w:p w14:paraId="4C6EEF25" w14:textId="77777777" w:rsidR="00CD1675" w:rsidRDefault="00CD1675" w:rsidP="00EC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CC3BC" w14:textId="29B72833" w:rsidR="00D55F20" w:rsidRDefault="00D55F20" w:rsidP="007132BA">
    <w:pPr>
      <w:pStyle w:val="Header"/>
      <w:spacing w:after="0"/>
      <w:rPr>
        <w:rFonts w:asciiTheme="minorHAnsi" w:hAnsiTheme="minorHAnsi" w:cstheme="minorHAnsi"/>
        <w:sz w:val="20"/>
        <w:szCs w:val="20"/>
      </w:rPr>
    </w:pPr>
    <w:r w:rsidRPr="00F9190E">
      <w:rPr>
        <w:rFonts w:asciiTheme="minorHAnsi" w:hAnsiTheme="minorHAnsi" w:cstheme="minorHAnsi"/>
        <w:sz w:val="20"/>
        <w:szCs w:val="20"/>
      </w:rPr>
      <w:t>OMB 1845-</w:t>
    </w:r>
    <w:r w:rsidR="006C2D78">
      <w:rPr>
        <w:rFonts w:asciiTheme="minorHAnsi" w:hAnsiTheme="minorHAnsi" w:cstheme="minorHAnsi"/>
        <w:sz w:val="20"/>
        <w:szCs w:val="20"/>
      </w:rPr>
      <w:t>0116</w:t>
    </w:r>
  </w:p>
  <w:p w14:paraId="56ADC1B6" w14:textId="77777777" w:rsidR="00D55F20" w:rsidRPr="00F9190E" w:rsidRDefault="00D55F20">
    <w:pPr>
      <w:pStyle w:val="Header"/>
      <w:rPr>
        <w:rFonts w:asciiTheme="minorHAnsi" w:hAnsiTheme="minorHAnsi" w:cstheme="minorHAnsi"/>
        <w:sz w:val="20"/>
        <w:szCs w:val="20"/>
      </w:rPr>
    </w:pPr>
    <w:r>
      <w:rPr>
        <w:rFonts w:asciiTheme="minorHAnsi" w:hAnsiTheme="minorHAnsi" w:cstheme="minorHAnsi"/>
        <w:sz w:val="20"/>
        <w:szCs w:val="20"/>
      </w:rPr>
      <w:t>RIN1840-AD11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7465AC"/>
    <w:multiLevelType w:val="hybridMultilevel"/>
    <w:tmpl w:val="84647D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7FE5108"/>
    <w:multiLevelType w:val="hybridMultilevel"/>
    <w:tmpl w:val="B1826CC0"/>
    <w:lvl w:ilvl="0" w:tplc="44AA8D42">
      <w:start w:val="688"/>
      <w:numFmt w:val="bullet"/>
      <w:lvlText w:val="-"/>
      <w:lvlJc w:val="left"/>
      <w:pPr>
        <w:ind w:left="7560" w:hanging="360"/>
      </w:pPr>
      <w:rPr>
        <w:rFonts w:ascii="Times New Roman" w:eastAsia="Calibr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
    <w:nsid w:val="082F148F"/>
    <w:multiLevelType w:val="hybridMultilevel"/>
    <w:tmpl w:val="E4D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E107C2"/>
    <w:multiLevelType w:val="hybridMultilevel"/>
    <w:tmpl w:val="67F6DC2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A6698"/>
    <w:multiLevelType w:val="hybridMultilevel"/>
    <w:tmpl w:val="51246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337F6E"/>
    <w:multiLevelType w:val="hybridMultilevel"/>
    <w:tmpl w:val="2D02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115FA"/>
    <w:multiLevelType w:val="hybridMultilevel"/>
    <w:tmpl w:val="5CE4F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52A1D"/>
    <w:multiLevelType w:val="hybridMultilevel"/>
    <w:tmpl w:val="083AE9CC"/>
    <w:lvl w:ilvl="0" w:tplc="9084C3F4">
      <w:start w:val="31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1145705"/>
    <w:multiLevelType w:val="hybridMultilevel"/>
    <w:tmpl w:val="0422CE72"/>
    <w:lvl w:ilvl="0" w:tplc="7AF487D4">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FB5AEE"/>
    <w:multiLevelType w:val="hybridMultilevel"/>
    <w:tmpl w:val="B9FED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nsid w:val="4D87747A"/>
    <w:multiLevelType w:val="hybridMultilevel"/>
    <w:tmpl w:val="7F3C7D16"/>
    <w:lvl w:ilvl="0" w:tplc="B1F0CD3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B23422"/>
    <w:multiLevelType w:val="hybridMultilevel"/>
    <w:tmpl w:val="89C6FCBA"/>
    <w:lvl w:ilvl="0" w:tplc="EB50074E">
      <w:start w:val="312"/>
      <w:numFmt w:val="bullet"/>
      <w:lvlText w:val="-"/>
      <w:lvlJc w:val="left"/>
      <w:pPr>
        <w:ind w:left="7560" w:hanging="360"/>
      </w:pPr>
      <w:rPr>
        <w:rFonts w:ascii="Times New Roman" w:eastAsia="Calibr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6">
    <w:nsid w:val="6A47652B"/>
    <w:multiLevelType w:val="hybridMultilevel"/>
    <w:tmpl w:val="C70A4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6AAF1388"/>
    <w:multiLevelType w:val="hybridMultilevel"/>
    <w:tmpl w:val="3850BD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B8465A"/>
    <w:multiLevelType w:val="hybridMultilevel"/>
    <w:tmpl w:val="53B6F850"/>
    <w:lvl w:ilvl="0" w:tplc="9C829F5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2"/>
  </w:num>
  <w:num w:numId="2">
    <w:abstractNumId w:val="5"/>
  </w:num>
  <w:num w:numId="3">
    <w:abstractNumId w:val="3"/>
  </w:num>
  <w:num w:numId="4">
    <w:abstractNumId w:val="16"/>
  </w:num>
  <w:num w:numId="5">
    <w:abstractNumId w:val="1"/>
  </w:num>
  <w:num w:numId="6">
    <w:abstractNumId w:val="6"/>
  </w:num>
  <w:num w:numId="7">
    <w:abstractNumId w:val="18"/>
  </w:num>
  <w:num w:numId="8">
    <w:abstractNumId w:val="11"/>
  </w:num>
  <w:num w:numId="9">
    <w:abstractNumId w:val="17"/>
  </w:num>
  <w:num w:numId="10">
    <w:abstractNumId w:val="9"/>
  </w:num>
  <w:num w:numId="11">
    <w:abstractNumId w:val="13"/>
  </w:num>
  <w:num w:numId="12">
    <w:abstractNumId w:val="4"/>
  </w:num>
  <w:num w:numId="13">
    <w:abstractNumId w:val="0"/>
  </w:num>
  <w:num w:numId="14">
    <w:abstractNumId w:val="14"/>
  </w:num>
  <w:num w:numId="15">
    <w:abstractNumId w:val="7"/>
  </w:num>
  <w:num w:numId="16">
    <w:abstractNumId w:val="10"/>
  </w:num>
  <w:num w:numId="17">
    <w:abstractNumId w:val="1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E8"/>
    <w:rsid w:val="00003CFD"/>
    <w:rsid w:val="00007278"/>
    <w:rsid w:val="00007C0F"/>
    <w:rsid w:val="00016E25"/>
    <w:rsid w:val="00045D7F"/>
    <w:rsid w:val="00070D0D"/>
    <w:rsid w:val="000B3374"/>
    <w:rsid w:val="000C2B38"/>
    <w:rsid w:val="000D64B0"/>
    <w:rsid w:val="000E5CEC"/>
    <w:rsid w:val="000F73B8"/>
    <w:rsid w:val="00105255"/>
    <w:rsid w:val="0012556B"/>
    <w:rsid w:val="001317EC"/>
    <w:rsid w:val="00133818"/>
    <w:rsid w:val="00145CA0"/>
    <w:rsid w:val="00151475"/>
    <w:rsid w:val="00162FCF"/>
    <w:rsid w:val="00164409"/>
    <w:rsid w:val="001675D5"/>
    <w:rsid w:val="00172E18"/>
    <w:rsid w:val="001778B2"/>
    <w:rsid w:val="00186247"/>
    <w:rsid w:val="001A52B9"/>
    <w:rsid w:val="001A5ECA"/>
    <w:rsid w:val="001B1ACC"/>
    <w:rsid w:val="001B5B85"/>
    <w:rsid w:val="001D0126"/>
    <w:rsid w:val="001E348E"/>
    <w:rsid w:val="002041D3"/>
    <w:rsid w:val="00207650"/>
    <w:rsid w:val="00211074"/>
    <w:rsid w:val="00222C99"/>
    <w:rsid w:val="002240E7"/>
    <w:rsid w:val="002259A0"/>
    <w:rsid w:val="00233DD6"/>
    <w:rsid w:val="0024267E"/>
    <w:rsid w:val="002505AB"/>
    <w:rsid w:val="00257CEB"/>
    <w:rsid w:val="002625C2"/>
    <w:rsid w:val="0026750E"/>
    <w:rsid w:val="00280768"/>
    <w:rsid w:val="00283D56"/>
    <w:rsid w:val="00293021"/>
    <w:rsid w:val="00295D5A"/>
    <w:rsid w:val="002B4D09"/>
    <w:rsid w:val="002C4825"/>
    <w:rsid w:val="002C5979"/>
    <w:rsid w:val="002D77AC"/>
    <w:rsid w:val="002F13ED"/>
    <w:rsid w:val="002F502D"/>
    <w:rsid w:val="00316E60"/>
    <w:rsid w:val="003227E9"/>
    <w:rsid w:val="00324AE8"/>
    <w:rsid w:val="00332B36"/>
    <w:rsid w:val="003411E3"/>
    <w:rsid w:val="003432BB"/>
    <w:rsid w:val="00343B1A"/>
    <w:rsid w:val="00377D47"/>
    <w:rsid w:val="00380806"/>
    <w:rsid w:val="00381E45"/>
    <w:rsid w:val="003928E7"/>
    <w:rsid w:val="003A7032"/>
    <w:rsid w:val="003B756E"/>
    <w:rsid w:val="003D1D1A"/>
    <w:rsid w:val="003E56AB"/>
    <w:rsid w:val="003F21F8"/>
    <w:rsid w:val="00412D34"/>
    <w:rsid w:val="004336D2"/>
    <w:rsid w:val="00435E6F"/>
    <w:rsid w:val="00441277"/>
    <w:rsid w:val="00445603"/>
    <w:rsid w:val="00464ADD"/>
    <w:rsid w:val="0046664B"/>
    <w:rsid w:val="00485ED5"/>
    <w:rsid w:val="0049382E"/>
    <w:rsid w:val="00496217"/>
    <w:rsid w:val="004C7C35"/>
    <w:rsid w:val="004D2EBE"/>
    <w:rsid w:val="004F4402"/>
    <w:rsid w:val="00501AC5"/>
    <w:rsid w:val="00513A35"/>
    <w:rsid w:val="00551DCD"/>
    <w:rsid w:val="00552CD6"/>
    <w:rsid w:val="00552E33"/>
    <w:rsid w:val="0055511B"/>
    <w:rsid w:val="005632DB"/>
    <w:rsid w:val="00584CCA"/>
    <w:rsid w:val="0059662E"/>
    <w:rsid w:val="005B1946"/>
    <w:rsid w:val="005E293A"/>
    <w:rsid w:val="005E2AD3"/>
    <w:rsid w:val="005F68BA"/>
    <w:rsid w:val="005F7454"/>
    <w:rsid w:val="006008FB"/>
    <w:rsid w:val="0060102E"/>
    <w:rsid w:val="006019BB"/>
    <w:rsid w:val="00640699"/>
    <w:rsid w:val="00645439"/>
    <w:rsid w:val="00646720"/>
    <w:rsid w:val="006543CA"/>
    <w:rsid w:val="0065572F"/>
    <w:rsid w:val="00657920"/>
    <w:rsid w:val="006632AF"/>
    <w:rsid w:val="00664810"/>
    <w:rsid w:val="006829DC"/>
    <w:rsid w:val="00684E45"/>
    <w:rsid w:val="00693FF3"/>
    <w:rsid w:val="006A14C9"/>
    <w:rsid w:val="006B470B"/>
    <w:rsid w:val="006B50C6"/>
    <w:rsid w:val="006C2D78"/>
    <w:rsid w:val="006C457B"/>
    <w:rsid w:val="006D09E3"/>
    <w:rsid w:val="006E1BD2"/>
    <w:rsid w:val="006F2D5B"/>
    <w:rsid w:val="006F41A4"/>
    <w:rsid w:val="00704769"/>
    <w:rsid w:val="00704B2E"/>
    <w:rsid w:val="00707383"/>
    <w:rsid w:val="007132BA"/>
    <w:rsid w:val="00722070"/>
    <w:rsid w:val="00736726"/>
    <w:rsid w:val="00741880"/>
    <w:rsid w:val="00751DAF"/>
    <w:rsid w:val="007622D0"/>
    <w:rsid w:val="0077051E"/>
    <w:rsid w:val="00770E7B"/>
    <w:rsid w:val="007E3434"/>
    <w:rsid w:val="007E6338"/>
    <w:rsid w:val="00804145"/>
    <w:rsid w:val="00806593"/>
    <w:rsid w:val="0084746C"/>
    <w:rsid w:val="008549AA"/>
    <w:rsid w:val="00872638"/>
    <w:rsid w:val="008853E5"/>
    <w:rsid w:val="00886116"/>
    <w:rsid w:val="00894399"/>
    <w:rsid w:val="008A23E3"/>
    <w:rsid w:val="008A28E6"/>
    <w:rsid w:val="008B07BF"/>
    <w:rsid w:val="008C73FF"/>
    <w:rsid w:val="00901DA9"/>
    <w:rsid w:val="009131C6"/>
    <w:rsid w:val="00914D10"/>
    <w:rsid w:val="00920B90"/>
    <w:rsid w:val="0093365B"/>
    <w:rsid w:val="00941039"/>
    <w:rsid w:val="009544C5"/>
    <w:rsid w:val="0096629F"/>
    <w:rsid w:val="00982313"/>
    <w:rsid w:val="00986A6C"/>
    <w:rsid w:val="00996C17"/>
    <w:rsid w:val="009B6675"/>
    <w:rsid w:val="009F4AE0"/>
    <w:rsid w:val="009F4BD1"/>
    <w:rsid w:val="009F4C3B"/>
    <w:rsid w:val="00A00F68"/>
    <w:rsid w:val="00A057A4"/>
    <w:rsid w:val="00A25F70"/>
    <w:rsid w:val="00A47C2A"/>
    <w:rsid w:val="00A503C7"/>
    <w:rsid w:val="00A64D98"/>
    <w:rsid w:val="00A71ED4"/>
    <w:rsid w:val="00A95CFB"/>
    <w:rsid w:val="00AA2F14"/>
    <w:rsid w:val="00AA32C0"/>
    <w:rsid w:val="00AB405D"/>
    <w:rsid w:val="00AB48EB"/>
    <w:rsid w:val="00AC2451"/>
    <w:rsid w:val="00AC2D31"/>
    <w:rsid w:val="00AC6E51"/>
    <w:rsid w:val="00AD11E1"/>
    <w:rsid w:val="00AF5295"/>
    <w:rsid w:val="00B1350A"/>
    <w:rsid w:val="00B2551B"/>
    <w:rsid w:val="00B373B6"/>
    <w:rsid w:val="00B40A6C"/>
    <w:rsid w:val="00B51177"/>
    <w:rsid w:val="00B5203D"/>
    <w:rsid w:val="00B616A2"/>
    <w:rsid w:val="00B6316B"/>
    <w:rsid w:val="00B66639"/>
    <w:rsid w:val="00B73AC5"/>
    <w:rsid w:val="00B83634"/>
    <w:rsid w:val="00B9473F"/>
    <w:rsid w:val="00B95E67"/>
    <w:rsid w:val="00BA5F53"/>
    <w:rsid w:val="00BB6675"/>
    <w:rsid w:val="00BC73A2"/>
    <w:rsid w:val="00BF4B69"/>
    <w:rsid w:val="00BF742B"/>
    <w:rsid w:val="00C00D29"/>
    <w:rsid w:val="00C127E9"/>
    <w:rsid w:val="00C25359"/>
    <w:rsid w:val="00C26E95"/>
    <w:rsid w:val="00C31230"/>
    <w:rsid w:val="00C31E5B"/>
    <w:rsid w:val="00C50C04"/>
    <w:rsid w:val="00C50D60"/>
    <w:rsid w:val="00C52313"/>
    <w:rsid w:val="00C544DC"/>
    <w:rsid w:val="00C573A8"/>
    <w:rsid w:val="00C87FA2"/>
    <w:rsid w:val="00CA593E"/>
    <w:rsid w:val="00CC2A8F"/>
    <w:rsid w:val="00CC3884"/>
    <w:rsid w:val="00CD1675"/>
    <w:rsid w:val="00CD4F41"/>
    <w:rsid w:val="00CE3744"/>
    <w:rsid w:val="00CF03EF"/>
    <w:rsid w:val="00CF4F98"/>
    <w:rsid w:val="00D0245F"/>
    <w:rsid w:val="00D14D66"/>
    <w:rsid w:val="00D23BF3"/>
    <w:rsid w:val="00D3388C"/>
    <w:rsid w:val="00D36199"/>
    <w:rsid w:val="00D40877"/>
    <w:rsid w:val="00D42650"/>
    <w:rsid w:val="00D55F20"/>
    <w:rsid w:val="00D5770D"/>
    <w:rsid w:val="00D70518"/>
    <w:rsid w:val="00D727BF"/>
    <w:rsid w:val="00D843F6"/>
    <w:rsid w:val="00D86CCA"/>
    <w:rsid w:val="00DA342E"/>
    <w:rsid w:val="00DC2467"/>
    <w:rsid w:val="00DC611D"/>
    <w:rsid w:val="00DD5FFB"/>
    <w:rsid w:val="00DE0F04"/>
    <w:rsid w:val="00DF0F79"/>
    <w:rsid w:val="00E0115F"/>
    <w:rsid w:val="00E143F6"/>
    <w:rsid w:val="00E16618"/>
    <w:rsid w:val="00E33313"/>
    <w:rsid w:val="00E34AB7"/>
    <w:rsid w:val="00E375C9"/>
    <w:rsid w:val="00E41854"/>
    <w:rsid w:val="00E62691"/>
    <w:rsid w:val="00E711D4"/>
    <w:rsid w:val="00E811A4"/>
    <w:rsid w:val="00E943A9"/>
    <w:rsid w:val="00E955EF"/>
    <w:rsid w:val="00EA4058"/>
    <w:rsid w:val="00EC231F"/>
    <w:rsid w:val="00EC4A41"/>
    <w:rsid w:val="00EC52FC"/>
    <w:rsid w:val="00EF5CF5"/>
    <w:rsid w:val="00F041A5"/>
    <w:rsid w:val="00F06CCA"/>
    <w:rsid w:val="00F102A4"/>
    <w:rsid w:val="00F1137B"/>
    <w:rsid w:val="00F17112"/>
    <w:rsid w:val="00F23F5B"/>
    <w:rsid w:val="00F41D62"/>
    <w:rsid w:val="00F42FFD"/>
    <w:rsid w:val="00F644D7"/>
    <w:rsid w:val="00F71C5A"/>
    <w:rsid w:val="00F83629"/>
    <w:rsid w:val="00F9190E"/>
    <w:rsid w:val="00F927A3"/>
    <w:rsid w:val="00F932EE"/>
    <w:rsid w:val="00F96CB6"/>
    <w:rsid w:val="00FA0085"/>
    <w:rsid w:val="00FA2240"/>
    <w:rsid w:val="00FB0FAA"/>
    <w:rsid w:val="00FB6A50"/>
    <w:rsid w:val="00FC55A3"/>
    <w:rsid w:val="00FF0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19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BalloonText">
    <w:name w:val="Balloon Text"/>
    <w:basedOn w:val="Normal"/>
    <w:link w:val="BalloonTextChar"/>
    <w:uiPriority w:val="99"/>
    <w:semiHidden/>
    <w:unhideWhenUsed/>
    <w:rsid w:val="0060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B"/>
    <w:rPr>
      <w:rFonts w:ascii="Tahoma" w:hAnsi="Tahoma" w:cs="Tahoma"/>
      <w:sz w:val="16"/>
      <w:szCs w:val="16"/>
    </w:rPr>
  </w:style>
  <w:style w:type="paragraph" w:styleId="EndnoteText">
    <w:name w:val="endnote text"/>
    <w:basedOn w:val="Normal"/>
    <w:link w:val="EndnoteTextChar"/>
    <w:semiHidden/>
    <w:rsid w:val="00C31230"/>
    <w:pPr>
      <w:tabs>
        <w:tab w:val="left" w:pos="-720"/>
      </w:tabs>
      <w:suppressAutoHyphens/>
      <w:spacing w:after="0" w:line="240" w:lineRule="auto"/>
    </w:pPr>
    <w:rPr>
      <w:rFonts w:ascii="Courier" w:eastAsia="Times New Roman" w:hAnsi="Courier"/>
      <w:szCs w:val="20"/>
    </w:rPr>
  </w:style>
  <w:style w:type="character" w:customStyle="1" w:styleId="EndnoteTextChar">
    <w:name w:val="Endnote Text Char"/>
    <w:basedOn w:val="DefaultParagraphFont"/>
    <w:link w:val="EndnoteText"/>
    <w:semiHidden/>
    <w:rsid w:val="00C31230"/>
    <w:rPr>
      <w:rFonts w:ascii="Courier" w:eastAsia="Times New Roman" w:hAnsi="Courier"/>
      <w:sz w:val="24"/>
    </w:rPr>
  </w:style>
  <w:style w:type="character" w:customStyle="1" w:styleId="a">
    <w:name w:val="À"/>
    <w:basedOn w:val="DefaultParagraphFont"/>
    <w:rsid w:val="00E811A4"/>
  </w:style>
  <w:style w:type="paragraph" w:styleId="NoSpacing">
    <w:name w:val="No Spacing"/>
    <w:uiPriority w:val="1"/>
    <w:qFormat/>
    <w:rsid w:val="005E293A"/>
    <w:rPr>
      <w:sz w:val="24"/>
      <w:szCs w:val="22"/>
    </w:rPr>
  </w:style>
  <w:style w:type="character" w:styleId="Hyperlink">
    <w:name w:val="Hyperlink"/>
    <w:basedOn w:val="DefaultParagraphFont"/>
    <w:uiPriority w:val="99"/>
    <w:unhideWhenUsed/>
    <w:rsid w:val="000C2B38"/>
    <w:rPr>
      <w:color w:val="0000FF"/>
      <w:u w:val="single"/>
    </w:rPr>
  </w:style>
  <w:style w:type="paragraph" w:styleId="Header">
    <w:name w:val="header"/>
    <w:basedOn w:val="Normal"/>
    <w:link w:val="HeaderChar"/>
    <w:uiPriority w:val="99"/>
    <w:unhideWhenUsed/>
    <w:rsid w:val="00EC231F"/>
    <w:pPr>
      <w:tabs>
        <w:tab w:val="center" w:pos="4680"/>
        <w:tab w:val="right" w:pos="9360"/>
      </w:tabs>
    </w:pPr>
  </w:style>
  <w:style w:type="character" w:customStyle="1" w:styleId="HeaderChar">
    <w:name w:val="Header Char"/>
    <w:basedOn w:val="DefaultParagraphFont"/>
    <w:link w:val="Header"/>
    <w:uiPriority w:val="99"/>
    <w:rsid w:val="00EC231F"/>
    <w:rPr>
      <w:sz w:val="24"/>
      <w:szCs w:val="22"/>
    </w:rPr>
  </w:style>
  <w:style w:type="paragraph" w:styleId="Footer">
    <w:name w:val="footer"/>
    <w:basedOn w:val="Normal"/>
    <w:link w:val="FooterChar"/>
    <w:uiPriority w:val="99"/>
    <w:unhideWhenUsed/>
    <w:rsid w:val="00EC231F"/>
    <w:pPr>
      <w:tabs>
        <w:tab w:val="center" w:pos="4680"/>
        <w:tab w:val="right" w:pos="9360"/>
      </w:tabs>
    </w:pPr>
  </w:style>
  <w:style w:type="character" w:customStyle="1" w:styleId="FooterChar">
    <w:name w:val="Footer Char"/>
    <w:basedOn w:val="DefaultParagraphFont"/>
    <w:link w:val="Footer"/>
    <w:uiPriority w:val="99"/>
    <w:rsid w:val="00EC231F"/>
    <w:rPr>
      <w:sz w:val="24"/>
      <w:szCs w:val="22"/>
    </w:rPr>
  </w:style>
  <w:style w:type="character" w:styleId="CommentReference">
    <w:name w:val="annotation reference"/>
    <w:basedOn w:val="DefaultParagraphFont"/>
    <w:uiPriority w:val="99"/>
    <w:semiHidden/>
    <w:unhideWhenUsed/>
    <w:rsid w:val="005F68BA"/>
    <w:rPr>
      <w:sz w:val="16"/>
      <w:szCs w:val="16"/>
    </w:rPr>
  </w:style>
  <w:style w:type="paragraph" w:styleId="CommentText">
    <w:name w:val="annotation text"/>
    <w:basedOn w:val="Normal"/>
    <w:link w:val="CommentTextChar"/>
    <w:uiPriority w:val="99"/>
    <w:semiHidden/>
    <w:unhideWhenUsed/>
    <w:rsid w:val="005F68BA"/>
    <w:rPr>
      <w:sz w:val="20"/>
      <w:szCs w:val="20"/>
    </w:rPr>
  </w:style>
  <w:style w:type="character" w:customStyle="1" w:styleId="CommentTextChar">
    <w:name w:val="Comment Text Char"/>
    <w:basedOn w:val="DefaultParagraphFont"/>
    <w:link w:val="CommentText"/>
    <w:uiPriority w:val="99"/>
    <w:semiHidden/>
    <w:rsid w:val="005F68BA"/>
  </w:style>
  <w:style w:type="paragraph" w:styleId="CommentSubject">
    <w:name w:val="annotation subject"/>
    <w:basedOn w:val="CommentText"/>
    <w:next w:val="CommentText"/>
    <w:link w:val="CommentSubjectChar"/>
    <w:uiPriority w:val="99"/>
    <w:semiHidden/>
    <w:unhideWhenUsed/>
    <w:rsid w:val="005F68BA"/>
    <w:rPr>
      <w:b/>
      <w:bCs/>
    </w:rPr>
  </w:style>
  <w:style w:type="character" w:customStyle="1" w:styleId="CommentSubjectChar">
    <w:name w:val="Comment Subject Char"/>
    <w:basedOn w:val="CommentTextChar"/>
    <w:link w:val="CommentSubject"/>
    <w:uiPriority w:val="99"/>
    <w:semiHidden/>
    <w:rsid w:val="005F68BA"/>
    <w:rPr>
      <w:b/>
      <w:bCs/>
    </w:rPr>
  </w:style>
  <w:style w:type="paragraph" w:styleId="Revision">
    <w:name w:val="Revision"/>
    <w:hidden/>
    <w:uiPriority w:val="99"/>
    <w:semiHidden/>
    <w:rsid w:val="005E2AD3"/>
    <w:rPr>
      <w:sz w:val="24"/>
      <w:szCs w:val="22"/>
    </w:rPr>
  </w:style>
  <w:style w:type="paragraph" w:customStyle="1" w:styleId="Normal1">
    <w:name w:val="Normal1"/>
    <w:basedOn w:val="Normal"/>
    <w:uiPriority w:val="99"/>
    <w:rsid w:val="00FA2240"/>
    <w:pPr>
      <w:spacing w:after="0" w:line="240" w:lineRule="auto"/>
    </w:pPr>
    <w:rPr>
      <w:rFonts w:eastAsia="Times New Roman"/>
      <w:szCs w:val="24"/>
    </w:rPr>
  </w:style>
  <w:style w:type="character" w:customStyle="1" w:styleId="normalchar1">
    <w:name w:val="normal__char1"/>
    <w:basedOn w:val="DefaultParagraphFont"/>
    <w:uiPriority w:val="99"/>
    <w:rsid w:val="00FA2240"/>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BalloonText">
    <w:name w:val="Balloon Text"/>
    <w:basedOn w:val="Normal"/>
    <w:link w:val="BalloonTextChar"/>
    <w:uiPriority w:val="99"/>
    <w:semiHidden/>
    <w:unhideWhenUsed/>
    <w:rsid w:val="0060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B"/>
    <w:rPr>
      <w:rFonts w:ascii="Tahoma" w:hAnsi="Tahoma" w:cs="Tahoma"/>
      <w:sz w:val="16"/>
      <w:szCs w:val="16"/>
    </w:rPr>
  </w:style>
  <w:style w:type="paragraph" w:styleId="EndnoteText">
    <w:name w:val="endnote text"/>
    <w:basedOn w:val="Normal"/>
    <w:link w:val="EndnoteTextChar"/>
    <w:semiHidden/>
    <w:rsid w:val="00C31230"/>
    <w:pPr>
      <w:tabs>
        <w:tab w:val="left" w:pos="-720"/>
      </w:tabs>
      <w:suppressAutoHyphens/>
      <w:spacing w:after="0" w:line="240" w:lineRule="auto"/>
    </w:pPr>
    <w:rPr>
      <w:rFonts w:ascii="Courier" w:eastAsia="Times New Roman" w:hAnsi="Courier"/>
      <w:szCs w:val="20"/>
    </w:rPr>
  </w:style>
  <w:style w:type="character" w:customStyle="1" w:styleId="EndnoteTextChar">
    <w:name w:val="Endnote Text Char"/>
    <w:basedOn w:val="DefaultParagraphFont"/>
    <w:link w:val="EndnoteText"/>
    <w:semiHidden/>
    <w:rsid w:val="00C31230"/>
    <w:rPr>
      <w:rFonts w:ascii="Courier" w:eastAsia="Times New Roman" w:hAnsi="Courier"/>
      <w:sz w:val="24"/>
    </w:rPr>
  </w:style>
  <w:style w:type="character" w:customStyle="1" w:styleId="a">
    <w:name w:val="À"/>
    <w:basedOn w:val="DefaultParagraphFont"/>
    <w:rsid w:val="00E811A4"/>
  </w:style>
  <w:style w:type="paragraph" w:styleId="NoSpacing">
    <w:name w:val="No Spacing"/>
    <w:uiPriority w:val="1"/>
    <w:qFormat/>
    <w:rsid w:val="005E293A"/>
    <w:rPr>
      <w:sz w:val="24"/>
      <w:szCs w:val="22"/>
    </w:rPr>
  </w:style>
  <w:style w:type="character" w:styleId="Hyperlink">
    <w:name w:val="Hyperlink"/>
    <w:basedOn w:val="DefaultParagraphFont"/>
    <w:uiPriority w:val="99"/>
    <w:unhideWhenUsed/>
    <w:rsid w:val="000C2B38"/>
    <w:rPr>
      <w:color w:val="0000FF"/>
      <w:u w:val="single"/>
    </w:rPr>
  </w:style>
  <w:style w:type="paragraph" w:styleId="Header">
    <w:name w:val="header"/>
    <w:basedOn w:val="Normal"/>
    <w:link w:val="HeaderChar"/>
    <w:uiPriority w:val="99"/>
    <w:unhideWhenUsed/>
    <w:rsid w:val="00EC231F"/>
    <w:pPr>
      <w:tabs>
        <w:tab w:val="center" w:pos="4680"/>
        <w:tab w:val="right" w:pos="9360"/>
      </w:tabs>
    </w:pPr>
  </w:style>
  <w:style w:type="character" w:customStyle="1" w:styleId="HeaderChar">
    <w:name w:val="Header Char"/>
    <w:basedOn w:val="DefaultParagraphFont"/>
    <w:link w:val="Header"/>
    <w:uiPriority w:val="99"/>
    <w:rsid w:val="00EC231F"/>
    <w:rPr>
      <w:sz w:val="24"/>
      <w:szCs w:val="22"/>
    </w:rPr>
  </w:style>
  <w:style w:type="paragraph" w:styleId="Footer">
    <w:name w:val="footer"/>
    <w:basedOn w:val="Normal"/>
    <w:link w:val="FooterChar"/>
    <w:uiPriority w:val="99"/>
    <w:unhideWhenUsed/>
    <w:rsid w:val="00EC231F"/>
    <w:pPr>
      <w:tabs>
        <w:tab w:val="center" w:pos="4680"/>
        <w:tab w:val="right" w:pos="9360"/>
      </w:tabs>
    </w:pPr>
  </w:style>
  <w:style w:type="character" w:customStyle="1" w:styleId="FooterChar">
    <w:name w:val="Footer Char"/>
    <w:basedOn w:val="DefaultParagraphFont"/>
    <w:link w:val="Footer"/>
    <w:uiPriority w:val="99"/>
    <w:rsid w:val="00EC231F"/>
    <w:rPr>
      <w:sz w:val="24"/>
      <w:szCs w:val="22"/>
    </w:rPr>
  </w:style>
  <w:style w:type="character" w:styleId="CommentReference">
    <w:name w:val="annotation reference"/>
    <w:basedOn w:val="DefaultParagraphFont"/>
    <w:uiPriority w:val="99"/>
    <w:semiHidden/>
    <w:unhideWhenUsed/>
    <w:rsid w:val="005F68BA"/>
    <w:rPr>
      <w:sz w:val="16"/>
      <w:szCs w:val="16"/>
    </w:rPr>
  </w:style>
  <w:style w:type="paragraph" w:styleId="CommentText">
    <w:name w:val="annotation text"/>
    <w:basedOn w:val="Normal"/>
    <w:link w:val="CommentTextChar"/>
    <w:uiPriority w:val="99"/>
    <w:semiHidden/>
    <w:unhideWhenUsed/>
    <w:rsid w:val="005F68BA"/>
    <w:rPr>
      <w:sz w:val="20"/>
      <w:szCs w:val="20"/>
    </w:rPr>
  </w:style>
  <w:style w:type="character" w:customStyle="1" w:styleId="CommentTextChar">
    <w:name w:val="Comment Text Char"/>
    <w:basedOn w:val="DefaultParagraphFont"/>
    <w:link w:val="CommentText"/>
    <w:uiPriority w:val="99"/>
    <w:semiHidden/>
    <w:rsid w:val="005F68BA"/>
  </w:style>
  <w:style w:type="paragraph" w:styleId="CommentSubject">
    <w:name w:val="annotation subject"/>
    <w:basedOn w:val="CommentText"/>
    <w:next w:val="CommentText"/>
    <w:link w:val="CommentSubjectChar"/>
    <w:uiPriority w:val="99"/>
    <w:semiHidden/>
    <w:unhideWhenUsed/>
    <w:rsid w:val="005F68BA"/>
    <w:rPr>
      <w:b/>
      <w:bCs/>
    </w:rPr>
  </w:style>
  <w:style w:type="character" w:customStyle="1" w:styleId="CommentSubjectChar">
    <w:name w:val="Comment Subject Char"/>
    <w:basedOn w:val="CommentTextChar"/>
    <w:link w:val="CommentSubject"/>
    <w:uiPriority w:val="99"/>
    <w:semiHidden/>
    <w:rsid w:val="005F68BA"/>
    <w:rPr>
      <w:b/>
      <w:bCs/>
    </w:rPr>
  </w:style>
  <w:style w:type="paragraph" w:styleId="Revision">
    <w:name w:val="Revision"/>
    <w:hidden/>
    <w:uiPriority w:val="99"/>
    <w:semiHidden/>
    <w:rsid w:val="005E2AD3"/>
    <w:rPr>
      <w:sz w:val="24"/>
      <w:szCs w:val="22"/>
    </w:rPr>
  </w:style>
  <w:style w:type="paragraph" w:customStyle="1" w:styleId="Normal1">
    <w:name w:val="Normal1"/>
    <w:basedOn w:val="Normal"/>
    <w:uiPriority w:val="99"/>
    <w:rsid w:val="00FA2240"/>
    <w:pPr>
      <w:spacing w:after="0" w:line="240" w:lineRule="auto"/>
    </w:pPr>
    <w:rPr>
      <w:rFonts w:eastAsia="Times New Roman"/>
      <w:szCs w:val="24"/>
    </w:rPr>
  </w:style>
  <w:style w:type="character" w:customStyle="1" w:styleId="normalchar1">
    <w:name w:val="normal__char1"/>
    <w:basedOn w:val="DefaultParagraphFont"/>
    <w:uiPriority w:val="99"/>
    <w:rsid w:val="00FA2240"/>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086">
      <w:bodyDiv w:val="1"/>
      <w:marLeft w:val="0"/>
      <w:marRight w:val="0"/>
      <w:marTop w:val="0"/>
      <w:marBottom w:val="0"/>
      <w:divBdr>
        <w:top w:val="none" w:sz="0" w:space="0" w:color="auto"/>
        <w:left w:val="none" w:sz="0" w:space="0" w:color="auto"/>
        <w:bottom w:val="none" w:sz="0" w:space="0" w:color="auto"/>
        <w:right w:val="none" w:sz="0" w:space="0" w:color="auto"/>
      </w:divBdr>
    </w:div>
    <w:div w:id="174807375">
      <w:bodyDiv w:val="1"/>
      <w:marLeft w:val="0"/>
      <w:marRight w:val="0"/>
      <w:marTop w:val="0"/>
      <w:marBottom w:val="0"/>
      <w:divBdr>
        <w:top w:val="none" w:sz="0" w:space="0" w:color="auto"/>
        <w:left w:val="none" w:sz="0" w:space="0" w:color="auto"/>
        <w:bottom w:val="none" w:sz="0" w:space="0" w:color="auto"/>
        <w:right w:val="none" w:sz="0" w:space="0" w:color="auto"/>
      </w:divBdr>
    </w:div>
    <w:div w:id="344212383">
      <w:bodyDiv w:val="1"/>
      <w:marLeft w:val="0"/>
      <w:marRight w:val="0"/>
      <w:marTop w:val="0"/>
      <w:marBottom w:val="0"/>
      <w:divBdr>
        <w:top w:val="none" w:sz="0" w:space="0" w:color="auto"/>
        <w:left w:val="none" w:sz="0" w:space="0" w:color="auto"/>
        <w:bottom w:val="none" w:sz="0" w:space="0" w:color="auto"/>
        <w:right w:val="none" w:sz="0" w:space="0" w:color="auto"/>
      </w:divBdr>
    </w:div>
    <w:div w:id="647056763">
      <w:bodyDiv w:val="1"/>
      <w:marLeft w:val="0"/>
      <w:marRight w:val="0"/>
      <w:marTop w:val="0"/>
      <w:marBottom w:val="0"/>
      <w:divBdr>
        <w:top w:val="none" w:sz="0" w:space="0" w:color="auto"/>
        <w:left w:val="none" w:sz="0" w:space="0" w:color="auto"/>
        <w:bottom w:val="none" w:sz="0" w:space="0" w:color="auto"/>
        <w:right w:val="none" w:sz="0" w:space="0" w:color="auto"/>
      </w:divBdr>
    </w:div>
    <w:div w:id="798885465">
      <w:bodyDiv w:val="1"/>
      <w:marLeft w:val="0"/>
      <w:marRight w:val="0"/>
      <w:marTop w:val="0"/>
      <w:marBottom w:val="0"/>
      <w:divBdr>
        <w:top w:val="none" w:sz="0" w:space="0" w:color="auto"/>
        <w:left w:val="none" w:sz="0" w:space="0" w:color="auto"/>
        <w:bottom w:val="none" w:sz="0" w:space="0" w:color="auto"/>
        <w:right w:val="none" w:sz="0" w:space="0" w:color="auto"/>
      </w:divBdr>
    </w:div>
    <w:div w:id="1037583513">
      <w:bodyDiv w:val="1"/>
      <w:marLeft w:val="0"/>
      <w:marRight w:val="0"/>
      <w:marTop w:val="0"/>
      <w:marBottom w:val="0"/>
      <w:divBdr>
        <w:top w:val="none" w:sz="0" w:space="0" w:color="auto"/>
        <w:left w:val="none" w:sz="0" w:space="0" w:color="auto"/>
        <w:bottom w:val="none" w:sz="0" w:space="0" w:color="auto"/>
        <w:right w:val="none" w:sz="0" w:space="0" w:color="auto"/>
      </w:divBdr>
    </w:div>
    <w:div w:id="1085803072">
      <w:bodyDiv w:val="1"/>
      <w:marLeft w:val="0"/>
      <w:marRight w:val="0"/>
      <w:marTop w:val="0"/>
      <w:marBottom w:val="0"/>
      <w:divBdr>
        <w:top w:val="none" w:sz="0" w:space="0" w:color="auto"/>
        <w:left w:val="none" w:sz="0" w:space="0" w:color="auto"/>
        <w:bottom w:val="none" w:sz="0" w:space="0" w:color="auto"/>
        <w:right w:val="none" w:sz="0" w:space="0" w:color="auto"/>
      </w:divBdr>
    </w:div>
    <w:div w:id="1088386499">
      <w:bodyDiv w:val="1"/>
      <w:marLeft w:val="0"/>
      <w:marRight w:val="0"/>
      <w:marTop w:val="0"/>
      <w:marBottom w:val="0"/>
      <w:divBdr>
        <w:top w:val="none" w:sz="0" w:space="0" w:color="auto"/>
        <w:left w:val="none" w:sz="0" w:space="0" w:color="auto"/>
        <w:bottom w:val="none" w:sz="0" w:space="0" w:color="auto"/>
        <w:right w:val="none" w:sz="0" w:space="0" w:color="auto"/>
      </w:divBdr>
    </w:div>
    <w:div w:id="1183785784">
      <w:bodyDiv w:val="1"/>
      <w:marLeft w:val="0"/>
      <w:marRight w:val="0"/>
      <w:marTop w:val="0"/>
      <w:marBottom w:val="0"/>
      <w:divBdr>
        <w:top w:val="none" w:sz="0" w:space="0" w:color="auto"/>
        <w:left w:val="none" w:sz="0" w:space="0" w:color="auto"/>
        <w:bottom w:val="none" w:sz="0" w:space="0" w:color="auto"/>
        <w:right w:val="none" w:sz="0" w:space="0" w:color="auto"/>
      </w:divBdr>
    </w:div>
    <w:div w:id="1473592380">
      <w:bodyDiv w:val="1"/>
      <w:marLeft w:val="0"/>
      <w:marRight w:val="0"/>
      <w:marTop w:val="0"/>
      <w:marBottom w:val="0"/>
      <w:divBdr>
        <w:top w:val="none" w:sz="0" w:space="0" w:color="auto"/>
        <w:left w:val="none" w:sz="0" w:space="0" w:color="auto"/>
        <w:bottom w:val="none" w:sz="0" w:space="0" w:color="auto"/>
        <w:right w:val="none" w:sz="0" w:space="0" w:color="auto"/>
      </w:divBdr>
    </w:div>
    <w:div w:id="1815179453">
      <w:bodyDiv w:val="1"/>
      <w:marLeft w:val="0"/>
      <w:marRight w:val="0"/>
      <w:marTop w:val="0"/>
      <w:marBottom w:val="0"/>
      <w:divBdr>
        <w:top w:val="none" w:sz="0" w:space="0" w:color="auto"/>
        <w:left w:val="none" w:sz="0" w:space="0" w:color="auto"/>
        <w:bottom w:val="none" w:sz="0" w:space="0" w:color="auto"/>
        <w:right w:val="none" w:sz="0" w:space="0" w:color="auto"/>
      </w:divBdr>
    </w:div>
    <w:div w:id="1830248739">
      <w:bodyDiv w:val="1"/>
      <w:marLeft w:val="0"/>
      <w:marRight w:val="0"/>
      <w:marTop w:val="0"/>
      <w:marBottom w:val="0"/>
      <w:divBdr>
        <w:top w:val="none" w:sz="0" w:space="0" w:color="auto"/>
        <w:left w:val="none" w:sz="0" w:space="0" w:color="auto"/>
        <w:bottom w:val="none" w:sz="0" w:space="0" w:color="auto"/>
        <w:right w:val="none" w:sz="0" w:space="0" w:color="auto"/>
      </w:divBdr>
    </w:div>
    <w:div w:id="1878277117">
      <w:bodyDiv w:val="1"/>
      <w:marLeft w:val="0"/>
      <w:marRight w:val="0"/>
      <w:marTop w:val="0"/>
      <w:marBottom w:val="0"/>
      <w:divBdr>
        <w:top w:val="none" w:sz="0" w:space="0" w:color="auto"/>
        <w:left w:val="none" w:sz="0" w:space="0" w:color="auto"/>
        <w:bottom w:val="none" w:sz="0" w:space="0" w:color="auto"/>
        <w:right w:val="none" w:sz="0" w:space="0" w:color="auto"/>
      </w:divBdr>
    </w:div>
    <w:div w:id="1923298849">
      <w:bodyDiv w:val="1"/>
      <w:marLeft w:val="0"/>
      <w:marRight w:val="0"/>
      <w:marTop w:val="0"/>
      <w:marBottom w:val="0"/>
      <w:divBdr>
        <w:top w:val="none" w:sz="0" w:space="0" w:color="auto"/>
        <w:left w:val="none" w:sz="0" w:space="0" w:color="auto"/>
        <w:bottom w:val="none" w:sz="0" w:space="0" w:color="auto"/>
        <w:right w:val="none" w:sz="0" w:space="0" w:color="auto"/>
      </w:divBdr>
    </w:div>
    <w:div w:id="20810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285A-15E4-4A9C-9498-7C79D17B7FE2}">
  <ds:schemaRefs>
    <ds:schemaRef ds:uri="http://schemas.openxmlformats.org/officeDocument/2006/bibliography"/>
  </ds:schemaRefs>
</ds:datastoreItem>
</file>

<file path=customXml/itemProps2.xml><?xml version="1.0" encoding="utf-8"?>
<ds:datastoreItem xmlns:ds="http://schemas.openxmlformats.org/officeDocument/2006/customXml" ds:itemID="{E25F712F-D335-4900-B447-751595BF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5357</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35827</CharactersWithSpaces>
  <SharedDoc>false</SharedDoc>
  <HLinks>
    <vt:vector size="6" baseType="variant">
      <vt:variant>
        <vt:i4>4390935</vt:i4>
      </vt:variant>
      <vt:variant>
        <vt:i4>0</vt:i4>
      </vt:variant>
      <vt:variant>
        <vt:i4>0</vt:i4>
      </vt:variant>
      <vt:variant>
        <vt:i4>5</vt:i4>
      </vt:variant>
      <vt:variant>
        <vt:lpwstr>http://www.navigator.gov/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2</cp:revision>
  <cp:lastPrinted>2011-05-12T19:22:00Z</cp:lastPrinted>
  <dcterms:created xsi:type="dcterms:W3CDTF">2013-11-26T20:41:00Z</dcterms:created>
  <dcterms:modified xsi:type="dcterms:W3CDTF">2013-11-26T20:41:00Z</dcterms:modified>
</cp:coreProperties>
</file>