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572626458"/>
        <w:docPartObj>
          <w:docPartGallery w:val="Cover Pages"/>
          <w:docPartUnique/>
        </w:docPartObj>
      </w:sdtPr>
      <w:sdtEndPr>
        <w:rPr>
          <w:rStyle w:val="Heading1Char"/>
          <w:rFonts w:asciiTheme="majorHAnsi" w:eastAsiaTheme="majorEastAsia" w:hAnsiTheme="majorHAnsi" w:cstheme="majorBidi"/>
          <w:b/>
          <w:bCs/>
          <w:color w:val="365F91" w:themeColor="accent1" w:themeShade="BF"/>
          <w:sz w:val="28"/>
          <w:szCs w:val="28"/>
        </w:rPr>
      </w:sdtEndPr>
      <w:sdtContent>
        <w:tbl>
          <w:tblPr>
            <w:tblW w:w="5000" w:type="pct"/>
            <w:jc w:val="center"/>
            <w:tblLook w:val="04A0" w:firstRow="1" w:lastRow="0" w:firstColumn="1" w:lastColumn="0" w:noHBand="0" w:noVBand="1"/>
          </w:tblPr>
          <w:tblGrid>
            <w:gridCol w:w="9576"/>
          </w:tblGrid>
          <w:tr w:rsidR="001A1F57">
            <w:trPr>
              <w:trHeight w:val="2880"/>
              <w:jc w:val="center"/>
            </w:trPr>
            <w:tc>
              <w:tcPr>
                <w:tcW w:w="5000" w:type="pct"/>
              </w:tcPr>
              <w:p w:rsidR="001A1F57" w:rsidRDefault="00CF03AC" w:rsidP="00CF03AC">
                <w:pPr>
                  <w:spacing w:after="0" w:line="240" w:lineRule="auto"/>
                </w:pPr>
                <w:r>
                  <w:t>Contract</w:t>
                </w:r>
                <w:r w:rsidR="006D449C">
                  <w:t xml:space="preserve"> </w:t>
                </w:r>
                <w:r>
                  <w:t xml:space="preserve">No: </w:t>
                </w:r>
                <w:r w:rsidR="003722F1">
                  <w:rPr>
                    <w:sz w:val="20"/>
                    <w:szCs w:val="20"/>
                  </w:rPr>
                  <w:t>ED-IES-1</w:t>
                </w:r>
                <w:r w:rsidR="004B4558">
                  <w:rPr>
                    <w:sz w:val="20"/>
                    <w:szCs w:val="20"/>
                  </w:rPr>
                  <w:t>2</w:t>
                </w:r>
                <w:r w:rsidR="003722F1">
                  <w:rPr>
                    <w:sz w:val="20"/>
                    <w:szCs w:val="20"/>
                  </w:rPr>
                  <w:t>-</w:t>
                </w:r>
                <w:r w:rsidR="004B4558">
                  <w:rPr>
                    <w:sz w:val="20"/>
                    <w:szCs w:val="20"/>
                  </w:rPr>
                  <w:t>C</w:t>
                </w:r>
                <w:r w:rsidR="003722F1">
                  <w:rPr>
                    <w:sz w:val="20"/>
                    <w:szCs w:val="20"/>
                  </w:rPr>
                  <w:t>-</w:t>
                </w:r>
                <w:r w:rsidR="004B4558">
                  <w:rPr>
                    <w:sz w:val="20"/>
                    <w:szCs w:val="20"/>
                  </w:rPr>
                  <w:t>0007</w:t>
                </w:r>
                <w:r w:rsidR="003722F1">
                  <w:rPr>
                    <w:sz w:val="20"/>
                    <w:szCs w:val="20"/>
                  </w:rPr>
                  <w:t xml:space="preserve"> </w:t>
                </w:r>
                <w:r w:rsidR="00F23EDB">
                  <w:rPr>
                    <w:noProof/>
                  </w:rPr>
                  <w:drawing>
                    <wp:inline distT="0" distB="0" distL="0" distR="0" wp14:anchorId="3ACE41D2" wp14:editId="15BFF81F">
                      <wp:extent cx="2191419" cy="662609"/>
                      <wp:effectExtent l="0" t="0" r="0" b="4445"/>
                      <wp:docPr id="2" name="Picture 2" descr="C:\Users\tony.petrites\AppData\Local\Microsoft\Windows\Temporary Internet Files\Content.Word\logo-change-fon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y.petrites\AppData\Local\Microsoft\Windows\Temporary Internet Files\Content.Word\logo-change-font5.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3793"/>
                              <a:stretch/>
                            </pic:blipFill>
                            <pic:spPr bwMode="auto">
                              <a:xfrm>
                                <a:off x="0" y="0"/>
                                <a:ext cx="2190115" cy="662215"/>
                              </a:xfrm>
                              <a:prstGeom prst="rect">
                                <a:avLst/>
                              </a:prstGeom>
                              <a:noFill/>
                              <a:ln>
                                <a:noFill/>
                              </a:ln>
                              <a:extLst>
                                <a:ext uri="{53640926-AAD7-44D8-BBD7-CCE9431645EC}">
                                  <a14:shadowObscured xmlns:a14="http://schemas.microsoft.com/office/drawing/2010/main"/>
                                </a:ext>
                              </a:extLst>
                            </pic:spPr>
                          </pic:pic>
                        </a:graphicData>
                      </a:graphic>
                    </wp:inline>
                  </w:drawing>
                </w:r>
              </w:p>
              <w:p w:rsidR="00CF03AC" w:rsidRDefault="00CF03AC" w:rsidP="002F478B">
                <w:pPr>
                  <w:spacing w:after="0" w:line="240" w:lineRule="auto"/>
                </w:pPr>
              </w:p>
            </w:tc>
          </w:tr>
          <w:tr w:rsidR="001A1F57" w:rsidTr="00CF03AC">
            <w:trPr>
              <w:trHeight w:val="990"/>
              <w:jc w:val="center"/>
            </w:trPr>
            <w:sdt>
              <w:sdtPr>
                <w:rPr>
                  <w:rFonts w:asciiTheme="majorHAnsi" w:eastAsiaTheme="majorEastAsia" w:hAnsiTheme="majorHAnsi" w:cstheme="majorBidi"/>
                  <w:sz w:val="28"/>
                  <w:szCs w:val="28"/>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1A1F57" w:rsidRDefault="00D133B1" w:rsidP="00402C32">
                    <w:pPr>
                      <w:pStyle w:val="NoSpacing"/>
                      <w:contextualSpacing/>
                      <w:jc w:val="center"/>
                      <w:rPr>
                        <w:rFonts w:asciiTheme="majorHAnsi" w:eastAsiaTheme="majorEastAsia" w:hAnsiTheme="majorHAnsi" w:cstheme="majorBidi"/>
                        <w:sz w:val="80"/>
                        <w:szCs w:val="80"/>
                      </w:rPr>
                    </w:pPr>
                    <w:r>
                      <w:rPr>
                        <w:rFonts w:asciiTheme="majorHAnsi" w:eastAsiaTheme="majorEastAsia" w:hAnsiTheme="majorHAnsi" w:cstheme="majorBidi"/>
                        <w:sz w:val="28"/>
                        <w:szCs w:val="28"/>
                      </w:rPr>
                      <w:t xml:space="preserve">     </w:t>
                    </w:r>
                  </w:p>
                </w:tc>
              </w:sdtContent>
            </w:sdt>
          </w:tr>
          <w:tr w:rsidR="001A1F57" w:rsidRPr="00E17252">
            <w:trPr>
              <w:trHeight w:val="720"/>
              <w:jc w:val="center"/>
            </w:trPr>
            <w:sdt>
              <w:sdtPr>
                <w:rPr>
                  <w:rFonts w:asciiTheme="majorHAnsi" w:eastAsiaTheme="majorEastAsia" w:hAnsiTheme="majorHAnsi" w:cstheme="majorBidi"/>
                  <w:sz w:val="24"/>
                  <w:szCs w:val="2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1A1F57" w:rsidRPr="00BD2BAB" w:rsidRDefault="001C41EF" w:rsidP="00A009AA">
                    <w:pPr>
                      <w:pStyle w:val="NoSpacing"/>
                      <w:jc w:val="center"/>
                      <w:rPr>
                        <w:rFonts w:asciiTheme="majorHAnsi" w:eastAsiaTheme="majorEastAsia" w:hAnsiTheme="majorHAnsi" w:cstheme="majorBidi"/>
                        <w:sz w:val="44"/>
                        <w:szCs w:val="44"/>
                      </w:rPr>
                    </w:pPr>
                    <w:r w:rsidRPr="00BD2BAB">
                      <w:rPr>
                        <w:rFonts w:asciiTheme="majorHAnsi" w:eastAsiaTheme="majorEastAsia" w:hAnsiTheme="majorHAnsi" w:cstheme="majorBidi"/>
                        <w:sz w:val="24"/>
                        <w:szCs w:val="24"/>
                      </w:rPr>
                      <w:t>Section B</w:t>
                    </w:r>
                  </w:p>
                </w:tc>
              </w:sdtContent>
            </w:sdt>
          </w:tr>
          <w:tr w:rsidR="001A1F57">
            <w:trPr>
              <w:trHeight w:val="360"/>
              <w:jc w:val="center"/>
            </w:trPr>
            <w:tc>
              <w:tcPr>
                <w:tcW w:w="5000" w:type="pct"/>
                <w:vAlign w:val="center"/>
              </w:tcPr>
              <w:p w:rsidR="001A1F57" w:rsidRDefault="0071002C">
                <w:pPr>
                  <w:pStyle w:val="NoSpacing"/>
                  <w:jc w:val="center"/>
                </w:pPr>
                <w:r>
                  <w:t>June 14</w:t>
                </w:r>
                <w:r w:rsidR="00967A34" w:rsidRPr="00BD2BAB">
                  <w:t>, 2013</w:t>
                </w:r>
              </w:p>
              <w:p w:rsidR="00F23EDB" w:rsidRDefault="00F23EDB">
                <w:pPr>
                  <w:pStyle w:val="NoSpacing"/>
                  <w:jc w:val="center"/>
                </w:pPr>
              </w:p>
              <w:p w:rsidR="00F23EDB" w:rsidRDefault="00F23EDB">
                <w:pPr>
                  <w:pStyle w:val="NoSpacing"/>
                  <w:jc w:val="center"/>
                </w:pPr>
              </w:p>
              <w:p w:rsidR="00F23EDB" w:rsidRDefault="00F23EDB">
                <w:pPr>
                  <w:pStyle w:val="NoSpacing"/>
                  <w:jc w:val="center"/>
                </w:pPr>
              </w:p>
              <w:p w:rsidR="00F23EDB" w:rsidRDefault="00F23EDB">
                <w:pPr>
                  <w:pStyle w:val="NoSpacing"/>
                  <w:jc w:val="center"/>
                </w:pPr>
              </w:p>
              <w:p w:rsidR="00F23EDB" w:rsidRDefault="00F23EDB">
                <w:pPr>
                  <w:pStyle w:val="NoSpacing"/>
                  <w:jc w:val="center"/>
                </w:pPr>
              </w:p>
            </w:tc>
          </w:tr>
          <w:tr w:rsidR="001A1F57">
            <w:trPr>
              <w:trHeight w:val="360"/>
              <w:jc w:val="center"/>
            </w:trPr>
            <w:tc>
              <w:tcPr>
                <w:tcW w:w="5000" w:type="pct"/>
                <w:vAlign w:val="center"/>
              </w:tcPr>
              <w:p w:rsidR="001A1F57" w:rsidRDefault="001A1F57">
                <w:pPr>
                  <w:pStyle w:val="NoSpacing"/>
                  <w:jc w:val="center"/>
                  <w:rPr>
                    <w:b/>
                    <w:bCs/>
                  </w:rPr>
                </w:pPr>
              </w:p>
            </w:tc>
          </w:tr>
          <w:tr w:rsidR="001A1F57">
            <w:trPr>
              <w:trHeight w:val="360"/>
              <w:jc w:val="center"/>
            </w:trPr>
            <w:tc>
              <w:tcPr>
                <w:tcW w:w="5000" w:type="pct"/>
                <w:vAlign w:val="center"/>
              </w:tcPr>
              <w:p w:rsidR="001A1F57" w:rsidRPr="003722F1" w:rsidRDefault="00F23EDB" w:rsidP="00F23EDB">
                <w:pPr>
                  <w:pStyle w:val="NoSpacing"/>
                  <w:rPr>
                    <w:bCs/>
                  </w:rPr>
                </w:pPr>
                <w:r>
                  <w:rPr>
                    <w:b/>
                    <w:bCs/>
                  </w:rPr>
                  <w:t>Submitted to:</w:t>
                </w:r>
                <w:r w:rsidR="003722F1">
                  <w:rPr>
                    <w:b/>
                    <w:bCs/>
                  </w:rPr>
                  <w:t xml:space="preserve">                                                                                </w:t>
                </w:r>
                <w:r w:rsidR="003722F1" w:rsidRPr="003722F1">
                  <w:rPr>
                    <w:b/>
                    <w:bCs/>
                  </w:rPr>
                  <w:t>Submitted</w:t>
                </w:r>
                <w:r w:rsidR="003722F1">
                  <w:rPr>
                    <w:b/>
                    <w:bCs/>
                  </w:rPr>
                  <w:t xml:space="preserve"> by:</w:t>
                </w:r>
              </w:p>
              <w:p w:rsidR="003722F1" w:rsidRPr="00402C32" w:rsidRDefault="00F23EDB" w:rsidP="00F23EDB">
                <w:pPr>
                  <w:pStyle w:val="NoSpacing"/>
                  <w:rPr>
                    <w:bCs/>
                  </w:rPr>
                </w:pPr>
                <w:r w:rsidRPr="00402C32">
                  <w:rPr>
                    <w:bCs/>
                  </w:rPr>
                  <w:t>Institutes of Education Sciences</w:t>
                </w:r>
                <w:r w:rsidR="003722F1" w:rsidRPr="00402C32">
                  <w:rPr>
                    <w:bCs/>
                  </w:rPr>
                  <w:t xml:space="preserve">                                                 Marzano Research Laboratory</w:t>
                </w:r>
              </w:p>
              <w:p w:rsidR="00F23EDB" w:rsidRPr="00402C32" w:rsidRDefault="00F23EDB" w:rsidP="00F23EDB">
                <w:pPr>
                  <w:pStyle w:val="NoSpacing"/>
                  <w:rPr>
                    <w:bCs/>
                  </w:rPr>
                </w:pPr>
                <w:r w:rsidRPr="00402C32">
                  <w:rPr>
                    <w:bCs/>
                  </w:rPr>
                  <w:t>U.S. Department of Education</w:t>
                </w:r>
                <w:r w:rsidR="003722F1" w:rsidRPr="00402C32">
                  <w:rPr>
                    <w:bCs/>
                  </w:rPr>
                  <w:t xml:space="preserve">                                                    9000 E. Nichols Ave., Ste. 210</w:t>
                </w:r>
              </w:p>
              <w:p w:rsidR="00F23EDB" w:rsidRPr="00402C32" w:rsidRDefault="003722F1" w:rsidP="00F23EDB">
                <w:pPr>
                  <w:pStyle w:val="NoSpacing"/>
                  <w:rPr>
                    <w:bCs/>
                  </w:rPr>
                </w:pPr>
                <w:r w:rsidRPr="00402C32">
                  <w:rPr>
                    <w:bCs/>
                  </w:rPr>
                  <w:t>555 New Jersey Ave., NW</w:t>
                </w:r>
                <w:r w:rsidR="006D449C">
                  <w:rPr>
                    <w:bCs/>
                  </w:rPr>
                  <w:t xml:space="preserve">                 </w:t>
                </w:r>
                <w:r w:rsidRPr="00402C32">
                  <w:rPr>
                    <w:bCs/>
                  </w:rPr>
                  <w:t xml:space="preserve">                                           </w:t>
                </w:r>
                <w:r w:rsidR="00E17252">
                  <w:rPr>
                    <w:bCs/>
                  </w:rPr>
                  <w:t>Centennial</w:t>
                </w:r>
                <w:r w:rsidRPr="00402C32">
                  <w:rPr>
                    <w:bCs/>
                  </w:rPr>
                  <w:t>, CO 80112</w:t>
                </w:r>
              </w:p>
              <w:p w:rsidR="00F23EDB" w:rsidRPr="00402C32" w:rsidRDefault="00F23EDB" w:rsidP="00F23EDB">
                <w:pPr>
                  <w:pStyle w:val="NoSpacing"/>
                  <w:rPr>
                    <w:bCs/>
                  </w:rPr>
                </w:pPr>
                <w:r w:rsidRPr="00402C32">
                  <w:rPr>
                    <w:bCs/>
                  </w:rPr>
                  <w:t>Washington, DC  20208</w:t>
                </w:r>
                <w:r w:rsidR="003722F1" w:rsidRPr="00402C32">
                  <w:rPr>
                    <w:bCs/>
                  </w:rPr>
                  <w:t xml:space="preserve">                                                                (303) 766-9199</w:t>
                </w:r>
              </w:p>
              <w:p w:rsidR="00F23EDB" w:rsidRDefault="006D449C" w:rsidP="00F23EDB">
                <w:pPr>
                  <w:pStyle w:val="NoSpacing"/>
                  <w:rPr>
                    <w:bCs/>
                  </w:rPr>
                </w:pPr>
                <w:r>
                  <w:rPr>
                    <w:bCs/>
                  </w:rPr>
                  <w:t>(202) 219-1385</w:t>
                </w:r>
              </w:p>
              <w:p w:rsidR="003722F1" w:rsidRDefault="003722F1" w:rsidP="00F23EDB">
                <w:pPr>
                  <w:pStyle w:val="NoSpacing"/>
                  <w:rPr>
                    <w:bCs/>
                  </w:rPr>
                </w:pPr>
              </w:p>
              <w:p w:rsidR="00F23EDB" w:rsidRDefault="00F23EDB" w:rsidP="00F23EDB">
                <w:pPr>
                  <w:pStyle w:val="NoSpacing"/>
                  <w:rPr>
                    <w:bCs/>
                  </w:rPr>
                </w:pPr>
                <w:r>
                  <w:rPr>
                    <w:bCs/>
                  </w:rPr>
                  <w:t>Project Officer:</w:t>
                </w:r>
                <w:r w:rsidR="003722F1">
                  <w:rPr>
                    <w:bCs/>
                  </w:rPr>
                  <w:t xml:space="preserve">                                                                                Project Director:</w:t>
                </w:r>
              </w:p>
              <w:p w:rsidR="00F23EDB" w:rsidRDefault="00F23EDB" w:rsidP="0071002C">
                <w:pPr>
                  <w:pStyle w:val="NoSpacing"/>
                  <w:rPr>
                    <w:b/>
                    <w:bCs/>
                  </w:rPr>
                </w:pPr>
                <w:proofErr w:type="spellStart"/>
                <w:r w:rsidRPr="00F23EDB">
                  <w:rPr>
                    <w:bCs/>
                  </w:rPr>
                  <w:t>Ok-Choon</w:t>
                </w:r>
                <w:proofErr w:type="spellEnd"/>
                <w:r w:rsidRPr="00F23EDB">
                  <w:rPr>
                    <w:bCs/>
                  </w:rPr>
                  <w:t xml:space="preserve"> Park</w:t>
                </w:r>
                <w:r w:rsidR="003722F1">
                  <w:rPr>
                    <w:bCs/>
                  </w:rPr>
                  <w:t xml:space="preserve">                                                                              Trudy L. Cherasaro</w:t>
                </w:r>
              </w:p>
            </w:tc>
          </w:tr>
        </w:tbl>
        <w:p w:rsidR="001A1F57" w:rsidRDefault="001A1F57"/>
        <w:p w:rsidR="001A1F57" w:rsidRDefault="001A1F57"/>
        <w:p w:rsidR="001A1F57" w:rsidRDefault="001A1F57"/>
        <w:p w:rsidR="001A1F57" w:rsidRDefault="001A1F57">
          <w:pPr>
            <w:rPr>
              <w:rStyle w:val="Heading1Char"/>
            </w:rPr>
          </w:pPr>
          <w:r>
            <w:rPr>
              <w:rStyle w:val="Heading1Char"/>
            </w:rPr>
            <w:br w:type="page"/>
          </w:r>
        </w:p>
      </w:sdtContent>
    </w:sdt>
    <w:sdt>
      <w:sdtPr>
        <w:rPr>
          <w:rFonts w:asciiTheme="minorHAnsi" w:eastAsiaTheme="minorHAnsi" w:hAnsiTheme="minorHAnsi" w:cstheme="minorBidi"/>
          <w:b w:val="0"/>
          <w:bCs w:val="0"/>
          <w:color w:val="auto"/>
          <w:sz w:val="22"/>
          <w:szCs w:val="22"/>
          <w:lang w:eastAsia="en-US"/>
        </w:rPr>
        <w:id w:val="1162816599"/>
        <w:docPartObj>
          <w:docPartGallery w:val="Table of Contents"/>
          <w:docPartUnique/>
        </w:docPartObj>
      </w:sdtPr>
      <w:sdtEndPr>
        <w:rPr>
          <w:noProof/>
        </w:rPr>
      </w:sdtEndPr>
      <w:sdtContent>
        <w:p w:rsidR="001A1F57" w:rsidRDefault="001A1F57">
          <w:pPr>
            <w:pStyle w:val="TOCHeading"/>
          </w:pPr>
          <w:r>
            <w:t>Table of Contents</w:t>
          </w:r>
        </w:p>
        <w:p w:rsidR="00417825" w:rsidRDefault="002B3BE2">
          <w:pPr>
            <w:pStyle w:val="TOC1"/>
            <w:tabs>
              <w:tab w:val="right" w:leader="dot" w:pos="9350"/>
            </w:tabs>
            <w:rPr>
              <w:rFonts w:eastAsiaTheme="minorEastAsia"/>
              <w:noProof/>
            </w:rPr>
          </w:pPr>
          <w:r>
            <w:fldChar w:fldCharType="begin"/>
          </w:r>
          <w:r w:rsidR="001A1F57">
            <w:instrText xml:space="preserve"> TOC \o "1-3" \h \z \u </w:instrText>
          </w:r>
          <w:r>
            <w:fldChar w:fldCharType="separate"/>
          </w:r>
          <w:hyperlink w:anchor="_Toc352313129" w:history="1">
            <w:r w:rsidR="00417825" w:rsidRPr="005C25C7">
              <w:rPr>
                <w:rStyle w:val="Hyperlink"/>
                <w:noProof/>
              </w:rPr>
              <w:t>Section B. Data Collection Procedures and Statistical Methods</w:t>
            </w:r>
            <w:r w:rsidR="00417825">
              <w:rPr>
                <w:noProof/>
                <w:webHidden/>
              </w:rPr>
              <w:tab/>
            </w:r>
            <w:r>
              <w:rPr>
                <w:noProof/>
                <w:webHidden/>
              </w:rPr>
              <w:fldChar w:fldCharType="begin"/>
            </w:r>
            <w:r w:rsidR="00417825">
              <w:rPr>
                <w:noProof/>
                <w:webHidden/>
              </w:rPr>
              <w:instrText xml:space="preserve"> PAGEREF _Toc352313129 \h </w:instrText>
            </w:r>
            <w:r>
              <w:rPr>
                <w:noProof/>
                <w:webHidden/>
              </w:rPr>
            </w:r>
            <w:r>
              <w:rPr>
                <w:noProof/>
                <w:webHidden/>
              </w:rPr>
              <w:fldChar w:fldCharType="separate"/>
            </w:r>
            <w:r w:rsidR="0071002C">
              <w:rPr>
                <w:noProof/>
                <w:webHidden/>
              </w:rPr>
              <w:t>2</w:t>
            </w:r>
            <w:r>
              <w:rPr>
                <w:noProof/>
                <w:webHidden/>
              </w:rPr>
              <w:fldChar w:fldCharType="end"/>
            </w:r>
          </w:hyperlink>
        </w:p>
        <w:p w:rsidR="00417825" w:rsidRDefault="00E65209">
          <w:pPr>
            <w:pStyle w:val="TOC2"/>
            <w:tabs>
              <w:tab w:val="right" w:leader="dot" w:pos="9350"/>
            </w:tabs>
            <w:rPr>
              <w:rFonts w:eastAsiaTheme="minorEastAsia"/>
              <w:noProof/>
            </w:rPr>
          </w:pPr>
          <w:hyperlink w:anchor="_Toc352313130" w:history="1">
            <w:r w:rsidR="00417825" w:rsidRPr="005C25C7">
              <w:rPr>
                <w:rStyle w:val="Hyperlink"/>
                <w:noProof/>
              </w:rPr>
              <w:t>B1. Respondent Universe and Sampling Methods</w:t>
            </w:r>
            <w:r w:rsidR="00417825">
              <w:rPr>
                <w:noProof/>
                <w:webHidden/>
              </w:rPr>
              <w:tab/>
            </w:r>
            <w:r w:rsidR="002B3BE2">
              <w:rPr>
                <w:noProof/>
                <w:webHidden/>
              </w:rPr>
              <w:fldChar w:fldCharType="begin"/>
            </w:r>
            <w:r w:rsidR="00417825">
              <w:rPr>
                <w:noProof/>
                <w:webHidden/>
              </w:rPr>
              <w:instrText xml:space="preserve"> PAGEREF _Toc352313130 \h </w:instrText>
            </w:r>
            <w:r w:rsidR="002B3BE2">
              <w:rPr>
                <w:noProof/>
                <w:webHidden/>
              </w:rPr>
            </w:r>
            <w:r w:rsidR="002B3BE2">
              <w:rPr>
                <w:noProof/>
                <w:webHidden/>
              </w:rPr>
              <w:fldChar w:fldCharType="separate"/>
            </w:r>
            <w:r w:rsidR="0071002C">
              <w:rPr>
                <w:noProof/>
                <w:webHidden/>
              </w:rPr>
              <w:t>2</w:t>
            </w:r>
            <w:r w:rsidR="002B3BE2">
              <w:rPr>
                <w:noProof/>
                <w:webHidden/>
              </w:rPr>
              <w:fldChar w:fldCharType="end"/>
            </w:r>
          </w:hyperlink>
        </w:p>
        <w:p w:rsidR="00417825" w:rsidRDefault="00E65209">
          <w:pPr>
            <w:pStyle w:val="TOC3"/>
            <w:tabs>
              <w:tab w:val="right" w:leader="dot" w:pos="9350"/>
            </w:tabs>
            <w:rPr>
              <w:rFonts w:eastAsiaTheme="minorEastAsia"/>
              <w:noProof/>
            </w:rPr>
          </w:pPr>
          <w:hyperlink w:anchor="_Toc352313131" w:history="1">
            <w:r w:rsidR="00417825" w:rsidRPr="005C25C7">
              <w:rPr>
                <w:rStyle w:val="Hyperlink"/>
                <w:noProof/>
              </w:rPr>
              <w:t>Pilot Study</w:t>
            </w:r>
            <w:r w:rsidR="00417825">
              <w:rPr>
                <w:noProof/>
                <w:webHidden/>
              </w:rPr>
              <w:tab/>
            </w:r>
            <w:r w:rsidR="002B3BE2">
              <w:rPr>
                <w:noProof/>
                <w:webHidden/>
              </w:rPr>
              <w:fldChar w:fldCharType="begin"/>
            </w:r>
            <w:r w:rsidR="00417825">
              <w:rPr>
                <w:noProof/>
                <w:webHidden/>
              </w:rPr>
              <w:instrText xml:space="preserve"> PAGEREF _Toc352313131 \h </w:instrText>
            </w:r>
            <w:r w:rsidR="002B3BE2">
              <w:rPr>
                <w:noProof/>
                <w:webHidden/>
              </w:rPr>
            </w:r>
            <w:r w:rsidR="002B3BE2">
              <w:rPr>
                <w:noProof/>
                <w:webHidden/>
              </w:rPr>
              <w:fldChar w:fldCharType="separate"/>
            </w:r>
            <w:r w:rsidR="0071002C">
              <w:rPr>
                <w:noProof/>
                <w:webHidden/>
              </w:rPr>
              <w:t>2</w:t>
            </w:r>
            <w:r w:rsidR="002B3BE2">
              <w:rPr>
                <w:noProof/>
                <w:webHidden/>
              </w:rPr>
              <w:fldChar w:fldCharType="end"/>
            </w:r>
          </w:hyperlink>
        </w:p>
        <w:p w:rsidR="00417825" w:rsidRDefault="00E65209">
          <w:pPr>
            <w:pStyle w:val="TOC3"/>
            <w:tabs>
              <w:tab w:val="right" w:leader="dot" w:pos="9350"/>
            </w:tabs>
            <w:rPr>
              <w:rFonts w:eastAsiaTheme="minorEastAsia"/>
              <w:noProof/>
            </w:rPr>
          </w:pPr>
          <w:hyperlink w:anchor="_Toc352313132" w:history="1">
            <w:r w:rsidR="00417825" w:rsidRPr="005C25C7">
              <w:rPr>
                <w:rStyle w:val="Hyperlink"/>
                <w:noProof/>
              </w:rPr>
              <w:t>Full Study</w:t>
            </w:r>
            <w:r w:rsidR="00417825">
              <w:rPr>
                <w:noProof/>
                <w:webHidden/>
              </w:rPr>
              <w:tab/>
            </w:r>
            <w:r w:rsidR="002B3BE2">
              <w:rPr>
                <w:noProof/>
                <w:webHidden/>
              </w:rPr>
              <w:fldChar w:fldCharType="begin"/>
            </w:r>
            <w:r w:rsidR="00417825">
              <w:rPr>
                <w:noProof/>
                <w:webHidden/>
              </w:rPr>
              <w:instrText xml:space="preserve"> PAGEREF _Toc352313132 \h </w:instrText>
            </w:r>
            <w:r w:rsidR="002B3BE2">
              <w:rPr>
                <w:noProof/>
                <w:webHidden/>
              </w:rPr>
            </w:r>
            <w:r w:rsidR="002B3BE2">
              <w:rPr>
                <w:noProof/>
                <w:webHidden/>
              </w:rPr>
              <w:fldChar w:fldCharType="separate"/>
            </w:r>
            <w:r w:rsidR="0071002C">
              <w:rPr>
                <w:noProof/>
                <w:webHidden/>
              </w:rPr>
              <w:t>3</w:t>
            </w:r>
            <w:r w:rsidR="002B3BE2">
              <w:rPr>
                <w:noProof/>
                <w:webHidden/>
              </w:rPr>
              <w:fldChar w:fldCharType="end"/>
            </w:r>
          </w:hyperlink>
        </w:p>
        <w:p w:rsidR="00417825" w:rsidRDefault="00E65209">
          <w:pPr>
            <w:pStyle w:val="TOC2"/>
            <w:tabs>
              <w:tab w:val="right" w:leader="dot" w:pos="9350"/>
            </w:tabs>
            <w:rPr>
              <w:rFonts w:eastAsiaTheme="minorEastAsia"/>
              <w:noProof/>
            </w:rPr>
          </w:pPr>
          <w:hyperlink w:anchor="_Toc352313133" w:history="1">
            <w:r w:rsidR="00417825" w:rsidRPr="005C25C7">
              <w:rPr>
                <w:rStyle w:val="Hyperlink"/>
                <w:noProof/>
              </w:rPr>
              <w:t>B2. Procedures for the Collection of Information</w:t>
            </w:r>
            <w:r w:rsidR="00417825">
              <w:rPr>
                <w:noProof/>
                <w:webHidden/>
              </w:rPr>
              <w:tab/>
            </w:r>
            <w:r w:rsidR="002B3BE2">
              <w:rPr>
                <w:noProof/>
                <w:webHidden/>
              </w:rPr>
              <w:fldChar w:fldCharType="begin"/>
            </w:r>
            <w:r w:rsidR="00417825">
              <w:rPr>
                <w:noProof/>
                <w:webHidden/>
              </w:rPr>
              <w:instrText xml:space="preserve"> PAGEREF _Toc352313133 \h </w:instrText>
            </w:r>
            <w:r w:rsidR="002B3BE2">
              <w:rPr>
                <w:noProof/>
                <w:webHidden/>
              </w:rPr>
            </w:r>
            <w:r w:rsidR="002B3BE2">
              <w:rPr>
                <w:noProof/>
                <w:webHidden/>
              </w:rPr>
              <w:fldChar w:fldCharType="separate"/>
            </w:r>
            <w:r w:rsidR="0071002C">
              <w:rPr>
                <w:noProof/>
                <w:webHidden/>
              </w:rPr>
              <w:t>6</w:t>
            </w:r>
            <w:r w:rsidR="002B3BE2">
              <w:rPr>
                <w:noProof/>
                <w:webHidden/>
              </w:rPr>
              <w:fldChar w:fldCharType="end"/>
            </w:r>
          </w:hyperlink>
        </w:p>
        <w:p w:rsidR="00417825" w:rsidRDefault="00E65209">
          <w:pPr>
            <w:pStyle w:val="TOC3"/>
            <w:tabs>
              <w:tab w:val="right" w:leader="dot" w:pos="9350"/>
            </w:tabs>
            <w:rPr>
              <w:rFonts w:eastAsiaTheme="minorEastAsia"/>
              <w:noProof/>
            </w:rPr>
          </w:pPr>
          <w:hyperlink w:anchor="_Toc352313134" w:history="1">
            <w:r w:rsidR="00417825" w:rsidRPr="005C25C7">
              <w:rPr>
                <w:rStyle w:val="Hyperlink"/>
                <w:noProof/>
              </w:rPr>
              <w:t>Statistical Power</w:t>
            </w:r>
            <w:r w:rsidR="00417825">
              <w:rPr>
                <w:noProof/>
                <w:webHidden/>
              </w:rPr>
              <w:tab/>
            </w:r>
            <w:r w:rsidR="002B3BE2">
              <w:rPr>
                <w:noProof/>
                <w:webHidden/>
              </w:rPr>
              <w:fldChar w:fldCharType="begin"/>
            </w:r>
            <w:r w:rsidR="00417825">
              <w:rPr>
                <w:noProof/>
                <w:webHidden/>
              </w:rPr>
              <w:instrText xml:space="preserve"> PAGEREF _Toc352313134 \h </w:instrText>
            </w:r>
            <w:r w:rsidR="002B3BE2">
              <w:rPr>
                <w:noProof/>
                <w:webHidden/>
              </w:rPr>
            </w:r>
            <w:r w:rsidR="002B3BE2">
              <w:rPr>
                <w:noProof/>
                <w:webHidden/>
              </w:rPr>
              <w:fldChar w:fldCharType="separate"/>
            </w:r>
            <w:r w:rsidR="0071002C">
              <w:rPr>
                <w:noProof/>
                <w:webHidden/>
              </w:rPr>
              <w:t>6</w:t>
            </w:r>
            <w:r w:rsidR="002B3BE2">
              <w:rPr>
                <w:noProof/>
                <w:webHidden/>
              </w:rPr>
              <w:fldChar w:fldCharType="end"/>
            </w:r>
          </w:hyperlink>
        </w:p>
        <w:p w:rsidR="00417825" w:rsidRDefault="00E65209">
          <w:pPr>
            <w:pStyle w:val="TOC3"/>
            <w:tabs>
              <w:tab w:val="right" w:leader="dot" w:pos="9350"/>
            </w:tabs>
            <w:rPr>
              <w:rFonts w:eastAsiaTheme="minorEastAsia"/>
              <w:noProof/>
            </w:rPr>
          </w:pPr>
          <w:hyperlink w:anchor="_Toc352313135" w:history="1">
            <w:r w:rsidR="00417825" w:rsidRPr="005C25C7">
              <w:rPr>
                <w:rStyle w:val="Hyperlink"/>
                <w:noProof/>
              </w:rPr>
              <w:t>Data Collection</w:t>
            </w:r>
            <w:r w:rsidR="00417825">
              <w:rPr>
                <w:noProof/>
                <w:webHidden/>
              </w:rPr>
              <w:tab/>
            </w:r>
            <w:r w:rsidR="002B3BE2">
              <w:rPr>
                <w:noProof/>
                <w:webHidden/>
              </w:rPr>
              <w:fldChar w:fldCharType="begin"/>
            </w:r>
            <w:r w:rsidR="00417825">
              <w:rPr>
                <w:noProof/>
                <w:webHidden/>
              </w:rPr>
              <w:instrText xml:space="preserve"> PAGEREF _Toc352313135 \h </w:instrText>
            </w:r>
            <w:r w:rsidR="002B3BE2">
              <w:rPr>
                <w:noProof/>
                <w:webHidden/>
              </w:rPr>
            </w:r>
            <w:r w:rsidR="002B3BE2">
              <w:rPr>
                <w:noProof/>
                <w:webHidden/>
              </w:rPr>
              <w:fldChar w:fldCharType="separate"/>
            </w:r>
            <w:r w:rsidR="0071002C">
              <w:rPr>
                <w:noProof/>
                <w:webHidden/>
              </w:rPr>
              <w:t>6</w:t>
            </w:r>
            <w:r w:rsidR="002B3BE2">
              <w:rPr>
                <w:noProof/>
                <w:webHidden/>
              </w:rPr>
              <w:fldChar w:fldCharType="end"/>
            </w:r>
          </w:hyperlink>
        </w:p>
        <w:p w:rsidR="00417825" w:rsidRDefault="00E65209">
          <w:pPr>
            <w:pStyle w:val="TOC2"/>
            <w:tabs>
              <w:tab w:val="right" w:leader="dot" w:pos="9350"/>
            </w:tabs>
            <w:rPr>
              <w:rFonts w:eastAsiaTheme="minorEastAsia"/>
              <w:noProof/>
            </w:rPr>
          </w:pPr>
          <w:hyperlink w:anchor="_Toc352313136" w:history="1">
            <w:r w:rsidR="00417825" w:rsidRPr="005C25C7">
              <w:rPr>
                <w:rStyle w:val="Hyperlink"/>
                <w:noProof/>
              </w:rPr>
              <w:t>B3. Methods to Maximize Response Rates and To Deal With Non-Response</w:t>
            </w:r>
            <w:r w:rsidR="00417825">
              <w:rPr>
                <w:noProof/>
                <w:webHidden/>
              </w:rPr>
              <w:tab/>
            </w:r>
            <w:r w:rsidR="002B3BE2">
              <w:rPr>
                <w:noProof/>
                <w:webHidden/>
              </w:rPr>
              <w:fldChar w:fldCharType="begin"/>
            </w:r>
            <w:r w:rsidR="00417825">
              <w:rPr>
                <w:noProof/>
                <w:webHidden/>
              </w:rPr>
              <w:instrText xml:space="preserve"> PAGEREF _Toc352313136 \h </w:instrText>
            </w:r>
            <w:r w:rsidR="002B3BE2">
              <w:rPr>
                <w:noProof/>
                <w:webHidden/>
              </w:rPr>
            </w:r>
            <w:r w:rsidR="002B3BE2">
              <w:rPr>
                <w:noProof/>
                <w:webHidden/>
              </w:rPr>
              <w:fldChar w:fldCharType="separate"/>
            </w:r>
            <w:r w:rsidR="0071002C">
              <w:rPr>
                <w:noProof/>
                <w:webHidden/>
              </w:rPr>
              <w:t>7</w:t>
            </w:r>
            <w:r w:rsidR="002B3BE2">
              <w:rPr>
                <w:noProof/>
                <w:webHidden/>
              </w:rPr>
              <w:fldChar w:fldCharType="end"/>
            </w:r>
          </w:hyperlink>
        </w:p>
        <w:p w:rsidR="00417825" w:rsidRDefault="00E65209">
          <w:pPr>
            <w:pStyle w:val="TOC2"/>
            <w:tabs>
              <w:tab w:val="right" w:leader="dot" w:pos="9350"/>
            </w:tabs>
            <w:rPr>
              <w:rFonts w:eastAsiaTheme="minorEastAsia"/>
              <w:noProof/>
            </w:rPr>
          </w:pPr>
          <w:hyperlink w:anchor="_Toc352313137" w:history="1">
            <w:r w:rsidR="00417825" w:rsidRPr="005C25C7">
              <w:rPr>
                <w:rStyle w:val="Hyperlink"/>
                <w:noProof/>
              </w:rPr>
              <w:t>B4. Tests of Procedures or Methods to be Undertaken</w:t>
            </w:r>
            <w:r w:rsidR="00417825">
              <w:rPr>
                <w:noProof/>
                <w:webHidden/>
              </w:rPr>
              <w:tab/>
            </w:r>
            <w:r w:rsidR="002B3BE2">
              <w:rPr>
                <w:noProof/>
                <w:webHidden/>
              </w:rPr>
              <w:fldChar w:fldCharType="begin"/>
            </w:r>
            <w:r w:rsidR="00417825">
              <w:rPr>
                <w:noProof/>
                <w:webHidden/>
              </w:rPr>
              <w:instrText xml:space="preserve"> PAGEREF _Toc352313137 \h </w:instrText>
            </w:r>
            <w:r w:rsidR="002B3BE2">
              <w:rPr>
                <w:noProof/>
                <w:webHidden/>
              </w:rPr>
            </w:r>
            <w:r w:rsidR="002B3BE2">
              <w:rPr>
                <w:noProof/>
                <w:webHidden/>
              </w:rPr>
              <w:fldChar w:fldCharType="separate"/>
            </w:r>
            <w:r w:rsidR="0071002C">
              <w:rPr>
                <w:noProof/>
                <w:webHidden/>
              </w:rPr>
              <w:t>9</w:t>
            </w:r>
            <w:r w:rsidR="002B3BE2">
              <w:rPr>
                <w:noProof/>
                <w:webHidden/>
              </w:rPr>
              <w:fldChar w:fldCharType="end"/>
            </w:r>
          </w:hyperlink>
        </w:p>
        <w:p w:rsidR="00417825" w:rsidRDefault="00E65209">
          <w:pPr>
            <w:pStyle w:val="TOC3"/>
            <w:tabs>
              <w:tab w:val="right" w:leader="dot" w:pos="9350"/>
            </w:tabs>
            <w:rPr>
              <w:rFonts w:eastAsiaTheme="minorEastAsia"/>
              <w:noProof/>
            </w:rPr>
          </w:pPr>
          <w:hyperlink w:anchor="_Toc352313138" w:history="1">
            <w:r w:rsidR="00417825" w:rsidRPr="005C25C7">
              <w:rPr>
                <w:rStyle w:val="Hyperlink"/>
                <w:noProof/>
              </w:rPr>
              <w:t>Analysis</w:t>
            </w:r>
            <w:r w:rsidR="00417825">
              <w:rPr>
                <w:noProof/>
                <w:webHidden/>
              </w:rPr>
              <w:tab/>
            </w:r>
            <w:r w:rsidR="002B3BE2">
              <w:rPr>
                <w:noProof/>
                <w:webHidden/>
              </w:rPr>
              <w:fldChar w:fldCharType="begin"/>
            </w:r>
            <w:r w:rsidR="00417825">
              <w:rPr>
                <w:noProof/>
                <w:webHidden/>
              </w:rPr>
              <w:instrText xml:space="preserve"> PAGEREF _Toc352313138 \h </w:instrText>
            </w:r>
            <w:r w:rsidR="002B3BE2">
              <w:rPr>
                <w:noProof/>
                <w:webHidden/>
              </w:rPr>
            </w:r>
            <w:r w:rsidR="002B3BE2">
              <w:rPr>
                <w:noProof/>
                <w:webHidden/>
              </w:rPr>
              <w:fldChar w:fldCharType="separate"/>
            </w:r>
            <w:r w:rsidR="0071002C">
              <w:rPr>
                <w:noProof/>
                <w:webHidden/>
              </w:rPr>
              <w:t>9</w:t>
            </w:r>
            <w:r w:rsidR="002B3BE2">
              <w:rPr>
                <w:noProof/>
                <w:webHidden/>
              </w:rPr>
              <w:fldChar w:fldCharType="end"/>
            </w:r>
          </w:hyperlink>
        </w:p>
        <w:p w:rsidR="00417825" w:rsidRDefault="00E65209">
          <w:pPr>
            <w:pStyle w:val="TOC2"/>
            <w:tabs>
              <w:tab w:val="right" w:leader="dot" w:pos="9350"/>
            </w:tabs>
            <w:rPr>
              <w:rFonts w:eastAsiaTheme="minorEastAsia"/>
              <w:noProof/>
            </w:rPr>
          </w:pPr>
          <w:hyperlink w:anchor="_Toc352313139" w:history="1">
            <w:r w:rsidR="00417825" w:rsidRPr="005C25C7">
              <w:rPr>
                <w:rStyle w:val="Hyperlink"/>
                <w:noProof/>
              </w:rPr>
              <w:t>B5. Individuals Consulted on Statistical Aspects of the Design</w:t>
            </w:r>
            <w:r w:rsidR="00417825">
              <w:rPr>
                <w:noProof/>
                <w:webHidden/>
              </w:rPr>
              <w:tab/>
            </w:r>
            <w:r w:rsidR="002B3BE2">
              <w:rPr>
                <w:noProof/>
                <w:webHidden/>
              </w:rPr>
              <w:fldChar w:fldCharType="begin"/>
            </w:r>
            <w:r w:rsidR="00417825">
              <w:rPr>
                <w:noProof/>
                <w:webHidden/>
              </w:rPr>
              <w:instrText xml:space="preserve"> PAGEREF _Toc352313139 \h </w:instrText>
            </w:r>
            <w:r w:rsidR="002B3BE2">
              <w:rPr>
                <w:noProof/>
                <w:webHidden/>
              </w:rPr>
            </w:r>
            <w:r w:rsidR="002B3BE2">
              <w:rPr>
                <w:noProof/>
                <w:webHidden/>
              </w:rPr>
              <w:fldChar w:fldCharType="separate"/>
            </w:r>
            <w:r w:rsidR="0071002C">
              <w:rPr>
                <w:noProof/>
                <w:webHidden/>
              </w:rPr>
              <w:t>10</w:t>
            </w:r>
            <w:r w:rsidR="002B3BE2">
              <w:rPr>
                <w:noProof/>
                <w:webHidden/>
              </w:rPr>
              <w:fldChar w:fldCharType="end"/>
            </w:r>
          </w:hyperlink>
        </w:p>
        <w:p w:rsidR="00417825" w:rsidRDefault="00E65209">
          <w:pPr>
            <w:pStyle w:val="TOC1"/>
            <w:tabs>
              <w:tab w:val="right" w:leader="dot" w:pos="9350"/>
            </w:tabs>
            <w:rPr>
              <w:rFonts w:eastAsiaTheme="minorEastAsia"/>
              <w:noProof/>
            </w:rPr>
          </w:pPr>
          <w:hyperlink w:anchor="_Toc352313140" w:history="1">
            <w:r w:rsidR="00417825" w:rsidRPr="005C25C7">
              <w:rPr>
                <w:rStyle w:val="Hyperlink"/>
                <w:noProof/>
              </w:rPr>
              <w:t>References</w:t>
            </w:r>
            <w:r w:rsidR="00417825">
              <w:rPr>
                <w:noProof/>
                <w:webHidden/>
              </w:rPr>
              <w:tab/>
            </w:r>
            <w:r w:rsidR="002B3BE2">
              <w:rPr>
                <w:noProof/>
                <w:webHidden/>
              </w:rPr>
              <w:fldChar w:fldCharType="begin"/>
            </w:r>
            <w:r w:rsidR="00417825">
              <w:rPr>
                <w:noProof/>
                <w:webHidden/>
              </w:rPr>
              <w:instrText xml:space="preserve"> PAGEREF _Toc352313140 \h </w:instrText>
            </w:r>
            <w:r w:rsidR="002B3BE2">
              <w:rPr>
                <w:noProof/>
                <w:webHidden/>
              </w:rPr>
            </w:r>
            <w:r w:rsidR="002B3BE2">
              <w:rPr>
                <w:noProof/>
                <w:webHidden/>
              </w:rPr>
              <w:fldChar w:fldCharType="separate"/>
            </w:r>
            <w:r w:rsidR="0071002C">
              <w:rPr>
                <w:noProof/>
                <w:webHidden/>
              </w:rPr>
              <w:t>11</w:t>
            </w:r>
            <w:r w:rsidR="002B3BE2">
              <w:rPr>
                <w:noProof/>
                <w:webHidden/>
              </w:rPr>
              <w:fldChar w:fldCharType="end"/>
            </w:r>
          </w:hyperlink>
        </w:p>
        <w:p w:rsidR="001A1F57" w:rsidRDefault="002B3BE2">
          <w:r>
            <w:rPr>
              <w:b/>
              <w:bCs/>
              <w:noProof/>
            </w:rPr>
            <w:fldChar w:fldCharType="end"/>
          </w:r>
        </w:p>
      </w:sdtContent>
    </w:sdt>
    <w:p w:rsidR="006D792F" w:rsidRDefault="006D792F" w:rsidP="009B6302">
      <w:pPr>
        <w:jc w:val="center"/>
        <w:rPr>
          <w:b/>
          <w:bCs/>
        </w:rPr>
      </w:pPr>
    </w:p>
    <w:p w:rsidR="001A1F57" w:rsidRDefault="001A1F57">
      <w:pPr>
        <w:rPr>
          <w:rStyle w:val="Heading1Char"/>
        </w:rPr>
      </w:pPr>
      <w:r>
        <w:rPr>
          <w:rStyle w:val="Heading1Char"/>
        </w:rPr>
        <w:br w:type="page"/>
      </w:r>
    </w:p>
    <w:p w:rsidR="002A716E" w:rsidRPr="009B6302" w:rsidRDefault="002A716E" w:rsidP="001C41EF">
      <w:pPr>
        <w:jc w:val="center"/>
        <w:rPr>
          <w:i/>
          <w:color w:val="FF0000"/>
        </w:rPr>
      </w:pPr>
      <w:bookmarkStart w:id="1" w:name="_Toc352313129"/>
      <w:r w:rsidRPr="006D792F">
        <w:rPr>
          <w:rStyle w:val="Heading1Char"/>
        </w:rPr>
        <w:lastRenderedPageBreak/>
        <w:t>Section B. Data Collection Procedures and Statistical Methods</w:t>
      </w:r>
      <w:bookmarkEnd w:id="1"/>
      <w:r w:rsidRPr="002A716E">
        <w:rPr>
          <w:b/>
          <w:bCs/>
        </w:rPr>
        <w:t xml:space="preserve"> </w:t>
      </w:r>
    </w:p>
    <w:p w:rsidR="00A7498E" w:rsidRPr="00A7498E" w:rsidRDefault="00A7498E" w:rsidP="002A716E">
      <w:pPr>
        <w:rPr>
          <w:rStyle w:val="Heading2Char"/>
          <w:rFonts w:asciiTheme="minorHAnsi" w:eastAsiaTheme="minorHAnsi" w:hAnsiTheme="minorHAnsi" w:cstheme="minorBidi"/>
          <w:b w:val="0"/>
          <w:bCs w:val="0"/>
          <w:color w:val="auto"/>
          <w:szCs w:val="22"/>
        </w:rPr>
      </w:pPr>
      <w:bookmarkStart w:id="2" w:name="_Toc352313130"/>
      <w:r>
        <w:t xml:space="preserve">The purpose of this research study is to </w:t>
      </w:r>
      <w:r>
        <w:rPr>
          <w:rFonts w:eastAsia="Calibri"/>
        </w:rPr>
        <w:t>examine a model of performance feedback to gain a deeper understanding of feedback characteristics that may be necessary for teachers to move from receiving feedback to improved performance in the context of teacher evaluation systems. Specifically, the study will examine the relationship among the usefulness of feedback, accuracy of feedback, credibility of the person providing feedback, learning opportunities related to the feedback, responsiveness to feedback, and teacher performance.</w:t>
      </w:r>
      <w:r>
        <w:rPr>
          <w:rFonts w:cs="Calibri"/>
        </w:rPr>
        <w:t xml:space="preserve"> </w:t>
      </w:r>
      <w:r>
        <w:t>The results of the study can be used to inform future training and guidance on providing feedback in teacher evaluation systems by considering the importance of different feedback characteristics (usefulness, accuracy, and credibility) and learning opportunities in the use of feedback. This information may be helpful for prioritizing needs both at the state and the district level for training and guidance on providing feedback in teacher evaluation systems, and also for informing the state of additional data collection needed to further understand feedback characteristics.</w:t>
      </w:r>
    </w:p>
    <w:p w:rsidR="007D2125" w:rsidRDefault="002A716E" w:rsidP="002A716E">
      <w:pPr>
        <w:rPr>
          <w:b/>
          <w:bCs/>
        </w:rPr>
      </w:pPr>
      <w:r w:rsidRPr="006D792F">
        <w:rPr>
          <w:rStyle w:val="Heading2Char"/>
        </w:rPr>
        <w:t xml:space="preserve">B1. </w:t>
      </w:r>
      <w:r w:rsidR="001C41EF">
        <w:rPr>
          <w:rStyle w:val="Heading2Char"/>
        </w:rPr>
        <w:t>Respondent Universe and Sampling Methods</w:t>
      </w:r>
      <w:bookmarkEnd w:id="2"/>
      <w:r w:rsidRPr="002A716E">
        <w:rPr>
          <w:b/>
          <w:bCs/>
        </w:rPr>
        <w:t xml:space="preserve"> </w:t>
      </w:r>
    </w:p>
    <w:p w:rsidR="00F4116C" w:rsidRDefault="00F4116C" w:rsidP="00967A34">
      <w:pPr>
        <w:pStyle w:val="Heading3"/>
      </w:pPr>
      <w:bookmarkStart w:id="3" w:name="_Toc352313131"/>
      <w:r>
        <w:t>Pilot Study</w:t>
      </w:r>
      <w:bookmarkEnd w:id="3"/>
      <w:r w:rsidR="00677CF7">
        <w:t xml:space="preserve"> Sample</w:t>
      </w:r>
    </w:p>
    <w:p w:rsidR="00F4116C" w:rsidRDefault="00F4116C" w:rsidP="00F4116C">
      <w:r w:rsidRPr="001A0876">
        <w:t xml:space="preserve">The pilot test is intended to test the survey prior to full study implementation on a small sample of teachers in districts that are implementing a teacher evaluation system that has the intention of informing teacher development through feedback. </w:t>
      </w:r>
      <w:r>
        <w:t>The pilot sample will include teachers from four districts in Colorado that are implementing four different teacher evaluation systems. These four districts</w:t>
      </w:r>
      <w:r w:rsidDel="009769C0">
        <w:t xml:space="preserve"> </w:t>
      </w:r>
      <w:r w:rsidR="00D133B1">
        <w:t>served as</w:t>
      </w:r>
      <w:r>
        <w:t xml:space="preserve"> partner districts in the development of the </w:t>
      </w:r>
      <w:r w:rsidR="006D449C">
        <w:t>Colorado Department of Education (</w:t>
      </w:r>
      <w:r>
        <w:t>CDE</w:t>
      </w:r>
      <w:r w:rsidR="006D449C">
        <w:t>)</w:t>
      </w:r>
      <w:r>
        <w:t xml:space="preserve"> model evaluation system</w:t>
      </w:r>
      <w:r w:rsidR="00D133B1">
        <w:t xml:space="preserve"> during the </w:t>
      </w:r>
      <w:r w:rsidR="0071002C">
        <w:t>initial</w:t>
      </w:r>
      <w:r w:rsidR="00D133B1">
        <w:t xml:space="preserve"> development of the CDE system</w:t>
      </w:r>
      <w:r>
        <w:t xml:space="preserve">. </w:t>
      </w:r>
      <w:r w:rsidRPr="00331B7A">
        <w:t xml:space="preserve">These partner districts </w:t>
      </w:r>
      <w:r w:rsidR="00D133B1">
        <w:t>have been</w:t>
      </w:r>
      <w:r w:rsidRPr="00331B7A">
        <w:t xml:space="preserve"> implementing </w:t>
      </w:r>
      <w:r w:rsidR="006D449C" w:rsidRPr="00331B7A">
        <w:t>locally</w:t>
      </w:r>
      <w:r w:rsidR="006D449C">
        <w:t>-</w:t>
      </w:r>
      <w:r w:rsidRPr="00331B7A">
        <w:t xml:space="preserve">developed teacher evaluation systems </w:t>
      </w:r>
      <w:r w:rsidR="00D133B1">
        <w:t>for a few years</w:t>
      </w:r>
      <w:r w:rsidR="0071002C">
        <w:t>,</w:t>
      </w:r>
      <w:r w:rsidR="00D133B1">
        <w:t xml:space="preserve"> </w:t>
      </w:r>
      <w:r w:rsidRPr="00331B7A">
        <w:t xml:space="preserve">and </w:t>
      </w:r>
      <w:r w:rsidR="00D133B1">
        <w:t>they</w:t>
      </w:r>
      <w:r w:rsidR="00D133B1" w:rsidRPr="00331B7A">
        <w:t xml:space="preserve"> </w:t>
      </w:r>
      <w:r w:rsidRPr="00331B7A">
        <w:t xml:space="preserve">shared their lessons learned with CDE to inform the development of the model evaluation system. </w:t>
      </w:r>
      <w:r>
        <w:t>Based on conversations with CDE, it is</w:t>
      </w:r>
      <w:r w:rsidRPr="00331B7A">
        <w:t xml:space="preserve"> believed that these districts are further along in the teacher evaluation process and would be likely to have valuable information about the teacher feedback included in their evaluation systems.</w:t>
      </w:r>
      <w:r>
        <w:t xml:space="preserve"> </w:t>
      </w:r>
      <w:r w:rsidRPr="00331B7A">
        <w:t xml:space="preserve">Table </w:t>
      </w:r>
      <w:r w:rsidR="00402C32">
        <w:t>1</w:t>
      </w:r>
      <w:r w:rsidRPr="00331B7A">
        <w:t xml:space="preserve"> presents demographic information for these districts. Table </w:t>
      </w:r>
      <w:r w:rsidR="00402C32">
        <w:t>2</w:t>
      </w:r>
      <w:r w:rsidRPr="00331B7A">
        <w:t xml:space="preserve"> provides a brief description of the district evaluation systems.</w:t>
      </w:r>
      <w:r>
        <w:t xml:space="preserve"> A random sample of 900 teachers would be drawn from these districts to represent various grade levels and subject areas. The 9</w:t>
      </w:r>
      <w:r w:rsidRPr="00C36BCC">
        <w:t>00</w:t>
      </w:r>
      <w:r>
        <w:t xml:space="preserve"> teachers is a sufficiently large enough sample to conduct the planned analysis, including confirmatory factor analysis (CFA) which would require approximately 265 to 530 participants given the proposed CFA model.  </w:t>
      </w:r>
    </w:p>
    <w:p w:rsidR="00F4116C" w:rsidRDefault="00F4116C" w:rsidP="00F4116C">
      <w:pPr>
        <w:tabs>
          <w:tab w:val="left" w:pos="1440"/>
        </w:tabs>
        <w:spacing w:after="120" w:line="240" w:lineRule="auto"/>
      </w:pPr>
      <w:r>
        <w:rPr>
          <w:b/>
        </w:rPr>
        <w:t xml:space="preserve">Table </w:t>
      </w:r>
      <w:r w:rsidR="00402C32">
        <w:rPr>
          <w:b/>
        </w:rPr>
        <w:t>1</w:t>
      </w:r>
      <w:r w:rsidRPr="00A92600">
        <w:rPr>
          <w:b/>
        </w:rPr>
        <w:t xml:space="preserve">: </w:t>
      </w:r>
      <w:r w:rsidRPr="00331B7A">
        <w:rPr>
          <w:b/>
        </w:rPr>
        <w:t xml:space="preserve">Description of </w:t>
      </w:r>
      <w:r w:rsidR="006D449C">
        <w:rPr>
          <w:b/>
        </w:rPr>
        <w:t>p</w:t>
      </w:r>
      <w:r w:rsidR="006D449C" w:rsidRPr="00331B7A">
        <w:rPr>
          <w:b/>
        </w:rPr>
        <w:t xml:space="preserve">artner </w:t>
      </w:r>
      <w:r w:rsidR="006D449C">
        <w:rPr>
          <w:b/>
        </w:rPr>
        <w:t>d</w:t>
      </w:r>
      <w:r w:rsidR="006D449C" w:rsidRPr="00331B7A">
        <w:rPr>
          <w:b/>
        </w:rPr>
        <w:t>istricts</w:t>
      </w:r>
    </w:p>
    <w:tbl>
      <w:tblPr>
        <w:tblStyle w:val="TableGrid"/>
        <w:tblW w:w="7020" w:type="dxa"/>
        <w:tblInd w:w="108" w:type="dxa"/>
        <w:tblLook w:val="04A0" w:firstRow="1" w:lastRow="0" w:firstColumn="1" w:lastColumn="0" w:noHBand="0" w:noVBand="1"/>
      </w:tblPr>
      <w:tblGrid>
        <w:gridCol w:w="3192"/>
        <w:gridCol w:w="1668"/>
        <w:gridCol w:w="2160"/>
      </w:tblGrid>
      <w:tr w:rsidR="00F4116C" w:rsidTr="00F4116C">
        <w:tc>
          <w:tcPr>
            <w:tcW w:w="3192" w:type="dxa"/>
          </w:tcPr>
          <w:p w:rsidR="00F4116C" w:rsidRPr="006754A5" w:rsidRDefault="00F4116C" w:rsidP="00F4116C">
            <w:pPr>
              <w:tabs>
                <w:tab w:val="left" w:pos="1440"/>
              </w:tabs>
              <w:rPr>
                <w:b/>
              </w:rPr>
            </w:pPr>
            <w:r w:rsidRPr="006754A5">
              <w:rPr>
                <w:b/>
              </w:rPr>
              <w:t>Partner District</w:t>
            </w:r>
          </w:p>
        </w:tc>
        <w:tc>
          <w:tcPr>
            <w:tcW w:w="1668" w:type="dxa"/>
          </w:tcPr>
          <w:p w:rsidR="00F4116C" w:rsidRPr="006754A5" w:rsidRDefault="00F4116C" w:rsidP="00F4116C">
            <w:pPr>
              <w:tabs>
                <w:tab w:val="left" w:pos="1440"/>
              </w:tabs>
              <w:rPr>
                <w:b/>
              </w:rPr>
            </w:pPr>
            <w:r w:rsidRPr="006754A5">
              <w:rPr>
                <w:b/>
              </w:rPr>
              <w:t>Locale</w:t>
            </w:r>
          </w:p>
        </w:tc>
        <w:tc>
          <w:tcPr>
            <w:tcW w:w="2160" w:type="dxa"/>
          </w:tcPr>
          <w:p w:rsidR="00F4116C" w:rsidRPr="006754A5" w:rsidRDefault="00F4116C" w:rsidP="00F4116C">
            <w:pPr>
              <w:tabs>
                <w:tab w:val="left" w:pos="1440"/>
              </w:tabs>
              <w:rPr>
                <w:b/>
              </w:rPr>
            </w:pPr>
            <w:r w:rsidRPr="006754A5">
              <w:rPr>
                <w:b/>
              </w:rPr>
              <w:t>Number of Teachers</w:t>
            </w:r>
          </w:p>
        </w:tc>
      </w:tr>
      <w:tr w:rsidR="00F4116C" w:rsidTr="00F4116C">
        <w:tc>
          <w:tcPr>
            <w:tcW w:w="3192" w:type="dxa"/>
          </w:tcPr>
          <w:p w:rsidR="00F4116C" w:rsidRDefault="00F4116C" w:rsidP="00F4116C">
            <w:pPr>
              <w:tabs>
                <w:tab w:val="left" w:pos="1440"/>
              </w:tabs>
            </w:pPr>
            <w:r>
              <w:t>Brighton School District</w:t>
            </w:r>
          </w:p>
        </w:tc>
        <w:tc>
          <w:tcPr>
            <w:tcW w:w="1668" w:type="dxa"/>
          </w:tcPr>
          <w:p w:rsidR="00F4116C" w:rsidRDefault="00F4116C" w:rsidP="00F4116C">
            <w:pPr>
              <w:tabs>
                <w:tab w:val="left" w:pos="1440"/>
              </w:tabs>
            </w:pPr>
            <w:r>
              <w:t>Rural: Fringe</w:t>
            </w:r>
          </w:p>
        </w:tc>
        <w:tc>
          <w:tcPr>
            <w:tcW w:w="2160" w:type="dxa"/>
          </w:tcPr>
          <w:p w:rsidR="00F4116C" w:rsidRDefault="00F4116C" w:rsidP="00F4116C">
            <w:pPr>
              <w:tabs>
                <w:tab w:val="left" w:pos="1440"/>
              </w:tabs>
            </w:pPr>
            <w:r>
              <w:t>776</w:t>
            </w:r>
          </w:p>
        </w:tc>
      </w:tr>
      <w:tr w:rsidR="00F4116C" w:rsidTr="00F4116C">
        <w:tc>
          <w:tcPr>
            <w:tcW w:w="3192" w:type="dxa"/>
          </w:tcPr>
          <w:p w:rsidR="00F4116C" w:rsidRDefault="00F4116C" w:rsidP="00F4116C">
            <w:pPr>
              <w:tabs>
                <w:tab w:val="left" w:pos="1440"/>
              </w:tabs>
            </w:pPr>
            <w:r>
              <w:t>Denver Public Schools</w:t>
            </w:r>
          </w:p>
        </w:tc>
        <w:tc>
          <w:tcPr>
            <w:tcW w:w="1668" w:type="dxa"/>
          </w:tcPr>
          <w:p w:rsidR="00F4116C" w:rsidRDefault="00F4116C" w:rsidP="00F4116C">
            <w:pPr>
              <w:tabs>
                <w:tab w:val="left" w:pos="1440"/>
              </w:tabs>
            </w:pPr>
            <w:r>
              <w:t>City: Large</w:t>
            </w:r>
          </w:p>
        </w:tc>
        <w:tc>
          <w:tcPr>
            <w:tcW w:w="2160" w:type="dxa"/>
          </w:tcPr>
          <w:p w:rsidR="00F4116C" w:rsidRDefault="00F4116C" w:rsidP="00F4116C">
            <w:pPr>
              <w:tabs>
                <w:tab w:val="left" w:pos="1440"/>
              </w:tabs>
            </w:pPr>
            <w:r>
              <w:t>4960</w:t>
            </w:r>
          </w:p>
        </w:tc>
      </w:tr>
      <w:tr w:rsidR="00F4116C" w:rsidTr="00F4116C">
        <w:tc>
          <w:tcPr>
            <w:tcW w:w="3192" w:type="dxa"/>
          </w:tcPr>
          <w:p w:rsidR="00F4116C" w:rsidRDefault="00F4116C" w:rsidP="00F4116C">
            <w:pPr>
              <w:tabs>
                <w:tab w:val="left" w:pos="1440"/>
              </w:tabs>
            </w:pPr>
            <w:r>
              <w:t>Eagle County School Districts</w:t>
            </w:r>
          </w:p>
        </w:tc>
        <w:tc>
          <w:tcPr>
            <w:tcW w:w="1668" w:type="dxa"/>
          </w:tcPr>
          <w:p w:rsidR="00F4116C" w:rsidRDefault="00F4116C" w:rsidP="00F4116C">
            <w:pPr>
              <w:tabs>
                <w:tab w:val="left" w:pos="1440"/>
              </w:tabs>
            </w:pPr>
            <w:r>
              <w:t>Town: Remote</w:t>
            </w:r>
          </w:p>
        </w:tc>
        <w:tc>
          <w:tcPr>
            <w:tcW w:w="2160" w:type="dxa"/>
          </w:tcPr>
          <w:p w:rsidR="00F4116C" w:rsidRDefault="00F4116C" w:rsidP="00F4116C">
            <w:pPr>
              <w:tabs>
                <w:tab w:val="left" w:pos="1440"/>
              </w:tabs>
            </w:pPr>
            <w:r>
              <w:t>455</w:t>
            </w:r>
          </w:p>
        </w:tc>
      </w:tr>
      <w:tr w:rsidR="00F4116C" w:rsidTr="00F4116C">
        <w:tc>
          <w:tcPr>
            <w:tcW w:w="3192" w:type="dxa"/>
          </w:tcPr>
          <w:p w:rsidR="00F4116C" w:rsidRDefault="00F4116C" w:rsidP="00F4116C">
            <w:pPr>
              <w:tabs>
                <w:tab w:val="left" w:pos="1440"/>
              </w:tabs>
            </w:pPr>
            <w:r>
              <w:t>Harrison School District 2</w:t>
            </w:r>
          </w:p>
        </w:tc>
        <w:tc>
          <w:tcPr>
            <w:tcW w:w="1668" w:type="dxa"/>
          </w:tcPr>
          <w:p w:rsidR="00F4116C" w:rsidRDefault="00F4116C" w:rsidP="00F4116C">
            <w:pPr>
              <w:tabs>
                <w:tab w:val="left" w:pos="1440"/>
              </w:tabs>
            </w:pPr>
            <w:r>
              <w:t>City: Large</w:t>
            </w:r>
          </w:p>
        </w:tc>
        <w:tc>
          <w:tcPr>
            <w:tcW w:w="2160" w:type="dxa"/>
          </w:tcPr>
          <w:p w:rsidR="00F4116C" w:rsidRDefault="00F4116C" w:rsidP="00F4116C">
            <w:pPr>
              <w:tabs>
                <w:tab w:val="left" w:pos="1440"/>
              </w:tabs>
            </w:pPr>
            <w:r>
              <w:t>696</w:t>
            </w:r>
          </w:p>
        </w:tc>
      </w:tr>
    </w:tbl>
    <w:p w:rsidR="00F4116C" w:rsidRDefault="00F4116C" w:rsidP="00F4116C">
      <w:pPr>
        <w:tabs>
          <w:tab w:val="left" w:pos="1440"/>
        </w:tabs>
        <w:spacing w:after="120" w:line="240" w:lineRule="auto"/>
        <w:rPr>
          <w:b/>
        </w:rPr>
      </w:pPr>
    </w:p>
    <w:p w:rsidR="004B4558" w:rsidRDefault="004B4558" w:rsidP="00F4116C">
      <w:pPr>
        <w:tabs>
          <w:tab w:val="left" w:pos="1440"/>
        </w:tabs>
        <w:spacing w:after="120" w:line="240" w:lineRule="auto"/>
        <w:rPr>
          <w:b/>
        </w:rPr>
      </w:pPr>
    </w:p>
    <w:p w:rsidR="004B4558" w:rsidRDefault="004B4558" w:rsidP="00F4116C">
      <w:pPr>
        <w:tabs>
          <w:tab w:val="left" w:pos="1440"/>
        </w:tabs>
        <w:spacing w:after="120" w:line="240" w:lineRule="auto"/>
        <w:rPr>
          <w:b/>
        </w:rPr>
      </w:pPr>
    </w:p>
    <w:p w:rsidR="00F4116C" w:rsidRPr="00331B7A" w:rsidRDefault="00F4116C" w:rsidP="00F4116C">
      <w:pPr>
        <w:tabs>
          <w:tab w:val="left" w:pos="1440"/>
        </w:tabs>
        <w:spacing w:after="120" w:line="240" w:lineRule="auto"/>
        <w:rPr>
          <w:b/>
        </w:rPr>
      </w:pPr>
      <w:r>
        <w:rPr>
          <w:b/>
        </w:rPr>
        <w:lastRenderedPageBreak/>
        <w:t xml:space="preserve">Table </w:t>
      </w:r>
      <w:r w:rsidR="00402C32">
        <w:rPr>
          <w:b/>
        </w:rPr>
        <w:t>2</w:t>
      </w:r>
      <w:r w:rsidRPr="00331B7A">
        <w:rPr>
          <w:b/>
        </w:rPr>
        <w:t xml:space="preserve">: Brief </w:t>
      </w:r>
      <w:r w:rsidR="006D449C">
        <w:rPr>
          <w:b/>
        </w:rPr>
        <w:t>d</w:t>
      </w:r>
      <w:r w:rsidR="006D449C" w:rsidRPr="00331B7A">
        <w:rPr>
          <w:b/>
        </w:rPr>
        <w:t xml:space="preserve">escription </w:t>
      </w:r>
      <w:r w:rsidRPr="00331B7A">
        <w:rPr>
          <w:b/>
        </w:rPr>
        <w:t xml:space="preserve">of </w:t>
      </w:r>
      <w:r w:rsidR="006D449C">
        <w:rPr>
          <w:b/>
        </w:rPr>
        <w:t>p</w:t>
      </w:r>
      <w:r w:rsidR="006D449C" w:rsidRPr="00331B7A">
        <w:rPr>
          <w:b/>
        </w:rPr>
        <w:t xml:space="preserve">artner </w:t>
      </w:r>
      <w:r w:rsidR="006D449C">
        <w:rPr>
          <w:b/>
        </w:rPr>
        <w:t>d</w:t>
      </w:r>
      <w:r w:rsidR="006D449C" w:rsidRPr="00331B7A">
        <w:rPr>
          <w:b/>
        </w:rPr>
        <w:t xml:space="preserve">istrict </w:t>
      </w:r>
      <w:r w:rsidR="006D449C">
        <w:rPr>
          <w:b/>
        </w:rPr>
        <w:t>e</w:t>
      </w:r>
      <w:r w:rsidR="006D449C" w:rsidRPr="00331B7A">
        <w:rPr>
          <w:b/>
        </w:rPr>
        <w:t xml:space="preserve">valuation </w:t>
      </w:r>
      <w:r w:rsidR="006D449C">
        <w:rPr>
          <w:b/>
        </w:rPr>
        <w:t>s</w:t>
      </w:r>
      <w:r w:rsidR="006D449C" w:rsidRPr="00331B7A">
        <w:rPr>
          <w:b/>
        </w:rPr>
        <w:t>ystems</w:t>
      </w:r>
    </w:p>
    <w:tbl>
      <w:tblPr>
        <w:tblStyle w:val="TableGrid"/>
        <w:tblW w:w="9270" w:type="dxa"/>
        <w:tblInd w:w="108" w:type="dxa"/>
        <w:tblLook w:val="04A0" w:firstRow="1" w:lastRow="0" w:firstColumn="1" w:lastColumn="0" w:noHBand="0" w:noVBand="1"/>
      </w:tblPr>
      <w:tblGrid>
        <w:gridCol w:w="2700"/>
        <w:gridCol w:w="6570"/>
      </w:tblGrid>
      <w:tr w:rsidR="00F4116C" w:rsidRPr="006754A5" w:rsidTr="00F4116C">
        <w:tc>
          <w:tcPr>
            <w:tcW w:w="2700" w:type="dxa"/>
          </w:tcPr>
          <w:p w:rsidR="00F4116C" w:rsidRPr="006754A5" w:rsidRDefault="00F4116C" w:rsidP="00F4116C">
            <w:pPr>
              <w:tabs>
                <w:tab w:val="left" w:pos="1440"/>
              </w:tabs>
              <w:rPr>
                <w:b/>
              </w:rPr>
            </w:pPr>
            <w:r w:rsidRPr="006754A5">
              <w:rPr>
                <w:b/>
              </w:rPr>
              <w:t>Partner District</w:t>
            </w:r>
          </w:p>
        </w:tc>
        <w:tc>
          <w:tcPr>
            <w:tcW w:w="6570" w:type="dxa"/>
          </w:tcPr>
          <w:p w:rsidR="00F4116C" w:rsidRPr="006754A5" w:rsidRDefault="00F4116C" w:rsidP="00F4116C">
            <w:pPr>
              <w:tabs>
                <w:tab w:val="left" w:pos="1440"/>
              </w:tabs>
              <w:rPr>
                <w:b/>
              </w:rPr>
            </w:pPr>
            <w:r>
              <w:rPr>
                <w:b/>
              </w:rPr>
              <w:t>Description of Evaluation System</w:t>
            </w:r>
          </w:p>
        </w:tc>
      </w:tr>
      <w:tr w:rsidR="00F4116C" w:rsidTr="00F4116C">
        <w:tc>
          <w:tcPr>
            <w:tcW w:w="2700" w:type="dxa"/>
          </w:tcPr>
          <w:p w:rsidR="00F4116C" w:rsidRDefault="00F4116C" w:rsidP="00F4116C">
            <w:pPr>
              <w:tabs>
                <w:tab w:val="left" w:pos="1440"/>
              </w:tabs>
            </w:pPr>
            <w:r>
              <w:t>Brighton School District</w:t>
            </w:r>
          </w:p>
        </w:tc>
        <w:tc>
          <w:tcPr>
            <w:tcW w:w="6570" w:type="dxa"/>
          </w:tcPr>
          <w:p w:rsidR="00F4116C" w:rsidRDefault="00F4116C" w:rsidP="00F4116C">
            <w:pPr>
              <w:tabs>
                <w:tab w:val="left" w:pos="1440"/>
              </w:tabs>
            </w:pPr>
            <w:r>
              <w:t xml:space="preserve">- Coaches and principals are trained on what good teaching looks like. </w:t>
            </w:r>
          </w:p>
          <w:p w:rsidR="00F4116C" w:rsidRDefault="00F4116C" w:rsidP="00F4116C">
            <w:pPr>
              <w:tabs>
                <w:tab w:val="left" w:pos="1440"/>
              </w:tabs>
            </w:pPr>
            <w:r>
              <w:t>- Student achievement data is also used to inform evaluation ratings.</w:t>
            </w:r>
          </w:p>
          <w:p w:rsidR="00F4116C" w:rsidRDefault="00F4116C" w:rsidP="00F4116C">
            <w:pPr>
              <w:tabs>
                <w:tab w:val="left" w:pos="1440"/>
              </w:tabs>
            </w:pPr>
            <w:r>
              <w:t xml:space="preserve">- Observations are conducted by the principal. </w:t>
            </w:r>
          </w:p>
        </w:tc>
      </w:tr>
      <w:tr w:rsidR="00F4116C" w:rsidTr="00F4116C">
        <w:tc>
          <w:tcPr>
            <w:tcW w:w="2700" w:type="dxa"/>
          </w:tcPr>
          <w:p w:rsidR="00F4116C" w:rsidRDefault="00F4116C" w:rsidP="00F4116C">
            <w:pPr>
              <w:tabs>
                <w:tab w:val="left" w:pos="1440"/>
              </w:tabs>
            </w:pPr>
            <w:r>
              <w:t>Denver Public Schools</w:t>
            </w:r>
          </w:p>
        </w:tc>
        <w:tc>
          <w:tcPr>
            <w:tcW w:w="6570" w:type="dxa"/>
          </w:tcPr>
          <w:p w:rsidR="00F4116C" w:rsidRDefault="00F4116C" w:rsidP="00F4116C">
            <w:pPr>
              <w:tabs>
                <w:tab w:val="left" w:pos="1440"/>
              </w:tabs>
            </w:pPr>
            <w:r>
              <w:t>- Locally developed rubric with 12 indicators of effective teaching</w:t>
            </w:r>
          </w:p>
          <w:p w:rsidR="00F4116C" w:rsidRDefault="00F4116C" w:rsidP="00F4116C">
            <w:pPr>
              <w:tabs>
                <w:tab w:val="left" w:pos="1440"/>
              </w:tabs>
            </w:pPr>
            <w:r>
              <w:t>- Student growth is 50% of performance criteria.</w:t>
            </w:r>
          </w:p>
          <w:p w:rsidR="00F4116C" w:rsidRDefault="00F4116C" w:rsidP="00F4116C">
            <w:pPr>
              <w:tabs>
                <w:tab w:val="left" w:pos="1440"/>
              </w:tabs>
            </w:pPr>
            <w:r>
              <w:t>- Observations conducted by peer observers and principal</w:t>
            </w:r>
          </w:p>
        </w:tc>
      </w:tr>
      <w:tr w:rsidR="00F4116C" w:rsidTr="00F4116C">
        <w:tc>
          <w:tcPr>
            <w:tcW w:w="2700" w:type="dxa"/>
          </w:tcPr>
          <w:p w:rsidR="00F4116C" w:rsidRDefault="00F4116C" w:rsidP="00F4116C">
            <w:pPr>
              <w:tabs>
                <w:tab w:val="left" w:pos="1440"/>
              </w:tabs>
            </w:pPr>
            <w:r>
              <w:t>Eagle County School Districts</w:t>
            </w:r>
          </w:p>
        </w:tc>
        <w:tc>
          <w:tcPr>
            <w:tcW w:w="6570" w:type="dxa"/>
          </w:tcPr>
          <w:p w:rsidR="00F4116C" w:rsidRDefault="00F4116C" w:rsidP="00F4116C">
            <w:pPr>
              <w:tabs>
                <w:tab w:val="left" w:pos="1440"/>
              </w:tabs>
              <w:ind w:left="162" w:hanging="162"/>
            </w:pPr>
            <w:r>
              <w:t xml:space="preserve">- </w:t>
            </w:r>
            <w:r w:rsidRPr="00D13892">
              <w:t>Rubric developed based on TAP</w:t>
            </w:r>
            <w:r w:rsidR="00BE4F09">
              <w:t xml:space="preserve"> system</w:t>
            </w:r>
            <w:r w:rsidRPr="00D13892">
              <w:t xml:space="preserve"> with 19 indicators of </w:t>
            </w:r>
            <w:r>
              <w:t>effective teaching</w:t>
            </w:r>
          </w:p>
          <w:p w:rsidR="00F4116C" w:rsidRPr="00D13892" w:rsidRDefault="00F4116C" w:rsidP="00F4116C">
            <w:pPr>
              <w:tabs>
                <w:tab w:val="left" w:pos="1440"/>
              </w:tabs>
            </w:pPr>
            <w:r>
              <w:t xml:space="preserve">- </w:t>
            </w:r>
            <w:r w:rsidRPr="00D13892">
              <w:t>Student growth measure included</w:t>
            </w:r>
          </w:p>
          <w:p w:rsidR="00F4116C" w:rsidRDefault="00F4116C" w:rsidP="00F4116C">
            <w:pPr>
              <w:tabs>
                <w:tab w:val="left" w:pos="1440"/>
              </w:tabs>
            </w:pPr>
            <w:r>
              <w:t>- Observations conducted by master teachers and the principal</w:t>
            </w:r>
          </w:p>
        </w:tc>
      </w:tr>
      <w:tr w:rsidR="00F4116C" w:rsidTr="00F4116C">
        <w:tc>
          <w:tcPr>
            <w:tcW w:w="2700" w:type="dxa"/>
          </w:tcPr>
          <w:p w:rsidR="00F4116C" w:rsidRDefault="00F4116C" w:rsidP="00F4116C">
            <w:pPr>
              <w:tabs>
                <w:tab w:val="left" w:pos="1440"/>
              </w:tabs>
            </w:pPr>
            <w:r>
              <w:t>Harrison School District 2</w:t>
            </w:r>
          </w:p>
        </w:tc>
        <w:tc>
          <w:tcPr>
            <w:tcW w:w="6570" w:type="dxa"/>
          </w:tcPr>
          <w:p w:rsidR="00F4116C" w:rsidRDefault="00F4116C" w:rsidP="00F4116C">
            <w:pPr>
              <w:tabs>
                <w:tab w:val="left" w:pos="1440"/>
              </w:tabs>
            </w:pPr>
            <w:r>
              <w:t xml:space="preserve">- </w:t>
            </w:r>
            <w:r w:rsidR="006D449C">
              <w:t>Locally-</w:t>
            </w:r>
            <w:r>
              <w:t>developed rubric with seven standards of effective teaching</w:t>
            </w:r>
          </w:p>
          <w:p w:rsidR="00F4116C" w:rsidRDefault="00F4116C" w:rsidP="00F4116C">
            <w:pPr>
              <w:tabs>
                <w:tab w:val="left" w:pos="1440"/>
              </w:tabs>
              <w:ind w:left="-18" w:firstLine="18"/>
            </w:pPr>
            <w:r>
              <w:t xml:space="preserve">- Student growth is 50% of performance criteria. </w:t>
            </w:r>
          </w:p>
          <w:p w:rsidR="00F4116C" w:rsidRDefault="00F4116C" w:rsidP="00F4116C">
            <w:pPr>
              <w:tabs>
                <w:tab w:val="left" w:pos="1440"/>
              </w:tabs>
              <w:ind w:left="162" w:hanging="162"/>
            </w:pPr>
            <w:r>
              <w:t xml:space="preserve">- Four observations are conducted each year to inform evaluation ratings. </w:t>
            </w:r>
          </w:p>
        </w:tc>
      </w:tr>
    </w:tbl>
    <w:p w:rsidR="00F4116C" w:rsidRPr="00F4116C" w:rsidRDefault="00F4116C" w:rsidP="00F4116C"/>
    <w:p w:rsidR="00F4116C" w:rsidRDefault="00F4116C" w:rsidP="00967A34">
      <w:pPr>
        <w:pStyle w:val="Heading3"/>
      </w:pPr>
      <w:bookmarkStart w:id="4" w:name="_Toc352313132"/>
      <w:r>
        <w:t>Full Study</w:t>
      </w:r>
      <w:bookmarkEnd w:id="4"/>
      <w:r w:rsidR="00677CF7">
        <w:t xml:space="preserve"> Sample</w:t>
      </w:r>
    </w:p>
    <w:p w:rsidR="00F4116C" w:rsidRDefault="00F4116C" w:rsidP="00F4116C">
      <w:r>
        <w:t xml:space="preserve">Within each state, researchers will </w:t>
      </w:r>
      <w:r w:rsidR="006809E2">
        <w:t>randomly</w:t>
      </w:r>
      <w:r>
        <w:t xml:space="preserve"> sample</w:t>
      </w:r>
      <w:r w:rsidR="006809E2">
        <w:t xml:space="preserve"> approximately 10 to 20% of</w:t>
      </w:r>
      <w:r>
        <w:t xml:space="preserve"> teachers</w:t>
      </w:r>
      <w:r w:rsidR="006809E2">
        <w:t xml:space="preserve"> to obtain a </w:t>
      </w:r>
      <w:r w:rsidR="002D2641">
        <w:t>sample large</w:t>
      </w:r>
      <w:r>
        <w:t xml:space="preserve"> enough to meet the </w:t>
      </w:r>
      <w:r w:rsidR="006809E2">
        <w:t xml:space="preserve">sample size </w:t>
      </w:r>
      <w:r>
        <w:t xml:space="preserve">requirements described </w:t>
      </w:r>
      <w:r w:rsidR="006809E2">
        <w:t xml:space="preserve">in </w:t>
      </w:r>
      <w:r w:rsidR="006C44B4">
        <w:t>S</w:t>
      </w:r>
      <w:r w:rsidR="006809E2">
        <w:t>ection B2 Table 6</w:t>
      </w:r>
      <w:r>
        <w:t xml:space="preserve">, </w:t>
      </w:r>
      <w:r w:rsidR="006809E2">
        <w:t>given an expected 50% consent and 80% response rate</w:t>
      </w:r>
      <w:r>
        <w:t>. In each state, researchers first identified the districts who are participating in the pilot of the state’s model evaluation system. Each state sought volunteer districts to participate in the pilot of the statewide evaluation system. These districts were identified to participate in the proposed study because within each state these districts will all be implementing the same evaluation system (the state system)</w:t>
      </w:r>
      <w:r w:rsidR="006D449C">
        <w:t>,</w:t>
      </w:r>
      <w:r>
        <w:t xml:space="preserve"> and </w:t>
      </w:r>
      <w:r w:rsidR="006D449C">
        <w:t xml:space="preserve">these districts </w:t>
      </w:r>
      <w:r>
        <w:t>will have the most experience with implementing this system because they have participated in the pilot and therefore have implemented the state system for one to three years prior to data collection in this study. Using the districts who were involved in the pilot will allow us to identify a sample within each state that is using the same system and has the most experience with implementing the system. Additionally, the districts that are involved in piloting the teacher evaluation system in each state proportionally represent locales across the state in a manner similar to that of the statewide distribution (see Table</w:t>
      </w:r>
      <w:r w:rsidR="006D449C">
        <w:t>s</w:t>
      </w:r>
      <w:r>
        <w:t xml:space="preserve"> </w:t>
      </w:r>
      <w:r w:rsidR="00402C32" w:rsidRPr="00402C32">
        <w:t>3, 4</w:t>
      </w:r>
      <w:r w:rsidR="006D449C">
        <w:t>,</w:t>
      </w:r>
      <w:r w:rsidR="00402C32" w:rsidRPr="00402C32">
        <w:t xml:space="preserve"> and </w:t>
      </w:r>
      <w:r w:rsidR="00402C32">
        <w:t>5</w:t>
      </w:r>
      <w:r>
        <w:t>).</w:t>
      </w:r>
    </w:p>
    <w:p w:rsidR="00F4116C" w:rsidRDefault="00F4116C" w:rsidP="00F4116C">
      <w:r>
        <w:t xml:space="preserve">Researchers </w:t>
      </w:r>
      <w:r w:rsidR="006809E2">
        <w:t>will</w:t>
      </w:r>
      <w:r>
        <w:t xml:space="preserve"> obtain a </w:t>
      </w:r>
      <w:r w:rsidR="006809E2">
        <w:t xml:space="preserve">random </w:t>
      </w:r>
      <w:r>
        <w:t xml:space="preserve">sample of teachers </w:t>
      </w:r>
      <w:r w:rsidR="006809E2">
        <w:t>from districts</w:t>
      </w:r>
      <w:r>
        <w:t xml:space="preserve"> participating in each state’s evaluation system pilot study, which in each state continues through 2013</w:t>
      </w:r>
      <w:r>
        <w:rPr>
          <w:rFonts w:cs="Calibri"/>
        </w:rPr>
        <w:t>–</w:t>
      </w:r>
      <w:r>
        <w:t>14</w:t>
      </w:r>
      <w:r w:rsidR="006809E2">
        <w:t>.</w:t>
      </w:r>
      <w:r>
        <w:t xml:space="preserve"> </w:t>
      </w:r>
      <w:proofErr w:type="gramStart"/>
      <w:r w:rsidR="006809E2">
        <w:t>Using  simple</w:t>
      </w:r>
      <w:proofErr w:type="gramEnd"/>
      <w:r w:rsidR="006809E2">
        <w:t xml:space="preserve"> random sampling techniques we expect to get representation from various district locales/sizes, subject areas (such as language arts, math, science, social studies, non-core subjects, and ELL/SPED/intervention) and school levels (such as elementary, middle, and high school).</w:t>
      </w:r>
      <w:r w:rsidR="006809E2" w:rsidDel="006809E2">
        <w:t xml:space="preserve"> </w:t>
      </w:r>
      <w:r w:rsidR="006809E2">
        <w:t xml:space="preserve">This random sampling technique will allow us to generalize findings to the population of teachers in districts piloting the state’s evaluation model. </w:t>
      </w:r>
      <w:r>
        <w:t xml:space="preserve">For each state, we will obtain a list of all </w:t>
      </w:r>
      <w:r w:rsidR="006809E2">
        <w:t xml:space="preserve">classroom </w:t>
      </w:r>
      <w:r>
        <w:t>teachers</w:t>
      </w:r>
      <w:r w:rsidR="006809E2">
        <w:t xml:space="preserve"> in each participating district.</w:t>
      </w:r>
      <w:r w:rsidR="00864089">
        <w:t xml:space="preserve"> </w:t>
      </w:r>
      <w:r w:rsidR="006809E2">
        <w:t>T</w:t>
      </w:r>
      <w:r>
        <w:t xml:space="preserve">he appropriate number of teachers will then be randomly selected </w:t>
      </w:r>
      <w:r w:rsidR="002424B5">
        <w:t>using the random</w:t>
      </w:r>
      <w:r w:rsidR="0071002C">
        <w:t>-</w:t>
      </w:r>
      <w:r w:rsidR="002424B5">
        <w:t>number</w:t>
      </w:r>
      <w:r w:rsidR="0071002C">
        <w:t>-</w:t>
      </w:r>
      <w:r w:rsidR="002424B5">
        <w:t>generator feature in Microsoft Excel</w:t>
      </w:r>
      <w:r>
        <w:t>.</w:t>
      </w:r>
      <w:r w:rsidR="002424B5">
        <w:t xml:space="preserve"> </w:t>
      </w:r>
      <w:r>
        <w:t>Information about the pilot districts and the expected sample for each state is described below.</w:t>
      </w:r>
    </w:p>
    <w:p w:rsidR="00402C32" w:rsidRDefault="00402C32" w:rsidP="00F4116C">
      <w:pPr>
        <w:rPr>
          <w:b/>
        </w:rPr>
      </w:pPr>
    </w:p>
    <w:p w:rsidR="00F4116C" w:rsidRPr="00003CB2" w:rsidRDefault="00F4116C" w:rsidP="00F4116C">
      <w:pPr>
        <w:rPr>
          <w:b/>
        </w:rPr>
      </w:pPr>
      <w:r w:rsidRPr="00003CB2">
        <w:rPr>
          <w:b/>
        </w:rPr>
        <w:t>Colorado Sampling</w:t>
      </w:r>
    </w:p>
    <w:p w:rsidR="006C44B4" w:rsidRDefault="00F4116C" w:rsidP="00F4116C">
      <w:r>
        <w:t xml:space="preserve">There are </w:t>
      </w:r>
      <w:r w:rsidRPr="007359A7">
        <w:t>25</w:t>
      </w:r>
      <w:r>
        <w:t xml:space="preserve"> districts who are participating in the pilot of the Colorado model teacher evaluation system during the 2012</w:t>
      </w:r>
      <w:r>
        <w:rPr>
          <w:rFonts w:cs="Calibri"/>
        </w:rPr>
        <w:t>–</w:t>
      </w:r>
      <w:r>
        <w:t xml:space="preserve">13 school </w:t>
      </w:r>
      <w:proofErr w:type="gramStart"/>
      <w:r>
        <w:t>year</w:t>
      </w:r>
      <w:proofErr w:type="gramEnd"/>
      <w:r>
        <w:t xml:space="preserve">. Ten of these districts are also participating in the pilot of the new Colorado Academic Standards. This study will include the 15 districts who are participating only in the pilot of the model teacher evaluation system. The 15 districts participating in the pilot represent various locales (Table </w:t>
      </w:r>
      <w:r w:rsidR="00402C32">
        <w:t>3</w:t>
      </w:r>
      <w:r>
        <w:t xml:space="preserve">). In the 15 pilot districts, </w:t>
      </w:r>
      <w:proofErr w:type="gramStart"/>
      <w:r>
        <w:t>a pool of approximately 7,200 full-time-equivalent (FTE) teachers are</w:t>
      </w:r>
      <w:proofErr w:type="gramEnd"/>
      <w:r>
        <w:t xml:space="preserve"> available for potential participation in this study.</w:t>
      </w:r>
      <w:r w:rsidR="006809E2">
        <w:t xml:space="preserve"> Researchers will identify a random sample of 20% of the FTE teachers, approximately </w:t>
      </w:r>
      <w:r w:rsidR="00127897">
        <w:t>1,500</w:t>
      </w:r>
      <w:r w:rsidR="006809E2" w:rsidRPr="00D06BE1">
        <w:t xml:space="preserve"> teachers</w:t>
      </w:r>
      <w:r w:rsidR="006809E2">
        <w:t>.</w:t>
      </w:r>
    </w:p>
    <w:p w:rsidR="00F4116C" w:rsidRPr="009C6D83" w:rsidRDefault="00F4116C" w:rsidP="00F4116C">
      <w:pPr>
        <w:rPr>
          <w:b/>
        </w:rPr>
      </w:pPr>
      <w:r w:rsidRPr="009C6D83">
        <w:rPr>
          <w:b/>
        </w:rPr>
        <w:t xml:space="preserve">Table </w:t>
      </w:r>
      <w:r w:rsidR="00402C32">
        <w:rPr>
          <w:b/>
        </w:rPr>
        <w:t>3</w:t>
      </w:r>
      <w:r>
        <w:rPr>
          <w:b/>
        </w:rPr>
        <w:t>: Percent</w:t>
      </w:r>
      <w:r w:rsidRPr="009C6D83">
        <w:rPr>
          <w:b/>
        </w:rPr>
        <w:t xml:space="preserve"> of </w:t>
      </w:r>
      <w:r>
        <w:rPr>
          <w:b/>
        </w:rPr>
        <w:t>p</w:t>
      </w:r>
      <w:r w:rsidRPr="009C6D83">
        <w:rPr>
          <w:b/>
        </w:rPr>
        <w:t xml:space="preserve">ilot </w:t>
      </w:r>
      <w:r>
        <w:rPr>
          <w:b/>
        </w:rPr>
        <w:t>d</w:t>
      </w:r>
      <w:r w:rsidRPr="009C6D83">
        <w:rPr>
          <w:b/>
        </w:rPr>
        <w:t xml:space="preserve">istricts in Colorado by </w:t>
      </w:r>
      <w:r>
        <w:rPr>
          <w:b/>
        </w:rPr>
        <w:t>l</w:t>
      </w:r>
      <w:r w:rsidRPr="009C6D83">
        <w:rPr>
          <w:b/>
        </w:rPr>
        <w:t>ocale</w:t>
      </w:r>
    </w:p>
    <w:tbl>
      <w:tblPr>
        <w:tblW w:w="0" w:type="auto"/>
        <w:tblInd w:w="108" w:type="dxa"/>
        <w:tblLook w:val="00A0" w:firstRow="1" w:lastRow="0" w:firstColumn="1" w:lastColumn="0" w:noHBand="0" w:noVBand="0"/>
      </w:tblPr>
      <w:tblGrid>
        <w:gridCol w:w="1710"/>
        <w:gridCol w:w="1800"/>
        <w:gridCol w:w="2070"/>
      </w:tblGrid>
      <w:tr w:rsidR="00F4116C" w:rsidRPr="003C0DD3" w:rsidTr="00F4116C">
        <w:tc>
          <w:tcPr>
            <w:tcW w:w="1710" w:type="dxa"/>
            <w:tcBorders>
              <w:top w:val="single" w:sz="4" w:space="0" w:color="auto"/>
              <w:left w:val="single" w:sz="4" w:space="0" w:color="auto"/>
              <w:bottom w:val="single" w:sz="4" w:space="0" w:color="auto"/>
              <w:right w:val="single" w:sz="4" w:space="0" w:color="auto"/>
            </w:tcBorders>
            <w:shd w:val="clear" w:color="auto" w:fill="8DB3E2"/>
            <w:vAlign w:val="center"/>
          </w:tcPr>
          <w:p w:rsidR="00F4116C" w:rsidRPr="003C0DD3" w:rsidRDefault="00F4116C" w:rsidP="00F4116C">
            <w:pPr>
              <w:spacing w:before="20" w:after="20" w:line="240" w:lineRule="auto"/>
              <w:jc w:val="center"/>
              <w:rPr>
                <w:b/>
              </w:rPr>
            </w:pPr>
            <w:r w:rsidRPr="003C0DD3">
              <w:rPr>
                <w:b/>
              </w:rPr>
              <w:t>Locale</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tcPr>
          <w:p w:rsidR="00F4116C" w:rsidRPr="003C0DD3" w:rsidRDefault="00F4116C" w:rsidP="00F4116C">
            <w:pPr>
              <w:spacing w:before="20" w:after="20" w:line="240" w:lineRule="auto"/>
              <w:jc w:val="center"/>
              <w:rPr>
                <w:b/>
              </w:rPr>
            </w:pPr>
            <w:r w:rsidRPr="003C0DD3">
              <w:rPr>
                <w:b/>
              </w:rPr>
              <w:t>Pilot Districts</w:t>
            </w:r>
          </w:p>
        </w:tc>
        <w:tc>
          <w:tcPr>
            <w:tcW w:w="2070" w:type="dxa"/>
            <w:tcBorders>
              <w:top w:val="single" w:sz="4" w:space="0" w:color="auto"/>
              <w:left w:val="single" w:sz="4" w:space="0" w:color="auto"/>
              <w:bottom w:val="single" w:sz="4" w:space="0" w:color="auto"/>
              <w:right w:val="single" w:sz="4" w:space="0" w:color="auto"/>
            </w:tcBorders>
            <w:shd w:val="clear" w:color="auto" w:fill="8DB3E2"/>
            <w:vAlign w:val="center"/>
          </w:tcPr>
          <w:p w:rsidR="00F4116C" w:rsidRPr="003C0DD3" w:rsidRDefault="00F4116C" w:rsidP="00F4116C">
            <w:pPr>
              <w:spacing w:before="20" w:after="20" w:line="240" w:lineRule="auto"/>
              <w:jc w:val="center"/>
              <w:rPr>
                <w:b/>
              </w:rPr>
            </w:pPr>
            <w:r>
              <w:rPr>
                <w:b/>
              </w:rPr>
              <w:t>All</w:t>
            </w:r>
            <w:r w:rsidRPr="003C0DD3">
              <w:rPr>
                <w:b/>
              </w:rPr>
              <w:t xml:space="preserve"> Districts</w:t>
            </w:r>
          </w:p>
        </w:tc>
      </w:tr>
      <w:tr w:rsidR="00F4116C" w:rsidRPr="003C0DD3" w:rsidTr="00F4116C">
        <w:tc>
          <w:tcPr>
            <w:tcW w:w="1710"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rPr>
                <w:rFonts w:cs="Calibri"/>
                <w:color w:val="000000"/>
              </w:rPr>
            </w:pPr>
            <w:r>
              <w:rPr>
                <w:rFonts w:cs="Calibri"/>
                <w:color w:val="000000"/>
              </w:rPr>
              <w:t xml:space="preserve">% </w:t>
            </w:r>
            <w:r w:rsidRPr="003C0DD3">
              <w:rPr>
                <w:rFonts w:cs="Calibri"/>
                <w:color w:val="000000"/>
              </w:rPr>
              <w:t>City</w:t>
            </w:r>
          </w:p>
        </w:tc>
        <w:tc>
          <w:tcPr>
            <w:tcW w:w="1800"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jc w:val="right"/>
              <w:rPr>
                <w:rFonts w:cs="Calibri"/>
                <w:color w:val="000000"/>
              </w:rPr>
            </w:pPr>
            <w:r>
              <w:rPr>
                <w:rFonts w:cs="Calibri"/>
                <w:color w:val="000000"/>
              </w:rPr>
              <w:t>0%</w:t>
            </w:r>
          </w:p>
        </w:tc>
        <w:tc>
          <w:tcPr>
            <w:tcW w:w="2070"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jc w:val="right"/>
              <w:rPr>
                <w:rFonts w:cs="Calibri"/>
                <w:color w:val="000000"/>
              </w:rPr>
            </w:pPr>
            <w:r>
              <w:rPr>
                <w:rFonts w:cs="Calibri"/>
                <w:color w:val="000000"/>
              </w:rPr>
              <w:t>7%</w:t>
            </w:r>
          </w:p>
        </w:tc>
      </w:tr>
      <w:tr w:rsidR="00F4116C" w:rsidRPr="003C0DD3" w:rsidTr="00F4116C">
        <w:tc>
          <w:tcPr>
            <w:tcW w:w="1710"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rPr>
                <w:rFonts w:cs="Calibri"/>
                <w:color w:val="000000"/>
              </w:rPr>
            </w:pPr>
            <w:r>
              <w:rPr>
                <w:rFonts w:cs="Calibri"/>
                <w:color w:val="000000"/>
              </w:rPr>
              <w:t xml:space="preserve">% </w:t>
            </w:r>
            <w:r w:rsidRPr="003C0DD3">
              <w:rPr>
                <w:rFonts w:cs="Calibri"/>
                <w:color w:val="000000"/>
              </w:rPr>
              <w:t>Suburb</w:t>
            </w:r>
          </w:p>
        </w:tc>
        <w:tc>
          <w:tcPr>
            <w:tcW w:w="1800"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jc w:val="right"/>
              <w:rPr>
                <w:rFonts w:cs="Calibri"/>
                <w:color w:val="000000"/>
              </w:rPr>
            </w:pPr>
            <w:r>
              <w:rPr>
                <w:rFonts w:cs="Calibri"/>
                <w:color w:val="000000"/>
              </w:rPr>
              <w:t>13%</w:t>
            </w:r>
          </w:p>
        </w:tc>
        <w:tc>
          <w:tcPr>
            <w:tcW w:w="2070"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jc w:val="right"/>
              <w:rPr>
                <w:rFonts w:cs="Calibri"/>
                <w:color w:val="000000"/>
              </w:rPr>
            </w:pPr>
            <w:r>
              <w:rPr>
                <w:rFonts w:cs="Calibri"/>
                <w:color w:val="000000"/>
              </w:rPr>
              <w:t>7%</w:t>
            </w:r>
          </w:p>
        </w:tc>
      </w:tr>
      <w:tr w:rsidR="00F4116C" w:rsidRPr="003C0DD3" w:rsidTr="00F4116C">
        <w:tc>
          <w:tcPr>
            <w:tcW w:w="1710"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rPr>
                <w:rFonts w:cs="Calibri"/>
                <w:color w:val="000000"/>
              </w:rPr>
            </w:pPr>
            <w:r>
              <w:rPr>
                <w:rFonts w:cs="Calibri"/>
                <w:color w:val="000000"/>
              </w:rPr>
              <w:t xml:space="preserve">% </w:t>
            </w:r>
            <w:r w:rsidRPr="003C0DD3">
              <w:rPr>
                <w:rFonts w:cs="Calibri"/>
                <w:color w:val="000000"/>
              </w:rPr>
              <w:t>Town</w:t>
            </w:r>
          </w:p>
        </w:tc>
        <w:tc>
          <w:tcPr>
            <w:tcW w:w="1800"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jc w:val="right"/>
              <w:rPr>
                <w:rFonts w:cs="Calibri"/>
                <w:color w:val="000000"/>
              </w:rPr>
            </w:pPr>
            <w:r>
              <w:rPr>
                <w:rFonts w:cs="Calibri"/>
                <w:color w:val="000000"/>
              </w:rPr>
              <w:t>20%</w:t>
            </w:r>
          </w:p>
        </w:tc>
        <w:tc>
          <w:tcPr>
            <w:tcW w:w="2070"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jc w:val="right"/>
              <w:rPr>
                <w:rFonts w:cs="Calibri"/>
                <w:color w:val="000000"/>
              </w:rPr>
            </w:pPr>
            <w:r>
              <w:rPr>
                <w:rFonts w:cs="Calibri"/>
                <w:color w:val="000000"/>
              </w:rPr>
              <w:t>21%</w:t>
            </w:r>
          </w:p>
        </w:tc>
      </w:tr>
      <w:tr w:rsidR="00F4116C" w:rsidRPr="003C0DD3" w:rsidTr="00F4116C">
        <w:tc>
          <w:tcPr>
            <w:tcW w:w="1710"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rPr>
                <w:rFonts w:cs="Calibri"/>
                <w:color w:val="000000"/>
              </w:rPr>
            </w:pPr>
            <w:r>
              <w:rPr>
                <w:rFonts w:cs="Calibri"/>
                <w:color w:val="000000"/>
              </w:rPr>
              <w:t xml:space="preserve">% </w:t>
            </w:r>
            <w:r w:rsidRPr="003C0DD3">
              <w:rPr>
                <w:rFonts w:cs="Calibri"/>
                <w:color w:val="000000"/>
              </w:rPr>
              <w:t>Rural</w:t>
            </w:r>
          </w:p>
        </w:tc>
        <w:tc>
          <w:tcPr>
            <w:tcW w:w="1800"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jc w:val="right"/>
              <w:rPr>
                <w:rFonts w:cs="Calibri"/>
                <w:color w:val="000000"/>
              </w:rPr>
            </w:pPr>
            <w:r>
              <w:rPr>
                <w:rFonts w:cs="Calibri"/>
                <w:color w:val="000000"/>
              </w:rPr>
              <w:t>67%</w:t>
            </w:r>
          </w:p>
        </w:tc>
        <w:tc>
          <w:tcPr>
            <w:tcW w:w="2070"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jc w:val="right"/>
              <w:rPr>
                <w:rFonts w:cs="Calibri"/>
                <w:color w:val="000000"/>
              </w:rPr>
            </w:pPr>
            <w:r>
              <w:rPr>
                <w:rFonts w:cs="Calibri"/>
                <w:color w:val="000000"/>
              </w:rPr>
              <w:t>65%</w:t>
            </w:r>
          </w:p>
        </w:tc>
      </w:tr>
    </w:tbl>
    <w:p w:rsidR="00F4116C" w:rsidRDefault="00F4116C" w:rsidP="00447A30">
      <w:pPr>
        <w:spacing w:after="0"/>
        <w:rPr>
          <w:b/>
        </w:rPr>
      </w:pPr>
    </w:p>
    <w:p w:rsidR="004B4558" w:rsidRDefault="004B4558" w:rsidP="00F4116C">
      <w:pPr>
        <w:rPr>
          <w:b/>
        </w:rPr>
      </w:pPr>
    </w:p>
    <w:p w:rsidR="00F4116C" w:rsidRPr="00003CB2" w:rsidRDefault="00F4116C" w:rsidP="00F4116C">
      <w:pPr>
        <w:rPr>
          <w:b/>
        </w:rPr>
      </w:pPr>
      <w:r w:rsidRPr="00003CB2">
        <w:rPr>
          <w:b/>
        </w:rPr>
        <w:t>Kansas Sampling</w:t>
      </w:r>
    </w:p>
    <w:p w:rsidR="00F4116C" w:rsidRPr="009D2C6B" w:rsidRDefault="00F4116C" w:rsidP="00F4116C">
      <w:r>
        <w:t xml:space="preserve">There are 22 districts participating in the pilot of </w:t>
      </w:r>
      <w:r w:rsidR="006D449C">
        <w:t>the Kansas Educator Evaluation Protocol (</w:t>
      </w:r>
      <w:r>
        <w:t>KEEP</w:t>
      </w:r>
      <w:r w:rsidR="006D449C">
        <w:t>)</w:t>
      </w:r>
      <w:r>
        <w:t xml:space="preserve"> during the 2012</w:t>
      </w:r>
      <w:r>
        <w:rPr>
          <w:rFonts w:cs="Calibri"/>
        </w:rPr>
        <w:t>–</w:t>
      </w:r>
      <w:r>
        <w:t xml:space="preserve">13 school </w:t>
      </w:r>
      <w:proofErr w:type="gramStart"/>
      <w:r>
        <w:t>year</w:t>
      </w:r>
      <w:proofErr w:type="gramEnd"/>
      <w:r>
        <w:t xml:space="preserve">. The 22 districts in the pilot represent various </w:t>
      </w:r>
      <w:proofErr w:type="gramStart"/>
      <w:r>
        <w:t>locale</w:t>
      </w:r>
      <w:proofErr w:type="gramEnd"/>
      <w:r>
        <w:t xml:space="preserve"> (Table </w:t>
      </w:r>
      <w:r w:rsidR="00402C32">
        <w:t>4</w:t>
      </w:r>
      <w:r>
        <w:t xml:space="preserve">). In the 22 pilot districts, </w:t>
      </w:r>
      <w:proofErr w:type="gramStart"/>
      <w:r>
        <w:t>a pool of approximately 8,900 FTE teachers are</w:t>
      </w:r>
      <w:proofErr w:type="gramEnd"/>
      <w:r>
        <w:t xml:space="preserve"> available for potential participation in this study. </w:t>
      </w:r>
      <w:r w:rsidR="006809E2">
        <w:t xml:space="preserve">Researchers will identify a random sample of 20% of the FTE </w:t>
      </w:r>
      <w:r w:rsidR="00FD599D">
        <w:t>teachers, approximately 1,800</w:t>
      </w:r>
      <w:r w:rsidR="006809E2">
        <w:t xml:space="preserve"> teachers. </w:t>
      </w:r>
    </w:p>
    <w:p w:rsidR="00F4116C" w:rsidRDefault="00F4116C" w:rsidP="00F4116C">
      <w:pPr>
        <w:rPr>
          <w:b/>
        </w:rPr>
      </w:pPr>
      <w:r w:rsidRPr="009C6D83">
        <w:rPr>
          <w:b/>
        </w:rPr>
        <w:t xml:space="preserve">Table </w:t>
      </w:r>
      <w:r w:rsidR="00402C32">
        <w:rPr>
          <w:b/>
        </w:rPr>
        <w:t>4</w:t>
      </w:r>
      <w:r>
        <w:rPr>
          <w:b/>
        </w:rPr>
        <w:t>: Percent</w:t>
      </w:r>
      <w:r w:rsidRPr="009C6D83">
        <w:rPr>
          <w:b/>
        </w:rPr>
        <w:t xml:space="preserve"> of </w:t>
      </w:r>
      <w:r>
        <w:rPr>
          <w:b/>
        </w:rPr>
        <w:t>p</w:t>
      </w:r>
      <w:r w:rsidRPr="009C6D83">
        <w:rPr>
          <w:b/>
        </w:rPr>
        <w:t xml:space="preserve">ilot </w:t>
      </w:r>
      <w:r>
        <w:rPr>
          <w:b/>
        </w:rPr>
        <w:t>d</w:t>
      </w:r>
      <w:r w:rsidRPr="009C6D83">
        <w:rPr>
          <w:b/>
        </w:rPr>
        <w:t xml:space="preserve">istricts in </w:t>
      </w:r>
      <w:r>
        <w:rPr>
          <w:b/>
        </w:rPr>
        <w:t>Kansas</w:t>
      </w:r>
      <w:r w:rsidRPr="009C6D83">
        <w:rPr>
          <w:b/>
        </w:rPr>
        <w:t xml:space="preserve"> by </w:t>
      </w:r>
      <w:r>
        <w:rPr>
          <w:b/>
        </w:rPr>
        <w:t>l</w:t>
      </w:r>
      <w:r w:rsidRPr="009C6D83">
        <w:rPr>
          <w:b/>
        </w:rPr>
        <w:t>ocale</w:t>
      </w:r>
    </w:p>
    <w:tbl>
      <w:tblPr>
        <w:tblW w:w="0" w:type="auto"/>
        <w:tblInd w:w="108" w:type="dxa"/>
        <w:tblLook w:val="00A0" w:firstRow="1" w:lastRow="0" w:firstColumn="1" w:lastColumn="0" w:noHBand="0" w:noVBand="0"/>
      </w:tblPr>
      <w:tblGrid>
        <w:gridCol w:w="1728"/>
        <w:gridCol w:w="1782"/>
        <w:gridCol w:w="2070"/>
      </w:tblGrid>
      <w:tr w:rsidR="00F4116C" w:rsidTr="00F4116C">
        <w:tc>
          <w:tcPr>
            <w:tcW w:w="1728" w:type="dxa"/>
            <w:tcBorders>
              <w:top w:val="single" w:sz="4" w:space="0" w:color="auto"/>
              <w:left w:val="single" w:sz="4" w:space="0" w:color="auto"/>
              <w:bottom w:val="single" w:sz="4" w:space="0" w:color="auto"/>
              <w:right w:val="single" w:sz="4" w:space="0" w:color="auto"/>
            </w:tcBorders>
            <w:shd w:val="clear" w:color="auto" w:fill="8DB3E2"/>
            <w:vAlign w:val="center"/>
          </w:tcPr>
          <w:p w:rsidR="00F4116C" w:rsidRPr="003C0DD3" w:rsidRDefault="00F4116C" w:rsidP="00F4116C">
            <w:pPr>
              <w:spacing w:before="20" w:after="20" w:line="240" w:lineRule="auto"/>
              <w:jc w:val="center"/>
              <w:rPr>
                <w:b/>
              </w:rPr>
            </w:pPr>
            <w:r w:rsidRPr="003C0DD3">
              <w:rPr>
                <w:b/>
              </w:rPr>
              <w:t>Locale</w:t>
            </w:r>
          </w:p>
        </w:tc>
        <w:tc>
          <w:tcPr>
            <w:tcW w:w="1782" w:type="dxa"/>
            <w:tcBorders>
              <w:top w:val="single" w:sz="4" w:space="0" w:color="auto"/>
              <w:left w:val="single" w:sz="4" w:space="0" w:color="auto"/>
              <w:bottom w:val="single" w:sz="4" w:space="0" w:color="auto"/>
              <w:right w:val="single" w:sz="4" w:space="0" w:color="auto"/>
            </w:tcBorders>
            <w:shd w:val="clear" w:color="auto" w:fill="8DB3E2"/>
            <w:vAlign w:val="center"/>
          </w:tcPr>
          <w:p w:rsidR="00F4116C" w:rsidRPr="003C0DD3" w:rsidRDefault="00F4116C" w:rsidP="00F4116C">
            <w:pPr>
              <w:spacing w:before="20" w:after="20" w:line="240" w:lineRule="auto"/>
              <w:jc w:val="center"/>
              <w:rPr>
                <w:b/>
              </w:rPr>
            </w:pPr>
            <w:r w:rsidRPr="003C0DD3">
              <w:rPr>
                <w:b/>
              </w:rPr>
              <w:t>Pilot Districts</w:t>
            </w:r>
          </w:p>
        </w:tc>
        <w:tc>
          <w:tcPr>
            <w:tcW w:w="2070" w:type="dxa"/>
            <w:tcBorders>
              <w:top w:val="single" w:sz="4" w:space="0" w:color="auto"/>
              <w:left w:val="single" w:sz="4" w:space="0" w:color="auto"/>
              <w:bottom w:val="single" w:sz="4" w:space="0" w:color="auto"/>
              <w:right w:val="single" w:sz="4" w:space="0" w:color="auto"/>
            </w:tcBorders>
            <w:shd w:val="clear" w:color="auto" w:fill="8DB3E2"/>
          </w:tcPr>
          <w:p w:rsidR="00F4116C" w:rsidRDefault="00F4116C" w:rsidP="00F4116C">
            <w:pPr>
              <w:spacing w:before="20" w:after="20" w:line="240" w:lineRule="auto"/>
              <w:jc w:val="center"/>
              <w:rPr>
                <w:b/>
              </w:rPr>
            </w:pPr>
            <w:r>
              <w:rPr>
                <w:b/>
              </w:rPr>
              <w:t>All Districts</w:t>
            </w:r>
          </w:p>
        </w:tc>
      </w:tr>
      <w:tr w:rsidR="00F4116C" w:rsidTr="00F4116C">
        <w:tc>
          <w:tcPr>
            <w:tcW w:w="1728"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rPr>
                <w:rFonts w:cs="Calibri"/>
                <w:color w:val="000000"/>
              </w:rPr>
            </w:pPr>
            <w:r>
              <w:rPr>
                <w:rFonts w:cs="Calibri"/>
                <w:color w:val="000000"/>
              </w:rPr>
              <w:t>% City</w:t>
            </w:r>
          </w:p>
        </w:tc>
        <w:tc>
          <w:tcPr>
            <w:tcW w:w="1782"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jc w:val="right"/>
              <w:rPr>
                <w:rFonts w:cs="Calibri"/>
                <w:color w:val="000000"/>
              </w:rPr>
            </w:pPr>
            <w:r>
              <w:rPr>
                <w:rFonts w:cs="Calibri"/>
                <w:color w:val="000000"/>
              </w:rPr>
              <w:t>13%</w:t>
            </w:r>
          </w:p>
        </w:tc>
        <w:tc>
          <w:tcPr>
            <w:tcW w:w="2070" w:type="dxa"/>
            <w:tcBorders>
              <w:top w:val="single" w:sz="4" w:space="0" w:color="auto"/>
              <w:left w:val="single" w:sz="4" w:space="0" w:color="auto"/>
              <w:bottom w:val="single" w:sz="4" w:space="0" w:color="auto"/>
              <w:right w:val="single" w:sz="4" w:space="0" w:color="auto"/>
            </w:tcBorders>
          </w:tcPr>
          <w:p w:rsidR="00F4116C" w:rsidRDefault="00F4116C" w:rsidP="00F4116C">
            <w:pPr>
              <w:spacing w:before="20" w:after="20" w:line="240" w:lineRule="auto"/>
              <w:jc w:val="right"/>
              <w:rPr>
                <w:rFonts w:cs="Calibri"/>
                <w:color w:val="000000"/>
              </w:rPr>
            </w:pPr>
            <w:r>
              <w:rPr>
                <w:rFonts w:cs="Calibri"/>
                <w:color w:val="000000"/>
              </w:rPr>
              <w:t>2%</w:t>
            </w:r>
          </w:p>
        </w:tc>
      </w:tr>
      <w:tr w:rsidR="00F4116C" w:rsidTr="00F4116C">
        <w:tc>
          <w:tcPr>
            <w:tcW w:w="1728"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rPr>
                <w:rFonts w:cs="Calibri"/>
                <w:color w:val="000000"/>
              </w:rPr>
            </w:pPr>
            <w:r>
              <w:rPr>
                <w:rFonts w:cs="Calibri"/>
                <w:color w:val="000000"/>
              </w:rPr>
              <w:t>% Rural</w:t>
            </w:r>
          </w:p>
        </w:tc>
        <w:tc>
          <w:tcPr>
            <w:tcW w:w="1782"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jc w:val="right"/>
              <w:rPr>
                <w:rFonts w:cs="Calibri"/>
                <w:color w:val="000000"/>
              </w:rPr>
            </w:pPr>
            <w:r>
              <w:rPr>
                <w:rFonts w:cs="Calibri"/>
                <w:color w:val="000000"/>
              </w:rPr>
              <w:t>50%</w:t>
            </w:r>
          </w:p>
        </w:tc>
        <w:tc>
          <w:tcPr>
            <w:tcW w:w="2070" w:type="dxa"/>
            <w:tcBorders>
              <w:top w:val="single" w:sz="4" w:space="0" w:color="auto"/>
              <w:left w:val="single" w:sz="4" w:space="0" w:color="auto"/>
              <w:bottom w:val="single" w:sz="4" w:space="0" w:color="auto"/>
              <w:right w:val="single" w:sz="4" w:space="0" w:color="auto"/>
            </w:tcBorders>
          </w:tcPr>
          <w:p w:rsidR="00F4116C" w:rsidRDefault="00F4116C" w:rsidP="00F4116C">
            <w:pPr>
              <w:spacing w:before="20" w:after="20" w:line="240" w:lineRule="auto"/>
              <w:jc w:val="right"/>
              <w:rPr>
                <w:rFonts w:cs="Calibri"/>
                <w:color w:val="000000"/>
              </w:rPr>
            </w:pPr>
            <w:r>
              <w:rPr>
                <w:rFonts w:cs="Calibri"/>
                <w:color w:val="000000"/>
              </w:rPr>
              <w:t>71%</w:t>
            </w:r>
          </w:p>
        </w:tc>
      </w:tr>
      <w:tr w:rsidR="00F4116C" w:rsidTr="00F4116C">
        <w:tc>
          <w:tcPr>
            <w:tcW w:w="1728"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rPr>
                <w:rFonts w:cs="Calibri"/>
                <w:color w:val="000000"/>
              </w:rPr>
            </w:pPr>
            <w:r>
              <w:rPr>
                <w:rFonts w:cs="Calibri"/>
                <w:color w:val="000000"/>
              </w:rPr>
              <w:t xml:space="preserve">% </w:t>
            </w:r>
            <w:r w:rsidRPr="003C0DD3">
              <w:rPr>
                <w:rFonts w:cs="Calibri"/>
                <w:color w:val="000000"/>
              </w:rPr>
              <w:t>Suburb</w:t>
            </w:r>
          </w:p>
        </w:tc>
        <w:tc>
          <w:tcPr>
            <w:tcW w:w="1782"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jc w:val="right"/>
              <w:rPr>
                <w:rFonts w:cs="Calibri"/>
                <w:color w:val="000000"/>
              </w:rPr>
            </w:pPr>
            <w:r>
              <w:rPr>
                <w:rFonts w:cs="Calibri"/>
                <w:color w:val="000000"/>
              </w:rPr>
              <w:t>5%</w:t>
            </w:r>
          </w:p>
        </w:tc>
        <w:tc>
          <w:tcPr>
            <w:tcW w:w="2070" w:type="dxa"/>
            <w:tcBorders>
              <w:top w:val="single" w:sz="4" w:space="0" w:color="auto"/>
              <w:left w:val="single" w:sz="4" w:space="0" w:color="auto"/>
              <w:bottom w:val="single" w:sz="4" w:space="0" w:color="auto"/>
              <w:right w:val="single" w:sz="4" w:space="0" w:color="auto"/>
            </w:tcBorders>
          </w:tcPr>
          <w:p w:rsidR="00F4116C" w:rsidRDefault="00F4116C" w:rsidP="00F4116C">
            <w:pPr>
              <w:spacing w:before="20" w:after="20" w:line="240" w:lineRule="auto"/>
              <w:jc w:val="right"/>
              <w:rPr>
                <w:rFonts w:cs="Calibri"/>
                <w:color w:val="000000"/>
              </w:rPr>
            </w:pPr>
            <w:r>
              <w:rPr>
                <w:rFonts w:cs="Calibri"/>
                <w:color w:val="000000"/>
              </w:rPr>
              <w:t>3%</w:t>
            </w:r>
          </w:p>
        </w:tc>
      </w:tr>
      <w:tr w:rsidR="00F4116C" w:rsidTr="00F4116C">
        <w:tc>
          <w:tcPr>
            <w:tcW w:w="1728"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rPr>
                <w:rFonts w:cs="Calibri"/>
                <w:color w:val="000000"/>
              </w:rPr>
            </w:pPr>
            <w:r>
              <w:rPr>
                <w:rFonts w:cs="Calibri"/>
                <w:color w:val="000000"/>
              </w:rPr>
              <w:t>% Town</w:t>
            </w:r>
          </w:p>
        </w:tc>
        <w:tc>
          <w:tcPr>
            <w:tcW w:w="1782" w:type="dxa"/>
            <w:tcBorders>
              <w:top w:val="single" w:sz="4" w:space="0" w:color="auto"/>
              <w:left w:val="single" w:sz="4" w:space="0" w:color="auto"/>
              <w:bottom w:val="single" w:sz="4" w:space="0" w:color="auto"/>
              <w:right w:val="single" w:sz="4" w:space="0" w:color="auto"/>
            </w:tcBorders>
            <w:vAlign w:val="bottom"/>
          </w:tcPr>
          <w:p w:rsidR="00F4116C" w:rsidRPr="003C0DD3" w:rsidRDefault="00F4116C" w:rsidP="00F4116C">
            <w:pPr>
              <w:spacing w:before="20" w:after="20" w:line="240" w:lineRule="auto"/>
              <w:jc w:val="right"/>
              <w:rPr>
                <w:rFonts w:cs="Calibri"/>
                <w:color w:val="000000"/>
              </w:rPr>
            </w:pPr>
            <w:r>
              <w:rPr>
                <w:rFonts w:cs="Calibri"/>
                <w:color w:val="000000"/>
              </w:rPr>
              <w:t>32%</w:t>
            </w:r>
          </w:p>
        </w:tc>
        <w:tc>
          <w:tcPr>
            <w:tcW w:w="2070" w:type="dxa"/>
            <w:tcBorders>
              <w:top w:val="single" w:sz="4" w:space="0" w:color="auto"/>
              <w:left w:val="single" w:sz="4" w:space="0" w:color="auto"/>
              <w:bottom w:val="single" w:sz="4" w:space="0" w:color="auto"/>
              <w:right w:val="single" w:sz="4" w:space="0" w:color="auto"/>
            </w:tcBorders>
          </w:tcPr>
          <w:p w:rsidR="00F4116C" w:rsidRDefault="00F4116C" w:rsidP="00F4116C">
            <w:pPr>
              <w:spacing w:before="20" w:after="20" w:line="240" w:lineRule="auto"/>
              <w:jc w:val="right"/>
              <w:rPr>
                <w:rFonts w:cs="Calibri"/>
                <w:color w:val="000000"/>
              </w:rPr>
            </w:pPr>
            <w:r>
              <w:rPr>
                <w:rFonts w:cs="Calibri"/>
                <w:color w:val="000000"/>
              </w:rPr>
              <w:t>24%</w:t>
            </w:r>
          </w:p>
        </w:tc>
      </w:tr>
    </w:tbl>
    <w:p w:rsidR="00F4116C" w:rsidRPr="00FB13C2" w:rsidRDefault="00F4116C" w:rsidP="00447A30">
      <w:pPr>
        <w:spacing w:after="0"/>
        <w:rPr>
          <w:b/>
        </w:rPr>
      </w:pPr>
    </w:p>
    <w:p w:rsidR="00F4116C" w:rsidRPr="00BE2683" w:rsidRDefault="00F4116C" w:rsidP="00F4116C">
      <w:pPr>
        <w:rPr>
          <w:b/>
        </w:rPr>
      </w:pPr>
      <w:r w:rsidRPr="00BE2683">
        <w:rPr>
          <w:b/>
        </w:rPr>
        <w:t>Missouri Sampling</w:t>
      </w:r>
    </w:p>
    <w:p w:rsidR="006C44B4" w:rsidRDefault="00F4116C" w:rsidP="00F4116C">
      <w:r>
        <w:t>There are 97 school districts participating in the 2012</w:t>
      </w:r>
      <w:r>
        <w:rPr>
          <w:rFonts w:cs="Calibri"/>
        </w:rPr>
        <w:t>–</w:t>
      </w:r>
      <w:r>
        <w:t xml:space="preserve">13 pilot of Missouri’s Educator Evaluation System representing various locales (Table </w:t>
      </w:r>
      <w:r w:rsidR="00402C32">
        <w:t>5</w:t>
      </w:r>
      <w:r>
        <w:t xml:space="preserve">). In the 97 pilot districts, a pool of approximately 16,400 FTE teachers is available for potential participation in this study. </w:t>
      </w:r>
      <w:r w:rsidR="00FD599D">
        <w:t>Researchers will identify 10% of the F</w:t>
      </w:r>
      <w:r w:rsidR="00127897">
        <w:t>TE teachers, approximately 1600</w:t>
      </w:r>
      <w:r w:rsidR="00FD599D">
        <w:t xml:space="preserve"> teachers. </w:t>
      </w:r>
    </w:p>
    <w:p w:rsidR="00F4116C" w:rsidRPr="00FB13C2" w:rsidRDefault="00F4116C" w:rsidP="00F4116C">
      <w:pPr>
        <w:rPr>
          <w:b/>
        </w:rPr>
      </w:pPr>
      <w:bookmarkStart w:id="5" w:name="Editing"/>
      <w:bookmarkEnd w:id="5"/>
      <w:r w:rsidRPr="009C6D83">
        <w:rPr>
          <w:b/>
        </w:rPr>
        <w:lastRenderedPageBreak/>
        <w:t xml:space="preserve">Table </w:t>
      </w:r>
      <w:r w:rsidR="00402C32">
        <w:rPr>
          <w:b/>
        </w:rPr>
        <w:t>5</w:t>
      </w:r>
      <w:r>
        <w:rPr>
          <w:b/>
        </w:rPr>
        <w:t>: Percent</w:t>
      </w:r>
      <w:r w:rsidRPr="009C6D83">
        <w:rPr>
          <w:b/>
        </w:rPr>
        <w:t xml:space="preserve"> of </w:t>
      </w:r>
      <w:r>
        <w:rPr>
          <w:b/>
        </w:rPr>
        <w:t>p</w:t>
      </w:r>
      <w:r w:rsidRPr="009C6D83">
        <w:rPr>
          <w:b/>
        </w:rPr>
        <w:t xml:space="preserve">ilot </w:t>
      </w:r>
      <w:r>
        <w:rPr>
          <w:b/>
        </w:rPr>
        <w:t>d</w:t>
      </w:r>
      <w:r w:rsidRPr="009C6D83">
        <w:rPr>
          <w:b/>
        </w:rPr>
        <w:t xml:space="preserve">istricts in </w:t>
      </w:r>
      <w:r>
        <w:rPr>
          <w:b/>
        </w:rPr>
        <w:t>Missouri</w:t>
      </w:r>
      <w:r w:rsidRPr="009C6D83">
        <w:rPr>
          <w:b/>
        </w:rPr>
        <w:t xml:space="preserve"> by </w:t>
      </w:r>
      <w:r>
        <w:rPr>
          <w:b/>
        </w:rPr>
        <w:t>l</w:t>
      </w:r>
      <w:r w:rsidRPr="009C6D83">
        <w:rPr>
          <w:b/>
        </w:rPr>
        <w:t>ocale</w:t>
      </w:r>
    </w:p>
    <w:tbl>
      <w:tblPr>
        <w:tblW w:w="0" w:type="auto"/>
        <w:tblInd w:w="108" w:type="dxa"/>
        <w:tblLook w:val="00A0" w:firstRow="1" w:lastRow="0" w:firstColumn="1" w:lastColumn="0" w:noHBand="0" w:noVBand="0"/>
      </w:tblPr>
      <w:tblGrid>
        <w:gridCol w:w="1649"/>
        <w:gridCol w:w="1861"/>
        <w:gridCol w:w="2070"/>
      </w:tblGrid>
      <w:tr w:rsidR="00F4116C" w:rsidTr="00F4116C">
        <w:tc>
          <w:tcPr>
            <w:tcW w:w="1649" w:type="dxa"/>
            <w:tcBorders>
              <w:top w:val="single" w:sz="4" w:space="0" w:color="auto"/>
              <w:left w:val="single" w:sz="4" w:space="0" w:color="auto"/>
              <w:bottom w:val="single" w:sz="4" w:space="0" w:color="auto"/>
              <w:right w:val="single" w:sz="4" w:space="0" w:color="auto"/>
            </w:tcBorders>
            <w:shd w:val="clear" w:color="auto" w:fill="8DB3E2"/>
            <w:vAlign w:val="center"/>
          </w:tcPr>
          <w:p w:rsidR="00F4116C" w:rsidRPr="003C0DD3" w:rsidRDefault="00F4116C" w:rsidP="00F4116C">
            <w:pPr>
              <w:spacing w:before="20" w:after="20" w:line="240" w:lineRule="auto"/>
              <w:jc w:val="center"/>
              <w:rPr>
                <w:b/>
              </w:rPr>
            </w:pPr>
            <w:r w:rsidRPr="003C0DD3">
              <w:rPr>
                <w:b/>
              </w:rPr>
              <w:t>Locale</w:t>
            </w:r>
          </w:p>
        </w:tc>
        <w:tc>
          <w:tcPr>
            <w:tcW w:w="1861" w:type="dxa"/>
            <w:tcBorders>
              <w:top w:val="single" w:sz="4" w:space="0" w:color="auto"/>
              <w:left w:val="single" w:sz="4" w:space="0" w:color="auto"/>
              <w:bottom w:val="single" w:sz="4" w:space="0" w:color="auto"/>
              <w:right w:val="single" w:sz="4" w:space="0" w:color="auto"/>
            </w:tcBorders>
            <w:shd w:val="clear" w:color="auto" w:fill="8DB3E2"/>
            <w:vAlign w:val="center"/>
          </w:tcPr>
          <w:p w:rsidR="00F4116C" w:rsidRPr="003C0DD3" w:rsidRDefault="00F4116C" w:rsidP="00F4116C">
            <w:pPr>
              <w:spacing w:before="20" w:after="20" w:line="240" w:lineRule="auto"/>
              <w:jc w:val="center"/>
              <w:rPr>
                <w:b/>
              </w:rPr>
            </w:pPr>
            <w:r w:rsidRPr="003C0DD3">
              <w:rPr>
                <w:b/>
              </w:rPr>
              <w:t>Pilot Districts</w:t>
            </w:r>
          </w:p>
        </w:tc>
        <w:tc>
          <w:tcPr>
            <w:tcW w:w="2070" w:type="dxa"/>
            <w:tcBorders>
              <w:top w:val="single" w:sz="4" w:space="0" w:color="auto"/>
              <w:left w:val="single" w:sz="4" w:space="0" w:color="auto"/>
              <w:bottom w:val="single" w:sz="4" w:space="0" w:color="auto"/>
              <w:right w:val="single" w:sz="4" w:space="0" w:color="auto"/>
            </w:tcBorders>
            <w:shd w:val="clear" w:color="auto" w:fill="8DB3E2"/>
          </w:tcPr>
          <w:p w:rsidR="00F4116C" w:rsidRPr="003C0DD3" w:rsidRDefault="00F4116C" w:rsidP="00F4116C">
            <w:pPr>
              <w:spacing w:before="20" w:after="20" w:line="240" w:lineRule="auto"/>
              <w:jc w:val="center"/>
              <w:rPr>
                <w:b/>
              </w:rPr>
            </w:pPr>
            <w:r>
              <w:rPr>
                <w:b/>
              </w:rPr>
              <w:t>All Districts</w:t>
            </w:r>
          </w:p>
        </w:tc>
      </w:tr>
      <w:tr w:rsidR="00F4116C" w:rsidRPr="00966144" w:rsidTr="00F4116C">
        <w:tc>
          <w:tcPr>
            <w:tcW w:w="1649" w:type="dxa"/>
            <w:tcBorders>
              <w:top w:val="single" w:sz="4" w:space="0" w:color="auto"/>
              <w:left w:val="single" w:sz="4" w:space="0" w:color="auto"/>
              <w:bottom w:val="single" w:sz="4" w:space="0" w:color="auto"/>
              <w:right w:val="single" w:sz="4" w:space="0" w:color="auto"/>
            </w:tcBorders>
            <w:shd w:val="clear" w:color="auto" w:fill="auto"/>
            <w:vAlign w:val="bottom"/>
          </w:tcPr>
          <w:p w:rsidR="00F4116C" w:rsidRPr="00B25FF0" w:rsidRDefault="00F4116C" w:rsidP="00F4116C">
            <w:pPr>
              <w:spacing w:after="0" w:line="240" w:lineRule="auto"/>
              <w:rPr>
                <w:rFonts w:cs="Calibri"/>
                <w:color w:val="000000"/>
              </w:rPr>
            </w:pPr>
            <w:r w:rsidRPr="00B25FF0">
              <w:rPr>
                <w:rFonts w:cs="Calibri"/>
                <w:color w:val="000000"/>
              </w:rPr>
              <w:t>% City</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rsidR="00F4116C" w:rsidRPr="00B25FF0" w:rsidRDefault="00F4116C" w:rsidP="00F4116C">
            <w:pPr>
              <w:spacing w:after="0" w:line="240" w:lineRule="auto"/>
              <w:jc w:val="right"/>
              <w:rPr>
                <w:rFonts w:cs="Calibri"/>
                <w:color w:val="000000"/>
              </w:rPr>
            </w:pPr>
            <w:r>
              <w:rPr>
                <w:rFonts w:cs="Calibri"/>
                <w:color w:val="000000"/>
              </w:rPr>
              <w:t>3%</w:t>
            </w:r>
          </w:p>
        </w:tc>
        <w:tc>
          <w:tcPr>
            <w:tcW w:w="2070" w:type="dxa"/>
            <w:tcBorders>
              <w:top w:val="single" w:sz="4" w:space="0" w:color="auto"/>
              <w:left w:val="single" w:sz="4" w:space="0" w:color="auto"/>
              <w:bottom w:val="single" w:sz="4" w:space="0" w:color="auto"/>
              <w:right w:val="single" w:sz="4" w:space="0" w:color="auto"/>
            </w:tcBorders>
            <w:vAlign w:val="bottom"/>
          </w:tcPr>
          <w:p w:rsidR="00F4116C" w:rsidRPr="00B25FF0" w:rsidRDefault="00F4116C" w:rsidP="00F4116C">
            <w:pPr>
              <w:spacing w:after="0" w:line="240" w:lineRule="auto"/>
              <w:jc w:val="right"/>
              <w:rPr>
                <w:rFonts w:cs="Calibri"/>
                <w:color w:val="000000"/>
              </w:rPr>
            </w:pPr>
            <w:r>
              <w:rPr>
                <w:rFonts w:cs="Calibri"/>
                <w:color w:val="000000"/>
              </w:rPr>
              <w:t>3%</w:t>
            </w:r>
          </w:p>
        </w:tc>
      </w:tr>
      <w:tr w:rsidR="00F4116C" w:rsidRPr="00966144" w:rsidTr="00F4116C">
        <w:tc>
          <w:tcPr>
            <w:tcW w:w="1649" w:type="dxa"/>
            <w:tcBorders>
              <w:top w:val="single" w:sz="4" w:space="0" w:color="auto"/>
              <w:left w:val="single" w:sz="4" w:space="0" w:color="auto"/>
              <w:bottom w:val="single" w:sz="4" w:space="0" w:color="auto"/>
              <w:right w:val="single" w:sz="4" w:space="0" w:color="auto"/>
            </w:tcBorders>
            <w:shd w:val="clear" w:color="auto" w:fill="auto"/>
            <w:vAlign w:val="bottom"/>
          </w:tcPr>
          <w:p w:rsidR="00F4116C" w:rsidRPr="00B25FF0" w:rsidRDefault="00F4116C" w:rsidP="00F4116C">
            <w:pPr>
              <w:spacing w:after="0" w:line="240" w:lineRule="auto"/>
              <w:rPr>
                <w:rFonts w:cs="Calibri"/>
                <w:color w:val="000000"/>
              </w:rPr>
            </w:pPr>
            <w:r w:rsidRPr="00B25FF0">
              <w:rPr>
                <w:rFonts w:cs="Calibri"/>
                <w:color w:val="000000"/>
              </w:rPr>
              <w:t>% Rural</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rsidR="00F4116C" w:rsidRPr="00B25FF0" w:rsidRDefault="00F4116C" w:rsidP="00F4116C">
            <w:pPr>
              <w:spacing w:after="0" w:line="240" w:lineRule="auto"/>
              <w:jc w:val="right"/>
              <w:rPr>
                <w:rFonts w:cs="Calibri"/>
                <w:color w:val="000000"/>
              </w:rPr>
            </w:pPr>
            <w:r>
              <w:rPr>
                <w:rFonts w:cs="Calibri"/>
                <w:color w:val="000000"/>
              </w:rPr>
              <w:t>70%</w:t>
            </w:r>
          </w:p>
        </w:tc>
        <w:tc>
          <w:tcPr>
            <w:tcW w:w="2070" w:type="dxa"/>
            <w:tcBorders>
              <w:top w:val="single" w:sz="4" w:space="0" w:color="auto"/>
              <w:left w:val="single" w:sz="4" w:space="0" w:color="auto"/>
              <w:bottom w:val="single" w:sz="4" w:space="0" w:color="auto"/>
              <w:right w:val="single" w:sz="4" w:space="0" w:color="auto"/>
            </w:tcBorders>
            <w:vAlign w:val="bottom"/>
          </w:tcPr>
          <w:p w:rsidR="00F4116C" w:rsidRPr="00B25FF0" w:rsidRDefault="00F4116C" w:rsidP="00F4116C">
            <w:pPr>
              <w:spacing w:after="0" w:line="240" w:lineRule="auto"/>
              <w:jc w:val="right"/>
              <w:rPr>
                <w:rFonts w:cs="Calibri"/>
                <w:color w:val="000000"/>
              </w:rPr>
            </w:pPr>
            <w:r>
              <w:rPr>
                <w:rFonts w:cs="Calibri"/>
                <w:color w:val="000000"/>
              </w:rPr>
              <w:t>74%</w:t>
            </w:r>
          </w:p>
        </w:tc>
      </w:tr>
      <w:tr w:rsidR="00F4116C" w:rsidRPr="00966144" w:rsidTr="00F4116C">
        <w:tc>
          <w:tcPr>
            <w:tcW w:w="1649" w:type="dxa"/>
            <w:tcBorders>
              <w:top w:val="single" w:sz="4" w:space="0" w:color="auto"/>
              <w:left w:val="single" w:sz="4" w:space="0" w:color="auto"/>
              <w:bottom w:val="single" w:sz="4" w:space="0" w:color="auto"/>
              <w:right w:val="single" w:sz="4" w:space="0" w:color="auto"/>
            </w:tcBorders>
            <w:shd w:val="clear" w:color="auto" w:fill="auto"/>
            <w:vAlign w:val="bottom"/>
          </w:tcPr>
          <w:p w:rsidR="00F4116C" w:rsidRPr="00B25FF0" w:rsidRDefault="00F4116C" w:rsidP="00F4116C">
            <w:pPr>
              <w:spacing w:after="0" w:line="240" w:lineRule="auto"/>
              <w:rPr>
                <w:rFonts w:cs="Calibri"/>
                <w:color w:val="000000"/>
              </w:rPr>
            </w:pPr>
            <w:r w:rsidRPr="00B25FF0">
              <w:rPr>
                <w:rFonts w:cs="Calibri"/>
                <w:color w:val="000000"/>
              </w:rPr>
              <w:t>% Suburb</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rsidR="00F4116C" w:rsidRPr="00B25FF0" w:rsidRDefault="00F4116C" w:rsidP="00F4116C">
            <w:pPr>
              <w:spacing w:after="0" w:line="240" w:lineRule="auto"/>
              <w:jc w:val="right"/>
              <w:rPr>
                <w:rFonts w:cs="Calibri"/>
                <w:color w:val="000000"/>
              </w:rPr>
            </w:pPr>
            <w:r>
              <w:rPr>
                <w:rFonts w:cs="Calibri"/>
                <w:color w:val="000000"/>
              </w:rPr>
              <w:t>10%</w:t>
            </w:r>
          </w:p>
        </w:tc>
        <w:tc>
          <w:tcPr>
            <w:tcW w:w="2070" w:type="dxa"/>
            <w:tcBorders>
              <w:top w:val="single" w:sz="4" w:space="0" w:color="auto"/>
              <w:left w:val="single" w:sz="4" w:space="0" w:color="auto"/>
              <w:bottom w:val="single" w:sz="4" w:space="0" w:color="auto"/>
              <w:right w:val="single" w:sz="4" w:space="0" w:color="auto"/>
            </w:tcBorders>
            <w:vAlign w:val="bottom"/>
          </w:tcPr>
          <w:p w:rsidR="00F4116C" w:rsidRPr="00B25FF0" w:rsidRDefault="00F4116C" w:rsidP="00F4116C">
            <w:pPr>
              <w:spacing w:after="0" w:line="240" w:lineRule="auto"/>
              <w:jc w:val="right"/>
              <w:rPr>
                <w:rFonts w:cs="Calibri"/>
                <w:color w:val="000000"/>
              </w:rPr>
            </w:pPr>
            <w:r>
              <w:rPr>
                <w:rFonts w:cs="Calibri"/>
                <w:color w:val="000000"/>
              </w:rPr>
              <w:t>7%</w:t>
            </w:r>
          </w:p>
        </w:tc>
      </w:tr>
      <w:tr w:rsidR="00F4116C" w:rsidRPr="00966144" w:rsidTr="00F4116C">
        <w:tc>
          <w:tcPr>
            <w:tcW w:w="1649" w:type="dxa"/>
            <w:tcBorders>
              <w:top w:val="single" w:sz="4" w:space="0" w:color="auto"/>
              <w:left w:val="single" w:sz="4" w:space="0" w:color="auto"/>
              <w:bottom w:val="single" w:sz="4" w:space="0" w:color="auto"/>
              <w:right w:val="single" w:sz="4" w:space="0" w:color="auto"/>
            </w:tcBorders>
            <w:shd w:val="clear" w:color="auto" w:fill="auto"/>
            <w:vAlign w:val="bottom"/>
          </w:tcPr>
          <w:p w:rsidR="00F4116C" w:rsidRPr="00B25FF0" w:rsidRDefault="00F4116C" w:rsidP="00F4116C">
            <w:pPr>
              <w:spacing w:after="0" w:line="240" w:lineRule="auto"/>
              <w:rPr>
                <w:rFonts w:cs="Calibri"/>
                <w:color w:val="000000"/>
              </w:rPr>
            </w:pPr>
            <w:r w:rsidRPr="00B25FF0">
              <w:rPr>
                <w:rFonts w:cs="Calibri"/>
                <w:color w:val="000000"/>
              </w:rPr>
              <w:t>% Town</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rsidR="00F4116C" w:rsidRPr="00B25FF0" w:rsidRDefault="00F4116C" w:rsidP="00F4116C">
            <w:pPr>
              <w:spacing w:after="0" w:line="240" w:lineRule="auto"/>
              <w:jc w:val="right"/>
              <w:rPr>
                <w:rFonts w:cs="Calibri"/>
                <w:color w:val="000000"/>
              </w:rPr>
            </w:pPr>
            <w:r>
              <w:rPr>
                <w:rFonts w:cs="Calibri"/>
                <w:color w:val="000000"/>
              </w:rPr>
              <w:t>17%</w:t>
            </w:r>
          </w:p>
        </w:tc>
        <w:tc>
          <w:tcPr>
            <w:tcW w:w="2070" w:type="dxa"/>
            <w:tcBorders>
              <w:top w:val="single" w:sz="4" w:space="0" w:color="auto"/>
              <w:left w:val="single" w:sz="4" w:space="0" w:color="auto"/>
              <w:bottom w:val="single" w:sz="4" w:space="0" w:color="auto"/>
              <w:right w:val="single" w:sz="4" w:space="0" w:color="auto"/>
            </w:tcBorders>
            <w:vAlign w:val="bottom"/>
          </w:tcPr>
          <w:p w:rsidR="00F4116C" w:rsidRPr="00B25FF0" w:rsidRDefault="00F4116C" w:rsidP="00F4116C">
            <w:pPr>
              <w:spacing w:after="0" w:line="240" w:lineRule="auto"/>
              <w:jc w:val="right"/>
              <w:rPr>
                <w:rFonts w:cs="Calibri"/>
                <w:color w:val="000000"/>
              </w:rPr>
            </w:pPr>
            <w:r>
              <w:rPr>
                <w:rFonts w:cs="Calibri"/>
                <w:color w:val="000000"/>
              </w:rPr>
              <w:t>16%</w:t>
            </w:r>
          </w:p>
        </w:tc>
      </w:tr>
    </w:tbl>
    <w:p w:rsidR="00F4116C" w:rsidRPr="00F4116C" w:rsidRDefault="00F4116C" w:rsidP="00447A30">
      <w:pPr>
        <w:spacing w:after="0"/>
      </w:pPr>
    </w:p>
    <w:p w:rsidR="002A716E" w:rsidRDefault="002A716E" w:rsidP="00CA0BE3">
      <w:pPr>
        <w:rPr>
          <w:i/>
          <w:color w:val="FF0000"/>
        </w:rPr>
      </w:pPr>
      <w:bookmarkStart w:id="6" w:name="_Toc352313133"/>
      <w:r w:rsidRPr="006D792F">
        <w:rPr>
          <w:rStyle w:val="Heading2Char"/>
        </w:rPr>
        <w:t xml:space="preserve">B2. </w:t>
      </w:r>
      <w:r w:rsidR="00CA0BE3">
        <w:rPr>
          <w:rStyle w:val="Heading2Char"/>
        </w:rPr>
        <w:t>Procedures for the Collection of I</w:t>
      </w:r>
      <w:r w:rsidRPr="006D792F">
        <w:rPr>
          <w:rStyle w:val="Heading2Char"/>
        </w:rPr>
        <w:t>nformation</w:t>
      </w:r>
      <w:bookmarkEnd w:id="6"/>
      <w:r w:rsidRPr="002A716E">
        <w:rPr>
          <w:b/>
          <w:bCs/>
        </w:rPr>
        <w:t xml:space="preserve"> </w:t>
      </w:r>
    </w:p>
    <w:p w:rsidR="001F421D" w:rsidRPr="001F421D" w:rsidRDefault="001F421D" w:rsidP="00CA0BE3">
      <w:pPr>
        <w:pStyle w:val="Heading3"/>
      </w:pPr>
      <w:bookmarkStart w:id="7" w:name="_Toc352313134"/>
      <w:r>
        <w:t>Statistical Power</w:t>
      </w:r>
      <w:bookmarkEnd w:id="7"/>
    </w:p>
    <w:p w:rsidR="00F4116C" w:rsidRDefault="00F4116C" w:rsidP="00F4116C">
      <w:r w:rsidRPr="006359A9">
        <w:t xml:space="preserve">Structural equation modeling requires a minimum of 100 to 150 subjects </w:t>
      </w:r>
      <w:r>
        <w:t>(</w:t>
      </w:r>
      <w:proofErr w:type="spellStart"/>
      <w:r>
        <w:t>Loehlin</w:t>
      </w:r>
      <w:proofErr w:type="spellEnd"/>
      <w:r>
        <w:t>, 1992), or between 5</w:t>
      </w:r>
      <w:r w:rsidRPr="006359A9">
        <w:t xml:space="preserve"> and 10 subjects per parameter estimated</w:t>
      </w:r>
      <w:r>
        <w:t>,</w:t>
      </w:r>
      <w:r w:rsidRPr="006359A9">
        <w:t xml:space="preserve"> depending on the distribution of the variables (</w:t>
      </w:r>
      <w:proofErr w:type="spellStart"/>
      <w:r w:rsidRPr="006359A9">
        <w:t>Tabachnick</w:t>
      </w:r>
      <w:proofErr w:type="spellEnd"/>
      <w:r w:rsidRPr="006359A9">
        <w:t xml:space="preserve"> &amp; </w:t>
      </w:r>
      <w:proofErr w:type="spellStart"/>
      <w:r w:rsidRPr="006359A9">
        <w:t>Fidell</w:t>
      </w:r>
      <w:proofErr w:type="spellEnd"/>
      <w:r w:rsidRPr="006359A9">
        <w:t xml:space="preserve">, </w:t>
      </w:r>
      <w:r>
        <w:t>2001</w:t>
      </w:r>
      <w:r w:rsidRPr="006359A9">
        <w:t xml:space="preserve">). </w:t>
      </w:r>
      <w:r>
        <w:t>We can estimate the number of parameters and degrees of freedom using the proposed models</w:t>
      </w:r>
      <w:r w:rsidR="004E4EA6">
        <w:t>,</w:t>
      </w:r>
      <w:r>
        <w:t xml:space="preserve"> which include the latent variables and the indicators based on the potential survey items and</w:t>
      </w:r>
      <w:r w:rsidR="00402C32">
        <w:t xml:space="preserve"> teacher evaluation rating data. </w:t>
      </w:r>
      <w:r>
        <w:t xml:space="preserve">The latent variables are the same in all of the states, and all indicators are the same except the indicators for teacher performance. Because of the difference in indicators of teacher performance, the model will be tested for each state. Table </w:t>
      </w:r>
      <w:r w:rsidRPr="00402C32">
        <w:t>6</w:t>
      </w:r>
      <w:r>
        <w:t xml:space="preserve"> identifies information about the model for each state and presents the sample size needed based on </w:t>
      </w:r>
      <w:proofErr w:type="spellStart"/>
      <w:r>
        <w:t>Tabachnick</w:t>
      </w:r>
      <w:proofErr w:type="spellEnd"/>
      <w:r>
        <w:t xml:space="preserve"> &amp; </w:t>
      </w:r>
      <w:proofErr w:type="spellStart"/>
      <w:r>
        <w:t>Fidell’s</w:t>
      </w:r>
      <w:proofErr w:type="spellEnd"/>
      <w:r>
        <w:t xml:space="preserve"> recommendations and also based on the methods for calculating </w:t>
      </w:r>
      <w:r w:rsidRPr="00710029">
        <w:t>power</w:t>
      </w:r>
      <w:r>
        <w:t xml:space="preserve"> estimates provided by </w:t>
      </w:r>
      <w:proofErr w:type="spellStart"/>
      <w:r>
        <w:t>MacCallum</w:t>
      </w:r>
      <w:proofErr w:type="spellEnd"/>
      <w:r>
        <w:t>, Browne, and Sugawara (1996).</w:t>
      </w:r>
      <w:r w:rsidRPr="00F4116C">
        <w:t xml:space="preserve"> </w:t>
      </w:r>
      <w:r>
        <w:t xml:space="preserve">For a test of close fit based on the following assumptions: </w:t>
      </w:r>
      <w:r w:rsidRPr="00397B2B">
        <w:rPr>
          <w:rFonts w:cs="Calibri"/>
          <w:sz w:val="24"/>
          <w:szCs w:val="24"/>
        </w:rPr>
        <w:t>α</w:t>
      </w:r>
      <w:r w:rsidR="004E4EA6">
        <w:rPr>
          <w:rFonts w:cs="Calibri"/>
          <w:sz w:val="24"/>
          <w:szCs w:val="24"/>
        </w:rPr>
        <w:t xml:space="preserve"> </w:t>
      </w:r>
      <w:r>
        <w:t>= 0.05</w:t>
      </w:r>
      <w:r w:rsidRPr="007519FB">
        <w:t xml:space="preserve">, </w:t>
      </w:r>
      <w:r w:rsidRPr="00397B2B">
        <w:rPr>
          <w:rFonts w:cs="Calibri"/>
          <w:sz w:val="24"/>
          <w:szCs w:val="24"/>
        </w:rPr>
        <w:t>ε</w:t>
      </w:r>
      <w:r w:rsidRPr="007519FB">
        <w:rPr>
          <w:vertAlign w:val="subscript"/>
        </w:rPr>
        <w:t>0</w:t>
      </w:r>
      <w:r w:rsidR="004E4EA6">
        <w:t xml:space="preserve"> </w:t>
      </w:r>
      <w:r w:rsidRPr="007519FB">
        <w:t>=</w:t>
      </w:r>
      <w:r>
        <w:t xml:space="preserve"> 0</w:t>
      </w:r>
      <w:r w:rsidRPr="007519FB">
        <w:t xml:space="preserve">.05 and </w:t>
      </w:r>
      <w:r w:rsidRPr="00397B2B">
        <w:rPr>
          <w:rFonts w:cs="Calibri"/>
          <w:sz w:val="24"/>
          <w:szCs w:val="24"/>
        </w:rPr>
        <w:t>ε</w:t>
      </w:r>
      <w:r w:rsidRPr="007519FB">
        <w:rPr>
          <w:vertAlign w:val="subscript"/>
        </w:rPr>
        <w:t>1</w:t>
      </w:r>
      <w:r w:rsidR="004E4EA6">
        <w:t xml:space="preserve"> </w:t>
      </w:r>
      <w:r w:rsidRPr="007519FB">
        <w:t>=</w:t>
      </w:r>
      <w:r>
        <w:t xml:space="preserve"> 0</w:t>
      </w:r>
      <w:r w:rsidRPr="007519FB">
        <w:t>.08</w:t>
      </w:r>
      <w:r>
        <w:t>,</w:t>
      </w:r>
      <w:r w:rsidRPr="007519FB">
        <w:t xml:space="preserve"> where </w:t>
      </w:r>
      <w:r w:rsidRPr="00397B2B">
        <w:rPr>
          <w:rFonts w:cs="Calibri"/>
          <w:sz w:val="24"/>
          <w:szCs w:val="24"/>
        </w:rPr>
        <w:t>ε</w:t>
      </w:r>
      <w:r w:rsidRPr="007519FB">
        <w:rPr>
          <w:vertAlign w:val="subscript"/>
        </w:rPr>
        <w:t>0</w:t>
      </w:r>
      <w:r>
        <w:t xml:space="preserve"> is the null value of the root-</w:t>
      </w:r>
      <w:r w:rsidR="004E4EA6">
        <w:t>mean-</w:t>
      </w:r>
      <w:r>
        <w:t xml:space="preserve">square error of approximation, </w:t>
      </w:r>
      <w:r w:rsidRPr="007519FB">
        <w:t xml:space="preserve">and </w:t>
      </w:r>
      <w:r w:rsidRPr="007519FB">
        <w:rPr>
          <w:rFonts w:cs="Calibri"/>
          <w:sz w:val="24"/>
          <w:szCs w:val="24"/>
        </w:rPr>
        <w:t>ε</w:t>
      </w:r>
      <w:r w:rsidRPr="00434B3B">
        <w:rPr>
          <w:vertAlign w:val="subscript"/>
        </w:rPr>
        <w:t>1</w:t>
      </w:r>
      <w:r>
        <w:t xml:space="preserve"> is the alternative value.</w:t>
      </w:r>
    </w:p>
    <w:p w:rsidR="00F4116C" w:rsidRPr="00945D28" w:rsidRDefault="00F4116C" w:rsidP="00F4116C">
      <w:pPr>
        <w:tabs>
          <w:tab w:val="left" w:pos="1440"/>
        </w:tabs>
        <w:spacing w:after="120" w:line="240" w:lineRule="auto"/>
        <w:rPr>
          <w:b/>
        </w:rPr>
      </w:pPr>
      <w:r w:rsidRPr="00945D28">
        <w:rPr>
          <w:b/>
        </w:rPr>
        <w:t xml:space="preserve">Table </w:t>
      </w:r>
      <w:r w:rsidRPr="00402C32">
        <w:rPr>
          <w:b/>
        </w:rPr>
        <w:t>6:</w:t>
      </w:r>
      <w:r w:rsidRPr="00945D28">
        <w:rPr>
          <w:b/>
        </w:rPr>
        <w:t xml:space="preserve"> Sample size</w:t>
      </w:r>
      <w:r w:rsidR="004E4EA6">
        <w:rPr>
          <w:b/>
        </w:rPr>
        <w:t>s</w:t>
      </w:r>
      <w:r w:rsidRPr="00945D28">
        <w:rPr>
          <w:b/>
        </w:rPr>
        <w:t xml:space="preserve"> need to test</w:t>
      </w:r>
      <w:r>
        <w:rPr>
          <w:b/>
        </w:rPr>
        <w:t xml:space="preserve"> </w:t>
      </w:r>
      <w:r w:rsidRPr="00945D28">
        <w:rPr>
          <w:b/>
        </w:rPr>
        <w:t xml:space="preserve">the model in each state </w:t>
      </w:r>
    </w:p>
    <w:tbl>
      <w:tblPr>
        <w:tblStyle w:val="TableGrid"/>
        <w:tblW w:w="0" w:type="auto"/>
        <w:tblInd w:w="108" w:type="dxa"/>
        <w:tblLook w:val="04A0" w:firstRow="1" w:lastRow="0" w:firstColumn="1" w:lastColumn="0" w:noHBand="0" w:noVBand="1"/>
      </w:tblPr>
      <w:tblGrid>
        <w:gridCol w:w="1030"/>
        <w:gridCol w:w="1762"/>
        <w:gridCol w:w="1591"/>
        <w:gridCol w:w="2099"/>
        <w:gridCol w:w="1309"/>
        <w:gridCol w:w="1590"/>
      </w:tblGrid>
      <w:tr w:rsidR="00F4116C" w:rsidTr="00F4116C">
        <w:tc>
          <w:tcPr>
            <w:tcW w:w="1030" w:type="dxa"/>
          </w:tcPr>
          <w:p w:rsidR="00F4116C" w:rsidRPr="00945D28" w:rsidRDefault="00F4116C" w:rsidP="00F4116C">
            <w:pPr>
              <w:rPr>
                <w:b/>
              </w:rPr>
            </w:pPr>
            <w:r w:rsidRPr="00945D28">
              <w:rPr>
                <w:b/>
              </w:rPr>
              <w:t>State</w:t>
            </w:r>
          </w:p>
        </w:tc>
        <w:tc>
          <w:tcPr>
            <w:tcW w:w="1762" w:type="dxa"/>
          </w:tcPr>
          <w:p w:rsidR="00F4116C" w:rsidRPr="00945D28" w:rsidRDefault="00F4116C" w:rsidP="00F4116C">
            <w:pPr>
              <w:rPr>
                <w:b/>
              </w:rPr>
            </w:pPr>
            <w:r w:rsidRPr="00945D28">
              <w:rPr>
                <w:b/>
              </w:rPr>
              <w:t xml:space="preserve">Number of </w:t>
            </w:r>
            <w:r>
              <w:rPr>
                <w:b/>
              </w:rPr>
              <w:t>p</w:t>
            </w:r>
            <w:r w:rsidRPr="00945D28">
              <w:rPr>
                <w:b/>
              </w:rPr>
              <w:t xml:space="preserve">arameters in </w:t>
            </w:r>
            <w:r>
              <w:rPr>
                <w:b/>
              </w:rPr>
              <w:t>p</w:t>
            </w:r>
            <w:r w:rsidRPr="00945D28">
              <w:rPr>
                <w:b/>
              </w:rPr>
              <w:t xml:space="preserve">roposed </w:t>
            </w:r>
            <w:r>
              <w:rPr>
                <w:b/>
              </w:rPr>
              <w:t>m</w:t>
            </w:r>
            <w:r w:rsidRPr="00945D28">
              <w:rPr>
                <w:b/>
              </w:rPr>
              <w:t>odel</w:t>
            </w:r>
          </w:p>
        </w:tc>
        <w:tc>
          <w:tcPr>
            <w:tcW w:w="1591" w:type="dxa"/>
          </w:tcPr>
          <w:p w:rsidR="00F4116C" w:rsidRPr="00945D28" w:rsidRDefault="00F4116C" w:rsidP="00F4116C">
            <w:pPr>
              <w:rPr>
                <w:b/>
              </w:rPr>
            </w:pPr>
            <w:r w:rsidRPr="00945D28">
              <w:rPr>
                <w:b/>
              </w:rPr>
              <w:t>Degrees of freedom in proposed model</w:t>
            </w:r>
          </w:p>
        </w:tc>
        <w:tc>
          <w:tcPr>
            <w:tcW w:w="2099" w:type="dxa"/>
          </w:tcPr>
          <w:p w:rsidR="00F4116C" w:rsidRPr="00945D28" w:rsidRDefault="00F4116C" w:rsidP="00F4116C">
            <w:pPr>
              <w:rPr>
                <w:b/>
              </w:rPr>
            </w:pPr>
            <w:r w:rsidRPr="00945D28">
              <w:rPr>
                <w:b/>
              </w:rPr>
              <w:t>Sample size (</w:t>
            </w:r>
            <w:proofErr w:type="spellStart"/>
            <w:r w:rsidRPr="00945D28">
              <w:rPr>
                <w:b/>
              </w:rPr>
              <w:t>Tabachnick</w:t>
            </w:r>
            <w:proofErr w:type="spellEnd"/>
            <w:r w:rsidRPr="00945D28">
              <w:rPr>
                <w:b/>
              </w:rPr>
              <w:t xml:space="preserve"> &amp; </w:t>
            </w:r>
            <w:proofErr w:type="spellStart"/>
            <w:r w:rsidRPr="00945D28">
              <w:rPr>
                <w:b/>
              </w:rPr>
              <w:t>Fidell</w:t>
            </w:r>
            <w:proofErr w:type="spellEnd"/>
            <w:r>
              <w:rPr>
                <w:b/>
              </w:rPr>
              <w:t xml:space="preserve"> </w:t>
            </w:r>
            <w:r w:rsidRPr="00945D28">
              <w:rPr>
                <w:b/>
              </w:rPr>
              <w:t>recommendation)</w:t>
            </w:r>
          </w:p>
        </w:tc>
        <w:tc>
          <w:tcPr>
            <w:tcW w:w="1309" w:type="dxa"/>
          </w:tcPr>
          <w:p w:rsidR="00F4116C" w:rsidRPr="00945D28" w:rsidRDefault="00F4116C" w:rsidP="00F4116C">
            <w:pPr>
              <w:rPr>
                <w:b/>
              </w:rPr>
            </w:pPr>
            <w:r w:rsidRPr="00945D28">
              <w:rPr>
                <w:b/>
              </w:rPr>
              <w:t xml:space="preserve">Desired </w:t>
            </w:r>
            <w:r>
              <w:rPr>
                <w:b/>
              </w:rPr>
              <w:t>p</w:t>
            </w:r>
            <w:r w:rsidRPr="00945D28">
              <w:rPr>
                <w:b/>
              </w:rPr>
              <w:t>ower</w:t>
            </w:r>
          </w:p>
        </w:tc>
        <w:tc>
          <w:tcPr>
            <w:tcW w:w="1590" w:type="dxa"/>
          </w:tcPr>
          <w:p w:rsidR="00F4116C" w:rsidRPr="00945D28" w:rsidRDefault="00F4116C" w:rsidP="00F4116C">
            <w:pPr>
              <w:rPr>
                <w:b/>
              </w:rPr>
            </w:pPr>
            <w:r w:rsidRPr="00945D28">
              <w:rPr>
                <w:b/>
              </w:rPr>
              <w:t>Sample size based on desired power</w:t>
            </w:r>
          </w:p>
        </w:tc>
      </w:tr>
      <w:tr w:rsidR="00F4116C" w:rsidTr="00F4116C">
        <w:tc>
          <w:tcPr>
            <w:tcW w:w="1030" w:type="dxa"/>
          </w:tcPr>
          <w:p w:rsidR="00F4116C" w:rsidRDefault="00F4116C" w:rsidP="00F4116C">
            <w:r>
              <w:t>Colorado</w:t>
            </w:r>
          </w:p>
        </w:tc>
        <w:tc>
          <w:tcPr>
            <w:tcW w:w="1762" w:type="dxa"/>
          </w:tcPr>
          <w:p w:rsidR="00F4116C" w:rsidRDefault="00F4116C" w:rsidP="00F4116C">
            <w:pPr>
              <w:jc w:val="center"/>
            </w:pPr>
            <w:r>
              <w:t>69</w:t>
            </w:r>
          </w:p>
        </w:tc>
        <w:tc>
          <w:tcPr>
            <w:tcW w:w="1591" w:type="dxa"/>
          </w:tcPr>
          <w:p w:rsidR="00F4116C" w:rsidRDefault="00F4116C" w:rsidP="00F4116C">
            <w:pPr>
              <w:jc w:val="center"/>
            </w:pPr>
            <w:r>
              <w:t>366</w:t>
            </w:r>
          </w:p>
        </w:tc>
        <w:tc>
          <w:tcPr>
            <w:tcW w:w="2099" w:type="dxa"/>
          </w:tcPr>
          <w:p w:rsidR="00F4116C" w:rsidRDefault="00F4116C" w:rsidP="00F4116C">
            <w:pPr>
              <w:jc w:val="center"/>
            </w:pPr>
            <w:r>
              <w:t>345 to 690</w:t>
            </w:r>
          </w:p>
        </w:tc>
        <w:tc>
          <w:tcPr>
            <w:tcW w:w="1309" w:type="dxa"/>
          </w:tcPr>
          <w:p w:rsidR="00F4116C" w:rsidRDefault="00F4116C" w:rsidP="00F4116C">
            <w:pPr>
              <w:jc w:val="center"/>
            </w:pPr>
            <w:r>
              <w:t>90%</w:t>
            </w:r>
          </w:p>
        </w:tc>
        <w:tc>
          <w:tcPr>
            <w:tcW w:w="1590" w:type="dxa"/>
          </w:tcPr>
          <w:p w:rsidR="00F4116C" w:rsidRDefault="00F4116C" w:rsidP="00F4116C">
            <w:pPr>
              <w:jc w:val="center"/>
            </w:pPr>
            <w:r>
              <w:t>71</w:t>
            </w:r>
          </w:p>
        </w:tc>
      </w:tr>
      <w:tr w:rsidR="00F4116C" w:rsidTr="00F4116C">
        <w:tc>
          <w:tcPr>
            <w:tcW w:w="1030" w:type="dxa"/>
          </w:tcPr>
          <w:p w:rsidR="00F4116C" w:rsidRDefault="00F4116C" w:rsidP="00F4116C">
            <w:r>
              <w:t>Kansas</w:t>
            </w:r>
          </w:p>
        </w:tc>
        <w:tc>
          <w:tcPr>
            <w:tcW w:w="1762" w:type="dxa"/>
          </w:tcPr>
          <w:p w:rsidR="00F4116C" w:rsidRDefault="00F4116C" w:rsidP="00F4116C">
            <w:pPr>
              <w:jc w:val="center"/>
            </w:pPr>
            <w:r>
              <w:t>65</w:t>
            </w:r>
          </w:p>
        </w:tc>
        <w:tc>
          <w:tcPr>
            <w:tcW w:w="1591" w:type="dxa"/>
          </w:tcPr>
          <w:p w:rsidR="00F4116C" w:rsidRDefault="00F4116C" w:rsidP="00F4116C">
            <w:pPr>
              <w:jc w:val="center"/>
            </w:pPr>
            <w:r>
              <w:t>313</w:t>
            </w:r>
          </w:p>
        </w:tc>
        <w:tc>
          <w:tcPr>
            <w:tcW w:w="2099" w:type="dxa"/>
          </w:tcPr>
          <w:p w:rsidR="00F4116C" w:rsidRDefault="00F4116C" w:rsidP="00F4116C">
            <w:pPr>
              <w:jc w:val="center"/>
            </w:pPr>
            <w:r>
              <w:t>325 to 650</w:t>
            </w:r>
          </w:p>
        </w:tc>
        <w:tc>
          <w:tcPr>
            <w:tcW w:w="1309" w:type="dxa"/>
          </w:tcPr>
          <w:p w:rsidR="00F4116C" w:rsidRDefault="00F4116C" w:rsidP="00F4116C">
            <w:pPr>
              <w:jc w:val="center"/>
            </w:pPr>
            <w:r>
              <w:t>90%</w:t>
            </w:r>
          </w:p>
        </w:tc>
        <w:tc>
          <w:tcPr>
            <w:tcW w:w="1590" w:type="dxa"/>
          </w:tcPr>
          <w:p w:rsidR="00F4116C" w:rsidRDefault="00F4116C" w:rsidP="00F4116C">
            <w:pPr>
              <w:jc w:val="center"/>
            </w:pPr>
            <w:r>
              <w:t>78</w:t>
            </w:r>
          </w:p>
        </w:tc>
      </w:tr>
      <w:tr w:rsidR="00F4116C" w:rsidTr="00F4116C">
        <w:tc>
          <w:tcPr>
            <w:tcW w:w="1030" w:type="dxa"/>
          </w:tcPr>
          <w:p w:rsidR="00F4116C" w:rsidRDefault="00F4116C" w:rsidP="00F4116C">
            <w:r>
              <w:t>Missouri</w:t>
            </w:r>
          </w:p>
        </w:tc>
        <w:tc>
          <w:tcPr>
            <w:tcW w:w="1762" w:type="dxa"/>
          </w:tcPr>
          <w:p w:rsidR="00F4116C" w:rsidRDefault="00F4116C" w:rsidP="00F4116C">
            <w:pPr>
              <w:jc w:val="center"/>
            </w:pPr>
            <w:r>
              <w:t>63</w:t>
            </w:r>
          </w:p>
        </w:tc>
        <w:tc>
          <w:tcPr>
            <w:tcW w:w="1591" w:type="dxa"/>
          </w:tcPr>
          <w:p w:rsidR="00F4116C" w:rsidRDefault="00F4116C" w:rsidP="00F4116C">
            <w:pPr>
              <w:jc w:val="center"/>
            </w:pPr>
            <w:r>
              <w:t>288</w:t>
            </w:r>
          </w:p>
        </w:tc>
        <w:tc>
          <w:tcPr>
            <w:tcW w:w="2099" w:type="dxa"/>
          </w:tcPr>
          <w:p w:rsidR="00F4116C" w:rsidRDefault="00F4116C" w:rsidP="00F4116C">
            <w:pPr>
              <w:jc w:val="center"/>
            </w:pPr>
            <w:r>
              <w:t>315 to 630</w:t>
            </w:r>
          </w:p>
        </w:tc>
        <w:tc>
          <w:tcPr>
            <w:tcW w:w="1309" w:type="dxa"/>
          </w:tcPr>
          <w:p w:rsidR="00F4116C" w:rsidRDefault="00F4116C" w:rsidP="00F4116C">
            <w:pPr>
              <w:jc w:val="center"/>
            </w:pPr>
            <w:r>
              <w:t>90%</w:t>
            </w:r>
          </w:p>
        </w:tc>
        <w:tc>
          <w:tcPr>
            <w:tcW w:w="1590" w:type="dxa"/>
          </w:tcPr>
          <w:p w:rsidR="00F4116C" w:rsidRDefault="00F4116C" w:rsidP="00F4116C">
            <w:pPr>
              <w:jc w:val="center"/>
            </w:pPr>
            <w:r>
              <w:t>84</w:t>
            </w:r>
          </w:p>
        </w:tc>
      </w:tr>
    </w:tbl>
    <w:p w:rsidR="00CA0BE3" w:rsidRDefault="00CA0BE3" w:rsidP="005023F2">
      <w:pPr>
        <w:rPr>
          <w:b/>
          <w:u w:val="single"/>
        </w:rPr>
      </w:pPr>
    </w:p>
    <w:p w:rsidR="00F4116C" w:rsidRDefault="001F421D" w:rsidP="00CA0BE3">
      <w:pPr>
        <w:pStyle w:val="Heading3"/>
      </w:pPr>
      <w:bookmarkStart w:id="8" w:name="_Toc352313135"/>
      <w:r w:rsidRPr="001F421D">
        <w:t>Data Collection</w:t>
      </w:r>
      <w:bookmarkEnd w:id="8"/>
      <w:r w:rsidRPr="001F421D">
        <w:t xml:space="preserve"> </w:t>
      </w:r>
    </w:p>
    <w:p w:rsidR="001F421D" w:rsidRDefault="001F421D" w:rsidP="005023F2">
      <w:r>
        <w:t>Prior to data collection, teachers will be asked to sign a consent form to participate in the study, which will provide them with information on the procedures for collecting data, including information about how the researchers will protect the confidential data. Researchers plan to hold on</w:t>
      </w:r>
      <w:r w:rsidR="004E4EA6">
        <w:t>-</w:t>
      </w:r>
      <w:r>
        <w:t xml:space="preserve">site meetings with teachers to provide information about the study and to collect consent forms. </w:t>
      </w:r>
      <w:r w:rsidR="005023F2">
        <w:t xml:space="preserve">States and districts participating in the study will be members of the research alliance. At the start of the study, researchers will identify a point of contact within each district </w:t>
      </w:r>
      <w:proofErr w:type="gramStart"/>
      <w:r w:rsidR="005023F2">
        <w:t>who</w:t>
      </w:r>
      <w:proofErr w:type="gramEnd"/>
      <w:r w:rsidR="005023F2">
        <w:t xml:space="preserve"> will provide the evaluation rating data, including a unique teacher identifier, and teacher email addresses for invitation.</w:t>
      </w:r>
    </w:p>
    <w:p w:rsidR="001F421D" w:rsidRPr="001F421D" w:rsidRDefault="001F421D" w:rsidP="00CA0BE3">
      <w:pPr>
        <w:pStyle w:val="Heading4"/>
        <w:rPr>
          <w:rFonts w:eastAsiaTheme="minorHAnsi"/>
        </w:rPr>
      </w:pPr>
      <w:r w:rsidRPr="001F421D">
        <w:rPr>
          <w:rFonts w:eastAsiaTheme="minorHAnsi"/>
        </w:rPr>
        <w:lastRenderedPageBreak/>
        <w:t>Pilot Tests Data Collection Procedures</w:t>
      </w:r>
    </w:p>
    <w:p w:rsidR="001F421D" w:rsidRPr="001F421D" w:rsidRDefault="001F421D" w:rsidP="005023F2">
      <w:pPr>
        <w:pStyle w:val="BodyText"/>
        <w:spacing w:after="200" w:line="276" w:lineRule="auto"/>
        <w:rPr>
          <w:rFonts w:asciiTheme="minorHAnsi" w:eastAsiaTheme="minorHAnsi" w:hAnsiTheme="minorHAnsi" w:cstheme="minorBidi"/>
          <w:sz w:val="22"/>
          <w:szCs w:val="22"/>
        </w:rPr>
      </w:pPr>
      <w:r w:rsidRPr="001F421D">
        <w:rPr>
          <w:rFonts w:asciiTheme="minorHAnsi" w:eastAsiaTheme="minorHAnsi" w:hAnsiTheme="minorHAnsi" w:cstheme="minorBidi"/>
          <w:sz w:val="22"/>
          <w:szCs w:val="22"/>
        </w:rPr>
        <w:t xml:space="preserve">The pilot test includes two data collection instruments: a researcher-developed survey and a teacher interview protocol. Researchers will obtain a list of email addresses for teachers who agreed to participate from the districts and will also collect email addresses on the consent forms to verify addresses as necessary. The email addresses will be associated with a unique identification number and uploaded into an online survey software system such as </w:t>
      </w:r>
      <w:proofErr w:type="spellStart"/>
      <w:r w:rsidR="00E71EB6" w:rsidRPr="001F421D">
        <w:rPr>
          <w:rFonts w:asciiTheme="minorHAnsi" w:eastAsiaTheme="minorHAnsi" w:hAnsiTheme="minorHAnsi" w:cstheme="minorBidi"/>
          <w:sz w:val="22"/>
          <w:szCs w:val="22"/>
        </w:rPr>
        <w:t>Survey</w:t>
      </w:r>
      <w:r w:rsidR="00E71EB6">
        <w:rPr>
          <w:rFonts w:asciiTheme="minorHAnsi" w:eastAsiaTheme="minorHAnsi" w:hAnsiTheme="minorHAnsi" w:cstheme="minorBidi"/>
          <w:sz w:val="22"/>
          <w:szCs w:val="22"/>
        </w:rPr>
        <w:t>Gizmo</w:t>
      </w:r>
      <w:proofErr w:type="spellEnd"/>
      <w:r w:rsidRPr="001F421D">
        <w:rPr>
          <w:rFonts w:asciiTheme="minorHAnsi" w:eastAsiaTheme="minorHAnsi" w:hAnsiTheme="minorHAnsi" w:cstheme="minorBidi"/>
          <w:sz w:val="22"/>
          <w:szCs w:val="22"/>
        </w:rPr>
        <w:t xml:space="preserve">. An online survey will be administered to teachers in the pilot sample near the end of the 2013–14 school </w:t>
      </w:r>
      <w:proofErr w:type="gramStart"/>
      <w:r w:rsidRPr="001F421D">
        <w:rPr>
          <w:rFonts w:asciiTheme="minorHAnsi" w:eastAsiaTheme="minorHAnsi" w:hAnsiTheme="minorHAnsi" w:cstheme="minorBidi"/>
          <w:sz w:val="22"/>
          <w:szCs w:val="22"/>
        </w:rPr>
        <w:t>year</w:t>
      </w:r>
      <w:proofErr w:type="gramEnd"/>
      <w:r w:rsidRPr="001F421D">
        <w:rPr>
          <w:rFonts w:asciiTheme="minorHAnsi" w:eastAsiaTheme="minorHAnsi" w:hAnsiTheme="minorHAnsi" w:cstheme="minorBidi"/>
          <w:sz w:val="22"/>
          <w:szCs w:val="22"/>
        </w:rPr>
        <w:t xml:space="preserve">. The survey will take approximately 30 minutes to complete. Shortly after the survey is administered, a subset of approximately 20 teachers will also be asked to participate in an interview in which they will be asked to provide feedback on the clarity of the survey. </w:t>
      </w:r>
      <w:r w:rsidR="00864089">
        <w:rPr>
          <w:rFonts w:asciiTheme="minorHAnsi" w:eastAsiaTheme="minorHAnsi" w:hAnsiTheme="minorHAnsi" w:cstheme="minorBidi"/>
          <w:sz w:val="22"/>
          <w:szCs w:val="22"/>
        </w:rPr>
        <w:t>The 20 teachers will be</w:t>
      </w:r>
      <w:r w:rsidR="002424B5">
        <w:rPr>
          <w:rFonts w:asciiTheme="minorHAnsi" w:eastAsiaTheme="minorHAnsi" w:hAnsiTheme="minorHAnsi" w:cstheme="minorBidi"/>
          <w:sz w:val="22"/>
          <w:szCs w:val="22"/>
        </w:rPr>
        <w:t xml:space="preserve"> purposively</w:t>
      </w:r>
      <w:r w:rsidR="00864089">
        <w:rPr>
          <w:rFonts w:asciiTheme="minorHAnsi" w:eastAsiaTheme="minorHAnsi" w:hAnsiTheme="minorHAnsi" w:cstheme="minorBidi"/>
          <w:sz w:val="22"/>
          <w:szCs w:val="22"/>
        </w:rPr>
        <w:t xml:space="preserve"> selected to represent various response patterns on the survey</w:t>
      </w:r>
      <w:r w:rsidR="00A045EF">
        <w:rPr>
          <w:rFonts w:asciiTheme="minorHAnsi" w:eastAsiaTheme="minorHAnsi" w:hAnsiTheme="minorHAnsi" w:cstheme="minorBidi"/>
          <w:sz w:val="22"/>
          <w:szCs w:val="22"/>
        </w:rPr>
        <w:t xml:space="preserve"> (such as levels of agreement or disagreement)</w:t>
      </w:r>
      <w:r w:rsidR="00864089">
        <w:rPr>
          <w:rFonts w:asciiTheme="minorHAnsi" w:eastAsiaTheme="minorHAnsi" w:hAnsiTheme="minorHAnsi" w:cstheme="minorBidi"/>
          <w:sz w:val="22"/>
          <w:szCs w:val="22"/>
        </w:rPr>
        <w:t xml:space="preserve">. </w:t>
      </w:r>
      <w:r w:rsidRPr="001F421D">
        <w:rPr>
          <w:rFonts w:asciiTheme="minorHAnsi" w:eastAsiaTheme="minorHAnsi" w:hAnsiTheme="minorHAnsi" w:cstheme="minorBidi"/>
          <w:sz w:val="22"/>
          <w:szCs w:val="22"/>
        </w:rPr>
        <w:t>The</w:t>
      </w:r>
      <w:r w:rsidR="00864089">
        <w:rPr>
          <w:rFonts w:asciiTheme="minorHAnsi" w:eastAsiaTheme="minorHAnsi" w:hAnsiTheme="minorHAnsi" w:cstheme="minorBidi"/>
          <w:sz w:val="22"/>
          <w:szCs w:val="22"/>
        </w:rPr>
        <w:t xml:space="preserve"> in-person</w:t>
      </w:r>
      <w:r w:rsidRPr="001F421D">
        <w:rPr>
          <w:rFonts w:asciiTheme="minorHAnsi" w:eastAsiaTheme="minorHAnsi" w:hAnsiTheme="minorHAnsi" w:cstheme="minorBidi"/>
          <w:sz w:val="22"/>
          <w:szCs w:val="22"/>
        </w:rPr>
        <w:t xml:space="preserve"> interview wil</w:t>
      </w:r>
      <w:r w:rsidR="005023F2">
        <w:rPr>
          <w:rFonts w:asciiTheme="minorHAnsi" w:eastAsiaTheme="minorHAnsi" w:hAnsiTheme="minorHAnsi" w:cstheme="minorBidi"/>
          <w:sz w:val="22"/>
          <w:szCs w:val="22"/>
        </w:rPr>
        <w:t xml:space="preserve">l last approximately one hour. </w:t>
      </w:r>
    </w:p>
    <w:p w:rsidR="001F421D" w:rsidRPr="001F421D" w:rsidRDefault="001F421D" w:rsidP="00CA0BE3">
      <w:pPr>
        <w:pStyle w:val="Heading4"/>
        <w:rPr>
          <w:rFonts w:eastAsiaTheme="minorHAnsi"/>
        </w:rPr>
      </w:pPr>
      <w:r w:rsidRPr="001F421D">
        <w:rPr>
          <w:rFonts w:eastAsiaTheme="minorHAnsi"/>
        </w:rPr>
        <w:t>Full Study Data Collection Procedures</w:t>
      </w:r>
    </w:p>
    <w:p w:rsidR="001F421D" w:rsidRPr="001F421D" w:rsidRDefault="001F421D" w:rsidP="005023F2">
      <w:r>
        <w:t xml:space="preserve">The study involves two data collection instruments: a teacher evaluation instrument already in use in the districts and a researcher-developed teacher survey. </w:t>
      </w:r>
    </w:p>
    <w:p w:rsidR="001F421D" w:rsidRPr="001F421D" w:rsidRDefault="001F421D" w:rsidP="005023F2">
      <w:pPr>
        <w:pStyle w:val="BodyText"/>
        <w:spacing w:after="200" w:line="276" w:lineRule="auto"/>
        <w:rPr>
          <w:rFonts w:asciiTheme="minorHAnsi" w:eastAsiaTheme="minorHAnsi" w:hAnsiTheme="minorHAnsi" w:cstheme="minorBidi"/>
          <w:sz w:val="22"/>
          <w:szCs w:val="22"/>
        </w:rPr>
      </w:pPr>
      <w:proofErr w:type="gramStart"/>
      <w:r w:rsidRPr="00CA0BE3">
        <w:rPr>
          <w:rStyle w:val="Heading5Char"/>
          <w:rFonts w:asciiTheme="minorHAnsi" w:eastAsiaTheme="minorHAnsi" w:hAnsiTheme="minorHAnsi" w:cstheme="minorHAnsi"/>
          <w:sz w:val="22"/>
          <w:szCs w:val="22"/>
        </w:rPr>
        <w:t>Teacher Evaluation Instrument.</w:t>
      </w:r>
      <w:proofErr w:type="gramEnd"/>
      <w:r w:rsidRPr="001F421D">
        <w:rPr>
          <w:rFonts w:asciiTheme="minorHAnsi" w:eastAsiaTheme="minorHAnsi" w:hAnsiTheme="minorHAnsi" w:cstheme="minorBidi"/>
          <w:sz w:val="22"/>
          <w:szCs w:val="22"/>
        </w:rPr>
        <w:t xml:space="preserve"> Within each of the states</w:t>
      </w:r>
      <w:r w:rsidR="005F6CCA">
        <w:rPr>
          <w:rFonts w:asciiTheme="minorHAnsi" w:eastAsiaTheme="minorHAnsi" w:hAnsiTheme="minorHAnsi" w:cstheme="minorBidi"/>
          <w:sz w:val="22"/>
          <w:szCs w:val="22"/>
        </w:rPr>
        <w:t>,</w:t>
      </w:r>
      <w:r w:rsidRPr="001F421D">
        <w:rPr>
          <w:rFonts w:asciiTheme="minorHAnsi" w:eastAsiaTheme="minorHAnsi" w:hAnsiTheme="minorHAnsi" w:cstheme="minorBidi"/>
          <w:sz w:val="22"/>
          <w:szCs w:val="22"/>
        </w:rPr>
        <w:t xml:space="preserve"> teachers currently receive a performance rating based on the</w:t>
      </w:r>
      <w:r w:rsidR="005F6CCA">
        <w:rPr>
          <w:rFonts w:asciiTheme="minorHAnsi" w:eastAsiaTheme="minorHAnsi" w:hAnsiTheme="minorHAnsi" w:cstheme="minorBidi"/>
          <w:sz w:val="22"/>
          <w:szCs w:val="22"/>
        </w:rPr>
        <w:t>ir</w:t>
      </w:r>
      <w:r w:rsidRPr="001F421D">
        <w:rPr>
          <w:rFonts w:asciiTheme="minorHAnsi" w:eastAsiaTheme="minorHAnsi" w:hAnsiTheme="minorHAnsi" w:cstheme="minorBidi"/>
          <w:sz w:val="22"/>
          <w:szCs w:val="22"/>
        </w:rPr>
        <w:t xml:space="preserve"> state’s teacher evaluation instrument. At the start of the study, researchers will identify a point of contact within each district </w:t>
      </w:r>
      <w:proofErr w:type="gramStart"/>
      <w:r w:rsidRPr="001F421D">
        <w:rPr>
          <w:rFonts w:asciiTheme="minorHAnsi" w:eastAsiaTheme="minorHAnsi" w:hAnsiTheme="minorHAnsi" w:cstheme="minorBidi"/>
          <w:sz w:val="22"/>
          <w:szCs w:val="22"/>
        </w:rPr>
        <w:t>who</w:t>
      </w:r>
      <w:proofErr w:type="gramEnd"/>
      <w:r w:rsidRPr="001F421D">
        <w:rPr>
          <w:rFonts w:asciiTheme="minorHAnsi" w:eastAsiaTheme="minorHAnsi" w:hAnsiTheme="minorHAnsi" w:cstheme="minorBidi"/>
          <w:sz w:val="22"/>
          <w:szCs w:val="22"/>
        </w:rPr>
        <w:t xml:space="preserve"> will provide the teacher evaluation rating data, including a unique teacher identifier. Prior to study implementation, researchers will work with their contact in the district to set up protocols for collecting this data to ensure that th</w:t>
      </w:r>
      <w:r w:rsidR="005023F2">
        <w:rPr>
          <w:rFonts w:asciiTheme="minorHAnsi" w:eastAsiaTheme="minorHAnsi" w:hAnsiTheme="minorHAnsi" w:cstheme="minorBidi"/>
          <w:sz w:val="22"/>
          <w:szCs w:val="22"/>
        </w:rPr>
        <w:t>e data is in the needed format.</w:t>
      </w:r>
      <w:r w:rsidR="007002C2">
        <w:rPr>
          <w:rFonts w:asciiTheme="minorHAnsi" w:eastAsiaTheme="minorHAnsi" w:hAnsiTheme="minorHAnsi" w:cstheme="minorBidi"/>
          <w:sz w:val="22"/>
          <w:szCs w:val="22"/>
        </w:rPr>
        <w:t xml:space="preserve"> A copy of the</w:t>
      </w:r>
      <w:r w:rsidR="000B0D57">
        <w:rPr>
          <w:rFonts w:asciiTheme="minorHAnsi" w:eastAsiaTheme="minorHAnsi" w:hAnsiTheme="minorHAnsi" w:cstheme="minorBidi"/>
          <w:sz w:val="22"/>
          <w:szCs w:val="22"/>
        </w:rPr>
        <w:t xml:space="preserve"> current draft of the</w:t>
      </w:r>
      <w:r w:rsidR="007002C2">
        <w:rPr>
          <w:rFonts w:asciiTheme="minorHAnsi" w:eastAsiaTheme="minorHAnsi" w:hAnsiTheme="minorHAnsi" w:cstheme="minorBidi"/>
          <w:sz w:val="22"/>
          <w:szCs w:val="22"/>
        </w:rPr>
        <w:t xml:space="preserve"> teacher evaluation </w:t>
      </w:r>
      <w:r w:rsidR="000B0D57">
        <w:rPr>
          <w:rFonts w:asciiTheme="minorHAnsi" w:eastAsiaTheme="minorHAnsi" w:hAnsiTheme="minorHAnsi" w:cstheme="minorBidi"/>
          <w:sz w:val="22"/>
          <w:szCs w:val="22"/>
        </w:rPr>
        <w:t>protocol</w:t>
      </w:r>
      <w:r w:rsidR="007002C2">
        <w:rPr>
          <w:rFonts w:asciiTheme="minorHAnsi" w:eastAsiaTheme="minorHAnsi" w:hAnsiTheme="minorHAnsi" w:cstheme="minorBidi"/>
          <w:sz w:val="22"/>
          <w:szCs w:val="22"/>
        </w:rPr>
        <w:t xml:space="preserve"> for each state </w:t>
      </w:r>
      <w:r w:rsidR="000B0D57">
        <w:rPr>
          <w:rFonts w:asciiTheme="minorHAnsi" w:eastAsiaTheme="minorHAnsi" w:hAnsiTheme="minorHAnsi" w:cstheme="minorBidi"/>
          <w:sz w:val="22"/>
          <w:szCs w:val="22"/>
        </w:rPr>
        <w:t>is</w:t>
      </w:r>
      <w:r w:rsidR="007002C2">
        <w:rPr>
          <w:rFonts w:asciiTheme="minorHAnsi" w:eastAsiaTheme="minorHAnsi" w:hAnsiTheme="minorHAnsi" w:cstheme="minorBidi"/>
          <w:sz w:val="22"/>
          <w:szCs w:val="22"/>
        </w:rPr>
        <w:t xml:space="preserve"> provided in Attachment H (Colorado), Attachment I (Missouri) and Attachment J (Kansas).</w:t>
      </w:r>
    </w:p>
    <w:p w:rsidR="001F421D" w:rsidRPr="001F421D" w:rsidRDefault="001F421D" w:rsidP="005023F2">
      <w:pPr>
        <w:pStyle w:val="BodyText"/>
        <w:spacing w:after="200" w:line="276" w:lineRule="auto"/>
        <w:rPr>
          <w:rFonts w:asciiTheme="minorHAnsi" w:eastAsiaTheme="minorHAnsi" w:hAnsiTheme="minorHAnsi" w:cstheme="minorBidi"/>
          <w:sz w:val="22"/>
          <w:szCs w:val="22"/>
        </w:rPr>
      </w:pPr>
      <w:proofErr w:type="gramStart"/>
      <w:r w:rsidRPr="00CA0BE3">
        <w:rPr>
          <w:rStyle w:val="Heading5Char"/>
          <w:rFonts w:asciiTheme="minorHAnsi" w:eastAsiaTheme="minorHAnsi" w:hAnsiTheme="minorHAnsi" w:cstheme="minorHAnsi"/>
          <w:sz w:val="22"/>
          <w:szCs w:val="22"/>
        </w:rPr>
        <w:t>Teacher Survey.</w:t>
      </w:r>
      <w:proofErr w:type="gramEnd"/>
      <w:r w:rsidRPr="001F421D">
        <w:rPr>
          <w:rFonts w:asciiTheme="minorHAnsi" w:eastAsiaTheme="minorHAnsi" w:hAnsiTheme="minorHAnsi" w:cstheme="minorBidi"/>
          <w:sz w:val="22"/>
          <w:szCs w:val="22"/>
        </w:rPr>
        <w:t xml:space="preserve"> Researchers will obtain a list of email addresses for teachers who agreed to participate from the district</w:t>
      </w:r>
      <w:r w:rsidR="00A045EF">
        <w:rPr>
          <w:rFonts w:asciiTheme="minorHAnsi" w:eastAsiaTheme="minorHAnsi" w:hAnsiTheme="minorHAnsi" w:cstheme="minorBidi"/>
          <w:sz w:val="22"/>
          <w:szCs w:val="22"/>
        </w:rPr>
        <w:t xml:space="preserve"> contact</w:t>
      </w:r>
      <w:r w:rsidRPr="001F421D">
        <w:rPr>
          <w:rFonts w:asciiTheme="minorHAnsi" w:eastAsiaTheme="minorHAnsi" w:hAnsiTheme="minorHAnsi" w:cstheme="minorBidi"/>
          <w:sz w:val="22"/>
          <w:szCs w:val="22"/>
        </w:rPr>
        <w:t xml:space="preserve"> and will also collect email addresses on the consent forms to use to verify email addresses as necessary. The email addresses will be associated with a unique identification number and uploaded into an online survey software system such as </w:t>
      </w:r>
      <w:proofErr w:type="spellStart"/>
      <w:r w:rsidR="00E71EB6" w:rsidRPr="001F421D">
        <w:rPr>
          <w:rFonts w:asciiTheme="minorHAnsi" w:eastAsiaTheme="minorHAnsi" w:hAnsiTheme="minorHAnsi" w:cstheme="minorBidi"/>
          <w:sz w:val="22"/>
          <w:szCs w:val="22"/>
        </w:rPr>
        <w:t>Survey</w:t>
      </w:r>
      <w:r w:rsidR="00E71EB6">
        <w:rPr>
          <w:rFonts w:asciiTheme="minorHAnsi" w:eastAsiaTheme="minorHAnsi" w:hAnsiTheme="minorHAnsi" w:cstheme="minorBidi"/>
          <w:sz w:val="22"/>
          <w:szCs w:val="22"/>
        </w:rPr>
        <w:t>Gizmo</w:t>
      </w:r>
      <w:proofErr w:type="spellEnd"/>
      <w:r w:rsidRPr="001F421D">
        <w:rPr>
          <w:rFonts w:asciiTheme="minorHAnsi" w:eastAsiaTheme="minorHAnsi" w:hAnsiTheme="minorHAnsi" w:cstheme="minorBidi"/>
          <w:sz w:val="22"/>
          <w:szCs w:val="22"/>
        </w:rPr>
        <w:t>. Online surveys will be administered to teachers who agree to participate in the study. The survey takes approximately 30 minutes to complete. In order to maximize response rates, pre-invitation an</w:t>
      </w:r>
      <w:r w:rsidR="00CA0BE3">
        <w:rPr>
          <w:rFonts w:asciiTheme="minorHAnsi" w:eastAsiaTheme="minorHAnsi" w:hAnsiTheme="minorHAnsi" w:cstheme="minorBidi"/>
          <w:sz w:val="22"/>
          <w:szCs w:val="22"/>
        </w:rPr>
        <w:t>d reminder emails will be sent.</w:t>
      </w:r>
    </w:p>
    <w:p w:rsidR="001F421D" w:rsidRPr="005023F2" w:rsidRDefault="001F421D" w:rsidP="002A716E">
      <w:r>
        <w:t xml:space="preserve">Researchers will combine evaluation data from each district into one data set for each state. Teacher survey data and evaluation rating data will be combined using a relational database that links the data based on the teacher’s assigned identification number. </w:t>
      </w:r>
    </w:p>
    <w:p w:rsidR="002A716E" w:rsidRDefault="002A716E" w:rsidP="00CA0BE3">
      <w:pPr>
        <w:rPr>
          <w:i/>
          <w:color w:val="FF0000"/>
        </w:rPr>
      </w:pPr>
      <w:bookmarkStart w:id="9" w:name="_Toc352313136"/>
      <w:r w:rsidRPr="006D792F">
        <w:rPr>
          <w:rStyle w:val="Heading2Char"/>
        </w:rPr>
        <w:t xml:space="preserve">B3. </w:t>
      </w:r>
      <w:r w:rsidR="00CA0BE3" w:rsidRPr="00CA0BE3">
        <w:rPr>
          <w:rStyle w:val="Heading2Char"/>
        </w:rPr>
        <w:t>M</w:t>
      </w:r>
      <w:r w:rsidR="00CA0BE3">
        <w:rPr>
          <w:rStyle w:val="Heading2Char"/>
        </w:rPr>
        <w:t>ethods to Maximize Response Rates and To Deal W</w:t>
      </w:r>
      <w:r w:rsidRPr="00CA0BE3">
        <w:rPr>
          <w:rStyle w:val="Heading2Char"/>
        </w:rPr>
        <w:t xml:space="preserve">ith </w:t>
      </w:r>
      <w:r w:rsidR="00CA0BE3">
        <w:rPr>
          <w:rStyle w:val="Heading2Char"/>
        </w:rPr>
        <w:t>Non-R</w:t>
      </w:r>
      <w:r w:rsidRPr="00CA0BE3">
        <w:rPr>
          <w:rStyle w:val="Heading2Char"/>
        </w:rPr>
        <w:t>esponse</w:t>
      </w:r>
      <w:bookmarkEnd w:id="9"/>
    </w:p>
    <w:p w:rsidR="0004510B" w:rsidRDefault="00163248" w:rsidP="00F4116C">
      <w:r>
        <w:t xml:space="preserve">In order to maximize the response rate, we will employ techniques identified in the tailored design survey methods </w:t>
      </w:r>
      <w:r w:rsidRPr="00857DDA">
        <w:t>(</w:t>
      </w:r>
      <w:proofErr w:type="spellStart"/>
      <w:r w:rsidRPr="00857DDA">
        <w:t>Dillman</w:t>
      </w:r>
      <w:proofErr w:type="spellEnd"/>
      <w:r w:rsidRPr="00857DDA">
        <w:t>, 2000).</w:t>
      </w:r>
      <w:r>
        <w:t xml:space="preserve"> The tailored design method </w:t>
      </w:r>
      <w:r w:rsidR="009B6B60">
        <w:t>emphasizes</w:t>
      </w:r>
      <w:r w:rsidR="0004510B">
        <w:t xml:space="preserve"> developing easily</w:t>
      </w:r>
      <w:r w:rsidR="0071002C">
        <w:t>-</w:t>
      </w:r>
      <w:r w:rsidR="0004510B">
        <w:t>understood</w:t>
      </w:r>
      <w:r w:rsidR="0071002C">
        <w:t>,</w:t>
      </w:r>
      <w:r w:rsidR="0004510B">
        <w:t xml:space="preserve"> brief survey</w:t>
      </w:r>
      <w:r w:rsidR="009B6B60">
        <w:t>s</w:t>
      </w:r>
      <w:r w:rsidR="0004510B">
        <w:t>, and</w:t>
      </w:r>
      <w:r>
        <w:t xml:space="preserve"> </w:t>
      </w:r>
      <w:r w:rsidR="0071002C">
        <w:t xml:space="preserve">using </w:t>
      </w:r>
      <w:r>
        <w:t>personalized and repeated c</w:t>
      </w:r>
      <w:r w:rsidR="009B6B60">
        <w:t>ommunication with participants as methods for increasing response rates.</w:t>
      </w:r>
    </w:p>
    <w:p w:rsidR="0004510B" w:rsidRDefault="0004510B" w:rsidP="0004510B">
      <w:r>
        <w:lastRenderedPageBreak/>
        <w:t xml:space="preserve">We will aim to minimize the burden on the participants by designing a survey that is easily understood and takes a minimal amount of time to complete, and by working with educators to determine a window of time within the school year to administer the online survey that would allow for greater response. We will involve members of our research alliance, including key personnel in the state and districts, early in the research process. The involvement of key personnel will </w:t>
      </w:r>
      <w:r w:rsidR="009B6B60">
        <w:t xml:space="preserve">help with </w:t>
      </w:r>
      <w:r>
        <w:t xml:space="preserve">appropriate messaging about the </w:t>
      </w:r>
      <w:proofErr w:type="gramStart"/>
      <w:r>
        <w:t>study,</w:t>
      </w:r>
      <w:proofErr w:type="gramEnd"/>
      <w:r>
        <w:t xml:space="preserve"> and </w:t>
      </w:r>
      <w:r w:rsidR="009B6B60">
        <w:t>communication about</w:t>
      </w:r>
      <w:r>
        <w:t xml:space="preserve"> the importance of the study to states and districts.</w:t>
      </w:r>
    </w:p>
    <w:p w:rsidR="00F4116C" w:rsidRPr="004B4558" w:rsidRDefault="009B6B60" w:rsidP="0071002C">
      <w:pPr>
        <w:rPr>
          <w:rFonts w:cstheme="minorHAnsi"/>
          <w:color w:val="231F20"/>
        </w:rPr>
      </w:pPr>
      <w:r>
        <w:t>I</w:t>
      </w:r>
      <w:r w:rsidR="0004510B">
        <w:t xml:space="preserve">n order to obtain an 80% or higher response rate, as suggested by the Office of Management and Budget (2006), </w:t>
      </w:r>
      <w:r>
        <w:t>we will focus on personalized and repeated communication. W</w:t>
      </w:r>
      <w:r w:rsidR="00E74F53">
        <w:t>e will first meet in</w:t>
      </w:r>
      <w:r w:rsidR="0071002C">
        <w:t>-</w:t>
      </w:r>
      <w:r w:rsidR="00E74F53">
        <w:t xml:space="preserve">person with teachers, followed by </w:t>
      </w:r>
      <w:r w:rsidR="0004510B">
        <w:t xml:space="preserve">personalized </w:t>
      </w:r>
      <w:r w:rsidR="00E74F53">
        <w:t>email invitations</w:t>
      </w:r>
      <w:r w:rsidR="0004510B">
        <w:t>, and targeted email reminder</w:t>
      </w:r>
      <w:r>
        <w:t xml:space="preserve">s. </w:t>
      </w:r>
      <w:r w:rsidR="0004510B">
        <w:t>In addition, we will offer incentives for participation.</w:t>
      </w:r>
      <w:r w:rsidR="00E74F53">
        <w:t xml:space="preserve"> Because we are collecting teacher evaluation rating in addition to the survey data, </w:t>
      </w:r>
      <w:r w:rsidR="0004510B">
        <w:t xml:space="preserve">and teacher evaluation rating data is somewhat sensitive information, it will be important for the participants to have an understanding of how this data will be used. Teachers who are identified in the sample will be invited to attend an </w:t>
      </w:r>
      <w:r w:rsidR="0071002C">
        <w:t>in-</w:t>
      </w:r>
      <w:r w:rsidR="0004510B">
        <w:t xml:space="preserve">person meeting </w:t>
      </w:r>
      <w:r>
        <w:t xml:space="preserve">in which they </w:t>
      </w:r>
      <w:r w:rsidR="0004510B">
        <w:t xml:space="preserve">will </w:t>
      </w:r>
      <w:r>
        <w:t>receive</w:t>
      </w:r>
      <w:r w:rsidR="0004510B">
        <w:t xml:space="preserve"> information on the</w:t>
      </w:r>
      <w:r>
        <w:t xml:space="preserve"> study and</w:t>
      </w:r>
      <w:r w:rsidR="0004510B">
        <w:t xml:space="preserve"> procedures for collecting data, including information about how the researchers will protect the confidential data. </w:t>
      </w:r>
      <w:r w:rsidR="00830F01">
        <w:t xml:space="preserve">Consent forms will be collected during this meeting; therefore, teachers will provide consent to participate prior to receiving the survey email invitation.  </w:t>
      </w:r>
      <w:r>
        <w:t>We will communicate with our district contacts to coordinate the in-person meeting, so that the invitat</w:t>
      </w:r>
      <w:r w:rsidR="009A7D1C">
        <w:t>ion will come from the district and teachers will meet in a central location in the district in which the district typically convenes teachers.</w:t>
      </w:r>
      <w:r w:rsidDel="0004510B">
        <w:t xml:space="preserve"> </w:t>
      </w:r>
      <w:r w:rsidR="00A55683" w:rsidRPr="004B4558">
        <w:t>The district contact will send a letter about the study with the invitation to the in-person meeting. In this letter, the district contact will show their support and endorsement of the study and explain to teacher</w:t>
      </w:r>
      <w:r w:rsidR="00661E46" w:rsidRPr="004B4558">
        <w:t>s</w:t>
      </w:r>
      <w:r w:rsidR="00A55683" w:rsidRPr="004B4558">
        <w:t xml:space="preserve"> the benefits of their participation. </w:t>
      </w:r>
      <w:r w:rsidR="00D3439B" w:rsidRPr="004B4558">
        <w:t>Researchers will also send up to three targeted email reminders in order to increase the response rate</w:t>
      </w:r>
      <w:r w:rsidR="00C8777A" w:rsidRPr="004B4558">
        <w:t xml:space="preserve"> (see Attachment </w:t>
      </w:r>
      <w:r w:rsidRPr="004B4558">
        <w:t>G</w:t>
      </w:r>
      <w:r w:rsidR="00C8777A" w:rsidRPr="004B4558">
        <w:t xml:space="preserve"> for the email invitation and reminders)</w:t>
      </w:r>
      <w:r w:rsidR="00D3439B" w:rsidRPr="004B4558">
        <w:t xml:space="preserve">. </w:t>
      </w:r>
      <w:r w:rsidR="00A55683" w:rsidRPr="004B4558">
        <w:t>If teachers do not respond after two email reminders, we will also send a reminder in the mail to the teacher’s school address.</w:t>
      </w:r>
      <w:r w:rsidR="00A55683" w:rsidRPr="002E13F5">
        <w:rPr>
          <w:color w:val="FF0000"/>
        </w:rPr>
        <w:t xml:space="preserve"> </w:t>
      </w:r>
      <w:r w:rsidR="00E9736D" w:rsidRPr="00A55683">
        <w:rPr>
          <w:rFonts w:cstheme="minorHAnsi"/>
        </w:rPr>
        <w:t xml:space="preserve">Teachers will be provided with the option to request a paper survey rather than completing an online survey in the initial invitation. </w:t>
      </w:r>
      <w:r w:rsidR="00D3439B" w:rsidRPr="00A55683">
        <w:rPr>
          <w:rFonts w:cstheme="minorHAnsi"/>
        </w:rPr>
        <w:t>Additionally, t</w:t>
      </w:r>
      <w:r w:rsidR="00F4116C" w:rsidRPr="00A55683">
        <w:rPr>
          <w:rFonts w:cstheme="minorHAnsi"/>
        </w:rPr>
        <w:t xml:space="preserve">eachers will be offered an incentive of </w:t>
      </w:r>
      <w:r w:rsidR="00864089" w:rsidRPr="00A55683">
        <w:rPr>
          <w:rFonts w:cstheme="minorHAnsi"/>
        </w:rPr>
        <w:t xml:space="preserve">a </w:t>
      </w:r>
      <w:r w:rsidR="00F4116C" w:rsidRPr="00A55683">
        <w:rPr>
          <w:rFonts w:cstheme="minorHAnsi"/>
        </w:rPr>
        <w:t>$30</w:t>
      </w:r>
      <w:r w:rsidR="00864089" w:rsidRPr="00A55683">
        <w:rPr>
          <w:rFonts w:cstheme="minorHAnsi"/>
        </w:rPr>
        <w:t xml:space="preserve"> </w:t>
      </w:r>
      <w:r w:rsidR="0071002C">
        <w:rPr>
          <w:rFonts w:cstheme="minorHAnsi"/>
        </w:rPr>
        <w:t>V</w:t>
      </w:r>
      <w:r w:rsidR="00864089" w:rsidRPr="0071002C">
        <w:rPr>
          <w:rFonts w:cstheme="minorHAnsi"/>
        </w:rPr>
        <w:t>isa gift card</w:t>
      </w:r>
      <w:r w:rsidR="00F4116C" w:rsidRPr="0071002C">
        <w:rPr>
          <w:rFonts w:cstheme="minorHAnsi"/>
        </w:rPr>
        <w:t xml:space="preserve"> </w:t>
      </w:r>
      <w:r w:rsidR="00864089" w:rsidRPr="0071002C">
        <w:rPr>
          <w:rFonts w:cstheme="minorHAnsi"/>
        </w:rPr>
        <w:t>upon completion of the</w:t>
      </w:r>
      <w:r w:rsidR="00D3439B" w:rsidRPr="00A55683">
        <w:rPr>
          <w:rFonts w:cstheme="minorHAnsi"/>
        </w:rPr>
        <w:t xml:space="preserve"> survey as part of the </w:t>
      </w:r>
      <w:r w:rsidR="00F4116C" w:rsidRPr="00A55683">
        <w:rPr>
          <w:rFonts w:cstheme="minorHAnsi"/>
        </w:rPr>
        <w:t xml:space="preserve">study. </w:t>
      </w:r>
      <w:r w:rsidR="00041B5D" w:rsidRPr="004B4558">
        <w:rPr>
          <w:rFonts w:cstheme="minorHAnsi"/>
          <w:color w:val="231F20"/>
        </w:rPr>
        <w:t xml:space="preserve">As part of the Reading First Impact study, researchers conducted a study to examine the effects of monetary incentives on survey response rates for teachers and found that incentives significantly increased response rates (Games, Bloom, </w:t>
      </w:r>
      <w:proofErr w:type="spellStart"/>
      <w:r w:rsidR="00041B5D" w:rsidRPr="004B4558">
        <w:rPr>
          <w:rFonts w:cstheme="minorHAnsi"/>
          <w:color w:val="231F20"/>
        </w:rPr>
        <w:t>Kemple</w:t>
      </w:r>
      <w:proofErr w:type="spellEnd"/>
      <w:r w:rsidR="00041B5D" w:rsidRPr="004B4558">
        <w:rPr>
          <w:rFonts w:cstheme="minorHAnsi"/>
          <w:color w:val="231F20"/>
        </w:rPr>
        <w:t xml:space="preserve"> &amp; Jacob, 2008). </w:t>
      </w:r>
      <w:r w:rsidR="00F4116C" w:rsidRPr="0071002C">
        <w:rPr>
          <w:rFonts w:cstheme="minorHAnsi"/>
        </w:rPr>
        <w:t>This incentive was determined using NCEE guidance, which suggests a $30 incentive for a 30-minute survey about interventions (NCEE, 2005).</w:t>
      </w:r>
      <w:r w:rsidR="00CA173B" w:rsidRPr="0071002C">
        <w:rPr>
          <w:rFonts w:cstheme="minorHAnsi"/>
        </w:rPr>
        <w:t xml:space="preserve"> The NCEE guidance noted that </w:t>
      </w:r>
      <w:r w:rsidR="00CA173B" w:rsidRPr="004B4558">
        <w:rPr>
          <w:rFonts w:cstheme="minorHAnsi"/>
          <w:color w:val="231F20"/>
        </w:rPr>
        <w:t>collective bargaining agreements in districts may not allow teachers to complete surveys during school time</w:t>
      </w:r>
      <w:r w:rsidR="0071002C">
        <w:rPr>
          <w:rFonts w:cstheme="minorHAnsi"/>
          <w:color w:val="231F20"/>
        </w:rPr>
        <w:t>,</w:t>
      </w:r>
      <w:r w:rsidR="00041B5D" w:rsidRPr="004B4558">
        <w:rPr>
          <w:rFonts w:cstheme="minorHAnsi"/>
          <w:color w:val="231F20"/>
        </w:rPr>
        <w:t xml:space="preserve"> which may result in a decreased response rate without the offer of an incentive. </w:t>
      </w:r>
    </w:p>
    <w:p w:rsidR="00815A38" w:rsidRPr="0071002C" w:rsidRDefault="00815A38" w:rsidP="0071002C">
      <w:pPr>
        <w:rPr>
          <w:rFonts w:cstheme="minorHAnsi"/>
        </w:rPr>
      </w:pPr>
      <w:r w:rsidRPr="004B4558">
        <w:rPr>
          <w:rFonts w:cstheme="minorHAnsi"/>
          <w:color w:val="231F20"/>
        </w:rPr>
        <w:t xml:space="preserve">In order to address the potential of incorrect email addresses in the list provided by the district, we will collect email addresses on the consent forms as well. </w:t>
      </w:r>
      <w:r w:rsidR="0071002C">
        <w:rPr>
          <w:rFonts w:cstheme="minorHAnsi"/>
          <w:color w:val="231F20"/>
        </w:rPr>
        <w:t>If</w:t>
      </w:r>
      <w:r w:rsidRPr="004B4558">
        <w:rPr>
          <w:rFonts w:cstheme="minorHAnsi"/>
          <w:color w:val="231F20"/>
        </w:rPr>
        <w:t xml:space="preserve"> an email </w:t>
      </w:r>
      <w:r w:rsidR="0071002C">
        <w:rPr>
          <w:rFonts w:cstheme="minorHAnsi"/>
          <w:color w:val="231F20"/>
        </w:rPr>
        <w:t>is “bounced back”</w:t>
      </w:r>
      <w:r w:rsidRPr="004B4558">
        <w:rPr>
          <w:rFonts w:cstheme="minorHAnsi"/>
          <w:color w:val="231F20"/>
        </w:rPr>
        <w:t xml:space="preserve"> as undeliverable, we will verify the email address against the address provided on the consent form and make necessary changes. If </w:t>
      </w:r>
      <w:r w:rsidR="0071002C">
        <w:rPr>
          <w:rFonts w:cstheme="minorHAnsi"/>
          <w:color w:val="231F20"/>
        </w:rPr>
        <w:t>the problem</w:t>
      </w:r>
      <w:r w:rsidRPr="004B4558">
        <w:rPr>
          <w:rFonts w:cstheme="minorHAnsi"/>
          <w:color w:val="231F20"/>
        </w:rPr>
        <w:t xml:space="preserve"> cannot be resolved by checking the email address on the consent form, we will contact the district to identify a correct email address and/or the reason why the email address is not working.</w:t>
      </w:r>
    </w:p>
    <w:p w:rsidR="007D2125" w:rsidRDefault="002A716E" w:rsidP="002A716E">
      <w:pPr>
        <w:rPr>
          <w:b/>
          <w:bCs/>
        </w:rPr>
      </w:pPr>
      <w:bookmarkStart w:id="10" w:name="_Toc352313137"/>
      <w:r w:rsidRPr="007D2125">
        <w:rPr>
          <w:rStyle w:val="Heading2Char"/>
        </w:rPr>
        <w:lastRenderedPageBreak/>
        <w:t xml:space="preserve">B4. </w:t>
      </w:r>
      <w:r w:rsidR="00CA0BE3">
        <w:rPr>
          <w:rStyle w:val="Heading2Char"/>
        </w:rPr>
        <w:t xml:space="preserve">Tests of Procedures or Methods to be </w:t>
      </w:r>
      <w:proofErr w:type="gramStart"/>
      <w:r w:rsidR="00CA0BE3">
        <w:rPr>
          <w:rStyle w:val="Heading2Char"/>
        </w:rPr>
        <w:t>U</w:t>
      </w:r>
      <w:r w:rsidRPr="007D2125">
        <w:rPr>
          <w:rStyle w:val="Heading2Char"/>
        </w:rPr>
        <w:t>ndertaken</w:t>
      </w:r>
      <w:bookmarkEnd w:id="10"/>
      <w:proofErr w:type="gramEnd"/>
      <w:r w:rsidRPr="002A716E">
        <w:rPr>
          <w:b/>
          <w:bCs/>
        </w:rPr>
        <w:t xml:space="preserve"> </w:t>
      </w:r>
    </w:p>
    <w:p w:rsidR="00780080" w:rsidRDefault="00780080" w:rsidP="00780080">
      <w:r w:rsidRPr="002D21C4">
        <w:t>During the 2013</w:t>
      </w:r>
      <w:r w:rsidRPr="00D3439B">
        <w:t>–</w:t>
      </w:r>
      <w:r w:rsidRPr="002D21C4">
        <w:t xml:space="preserve">14 school </w:t>
      </w:r>
      <w:proofErr w:type="gramStart"/>
      <w:r w:rsidRPr="002D21C4">
        <w:t>year</w:t>
      </w:r>
      <w:proofErr w:type="gramEnd"/>
      <w:r>
        <w:t>,</w:t>
      </w:r>
      <w:r w:rsidRPr="002D21C4">
        <w:t xml:space="preserve"> researchers will conduct a pilot test of the survey instrument. The pilot test will be used to gather data to refine the survey and assess reliability and validity. This refined survey w</w:t>
      </w:r>
      <w:r>
        <w:t>ill</w:t>
      </w:r>
      <w:r w:rsidRPr="002D21C4">
        <w:t xml:space="preserve"> then be used to conduct the full study in the 2014</w:t>
      </w:r>
      <w:r w:rsidRPr="00D3439B">
        <w:t>–</w:t>
      </w:r>
      <w:r w:rsidRPr="002D21C4">
        <w:t xml:space="preserve">15 school </w:t>
      </w:r>
      <w:proofErr w:type="gramStart"/>
      <w:r w:rsidRPr="002D21C4">
        <w:t>year</w:t>
      </w:r>
      <w:proofErr w:type="gramEnd"/>
      <w:r w:rsidRPr="002D21C4">
        <w:t>.</w:t>
      </w:r>
      <w:r>
        <w:t xml:space="preserve"> Information about the sample, data collection, and analysis for the pilot test is presented below. </w:t>
      </w:r>
    </w:p>
    <w:p w:rsidR="00780080" w:rsidRDefault="00780080" w:rsidP="00780080">
      <w:pPr>
        <w:rPr>
          <w:u w:val="single"/>
        </w:rPr>
      </w:pPr>
      <w:r w:rsidRPr="00710029">
        <w:t>The online survey will be administered to teachers in the pilot sample near the end of the 2013</w:t>
      </w:r>
      <w:r>
        <w:rPr>
          <w:rFonts w:cs="Calibri"/>
        </w:rPr>
        <w:t>–</w:t>
      </w:r>
      <w:r w:rsidRPr="00710029">
        <w:t xml:space="preserve">14 school </w:t>
      </w:r>
      <w:proofErr w:type="gramStart"/>
      <w:r w:rsidRPr="00710029">
        <w:t>year</w:t>
      </w:r>
      <w:proofErr w:type="gramEnd"/>
      <w:r w:rsidRPr="00710029">
        <w:t xml:space="preserve">. Shortly after the survey is administered, a subset of approximately 20 teachers will also be asked to participate in an interview in which they will be asked to provide feedback on the clarity of the survey. The interviews will be transcribed. Teachers will be provided with a copy of the survey and asked to review it </w:t>
      </w:r>
      <w:r>
        <w:t>and</w:t>
      </w:r>
      <w:r w:rsidRPr="00710029">
        <w:t xml:space="preserve"> respond to questions such as those proposed by the National Service Knowledge Network (2008): </w:t>
      </w:r>
    </w:p>
    <w:p w:rsidR="00780080" w:rsidRPr="00301315" w:rsidRDefault="00780080" w:rsidP="00780080">
      <w:pPr>
        <w:pStyle w:val="ListParagraph"/>
        <w:numPr>
          <w:ilvl w:val="0"/>
          <w:numId w:val="3"/>
        </w:numPr>
        <w:spacing w:after="0" w:line="240" w:lineRule="auto"/>
        <w:contextualSpacing w:val="0"/>
      </w:pPr>
      <w:r w:rsidRPr="00301315">
        <w:t>What problems, if any</w:t>
      </w:r>
      <w:r w:rsidR="00663192">
        <w:t>,</w:t>
      </w:r>
      <w:r w:rsidRPr="00301315">
        <w:t xml:space="preserve"> did you have completing the survey?</w:t>
      </w:r>
    </w:p>
    <w:p w:rsidR="00780080" w:rsidRPr="00301315" w:rsidRDefault="00780080" w:rsidP="00780080">
      <w:pPr>
        <w:pStyle w:val="ListParagraph"/>
        <w:numPr>
          <w:ilvl w:val="0"/>
          <w:numId w:val="3"/>
        </w:numPr>
        <w:spacing w:after="0" w:line="240" w:lineRule="auto"/>
        <w:contextualSpacing w:val="0"/>
      </w:pPr>
      <w:r w:rsidRPr="00301315">
        <w:t xml:space="preserve">Are the directions clear? </w:t>
      </w:r>
    </w:p>
    <w:p w:rsidR="00780080" w:rsidRPr="00301315" w:rsidRDefault="00780080" w:rsidP="00780080">
      <w:pPr>
        <w:pStyle w:val="ListParagraph"/>
        <w:numPr>
          <w:ilvl w:val="0"/>
          <w:numId w:val="3"/>
        </w:numPr>
        <w:spacing w:after="0" w:line="240" w:lineRule="auto"/>
        <w:contextualSpacing w:val="0"/>
      </w:pPr>
      <w:r w:rsidRPr="00301315">
        <w:t>Are there any words or language in the instrument that teachers might not understand?</w:t>
      </w:r>
    </w:p>
    <w:p w:rsidR="00780080" w:rsidRPr="00301315" w:rsidRDefault="00780080" w:rsidP="00780080">
      <w:pPr>
        <w:pStyle w:val="ListParagraph"/>
        <w:numPr>
          <w:ilvl w:val="0"/>
          <w:numId w:val="3"/>
        </w:numPr>
        <w:spacing w:after="0" w:line="240" w:lineRule="auto"/>
        <w:contextualSpacing w:val="0"/>
      </w:pPr>
      <w:r w:rsidRPr="00301315">
        <w:t>Did you find any of the questions to be unnecessary or redundant?</w:t>
      </w:r>
    </w:p>
    <w:p w:rsidR="00780080" w:rsidRPr="00301315" w:rsidRDefault="00780080" w:rsidP="00780080">
      <w:pPr>
        <w:pStyle w:val="ListParagraph"/>
        <w:numPr>
          <w:ilvl w:val="0"/>
          <w:numId w:val="3"/>
        </w:numPr>
        <w:spacing w:after="0" w:line="240" w:lineRule="auto"/>
        <w:contextualSpacing w:val="0"/>
      </w:pPr>
      <w:r w:rsidRPr="00301315">
        <w:t xml:space="preserve">Were any questions difficult to answer? </w:t>
      </w:r>
    </w:p>
    <w:p w:rsidR="00780080" w:rsidRPr="00301315" w:rsidRDefault="00780080" w:rsidP="00780080">
      <w:pPr>
        <w:pStyle w:val="ListParagraph"/>
        <w:numPr>
          <w:ilvl w:val="0"/>
          <w:numId w:val="3"/>
        </w:numPr>
        <w:spacing w:after="0" w:line="240" w:lineRule="auto"/>
        <w:contextualSpacing w:val="0"/>
      </w:pPr>
      <w:r w:rsidRPr="00301315">
        <w:t>What did you think this question was asking? How would you phrase it in your own words?</w:t>
      </w:r>
    </w:p>
    <w:p w:rsidR="00780080" w:rsidRPr="00301315" w:rsidRDefault="00780080" w:rsidP="00780080">
      <w:pPr>
        <w:pStyle w:val="ListParagraph"/>
        <w:numPr>
          <w:ilvl w:val="0"/>
          <w:numId w:val="3"/>
        </w:numPr>
        <w:spacing w:after="0" w:line="240" w:lineRule="auto"/>
        <w:contextualSpacing w:val="0"/>
      </w:pPr>
      <w:r w:rsidRPr="00301315">
        <w:t>Did the answer choices allow you to answer as you intended?</w:t>
      </w:r>
    </w:p>
    <w:p w:rsidR="00780080" w:rsidRPr="00301315" w:rsidRDefault="00780080" w:rsidP="00780080">
      <w:pPr>
        <w:pStyle w:val="ListParagraph"/>
        <w:numPr>
          <w:ilvl w:val="0"/>
          <w:numId w:val="3"/>
        </w:numPr>
        <w:spacing w:after="0" w:line="240" w:lineRule="auto"/>
        <w:contextualSpacing w:val="0"/>
      </w:pPr>
      <w:r w:rsidRPr="00301315">
        <w:t>Is there anything you would change about the instrument?</w:t>
      </w:r>
    </w:p>
    <w:p w:rsidR="00D3439B" w:rsidRDefault="00D3439B" w:rsidP="00780080">
      <w:pPr>
        <w:tabs>
          <w:tab w:val="left" w:pos="1440"/>
        </w:tabs>
        <w:spacing w:after="120" w:line="240" w:lineRule="auto"/>
        <w:rPr>
          <w:i/>
          <w:u w:val="single"/>
        </w:rPr>
      </w:pPr>
    </w:p>
    <w:p w:rsidR="00780080" w:rsidRPr="00D520E2" w:rsidRDefault="00780080" w:rsidP="00CA0BE3">
      <w:pPr>
        <w:pStyle w:val="Heading3"/>
      </w:pPr>
      <w:bookmarkStart w:id="11" w:name="_Toc352313138"/>
      <w:r w:rsidRPr="008F7FDE">
        <w:t>Analysis</w:t>
      </w:r>
      <w:bookmarkEnd w:id="11"/>
    </w:p>
    <w:p w:rsidR="00780080" w:rsidRPr="00710029" w:rsidRDefault="00780080" w:rsidP="002B594F">
      <w:pPr>
        <w:tabs>
          <w:tab w:val="left" w:pos="1440"/>
        </w:tabs>
      </w:pPr>
      <w:r w:rsidRPr="00710029">
        <w:t>Researchers will examine the clarity</w:t>
      </w:r>
      <w:r>
        <w:t xml:space="preserve"> and psychometric properties</w:t>
      </w:r>
      <w:r w:rsidRPr="00710029">
        <w:t xml:space="preserve"> of the survey. Data from the interviews will be analyzed to help determine if the respondents interpreted the directions and questions as the researchers intended. Interview transcripts will be coded using MA</w:t>
      </w:r>
      <w:r>
        <w:t>X</w:t>
      </w:r>
      <w:r w:rsidRPr="00710029">
        <w:t>QDA</w:t>
      </w:r>
      <w:r>
        <w:t>,</w:t>
      </w:r>
      <w:r w:rsidRPr="00710029">
        <w:t xml:space="preserve"> a qualitative analysis </w:t>
      </w:r>
      <w:r w:rsidR="00663192">
        <w:t>program</w:t>
      </w:r>
      <w:r>
        <w:t>,</w:t>
      </w:r>
      <w:r w:rsidRPr="00710029">
        <w:t xml:space="preserve"> to identify patterns in responses to the interview questions. Researchers will modify the survey based on common responses about the clarity of the survey.</w:t>
      </w:r>
    </w:p>
    <w:p w:rsidR="00780080" w:rsidRPr="004777C0" w:rsidRDefault="00780080" w:rsidP="002B594F">
      <w:pPr>
        <w:tabs>
          <w:tab w:val="left" w:pos="1440"/>
        </w:tabs>
      </w:pPr>
      <w:r w:rsidRPr="004777C0">
        <w:t xml:space="preserve">Researchers will conduct item analysis to identify problematic items and to examine internal consistency of the survey. </w:t>
      </w:r>
      <w:proofErr w:type="spellStart"/>
      <w:r w:rsidRPr="004777C0">
        <w:t>Cronbach’s</w:t>
      </w:r>
      <w:proofErr w:type="spellEnd"/>
      <w:r w:rsidRPr="004777C0">
        <w:t xml:space="preserve"> alpha coefficients will be computed for each scale and correlation analysis will be used to determine the extent to which the items correlate with the scales and the effect on </w:t>
      </w:r>
      <w:proofErr w:type="spellStart"/>
      <w:r w:rsidRPr="004777C0">
        <w:t>Cronbach’s</w:t>
      </w:r>
      <w:proofErr w:type="spellEnd"/>
      <w:r w:rsidRPr="004777C0">
        <w:t xml:space="preserve"> alpha if the item were removed. Items</w:t>
      </w:r>
      <w:r w:rsidR="009A7D1C">
        <w:t xml:space="preserve"> will be deleted</w:t>
      </w:r>
      <w:r w:rsidRPr="004777C0">
        <w:t xml:space="preserve"> </w:t>
      </w:r>
      <w:r w:rsidR="009A7D1C">
        <w:t xml:space="preserve">if removal of the items </w:t>
      </w:r>
      <w:r w:rsidR="0071002C" w:rsidRPr="004777C0">
        <w:t>would increase</w:t>
      </w:r>
      <w:r w:rsidRPr="004777C0">
        <w:t xml:space="preserve"> </w:t>
      </w:r>
      <w:proofErr w:type="spellStart"/>
      <w:r w:rsidRPr="004777C0">
        <w:t>Cronbach’s</w:t>
      </w:r>
      <w:proofErr w:type="spellEnd"/>
      <w:r w:rsidRPr="004777C0">
        <w:t xml:space="preserve"> alpha</w:t>
      </w:r>
      <w:r w:rsidR="009A7D1C">
        <w:t xml:space="preserve"> and increase the average inter-item correlation</w:t>
      </w:r>
      <w:r w:rsidRPr="004777C0">
        <w:t xml:space="preserve">. Following the criterion proposed by </w:t>
      </w:r>
      <w:proofErr w:type="spellStart"/>
      <w:r w:rsidRPr="004777C0">
        <w:t>Nunnally</w:t>
      </w:r>
      <w:proofErr w:type="spellEnd"/>
      <w:r w:rsidRPr="004777C0">
        <w:t xml:space="preserve"> &amp; Bernstein (1994), alpha coefficients of </w:t>
      </w:r>
      <w:r>
        <w:t>0</w:t>
      </w:r>
      <w:r w:rsidRPr="004777C0">
        <w:t xml:space="preserve">.70 or higher will be considered as reliable. </w:t>
      </w:r>
    </w:p>
    <w:p w:rsidR="00F4116C" w:rsidRPr="005023F2" w:rsidRDefault="00780080" w:rsidP="002B594F">
      <w:pPr>
        <w:tabs>
          <w:tab w:val="left" w:pos="1440"/>
        </w:tabs>
      </w:pPr>
      <w:r>
        <w:t xml:space="preserve">Following the item analysis, researchers will analyze the proposed measurement model in Figure </w:t>
      </w:r>
      <w:proofErr w:type="gramStart"/>
      <w:r>
        <w:t>3</w:t>
      </w:r>
      <w:r w:rsidR="00663192">
        <w:t>,</w:t>
      </w:r>
      <w:proofErr w:type="gramEnd"/>
      <w:r w:rsidR="00663192">
        <w:t xml:space="preserve"> Section A,</w:t>
      </w:r>
      <w:r>
        <w:t xml:space="preserve"> using confirmatory factor analysis (CFA). The factors in this measurement model will be assumed to </w:t>
      </w:r>
      <w:proofErr w:type="spellStart"/>
      <w:r>
        <w:t>covary</w:t>
      </w:r>
      <w:proofErr w:type="spellEnd"/>
      <w:r>
        <w:t>, with no hypothesis that any one factor causes the other. The methods for CFA proposed by Kline (2005) will be followed. First</w:t>
      </w:r>
      <w:r w:rsidR="00663192">
        <w:t>,</w:t>
      </w:r>
      <w:r>
        <w:t xml:space="preserve"> researchers will test for a single factor. This step allows researchers to examine the feasibility of testing a more complex model, and to determine if the fit of the </w:t>
      </w:r>
      <w:r w:rsidR="00663192">
        <w:t>single-</w:t>
      </w:r>
      <w:r>
        <w:t xml:space="preserve">factor model is comparable. Selected fit indexes will be examined to determine if the results </w:t>
      </w:r>
      <w:r>
        <w:lastRenderedPageBreak/>
        <w:t>indicate a poor fit, which would substantiate the need for a more complex model. Next</w:t>
      </w:r>
      <w:r w:rsidR="00663192">
        <w:t>,</w:t>
      </w:r>
      <w:r>
        <w:t xml:space="preserve"> the </w:t>
      </w:r>
      <w:r w:rsidR="00663192">
        <w:t>five-</w:t>
      </w:r>
      <w:r>
        <w:t>factor model will be examined</w:t>
      </w:r>
      <w:r w:rsidR="009A7D1C">
        <w:t>.</w:t>
      </w:r>
      <w:r>
        <w:t xml:space="preserve"> Researchers will examine the model fit indices, the indicator loadings, and the factor correlations to determine not only if the model fits the data, but also if the indicators have </w:t>
      </w:r>
      <w:r w:rsidR="009A7D1C">
        <w:t>significant</w:t>
      </w:r>
      <w:r>
        <w:t xml:space="preserve"> loadings on the associated factors, and if the estimated correlations between the factors are not “excessively</w:t>
      </w:r>
      <w:r w:rsidR="00AD3C90">
        <w:t xml:space="preserve"> high (e.g., &gt; .85)”(Kline, 2005</w:t>
      </w:r>
      <w:r>
        <w:t xml:space="preserve">; p. 73). If the model does not fit the data, the model will be </w:t>
      </w:r>
      <w:proofErr w:type="spellStart"/>
      <w:r>
        <w:t>respecified</w:t>
      </w:r>
      <w:proofErr w:type="spellEnd"/>
      <w:r>
        <w:t xml:space="preserve"> based on an examination of modification indices, correlation residuals, and practical and theoretical considerations. </w:t>
      </w:r>
      <w:r w:rsidR="009A7D1C">
        <w:t xml:space="preserve">To </w:t>
      </w:r>
      <w:r>
        <w:t xml:space="preserve">determine if the fit of the five-factor </w:t>
      </w:r>
      <w:r w:rsidR="0071002C">
        <w:t>significantly</w:t>
      </w:r>
      <w:r w:rsidR="009A7D1C">
        <w:t xml:space="preserve"> reduces model fit</w:t>
      </w:r>
      <w:proofErr w:type="gramStart"/>
      <w:r w:rsidR="009A7D1C">
        <w:t xml:space="preserve">, </w:t>
      </w:r>
      <w:r w:rsidR="009A7D1C" w:rsidRPr="009A7D1C">
        <w:t xml:space="preserve"> </w:t>
      </w:r>
      <w:r w:rsidR="009A7D1C">
        <w:t>Chi</w:t>
      </w:r>
      <w:proofErr w:type="gramEnd"/>
      <w:r w:rsidR="009A7D1C">
        <w:t>-square difference tests will be performed</w:t>
      </w:r>
      <w:r>
        <w:t>. These results could inform changes to the final study, such as determining that certain indicators or survey items are not good indicators of the factors, or determining that there are more or fewer factors than originally conceived.</w:t>
      </w:r>
    </w:p>
    <w:p w:rsidR="002A716E" w:rsidRDefault="002A716E" w:rsidP="00CA0BE3">
      <w:pPr>
        <w:pStyle w:val="Heading2"/>
        <w:rPr>
          <w:i/>
          <w:color w:val="FF0000"/>
        </w:rPr>
      </w:pPr>
      <w:bookmarkStart w:id="12" w:name="_Toc352313139"/>
      <w:r w:rsidRPr="002A716E">
        <w:t xml:space="preserve">B5. </w:t>
      </w:r>
      <w:r w:rsidR="00CA0BE3">
        <w:t>Individuals Consulted on Statistical A</w:t>
      </w:r>
      <w:r w:rsidR="00C21678">
        <w:t xml:space="preserve">spects </w:t>
      </w:r>
      <w:r w:rsidR="00CA0BE3">
        <w:t>of the D</w:t>
      </w:r>
      <w:r w:rsidRPr="002A716E">
        <w:t>esign</w:t>
      </w:r>
      <w:bookmarkEnd w:id="12"/>
      <w:r w:rsidRPr="002A716E">
        <w:t xml:space="preserve"> </w:t>
      </w:r>
    </w:p>
    <w:p w:rsidR="00780080" w:rsidRDefault="00780080" w:rsidP="00402C32">
      <w:r>
        <w:t>The following individuals were consulted on the statistical, data collection, and analytic aspects of this study:</w:t>
      </w:r>
    </w:p>
    <w:tbl>
      <w:tblPr>
        <w:tblStyle w:val="TableGrid"/>
        <w:tblW w:w="0" w:type="auto"/>
        <w:tblInd w:w="108" w:type="dxa"/>
        <w:tblLook w:val="04A0" w:firstRow="1" w:lastRow="0" w:firstColumn="1" w:lastColumn="0" w:noHBand="0" w:noVBand="1"/>
      </w:tblPr>
      <w:tblGrid>
        <w:gridCol w:w="2160"/>
        <w:gridCol w:w="2160"/>
        <w:gridCol w:w="2179"/>
        <w:gridCol w:w="2613"/>
      </w:tblGrid>
      <w:tr w:rsidR="007A3CEE" w:rsidTr="007A3CEE">
        <w:tc>
          <w:tcPr>
            <w:tcW w:w="2160" w:type="dxa"/>
          </w:tcPr>
          <w:p w:rsidR="007A3CEE" w:rsidRDefault="007A3CEE" w:rsidP="00402C32">
            <w:r>
              <w:t>Name</w:t>
            </w:r>
          </w:p>
        </w:tc>
        <w:tc>
          <w:tcPr>
            <w:tcW w:w="2160" w:type="dxa"/>
          </w:tcPr>
          <w:p w:rsidR="007A3CEE" w:rsidRDefault="007A3CEE" w:rsidP="00402C32">
            <w:r>
              <w:t>Title</w:t>
            </w:r>
          </w:p>
        </w:tc>
        <w:tc>
          <w:tcPr>
            <w:tcW w:w="2179" w:type="dxa"/>
          </w:tcPr>
          <w:p w:rsidR="007A3CEE" w:rsidRDefault="007A3CEE" w:rsidP="00402C32">
            <w:r>
              <w:t>Organization</w:t>
            </w:r>
          </w:p>
        </w:tc>
        <w:tc>
          <w:tcPr>
            <w:tcW w:w="2613" w:type="dxa"/>
          </w:tcPr>
          <w:p w:rsidR="007A3CEE" w:rsidRDefault="007A3CEE" w:rsidP="00402C32">
            <w:r>
              <w:t>Contact Information</w:t>
            </w:r>
          </w:p>
        </w:tc>
      </w:tr>
      <w:tr w:rsidR="007A3CEE" w:rsidTr="007A3CEE">
        <w:tc>
          <w:tcPr>
            <w:tcW w:w="2160" w:type="dxa"/>
          </w:tcPr>
          <w:p w:rsidR="007A3CEE" w:rsidRDefault="007A3CEE" w:rsidP="00402C32">
            <w:r>
              <w:t>Dr. Steve Meyer</w:t>
            </w:r>
          </w:p>
        </w:tc>
        <w:tc>
          <w:tcPr>
            <w:tcW w:w="2160" w:type="dxa"/>
          </w:tcPr>
          <w:p w:rsidR="007A3CEE" w:rsidRDefault="007A3CEE" w:rsidP="00402C32">
            <w:r>
              <w:t>Senior Researcher</w:t>
            </w:r>
          </w:p>
        </w:tc>
        <w:tc>
          <w:tcPr>
            <w:tcW w:w="2179" w:type="dxa"/>
          </w:tcPr>
          <w:p w:rsidR="007A3CEE" w:rsidRDefault="007A3CEE" w:rsidP="00402C32">
            <w:r>
              <w:t>RMC Research Corporation</w:t>
            </w:r>
          </w:p>
        </w:tc>
        <w:tc>
          <w:tcPr>
            <w:tcW w:w="2613" w:type="dxa"/>
          </w:tcPr>
          <w:p w:rsidR="007A3CEE" w:rsidRDefault="00E65209" w:rsidP="00402C32">
            <w:hyperlink r:id="rId14" w:history="1">
              <w:r w:rsidR="007A3CEE" w:rsidRPr="003B7C1C">
                <w:rPr>
                  <w:rStyle w:val="Hyperlink"/>
                </w:rPr>
                <w:t>meyer@rmcdenver.com</w:t>
              </w:r>
            </w:hyperlink>
          </w:p>
          <w:p w:rsidR="007A3CEE" w:rsidRDefault="007A3CEE" w:rsidP="00402C32">
            <w:r>
              <w:t>303-305-4261</w:t>
            </w:r>
          </w:p>
        </w:tc>
      </w:tr>
      <w:tr w:rsidR="007A3CEE" w:rsidTr="007A3CEE">
        <w:tc>
          <w:tcPr>
            <w:tcW w:w="2160" w:type="dxa"/>
          </w:tcPr>
          <w:p w:rsidR="007A3CEE" w:rsidRDefault="007A3CEE" w:rsidP="00402C32">
            <w:r>
              <w:t xml:space="preserve">Dr. </w:t>
            </w:r>
            <w:proofErr w:type="spellStart"/>
            <w:r>
              <w:t>Fatih</w:t>
            </w:r>
            <w:proofErr w:type="spellEnd"/>
            <w:r>
              <w:t xml:space="preserve"> </w:t>
            </w:r>
            <w:proofErr w:type="spellStart"/>
            <w:r>
              <w:t>Unlu</w:t>
            </w:r>
            <w:proofErr w:type="spellEnd"/>
          </w:p>
        </w:tc>
        <w:tc>
          <w:tcPr>
            <w:tcW w:w="2160" w:type="dxa"/>
          </w:tcPr>
          <w:p w:rsidR="007A3CEE" w:rsidRDefault="007A3CEE" w:rsidP="00402C32">
            <w:r>
              <w:t>Senior Scientist</w:t>
            </w:r>
          </w:p>
        </w:tc>
        <w:tc>
          <w:tcPr>
            <w:tcW w:w="2179" w:type="dxa"/>
          </w:tcPr>
          <w:p w:rsidR="007A3CEE" w:rsidRDefault="007A3CEE" w:rsidP="00402C32">
            <w:proofErr w:type="spellStart"/>
            <w:r>
              <w:t>Abt</w:t>
            </w:r>
            <w:proofErr w:type="spellEnd"/>
            <w:r>
              <w:t xml:space="preserve"> Associates</w:t>
            </w:r>
          </w:p>
        </w:tc>
        <w:tc>
          <w:tcPr>
            <w:tcW w:w="2613" w:type="dxa"/>
          </w:tcPr>
          <w:p w:rsidR="007A3CEE" w:rsidRDefault="00E65209" w:rsidP="00402C32">
            <w:hyperlink r:id="rId15" w:history="1">
              <w:r w:rsidR="007A3CEE" w:rsidRPr="003B7C1C">
                <w:rPr>
                  <w:rStyle w:val="Hyperlink"/>
                </w:rPr>
                <w:t>Fatih_Unlu@abtassoc.com</w:t>
              </w:r>
            </w:hyperlink>
          </w:p>
          <w:p w:rsidR="007A3CEE" w:rsidRDefault="007A3CEE" w:rsidP="00402C32">
            <w:r w:rsidRPr="007A3CEE">
              <w:t>617-520-2528</w:t>
            </w:r>
          </w:p>
        </w:tc>
      </w:tr>
    </w:tbl>
    <w:p w:rsidR="007A3CEE" w:rsidRDefault="007A3CEE" w:rsidP="002A716E"/>
    <w:p w:rsidR="00780080" w:rsidRDefault="00780080" w:rsidP="002A716E">
      <w:r>
        <w:t>The following individuals will be involved in the study implementation:</w:t>
      </w:r>
    </w:p>
    <w:tbl>
      <w:tblPr>
        <w:tblStyle w:val="TableGrid"/>
        <w:tblW w:w="0" w:type="auto"/>
        <w:tblInd w:w="108" w:type="dxa"/>
        <w:tblLook w:val="04A0" w:firstRow="1" w:lastRow="0" w:firstColumn="1" w:lastColumn="0" w:noHBand="0" w:noVBand="1"/>
      </w:tblPr>
      <w:tblGrid>
        <w:gridCol w:w="1834"/>
        <w:gridCol w:w="1883"/>
        <w:gridCol w:w="1922"/>
        <w:gridCol w:w="3829"/>
      </w:tblGrid>
      <w:tr w:rsidR="007A3CEE" w:rsidTr="007A3CEE">
        <w:tc>
          <w:tcPr>
            <w:tcW w:w="2160" w:type="dxa"/>
          </w:tcPr>
          <w:p w:rsidR="007A3CEE" w:rsidRDefault="007A3CEE" w:rsidP="00B32274">
            <w:r>
              <w:t>Name</w:t>
            </w:r>
          </w:p>
        </w:tc>
        <w:tc>
          <w:tcPr>
            <w:tcW w:w="2160" w:type="dxa"/>
          </w:tcPr>
          <w:p w:rsidR="007A3CEE" w:rsidRDefault="007A3CEE" w:rsidP="00B32274">
            <w:r>
              <w:t>Role</w:t>
            </w:r>
          </w:p>
        </w:tc>
        <w:tc>
          <w:tcPr>
            <w:tcW w:w="2179" w:type="dxa"/>
          </w:tcPr>
          <w:p w:rsidR="007A3CEE" w:rsidRDefault="007A3CEE" w:rsidP="00B32274">
            <w:r>
              <w:t>Organization</w:t>
            </w:r>
          </w:p>
        </w:tc>
        <w:tc>
          <w:tcPr>
            <w:tcW w:w="2613" w:type="dxa"/>
          </w:tcPr>
          <w:p w:rsidR="007A3CEE" w:rsidRDefault="007A3CEE" w:rsidP="00B32274">
            <w:r>
              <w:t>Contact Information</w:t>
            </w:r>
          </w:p>
        </w:tc>
      </w:tr>
      <w:tr w:rsidR="007A3CEE" w:rsidTr="007A3CEE">
        <w:tc>
          <w:tcPr>
            <w:tcW w:w="2160" w:type="dxa"/>
          </w:tcPr>
          <w:p w:rsidR="007A3CEE" w:rsidRDefault="007A3CEE" w:rsidP="007A3CEE">
            <w:r>
              <w:t>Dr. Trudy Cherasaro</w:t>
            </w:r>
          </w:p>
        </w:tc>
        <w:tc>
          <w:tcPr>
            <w:tcW w:w="2160" w:type="dxa"/>
          </w:tcPr>
          <w:p w:rsidR="007A3CEE" w:rsidRDefault="007A3CEE" w:rsidP="00B32274">
            <w:r>
              <w:t>Principal Investigator</w:t>
            </w:r>
          </w:p>
        </w:tc>
        <w:tc>
          <w:tcPr>
            <w:tcW w:w="2179" w:type="dxa"/>
          </w:tcPr>
          <w:p w:rsidR="007A3CEE" w:rsidRDefault="007A3CEE" w:rsidP="00B32274">
            <w:r>
              <w:t>Marzano Research Laboratory</w:t>
            </w:r>
          </w:p>
        </w:tc>
        <w:tc>
          <w:tcPr>
            <w:tcW w:w="2613" w:type="dxa"/>
          </w:tcPr>
          <w:p w:rsidR="007A3CEE" w:rsidRDefault="00E65209" w:rsidP="00B32274">
            <w:hyperlink r:id="rId16" w:history="1">
              <w:r w:rsidR="007A3CEE" w:rsidRPr="003B7C1C">
                <w:rPr>
                  <w:rStyle w:val="Hyperlink"/>
                </w:rPr>
                <w:t>trudy.cherasaro@marzanoresearch.com</w:t>
              </w:r>
            </w:hyperlink>
          </w:p>
          <w:p w:rsidR="007A3CEE" w:rsidRDefault="007A3CEE" w:rsidP="00B32274">
            <w:r>
              <w:t>303-766-9199</w:t>
            </w:r>
          </w:p>
        </w:tc>
      </w:tr>
      <w:tr w:rsidR="007A3CEE" w:rsidTr="007A3CEE">
        <w:tc>
          <w:tcPr>
            <w:tcW w:w="2160" w:type="dxa"/>
          </w:tcPr>
          <w:p w:rsidR="007A3CEE" w:rsidRDefault="007A3CEE" w:rsidP="007A3CEE">
            <w:r>
              <w:t>Dr. Helen Apthorp</w:t>
            </w:r>
          </w:p>
        </w:tc>
        <w:tc>
          <w:tcPr>
            <w:tcW w:w="2160" w:type="dxa"/>
          </w:tcPr>
          <w:p w:rsidR="007A3CEE" w:rsidRDefault="007A3CEE" w:rsidP="00663192">
            <w:r>
              <w:t>Co-</w:t>
            </w:r>
            <w:r w:rsidR="00663192">
              <w:t>Principal Investigator</w:t>
            </w:r>
          </w:p>
        </w:tc>
        <w:tc>
          <w:tcPr>
            <w:tcW w:w="2179" w:type="dxa"/>
          </w:tcPr>
          <w:p w:rsidR="007A3CEE" w:rsidRDefault="007A3CEE" w:rsidP="00B32274">
            <w:r>
              <w:t>Marzano Research Laboratory</w:t>
            </w:r>
          </w:p>
        </w:tc>
        <w:tc>
          <w:tcPr>
            <w:tcW w:w="2613" w:type="dxa"/>
          </w:tcPr>
          <w:p w:rsidR="007A3CEE" w:rsidRDefault="00E65209" w:rsidP="007A3CEE">
            <w:hyperlink r:id="rId17" w:history="1">
              <w:r w:rsidR="007A3CEE" w:rsidRPr="003B7C1C">
                <w:rPr>
                  <w:rStyle w:val="Hyperlink"/>
                </w:rPr>
                <w:t>helen.apthorp@marzanoresearch.com</w:t>
              </w:r>
            </w:hyperlink>
          </w:p>
          <w:p w:rsidR="007A3CEE" w:rsidRDefault="007A3CEE" w:rsidP="007A3CEE">
            <w:r>
              <w:t>303-766-9199</w:t>
            </w:r>
          </w:p>
        </w:tc>
      </w:tr>
      <w:tr w:rsidR="007A3CEE" w:rsidTr="007A3CEE">
        <w:tc>
          <w:tcPr>
            <w:tcW w:w="2160" w:type="dxa"/>
          </w:tcPr>
          <w:p w:rsidR="007A3CEE" w:rsidRDefault="007A3CEE" w:rsidP="007A3CEE">
            <w:r>
              <w:t xml:space="preserve">Dr. Kerry </w:t>
            </w:r>
            <w:proofErr w:type="spellStart"/>
            <w:r>
              <w:t>Englert</w:t>
            </w:r>
            <w:proofErr w:type="spellEnd"/>
          </w:p>
        </w:tc>
        <w:tc>
          <w:tcPr>
            <w:tcW w:w="2160" w:type="dxa"/>
          </w:tcPr>
          <w:p w:rsidR="007A3CEE" w:rsidRDefault="007A3CEE" w:rsidP="00B32274">
            <w:r>
              <w:t>Technical Working Group Member</w:t>
            </w:r>
          </w:p>
        </w:tc>
        <w:tc>
          <w:tcPr>
            <w:tcW w:w="2179" w:type="dxa"/>
          </w:tcPr>
          <w:p w:rsidR="007A3CEE" w:rsidRDefault="007A3CEE" w:rsidP="00B32274">
            <w:r>
              <w:t>Seneca Consulting</w:t>
            </w:r>
          </w:p>
        </w:tc>
        <w:tc>
          <w:tcPr>
            <w:tcW w:w="2613" w:type="dxa"/>
          </w:tcPr>
          <w:p w:rsidR="007A3CEE" w:rsidRDefault="00E65209" w:rsidP="007A3CEE">
            <w:hyperlink r:id="rId18" w:history="1">
              <w:r w:rsidR="007A3CEE" w:rsidRPr="003B7C1C">
                <w:rPr>
                  <w:rStyle w:val="Hyperlink"/>
                </w:rPr>
                <w:t>kenglert@senecaconsulting.org</w:t>
              </w:r>
            </w:hyperlink>
            <w:r w:rsidR="007A3CEE">
              <w:t xml:space="preserve"> </w:t>
            </w:r>
          </w:p>
        </w:tc>
      </w:tr>
    </w:tbl>
    <w:p w:rsidR="006D792F" w:rsidRDefault="00402C32" w:rsidP="00447A30">
      <w:pPr>
        <w:pStyle w:val="Heading1"/>
        <w:jc w:val="center"/>
      </w:pPr>
      <w:bookmarkStart w:id="13" w:name="_Toc352313140"/>
      <w:r>
        <w:t>References</w:t>
      </w:r>
      <w:bookmarkEnd w:id="13"/>
    </w:p>
    <w:p w:rsidR="00115B7A" w:rsidRPr="00A92600" w:rsidRDefault="00115B7A" w:rsidP="00115B7A">
      <w:pPr>
        <w:spacing w:line="240" w:lineRule="auto"/>
        <w:ind w:left="720" w:hanging="720"/>
        <w:rPr>
          <w:color w:val="000000"/>
        </w:rPr>
      </w:pPr>
      <w:proofErr w:type="spellStart"/>
      <w:r w:rsidRPr="00A92600">
        <w:rPr>
          <w:color w:val="000000"/>
        </w:rPr>
        <w:t>Dillman</w:t>
      </w:r>
      <w:proofErr w:type="spellEnd"/>
      <w:r w:rsidRPr="00A92600">
        <w:rPr>
          <w:color w:val="000000"/>
        </w:rPr>
        <w:t xml:space="preserve">, D. A., (2000). </w:t>
      </w:r>
      <w:r w:rsidRPr="00A92600">
        <w:rPr>
          <w:i/>
          <w:color w:val="000000"/>
        </w:rPr>
        <w:t>Mail and internet surveys: The tailored design method (</w:t>
      </w:r>
      <w:r w:rsidRPr="00BD2BAB">
        <w:rPr>
          <w:color w:val="000000"/>
        </w:rPr>
        <w:t xml:space="preserve">2nd </w:t>
      </w:r>
      <w:proofErr w:type="gramStart"/>
      <w:r w:rsidRPr="00BD2BAB">
        <w:rPr>
          <w:color w:val="000000"/>
        </w:rPr>
        <w:t>ed</w:t>
      </w:r>
      <w:proofErr w:type="gramEnd"/>
      <w:r w:rsidRPr="00663192">
        <w:rPr>
          <w:color w:val="000000"/>
        </w:rPr>
        <w:t>.</w:t>
      </w:r>
      <w:r w:rsidRPr="00A92600">
        <w:rPr>
          <w:color w:val="000000"/>
        </w:rPr>
        <w:t>). New York: Wiley.</w:t>
      </w:r>
    </w:p>
    <w:p w:rsidR="009A7D1C" w:rsidRPr="004B4558" w:rsidRDefault="009A7D1C" w:rsidP="004B4558">
      <w:pPr>
        <w:spacing w:after="0" w:line="240" w:lineRule="auto"/>
        <w:ind w:left="720" w:hanging="720"/>
        <w:rPr>
          <w:i/>
          <w:iCs/>
          <w:color w:val="000000"/>
        </w:rPr>
      </w:pPr>
      <w:proofErr w:type="spellStart"/>
      <w:r w:rsidRPr="009A7D1C">
        <w:rPr>
          <w:color w:val="000000"/>
        </w:rPr>
        <w:t>Gamse</w:t>
      </w:r>
      <w:proofErr w:type="spellEnd"/>
      <w:r w:rsidRPr="009A7D1C">
        <w:rPr>
          <w:color w:val="000000"/>
        </w:rPr>
        <w:t xml:space="preserve">, B.C., Bloom, H.S., </w:t>
      </w:r>
      <w:proofErr w:type="spellStart"/>
      <w:r w:rsidRPr="009A7D1C">
        <w:rPr>
          <w:color w:val="000000"/>
        </w:rPr>
        <w:t>Kemple</w:t>
      </w:r>
      <w:proofErr w:type="spellEnd"/>
      <w:r w:rsidRPr="009A7D1C">
        <w:rPr>
          <w:color w:val="000000"/>
        </w:rPr>
        <w:t xml:space="preserve">, J.J., Jacob, R.T., (2008). </w:t>
      </w:r>
      <w:r w:rsidRPr="009A7D1C">
        <w:rPr>
          <w:i/>
          <w:iCs/>
          <w:color w:val="000000"/>
        </w:rPr>
        <w:t>Reading</w:t>
      </w:r>
      <w:r>
        <w:rPr>
          <w:i/>
          <w:iCs/>
          <w:color w:val="000000"/>
        </w:rPr>
        <w:t xml:space="preserve"> First impact study: Interim r</w:t>
      </w:r>
      <w:r w:rsidRPr="009A7D1C">
        <w:rPr>
          <w:i/>
          <w:iCs/>
          <w:color w:val="000000"/>
        </w:rPr>
        <w:t xml:space="preserve">eport </w:t>
      </w:r>
      <w:r w:rsidRPr="009A7D1C">
        <w:rPr>
          <w:color w:val="000000"/>
        </w:rPr>
        <w:t>(NCEE 2008-4016). Washington, DC: National Center for Education Evaluation and</w:t>
      </w:r>
      <w:r>
        <w:rPr>
          <w:color w:val="000000"/>
        </w:rPr>
        <w:t xml:space="preserve"> </w:t>
      </w:r>
      <w:r w:rsidRPr="009A7D1C">
        <w:rPr>
          <w:color w:val="000000"/>
        </w:rPr>
        <w:t>Regional Assistance, Institute of Education Sciences, U.S. Department of Education.</w:t>
      </w:r>
    </w:p>
    <w:p w:rsidR="009A7D1C" w:rsidRDefault="009A7D1C" w:rsidP="004B4558">
      <w:pPr>
        <w:spacing w:after="0" w:line="240" w:lineRule="auto"/>
        <w:ind w:left="720" w:hanging="720"/>
        <w:rPr>
          <w:color w:val="000000"/>
        </w:rPr>
      </w:pPr>
    </w:p>
    <w:p w:rsidR="00115B7A" w:rsidRPr="00115B7A" w:rsidRDefault="00115B7A" w:rsidP="00115B7A">
      <w:pPr>
        <w:spacing w:line="240" w:lineRule="auto"/>
        <w:ind w:left="720" w:hanging="720"/>
        <w:rPr>
          <w:color w:val="000000"/>
        </w:rPr>
      </w:pPr>
      <w:r w:rsidRPr="00115B7A">
        <w:rPr>
          <w:color w:val="000000"/>
        </w:rPr>
        <w:t xml:space="preserve">Kline, R.B. (2005). </w:t>
      </w:r>
      <w:r w:rsidRPr="00115B7A">
        <w:rPr>
          <w:i/>
          <w:color w:val="000000"/>
        </w:rPr>
        <w:t>Principles and practices of structural equation modeling</w:t>
      </w:r>
      <w:r w:rsidRPr="00115B7A">
        <w:rPr>
          <w:color w:val="000000"/>
        </w:rPr>
        <w:t xml:space="preserve"> (2nd </w:t>
      </w:r>
      <w:proofErr w:type="gramStart"/>
      <w:r w:rsidRPr="00115B7A">
        <w:rPr>
          <w:color w:val="000000"/>
        </w:rPr>
        <w:t>ed</w:t>
      </w:r>
      <w:proofErr w:type="gramEnd"/>
      <w:r w:rsidRPr="00115B7A">
        <w:rPr>
          <w:color w:val="000000"/>
        </w:rPr>
        <w:t>.).</w:t>
      </w:r>
      <w:r w:rsidR="00663192">
        <w:rPr>
          <w:color w:val="000000"/>
        </w:rPr>
        <w:t xml:space="preserve"> </w:t>
      </w:r>
      <w:r w:rsidRPr="00115B7A">
        <w:rPr>
          <w:color w:val="000000"/>
        </w:rPr>
        <w:t>New York: Guilford.</w:t>
      </w:r>
    </w:p>
    <w:p w:rsidR="00A2366E" w:rsidRPr="00A92600" w:rsidRDefault="00A2366E" w:rsidP="00A2366E">
      <w:pPr>
        <w:spacing w:line="240" w:lineRule="auto"/>
        <w:ind w:left="720" w:hanging="720"/>
        <w:rPr>
          <w:color w:val="000000"/>
        </w:rPr>
      </w:pPr>
      <w:proofErr w:type="spellStart"/>
      <w:r w:rsidRPr="00A92600">
        <w:rPr>
          <w:color w:val="000000"/>
        </w:rPr>
        <w:t>Loehlin</w:t>
      </w:r>
      <w:proofErr w:type="spellEnd"/>
      <w:r w:rsidRPr="00A92600">
        <w:rPr>
          <w:color w:val="000000"/>
        </w:rPr>
        <w:t xml:space="preserve">, J. C. (1992). </w:t>
      </w:r>
      <w:r w:rsidRPr="00A92600">
        <w:rPr>
          <w:i/>
          <w:color w:val="000000"/>
        </w:rPr>
        <w:t xml:space="preserve">Latent variable models; </w:t>
      </w:r>
      <w:proofErr w:type="gramStart"/>
      <w:r w:rsidRPr="00A92600">
        <w:rPr>
          <w:i/>
          <w:color w:val="000000"/>
        </w:rPr>
        <w:t>An</w:t>
      </w:r>
      <w:proofErr w:type="gramEnd"/>
      <w:r w:rsidRPr="00A92600">
        <w:rPr>
          <w:i/>
          <w:color w:val="000000"/>
        </w:rPr>
        <w:t xml:space="preserve"> introduction to factor, path, and structural analysis. </w:t>
      </w:r>
      <w:r w:rsidRPr="00A92600">
        <w:rPr>
          <w:color w:val="000000"/>
        </w:rPr>
        <w:t>Mahwah, NJ: Erlbaum.</w:t>
      </w:r>
    </w:p>
    <w:p w:rsidR="00115B7A" w:rsidRPr="00A92600" w:rsidRDefault="00115B7A" w:rsidP="00115B7A">
      <w:pPr>
        <w:spacing w:line="240" w:lineRule="auto"/>
        <w:ind w:left="720" w:hanging="720"/>
        <w:rPr>
          <w:color w:val="000000"/>
        </w:rPr>
      </w:pPr>
      <w:proofErr w:type="spellStart"/>
      <w:proofErr w:type="gramStart"/>
      <w:r w:rsidRPr="00A92600">
        <w:rPr>
          <w:color w:val="000000"/>
        </w:rPr>
        <w:t>MacCallum</w:t>
      </w:r>
      <w:proofErr w:type="spellEnd"/>
      <w:r w:rsidRPr="00A92600">
        <w:rPr>
          <w:color w:val="000000"/>
        </w:rPr>
        <w:t>, R. C., Browne, M. W., &amp; Sugawara, H. M. (1996).</w:t>
      </w:r>
      <w:proofErr w:type="gramEnd"/>
      <w:r w:rsidRPr="00A92600">
        <w:rPr>
          <w:color w:val="000000"/>
        </w:rPr>
        <w:t xml:space="preserve"> Power analysis and determination of sample size for covariance structure modeling. </w:t>
      </w:r>
      <w:r w:rsidRPr="00A92600">
        <w:rPr>
          <w:i/>
          <w:color w:val="000000"/>
        </w:rPr>
        <w:t>Psychological Methods</w:t>
      </w:r>
      <w:r w:rsidRPr="00A92600">
        <w:rPr>
          <w:color w:val="000000"/>
        </w:rPr>
        <w:t xml:space="preserve">, </w:t>
      </w:r>
      <w:r w:rsidRPr="00A92600">
        <w:rPr>
          <w:i/>
          <w:color w:val="000000"/>
        </w:rPr>
        <w:t>1</w:t>
      </w:r>
      <w:r w:rsidRPr="00A92600">
        <w:rPr>
          <w:color w:val="000000"/>
        </w:rPr>
        <w:t>, 130</w:t>
      </w:r>
      <w:r w:rsidR="00417825">
        <w:rPr>
          <w:rFonts w:cstheme="minorHAnsi"/>
          <w:color w:val="000000"/>
        </w:rPr>
        <w:t>–</w:t>
      </w:r>
      <w:r w:rsidRPr="00A92600">
        <w:rPr>
          <w:color w:val="000000"/>
        </w:rPr>
        <w:t>149.</w:t>
      </w:r>
    </w:p>
    <w:p w:rsidR="00115B7A" w:rsidRPr="00B02ADB" w:rsidRDefault="00115B7A" w:rsidP="00115B7A">
      <w:pPr>
        <w:spacing w:line="240" w:lineRule="auto"/>
        <w:ind w:left="720" w:hanging="720"/>
        <w:rPr>
          <w:color w:val="000000"/>
        </w:rPr>
      </w:pPr>
      <w:proofErr w:type="gramStart"/>
      <w:r>
        <w:rPr>
          <w:color w:val="000000"/>
        </w:rPr>
        <w:lastRenderedPageBreak/>
        <w:t>National Center for Education Evaluation (2005).</w:t>
      </w:r>
      <w:proofErr w:type="gramEnd"/>
      <w:r w:rsidR="00417825">
        <w:rPr>
          <w:color w:val="000000"/>
        </w:rPr>
        <w:t xml:space="preserve"> </w:t>
      </w:r>
      <w:r w:rsidRPr="00B02ADB">
        <w:rPr>
          <w:bCs/>
          <w:i/>
          <w:color w:val="000000"/>
        </w:rPr>
        <w:t>Guidelines for incentives for NCEE impact evaluations</w:t>
      </w:r>
      <w:r w:rsidRPr="00B02ADB">
        <w:rPr>
          <w:bCs/>
          <w:color w:val="000000"/>
        </w:rPr>
        <w:t>. Washington, DC: Author.</w:t>
      </w:r>
    </w:p>
    <w:p w:rsidR="00115B7A" w:rsidRDefault="00115B7A" w:rsidP="00115B7A">
      <w:pPr>
        <w:spacing w:line="240" w:lineRule="auto"/>
        <w:ind w:left="720" w:hanging="720"/>
        <w:rPr>
          <w:color w:val="000000"/>
        </w:rPr>
      </w:pPr>
      <w:proofErr w:type="gramStart"/>
      <w:r>
        <w:rPr>
          <w:color w:val="000000"/>
        </w:rPr>
        <w:t>National Service Knowledge Network (2008).</w:t>
      </w:r>
      <w:proofErr w:type="gramEnd"/>
      <w:r>
        <w:rPr>
          <w:color w:val="000000"/>
        </w:rPr>
        <w:t xml:space="preserve"> </w:t>
      </w:r>
      <w:r w:rsidRPr="00301315">
        <w:rPr>
          <w:i/>
          <w:color w:val="000000"/>
        </w:rPr>
        <w:t>Planning and conducting a pilot test.</w:t>
      </w:r>
      <w:r>
        <w:rPr>
          <w:color w:val="000000"/>
        </w:rPr>
        <w:t xml:space="preserve"> Scotts Valley, CA: Author. </w:t>
      </w:r>
      <w:proofErr w:type="gramStart"/>
      <w:r>
        <w:rPr>
          <w:color w:val="000000"/>
        </w:rPr>
        <w:t xml:space="preserve">Retrieved July 18, 2012 from </w:t>
      </w:r>
      <w:r w:rsidRPr="00301315">
        <w:rPr>
          <w:color w:val="000000"/>
        </w:rPr>
        <w:t>http://www.nationalserviceresources.org/practices/19498</w:t>
      </w:r>
      <w:r>
        <w:rPr>
          <w:color w:val="000000"/>
        </w:rPr>
        <w:t>.</w:t>
      </w:r>
      <w:proofErr w:type="gramEnd"/>
    </w:p>
    <w:p w:rsidR="00115B7A" w:rsidRPr="00115B7A" w:rsidRDefault="00115B7A" w:rsidP="00115B7A">
      <w:pPr>
        <w:spacing w:line="240" w:lineRule="auto"/>
        <w:ind w:left="720" w:hanging="720"/>
        <w:rPr>
          <w:color w:val="000000"/>
        </w:rPr>
      </w:pPr>
      <w:proofErr w:type="spellStart"/>
      <w:proofErr w:type="gramStart"/>
      <w:r>
        <w:rPr>
          <w:color w:val="000000"/>
        </w:rPr>
        <w:t>Nunnally</w:t>
      </w:r>
      <w:proofErr w:type="spellEnd"/>
      <w:r>
        <w:rPr>
          <w:color w:val="000000"/>
        </w:rPr>
        <w:t>, J. C., &amp; Bernstein, I. H. (1994).</w:t>
      </w:r>
      <w:proofErr w:type="gramEnd"/>
      <w:r>
        <w:rPr>
          <w:color w:val="000000"/>
        </w:rPr>
        <w:t xml:space="preserve"> </w:t>
      </w:r>
      <w:r>
        <w:rPr>
          <w:i/>
          <w:color w:val="000000"/>
        </w:rPr>
        <w:t xml:space="preserve">Psychometric theory </w:t>
      </w:r>
      <w:r>
        <w:rPr>
          <w:color w:val="000000"/>
        </w:rPr>
        <w:t>(3</w:t>
      </w:r>
      <w:r w:rsidRPr="00BD2BAB">
        <w:rPr>
          <w:color w:val="000000"/>
        </w:rPr>
        <w:t>rd</w:t>
      </w:r>
      <w:r>
        <w:rPr>
          <w:color w:val="000000"/>
        </w:rPr>
        <w:t xml:space="preserve"> </w:t>
      </w:r>
      <w:proofErr w:type="gramStart"/>
      <w:r>
        <w:rPr>
          <w:color w:val="000000"/>
        </w:rPr>
        <w:t>ed</w:t>
      </w:r>
      <w:proofErr w:type="gramEnd"/>
      <w:r>
        <w:rPr>
          <w:color w:val="000000"/>
        </w:rPr>
        <w:t>.). New York: McGraw-Hill.</w:t>
      </w:r>
    </w:p>
    <w:p w:rsidR="00115B7A" w:rsidRPr="00BB3291" w:rsidRDefault="00115B7A" w:rsidP="00115B7A">
      <w:pPr>
        <w:spacing w:line="240" w:lineRule="auto"/>
        <w:ind w:left="720" w:hanging="720"/>
        <w:rPr>
          <w:color w:val="000000"/>
        </w:rPr>
      </w:pPr>
      <w:proofErr w:type="gramStart"/>
      <w:r w:rsidRPr="00BB3291">
        <w:rPr>
          <w:color w:val="000000"/>
        </w:rPr>
        <w:t>Office of Management and Budget (2006).</w:t>
      </w:r>
      <w:proofErr w:type="gramEnd"/>
      <w:r w:rsidRPr="00BB3291">
        <w:rPr>
          <w:color w:val="000000"/>
        </w:rPr>
        <w:t xml:space="preserve"> </w:t>
      </w:r>
      <w:proofErr w:type="gramStart"/>
      <w:r w:rsidRPr="00BB3291">
        <w:rPr>
          <w:color w:val="000000"/>
        </w:rPr>
        <w:t>Guidance on agency survey and statistical information collections.</w:t>
      </w:r>
      <w:proofErr w:type="gramEnd"/>
      <w:r w:rsidRPr="00BB3291">
        <w:rPr>
          <w:color w:val="000000"/>
        </w:rPr>
        <w:t xml:space="preserve"> Washington</w:t>
      </w:r>
      <w:r>
        <w:rPr>
          <w:color w:val="000000"/>
        </w:rPr>
        <w:t>,</w:t>
      </w:r>
      <w:r w:rsidRPr="00BB3291">
        <w:rPr>
          <w:color w:val="000000"/>
        </w:rPr>
        <w:t xml:space="preserve"> DC: Author. Retrieved</w:t>
      </w:r>
      <w:r>
        <w:rPr>
          <w:color w:val="000000"/>
        </w:rPr>
        <w:t xml:space="preserve"> July 18, 2012</w:t>
      </w:r>
      <w:r w:rsidRPr="00BB3291">
        <w:rPr>
          <w:color w:val="000000"/>
        </w:rPr>
        <w:t xml:space="preserve"> from: http://www.whitehouse.gov/sites/default/files/omb/inforeg/pmc_survey_guidance_2006.pdf</w:t>
      </w:r>
      <w:r>
        <w:rPr>
          <w:color w:val="000000"/>
        </w:rPr>
        <w:t>.</w:t>
      </w:r>
    </w:p>
    <w:p w:rsidR="00115B7A" w:rsidRPr="00115B7A" w:rsidRDefault="00115B7A" w:rsidP="00115B7A">
      <w:pPr>
        <w:spacing w:line="240" w:lineRule="auto"/>
        <w:ind w:left="720" w:hanging="720"/>
        <w:rPr>
          <w:color w:val="000000"/>
        </w:rPr>
      </w:pPr>
      <w:proofErr w:type="spellStart"/>
      <w:proofErr w:type="gramStart"/>
      <w:r w:rsidRPr="00115B7A">
        <w:rPr>
          <w:color w:val="000000"/>
        </w:rPr>
        <w:t>Tabachnick</w:t>
      </w:r>
      <w:proofErr w:type="spellEnd"/>
      <w:r w:rsidRPr="00115B7A">
        <w:rPr>
          <w:color w:val="000000"/>
        </w:rPr>
        <w:t xml:space="preserve">, B. G., &amp; </w:t>
      </w:r>
      <w:proofErr w:type="spellStart"/>
      <w:r w:rsidRPr="00115B7A">
        <w:rPr>
          <w:color w:val="000000"/>
        </w:rPr>
        <w:t>Fidell</w:t>
      </w:r>
      <w:proofErr w:type="spellEnd"/>
      <w:r w:rsidRPr="00115B7A">
        <w:rPr>
          <w:color w:val="000000"/>
        </w:rPr>
        <w:t>, L. S. (2001).</w:t>
      </w:r>
      <w:proofErr w:type="gramEnd"/>
      <w:r w:rsidRPr="00115B7A">
        <w:rPr>
          <w:color w:val="000000"/>
        </w:rPr>
        <w:t xml:space="preserve"> </w:t>
      </w:r>
      <w:r w:rsidRPr="00115B7A">
        <w:rPr>
          <w:i/>
          <w:color w:val="000000"/>
        </w:rPr>
        <w:t xml:space="preserve">Using multivariate statistics </w:t>
      </w:r>
      <w:r w:rsidRPr="00115B7A">
        <w:rPr>
          <w:color w:val="000000"/>
        </w:rPr>
        <w:t xml:space="preserve">(4th </w:t>
      </w:r>
      <w:proofErr w:type="gramStart"/>
      <w:r w:rsidRPr="00115B7A">
        <w:rPr>
          <w:color w:val="000000"/>
        </w:rPr>
        <w:t>ed</w:t>
      </w:r>
      <w:proofErr w:type="gramEnd"/>
      <w:r w:rsidRPr="00115B7A">
        <w:rPr>
          <w:color w:val="000000"/>
        </w:rPr>
        <w:t>.). Boston: Allyn and Bacon.</w:t>
      </w:r>
    </w:p>
    <w:p w:rsidR="00600D09" w:rsidRDefault="00600D09" w:rsidP="00600D09">
      <w:pPr>
        <w:spacing w:line="240" w:lineRule="auto"/>
        <w:ind w:left="720" w:hanging="720"/>
        <w:rPr>
          <w:color w:val="000000"/>
        </w:rPr>
      </w:pPr>
    </w:p>
    <w:p w:rsidR="00600D09" w:rsidRPr="00A92600" w:rsidRDefault="00600D09" w:rsidP="00600D09">
      <w:pPr>
        <w:spacing w:line="240" w:lineRule="auto"/>
        <w:ind w:left="720" w:hanging="720"/>
        <w:rPr>
          <w:color w:val="000000"/>
        </w:rPr>
      </w:pPr>
    </w:p>
    <w:p w:rsidR="003B0E8D" w:rsidRPr="006D792F" w:rsidRDefault="003B0E8D" w:rsidP="002A716E">
      <w:pPr>
        <w:rPr>
          <w:b/>
        </w:rPr>
      </w:pPr>
    </w:p>
    <w:sectPr w:rsidR="003B0E8D" w:rsidRPr="006D792F" w:rsidSect="001A1F5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209" w:rsidRDefault="00E65209" w:rsidP="00E70779">
      <w:pPr>
        <w:spacing w:after="0" w:line="240" w:lineRule="auto"/>
      </w:pPr>
      <w:r>
        <w:separator/>
      </w:r>
    </w:p>
  </w:endnote>
  <w:endnote w:type="continuationSeparator" w:id="0">
    <w:p w:rsidR="00E65209" w:rsidRDefault="00E65209" w:rsidP="00E7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209" w:rsidRDefault="00E65209" w:rsidP="00E70779">
      <w:pPr>
        <w:spacing w:after="0" w:line="240" w:lineRule="auto"/>
      </w:pPr>
      <w:r>
        <w:separator/>
      </w:r>
    </w:p>
  </w:footnote>
  <w:footnote w:type="continuationSeparator" w:id="0">
    <w:p w:rsidR="00E65209" w:rsidRDefault="00E65209" w:rsidP="00E707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A60F3"/>
    <w:multiLevelType w:val="hybridMultilevel"/>
    <w:tmpl w:val="8A288AFC"/>
    <w:lvl w:ilvl="0" w:tplc="660AE3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A0BD4"/>
    <w:multiLevelType w:val="hybridMultilevel"/>
    <w:tmpl w:val="FC4EF0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7C90BCE"/>
    <w:multiLevelType w:val="hybridMultilevel"/>
    <w:tmpl w:val="1C00A0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0132E0"/>
    <w:multiLevelType w:val="hybridMultilevel"/>
    <w:tmpl w:val="EC12104A"/>
    <w:lvl w:ilvl="0" w:tplc="DA4076D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CB23A44"/>
    <w:multiLevelType w:val="hybridMultilevel"/>
    <w:tmpl w:val="FFCE3C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41BB3"/>
    <w:multiLevelType w:val="hybridMultilevel"/>
    <w:tmpl w:val="B2C0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3A5F6E"/>
    <w:multiLevelType w:val="hybridMultilevel"/>
    <w:tmpl w:val="3AD2F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6E"/>
    <w:rsid w:val="00015278"/>
    <w:rsid w:val="00041B5D"/>
    <w:rsid w:val="0004510B"/>
    <w:rsid w:val="000601B7"/>
    <w:rsid w:val="00084ACF"/>
    <w:rsid w:val="000A6EDF"/>
    <w:rsid w:val="000B0D57"/>
    <w:rsid w:val="00115B7A"/>
    <w:rsid w:val="00127897"/>
    <w:rsid w:val="00150940"/>
    <w:rsid w:val="00163248"/>
    <w:rsid w:val="00173F5F"/>
    <w:rsid w:val="001A1F57"/>
    <w:rsid w:val="001B5518"/>
    <w:rsid w:val="001C41EF"/>
    <w:rsid w:val="001F421D"/>
    <w:rsid w:val="00217357"/>
    <w:rsid w:val="002424B5"/>
    <w:rsid w:val="002A716E"/>
    <w:rsid w:val="002B3BE2"/>
    <w:rsid w:val="002B594F"/>
    <w:rsid w:val="002D2641"/>
    <w:rsid w:val="002F478B"/>
    <w:rsid w:val="002F7440"/>
    <w:rsid w:val="00314003"/>
    <w:rsid w:val="003722F1"/>
    <w:rsid w:val="003B0E8D"/>
    <w:rsid w:val="0040112E"/>
    <w:rsid w:val="00402C32"/>
    <w:rsid w:val="004171D8"/>
    <w:rsid w:val="00417825"/>
    <w:rsid w:val="0042457C"/>
    <w:rsid w:val="00447A30"/>
    <w:rsid w:val="00456BFC"/>
    <w:rsid w:val="00485898"/>
    <w:rsid w:val="004A671F"/>
    <w:rsid w:val="004B4558"/>
    <w:rsid w:val="004E4EA6"/>
    <w:rsid w:val="005004F8"/>
    <w:rsid w:val="005023F2"/>
    <w:rsid w:val="00534F35"/>
    <w:rsid w:val="0054105E"/>
    <w:rsid w:val="0055656D"/>
    <w:rsid w:val="00591AA0"/>
    <w:rsid w:val="005F6CCA"/>
    <w:rsid w:val="00600D09"/>
    <w:rsid w:val="00610C31"/>
    <w:rsid w:val="006160C6"/>
    <w:rsid w:val="00657A48"/>
    <w:rsid w:val="00661E46"/>
    <w:rsid w:val="00663192"/>
    <w:rsid w:val="006732DE"/>
    <w:rsid w:val="00677CF7"/>
    <w:rsid w:val="006809E2"/>
    <w:rsid w:val="006A5B54"/>
    <w:rsid w:val="006C44B4"/>
    <w:rsid w:val="006D1399"/>
    <w:rsid w:val="006D449C"/>
    <w:rsid w:val="006D792F"/>
    <w:rsid w:val="006E1943"/>
    <w:rsid w:val="006E3F1C"/>
    <w:rsid w:val="007002C2"/>
    <w:rsid w:val="0071002C"/>
    <w:rsid w:val="00717258"/>
    <w:rsid w:val="00735274"/>
    <w:rsid w:val="00740E09"/>
    <w:rsid w:val="00744F0D"/>
    <w:rsid w:val="00761023"/>
    <w:rsid w:val="0077589F"/>
    <w:rsid w:val="00780080"/>
    <w:rsid w:val="00784028"/>
    <w:rsid w:val="00785B8C"/>
    <w:rsid w:val="007A3CEE"/>
    <w:rsid w:val="007A4517"/>
    <w:rsid w:val="007C60EC"/>
    <w:rsid w:val="007D1FCF"/>
    <w:rsid w:val="007D2125"/>
    <w:rsid w:val="00803FD3"/>
    <w:rsid w:val="00815A38"/>
    <w:rsid w:val="00823DCF"/>
    <w:rsid w:val="00830F01"/>
    <w:rsid w:val="008609E2"/>
    <w:rsid w:val="00864089"/>
    <w:rsid w:val="00867FCA"/>
    <w:rsid w:val="00870DE1"/>
    <w:rsid w:val="00876246"/>
    <w:rsid w:val="00884AB0"/>
    <w:rsid w:val="008A12CC"/>
    <w:rsid w:val="008C1B47"/>
    <w:rsid w:val="009052AF"/>
    <w:rsid w:val="00936555"/>
    <w:rsid w:val="0094785E"/>
    <w:rsid w:val="00967A34"/>
    <w:rsid w:val="0097136B"/>
    <w:rsid w:val="0099316D"/>
    <w:rsid w:val="009A7D1C"/>
    <w:rsid w:val="009B6302"/>
    <w:rsid w:val="009B6B60"/>
    <w:rsid w:val="00A009AA"/>
    <w:rsid w:val="00A045EF"/>
    <w:rsid w:val="00A16CC4"/>
    <w:rsid w:val="00A2227C"/>
    <w:rsid w:val="00A2366E"/>
    <w:rsid w:val="00A55683"/>
    <w:rsid w:val="00A60AD2"/>
    <w:rsid w:val="00A7498E"/>
    <w:rsid w:val="00AA354F"/>
    <w:rsid w:val="00AB7D4F"/>
    <w:rsid w:val="00AD3C90"/>
    <w:rsid w:val="00AE7F60"/>
    <w:rsid w:val="00B24F13"/>
    <w:rsid w:val="00B32274"/>
    <w:rsid w:val="00B522CD"/>
    <w:rsid w:val="00B860CB"/>
    <w:rsid w:val="00B902CC"/>
    <w:rsid w:val="00BA58E2"/>
    <w:rsid w:val="00BD2BAB"/>
    <w:rsid w:val="00BE4F09"/>
    <w:rsid w:val="00C04961"/>
    <w:rsid w:val="00C122C7"/>
    <w:rsid w:val="00C21678"/>
    <w:rsid w:val="00C372F2"/>
    <w:rsid w:val="00C53600"/>
    <w:rsid w:val="00C8777A"/>
    <w:rsid w:val="00C8790F"/>
    <w:rsid w:val="00CA0BE3"/>
    <w:rsid w:val="00CA173B"/>
    <w:rsid w:val="00CA49FE"/>
    <w:rsid w:val="00CA6142"/>
    <w:rsid w:val="00CB1126"/>
    <w:rsid w:val="00CE696F"/>
    <w:rsid w:val="00CF03AC"/>
    <w:rsid w:val="00D133B1"/>
    <w:rsid w:val="00D25C91"/>
    <w:rsid w:val="00D3439B"/>
    <w:rsid w:val="00D43ADB"/>
    <w:rsid w:val="00D54468"/>
    <w:rsid w:val="00D908D8"/>
    <w:rsid w:val="00E17252"/>
    <w:rsid w:val="00E314B0"/>
    <w:rsid w:val="00E33C8D"/>
    <w:rsid w:val="00E60051"/>
    <w:rsid w:val="00E65209"/>
    <w:rsid w:val="00E70779"/>
    <w:rsid w:val="00E71EB6"/>
    <w:rsid w:val="00E74F53"/>
    <w:rsid w:val="00E87CDE"/>
    <w:rsid w:val="00E91D8D"/>
    <w:rsid w:val="00E96521"/>
    <w:rsid w:val="00E967ED"/>
    <w:rsid w:val="00E9736D"/>
    <w:rsid w:val="00F23EDB"/>
    <w:rsid w:val="00F4116C"/>
    <w:rsid w:val="00F67666"/>
    <w:rsid w:val="00F73ADC"/>
    <w:rsid w:val="00FA168C"/>
    <w:rsid w:val="00FB60C2"/>
    <w:rsid w:val="00FD599D"/>
    <w:rsid w:val="00FE5086"/>
    <w:rsid w:val="00FF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7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125"/>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967A34"/>
    <w:pPr>
      <w:outlineLvl w:val="2"/>
    </w:pPr>
    <w:rPr>
      <w:b/>
      <w:u w:val="single"/>
    </w:rPr>
  </w:style>
  <w:style w:type="paragraph" w:styleId="Heading4">
    <w:name w:val="heading 4"/>
    <w:basedOn w:val="Normal"/>
    <w:next w:val="Normal"/>
    <w:link w:val="Heading4Char"/>
    <w:uiPriority w:val="9"/>
    <w:unhideWhenUsed/>
    <w:qFormat/>
    <w:rsid w:val="00CA0B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BodyText"/>
    <w:next w:val="Normal"/>
    <w:link w:val="Heading5Char"/>
    <w:uiPriority w:val="9"/>
    <w:unhideWhenUsed/>
    <w:qFormat/>
    <w:rsid w:val="00CA0BE3"/>
    <w:pPr>
      <w:spacing w:after="200" w:line="276" w:lineRule="auto"/>
      <w:outlineLvl w:val="4"/>
    </w:pPr>
    <w:rPr>
      <w:rFonts w:asciiTheme="minorHAnsi" w:eastAsiaTheme="minorHAnsi" w:hAnsiTheme="minorHAnsi"/>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2125"/>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967A34"/>
    <w:rPr>
      <w:b/>
      <w:u w:val="single"/>
    </w:rPr>
  </w:style>
  <w:style w:type="character" w:styleId="CommentReference">
    <w:name w:val="annotation reference"/>
    <w:basedOn w:val="DefaultParagraphFont"/>
    <w:uiPriority w:val="99"/>
    <w:semiHidden/>
    <w:unhideWhenUsed/>
    <w:rsid w:val="007D2125"/>
    <w:rPr>
      <w:sz w:val="16"/>
      <w:szCs w:val="16"/>
    </w:rPr>
  </w:style>
  <w:style w:type="paragraph" w:styleId="CommentText">
    <w:name w:val="annotation text"/>
    <w:basedOn w:val="Normal"/>
    <w:link w:val="CommentTextChar"/>
    <w:uiPriority w:val="99"/>
    <w:semiHidden/>
    <w:unhideWhenUsed/>
    <w:rsid w:val="007D2125"/>
    <w:pPr>
      <w:spacing w:line="240" w:lineRule="auto"/>
    </w:pPr>
    <w:rPr>
      <w:sz w:val="20"/>
      <w:szCs w:val="20"/>
    </w:rPr>
  </w:style>
  <w:style w:type="character" w:customStyle="1" w:styleId="CommentTextChar">
    <w:name w:val="Comment Text Char"/>
    <w:basedOn w:val="DefaultParagraphFont"/>
    <w:link w:val="CommentText"/>
    <w:uiPriority w:val="99"/>
    <w:semiHidden/>
    <w:rsid w:val="007D2125"/>
    <w:rPr>
      <w:sz w:val="20"/>
      <w:szCs w:val="20"/>
    </w:rPr>
  </w:style>
  <w:style w:type="paragraph" w:styleId="CommentSubject">
    <w:name w:val="annotation subject"/>
    <w:basedOn w:val="CommentText"/>
    <w:next w:val="CommentText"/>
    <w:link w:val="CommentSubjectChar"/>
    <w:uiPriority w:val="99"/>
    <w:semiHidden/>
    <w:unhideWhenUsed/>
    <w:rsid w:val="007D2125"/>
    <w:rPr>
      <w:b/>
      <w:bCs/>
    </w:rPr>
  </w:style>
  <w:style w:type="character" w:customStyle="1" w:styleId="CommentSubjectChar">
    <w:name w:val="Comment Subject Char"/>
    <w:basedOn w:val="CommentTextChar"/>
    <w:link w:val="CommentSubject"/>
    <w:uiPriority w:val="99"/>
    <w:semiHidden/>
    <w:rsid w:val="007D2125"/>
    <w:rPr>
      <w:b/>
      <w:bCs/>
      <w:sz w:val="20"/>
      <w:szCs w:val="20"/>
    </w:rPr>
  </w:style>
  <w:style w:type="paragraph" w:styleId="BalloonText">
    <w:name w:val="Balloon Text"/>
    <w:basedOn w:val="Normal"/>
    <w:link w:val="BalloonTextChar"/>
    <w:uiPriority w:val="99"/>
    <w:semiHidden/>
    <w:unhideWhenUsed/>
    <w:rsid w:val="007D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25"/>
    <w:rPr>
      <w:rFonts w:ascii="Tahoma" w:hAnsi="Tahoma" w:cs="Tahoma"/>
      <w:sz w:val="16"/>
      <w:szCs w:val="16"/>
    </w:rPr>
  </w:style>
  <w:style w:type="paragraph" w:styleId="NoSpacing">
    <w:name w:val="No Spacing"/>
    <w:link w:val="NoSpacingChar"/>
    <w:uiPriority w:val="1"/>
    <w:qFormat/>
    <w:rsid w:val="001A1F5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A1F57"/>
    <w:rPr>
      <w:rFonts w:eastAsiaTheme="minorEastAsia"/>
      <w:lang w:eastAsia="ja-JP"/>
    </w:rPr>
  </w:style>
  <w:style w:type="paragraph" w:styleId="TOCHeading">
    <w:name w:val="TOC Heading"/>
    <w:basedOn w:val="Heading1"/>
    <w:next w:val="Normal"/>
    <w:uiPriority w:val="39"/>
    <w:semiHidden/>
    <w:unhideWhenUsed/>
    <w:qFormat/>
    <w:rsid w:val="001A1F57"/>
    <w:pPr>
      <w:outlineLvl w:val="9"/>
    </w:pPr>
    <w:rPr>
      <w:lang w:eastAsia="ja-JP"/>
    </w:rPr>
  </w:style>
  <w:style w:type="paragraph" w:styleId="TOC1">
    <w:name w:val="toc 1"/>
    <w:basedOn w:val="Normal"/>
    <w:next w:val="Normal"/>
    <w:autoRedefine/>
    <w:uiPriority w:val="39"/>
    <w:unhideWhenUsed/>
    <w:rsid w:val="001A1F57"/>
    <w:pPr>
      <w:spacing w:after="100"/>
    </w:pPr>
  </w:style>
  <w:style w:type="paragraph" w:styleId="TOC2">
    <w:name w:val="toc 2"/>
    <w:basedOn w:val="Normal"/>
    <w:next w:val="Normal"/>
    <w:autoRedefine/>
    <w:uiPriority w:val="39"/>
    <w:unhideWhenUsed/>
    <w:rsid w:val="001A1F57"/>
    <w:pPr>
      <w:spacing w:after="100"/>
      <w:ind w:left="220"/>
    </w:pPr>
  </w:style>
  <w:style w:type="paragraph" w:styleId="TOC3">
    <w:name w:val="toc 3"/>
    <w:basedOn w:val="Normal"/>
    <w:next w:val="Normal"/>
    <w:autoRedefine/>
    <w:uiPriority w:val="39"/>
    <w:unhideWhenUsed/>
    <w:rsid w:val="001A1F57"/>
    <w:pPr>
      <w:spacing w:after="100"/>
      <w:ind w:left="440"/>
    </w:pPr>
  </w:style>
  <w:style w:type="character" w:styleId="Hyperlink">
    <w:name w:val="Hyperlink"/>
    <w:basedOn w:val="DefaultParagraphFont"/>
    <w:uiPriority w:val="99"/>
    <w:unhideWhenUsed/>
    <w:rsid w:val="001A1F57"/>
    <w:rPr>
      <w:color w:val="0000FF" w:themeColor="hyperlink"/>
      <w:u w:val="single"/>
    </w:rPr>
  </w:style>
  <w:style w:type="table" w:styleId="TableGrid">
    <w:name w:val="Table Grid"/>
    <w:basedOn w:val="TableNormal"/>
    <w:uiPriority w:val="59"/>
    <w:rsid w:val="00485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FCF"/>
    <w:pPr>
      <w:ind w:left="720"/>
      <w:contextualSpacing/>
    </w:pPr>
  </w:style>
  <w:style w:type="paragraph" w:styleId="FootnoteText">
    <w:name w:val="footnote text"/>
    <w:basedOn w:val="Normal"/>
    <w:link w:val="FootnoteTextChar"/>
    <w:uiPriority w:val="99"/>
    <w:semiHidden/>
    <w:rsid w:val="00E70779"/>
    <w:pPr>
      <w:spacing w:before="20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E70779"/>
    <w:rPr>
      <w:rFonts w:ascii="Calibri" w:eastAsia="Times New Roman" w:hAnsi="Calibri" w:cs="Times New Roman"/>
      <w:sz w:val="20"/>
      <w:szCs w:val="20"/>
    </w:rPr>
  </w:style>
  <w:style w:type="character" w:styleId="FootnoteReference">
    <w:name w:val="footnote reference"/>
    <w:basedOn w:val="DefaultParagraphFont"/>
    <w:uiPriority w:val="99"/>
    <w:semiHidden/>
    <w:rsid w:val="00E70779"/>
    <w:rPr>
      <w:vertAlign w:val="superscript"/>
    </w:rPr>
  </w:style>
  <w:style w:type="paragraph" w:styleId="NormalWeb">
    <w:name w:val="Normal (Web)"/>
    <w:basedOn w:val="Normal"/>
    <w:uiPriority w:val="99"/>
    <w:semiHidden/>
    <w:rsid w:val="00E707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F42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421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A0B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A0BE3"/>
    <w:rPr>
      <w:rFonts w:cs="Times New Roman"/>
      <w:i/>
    </w:rPr>
  </w:style>
  <w:style w:type="paragraph" w:styleId="Revision">
    <w:name w:val="Revision"/>
    <w:hidden/>
    <w:uiPriority w:val="99"/>
    <w:semiHidden/>
    <w:rsid w:val="004E4E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7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125"/>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967A34"/>
    <w:pPr>
      <w:outlineLvl w:val="2"/>
    </w:pPr>
    <w:rPr>
      <w:b/>
      <w:u w:val="single"/>
    </w:rPr>
  </w:style>
  <w:style w:type="paragraph" w:styleId="Heading4">
    <w:name w:val="heading 4"/>
    <w:basedOn w:val="Normal"/>
    <w:next w:val="Normal"/>
    <w:link w:val="Heading4Char"/>
    <w:uiPriority w:val="9"/>
    <w:unhideWhenUsed/>
    <w:qFormat/>
    <w:rsid w:val="00CA0B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BodyText"/>
    <w:next w:val="Normal"/>
    <w:link w:val="Heading5Char"/>
    <w:uiPriority w:val="9"/>
    <w:unhideWhenUsed/>
    <w:qFormat/>
    <w:rsid w:val="00CA0BE3"/>
    <w:pPr>
      <w:spacing w:after="200" w:line="276" w:lineRule="auto"/>
      <w:outlineLvl w:val="4"/>
    </w:pPr>
    <w:rPr>
      <w:rFonts w:asciiTheme="minorHAnsi" w:eastAsiaTheme="minorHAnsi" w:hAnsiTheme="minorHAnsi"/>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2125"/>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967A34"/>
    <w:rPr>
      <w:b/>
      <w:u w:val="single"/>
    </w:rPr>
  </w:style>
  <w:style w:type="character" w:styleId="CommentReference">
    <w:name w:val="annotation reference"/>
    <w:basedOn w:val="DefaultParagraphFont"/>
    <w:uiPriority w:val="99"/>
    <w:semiHidden/>
    <w:unhideWhenUsed/>
    <w:rsid w:val="007D2125"/>
    <w:rPr>
      <w:sz w:val="16"/>
      <w:szCs w:val="16"/>
    </w:rPr>
  </w:style>
  <w:style w:type="paragraph" w:styleId="CommentText">
    <w:name w:val="annotation text"/>
    <w:basedOn w:val="Normal"/>
    <w:link w:val="CommentTextChar"/>
    <w:uiPriority w:val="99"/>
    <w:semiHidden/>
    <w:unhideWhenUsed/>
    <w:rsid w:val="007D2125"/>
    <w:pPr>
      <w:spacing w:line="240" w:lineRule="auto"/>
    </w:pPr>
    <w:rPr>
      <w:sz w:val="20"/>
      <w:szCs w:val="20"/>
    </w:rPr>
  </w:style>
  <w:style w:type="character" w:customStyle="1" w:styleId="CommentTextChar">
    <w:name w:val="Comment Text Char"/>
    <w:basedOn w:val="DefaultParagraphFont"/>
    <w:link w:val="CommentText"/>
    <w:uiPriority w:val="99"/>
    <w:semiHidden/>
    <w:rsid w:val="007D2125"/>
    <w:rPr>
      <w:sz w:val="20"/>
      <w:szCs w:val="20"/>
    </w:rPr>
  </w:style>
  <w:style w:type="paragraph" w:styleId="CommentSubject">
    <w:name w:val="annotation subject"/>
    <w:basedOn w:val="CommentText"/>
    <w:next w:val="CommentText"/>
    <w:link w:val="CommentSubjectChar"/>
    <w:uiPriority w:val="99"/>
    <w:semiHidden/>
    <w:unhideWhenUsed/>
    <w:rsid w:val="007D2125"/>
    <w:rPr>
      <w:b/>
      <w:bCs/>
    </w:rPr>
  </w:style>
  <w:style w:type="character" w:customStyle="1" w:styleId="CommentSubjectChar">
    <w:name w:val="Comment Subject Char"/>
    <w:basedOn w:val="CommentTextChar"/>
    <w:link w:val="CommentSubject"/>
    <w:uiPriority w:val="99"/>
    <w:semiHidden/>
    <w:rsid w:val="007D2125"/>
    <w:rPr>
      <w:b/>
      <w:bCs/>
      <w:sz w:val="20"/>
      <w:szCs w:val="20"/>
    </w:rPr>
  </w:style>
  <w:style w:type="paragraph" w:styleId="BalloonText">
    <w:name w:val="Balloon Text"/>
    <w:basedOn w:val="Normal"/>
    <w:link w:val="BalloonTextChar"/>
    <w:uiPriority w:val="99"/>
    <w:semiHidden/>
    <w:unhideWhenUsed/>
    <w:rsid w:val="007D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25"/>
    <w:rPr>
      <w:rFonts w:ascii="Tahoma" w:hAnsi="Tahoma" w:cs="Tahoma"/>
      <w:sz w:val="16"/>
      <w:szCs w:val="16"/>
    </w:rPr>
  </w:style>
  <w:style w:type="paragraph" w:styleId="NoSpacing">
    <w:name w:val="No Spacing"/>
    <w:link w:val="NoSpacingChar"/>
    <w:uiPriority w:val="1"/>
    <w:qFormat/>
    <w:rsid w:val="001A1F5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A1F57"/>
    <w:rPr>
      <w:rFonts w:eastAsiaTheme="minorEastAsia"/>
      <w:lang w:eastAsia="ja-JP"/>
    </w:rPr>
  </w:style>
  <w:style w:type="paragraph" w:styleId="TOCHeading">
    <w:name w:val="TOC Heading"/>
    <w:basedOn w:val="Heading1"/>
    <w:next w:val="Normal"/>
    <w:uiPriority w:val="39"/>
    <w:semiHidden/>
    <w:unhideWhenUsed/>
    <w:qFormat/>
    <w:rsid w:val="001A1F57"/>
    <w:pPr>
      <w:outlineLvl w:val="9"/>
    </w:pPr>
    <w:rPr>
      <w:lang w:eastAsia="ja-JP"/>
    </w:rPr>
  </w:style>
  <w:style w:type="paragraph" w:styleId="TOC1">
    <w:name w:val="toc 1"/>
    <w:basedOn w:val="Normal"/>
    <w:next w:val="Normal"/>
    <w:autoRedefine/>
    <w:uiPriority w:val="39"/>
    <w:unhideWhenUsed/>
    <w:rsid w:val="001A1F57"/>
    <w:pPr>
      <w:spacing w:after="100"/>
    </w:pPr>
  </w:style>
  <w:style w:type="paragraph" w:styleId="TOC2">
    <w:name w:val="toc 2"/>
    <w:basedOn w:val="Normal"/>
    <w:next w:val="Normal"/>
    <w:autoRedefine/>
    <w:uiPriority w:val="39"/>
    <w:unhideWhenUsed/>
    <w:rsid w:val="001A1F57"/>
    <w:pPr>
      <w:spacing w:after="100"/>
      <w:ind w:left="220"/>
    </w:pPr>
  </w:style>
  <w:style w:type="paragraph" w:styleId="TOC3">
    <w:name w:val="toc 3"/>
    <w:basedOn w:val="Normal"/>
    <w:next w:val="Normal"/>
    <w:autoRedefine/>
    <w:uiPriority w:val="39"/>
    <w:unhideWhenUsed/>
    <w:rsid w:val="001A1F57"/>
    <w:pPr>
      <w:spacing w:after="100"/>
      <w:ind w:left="440"/>
    </w:pPr>
  </w:style>
  <w:style w:type="character" w:styleId="Hyperlink">
    <w:name w:val="Hyperlink"/>
    <w:basedOn w:val="DefaultParagraphFont"/>
    <w:uiPriority w:val="99"/>
    <w:unhideWhenUsed/>
    <w:rsid w:val="001A1F57"/>
    <w:rPr>
      <w:color w:val="0000FF" w:themeColor="hyperlink"/>
      <w:u w:val="single"/>
    </w:rPr>
  </w:style>
  <w:style w:type="table" w:styleId="TableGrid">
    <w:name w:val="Table Grid"/>
    <w:basedOn w:val="TableNormal"/>
    <w:uiPriority w:val="59"/>
    <w:rsid w:val="00485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FCF"/>
    <w:pPr>
      <w:ind w:left="720"/>
      <w:contextualSpacing/>
    </w:pPr>
  </w:style>
  <w:style w:type="paragraph" w:styleId="FootnoteText">
    <w:name w:val="footnote text"/>
    <w:basedOn w:val="Normal"/>
    <w:link w:val="FootnoteTextChar"/>
    <w:uiPriority w:val="99"/>
    <w:semiHidden/>
    <w:rsid w:val="00E70779"/>
    <w:pPr>
      <w:spacing w:before="20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E70779"/>
    <w:rPr>
      <w:rFonts w:ascii="Calibri" w:eastAsia="Times New Roman" w:hAnsi="Calibri" w:cs="Times New Roman"/>
      <w:sz w:val="20"/>
      <w:szCs w:val="20"/>
    </w:rPr>
  </w:style>
  <w:style w:type="character" w:styleId="FootnoteReference">
    <w:name w:val="footnote reference"/>
    <w:basedOn w:val="DefaultParagraphFont"/>
    <w:uiPriority w:val="99"/>
    <w:semiHidden/>
    <w:rsid w:val="00E70779"/>
    <w:rPr>
      <w:vertAlign w:val="superscript"/>
    </w:rPr>
  </w:style>
  <w:style w:type="paragraph" w:styleId="NormalWeb">
    <w:name w:val="Normal (Web)"/>
    <w:basedOn w:val="Normal"/>
    <w:uiPriority w:val="99"/>
    <w:semiHidden/>
    <w:rsid w:val="00E707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F42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421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A0B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A0BE3"/>
    <w:rPr>
      <w:rFonts w:cs="Times New Roman"/>
      <w:i/>
    </w:rPr>
  </w:style>
  <w:style w:type="paragraph" w:styleId="Revision">
    <w:name w:val="Revision"/>
    <w:hidden/>
    <w:uiPriority w:val="99"/>
    <w:semiHidden/>
    <w:rsid w:val="004E4E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9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mailto:kenglert@senecaconsulting.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helen.apthorp@marzanoresearch.com" TargetMode="External"/><Relationship Id="rId2" Type="http://schemas.openxmlformats.org/officeDocument/2006/relationships/customXml" Target="../customXml/item2.xml"/><Relationship Id="rId16" Type="http://schemas.openxmlformats.org/officeDocument/2006/relationships/hyperlink" Target="mailto:trudy.cherasaro@marzanoresearc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atih_Unlu@abtassoc.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eyer@rmcden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2012-08-15T00:00:00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B0A6747F2D0A4ABF31CFA4B6C58E0B" ma:contentTypeVersion="0" ma:contentTypeDescription="Create a new document." ma:contentTypeScope="" ma:versionID="b8b941a2b21542fe9e9f47cead6a4b57">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219BAA-E403-47FF-A3FD-35B5455EBF8E}">
  <ds:schemaRefs>
    <ds:schemaRef ds:uri="http://schemas.microsoft.com/sharepoint/v3/contenttype/forms"/>
  </ds:schemaRefs>
</ds:datastoreItem>
</file>

<file path=customXml/itemProps3.xml><?xml version="1.0" encoding="utf-8"?>
<ds:datastoreItem xmlns:ds="http://schemas.openxmlformats.org/officeDocument/2006/customXml" ds:itemID="{E2F84BBD-44A3-40E4-86F6-1BE680A681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CC0A02-F6FE-4CC3-BF1D-E505434C3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D084B39-F862-425E-A584-840485E4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3963</Words>
  <Characters>22594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REL Central?</Company>
  <LinksUpToDate>false</LinksUpToDate>
  <CharactersWithSpaces>26504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Section B</dc:subject>
  <dc:creator>Trudy Cherasaro</dc:creator>
  <cp:lastModifiedBy>U.S. Department of Education</cp:lastModifiedBy>
  <cp:revision>2</cp:revision>
  <cp:lastPrinted>2013-03-18T19:46:00Z</cp:lastPrinted>
  <dcterms:created xsi:type="dcterms:W3CDTF">2014-02-20T12:29:00Z</dcterms:created>
  <dcterms:modified xsi:type="dcterms:W3CDTF">2014-02-20T12:29:00Z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0x010100D9B0A6747F2D0A4ABF31CFA4B6C58E0B</vt:lpwstr>
  </property>
  <property fmtid="{D5CDD505-2E9C-101B-9397-08002B2CF9AE}" pid="3" name="WorkflowCreationPath">
    <vt:lpwstr>04f5b526-2cf5-4558-b9d9-c9bdb3351555,4;</vt:lpwstr>
  </property>
</Properties>
</file>