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CE7" w:rsidRPr="00774C9B" w:rsidRDefault="00FA7CE7" w:rsidP="00FA7CE7">
      <w:pPr>
        <w:jc w:val="center"/>
      </w:pPr>
      <w:r w:rsidRPr="00774C9B">
        <w:t xml:space="preserve">SUPPORTING STATEMENT FOR </w:t>
      </w:r>
      <w:r>
        <w:t>AMENDED</w:t>
      </w:r>
      <w:r w:rsidRPr="00774C9B">
        <w:t xml:space="preserve"> INFORMATION COLLECTIONS</w:t>
      </w:r>
      <w:r w:rsidRPr="00774C9B">
        <w:fldChar w:fldCharType="begin"/>
      </w:r>
      <w:r w:rsidRPr="00774C9B">
        <w:instrText xml:space="preserve">PRIVATE </w:instrText>
      </w:r>
      <w:r w:rsidRPr="00774C9B">
        <w:fldChar w:fldCharType="end"/>
      </w:r>
    </w:p>
    <w:p w:rsidR="00FA7CE7" w:rsidRPr="00774C9B" w:rsidRDefault="00FA7CE7" w:rsidP="00FA7CE7">
      <w:pPr>
        <w:jc w:val="center"/>
      </w:pPr>
    </w:p>
    <w:p w:rsidR="00FA7CE7" w:rsidRPr="00774C9B" w:rsidRDefault="00FA7CE7" w:rsidP="00FA7CE7">
      <w:pPr>
        <w:pStyle w:val="Title"/>
        <w:spacing w:after="240"/>
        <w:rPr>
          <w:b w:val="0"/>
          <w:sz w:val="24"/>
          <w:szCs w:val="24"/>
        </w:rPr>
      </w:pPr>
      <w:r w:rsidRPr="00774C9B">
        <w:rPr>
          <w:b w:val="0"/>
          <w:sz w:val="24"/>
          <w:szCs w:val="24"/>
        </w:rPr>
        <w:t xml:space="preserve">Part </w:t>
      </w:r>
      <w:r>
        <w:rPr>
          <w:b w:val="0"/>
          <w:sz w:val="24"/>
          <w:szCs w:val="24"/>
        </w:rPr>
        <w:t>150</w:t>
      </w:r>
      <w:r w:rsidRPr="00774C9B">
        <w:rPr>
          <w:b w:val="0"/>
          <w:sz w:val="24"/>
          <w:szCs w:val="24"/>
        </w:rPr>
        <w:t xml:space="preserve"> – </w:t>
      </w:r>
      <w:r w:rsidRPr="0038474F">
        <w:rPr>
          <w:b w:val="0"/>
          <w:sz w:val="24"/>
          <w:szCs w:val="24"/>
        </w:rPr>
        <w:t xml:space="preserve">Position Limits for </w:t>
      </w:r>
      <w:r>
        <w:rPr>
          <w:b w:val="0"/>
          <w:sz w:val="24"/>
          <w:szCs w:val="24"/>
        </w:rPr>
        <w:t>Derivatives</w:t>
      </w:r>
    </w:p>
    <w:p w:rsidR="00FA7CE7" w:rsidRPr="00774C9B" w:rsidRDefault="00FA7CE7" w:rsidP="00FA7CE7">
      <w:pPr>
        <w:jc w:val="center"/>
      </w:pPr>
      <w:r w:rsidRPr="00774C9B">
        <w:t>OMB CONTROL NUMBER 3038-</w:t>
      </w:r>
      <w:r>
        <w:t xml:space="preserve">0009 </w:t>
      </w:r>
    </w:p>
    <w:p w:rsidR="00FA7CE7" w:rsidRPr="00774C9B" w:rsidRDefault="00FA7CE7" w:rsidP="00FA7CE7"/>
    <w:p w:rsidR="00FA7CE7" w:rsidRPr="00774C9B" w:rsidRDefault="00FA7CE7" w:rsidP="00FA7CE7">
      <w:pPr>
        <w:tabs>
          <w:tab w:val="left" w:pos="-720"/>
        </w:tabs>
        <w:suppressAutoHyphens/>
      </w:pPr>
      <w:r w:rsidRPr="00774C9B">
        <w:rPr>
          <w:u w:val="single"/>
        </w:rPr>
        <w:t>Justification</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1"/>
        </w:numPr>
        <w:tabs>
          <w:tab w:val="left" w:pos="-720"/>
          <w:tab w:val="left" w:pos="0"/>
        </w:tabs>
        <w:suppressAutoHyphens/>
      </w:pPr>
      <w:r w:rsidRPr="00774C9B">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774C9B">
        <w:t>.</w:t>
      </w:r>
    </w:p>
    <w:p w:rsidR="00FA7CE7" w:rsidRPr="00774C9B" w:rsidRDefault="00FA7CE7" w:rsidP="00FA7CE7">
      <w:pPr>
        <w:tabs>
          <w:tab w:val="left" w:pos="-720"/>
          <w:tab w:val="left" w:pos="0"/>
        </w:tabs>
        <w:suppressAutoHyphens/>
      </w:pPr>
    </w:p>
    <w:p w:rsidR="00FA7CE7" w:rsidRDefault="00FA7CE7" w:rsidP="00FA7CE7">
      <w:pPr>
        <w:tabs>
          <w:tab w:val="left" w:pos="-720"/>
          <w:tab w:val="left" w:pos="0"/>
        </w:tabs>
        <w:suppressAutoHyphens/>
      </w:pPr>
      <w:r w:rsidRPr="00774C9B">
        <w:tab/>
        <w:t>On July 21, 2010, the Dodd-Frank Wall Street Reform and Consumer Protection Act (“Dodd-Frank Act”) went into effect.</w:t>
      </w:r>
      <w:r w:rsidRPr="00774C9B">
        <w:rPr>
          <w:rStyle w:val="FootnoteReference"/>
        </w:rPr>
        <w:footnoteReference w:id="1"/>
      </w:r>
      <w:r w:rsidRPr="00774C9B">
        <w:t xml:space="preserve">  Title VII of the Dodd-Frank Act amends the Commodity Exchange Act (“CEA”</w:t>
      </w:r>
      <w:r>
        <w:t xml:space="preserve"> or “Act”</w:t>
      </w:r>
      <w:r w:rsidRPr="00774C9B">
        <w:t>)</w:t>
      </w:r>
      <w:r w:rsidRPr="00774C9B">
        <w:rPr>
          <w:rStyle w:val="FootnoteReference"/>
        </w:rPr>
        <w:footnoteReference w:id="2"/>
      </w:r>
      <w:r w:rsidRPr="00774C9B">
        <w:t xml:space="preserve"> to establish a comprehensive new regulatory framework for swaps and security-based swaps.  In Section 737 of the Do</w:t>
      </w:r>
      <w:r>
        <w:t>dd</w:t>
      </w:r>
      <w:r w:rsidRPr="00774C9B">
        <w:t xml:space="preserve">-Frank Act, Congress </w:t>
      </w:r>
      <w:r>
        <w:t xml:space="preserve">amended section 4a of the CEA to broaden the Commodity Futures Trading Commission’s (“Commission” or “CFTC”) authority to impose speculative position limits, as appropriate, from futures (and options thereon) and </w:t>
      </w:r>
      <w:r w:rsidRPr="00774C9B">
        <w:t>significant price discovery contracts traded on</w:t>
      </w:r>
      <w:r>
        <w:t xml:space="preserve"> an electronic trading facility,</w:t>
      </w:r>
      <w:r w:rsidRPr="00774C9B">
        <w:rPr>
          <w:rStyle w:val="FootnoteReference"/>
        </w:rPr>
        <w:footnoteReference w:id="3"/>
      </w:r>
      <w:r>
        <w:t xml:space="preserve"> to now include futures (and options thereon) traded on a Designated Contract Market (“DCM”), swaps traded on a DCM or Swap Execution Facility (“SEF”), and swaps not traded on a DCM or SEF that perform or affect a significant price discovery function (“SPDF” or “SPDF swaps”) with respect</w:t>
      </w:r>
      <w:r w:rsidRPr="00774C9B">
        <w:t xml:space="preserve"> </w:t>
      </w:r>
      <w:r>
        <w:t>to a registered entity.  In addition to expanding the Commission’s</w:t>
      </w:r>
      <w:r w:rsidRPr="00774C9B">
        <w:t xml:space="preserve"> </w:t>
      </w:r>
      <w:r>
        <w:t xml:space="preserve">overall authority to impose position limits, Congress specifically directed the Commission in new section </w:t>
      </w:r>
      <w:proofErr w:type="gramStart"/>
      <w:r>
        <w:t>4a(</w:t>
      </w:r>
      <w:proofErr w:type="gramEnd"/>
      <w:r>
        <w:t xml:space="preserve">a)(2) and 4a(a)(5) of the Act to establish position limits for physical commodity DCM futures contracts and options thereon </w:t>
      </w:r>
      <w:r w:rsidRPr="00774C9B">
        <w:t>(chiefl</w:t>
      </w:r>
      <w:r>
        <w:t xml:space="preserve">y exempt and agricultural commodities), as well as swaps that are economically equivalent to the physical commodity futures and option contracts.  </w:t>
      </w:r>
      <w:r w:rsidRPr="00774C9B">
        <w:t xml:space="preserve">Congress </w:t>
      </w:r>
      <w:r>
        <w:t>also directed</w:t>
      </w:r>
      <w:r w:rsidRPr="00774C9B">
        <w:t xml:space="preserve"> that the Commission </w:t>
      </w:r>
      <w:r>
        <w:t>establish</w:t>
      </w:r>
      <w:r w:rsidRPr="00774C9B">
        <w:t xml:space="preserve"> these position limits within</w:t>
      </w:r>
      <w:r>
        <w:t xml:space="preserve"> 180 days for exempt commodities,</w:t>
      </w:r>
      <w:r w:rsidRPr="00774C9B">
        <w:t xml:space="preserve"> and 270 d</w:t>
      </w:r>
      <w:r>
        <w:t xml:space="preserve">ays for agricultural commodities.  The rulemaking establishes federal position limits for certain DCM futures and their economically equivalent swaps (collectively “referenced contracts”), and also requires that DCMs and SEFs that are trading facilities establish position limits for all physical commodity contracts.  </w:t>
      </w:r>
    </w:p>
    <w:p w:rsidR="00FA7CE7" w:rsidRDefault="00FA7CE7" w:rsidP="00FA7CE7">
      <w:pPr>
        <w:tabs>
          <w:tab w:val="left" w:pos="-720"/>
          <w:tab w:val="left" w:pos="0"/>
        </w:tabs>
        <w:suppressAutoHyphens/>
      </w:pPr>
      <w:r>
        <w:tab/>
      </w:r>
    </w:p>
    <w:p w:rsidR="00FA7CE7" w:rsidRDefault="00FA7CE7" w:rsidP="00FA7CE7">
      <w:pPr>
        <w:tabs>
          <w:tab w:val="left" w:pos="-720"/>
          <w:tab w:val="left" w:pos="0"/>
        </w:tabs>
        <w:suppressAutoHyphens/>
      </w:pPr>
      <w:r>
        <w:tab/>
        <w:t xml:space="preserve">Section 4a of the CEA and the proposed rules adopted thereunder are designed to </w:t>
      </w:r>
      <w:r>
        <w:rPr>
          <w:szCs w:val="24"/>
        </w:rPr>
        <w:t xml:space="preserve">prevent excessive speculation and manipulation in a manner, in the Commission’s discretion, that maximizes the goals of preserving market liquidity for bona fide hedgers while protecting the price discovery process. </w:t>
      </w:r>
      <w:r>
        <w:t xml:space="preserve">  On July 22, 2010 the Commission published a final rule (“Swaps Large Trader Reporting Rule”) that the Commission deemed necessary for purposes of monitoring and enforcing the position limits established for the current proposed rule.  In addition to the </w:t>
      </w:r>
      <w:r>
        <w:lastRenderedPageBreak/>
        <w:t xml:space="preserve">reporting and recordkeeping requirements contained in the Swaps Large Trader Reporting Rule,  the Commission is imposing </w:t>
      </w:r>
      <w:r w:rsidR="00A05FC2">
        <w:t xml:space="preserve">to amend parts 15, 17, 19, and 150 to require </w:t>
      </w:r>
      <w:r>
        <w:t xml:space="preserve">additional reporting and record-keeping requirements on various market participants in order to establish an effective, efficient and comprehensive position limits regime.  The collections of information contained in this rulemaking are necessary for the Commission to, among other things, establish an exemption process for certain positions and improve the Commission’s ability generally to monitor and </w:t>
      </w:r>
      <w:proofErr w:type="spellStart"/>
      <w:r>
        <w:t>surveil</w:t>
      </w:r>
      <w:proofErr w:type="spellEnd"/>
      <w:r>
        <w:t xml:space="preserve"> the markets.  </w:t>
      </w:r>
    </w:p>
    <w:p w:rsidR="00A05FC2" w:rsidRDefault="00A05FC2" w:rsidP="00FA7CE7">
      <w:pPr>
        <w:tabs>
          <w:tab w:val="left" w:pos="-720"/>
          <w:tab w:val="left" w:pos="0"/>
        </w:tabs>
        <w:suppressAutoHyphens/>
      </w:pPr>
    </w:p>
    <w:p w:rsidR="00A05FC2" w:rsidRPr="00774C9B" w:rsidRDefault="00A05FC2" w:rsidP="00FA7CE7">
      <w:pPr>
        <w:tabs>
          <w:tab w:val="left" w:pos="-720"/>
          <w:tab w:val="left" w:pos="0"/>
        </w:tabs>
        <w:suppressAutoHyphens/>
      </w:pPr>
      <w:r>
        <w:tab/>
        <w:t xml:space="preserve">The proposed rulemaking affects two separate collections of information currently approved by OMB. Changes to part 19 affect OMB Control Number 3038-0009 while changes to part 150 affect OMB Control Number 3038-0013.  This supporting statement describes the changes to collection 3038-0009; changes to collection 3038-0013 are described in the supporting documentation for that collection. </w:t>
      </w:r>
    </w:p>
    <w:p w:rsidR="00FA7CE7" w:rsidRPr="00774C9B" w:rsidRDefault="00FA7CE7" w:rsidP="00FA7CE7">
      <w:pPr>
        <w:tabs>
          <w:tab w:val="left" w:pos="-720"/>
          <w:tab w:val="left" w:pos="0"/>
        </w:tabs>
        <w:suppressAutoHyphens/>
      </w:pPr>
    </w:p>
    <w:p w:rsidR="00FA7CE7" w:rsidRPr="00774C9B" w:rsidRDefault="00FA7CE7" w:rsidP="00FA7CE7">
      <w:pPr>
        <w:pStyle w:val="ListParagraph"/>
        <w:numPr>
          <w:ilvl w:val="0"/>
          <w:numId w:val="1"/>
        </w:numPr>
        <w:tabs>
          <w:tab w:val="left" w:pos="-720"/>
        </w:tabs>
        <w:suppressAutoHyphens/>
      </w:pPr>
      <w:r w:rsidRPr="00774C9B">
        <w:rPr>
          <w:u w:val="single"/>
        </w:rPr>
        <w:t>Indicate how, by whom, and for what purpose the data would be used.  Except for a new collection, indicate the actual use the agency has made of the information received from the current collection</w:t>
      </w:r>
      <w:r w:rsidRPr="00774C9B">
        <w:t>.</w:t>
      </w:r>
    </w:p>
    <w:p w:rsidR="00FA7CE7" w:rsidRPr="00774C9B" w:rsidRDefault="00FA7CE7" w:rsidP="00FA7CE7">
      <w:pPr>
        <w:tabs>
          <w:tab w:val="left" w:pos="-720"/>
        </w:tabs>
        <w:suppressAutoHyphens/>
      </w:pPr>
    </w:p>
    <w:p w:rsidR="00FA7CE7" w:rsidRDefault="00FA7CE7" w:rsidP="00FA7CE7">
      <w:pPr>
        <w:tabs>
          <w:tab w:val="left" w:pos="-720"/>
        </w:tabs>
        <w:suppressAutoHyphens/>
      </w:pPr>
      <w:r>
        <w:tab/>
        <w:t>The Commission currently uses the information received from collect</w:t>
      </w:r>
      <w:r w:rsidR="00FB6221">
        <w:t>ion</w:t>
      </w:r>
      <w:r>
        <w:t xml:space="preserve"> 3038-0009 </w:t>
      </w:r>
      <w:r w:rsidR="00FB6221">
        <w:t>t</w:t>
      </w:r>
      <w:r>
        <w:t xml:space="preserve">o administer its speculative position limit regime, to ensure the validity of exemptions granted from that regime, and to monitor and </w:t>
      </w:r>
      <w:proofErr w:type="spellStart"/>
      <w:r>
        <w:t>surveil</w:t>
      </w:r>
      <w:proofErr w:type="spellEnd"/>
      <w:r>
        <w:t xml:space="preserve"> its markets.</w:t>
      </w:r>
    </w:p>
    <w:p w:rsidR="00FA7CE7" w:rsidRDefault="00FA7CE7" w:rsidP="00FA7CE7">
      <w:pPr>
        <w:tabs>
          <w:tab w:val="left" w:pos="-720"/>
        </w:tabs>
        <w:suppressAutoHyphens/>
      </w:pPr>
    </w:p>
    <w:p w:rsidR="00FA7CE7" w:rsidRDefault="00FA7CE7" w:rsidP="00FA7CE7">
      <w:pPr>
        <w:tabs>
          <w:tab w:val="left" w:pos="-720"/>
        </w:tabs>
        <w:suppressAutoHyphens/>
      </w:pPr>
      <w:r>
        <w:tab/>
      </w:r>
      <w:r w:rsidRPr="00774C9B">
        <w:t xml:space="preserve">As discussed above, </w:t>
      </w:r>
      <w:r>
        <w:t>s</w:t>
      </w:r>
      <w:r w:rsidRPr="00774C9B">
        <w:t>ection</w:t>
      </w:r>
      <w:r>
        <w:t>s</w:t>
      </w:r>
      <w:r w:rsidRPr="00774C9B">
        <w:t xml:space="preserve"> 4a</w:t>
      </w:r>
      <w:r>
        <w:t>(a)(2) and 4a(a)(5) of the Act mandate that</w:t>
      </w:r>
      <w:r w:rsidRPr="00774C9B">
        <w:t xml:space="preserve"> the Commission establish</w:t>
      </w:r>
      <w:r>
        <w:t xml:space="preserve"> concurrently,</w:t>
      </w:r>
      <w:r w:rsidRPr="00774C9B">
        <w:t xml:space="preserve"> </w:t>
      </w:r>
      <w:r>
        <w:t xml:space="preserve">speculative </w:t>
      </w:r>
      <w:r w:rsidRPr="00774C9B">
        <w:t>position limitations</w:t>
      </w:r>
      <w:r>
        <w:t>, as appropriate,</w:t>
      </w:r>
      <w:r w:rsidRPr="00774C9B">
        <w:t xml:space="preserve"> on </w:t>
      </w:r>
      <w:r>
        <w:t>DCM physical commodity futures contracts (specifically exempt and agricultural contracts) and swaps that are economically equivalent to those futures contracts.   Congress directed the Commission to establish these position limits within 180 days for exempt commodities and 270 days for agricultural commodities.  The reporting requirements proposed herein would be used by the Commission to establish levels for position limits, verify exceptions to position limits such as bona-fide hedge exemptions, and for general surveillance purposes.  T</w:t>
      </w:r>
      <w:r w:rsidRPr="00774C9B">
        <w:t>his additional data</w:t>
      </w:r>
      <w:r>
        <w:t xml:space="preserve"> would enhance the ability of the Commission </w:t>
      </w:r>
      <w:r w:rsidRPr="00774C9B">
        <w:t xml:space="preserve">to </w:t>
      </w:r>
      <w:r>
        <w:t xml:space="preserve">monitor and </w:t>
      </w:r>
      <w:proofErr w:type="spellStart"/>
      <w:r>
        <w:t>surveil</w:t>
      </w:r>
      <w:proofErr w:type="spellEnd"/>
      <w:r>
        <w:t xml:space="preserve"> the markets.</w:t>
      </w:r>
      <w:r w:rsidRPr="00774C9B">
        <w:t xml:space="preserve"> </w:t>
      </w:r>
      <w:r>
        <w:t xml:space="preserve">Toward these ends, the proposed amendments to part </w:t>
      </w:r>
      <w:r w:rsidR="00FB6221">
        <w:t>19</w:t>
      </w:r>
      <w:r>
        <w:t xml:space="preserve"> provide for the following specific reporting and record-keeping requirements:</w:t>
      </w:r>
    </w:p>
    <w:p w:rsidR="00FA7CE7" w:rsidRDefault="00FA7CE7" w:rsidP="00FA7CE7">
      <w:pPr>
        <w:pStyle w:val="ListParagraph"/>
      </w:pPr>
    </w:p>
    <w:p w:rsidR="00FA7CE7" w:rsidRPr="003B6CA2" w:rsidRDefault="00FA7CE7" w:rsidP="00FA7CE7">
      <w:pPr>
        <w:pStyle w:val="ListParagraph"/>
        <w:numPr>
          <w:ilvl w:val="0"/>
          <w:numId w:val="5"/>
        </w:numPr>
        <w:ind w:left="1080"/>
      </w:pPr>
      <w:r w:rsidRPr="00583F8C">
        <w:rPr>
          <w:szCs w:val="24"/>
        </w:rPr>
        <w:t>Proposed § 19.01(a</w:t>
      </w:r>
      <w:proofErr w:type="gramStart"/>
      <w:r w:rsidRPr="00583F8C">
        <w:rPr>
          <w:szCs w:val="24"/>
        </w:rPr>
        <w:t>)(</w:t>
      </w:r>
      <w:proofErr w:type="gramEnd"/>
      <w:r w:rsidRPr="00583F8C">
        <w:rPr>
          <w:szCs w:val="24"/>
        </w:rPr>
        <w:t xml:space="preserve">1) </w:t>
      </w:r>
      <w:r>
        <w:rPr>
          <w:szCs w:val="24"/>
        </w:rPr>
        <w:t>requires</w:t>
      </w:r>
      <w:r w:rsidRPr="00583F8C">
        <w:rPr>
          <w:szCs w:val="24"/>
        </w:rPr>
        <w:t xml:space="preserve"> persons claiming a conditional spot month limit exemption pursuant to § 150.3(c</w:t>
      </w:r>
      <w:r>
        <w:rPr>
          <w:szCs w:val="24"/>
        </w:rPr>
        <w:t>) to file</w:t>
      </w:r>
      <w:r w:rsidRPr="00583F8C">
        <w:rPr>
          <w:szCs w:val="24"/>
        </w:rPr>
        <w:t xml:space="preserve"> </w:t>
      </w:r>
      <w:r>
        <w:rPr>
          <w:szCs w:val="24"/>
        </w:rPr>
        <w:t xml:space="preserve">new </w:t>
      </w:r>
      <w:r w:rsidRPr="00583F8C">
        <w:rPr>
          <w:szCs w:val="24"/>
        </w:rPr>
        <w:t>Form 504 for special commodities so designated by the Commission under § 19.03.  A Form 504 filing shows the composition of the cash position of each commodity underlying a referenced contract that is held or controlled for which the exemption is claimed,</w:t>
      </w:r>
      <w:r w:rsidRPr="00C161C9">
        <w:rPr>
          <w:szCs w:val="24"/>
        </w:rPr>
        <w:t xml:space="preserve"> including the “as of” date, the quantity of stocks owned of such commodity</w:t>
      </w:r>
      <w:r w:rsidRPr="00583F8C">
        <w:rPr>
          <w:szCs w:val="24"/>
        </w:rPr>
        <w:t>, the quantity of fixed-price purchase commitments open providing for receipt of such cash commodity, the quantity of fixed-price sale commitments open providing for delivery of such cash commodity, the quantity of unfixed-price purchase commitments open providing for receipt of such cash commodity, and the quantity of unfixed-price sale commitments open providing for delivery of such cash commodity.</w:t>
      </w:r>
    </w:p>
    <w:p w:rsidR="00FA7CE7" w:rsidRDefault="00FA7CE7" w:rsidP="00FA7CE7">
      <w:pPr>
        <w:pStyle w:val="ListParagraph"/>
      </w:pPr>
    </w:p>
    <w:p w:rsidR="00FA7CE7" w:rsidRPr="003B6CA2" w:rsidRDefault="00FA7CE7" w:rsidP="00FA7CE7">
      <w:pPr>
        <w:pStyle w:val="ListParagraph"/>
        <w:numPr>
          <w:ilvl w:val="0"/>
          <w:numId w:val="5"/>
        </w:numPr>
        <w:ind w:left="1080"/>
      </w:pPr>
      <w:r w:rsidRPr="00583F8C">
        <w:rPr>
          <w:szCs w:val="24"/>
        </w:rPr>
        <w:lastRenderedPageBreak/>
        <w:t xml:space="preserve">Proposed § 19.01(a)(2) </w:t>
      </w:r>
      <w:r>
        <w:rPr>
          <w:szCs w:val="24"/>
        </w:rPr>
        <w:t xml:space="preserve">would require </w:t>
      </w:r>
      <w:r w:rsidRPr="00583F8C">
        <w:rPr>
          <w:szCs w:val="24"/>
        </w:rPr>
        <w:t xml:space="preserve">persons claiming a pass-through swap exemption pursuant to § 150.3(a)(1)(i) to file </w:t>
      </w:r>
      <w:r>
        <w:rPr>
          <w:szCs w:val="24"/>
        </w:rPr>
        <w:t xml:space="preserve">new </w:t>
      </w:r>
      <w:r w:rsidRPr="00583F8C">
        <w:rPr>
          <w:szCs w:val="24"/>
        </w:rPr>
        <w:t>Form 604 showing various data depending on whether the offset is for non-referenced contract swaps or spot-month swaps including, at a minimum, the underlying commodity or commodity reference price, the applicable clearing identifiers, the notional quantity, the gross long or short position in terms of futures-equivalents in the core referenced futures contracts, and the gross long or short positions in the referenced contract for the offsetting risk position.</w:t>
      </w:r>
    </w:p>
    <w:p w:rsidR="00FA7CE7" w:rsidRDefault="00FA7CE7" w:rsidP="00FA7CE7">
      <w:pPr>
        <w:pStyle w:val="ListParagraph"/>
      </w:pPr>
    </w:p>
    <w:p w:rsidR="00FA7CE7" w:rsidRDefault="00FA7CE7" w:rsidP="00FA7CE7">
      <w:pPr>
        <w:pStyle w:val="ListParagraph"/>
        <w:numPr>
          <w:ilvl w:val="0"/>
          <w:numId w:val="5"/>
        </w:numPr>
        <w:ind w:left="1080"/>
      </w:pPr>
      <w:r>
        <w:t>Proposed § 19.01(a</w:t>
      </w:r>
      <w:proofErr w:type="gramStart"/>
      <w:r>
        <w:t>)(</w:t>
      </w:r>
      <w:proofErr w:type="gramEnd"/>
      <w:r>
        <w:t>3) would expand the number of cash commodities required to be reported on existing Form 204. Additionally, proposed § 19.01(a</w:t>
      </w:r>
      <w:proofErr w:type="gramStart"/>
      <w:r>
        <w:t>)(</w:t>
      </w:r>
      <w:proofErr w:type="gramEnd"/>
      <w:r>
        <w:t>3) requires additional data to be reported on existing Form 204.  Form 204 is currently, and would continue to be, used for proving the legitimacy of a bona fide hedge by requiring a person attempting to obtain an exemption for bona fide hedging positions to provide information to the Commission regarding the person’s cash market activities, among other information.</w:t>
      </w:r>
    </w:p>
    <w:p w:rsidR="00FA7CE7" w:rsidRDefault="00FA7CE7" w:rsidP="00FA7CE7">
      <w:pPr>
        <w:pStyle w:val="ListParagraph"/>
      </w:pPr>
    </w:p>
    <w:p w:rsidR="00FA7CE7" w:rsidRPr="001E6303" w:rsidRDefault="00FA7CE7" w:rsidP="00FA7CE7">
      <w:pPr>
        <w:pStyle w:val="ListParagraph"/>
        <w:numPr>
          <w:ilvl w:val="0"/>
          <w:numId w:val="5"/>
        </w:numPr>
        <w:ind w:left="1080"/>
      </w:pPr>
      <w:r>
        <w:t>Proposed § 19.02 requires additional data to be reporting on existing Form 304, which is used by the Commission to collect and maintain information on cotton markets and to publish its weekly Cotton On-Call Report.</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1"/>
        </w:numPr>
        <w:tabs>
          <w:tab w:val="left" w:pos="-720"/>
          <w:tab w:val="left" w:pos="0"/>
        </w:tabs>
        <w:suppressAutoHyphens/>
        <w:rPr>
          <w:u w:val="single"/>
        </w:rPr>
      </w:pPr>
      <w:r w:rsidRPr="00774C9B">
        <w:rPr>
          <w:u w:val="single"/>
        </w:rPr>
        <w:t>Describe whether, and to what extent, the collection of information involves the use of automated, electronic, mechanical, or other technological collection techniques or other forms of information technology, e.g.</w:t>
      </w:r>
      <w:r>
        <w:rPr>
          <w:u w:val="single"/>
        </w:rPr>
        <w:t>,</w:t>
      </w:r>
      <w:r w:rsidRPr="00774C9B">
        <w:rPr>
          <w:u w:val="single"/>
        </w:rPr>
        <w:t xml:space="preserve"> permitting electronic submission of responses, and the basis for the decision for adopting this means of collection.  Also describe any consideration of using information technology to reduce burden.</w:t>
      </w:r>
    </w:p>
    <w:p w:rsidR="00FA7CE7" w:rsidRPr="00774C9B" w:rsidRDefault="00FA7CE7" w:rsidP="00FA7CE7">
      <w:pPr>
        <w:tabs>
          <w:tab w:val="left" w:pos="-720"/>
          <w:tab w:val="left" w:pos="0"/>
        </w:tabs>
        <w:suppressAutoHyphens/>
      </w:pPr>
    </w:p>
    <w:p w:rsidR="00FA7CE7" w:rsidRPr="00774C9B" w:rsidRDefault="00FA7CE7" w:rsidP="00FA7CE7">
      <w:pPr>
        <w:tabs>
          <w:tab w:val="left" w:pos="-720"/>
          <w:tab w:val="left" w:pos="0"/>
        </w:tabs>
        <w:suppressAutoHyphens/>
      </w:pPr>
      <w:r w:rsidRPr="00774C9B">
        <w:tab/>
        <w:t xml:space="preserve">  The Commission is committed to utilizing technology in order to reduce reporting burdens for respondents.  Accordingly, the Commission has provided for the electronic transmission of the required submissions.  </w:t>
      </w:r>
      <w:r>
        <w:t xml:space="preserve">The Commission anticipates that nearly 100% of the collection of information would be submitted electronically.  </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1"/>
        </w:numPr>
        <w:tabs>
          <w:tab w:val="left" w:pos="-720"/>
          <w:tab w:val="left" w:pos="0"/>
        </w:tabs>
        <w:suppressAutoHyphens/>
      </w:pPr>
      <w:r w:rsidRPr="00774C9B">
        <w:rPr>
          <w:u w:val="single"/>
        </w:rPr>
        <w:t>Describe efforts to identify duplication.  Show specifically why any similar information already available cannot be used or modified for use for the purposes described in Item 2 above</w:t>
      </w:r>
      <w:r w:rsidRPr="00774C9B">
        <w:t>.</w:t>
      </w:r>
    </w:p>
    <w:p w:rsidR="00FA7CE7" w:rsidRPr="00774C9B" w:rsidRDefault="00FA7CE7" w:rsidP="00FA7CE7">
      <w:pPr>
        <w:tabs>
          <w:tab w:val="left" w:pos="-720"/>
          <w:tab w:val="left" w:pos="0"/>
        </w:tabs>
        <w:suppressAutoHyphens/>
      </w:pPr>
    </w:p>
    <w:p w:rsidR="00FA7CE7" w:rsidRPr="00774C9B" w:rsidRDefault="00FA7CE7" w:rsidP="00FA7CE7">
      <w:pPr>
        <w:tabs>
          <w:tab w:val="left" w:pos="-720"/>
          <w:tab w:val="left" w:pos="0"/>
        </w:tabs>
        <w:suppressAutoHyphens/>
      </w:pPr>
      <w:r>
        <w:tab/>
      </w:r>
      <w:r w:rsidRPr="00774C9B">
        <w:t xml:space="preserve">This question does not apply.  </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1"/>
        </w:numPr>
        <w:tabs>
          <w:tab w:val="left" w:pos="-720"/>
          <w:tab w:val="left" w:pos="0"/>
        </w:tabs>
        <w:suppressAutoHyphens/>
      </w:pPr>
      <w:r w:rsidRPr="00774C9B">
        <w:rPr>
          <w:u w:val="single"/>
        </w:rPr>
        <w:t xml:space="preserve">If the collection of information involves small business or other small entities (Item 5 of </w:t>
      </w:r>
      <w:proofErr w:type="gramStart"/>
      <w:r w:rsidRPr="00774C9B">
        <w:rPr>
          <w:u w:val="single"/>
        </w:rPr>
        <w:t>OMB  83</w:t>
      </w:r>
      <w:proofErr w:type="gramEnd"/>
      <w:r w:rsidRPr="00774C9B">
        <w:rPr>
          <w:u w:val="single"/>
        </w:rPr>
        <w:t>-I), describe the methods used to minimize burden</w:t>
      </w:r>
      <w:r w:rsidRPr="00774C9B">
        <w:t>.</w:t>
      </w:r>
    </w:p>
    <w:p w:rsidR="00FA7CE7" w:rsidRPr="00774C9B" w:rsidRDefault="00FA7CE7" w:rsidP="00FA7CE7">
      <w:pPr>
        <w:tabs>
          <w:tab w:val="left" w:pos="-720"/>
          <w:tab w:val="left" w:pos="0"/>
        </w:tabs>
        <w:suppressAutoHyphens/>
      </w:pPr>
    </w:p>
    <w:p w:rsidR="00FA7CE7" w:rsidRPr="00774C9B" w:rsidRDefault="00FA7CE7" w:rsidP="00FA7CE7">
      <w:pPr>
        <w:ind w:firstLine="720"/>
      </w:pPr>
      <w:r>
        <w:t>The collection of information do</w:t>
      </w:r>
      <w:r w:rsidR="00FB6221">
        <w:t>es</w:t>
      </w:r>
      <w:r>
        <w:t xml:space="preserve"> not apply to small businesses as that term is defined under the Regulatory Flexibility Act.</w:t>
      </w:r>
    </w:p>
    <w:p w:rsidR="00FA7CE7" w:rsidRPr="00774C9B" w:rsidRDefault="00FA7CE7" w:rsidP="00FA7CE7">
      <w:pPr>
        <w:pStyle w:val="ListParagraph"/>
        <w:tabs>
          <w:tab w:val="left" w:pos="-720"/>
          <w:tab w:val="left" w:pos="0"/>
        </w:tabs>
        <w:suppressAutoHyphens/>
      </w:pPr>
    </w:p>
    <w:p w:rsidR="00FA7CE7" w:rsidRPr="00774C9B" w:rsidRDefault="00FA7CE7" w:rsidP="00FA7CE7">
      <w:pPr>
        <w:pStyle w:val="ListParagraph"/>
        <w:numPr>
          <w:ilvl w:val="0"/>
          <w:numId w:val="1"/>
        </w:numPr>
        <w:tabs>
          <w:tab w:val="left" w:pos="-720"/>
          <w:tab w:val="left" w:pos="0"/>
        </w:tabs>
        <w:suppressAutoHyphens/>
      </w:pPr>
      <w:r w:rsidRPr="00774C9B">
        <w:rPr>
          <w:u w:val="single"/>
        </w:rPr>
        <w:lastRenderedPageBreak/>
        <w:t xml:space="preserve">Describe the consequence to the Federal Program or policy </w:t>
      </w:r>
      <w:r w:rsidRPr="00774C9B">
        <w:tab/>
      </w:r>
      <w:r w:rsidRPr="00774C9B">
        <w:rPr>
          <w:u w:val="single"/>
        </w:rPr>
        <w:t>activities if the collection were conducted less frequently as well as any technical or legal obstacles to reducing burden</w:t>
      </w:r>
      <w:r w:rsidRPr="00774C9B">
        <w:t>.</w:t>
      </w:r>
    </w:p>
    <w:p w:rsidR="00FA7CE7" w:rsidRPr="00774C9B" w:rsidRDefault="00FA7CE7" w:rsidP="00FA7CE7">
      <w:pPr>
        <w:tabs>
          <w:tab w:val="left" w:pos="-720"/>
          <w:tab w:val="left" w:pos="0"/>
        </w:tabs>
        <w:suppressAutoHyphens/>
      </w:pPr>
    </w:p>
    <w:p w:rsidR="00FA7CE7" w:rsidRPr="00774C9B" w:rsidRDefault="00FA7CE7" w:rsidP="00FA7CE7">
      <w:pPr>
        <w:tabs>
          <w:tab w:val="left" w:pos="-720"/>
          <w:tab w:val="left" w:pos="0"/>
        </w:tabs>
        <w:suppressAutoHyphens/>
      </w:pPr>
      <w:r w:rsidRPr="00774C9B">
        <w:tab/>
        <w:t xml:space="preserve">The Commission would not be able to </w:t>
      </w:r>
      <w:r>
        <w:t xml:space="preserve">effectively carry out the congressional directive to establish position limits under section 4a of the CEA.  </w:t>
      </w:r>
      <w:r w:rsidRPr="00774C9B">
        <w:t xml:space="preserve">To properly enforce Commission-set position limits, the Commission would need </w:t>
      </w:r>
      <w:r>
        <w:t xml:space="preserve">reports related to exemptions to position limits, notably the bona fide hedging exemption, conditional spot month limit exemption, and pass-through swap exemption, as well as other surveillance reports.  </w:t>
      </w:r>
    </w:p>
    <w:p w:rsidR="00FA7CE7" w:rsidRPr="00774C9B" w:rsidRDefault="00FA7CE7" w:rsidP="00FA7CE7">
      <w:pPr>
        <w:pStyle w:val="ListParagraph"/>
        <w:tabs>
          <w:tab w:val="left" w:pos="-720"/>
          <w:tab w:val="left" w:pos="0"/>
        </w:tabs>
        <w:suppressAutoHyphens/>
        <w:ind w:left="0"/>
      </w:pPr>
    </w:p>
    <w:p w:rsidR="00FA7CE7" w:rsidRPr="00774C9B" w:rsidRDefault="00FA7CE7" w:rsidP="00FA7CE7">
      <w:pPr>
        <w:pStyle w:val="ListParagraph"/>
        <w:numPr>
          <w:ilvl w:val="0"/>
          <w:numId w:val="1"/>
        </w:numPr>
        <w:tabs>
          <w:tab w:val="left" w:pos="-720"/>
          <w:tab w:val="left" w:pos="0"/>
        </w:tabs>
        <w:suppressAutoHyphens/>
      </w:pPr>
      <w:r w:rsidRPr="00774C9B">
        <w:rPr>
          <w:u w:val="single"/>
        </w:rPr>
        <w:t>Explain any special circumstances that require the collection to be conducted in a manner</w:t>
      </w:r>
      <w:r w:rsidRPr="00774C9B">
        <w:t>:</w:t>
      </w:r>
    </w:p>
    <w:p w:rsidR="00FA7CE7" w:rsidRPr="00774C9B" w:rsidRDefault="00FA7CE7" w:rsidP="00FA7CE7">
      <w:pPr>
        <w:tabs>
          <w:tab w:val="left" w:pos="-720"/>
        </w:tabs>
        <w:suppressAutoHyphens/>
      </w:pPr>
    </w:p>
    <w:p w:rsidR="00FA7CE7" w:rsidRPr="00774C9B" w:rsidRDefault="00FA7CE7" w:rsidP="00FA7CE7">
      <w:pPr>
        <w:tabs>
          <w:tab w:val="left" w:pos="-720"/>
          <w:tab w:val="left" w:pos="0"/>
          <w:tab w:val="left" w:pos="720"/>
        </w:tabs>
        <w:suppressAutoHyphens/>
        <w:ind w:left="1440" w:hanging="1440"/>
        <w:rPr>
          <w:u w:val="single"/>
        </w:rPr>
      </w:pPr>
      <w:r w:rsidRPr="00774C9B">
        <w:tab/>
        <w:t>-</w:t>
      </w:r>
      <w:r w:rsidRPr="00774C9B">
        <w:tab/>
      </w:r>
      <w:proofErr w:type="gramStart"/>
      <w:r w:rsidRPr="00774C9B">
        <w:rPr>
          <w:u w:val="single"/>
        </w:rPr>
        <w:t>requiring</w:t>
      </w:r>
      <w:proofErr w:type="gramEnd"/>
      <w:r w:rsidRPr="00774C9B">
        <w:rPr>
          <w:u w:val="single"/>
        </w:rPr>
        <w:t xml:space="preserve"> respondents to report information to the agency more often than quarterly;</w:t>
      </w:r>
    </w:p>
    <w:p w:rsidR="00FA7CE7" w:rsidRPr="00774C9B" w:rsidRDefault="00FA7CE7" w:rsidP="00FA7CE7">
      <w:pPr>
        <w:tabs>
          <w:tab w:val="left" w:pos="-720"/>
          <w:tab w:val="left" w:pos="0"/>
          <w:tab w:val="left" w:pos="720"/>
        </w:tabs>
        <w:suppressAutoHyphens/>
        <w:ind w:left="1440" w:hanging="1440"/>
      </w:pPr>
      <w:r w:rsidRPr="00774C9B">
        <w:tab/>
      </w:r>
      <w:r w:rsidRPr="00774C9B">
        <w:tab/>
      </w:r>
    </w:p>
    <w:p w:rsidR="00FA7CE7" w:rsidRDefault="00FA7CE7" w:rsidP="00FA7CE7">
      <w:pPr>
        <w:tabs>
          <w:tab w:val="left" w:pos="-720"/>
          <w:tab w:val="left" w:pos="0"/>
          <w:tab w:val="left" w:pos="720"/>
        </w:tabs>
        <w:suppressAutoHyphens/>
        <w:ind w:hanging="1440"/>
      </w:pPr>
      <w:r w:rsidRPr="00774C9B">
        <w:tab/>
      </w:r>
      <w:r w:rsidRPr="00774C9B">
        <w:tab/>
      </w:r>
      <w:r>
        <w:tab/>
        <w:t xml:space="preserve">The filing of hedging forms, Form 204 and Form 704, on a monthly basis, as applicable, is necessary to ensure the proper application of this exemption.  Given that position limits regime is and would continue to be administered on an intraday basis, the Commission believes that monthly filing reduces the burden on market participants while ensuring that the Commission has sufficient data to properly enforce the limits.  </w:t>
      </w:r>
    </w:p>
    <w:p w:rsidR="00FA7CE7" w:rsidRDefault="00FA7CE7" w:rsidP="00FA7CE7">
      <w:pPr>
        <w:tabs>
          <w:tab w:val="left" w:pos="-720"/>
          <w:tab w:val="left" w:pos="0"/>
          <w:tab w:val="left" w:pos="720"/>
        </w:tabs>
        <w:suppressAutoHyphens/>
        <w:ind w:hanging="1440"/>
      </w:pPr>
      <w:r>
        <w:tab/>
      </w:r>
      <w:r>
        <w:tab/>
      </w:r>
      <w:r>
        <w:tab/>
        <w:t xml:space="preserve">The filing of Form 304, for cotton, will continue as a weekly filing in order to allow the Commission to continue its surveillance of cotton markets as well as its weekly Cotton On-Call Report.  </w:t>
      </w:r>
    </w:p>
    <w:p w:rsidR="00FA7CE7" w:rsidRDefault="00FA7CE7" w:rsidP="00FA7CE7">
      <w:pPr>
        <w:tabs>
          <w:tab w:val="left" w:pos="-720"/>
          <w:tab w:val="left" w:pos="0"/>
          <w:tab w:val="left" w:pos="720"/>
        </w:tabs>
        <w:suppressAutoHyphens/>
        <w:ind w:hanging="1440"/>
      </w:pPr>
      <w:r>
        <w:tab/>
      </w:r>
      <w:r>
        <w:tab/>
      </w:r>
      <w:r>
        <w:tab/>
        <w:t xml:space="preserve">In order to ensure the proposed conditional spot month limit exemption does not negatively impair cash markets, the Commission would require new Form 504 to be submitted for certain commodities on a daily basis during the spot month period.  This will allow the Commission to track the application of the exemption as well as its impact on both cash commodity and futures markets for each futures expiration date.  The Commission is proposing to require Form 504 reporting initially for only the natural gas commodity, though it may designate additional commodities after it gains more experience administering this exemption.  </w:t>
      </w:r>
    </w:p>
    <w:p w:rsidR="00FA7CE7" w:rsidRPr="00774C9B" w:rsidRDefault="00FA7CE7" w:rsidP="00FA7CE7">
      <w:pPr>
        <w:tabs>
          <w:tab w:val="left" w:pos="-720"/>
          <w:tab w:val="left" w:pos="0"/>
          <w:tab w:val="left" w:pos="720"/>
        </w:tabs>
        <w:suppressAutoHyphens/>
        <w:ind w:hanging="1440"/>
      </w:pPr>
      <w:r>
        <w:tab/>
      </w:r>
      <w:r>
        <w:tab/>
      </w:r>
      <w:r>
        <w:tab/>
        <w:t xml:space="preserve">Finally, for spot-month swap offset exemptions, Form 604 would be required daily during the spot period in order to protect the integrity of the settlement and delivery processes.  All other swap offsets under the pass-through swap exemption, outside of the spot month, would be required to be filed on Form 604 on a monthly basis in order to allow the Commission to ensure the proper application of the exemption as well as to enable the Commission’s surveillance programs continue uninterrupted. </w:t>
      </w:r>
    </w:p>
    <w:p w:rsidR="00FA7CE7" w:rsidRPr="00774C9B" w:rsidRDefault="00FA7CE7" w:rsidP="00FA7CE7">
      <w:pPr>
        <w:tabs>
          <w:tab w:val="left" w:pos="-720"/>
        </w:tabs>
        <w:suppressAutoHyphens/>
      </w:pPr>
    </w:p>
    <w:p w:rsidR="00FA7CE7" w:rsidRPr="00774C9B" w:rsidRDefault="00FA7CE7" w:rsidP="00FA7CE7">
      <w:pPr>
        <w:tabs>
          <w:tab w:val="left" w:pos="-720"/>
          <w:tab w:val="left" w:pos="0"/>
          <w:tab w:val="left" w:pos="720"/>
        </w:tabs>
        <w:suppressAutoHyphens/>
        <w:ind w:left="1440" w:hanging="1440"/>
        <w:rPr>
          <w:u w:val="single"/>
        </w:rPr>
      </w:pPr>
      <w:r w:rsidRPr="00774C9B">
        <w:tab/>
        <w:t>-</w:t>
      </w:r>
      <w:r w:rsidRPr="00774C9B">
        <w:tab/>
      </w:r>
      <w:r w:rsidRPr="00774C9B">
        <w:rPr>
          <w:u w:val="single"/>
        </w:rPr>
        <w:t>requiring respondents to prepare a written response to a collection of information in fewer than 30 days after receipt of it:</w:t>
      </w:r>
    </w:p>
    <w:p w:rsidR="00FA7CE7" w:rsidRPr="00774C9B" w:rsidRDefault="00FA7CE7" w:rsidP="00FA7CE7">
      <w:pPr>
        <w:tabs>
          <w:tab w:val="left" w:pos="-720"/>
          <w:tab w:val="left" w:pos="0"/>
          <w:tab w:val="left" w:pos="720"/>
        </w:tabs>
        <w:suppressAutoHyphens/>
        <w:ind w:left="1440" w:hanging="1440"/>
        <w:rPr>
          <w:u w:val="single"/>
        </w:rPr>
      </w:pPr>
    </w:p>
    <w:p w:rsidR="00FA7CE7" w:rsidRPr="00774C9B" w:rsidRDefault="00FA7CE7" w:rsidP="00FA7CE7">
      <w:pPr>
        <w:tabs>
          <w:tab w:val="left" w:pos="-720"/>
          <w:tab w:val="left" w:pos="0"/>
          <w:tab w:val="left" w:pos="720"/>
        </w:tabs>
        <w:suppressAutoHyphens/>
      </w:pPr>
      <w:r w:rsidRPr="00774C9B">
        <w:tab/>
        <w:t xml:space="preserve">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w:t>
      </w:r>
      <w:r w:rsidRPr="00774C9B">
        <w:lastRenderedPageBreak/>
        <w:t xml:space="preserve">and monitoring of trading for abusive conduct, by necessity, requires the collection of transactional and position information on a daily basis.   </w:t>
      </w:r>
    </w:p>
    <w:p w:rsidR="00FA7CE7" w:rsidRPr="00774C9B" w:rsidRDefault="00FA7CE7" w:rsidP="00FA7CE7">
      <w:pPr>
        <w:tabs>
          <w:tab w:val="left" w:pos="-720"/>
        </w:tabs>
        <w:suppressAutoHyphens/>
      </w:pPr>
    </w:p>
    <w:p w:rsidR="00FA7CE7" w:rsidRPr="00774C9B" w:rsidRDefault="00FA7CE7" w:rsidP="00FA7CE7">
      <w:pPr>
        <w:tabs>
          <w:tab w:val="left" w:pos="-720"/>
          <w:tab w:val="left" w:pos="0"/>
          <w:tab w:val="left" w:pos="720"/>
        </w:tabs>
        <w:suppressAutoHyphens/>
        <w:ind w:left="1440" w:hanging="1440"/>
      </w:pPr>
      <w:r w:rsidRPr="00774C9B">
        <w:tab/>
        <w:t>-</w:t>
      </w:r>
      <w:r w:rsidRPr="00774C9B">
        <w:tab/>
      </w:r>
      <w:r w:rsidRPr="00774C9B">
        <w:rPr>
          <w:u w:val="single"/>
        </w:rPr>
        <w:t>requiring respondents to submit more that an original and two copies of any document</w:t>
      </w:r>
      <w:r w:rsidRPr="00774C9B">
        <w:t>;</w:t>
      </w:r>
    </w:p>
    <w:p w:rsidR="00FA7CE7" w:rsidRPr="00774C9B" w:rsidRDefault="00FA7CE7" w:rsidP="00FA7CE7">
      <w:pPr>
        <w:tabs>
          <w:tab w:val="left" w:pos="-720"/>
          <w:tab w:val="left" w:pos="0"/>
          <w:tab w:val="left" w:pos="720"/>
        </w:tabs>
        <w:suppressAutoHyphens/>
        <w:ind w:left="1440" w:hanging="1440"/>
      </w:pPr>
    </w:p>
    <w:p w:rsidR="00FA7CE7" w:rsidRPr="00774C9B" w:rsidRDefault="00FA7CE7" w:rsidP="00FA7CE7">
      <w:pPr>
        <w:tabs>
          <w:tab w:val="left" w:pos="-720"/>
          <w:tab w:val="left" w:pos="0"/>
          <w:tab w:val="left" w:pos="720"/>
        </w:tabs>
        <w:suppressAutoHyphens/>
        <w:ind w:left="720" w:hanging="1440"/>
      </w:pPr>
      <w:r w:rsidRPr="00774C9B">
        <w:tab/>
      </w:r>
      <w:r>
        <w:tab/>
      </w:r>
      <w:r w:rsidRPr="00774C9B">
        <w:t>Respondents are required to submit only a single copy to the Commission.</w:t>
      </w:r>
    </w:p>
    <w:p w:rsidR="00FA7CE7" w:rsidRPr="00774C9B" w:rsidRDefault="00FA7CE7" w:rsidP="00FA7CE7">
      <w:pPr>
        <w:tabs>
          <w:tab w:val="left" w:pos="-720"/>
        </w:tabs>
        <w:suppressAutoHyphens/>
      </w:pPr>
    </w:p>
    <w:p w:rsidR="00FA7CE7" w:rsidRPr="00774C9B" w:rsidRDefault="00FA7CE7" w:rsidP="00FA7CE7">
      <w:pPr>
        <w:tabs>
          <w:tab w:val="left" w:pos="-720"/>
          <w:tab w:val="left" w:pos="0"/>
          <w:tab w:val="left" w:pos="720"/>
        </w:tabs>
        <w:suppressAutoHyphens/>
        <w:ind w:left="1440" w:hanging="1440"/>
      </w:pPr>
      <w:r w:rsidRPr="00774C9B">
        <w:tab/>
        <w:t>-</w:t>
      </w:r>
      <w:r w:rsidRPr="00774C9B">
        <w:tab/>
      </w:r>
      <w:r w:rsidRPr="00774C9B">
        <w:rPr>
          <w:u w:val="single"/>
        </w:rPr>
        <w:t>requiring respondents to retain records other than health, medical, government contract, grant-in-aid, or tax records, for more than three years</w:t>
      </w:r>
      <w:r w:rsidRPr="00774C9B">
        <w:t>;</w:t>
      </w:r>
    </w:p>
    <w:p w:rsidR="00FA7CE7" w:rsidRPr="00774C9B" w:rsidRDefault="00FA7CE7" w:rsidP="00FA7CE7">
      <w:pPr>
        <w:tabs>
          <w:tab w:val="left" w:pos="-720"/>
        </w:tabs>
        <w:suppressAutoHyphens/>
      </w:pPr>
    </w:p>
    <w:p w:rsidR="00FA7CE7" w:rsidRDefault="00FA7CE7" w:rsidP="00A05FC2">
      <w:r>
        <w:tab/>
      </w:r>
      <w:r w:rsidR="00A05FC2">
        <w:t>The information collection under OMB control number 3038-0009 does not require such records to be maintained.</w:t>
      </w:r>
    </w:p>
    <w:p w:rsidR="00FA7CE7" w:rsidRPr="00774C9B" w:rsidRDefault="00FA7CE7" w:rsidP="00FA7CE7">
      <w:r w:rsidRPr="00774C9B">
        <w:t xml:space="preserve"> </w:t>
      </w:r>
    </w:p>
    <w:p w:rsidR="00FA7CE7" w:rsidRPr="00774C9B" w:rsidRDefault="00FA7CE7" w:rsidP="00FA7CE7">
      <w:pPr>
        <w:tabs>
          <w:tab w:val="left" w:pos="-720"/>
          <w:tab w:val="left" w:pos="0"/>
          <w:tab w:val="left" w:pos="720"/>
        </w:tabs>
        <w:suppressAutoHyphens/>
        <w:ind w:left="1440" w:hanging="1440"/>
      </w:pPr>
      <w:r w:rsidRPr="00774C9B">
        <w:tab/>
        <w:t>-</w:t>
      </w:r>
      <w:r w:rsidRPr="00774C9B">
        <w:tab/>
      </w:r>
      <w:r w:rsidRPr="00774C9B">
        <w:rPr>
          <w:u w:val="single"/>
        </w:rPr>
        <w:t>In connection with a statistical survey, that is not designed to produce valid and reliable results that can be generalized to the universe of study</w:t>
      </w:r>
      <w:r w:rsidRPr="00774C9B">
        <w:t>;</w:t>
      </w:r>
    </w:p>
    <w:p w:rsidR="00FA7CE7" w:rsidRPr="00774C9B" w:rsidRDefault="00FA7CE7" w:rsidP="00FA7CE7">
      <w:pPr>
        <w:tabs>
          <w:tab w:val="left" w:pos="-720"/>
          <w:tab w:val="left" w:pos="0"/>
          <w:tab w:val="left" w:pos="720"/>
        </w:tabs>
        <w:suppressAutoHyphens/>
        <w:ind w:left="1440" w:hanging="1440"/>
      </w:pPr>
    </w:p>
    <w:p w:rsidR="00FA7CE7" w:rsidRPr="00774C9B" w:rsidRDefault="00FA7CE7" w:rsidP="00FA7CE7">
      <w:pPr>
        <w:keepNext/>
        <w:ind w:left="-720" w:firstLine="720"/>
      </w:pPr>
      <w:r>
        <w:tab/>
      </w:r>
      <w:r w:rsidRPr="00774C9B">
        <w:t xml:space="preserve">The </w:t>
      </w:r>
      <w:r>
        <w:t>proposed</w:t>
      </w:r>
      <w:r w:rsidRPr="00774C9B">
        <w:t xml:space="preserve"> rules do not involve statistical surveys. </w:t>
      </w:r>
    </w:p>
    <w:p w:rsidR="00FA7CE7" w:rsidRPr="00774C9B" w:rsidRDefault="00FA7CE7" w:rsidP="00FA7CE7">
      <w:pPr>
        <w:tabs>
          <w:tab w:val="left" w:pos="-720"/>
        </w:tabs>
        <w:suppressAutoHyphens/>
      </w:pPr>
    </w:p>
    <w:p w:rsidR="00FA7CE7" w:rsidRPr="00774C9B" w:rsidRDefault="00FA7CE7" w:rsidP="00FA7CE7">
      <w:pPr>
        <w:tabs>
          <w:tab w:val="left" w:pos="-720"/>
          <w:tab w:val="left" w:pos="0"/>
          <w:tab w:val="left" w:pos="720"/>
        </w:tabs>
        <w:suppressAutoHyphens/>
        <w:ind w:left="1440" w:hanging="1440"/>
      </w:pPr>
      <w:r w:rsidRPr="00774C9B">
        <w:tab/>
        <w:t>-</w:t>
      </w:r>
      <w:r w:rsidRPr="00774C9B">
        <w:tab/>
      </w:r>
      <w:r w:rsidRPr="00774C9B">
        <w:rPr>
          <w:u w:val="single"/>
        </w:rPr>
        <w:t>requiring the use of a statistical data classification that has not been reviewed and approved by OMB</w:t>
      </w:r>
      <w:r w:rsidRPr="00774C9B">
        <w:t>;</w:t>
      </w:r>
    </w:p>
    <w:p w:rsidR="00FA7CE7" w:rsidRPr="00774C9B" w:rsidRDefault="00FA7CE7" w:rsidP="00FA7CE7">
      <w:pPr>
        <w:tabs>
          <w:tab w:val="left" w:pos="-720"/>
          <w:tab w:val="left" w:pos="0"/>
          <w:tab w:val="left" w:pos="720"/>
        </w:tabs>
        <w:suppressAutoHyphens/>
        <w:ind w:left="1440" w:hanging="1440"/>
      </w:pPr>
    </w:p>
    <w:p w:rsidR="00FA7CE7" w:rsidRPr="00774C9B" w:rsidRDefault="00FA7CE7" w:rsidP="00FA7CE7">
      <w:pPr>
        <w:keepNext/>
        <w:ind w:left="-720" w:firstLine="720"/>
      </w:pPr>
      <w:r>
        <w:tab/>
      </w:r>
      <w:r w:rsidRPr="00774C9B">
        <w:t xml:space="preserve">The </w:t>
      </w:r>
      <w:r>
        <w:t>proposed</w:t>
      </w:r>
      <w:r w:rsidRPr="00774C9B">
        <w:t xml:space="preserve"> rules do not involve statistical data classifications.</w:t>
      </w:r>
    </w:p>
    <w:p w:rsidR="00FA7CE7" w:rsidRPr="00774C9B" w:rsidRDefault="00FA7CE7" w:rsidP="00FA7CE7">
      <w:pPr>
        <w:tabs>
          <w:tab w:val="left" w:pos="-720"/>
        </w:tabs>
        <w:suppressAutoHyphens/>
      </w:pPr>
    </w:p>
    <w:p w:rsidR="00FA7CE7" w:rsidRPr="00774C9B" w:rsidRDefault="00FA7CE7" w:rsidP="00FA7CE7">
      <w:pPr>
        <w:tabs>
          <w:tab w:val="left" w:pos="-720"/>
          <w:tab w:val="left" w:pos="0"/>
          <w:tab w:val="left" w:pos="720"/>
        </w:tabs>
        <w:suppressAutoHyphens/>
        <w:ind w:left="1440" w:hanging="1440"/>
      </w:pPr>
      <w:r w:rsidRPr="00774C9B">
        <w:tab/>
        <w:t>-</w:t>
      </w:r>
      <w:r w:rsidRPr="00774C9B">
        <w:tab/>
      </w:r>
      <w:r w:rsidRPr="00774C9B">
        <w:rPr>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A7CE7" w:rsidRPr="00774C9B" w:rsidRDefault="00FA7CE7" w:rsidP="00FA7CE7">
      <w:pPr>
        <w:tabs>
          <w:tab w:val="left" w:pos="-720"/>
        </w:tabs>
        <w:suppressAutoHyphens/>
      </w:pPr>
    </w:p>
    <w:p w:rsidR="00FA7CE7" w:rsidRPr="00774C9B" w:rsidRDefault="00FA7CE7" w:rsidP="00FA7CE7">
      <w:pPr>
        <w:tabs>
          <w:tab w:val="left" w:pos="-720"/>
        </w:tabs>
        <w:suppressAutoHyphens/>
      </w:pPr>
      <w:r w:rsidRPr="00774C9B">
        <w:tab/>
        <w:t xml:space="preserve">The </w:t>
      </w:r>
      <w:r>
        <w:t>proposed</w:t>
      </w:r>
      <w:r w:rsidRPr="00774C9B">
        <w:t xml:space="preserve"> rules do not directly involve any specific pledge of confidentiality regarding the collection of data (see answer to question 10).</w:t>
      </w:r>
    </w:p>
    <w:p w:rsidR="00FA7CE7" w:rsidRPr="00774C9B" w:rsidRDefault="00FA7CE7" w:rsidP="00FA7CE7">
      <w:pPr>
        <w:tabs>
          <w:tab w:val="left" w:pos="-720"/>
        </w:tabs>
        <w:suppressAutoHyphens/>
      </w:pPr>
    </w:p>
    <w:p w:rsidR="00FA7CE7" w:rsidRPr="00774C9B" w:rsidRDefault="00FA7CE7" w:rsidP="00FA7CE7">
      <w:pPr>
        <w:tabs>
          <w:tab w:val="left" w:pos="-720"/>
          <w:tab w:val="left" w:pos="0"/>
          <w:tab w:val="left" w:pos="720"/>
        </w:tabs>
        <w:suppressAutoHyphens/>
        <w:ind w:left="1440" w:hanging="1440"/>
      </w:pPr>
      <w:r w:rsidRPr="00774C9B">
        <w:tab/>
        <w:t>-</w:t>
      </w:r>
      <w:r w:rsidRPr="00774C9B">
        <w:tab/>
      </w:r>
      <w:r w:rsidRPr="00774C9B">
        <w:rPr>
          <w:u w:val="single"/>
        </w:rPr>
        <w:t>requiring respondents to submit proprietary trade secrets, or other confidential information unless the agency can demonstrate that it has instituted procedures to protect the information's confidentiality to the extent permitted by law</w:t>
      </w:r>
      <w:r w:rsidRPr="00774C9B">
        <w:t>.</w:t>
      </w:r>
    </w:p>
    <w:p w:rsidR="00FA7CE7" w:rsidRPr="00774C9B" w:rsidRDefault="00FA7CE7" w:rsidP="00FA7CE7">
      <w:pPr>
        <w:tabs>
          <w:tab w:val="left" w:pos="-720"/>
        </w:tabs>
        <w:suppressAutoHyphens/>
      </w:pPr>
    </w:p>
    <w:p w:rsidR="00FA7CE7" w:rsidRPr="00774C9B" w:rsidRDefault="00FA7CE7" w:rsidP="00FA7CE7">
      <w:pPr>
        <w:keepNext/>
        <w:ind w:firstLine="720"/>
        <w:jc w:val="both"/>
      </w:pPr>
      <w:r w:rsidRPr="00774C9B">
        <w:t xml:space="preserve">The </w:t>
      </w:r>
      <w:r>
        <w:t>proposed rules</w:t>
      </w:r>
      <w:r w:rsidRPr="00774C9B">
        <w:t xml:space="preserve"> </w:t>
      </w:r>
      <w:r>
        <w:t>would</w:t>
      </w:r>
      <w:r w:rsidRPr="00774C9B">
        <w:t xml:space="preserve"> require the submission of data involving confidential information or proprietary trade secrets.  The Commission would protect sensitive information according to the Freedom of Information Act and 17 CFR </w:t>
      </w:r>
      <w:proofErr w:type="gramStart"/>
      <w:r w:rsidRPr="00774C9B">
        <w:t>part</w:t>
      </w:r>
      <w:proofErr w:type="gramEnd"/>
      <w:r w:rsidRPr="00774C9B">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1"/>
        </w:numPr>
        <w:tabs>
          <w:tab w:val="left" w:pos="-720"/>
          <w:tab w:val="left" w:pos="0"/>
        </w:tabs>
        <w:suppressAutoHyphens/>
        <w:rPr>
          <w:u w:val="single"/>
        </w:rPr>
      </w:pPr>
      <w:r w:rsidRPr="00774C9B">
        <w:rPr>
          <w:u w:val="single"/>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A7CE7" w:rsidRPr="00774C9B" w:rsidRDefault="00FA7CE7" w:rsidP="00FA7CE7">
      <w:pPr>
        <w:tabs>
          <w:tab w:val="left" w:pos="-720"/>
          <w:tab w:val="left" w:pos="0"/>
        </w:tabs>
        <w:suppressAutoHyphens/>
      </w:pPr>
    </w:p>
    <w:p w:rsidR="00FA7CE7" w:rsidRDefault="00FA7CE7" w:rsidP="00FA7CE7">
      <w:pPr>
        <w:tabs>
          <w:tab w:val="left" w:pos="-720"/>
          <w:tab w:val="left" w:pos="0"/>
        </w:tabs>
        <w:suppressAutoHyphens/>
        <w:rPr>
          <w:szCs w:val="24"/>
        </w:rPr>
      </w:pPr>
      <w:r w:rsidRPr="00774C9B">
        <w:tab/>
      </w:r>
      <w:r>
        <w:rPr>
          <w:szCs w:val="24"/>
        </w:rPr>
        <w:t xml:space="preserve"> The Commission is affirmatively seeking comment from the public on the proposed collection of information.  A copy of the notice of the proposed rulemaking has been submitted to the Federal Register for publication and public comment.  </w:t>
      </w:r>
    </w:p>
    <w:p w:rsidR="00FA7CE7" w:rsidRPr="00774C9B" w:rsidRDefault="00FA7CE7" w:rsidP="00FA7CE7">
      <w:pPr>
        <w:pStyle w:val="ListParagraph"/>
        <w:tabs>
          <w:tab w:val="left" w:pos="-720"/>
          <w:tab w:val="left" w:pos="0"/>
        </w:tabs>
        <w:suppressAutoHyphens/>
        <w:ind w:left="0"/>
      </w:pPr>
    </w:p>
    <w:p w:rsidR="00FA7CE7" w:rsidRPr="00774C9B" w:rsidRDefault="00FA7CE7" w:rsidP="00FA7CE7">
      <w:pPr>
        <w:tabs>
          <w:tab w:val="left" w:pos="-720"/>
          <w:tab w:val="left" w:pos="0"/>
        </w:tabs>
        <w:suppressAutoHyphens/>
        <w:ind w:left="360"/>
        <w:rPr>
          <w:u w:val="single"/>
        </w:rPr>
      </w:pPr>
      <w:r w:rsidRPr="00774C9B">
        <w:tab/>
      </w:r>
      <w:r w:rsidRPr="00774C9B">
        <w:rPr>
          <w:u w:val="single"/>
        </w:rPr>
        <w:t xml:space="preserve">Describe efforts to consult with persons outside the agency to obtain their views on the </w:t>
      </w:r>
      <w:r w:rsidRPr="00774C9B">
        <w:tab/>
      </w:r>
      <w:r w:rsidRPr="00774C9B">
        <w:rPr>
          <w:u w:val="single"/>
        </w:rPr>
        <w:t xml:space="preserve">availability of data, frequency of collection, the clarity of instructions and recordkeeping </w:t>
      </w:r>
      <w:r w:rsidRPr="00774C9B">
        <w:tab/>
      </w:r>
      <w:r w:rsidRPr="00774C9B">
        <w:rPr>
          <w:u w:val="single"/>
        </w:rPr>
        <w:t xml:space="preserve">disclosure, or reporting format (if any, and on the data elements to be recorded, disclosed, </w:t>
      </w:r>
      <w:r w:rsidRPr="00774C9B">
        <w:tab/>
      </w:r>
      <w:r w:rsidRPr="00774C9B">
        <w:rPr>
          <w:u w:val="single"/>
        </w:rPr>
        <w:t>or reported.</w:t>
      </w:r>
    </w:p>
    <w:p w:rsidR="00FA7CE7" w:rsidRPr="00774C9B" w:rsidRDefault="00FA7CE7" w:rsidP="00FA7CE7">
      <w:pPr>
        <w:tabs>
          <w:tab w:val="left" w:pos="-720"/>
          <w:tab w:val="left" w:pos="0"/>
        </w:tabs>
        <w:suppressAutoHyphens/>
        <w:ind w:left="360"/>
        <w:rPr>
          <w:u w:val="single"/>
        </w:rPr>
      </w:pPr>
    </w:p>
    <w:p w:rsidR="00FA7CE7" w:rsidRDefault="00FA7CE7" w:rsidP="00FA7CE7">
      <w:pPr>
        <w:tabs>
          <w:tab w:val="left" w:pos="-720"/>
        </w:tabs>
        <w:suppressAutoHyphens/>
      </w:pPr>
      <w:r w:rsidRPr="00774C9B">
        <w:tab/>
        <w:t xml:space="preserve">Opportunity for public comment </w:t>
      </w:r>
      <w:r>
        <w:t>will be</w:t>
      </w:r>
      <w:r w:rsidRPr="00774C9B">
        <w:t xml:space="preserve"> provided when </w:t>
      </w:r>
      <w:r>
        <w:t>the notice of proposed rulemaking is published the Federal Register.</w:t>
      </w:r>
      <w:r w:rsidRPr="00774C9B">
        <w:t xml:space="preserve">   </w:t>
      </w:r>
      <w:r>
        <w:t>Further, c</w:t>
      </w:r>
      <w:r w:rsidRPr="00774C9B">
        <w:t>ontact with the reporting entities and market participant is maintained on a continuous and ongoing basis to resolve reporting problems and address concerns.  Commission staff has met</w:t>
      </w:r>
      <w:r>
        <w:t>, and will continue to meet,</w:t>
      </w:r>
      <w:r w:rsidRPr="00774C9B">
        <w:t xml:space="preserve"> with various entities that could be covered in the </w:t>
      </w:r>
      <w:r>
        <w:t>proposed rules</w:t>
      </w:r>
      <w:r w:rsidRPr="00774C9B">
        <w:t xml:space="preserve"> to discuss the scope of the rulemaking.  </w:t>
      </w:r>
    </w:p>
    <w:p w:rsidR="00FA7CE7" w:rsidRPr="00774C9B" w:rsidRDefault="00FA7CE7" w:rsidP="00FA7CE7">
      <w:pPr>
        <w:tabs>
          <w:tab w:val="left" w:pos="-720"/>
        </w:tabs>
        <w:suppressAutoHyphens/>
        <w:rPr>
          <w:u w:val="single"/>
        </w:rPr>
      </w:pPr>
    </w:p>
    <w:p w:rsidR="00FA7CE7" w:rsidRPr="00774C9B" w:rsidRDefault="00FA7CE7" w:rsidP="00FA7CE7">
      <w:pPr>
        <w:tabs>
          <w:tab w:val="left" w:pos="-720"/>
          <w:tab w:val="left" w:pos="0"/>
        </w:tabs>
        <w:suppressAutoHyphens/>
        <w:ind w:left="720" w:hanging="720"/>
      </w:pPr>
      <w:r w:rsidRPr="00774C9B">
        <w:tab/>
      </w:r>
      <w:r w:rsidRPr="00774C9B">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774C9B">
        <w:t>.</w:t>
      </w:r>
    </w:p>
    <w:p w:rsidR="00FA7CE7" w:rsidRPr="00774C9B" w:rsidRDefault="00FA7CE7" w:rsidP="00FA7CE7">
      <w:pPr>
        <w:tabs>
          <w:tab w:val="left" w:pos="-720"/>
        </w:tabs>
        <w:suppressAutoHyphens/>
      </w:pPr>
    </w:p>
    <w:p w:rsidR="00FA7CE7" w:rsidRPr="00774C9B" w:rsidRDefault="00FA7CE7" w:rsidP="00FA7CE7">
      <w:r>
        <w:tab/>
      </w:r>
      <w:r w:rsidRPr="00774C9B">
        <w:t>No such circumstances are anticipated.</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1"/>
        </w:numPr>
        <w:tabs>
          <w:tab w:val="left" w:pos="-720"/>
          <w:tab w:val="left" w:pos="0"/>
        </w:tabs>
        <w:suppressAutoHyphens/>
      </w:pPr>
      <w:r w:rsidRPr="00774C9B">
        <w:rPr>
          <w:u w:val="single"/>
        </w:rPr>
        <w:t>Explain any decision to provide any payment or gift to respondents, other than remuneration of contractors or grantees</w:t>
      </w:r>
      <w:r w:rsidRPr="00774C9B">
        <w:t>.</w:t>
      </w:r>
    </w:p>
    <w:p w:rsidR="00FA7CE7" w:rsidRDefault="00FA7CE7" w:rsidP="00FA7CE7">
      <w:pPr>
        <w:ind w:firstLine="720"/>
      </w:pPr>
    </w:p>
    <w:p w:rsidR="00FA7CE7" w:rsidRPr="00774C9B" w:rsidRDefault="00FA7CE7" w:rsidP="00FA7CE7">
      <w:pPr>
        <w:ind w:left="-720" w:firstLine="720"/>
      </w:pPr>
      <w:r>
        <w:tab/>
      </w:r>
      <w:r w:rsidRPr="00774C9B">
        <w:t>This question does not apply.</w:t>
      </w:r>
    </w:p>
    <w:p w:rsidR="00FA7CE7" w:rsidRPr="00774C9B" w:rsidRDefault="00FA7CE7" w:rsidP="00FA7CE7">
      <w:pPr>
        <w:tabs>
          <w:tab w:val="left" w:pos="-720"/>
        </w:tabs>
        <w:suppressAutoHyphens/>
      </w:pPr>
      <w:r w:rsidRPr="00774C9B">
        <w:t xml:space="preserve">  </w:t>
      </w:r>
    </w:p>
    <w:p w:rsidR="00FA7CE7" w:rsidRPr="00774C9B" w:rsidRDefault="00FA7CE7" w:rsidP="00FA7CE7">
      <w:pPr>
        <w:pStyle w:val="ListParagraph"/>
        <w:numPr>
          <w:ilvl w:val="0"/>
          <w:numId w:val="1"/>
        </w:numPr>
        <w:tabs>
          <w:tab w:val="left" w:pos="-720"/>
          <w:tab w:val="left" w:pos="0"/>
        </w:tabs>
        <w:suppressAutoHyphens/>
      </w:pPr>
      <w:r w:rsidRPr="00774C9B">
        <w:rPr>
          <w:u w:val="single"/>
        </w:rPr>
        <w:t>Describe any assurance of confidentiality provided to respondents and the basis for the assurance in statute, regulations, or agency policy</w:t>
      </w:r>
      <w:r w:rsidRPr="00774C9B">
        <w:t>.</w:t>
      </w:r>
    </w:p>
    <w:p w:rsidR="00FA7CE7" w:rsidRPr="00774C9B" w:rsidRDefault="00FA7CE7" w:rsidP="00FA7CE7">
      <w:pPr>
        <w:tabs>
          <w:tab w:val="left" w:pos="-720"/>
          <w:tab w:val="left" w:pos="0"/>
        </w:tabs>
        <w:suppressAutoHyphens/>
      </w:pPr>
    </w:p>
    <w:p w:rsidR="00FA7CE7" w:rsidRPr="00774C9B" w:rsidRDefault="00FA7CE7" w:rsidP="00FA7CE7">
      <w:pPr>
        <w:tabs>
          <w:tab w:val="left" w:pos="-720"/>
          <w:tab w:val="left" w:pos="0"/>
        </w:tabs>
        <w:suppressAutoHyphens/>
      </w:pPr>
      <w:r w:rsidRPr="00774C9B">
        <w:tab/>
        <w:t xml:space="preserve">The Commission would protect sensitive information according to the Freedom of Information Act and 17 CFR </w:t>
      </w:r>
      <w:proofErr w:type="gramStart"/>
      <w:r w:rsidRPr="00774C9B">
        <w:t>part</w:t>
      </w:r>
      <w:proofErr w:type="gramEnd"/>
      <w:r w:rsidRPr="00774C9B">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FA7CE7" w:rsidRPr="00774C9B" w:rsidRDefault="00FA7CE7" w:rsidP="00FA7CE7">
      <w:pPr>
        <w:tabs>
          <w:tab w:val="left" w:pos="-720"/>
        </w:tabs>
        <w:suppressAutoHyphens/>
      </w:pPr>
      <w:r w:rsidRPr="00774C9B">
        <w:tab/>
        <w:t xml:space="preserve">  </w:t>
      </w:r>
    </w:p>
    <w:p w:rsidR="00FA7CE7" w:rsidRPr="00774C9B" w:rsidRDefault="00FA7CE7" w:rsidP="00FA7CE7">
      <w:pPr>
        <w:pStyle w:val="ListParagraph"/>
        <w:numPr>
          <w:ilvl w:val="0"/>
          <w:numId w:val="1"/>
        </w:numPr>
        <w:tabs>
          <w:tab w:val="left" w:pos="-720"/>
        </w:tabs>
        <w:suppressAutoHyphens/>
      </w:pPr>
      <w:r w:rsidRPr="00774C9B">
        <w:rPr>
          <w:u w:val="single"/>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74C9B">
        <w:t>.</w:t>
      </w:r>
    </w:p>
    <w:p w:rsidR="00FA7CE7" w:rsidRPr="00774C9B" w:rsidRDefault="00FA7CE7" w:rsidP="00FA7CE7">
      <w:pPr>
        <w:tabs>
          <w:tab w:val="left" w:pos="-720"/>
        </w:tabs>
        <w:suppressAutoHyphens/>
      </w:pPr>
    </w:p>
    <w:p w:rsidR="00FA7CE7" w:rsidRPr="00774C9B" w:rsidRDefault="00FA7CE7" w:rsidP="00FA7CE7">
      <w:pPr>
        <w:tabs>
          <w:tab w:val="left" w:pos="-720"/>
        </w:tabs>
        <w:suppressAutoHyphens/>
        <w:ind w:left="-720"/>
      </w:pPr>
      <w:r w:rsidRPr="00774C9B">
        <w:tab/>
      </w:r>
      <w:r>
        <w:tab/>
      </w:r>
      <w:r w:rsidRPr="00774C9B">
        <w:t>This question does not apply.</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1"/>
        </w:numPr>
        <w:tabs>
          <w:tab w:val="left" w:pos="-720"/>
          <w:tab w:val="left" w:pos="0"/>
        </w:tabs>
        <w:suppressAutoHyphens/>
      </w:pPr>
      <w:r w:rsidRPr="00774C9B">
        <w:rPr>
          <w:u w:val="single"/>
        </w:rPr>
        <w:t>Provide estimates of the hour burden of the collection of information.  The Statement should</w:t>
      </w:r>
      <w:r w:rsidRPr="00774C9B">
        <w:t>:</w:t>
      </w:r>
    </w:p>
    <w:p w:rsidR="00FA7CE7" w:rsidRPr="00774C9B" w:rsidRDefault="00FA7CE7" w:rsidP="00FA7CE7">
      <w:pPr>
        <w:tabs>
          <w:tab w:val="left" w:pos="-720"/>
        </w:tabs>
        <w:suppressAutoHyphens/>
      </w:pPr>
    </w:p>
    <w:p w:rsidR="00FA7CE7" w:rsidRPr="00774C9B" w:rsidRDefault="00FA7CE7" w:rsidP="00FA7CE7">
      <w:pPr>
        <w:numPr>
          <w:ilvl w:val="1"/>
          <w:numId w:val="2"/>
        </w:numPr>
        <w:tabs>
          <w:tab w:val="left" w:pos="-720"/>
          <w:tab w:val="left" w:pos="0"/>
          <w:tab w:val="left" w:pos="720"/>
        </w:tabs>
        <w:suppressAutoHyphens/>
        <w:rPr>
          <w:u w:val="single"/>
        </w:rPr>
      </w:pPr>
      <w:r w:rsidRPr="00774C9B">
        <w:rPr>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7CE7" w:rsidRPr="00774C9B" w:rsidRDefault="00FA7CE7" w:rsidP="00FA7CE7">
      <w:pPr>
        <w:tabs>
          <w:tab w:val="left" w:pos="-720"/>
          <w:tab w:val="left" w:pos="0"/>
          <w:tab w:val="left" w:pos="720"/>
        </w:tabs>
        <w:suppressAutoHyphens/>
        <w:ind w:left="720"/>
        <w:rPr>
          <w:u w:val="single"/>
        </w:rPr>
      </w:pPr>
    </w:p>
    <w:p w:rsidR="00FA7CE7" w:rsidRPr="00774C9B" w:rsidRDefault="00FA7CE7" w:rsidP="00FA7CE7">
      <w:pPr>
        <w:numPr>
          <w:ilvl w:val="1"/>
          <w:numId w:val="2"/>
        </w:numPr>
        <w:tabs>
          <w:tab w:val="left" w:pos="-720"/>
          <w:tab w:val="left" w:pos="0"/>
          <w:tab w:val="left" w:pos="720"/>
        </w:tabs>
        <w:suppressAutoHyphens/>
        <w:rPr>
          <w:u w:val="single"/>
        </w:rPr>
      </w:pPr>
      <w:r w:rsidRPr="00774C9B">
        <w:rPr>
          <w:u w:val="single"/>
        </w:rPr>
        <w:t>If the request for approval covers more than one form, provide separate hour burden estimates for each form and aggregate the hour burdens in Item 13 of OMB  83-I.</w:t>
      </w:r>
    </w:p>
    <w:p w:rsidR="00FA7CE7" w:rsidRPr="00774C9B" w:rsidRDefault="00FA7CE7" w:rsidP="00FA7CE7">
      <w:pPr>
        <w:tabs>
          <w:tab w:val="left" w:pos="-720"/>
        </w:tabs>
        <w:suppressAutoHyphens/>
        <w:rPr>
          <w:u w:val="single"/>
        </w:rPr>
      </w:pPr>
    </w:p>
    <w:p w:rsidR="00FA7CE7" w:rsidRPr="00774C9B" w:rsidRDefault="00FA7CE7" w:rsidP="00FA7CE7">
      <w:pPr>
        <w:numPr>
          <w:ilvl w:val="1"/>
          <w:numId w:val="2"/>
        </w:numPr>
        <w:tabs>
          <w:tab w:val="left" w:pos="-720"/>
          <w:tab w:val="left" w:pos="0"/>
          <w:tab w:val="left" w:pos="720"/>
        </w:tabs>
        <w:suppressAutoHyphens/>
        <w:rPr>
          <w:u w:val="single"/>
        </w:rPr>
      </w:pPr>
      <w:r w:rsidRPr="00774C9B">
        <w:rPr>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FA7CE7" w:rsidRDefault="00FA7CE7" w:rsidP="00FA7CE7">
      <w:pPr>
        <w:tabs>
          <w:tab w:val="left" w:pos="-720"/>
        </w:tabs>
        <w:suppressAutoHyphens/>
      </w:pPr>
    </w:p>
    <w:p w:rsidR="00FA7CE7" w:rsidRDefault="00FA7CE7" w:rsidP="00FA7CE7">
      <w:r>
        <w:tab/>
        <w:t xml:space="preserve">The proposed amendments to part </w:t>
      </w:r>
      <w:r w:rsidR="00A05FC2">
        <w:t>19</w:t>
      </w:r>
      <w:r>
        <w:t xml:space="preserve"> would result in collections of information related to position limits.  </w:t>
      </w:r>
      <w:r w:rsidRPr="00427EE5">
        <w:t xml:space="preserve">The Commission estimates that the total </w:t>
      </w:r>
      <w:r>
        <w:t>labor burden</w:t>
      </w:r>
      <w:r w:rsidRPr="00427EE5">
        <w:t xml:space="preserve"> associated with complying with the proposed rule</w:t>
      </w:r>
      <w:r>
        <w:t>s</w:t>
      </w:r>
      <w:r w:rsidRPr="00427EE5">
        <w:t xml:space="preserve"> would be approximately </w:t>
      </w:r>
      <w:r w:rsidR="0082244C">
        <w:t>30,080</w:t>
      </w:r>
      <w:r>
        <w:t xml:space="preserve"> hours or </w:t>
      </w:r>
      <w:r w:rsidRPr="00427EE5">
        <w:t>$</w:t>
      </w:r>
      <w:r w:rsidR="0082244C">
        <w:t>16.5</w:t>
      </w:r>
      <w:r w:rsidRPr="00427EE5">
        <w:t xml:space="preserve"> million</w:t>
      </w:r>
      <w:r>
        <w:t xml:space="preserve"> across approximately 400 entities.</w:t>
      </w:r>
      <w:r w:rsidRPr="00900342">
        <w:rPr>
          <w:rStyle w:val="FootnoteReference"/>
        </w:rPr>
        <w:footnoteReference w:id="4"/>
      </w:r>
      <w:r w:rsidRPr="00774C9B">
        <w:t xml:space="preserve"> </w:t>
      </w:r>
      <w:r>
        <w:t xml:space="preserve"> </w:t>
      </w:r>
      <w:r w:rsidRPr="00774C9B">
        <w:t xml:space="preserve">Specifically, </w:t>
      </w:r>
      <w:r>
        <w:t xml:space="preserve">the proposed rules would result in the following reporting and record-keeping labor burdens:  </w:t>
      </w:r>
      <w:r w:rsidRPr="00774C9B">
        <w:t xml:space="preserve"> </w:t>
      </w:r>
    </w:p>
    <w:p w:rsidR="00FA7CE7" w:rsidRDefault="00FA7CE7" w:rsidP="00FA7CE7"/>
    <w:p w:rsidR="00FA7CE7" w:rsidRDefault="00FA7CE7" w:rsidP="00FA7CE7">
      <w:pPr>
        <w:pStyle w:val="ListParagraph"/>
        <w:tabs>
          <w:tab w:val="left" w:pos="3750"/>
        </w:tabs>
        <w:ind w:left="1080"/>
        <w:rPr>
          <w:szCs w:val="24"/>
        </w:rPr>
      </w:pPr>
    </w:p>
    <w:p w:rsidR="00FA7CE7" w:rsidRPr="0091336B" w:rsidRDefault="00FA7CE7" w:rsidP="00FA7CE7">
      <w:pPr>
        <w:pStyle w:val="ListParagraph"/>
        <w:numPr>
          <w:ilvl w:val="0"/>
          <w:numId w:val="7"/>
        </w:numPr>
        <w:spacing w:after="240"/>
      </w:pPr>
      <w:r w:rsidRPr="00583F8C">
        <w:rPr>
          <w:szCs w:val="24"/>
        </w:rPr>
        <w:t>Proposed § 19.01(a)(1) adds an additional burden cost to information collection 3038-0009 for persons claiming a conditional spot month limit exemption pursuant to § 150.3(c), by requiring the filing of Form 504 for special commodities so designated by the Commission under § 19.03.  A Form 504 filing shows the composition of the cash position of each commodity underlying a referenced contract that is held or controlled for which the exe</w:t>
      </w:r>
      <w:r>
        <w:rPr>
          <w:szCs w:val="24"/>
        </w:rPr>
        <w:t>mption is claimed,</w:t>
      </w:r>
      <w:r w:rsidRPr="00C161C9">
        <w:rPr>
          <w:szCs w:val="24"/>
        </w:rPr>
        <w:t xml:space="preserve"> including the “as of” date, the quantity of stocks owned of such commodity</w:t>
      </w:r>
      <w:r w:rsidRPr="00583F8C">
        <w:rPr>
          <w:szCs w:val="24"/>
        </w:rPr>
        <w:t>, the quantity of fixed-price purchase commitments open providing for receipt of such cash commodity, the quantity of fixed-price sale commitments open providing for delivery of such cash commodity, the quantity of unfixed-price purchase commitments open providing for receipt of such cash commodity, and the quantity of unfixed-price sale commitments open providing for delivery of such cash commodity.  The Commission estimates that approximately 40 traders will claim a conditional spot month limit 12 times per year, and each corresponding submission will take 15 labor hours to complete and file.  Therefore, the Commission estimates that the Form 504 reporting requirement will result in approximately 7,200 total annual labor hours for an additional industry-wide labor cost of $864,000.</w:t>
      </w:r>
    </w:p>
    <w:p w:rsidR="00FA7CE7" w:rsidRPr="00832657" w:rsidRDefault="00FA7CE7" w:rsidP="00FA7CE7">
      <w:pPr>
        <w:pStyle w:val="ListParagraph"/>
        <w:spacing w:after="240"/>
        <w:ind w:left="1080"/>
      </w:pPr>
    </w:p>
    <w:p w:rsidR="00FA7CE7" w:rsidRPr="0071393A" w:rsidRDefault="00FA7CE7" w:rsidP="00FA7CE7">
      <w:pPr>
        <w:pStyle w:val="ListParagraph"/>
        <w:numPr>
          <w:ilvl w:val="0"/>
          <w:numId w:val="7"/>
        </w:numPr>
      </w:pPr>
      <w:r w:rsidRPr="0071393A">
        <w:rPr>
          <w:szCs w:val="24"/>
        </w:rPr>
        <w:t xml:space="preserve">Proposed § 19.01(a)(2) adds an additional burden cost to information collection 3038-0009 by requiring persons claiming a pass-through swap exemption pursuant to § 150.3(a)(1)(i) to file Form 604 showing various data depending on whether the offset is for non-referenced contract swaps or spot-month swaps including, at a minimum, the underlying commodity or commodity reference price, the applicable clearing identifiers, the notional quantity, the gross long or short position in terms of futures-equivalents in the core referenced futures contracts, and the gross long or short positions in the referenced contract for the offsetting risk position.  The Commission estimates that approximately 200 traders will claim a pass-through swap exemption an average of ten times per year each.  At approximately 30 labor hours to complete each corresponding submission for a total burden to traders of 60,000 annual labor hours, compliance with the Form 604 filing requirements industry-wide will impose an additional $7,200,000 in labor costs. </w:t>
      </w:r>
    </w:p>
    <w:p w:rsidR="00FA7CE7" w:rsidRPr="00F2209B" w:rsidRDefault="00FA7CE7" w:rsidP="00FA7CE7">
      <w:pPr>
        <w:pStyle w:val="ListParagraph"/>
        <w:ind w:left="1080"/>
      </w:pPr>
    </w:p>
    <w:p w:rsidR="00FA7CE7" w:rsidRPr="0071393A" w:rsidRDefault="00FA7CE7" w:rsidP="00FA7CE7">
      <w:pPr>
        <w:pStyle w:val="ListParagraph"/>
        <w:numPr>
          <w:ilvl w:val="0"/>
          <w:numId w:val="7"/>
        </w:numPr>
      </w:pPr>
      <w:r w:rsidRPr="0071393A">
        <w:rPr>
          <w:szCs w:val="24"/>
        </w:rPr>
        <w:t>Proposed § 19.01(a)(3) increases existing burden costs previously approved under information collection 3038-0009 by expanding the number of cash commodities that existing Form 204 covers.  Additionally, proposed § 19.01(a</w:t>
      </w:r>
      <w:proofErr w:type="gramStart"/>
      <w:r w:rsidRPr="0071393A">
        <w:rPr>
          <w:szCs w:val="24"/>
        </w:rPr>
        <w:t>)(</w:t>
      </w:r>
      <w:proofErr w:type="gramEnd"/>
      <w:r w:rsidRPr="0071393A">
        <w:rPr>
          <w:szCs w:val="24"/>
        </w:rPr>
        <w:t xml:space="preserve">3) requires additional data to be reported on Form 204.  </w:t>
      </w:r>
      <w:r>
        <w:rPr>
          <w:szCs w:val="24"/>
        </w:rPr>
        <w:t>The form would be</w:t>
      </w:r>
      <w:r w:rsidRPr="0071393A">
        <w:rPr>
          <w:szCs w:val="24"/>
        </w:rPr>
        <w:t xml:space="preserve"> required to be filed when a trader accumulates a net long or short commodity derivative position in a core referenced futures contract that exceeds a federal limit, and </w:t>
      </w:r>
      <w:r>
        <w:rPr>
          <w:szCs w:val="24"/>
        </w:rPr>
        <w:t xml:space="preserve">would be used to </w:t>
      </w:r>
      <w:r w:rsidRPr="0071393A">
        <w:rPr>
          <w:szCs w:val="24"/>
        </w:rPr>
        <w:t xml:space="preserve">inform the Commission of the trader’s cash positions underlying those commodity derivative contracts for purposes of claiming bona fide hedging exemptions. The Commission estimates that approximately 400 traders will be required to file Form 204 12 times per year each.  At an estimated two labor hours to complete and file each Form 204 </w:t>
      </w:r>
      <w:r w:rsidRPr="0071393A">
        <w:rPr>
          <w:szCs w:val="24"/>
        </w:rPr>
        <w:lastRenderedPageBreak/>
        <w:t xml:space="preserve">report for a total annual burden to industry of 9,600 labor hours, the Form 204 reporting requirement will cost industry $1,200,000 in labor costs.  </w:t>
      </w:r>
    </w:p>
    <w:p w:rsidR="00FA7CE7" w:rsidRDefault="00FA7CE7" w:rsidP="00FA7CE7">
      <w:pPr>
        <w:pStyle w:val="ListParagraph"/>
        <w:rPr>
          <w:szCs w:val="24"/>
        </w:rPr>
      </w:pPr>
    </w:p>
    <w:p w:rsidR="00FA7CE7" w:rsidRPr="001E6303" w:rsidRDefault="00FA7CE7" w:rsidP="00FA7CE7">
      <w:pPr>
        <w:pStyle w:val="ListParagraph"/>
        <w:numPr>
          <w:ilvl w:val="0"/>
          <w:numId w:val="7"/>
        </w:numPr>
      </w:pPr>
      <w:r>
        <w:rPr>
          <w:szCs w:val="24"/>
        </w:rPr>
        <w:t>P</w:t>
      </w:r>
      <w:r w:rsidRPr="0071393A">
        <w:rPr>
          <w:szCs w:val="24"/>
        </w:rPr>
        <w:t>roposed § 19.02 requires additional data to be reported on existing Form 304 (call cotton)</w:t>
      </w:r>
      <w:r>
        <w:rPr>
          <w:szCs w:val="24"/>
        </w:rPr>
        <w:t xml:space="preserve">.  </w:t>
      </w:r>
      <w:r w:rsidRPr="0071393A">
        <w:rPr>
          <w:szCs w:val="24"/>
        </w:rPr>
        <w:t xml:space="preserve">The Commission also estimates that approximately 400 traders will be required to make a Form 304 submission for call cotton 52 times per year each.  At one hour to complete each submission (representing a net increase of a half hour from the previous estimate) for a total annual burden to industry of 20,800 labor hours, the Form 304 reporting requirement will impose upon industry $2,500,000 in labor costs.  </w:t>
      </w:r>
    </w:p>
    <w:p w:rsidR="00FA7CE7" w:rsidRPr="00832657" w:rsidRDefault="00FA7CE7" w:rsidP="00FA7CE7">
      <w:pPr>
        <w:pStyle w:val="ListParagraph"/>
        <w:tabs>
          <w:tab w:val="left" w:pos="4336"/>
        </w:tabs>
      </w:pPr>
      <w:r>
        <w:tab/>
      </w:r>
    </w:p>
    <w:p w:rsidR="00FA7CE7" w:rsidRPr="00A034D6" w:rsidRDefault="00FA7CE7" w:rsidP="00FA7CE7">
      <w:pPr>
        <w:pStyle w:val="ListParagraph"/>
        <w:numPr>
          <w:ilvl w:val="0"/>
          <w:numId w:val="7"/>
        </w:numPr>
      </w:pPr>
      <w:r w:rsidRPr="00583F8C">
        <w:rPr>
          <w:szCs w:val="24"/>
        </w:rPr>
        <w:t>Proposed § 19.01(a</w:t>
      </w:r>
      <w:proofErr w:type="gramStart"/>
      <w:r w:rsidRPr="00583F8C">
        <w:rPr>
          <w:szCs w:val="24"/>
        </w:rPr>
        <w:t>)(</w:t>
      </w:r>
      <w:proofErr w:type="gramEnd"/>
      <w:r w:rsidRPr="00583F8C">
        <w:rPr>
          <w:szCs w:val="24"/>
        </w:rPr>
        <w:t xml:space="preserve">4) </w:t>
      </w:r>
      <w:r w:rsidRPr="00C161C9">
        <w:rPr>
          <w:szCs w:val="24"/>
        </w:rPr>
        <w:t>adds an additional burden cost to information collection 3038-0009 by requiring</w:t>
      </w:r>
      <w:r w:rsidRPr="00583F8C">
        <w:rPr>
          <w:szCs w:val="24"/>
        </w:rPr>
        <w:t xml:space="preserve"> traders claiming anticipatory exemptions to file Form 704 for the initial statement pursuant to § 150.7(d), the supplemental statement pursuant to § 150.7(e), and the annual update pursuant to § 150.7(f), as well as Form 204 monthly reporting the remaining unsold, unfilled and other anticipated activity for the Specified Period in Form 704, Section A.  The Commission estimates that approximately 200 traders will claim anticipatory exemptions every year an average of 10 times each.  At an estimated 20 labor hours to complete and file Form 704 for a total annual burden to traders of 40,000 labor hours, the anticipatory exemption filing requirement will cost industry an additional $4,800,000 in labor costs.</w:t>
      </w:r>
      <w:r>
        <w:rPr>
          <w:szCs w:val="24"/>
        </w:rPr>
        <w:t xml:space="preserve"> </w:t>
      </w:r>
    </w:p>
    <w:p w:rsidR="00FA7CE7" w:rsidRDefault="00FA7CE7" w:rsidP="00FA7CE7">
      <w:pPr>
        <w:pStyle w:val="ListParagraph"/>
      </w:pPr>
    </w:p>
    <w:p w:rsidR="00FA7CE7" w:rsidRPr="00774C9B" w:rsidRDefault="00FA7CE7" w:rsidP="00FA7CE7">
      <w:pPr>
        <w:tabs>
          <w:tab w:val="left" w:pos="-720"/>
        </w:tabs>
        <w:suppressAutoHyphens/>
        <w:rPr>
          <w:szCs w:val="24"/>
        </w:rPr>
      </w:pPr>
      <w:r w:rsidRPr="00774C9B">
        <w:rPr>
          <w:szCs w:val="24"/>
        </w:rPr>
        <w:tab/>
      </w:r>
      <w:r w:rsidRPr="00A633CD">
        <w:rPr>
          <w:szCs w:val="24"/>
        </w:rPr>
        <w:t>I</w:t>
      </w:r>
      <w:r w:rsidRPr="00A633CD">
        <w:t xml:space="preserve">n </w:t>
      </w:r>
      <w:r w:rsidRPr="00A633CD">
        <w:rPr>
          <w:u w:val="single"/>
        </w:rPr>
        <w:t xml:space="preserve">Attachment </w:t>
      </w:r>
      <w:proofErr w:type="gramStart"/>
      <w:r w:rsidRPr="00A633CD">
        <w:rPr>
          <w:u w:val="single"/>
        </w:rPr>
        <w:t>A</w:t>
      </w:r>
      <w:proofErr w:type="gramEnd"/>
      <w:r w:rsidRPr="00A633CD">
        <w:t xml:space="preserve"> the Commission has provided the key assumptions and calculations used to derive labor burden estimates.</w:t>
      </w:r>
      <w:r w:rsidRPr="00774C9B">
        <w:t xml:space="preserve">  </w:t>
      </w:r>
    </w:p>
    <w:p w:rsidR="00FA7CE7" w:rsidRPr="00774C9B" w:rsidRDefault="00FA7CE7" w:rsidP="00FA7CE7">
      <w:pPr>
        <w:pStyle w:val="ListParagraph"/>
        <w:ind w:left="0"/>
      </w:pPr>
    </w:p>
    <w:p w:rsidR="00FA7CE7" w:rsidRPr="00774C9B" w:rsidRDefault="00FA7CE7" w:rsidP="00FA7CE7">
      <w:pPr>
        <w:pStyle w:val="ListParagraph"/>
        <w:numPr>
          <w:ilvl w:val="0"/>
          <w:numId w:val="6"/>
        </w:numPr>
        <w:tabs>
          <w:tab w:val="left" w:pos="-720"/>
          <w:tab w:val="left" w:pos="0"/>
        </w:tabs>
        <w:suppressAutoHyphens/>
      </w:pPr>
      <w:r w:rsidRPr="00774C9B">
        <w:rPr>
          <w:u w:val="single"/>
        </w:rPr>
        <w:t>Provide an estimate of the total annual cost burden to respondents or record-keepers resulting from the collection of information.  (Do not include the cost of any hour burden shown in Items 12 and 14)</w:t>
      </w:r>
      <w:r w:rsidRPr="00774C9B">
        <w:t>.</w:t>
      </w:r>
    </w:p>
    <w:p w:rsidR="00FA7CE7" w:rsidRPr="00774C9B" w:rsidRDefault="00FA7CE7" w:rsidP="00FA7CE7">
      <w:pPr>
        <w:tabs>
          <w:tab w:val="left" w:pos="-720"/>
        </w:tabs>
        <w:suppressAutoHyphens/>
      </w:pPr>
    </w:p>
    <w:p w:rsidR="00FA7CE7" w:rsidRPr="00774C9B" w:rsidRDefault="00FA7CE7" w:rsidP="00FA7CE7">
      <w:pPr>
        <w:numPr>
          <w:ilvl w:val="1"/>
          <w:numId w:val="3"/>
        </w:numPr>
        <w:tabs>
          <w:tab w:val="left" w:pos="-720"/>
          <w:tab w:val="left" w:pos="0"/>
          <w:tab w:val="left" w:pos="720"/>
        </w:tabs>
        <w:suppressAutoHyphens/>
        <w:rPr>
          <w:u w:val="single"/>
        </w:rPr>
      </w:pPr>
      <w:r w:rsidRPr="00774C9B">
        <w:rPr>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7CE7" w:rsidRPr="00774C9B" w:rsidRDefault="00FA7CE7" w:rsidP="00FA7CE7">
      <w:pPr>
        <w:tabs>
          <w:tab w:val="left" w:pos="-720"/>
        </w:tabs>
        <w:suppressAutoHyphens/>
        <w:rPr>
          <w:u w:val="single"/>
        </w:rPr>
      </w:pPr>
    </w:p>
    <w:p w:rsidR="00FA7CE7" w:rsidRPr="00774C9B" w:rsidRDefault="00FA7CE7" w:rsidP="00FA7CE7">
      <w:pPr>
        <w:numPr>
          <w:ilvl w:val="1"/>
          <w:numId w:val="3"/>
        </w:numPr>
        <w:tabs>
          <w:tab w:val="left" w:pos="-720"/>
          <w:tab w:val="left" w:pos="0"/>
          <w:tab w:val="left" w:pos="720"/>
        </w:tabs>
        <w:suppressAutoHyphens/>
        <w:rPr>
          <w:u w:val="single"/>
        </w:rPr>
      </w:pPr>
      <w:r w:rsidRPr="00774C9B">
        <w:rPr>
          <w:u w:val="single"/>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w:t>
      </w:r>
      <w:r w:rsidRPr="00774C9B">
        <w:rPr>
          <w:u w:val="single"/>
        </w:rPr>
        <w:lastRenderedPageBreak/>
        <w:t>economic or regulatory impact analysis associated with the rulemaking containing the information collection, as appropriate.</w:t>
      </w:r>
    </w:p>
    <w:p w:rsidR="00FA7CE7" w:rsidRPr="00774C9B" w:rsidRDefault="00FA7CE7" w:rsidP="00FA7CE7">
      <w:pPr>
        <w:tabs>
          <w:tab w:val="left" w:pos="-720"/>
        </w:tabs>
        <w:suppressAutoHyphens/>
        <w:rPr>
          <w:u w:val="single"/>
        </w:rPr>
      </w:pPr>
    </w:p>
    <w:p w:rsidR="00FA7CE7" w:rsidRPr="00774C9B" w:rsidRDefault="00FA7CE7" w:rsidP="00FA7CE7">
      <w:pPr>
        <w:numPr>
          <w:ilvl w:val="1"/>
          <w:numId w:val="3"/>
        </w:numPr>
        <w:tabs>
          <w:tab w:val="left" w:pos="-720"/>
          <w:tab w:val="left" w:pos="0"/>
          <w:tab w:val="left" w:pos="720"/>
        </w:tabs>
        <w:suppressAutoHyphens/>
        <w:rPr>
          <w:u w:val="single"/>
        </w:rPr>
      </w:pPr>
      <w:r w:rsidRPr="00774C9B">
        <w:rPr>
          <w:u w:val="single"/>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774C9B">
        <w:rPr>
          <w:u w:val="single"/>
        </w:rPr>
        <w:t>government,</w:t>
      </w:r>
      <w:proofErr w:type="gramEnd"/>
      <w:r w:rsidRPr="00774C9B">
        <w:rPr>
          <w:u w:val="single"/>
        </w:rPr>
        <w:t xml:space="preserve"> or (4) as part of customary and usual business or private practices.</w:t>
      </w:r>
    </w:p>
    <w:p w:rsidR="00FA7CE7" w:rsidRDefault="00FA7CE7" w:rsidP="00FA7CE7">
      <w:pPr>
        <w:tabs>
          <w:tab w:val="left" w:pos="-720"/>
          <w:tab w:val="left" w:pos="0"/>
          <w:tab w:val="left" w:pos="720"/>
        </w:tabs>
        <w:suppressAutoHyphens/>
      </w:pPr>
    </w:p>
    <w:p w:rsidR="0082244C" w:rsidRDefault="00FA7CE7" w:rsidP="0082244C">
      <w:pPr>
        <w:tabs>
          <w:tab w:val="left" w:pos="-720"/>
        </w:tabs>
        <w:suppressAutoHyphens/>
      </w:pPr>
      <w:r w:rsidRPr="00427EE5">
        <w:tab/>
      </w:r>
      <w:r w:rsidR="0082244C">
        <w:t>There are no applicable capital, start up, maintenance, or purchase of service cost component.</w:t>
      </w:r>
    </w:p>
    <w:p w:rsidR="0082244C" w:rsidRDefault="0082244C" w:rsidP="0082244C">
      <w:pPr>
        <w:tabs>
          <w:tab w:val="left" w:pos="-720"/>
        </w:tabs>
        <w:suppressAutoHyphens/>
      </w:pPr>
    </w:p>
    <w:p w:rsidR="00FA7CE7" w:rsidRDefault="0082244C" w:rsidP="0082244C">
      <w:pPr>
        <w:tabs>
          <w:tab w:val="left" w:pos="-720"/>
        </w:tabs>
        <w:suppressAutoHyphens/>
      </w:pPr>
      <w:r>
        <w:tab/>
        <w:t>It is important to note that the information collected under the reporting rules are basic transaction records that any market participant 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affected entities.</w:t>
      </w:r>
    </w:p>
    <w:p w:rsidR="0082244C" w:rsidRPr="0038474F" w:rsidRDefault="0082244C" w:rsidP="0082244C">
      <w:pPr>
        <w:tabs>
          <w:tab w:val="left" w:pos="-720"/>
        </w:tabs>
        <w:suppressAutoHyphens/>
      </w:pPr>
    </w:p>
    <w:p w:rsidR="00FA7CE7" w:rsidRPr="00774C9B" w:rsidRDefault="00FA7CE7" w:rsidP="00FA7CE7">
      <w:pPr>
        <w:pStyle w:val="ListParagraph"/>
        <w:numPr>
          <w:ilvl w:val="0"/>
          <w:numId w:val="6"/>
        </w:numPr>
        <w:tabs>
          <w:tab w:val="left" w:pos="-720"/>
        </w:tabs>
        <w:suppressAutoHyphens/>
      </w:pPr>
      <w:r w:rsidRPr="00774C9B">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A7CE7" w:rsidRPr="00774C9B" w:rsidRDefault="00FA7CE7" w:rsidP="00FA7CE7">
      <w:pPr>
        <w:tabs>
          <w:tab w:val="left" w:pos="-720"/>
        </w:tabs>
        <w:suppressAutoHyphens/>
      </w:pPr>
    </w:p>
    <w:p w:rsidR="00FA7CE7" w:rsidRPr="00774C9B" w:rsidRDefault="00FA7CE7" w:rsidP="00FA7CE7">
      <w:pPr>
        <w:ind w:firstLine="720"/>
        <w:rPr>
          <w:szCs w:val="24"/>
        </w:rPr>
      </w:pPr>
      <w:r w:rsidRPr="00774C9B">
        <w:t xml:space="preserve">The Commission estimates that the equivalent of approximately </w:t>
      </w:r>
      <w:r w:rsidR="001F056F">
        <w:t>30,080</w:t>
      </w:r>
      <w:r>
        <w:t xml:space="preserve"> annual labor hours, approximately </w:t>
      </w:r>
      <w:r w:rsidR="001F056F">
        <w:t>16.7</w:t>
      </w:r>
      <w:r>
        <w:t xml:space="preserve"> employees, would be required in order to process, analyze, and respond to</w:t>
      </w:r>
      <w:r w:rsidRPr="00774C9B">
        <w:t xml:space="preserve"> the </w:t>
      </w:r>
      <w:r>
        <w:t xml:space="preserve">relevant </w:t>
      </w:r>
      <w:r w:rsidRPr="00774C9B">
        <w:t xml:space="preserve">reports provided for in </w:t>
      </w:r>
      <w:r w:rsidR="0082244C">
        <w:t xml:space="preserve">the </w:t>
      </w:r>
      <w:r>
        <w:t>proposed</w:t>
      </w:r>
      <w:r w:rsidR="0082244C">
        <w:t xml:space="preserve"> amendments to</w:t>
      </w:r>
      <w:r>
        <w:t xml:space="preserve"> part 1</w:t>
      </w:r>
      <w:r w:rsidR="0082244C">
        <w:t>9</w:t>
      </w:r>
      <w:r w:rsidRPr="00774C9B">
        <w:t xml:space="preserve">.  The staff needed would include </w:t>
      </w:r>
      <w:r>
        <w:t>attorneys</w:t>
      </w:r>
      <w:r w:rsidRPr="00774C9B">
        <w:t>, industry economists, and information technology staff, including computer programmers.  These estimates are based on estimated labor costs associated w</w:t>
      </w:r>
      <w:r>
        <w:t>ith processing analogous reporting for existing federal position limits for certain agricultural futures contracts</w:t>
      </w:r>
      <w:r w:rsidRPr="00774C9B">
        <w:t>.  At an average CT-1</w:t>
      </w:r>
      <w:r>
        <w:t>3</w:t>
      </w:r>
      <w:r w:rsidRPr="00774C9B">
        <w:t xml:space="preserve"> pay grade for Commission employees in Washington, D.C. for 2010, or $</w:t>
      </w:r>
      <w:r>
        <w:t>106,840</w:t>
      </w:r>
      <w:r w:rsidRPr="00774C9B">
        <w:t xml:space="preserve">, </w:t>
      </w:r>
      <w:r w:rsidRPr="00774C9B">
        <w:rPr>
          <w:szCs w:val="24"/>
        </w:rPr>
        <w:t>multiplied by 1.</w:t>
      </w:r>
      <w:r>
        <w:rPr>
          <w:szCs w:val="24"/>
        </w:rPr>
        <w:t>625</w:t>
      </w:r>
      <w:r w:rsidRPr="00774C9B">
        <w:rPr>
          <w:szCs w:val="24"/>
        </w:rPr>
        <w:t xml:space="preserve"> to account for overhead and benefits, each employee would cost the Commission approximately $</w:t>
      </w:r>
      <w:r>
        <w:rPr>
          <w:szCs w:val="24"/>
        </w:rPr>
        <w:t xml:space="preserve">173,615.  This would amount to approximately </w:t>
      </w:r>
      <w:r w:rsidRPr="00774C9B">
        <w:rPr>
          <w:szCs w:val="24"/>
        </w:rPr>
        <w:t>$</w:t>
      </w:r>
      <w:r w:rsidR="001F056F">
        <w:rPr>
          <w:szCs w:val="24"/>
        </w:rPr>
        <w:t>2.9</w:t>
      </w:r>
      <w:r w:rsidRPr="00774C9B">
        <w:rPr>
          <w:szCs w:val="24"/>
        </w:rPr>
        <w:t xml:space="preserve"> million per year in </w:t>
      </w:r>
      <w:r>
        <w:rPr>
          <w:szCs w:val="24"/>
        </w:rPr>
        <w:t xml:space="preserve">total </w:t>
      </w:r>
      <w:r w:rsidRPr="00774C9B">
        <w:rPr>
          <w:szCs w:val="24"/>
        </w:rPr>
        <w:t>labor costs</w:t>
      </w:r>
      <w:r>
        <w:rPr>
          <w:szCs w:val="24"/>
        </w:rPr>
        <w:t xml:space="preserve"> to the Commission</w:t>
      </w:r>
      <w:r w:rsidRPr="00774C9B">
        <w:rPr>
          <w:szCs w:val="24"/>
        </w:rPr>
        <w:t xml:space="preserve">.  </w:t>
      </w:r>
    </w:p>
    <w:p w:rsidR="00FA7CE7" w:rsidRPr="00774C9B" w:rsidRDefault="00FA7CE7" w:rsidP="00FA7CE7">
      <w:pPr>
        <w:tabs>
          <w:tab w:val="left" w:pos="8238"/>
        </w:tabs>
        <w:ind w:firstLine="720"/>
        <w:rPr>
          <w:szCs w:val="24"/>
        </w:rPr>
      </w:pPr>
      <w:r>
        <w:rPr>
          <w:szCs w:val="24"/>
        </w:rPr>
        <w:tab/>
      </w:r>
    </w:p>
    <w:p w:rsidR="00FA7CE7" w:rsidRPr="00774C9B" w:rsidRDefault="00FA7CE7" w:rsidP="00FA7CE7">
      <w:pPr>
        <w:ind w:firstLine="720"/>
      </w:pPr>
      <w:r>
        <w:rPr>
          <w:szCs w:val="24"/>
        </w:rPr>
        <w:t xml:space="preserve">The Commission does not anticipate the need for additional capital or operational items to fulfill its mandate to impose position limits.  </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6"/>
        </w:numPr>
        <w:tabs>
          <w:tab w:val="left" w:pos="-720"/>
          <w:tab w:val="left" w:pos="0"/>
        </w:tabs>
        <w:suppressAutoHyphens/>
      </w:pPr>
      <w:r w:rsidRPr="00774C9B">
        <w:rPr>
          <w:u w:val="single"/>
        </w:rPr>
        <w:t xml:space="preserve">Explain the reasons for any program changes or adjustments reported in Items 13 or 14 of the </w:t>
      </w:r>
      <w:proofErr w:type="gramStart"/>
      <w:r w:rsidRPr="00774C9B">
        <w:rPr>
          <w:u w:val="single"/>
        </w:rPr>
        <w:t>OMB  83</w:t>
      </w:r>
      <w:proofErr w:type="gramEnd"/>
      <w:r w:rsidRPr="00774C9B">
        <w:rPr>
          <w:u w:val="single"/>
        </w:rPr>
        <w:t>-I</w:t>
      </w:r>
      <w:r w:rsidRPr="00774C9B">
        <w:t>.</w:t>
      </w:r>
    </w:p>
    <w:p w:rsidR="00FA7CE7" w:rsidRPr="00774C9B" w:rsidRDefault="00FA7CE7" w:rsidP="00FA7CE7">
      <w:pPr>
        <w:tabs>
          <w:tab w:val="left" w:pos="-720"/>
          <w:tab w:val="left" w:pos="0"/>
        </w:tabs>
        <w:suppressAutoHyphens/>
      </w:pPr>
    </w:p>
    <w:p w:rsidR="00FA7CE7" w:rsidRPr="00774C9B" w:rsidRDefault="00FA7CE7" w:rsidP="00FA7CE7">
      <w:pPr>
        <w:tabs>
          <w:tab w:val="left" w:pos="-720"/>
          <w:tab w:val="left" w:pos="0"/>
        </w:tabs>
        <w:suppressAutoHyphens/>
      </w:pPr>
      <w:r>
        <w:tab/>
      </w:r>
      <w:r w:rsidRPr="00774C9B">
        <w:t>This question does not apply.</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6"/>
        </w:numPr>
        <w:tabs>
          <w:tab w:val="left" w:pos="-720"/>
          <w:tab w:val="left" w:pos="0"/>
        </w:tabs>
        <w:suppressAutoHyphens/>
      </w:pPr>
      <w:r w:rsidRPr="00774C9B">
        <w:rPr>
          <w:u w:val="single"/>
        </w:rPr>
        <w:lastRenderedPageBreak/>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774C9B">
        <w:t>.</w:t>
      </w:r>
    </w:p>
    <w:p w:rsidR="00FA7CE7" w:rsidRPr="00774C9B" w:rsidRDefault="00FA7CE7" w:rsidP="00FA7CE7">
      <w:pPr>
        <w:tabs>
          <w:tab w:val="left" w:pos="-720"/>
          <w:tab w:val="left" w:pos="0"/>
        </w:tabs>
        <w:suppressAutoHyphens/>
      </w:pPr>
    </w:p>
    <w:p w:rsidR="00FA7CE7" w:rsidRPr="00774C9B" w:rsidRDefault="00FA7CE7" w:rsidP="00FA7CE7">
      <w:pPr>
        <w:tabs>
          <w:tab w:val="left" w:pos="-720"/>
          <w:tab w:val="left" w:pos="0"/>
        </w:tabs>
        <w:suppressAutoHyphens/>
      </w:pPr>
      <w:r>
        <w:tab/>
      </w:r>
      <w:r w:rsidRPr="00774C9B">
        <w:t>This question does not apply.</w:t>
      </w:r>
    </w:p>
    <w:p w:rsidR="00FA7CE7" w:rsidRPr="00774C9B" w:rsidRDefault="00FA7CE7" w:rsidP="00FA7CE7">
      <w:pPr>
        <w:tabs>
          <w:tab w:val="left" w:pos="-720"/>
        </w:tabs>
        <w:suppressAutoHyphens/>
      </w:pPr>
    </w:p>
    <w:p w:rsidR="00FA7CE7" w:rsidRDefault="00FA7CE7" w:rsidP="00FA7CE7">
      <w:pPr>
        <w:pStyle w:val="ListParagraph"/>
        <w:numPr>
          <w:ilvl w:val="0"/>
          <w:numId w:val="6"/>
        </w:numPr>
        <w:tabs>
          <w:tab w:val="left" w:pos="-720"/>
          <w:tab w:val="left" w:pos="0"/>
        </w:tabs>
        <w:suppressAutoHyphens/>
      </w:pPr>
      <w:r w:rsidRPr="00774C9B">
        <w:rPr>
          <w:u w:val="single"/>
        </w:rPr>
        <w:t>If seeking approval to not display the expiration date for OMB approval of the information collection, explain the reasons that display would be inappropriate</w:t>
      </w:r>
      <w:r w:rsidRPr="00774C9B">
        <w:t>.</w:t>
      </w:r>
    </w:p>
    <w:p w:rsidR="00FA7CE7" w:rsidRDefault="00FA7CE7" w:rsidP="00FA7CE7">
      <w:pPr>
        <w:pStyle w:val="ListParagraph"/>
        <w:tabs>
          <w:tab w:val="left" w:pos="-720"/>
          <w:tab w:val="left" w:pos="0"/>
        </w:tabs>
        <w:suppressAutoHyphens/>
      </w:pPr>
    </w:p>
    <w:p w:rsidR="00FA7CE7" w:rsidRPr="00774C9B" w:rsidRDefault="00FA7CE7" w:rsidP="00FA7CE7">
      <w:pPr>
        <w:pStyle w:val="ListParagraph"/>
        <w:tabs>
          <w:tab w:val="left" w:pos="-720"/>
          <w:tab w:val="left" w:pos="0"/>
        </w:tabs>
        <w:suppressAutoHyphens/>
        <w:ind w:left="0"/>
      </w:pPr>
      <w:r>
        <w:tab/>
      </w:r>
      <w:r w:rsidRPr="00774C9B">
        <w:t>This question does not apply.</w:t>
      </w:r>
    </w:p>
    <w:p w:rsidR="00FA7CE7" w:rsidRPr="00774C9B" w:rsidRDefault="00FA7CE7" w:rsidP="00FA7CE7">
      <w:pPr>
        <w:tabs>
          <w:tab w:val="left" w:pos="-720"/>
        </w:tabs>
        <w:suppressAutoHyphens/>
      </w:pPr>
    </w:p>
    <w:p w:rsidR="00FA7CE7" w:rsidRPr="00774C9B" w:rsidRDefault="00FA7CE7" w:rsidP="00FA7CE7">
      <w:pPr>
        <w:pStyle w:val="ListParagraph"/>
        <w:numPr>
          <w:ilvl w:val="0"/>
          <w:numId w:val="6"/>
        </w:numPr>
        <w:tabs>
          <w:tab w:val="left" w:pos="-720"/>
          <w:tab w:val="left" w:pos="0"/>
        </w:tabs>
        <w:suppressAutoHyphens/>
      </w:pPr>
      <w:r w:rsidRPr="00774C9B">
        <w:rPr>
          <w:u w:val="single"/>
        </w:rPr>
        <w:t xml:space="preserve">Explain each exception to the certification statement identified in Item 19, "Certification for Paperwork Reduction Act Submissions," of </w:t>
      </w:r>
      <w:proofErr w:type="gramStart"/>
      <w:r w:rsidRPr="00774C9B">
        <w:rPr>
          <w:u w:val="single"/>
        </w:rPr>
        <w:t>OMB  83</w:t>
      </w:r>
      <w:proofErr w:type="gramEnd"/>
      <w:r w:rsidRPr="00774C9B">
        <w:rPr>
          <w:u w:val="single"/>
        </w:rPr>
        <w:t>-I</w:t>
      </w:r>
      <w:r w:rsidRPr="00774C9B">
        <w:t>.</w:t>
      </w:r>
    </w:p>
    <w:p w:rsidR="00FA7CE7" w:rsidRPr="00774C9B" w:rsidRDefault="00FA7CE7" w:rsidP="00FA7CE7">
      <w:pPr>
        <w:tabs>
          <w:tab w:val="left" w:pos="-720"/>
          <w:tab w:val="left" w:pos="0"/>
        </w:tabs>
        <w:suppressAutoHyphens/>
      </w:pPr>
    </w:p>
    <w:p w:rsidR="00FA7CE7" w:rsidRPr="00774C9B" w:rsidRDefault="00FA7CE7" w:rsidP="00FA7CE7">
      <w:pPr>
        <w:tabs>
          <w:tab w:val="left" w:pos="-720"/>
          <w:tab w:val="left" w:pos="0"/>
        </w:tabs>
        <w:suppressAutoHyphens/>
      </w:pPr>
      <w:r w:rsidRPr="00774C9B">
        <w:tab/>
        <w:t>There are no exceptions to the certification statement.  The Commission is able to certify compliance with the provisions of 5 CFR 1320.9.</w:t>
      </w:r>
    </w:p>
    <w:p w:rsidR="00FA7CE7" w:rsidRPr="00774C9B" w:rsidRDefault="00FA7CE7" w:rsidP="00FA7CE7"/>
    <w:p w:rsidR="0019670E" w:rsidRDefault="0019670E">
      <w:pPr>
        <w:spacing w:after="200" w:line="276" w:lineRule="auto"/>
      </w:pPr>
      <w:r>
        <w:br w:type="page"/>
      </w:r>
    </w:p>
    <w:p w:rsidR="0019670E" w:rsidRPr="002A470F" w:rsidRDefault="0019670E" w:rsidP="0019670E">
      <w:pPr>
        <w:pStyle w:val="Title"/>
        <w:spacing w:after="240"/>
        <w:rPr>
          <w:sz w:val="24"/>
          <w:szCs w:val="24"/>
        </w:rPr>
      </w:pPr>
      <w:r w:rsidRPr="002A470F">
        <w:rPr>
          <w:sz w:val="24"/>
          <w:szCs w:val="24"/>
        </w:rPr>
        <w:lastRenderedPageBreak/>
        <w:t>Attachment A</w:t>
      </w:r>
    </w:p>
    <w:p w:rsidR="0019670E" w:rsidRPr="002A470F" w:rsidRDefault="0019670E" w:rsidP="0019670E">
      <w:pPr>
        <w:pStyle w:val="Title"/>
        <w:tabs>
          <w:tab w:val="center" w:pos="7200"/>
        </w:tabs>
        <w:rPr>
          <w:sz w:val="24"/>
          <w:szCs w:val="24"/>
        </w:rPr>
      </w:pPr>
      <w:r w:rsidRPr="002A470F">
        <w:rPr>
          <w:sz w:val="24"/>
          <w:szCs w:val="24"/>
        </w:rPr>
        <w:t>13. Annual Reporting and Recordkeeping Hour Burden</w:t>
      </w:r>
    </w:p>
    <w:p w:rsidR="0019670E" w:rsidRPr="002A470F" w:rsidRDefault="0019670E" w:rsidP="0019670E">
      <w:pPr>
        <w:pStyle w:val="Title"/>
        <w:tabs>
          <w:tab w:val="center" w:pos="7200"/>
        </w:tabs>
        <w:rPr>
          <w:sz w:val="24"/>
          <w:szCs w:val="24"/>
        </w:rPr>
      </w:pPr>
    </w:p>
    <w:p w:rsidR="0019670E" w:rsidRPr="002A470F" w:rsidRDefault="0019670E" w:rsidP="0019670E">
      <w:pPr>
        <w:spacing w:line="480" w:lineRule="auto"/>
        <w:jc w:val="center"/>
        <w:rPr>
          <w:b/>
        </w:rPr>
      </w:pPr>
      <w:r w:rsidRPr="002A470F">
        <w:rPr>
          <w:b/>
        </w:rPr>
        <w:t xml:space="preserve">Part </w:t>
      </w:r>
      <w:r>
        <w:rPr>
          <w:b/>
        </w:rPr>
        <w:t>150</w:t>
      </w:r>
      <w:r w:rsidRPr="002A470F">
        <w:rPr>
          <w:b/>
        </w:rPr>
        <w:t xml:space="preserve"> – Position Limits for Derivatives</w:t>
      </w:r>
    </w:p>
    <w:p w:rsidR="0019670E" w:rsidRPr="002A470F" w:rsidRDefault="0019670E" w:rsidP="0019670E">
      <w:pPr>
        <w:pStyle w:val="Title"/>
        <w:spacing w:after="480"/>
        <w:rPr>
          <w:sz w:val="24"/>
          <w:szCs w:val="24"/>
        </w:rPr>
      </w:pPr>
      <w:r w:rsidRPr="002A470F">
        <w:rPr>
          <w:sz w:val="24"/>
          <w:szCs w:val="24"/>
        </w:rPr>
        <w:t xml:space="preserve">OMB Collection </w:t>
      </w:r>
      <w:r>
        <w:rPr>
          <w:sz w:val="24"/>
          <w:szCs w:val="24"/>
        </w:rPr>
        <w:t>Number</w:t>
      </w:r>
      <w:r w:rsidRPr="002A470F">
        <w:rPr>
          <w:sz w:val="24"/>
          <w:szCs w:val="24"/>
        </w:rPr>
        <w:t xml:space="preserve"> 3038-</w:t>
      </w:r>
      <w:r>
        <w:rPr>
          <w:sz w:val="24"/>
          <w:szCs w:val="24"/>
        </w:rPr>
        <w:t>0009</w:t>
      </w:r>
    </w:p>
    <w:tbl>
      <w:tblPr>
        <w:tblW w:w="11256" w:type="dxa"/>
        <w:tblInd w:w="-972" w:type="dxa"/>
        <w:tblLook w:val="04A0" w:firstRow="1" w:lastRow="0" w:firstColumn="1" w:lastColumn="0" w:noHBand="0" w:noVBand="1"/>
      </w:tblPr>
      <w:tblGrid>
        <w:gridCol w:w="1853"/>
        <w:gridCol w:w="1523"/>
        <w:gridCol w:w="1256"/>
        <w:gridCol w:w="692"/>
        <w:gridCol w:w="724"/>
        <w:gridCol w:w="1656"/>
        <w:gridCol w:w="1656"/>
        <w:gridCol w:w="1896"/>
      </w:tblGrid>
      <w:tr w:rsidR="0019670E" w:rsidRPr="002A470F" w:rsidTr="00550BED">
        <w:tc>
          <w:tcPr>
            <w:tcW w:w="5324" w:type="dxa"/>
            <w:gridSpan w:val="4"/>
          </w:tcPr>
          <w:p w:rsidR="0019670E" w:rsidRPr="002A470F" w:rsidRDefault="0019670E" w:rsidP="00550BED">
            <w:pPr>
              <w:pStyle w:val="Title"/>
              <w:spacing w:after="480"/>
              <w:jc w:val="left"/>
              <w:rPr>
                <w:sz w:val="24"/>
                <w:szCs w:val="24"/>
              </w:rPr>
            </w:pPr>
            <w:r w:rsidRPr="002A470F">
              <w:rPr>
                <w:b w:val="0"/>
                <w:sz w:val="24"/>
                <w:szCs w:val="24"/>
              </w:rPr>
              <w:t xml:space="preserve">Number of Respondents:                              </w:t>
            </w:r>
          </w:p>
        </w:tc>
        <w:tc>
          <w:tcPr>
            <w:tcW w:w="5932" w:type="dxa"/>
            <w:gridSpan w:val="4"/>
          </w:tcPr>
          <w:p w:rsidR="0019670E" w:rsidRPr="002A470F" w:rsidRDefault="0019670E" w:rsidP="00550BED">
            <w:pPr>
              <w:pStyle w:val="Title"/>
              <w:tabs>
                <w:tab w:val="center" w:pos="7200"/>
              </w:tabs>
              <w:spacing w:after="120"/>
              <w:jc w:val="left"/>
              <w:rPr>
                <w:b w:val="0"/>
                <w:sz w:val="24"/>
                <w:szCs w:val="24"/>
              </w:rPr>
            </w:pPr>
            <w:r w:rsidRPr="002A470F">
              <w:rPr>
                <w:b w:val="0"/>
                <w:sz w:val="24"/>
                <w:szCs w:val="24"/>
              </w:rPr>
              <w:t>Depends based on type of reporting or recordkeeping requirement (see below)</w:t>
            </w:r>
          </w:p>
        </w:tc>
      </w:tr>
      <w:tr w:rsidR="0019670E" w:rsidRPr="002A470F" w:rsidTr="00550BED">
        <w:tc>
          <w:tcPr>
            <w:tcW w:w="5324" w:type="dxa"/>
            <w:gridSpan w:val="4"/>
          </w:tcPr>
          <w:p w:rsidR="0019670E" w:rsidRPr="002A470F" w:rsidRDefault="0019670E" w:rsidP="00550BED">
            <w:pPr>
              <w:pStyle w:val="Title"/>
              <w:spacing w:after="480"/>
              <w:jc w:val="left"/>
              <w:rPr>
                <w:b w:val="0"/>
                <w:sz w:val="24"/>
                <w:szCs w:val="24"/>
              </w:rPr>
            </w:pPr>
            <w:r w:rsidRPr="002A470F">
              <w:rPr>
                <w:b w:val="0"/>
                <w:sz w:val="24"/>
                <w:szCs w:val="24"/>
              </w:rPr>
              <w:t>Estimated Total Annual Responses</w:t>
            </w:r>
          </w:p>
        </w:tc>
        <w:tc>
          <w:tcPr>
            <w:tcW w:w="5932" w:type="dxa"/>
            <w:gridSpan w:val="4"/>
          </w:tcPr>
          <w:p w:rsidR="0019670E" w:rsidRPr="002A470F" w:rsidRDefault="0019670E" w:rsidP="00550BED">
            <w:pPr>
              <w:pStyle w:val="Title"/>
              <w:spacing w:after="480"/>
              <w:jc w:val="left"/>
              <w:rPr>
                <w:b w:val="0"/>
                <w:sz w:val="24"/>
                <w:szCs w:val="24"/>
              </w:rPr>
            </w:pPr>
            <w:r>
              <w:rPr>
                <w:b w:val="0"/>
                <w:sz w:val="24"/>
                <w:szCs w:val="24"/>
              </w:rPr>
              <w:t>30,080</w:t>
            </w:r>
          </w:p>
        </w:tc>
      </w:tr>
      <w:tr w:rsidR="0019670E" w:rsidRPr="002A470F" w:rsidTr="00550BED">
        <w:tc>
          <w:tcPr>
            <w:tcW w:w="5324" w:type="dxa"/>
            <w:gridSpan w:val="4"/>
          </w:tcPr>
          <w:p w:rsidR="0019670E" w:rsidRPr="002A470F" w:rsidRDefault="0019670E" w:rsidP="00550BED">
            <w:pPr>
              <w:pStyle w:val="Title"/>
              <w:spacing w:after="480"/>
              <w:jc w:val="left"/>
              <w:rPr>
                <w:sz w:val="24"/>
                <w:szCs w:val="24"/>
              </w:rPr>
            </w:pPr>
            <w:r w:rsidRPr="002A470F">
              <w:rPr>
                <w:b w:val="0"/>
                <w:sz w:val="24"/>
                <w:szCs w:val="24"/>
              </w:rPr>
              <w:t xml:space="preserve">Estimated Average Hours Per Response:     </w:t>
            </w:r>
          </w:p>
        </w:tc>
        <w:tc>
          <w:tcPr>
            <w:tcW w:w="5932" w:type="dxa"/>
            <w:gridSpan w:val="4"/>
          </w:tcPr>
          <w:p w:rsidR="0019670E" w:rsidRPr="002A470F" w:rsidRDefault="0019670E" w:rsidP="00550BED">
            <w:pPr>
              <w:pStyle w:val="Title"/>
              <w:spacing w:after="480"/>
              <w:jc w:val="left"/>
              <w:rPr>
                <w:b w:val="0"/>
                <w:sz w:val="24"/>
                <w:szCs w:val="24"/>
              </w:rPr>
            </w:pPr>
            <w:r>
              <w:rPr>
                <w:b w:val="0"/>
                <w:sz w:val="24"/>
                <w:szCs w:val="24"/>
              </w:rPr>
              <w:t>5</w:t>
            </w:r>
          </w:p>
        </w:tc>
      </w:tr>
      <w:tr w:rsidR="0019670E" w:rsidRPr="002A470F" w:rsidTr="00550BED">
        <w:tc>
          <w:tcPr>
            <w:tcW w:w="5324" w:type="dxa"/>
            <w:gridSpan w:val="4"/>
          </w:tcPr>
          <w:p w:rsidR="0019670E" w:rsidRPr="002A470F" w:rsidRDefault="0019670E" w:rsidP="00550BED">
            <w:pPr>
              <w:pStyle w:val="Title"/>
              <w:spacing w:after="480"/>
              <w:jc w:val="left"/>
              <w:rPr>
                <w:sz w:val="24"/>
                <w:szCs w:val="24"/>
              </w:rPr>
            </w:pPr>
            <w:r w:rsidRPr="002A470F">
              <w:rPr>
                <w:b w:val="0"/>
                <w:sz w:val="24"/>
                <w:szCs w:val="24"/>
              </w:rPr>
              <w:t xml:space="preserve">% of Responses Collected Electronically:    </w:t>
            </w:r>
          </w:p>
        </w:tc>
        <w:tc>
          <w:tcPr>
            <w:tcW w:w="5932" w:type="dxa"/>
            <w:gridSpan w:val="4"/>
          </w:tcPr>
          <w:p w:rsidR="0019670E" w:rsidRPr="002A470F" w:rsidRDefault="0019670E" w:rsidP="00550BED">
            <w:pPr>
              <w:pStyle w:val="Title"/>
              <w:spacing w:after="480"/>
              <w:jc w:val="left"/>
              <w:rPr>
                <w:b w:val="0"/>
                <w:sz w:val="24"/>
                <w:szCs w:val="24"/>
              </w:rPr>
            </w:pPr>
            <w:r w:rsidRPr="002A470F">
              <w:rPr>
                <w:b w:val="0"/>
                <w:sz w:val="24"/>
                <w:szCs w:val="24"/>
              </w:rPr>
              <w:t>100%</w:t>
            </w:r>
          </w:p>
        </w:tc>
      </w:tr>
      <w:tr w:rsidR="0019670E" w:rsidRPr="002A470F" w:rsidTr="00550BED">
        <w:tc>
          <w:tcPr>
            <w:tcW w:w="5324" w:type="dxa"/>
            <w:gridSpan w:val="4"/>
          </w:tcPr>
          <w:p w:rsidR="0019670E" w:rsidRPr="002A470F" w:rsidRDefault="0019670E" w:rsidP="00550BED">
            <w:pPr>
              <w:pStyle w:val="Title"/>
              <w:spacing w:after="480"/>
              <w:jc w:val="left"/>
              <w:rPr>
                <w:sz w:val="24"/>
                <w:szCs w:val="24"/>
              </w:rPr>
            </w:pPr>
            <w:r w:rsidRPr="002A470F">
              <w:rPr>
                <w:b w:val="0"/>
                <w:sz w:val="24"/>
                <w:szCs w:val="24"/>
              </w:rPr>
              <w:t>Estimated Total Annual Labor Costs:</w:t>
            </w:r>
          </w:p>
        </w:tc>
        <w:tc>
          <w:tcPr>
            <w:tcW w:w="5932" w:type="dxa"/>
            <w:gridSpan w:val="4"/>
          </w:tcPr>
          <w:p w:rsidR="0019670E" w:rsidRPr="002A470F" w:rsidRDefault="0019670E" w:rsidP="00550BED">
            <w:pPr>
              <w:pStyle w:val="Title"/>
              <w:spacing w:after="480"/>
              <w:jc w:val="left"/>
              <w:rPr>
                <w:b w:val="0"/>
                <w:sz w:val="24"/>
                <w:szCs w:val="24"/>
              </w:rPr>
            </w:pPr>
            <w:r>
              <w:rPr>
                <w:b w:val="0"/>
                <w:sz w:val="24"/>
                <w:szCs w:val="24"/>
              </w:rPr>
              <w:t>$16.5 million</w:t>
            </w:r>
          </w:p>
        </w:tc>
      </w:tr>
      <w:tr w:rsidR="0019670E" w:rsidRPr="002A470F" w:rsidTr="00550BED">
        <w:tc>
          <w:tcPr>
            <w:tcW w:w="5324" w:type="dxa"/>
            <w:gridSpan w:val="4"/>
          </w:tcPr>
          <w:p w:rsidR="0019670E" w:rsidRPr="002A470F" w:rsidRDefault="0019670E" w:rsidP="00550BED">
            <w:pPr>
              <w:pStyle w:val="Title"/>
              <w:spacing w:after="480"/>
              <w:jc w:val="left"/>
              <w:rPr>
                <w:sz w:val="24"/>
                <w:szCs w:val="24"/>
              </w:rPr>
            </w:pPr>
            <w:r w:rsidRPr="002A470F">
              <w:rPr>
                <w:b w:val="0"/>
                <w:sz w:val="24"/>
                <w:szCs w:val="24"/>
              </w:rPr>
              <w:t>Frequency of Reporting:</w:t>
            </w:r>
          </w:p>
        </w:tc>
        <w:tc>
          <w:tcPr>
            <w:tcW w:w="5932" w:type="dxa"/>
            <w:gridSpan w:val="4"/>
          </w:tcPr>
          <w:p w:rsidR="0019670E" w:rsidRPr="002A470F" w:rsidRDefault="0019670E" w:rsidP="00550BED">
            <w:pPr>
              <w:pStyle w:val="Title"/>
              <w:tabs>
                <w:tab w:val="center" w:pos="7200"/>
              </w:tabs>
              <w:spacing w:after="120"/>
              <w:jc w:val="left"/>
              <w:rPr>
                <w:b w:val="0"/>
                <w:sz w:val="24"/>
                <w:szCs w:val="24"/>
              </w:rPr>
            </w:pPr>
            <w:r w:rsidRPr="002A470F">
              <w:rPr>
                <w:b w:val="0"/>
                <w:sz w:val="24"/>
                <w:szCs w:val="24"/>
              </w:rPr>
              <w:t xml:space="preserve">Depends based on type of reporting or recordkeeping requirement (see below) </w:t>
            </w:r>
          </w:p>
        </w:tc>
      </w:tr>
      <w:tr w:rsidR="0019670E" w:rsidRPr="002A470F" w:rsidTr="00550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8"/>
        </w:trPr>
        <w:tc>
          <w:tcPr>
            <w:tcW w:w="1853" w:type="dxa"/>
            <w:shd w:val="clear" w:color="auto" w:fill="auto"/>
            <w:vAlign w:val="center"/>
            <w:hideMark/>
          </w:tcPr>
          <w:p w:rsidR="0019670E" w:rsidRPr="00EA0CDD" w:rsidRDefault="0019670E" w:rsidP="00550BED">
            <w:pPr>
              <w:jc w:val="center"/>
              <w:rPr>
                <w:b/>
                <w:bCs/>
                <w:color w:val="000000"/>
              </w:rPr>
            </w:pPr>
            <w:r w:rsidRPr="00EA0CDD">
              <w:rPr>
                <w:b/>
                <w:bCs/>
                <w:color w:val="000000"/>
              </w:rPr>
              <w:t> </w:t>
            </w:r>
          </w:p>
        </w:tc>
        <w:tc>
          <w:tcPr>
            <w:tcW w:w="1523" w:type="dxa"/>
            <w:shd w:val="clear" w:color="auto" w:fill="auto"/>
            <w:vAlign w:val="center"/>
            <w:hideMark/>
          </w:tcPr>
          <w:p w:rsidR="0019670E" w:rsidRPr="00EA0CDD" w:rsidRDefault="0019670E" w:rsidP="00550BED">
            <w:pPr>
              <w:jc w:val="center"/>
              <w:rPr>
                <w:b/>
                <w:bCs/>
                <w:color w:val="000000"/>
                <w:sz w:val="22"/>
              </w:rPr>
            </w:pPr>
            <w:r w:rsidRPr="00EA0CDD">
              <w:rPr>
                <w:b/>
                <w:bCs/>
                <w:color w:val="000000"/>
                <w:sz w:val="22"/>
              </w:rPr>
              <w:t>Total Number of Respondents  (13(a))</w:t>
            </w:r>
          </w:p>
        </w:tc>
        <w:tc>
          <w:tcPr>
            <w:tcW w:w="1256" w:type="dxa"/>
            <w:shd w:val="clear" w:color="auto" w:fill="auto"/>
            <w:vAlign w:val="center"/>
            <w:hideMark/>
          </w:tcPr>
          <w:p w:rsidR="0019670E" w:rsidRPr="00EA0CDD" w:rsidRDefault="0019670E" w:rsidP="00550BED">
            <w:pPr>
              <w:jc w:val="center"/>
              <w:rPr>
                <w:b/>
                <w:bCs/>
                <w:color w:val="000000"/>
                <w:sz w:val="22"/>
              </w:rPr>
            </w:pPr>
            <w:r w:rsidRPr="00EA0CDD">
              <w:rPr>
                <w:b/>
                <w:bCs/>
                <w:color w:val="000000"/>
                <w:sz w:val="22"/>
              </w:rPr>
              <w:t>Estimated Number of Hours Per Response</w:t>
            </w:r>
          </w:p>
        </w:tc>
        <w:tc>
          <w:tcPr>
            <w:tcW w:w="1416" w:type="dxa"/>
            <w:gridSpan w:val="2"/>
            <w:shd w:val="clear" w:color="auto" w:fill="auto"/>
            <w:vAlign w:val="center"/>
            <w:hideMark/>
          </w:tcPr>
          <w:p w:rsidR="0019670E" w:rsidRPr="00EA0CDD" w:rsidRDefault="0019670E" w:rsidP="00550BED">
            <w:pPr>
              <w:jc w:val="center"/>
              <w:rPr>
                <w:b/>
                <w:bCs/>
                <w:color w:val="000000"/>
                <w:sz w:val="22"/>
              </w:rPr>
            </w:pPr>
            <w:r w:rsidRPr="00EA0CDD">
              <w:rPr>
                <w:b/>
                <w:bCs/>
                <w:color w:val="000000"/>
                <w:sz w:val="22"/>
              </w:rPr>
              <w:t>Total Annual Responses (13(b))</w:t>
            </w:r>
          </w:p>
        </w:tc>
        <w:tc>
          <w:tcPr>
            <w:tcW w:w="1656" w:type="dxa"/>
            <w:shd w:val="clear" w:color="auto" w:fill="auto"/>
            <w:vAlign w:val="center"/>
            <w:hideMark/>
          </w:tcPr>
          <w:p w:rsidR="0019670E" w:rsidRPr="00EA0CDD" w:rsidRDefault="0019670E" w:rsidP="00550BED">
            <w:pPr>
              <w:jc w:val="center"/>
              <w:rPr>
                <w:b/>
                <w:bCs/>
                <w:color w:val="000000"/>
                <w:sz w:val="22"/>
              </w:rPr>
            </w:pPr>
            <w:r w:rsidRPr="00EA0CDD">
              <w:rPr>
                <w:b/>
                <w:bCs/>
                <w:color w:val="000000"/>
                <w:sz w:val="22"/>
              </w:rPr>
              <w:t>Total Annual Hours Requested (13(c))</w:t>
            </w:r>
          </w:p>
        </w:tc>
        <w:tc>
          <w:tcPr>
            <w:tcW w:w="1656" w:type="dxa"/>
            <w:shd w:val="clear" w:color="auto" w:fill="auto"/>
            <w:vAlign w:val="center"/>
            <w:hideMark/>
          </w:tcPr>
          <w:p w:rsidR="0019670E" w:rsidRPr="00EA0CDD" w:rsidRDefault="0019670E" w:rsidP="00550BED">
            <w:pPr>
              <w:jc w:val="center"/>
              <w:rPr>
                <w:b/>
                <w:bCs/>
                <w:color w:val="000000"/>
                <w:sz w:val="22"/>
              </w:rPr>
            </w:pPr>
            <w:r w:rsidRPr="00EA0CDD">
              <w:rPr>
                <w:b/>
                <w:bCs/>
                <w:color w:val="000000"/>
                <w:sz w:val="22"/>
              </w:rPr>
              <w:t>Difference (13(e))</w:t>
            </w:r>
          </w:p>
        </w:tc>
        <w:tc>
          <w:tcPr>
            <w:tcW w:w="1896" w:type="dxa"/>
            <w:shd w:val="clear" w:color="auto" w:fill="auto"/>
            <w:vAlign w:val="center"/>
            <w:hideMark/>
          </w:tcPr>
          <w:p w:rsidR="0019670E" w:rsidRPr="00EA0CDD" w:rsidRDefault="0019670E" w:rsidP="00550BED">
            <w:pPr>
              <w:jc w:val="center"/>
              <w:rPr>
                <w:b/>
                <w:bCs/>
                <w:color w:val="000000"/>
                <w:sz w:val="22"/>
              </w:rPr>
            </w:pPr>
            <w:r w:rsidRPr="00EA0CDD">
              <w:rPr>
                <w:b/>
                <w:bCs/>
                <w:color w:val="000000"/>
                <w:sz w:val="22"/>
              </w:rPr>
              <w:t>Total Annual Labor Costs</w:t>
            </w:r>
          </w:p>
        </w:tc>
      </w:tr>
      <w:tr w:rsidR="0019670E" w:rsidRPr="002A470F" w:rsidTr="00550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853" w:type="dxa"/>
            <w:shd w:val="clear" w:color="auto" w:fill="auto"/>
            <w:vAlign w:val="bottom"/>
          </w:tcPr>
          <w:p w:rsidR="0019670E" w:rsidRPr="00EA0CDD" w:rsidRDefault="0019670E" w:rsidP="00550BED">
            <w:pPr>
              <w:rPr>
                <w:color w:val="000000"/>
                <w:sz w:val="20"/>
              </w:rPr>
            </w:pPr>
            <w:r w:rsidRPr="00EA0CDD">
              <w:rPr>
                <w:color w:val="000000"/>
                <w:sz w:val="20"/>
              </w:rPr>
              <w:t>19.01(a)(1)</w:t>
            </w:r>
          </w:p>
        </w:tc>
        <w:tc>
          <w:tcPr>
            <w:tcW w:w="1523" w:type="dxa"/>
            <w:shd w:val="clear" w:color="auto" w:fill="auto"/>
            <w:vAlign w:val="bottom"/>
          </w:tcPr>
          <w:p w:rsidR="0019670E" w:rsidRPr="00EA0CDD" w:rsidRDefault="0019670E" w:rsidP="00550BED">
            <w:pPr>
              <w:jc w:val="right"/>
              <w:rPr>
                <w:color w:val="000000"/>
                <w:sz w:val="20"/>
              </w:rPr>
            </w:pPr>
            <w:r w:rsidRPr="00EA0CDD">
              <w:rPr>
                <w:color w:val="000000"/>
                <w:sz w:val="20"/>
              </w:rPr>
              <w:t>40</w:t>
            </w:r>
          </w:p>
        </w:tc>
        <w:tc>
          <w:tcPr>
            <w:tcW w:w="1256" w:type="dxa"/>
            <w:shd w:val="clear" w:color="auto" w:fill="auto"/>
            <w:noWrap/>
            <w:vAlign w:val="bottom"/>
          </w:tcPr>
          <w:p w:rsidR="0019670E" w:rsidRPr="00EA0CDD" w:rsidRDefault="0019670E" w:rsidP="00550BED">
            <w:pPr>
              <w:jc w:val="right"/>
              <w:rPr>
                <w:color w:val="000000"/>
                <w:sz w:val="20"/>
              </w:rPr>
            </w:pPr>
            <w:r w:rsidRPr="00EA0CDD">
              <w:rPr>
                <w:color w:val="000000"/>
                <w:sz w:val="20"/>
              </w:rPr>
              <w:t>15</w:t>
            </w:r>
          </w:p>
        </w:tc>
        <w:tc>
          <w:tcPr>
            <w:tcW w:w="1416" w:type="dxa"/>
            <w:gridSpan w:val="2"/>
            <w:shd w:val="clear" w:color="auto" w:fill="auto"/>
            <w:vAlign w:val="bottom"/>
          </w:tcPr>
          <w:p w:rsidR="0019670E" w:rsidRPr="00EA0CDD" w:rsidRDefault="0019670E" w:rsidP="00550BED">
            <w:pPr>
              <w:jc w:val="right"/>
              <w:rPr>
                <w:color w:val="000000"/>
                <w:sz w:val="20"/>
              </w:rPr>
            </w:pPr>
            <w:r w:rsidRPr="00EA0CDD">
              <w:rPr>
                <w:color w:val="000000"/>
                <w:sz w:val="20"/>
              </w:rPr>
              <w:t>480</w:t>
            </w:r>
          </w:p>
        </w:tc>
        <w:tc>
          <w:tcPr>
            <w:tcW w:w="1656" w:type="dxa"/>
            <w:shd w:val="clear" w:color="auto" w:fill="auto"/>
            <w:noWrap/>
            <w:vAlign w:val="bottom"/>
          </w:tcPr>
          <w:p w:rsidR="0019670E" w:rsidRPr="00EA0CDD" w:rsidRDefault="0019670E" w:rsidP="00550BED">
            <w:pPr>
              <w:jc w:val="right"/>
              <w:rPr>
                <w:color w:val="000000"/>
                <w:sz w:val="20"/>
              </w:rPr>
            </w:pPr>
            <w:r w:rsidRPr="00EA0CDD">
              <w:rPr>
                <w:color w:val="000000"/>
                <w:sz w:val="20"/>
              </w:rPr>
              <w:t>7200</w:t>
            </w:r>
          </w:p>
        </w:tc>
        <w:tc>
          <w:tcPr>
            <w:tcW w:w="1656" w:type="dxa"/>
            <w:shd w:val="clear" w:color="auto" w:fill="auto"/>
            <w:noWrap/>
            <w:vAlign w:val="bottom"/>
          </w:tcPr>
          <w:p w:rsidR="0019670E" w:rsidRPr="00EA0CDD" w:rsidRDefault="0019670E" w:rsidP="00550BED">
            <w:pPr>
              <w:rPr>
                <w:bCs/>
                <w:color w:val="000000"/>
                <w:sz w:val="20"/>
              </w:rPr>
            </w:pPr>
          </w:p>
        </w:tc>
        <w:tc>
          <w:tcPr>
            <w:tcW w:w="1896" w:type="dxa"/>
            <w:shd w:val="clear" w:color="auto" w:fill="auto"/>
            <w:noWrap/>
            <w:vAlign w:val="bottom"/>
          </w:tcPr>
          <w:p w:rsidR="0019670E" w:rsidRPr="00EA0CDD" w:rsidRDefault="0019670E" w:rsidP="00550BED">
            <w:pPr>
              <w:rPr>
                <w:color w:val="000000"/>
                <w:sz w:val="20"/>
              </w:rPr>
            </w:pPr>
            <w:r w:rsidRPr="00EA0CDD">
              <w:rPr>
                <w:color w:val="000000"/>
                <w:sz w:val="20"/>
              </w:rPr>
              <w:t xml:space="preserve">                               $864,000 </w:t>
            </w:r>
          </w:p>
        </w:tc>
      </w:tr>
      <w:tr w:rsidR="0019670E" w:rsidRPr="002A470F" w:rsidTr="00550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853" w:type="dxa"/>
            <w:shd w:val="clear" w:color="auto" w:fill="auto"/>
            <w:vAlign w:val="bottom"/>
          </w:tcPr>
          <w:p w:rsidR="0019670E" w:rsidRPr="00EA0CDD" w:rsidRDefault="0019670E" w:rsidP="00550BED">
            <w:pPr>
              <w:rPr>
                <w:color w:val="000000"/>
                <w:sz w:val="20"/>
              </w:rPr>
            </w:pPr>
            <w:r w:rsidRPr="00EA0CDD">
              <w:rPr>
                <w:color w:val="000000"/>
                <w:sz w:val="20"/>
              </w:rPr>
              <w:t>19.01(a)(2)</w:t>
            </w:r>
          </w:p>
        </w:tc>
        <w:tc>
          <w:tcPr>
            <w:tcW w:w="1523" w:type="dxa"/>
            <w:shd w:val="clear" w:color="auto" w:fill="auto"/>
            <w:vAlign w:val="bottom"/>
          </w:tcPr>
          <w:p w:rsidR="0019670E" w:rsidRPr="00EA0CDD" w:rsidRDefault="0019670E" w:rsidP="00550BED">
            <w:pPr>
              <w:jc w:val="right"/>
              <w:rPr>
                <w:color w:val="000000"/>
                <w:sz w:val="20"/>
              </w:rPr>
            </w:pPr>
            <w:r w:rsidRPr="00EA0CDD">
              <w:rPr>
                <w:color w:val="000000"/>
                <w:sz w:val="20"/>
              </w:rPr>
              <w:t>200</w:t>
            </w:r>
          </w:p>
        </w:tc>
        <w:tc>
          <w:tcPr>
            <w:tcW w:w="1256" w:type="dxa"/>
            <w:shd w:val="clear" w:color="auto" w:fill="auto"/>
            <w:noWrap/>
            <w:vAlign w:val="bottom"/>
          </w:tcPr>
          <w:p w:rsidR="0019670E" w:rsidRPr="00EA0CDD" w:rsidRDefault="0019670E" w:rsidP="00550BED">
            <w:pPr>
              <w:jc w:val="right"/>
              <w:rPr>
                <w:color w:val="000000"/>
                <w:sz w:val="20"/>
              </w:rPr>
            </w:pPr>
            <w:r w:rsidRPr="00EA0CDD">
              <w:rPr>
                <w:color w:val="000000"/>
                <w:sz w:val="20"/>
              </w:rPr>
              <w:t>30</w:t>
            </w:r>
          </w:p>
        </w:tc>
        <w:tc>
          <w:tcPr>
            <w:tcW w:w="1416" w:type="dxa"/>
            <w:gridSpan w:val="2"/>
            <w:shd w:val="clear" w:color="auto" w:fill="auto"/>
            <w:vAlign w:val="bottom"/>
          </w:tcPr>
          <w:p w:rsidR="0019670E" w:rsidRPr="00EA0CDD" w:rsidRDefault="0019670E" w:rsidP="00550BED">
            <w:pPr>
              <w:jc w:val="right"/>
              <w:rPr>
                <w:color w:val="000000"/>
                <w:sz w:val="20"/>
              </w:rPr>
            </w:pPr>
            <w:r w:rsidRPr="00EA0CDD">
              <w:rPr>
                <w:color w:val="000000"/>
                <w:sz w:val="20"/>
              </w:rPr>
              <w:t>2000</w:t>
            </w:r>
          </w:p>
        </w:tc>
        <w:tc>
          <w:tcPr>
            <w:tcW w:w="1656" w:type="dxa"/>
            <w:shd w:val="clear" w:color="auto" w:fill="auto"/>
            <w:noWrap/>
            <w:vAlign w:val="bottom"/>
          </w:tcPr>
          <w:p w:rsidR="0019670E" w:rsidRPr="00EA0CDD" w:rsidRDefault="0019670E" w:rsidP="00550BED">
            <w:pPr>
              <w:jc w:val="right"/>
              <w:rPr>
                <w:color w:val="000000"/>
                <w:sz w:val="20"/>
              </w:rPr>
            </w:pPr>
            <w:r w:rsidRPr="00EA0CDD">
              <w:rPr>
                <w:color w:val="000000"/>
                <w:sz w:val="20"/>
              </w:rPr>
              <w:t>60000</w:t>
            </w:r>
          </w:p>
        </w:tc>
        <w:tc>
          <w:tcPr>
            <w:tcW w:w="1656" w:type="dxa"/>
            <w:shd w:val="clear" w:color="auto" w:fill="auto"/>
            <w:noWrap/>
            <w:vAlign w:val="bottom"/>
          </w:tcPr>
          <w:p w:rsidR="0019670E" w:rsidRPr="00EA0CDD" w:rsidRDefault="0019670E" w:rsidP="00550BED">
            <w:pPr>
              <w:jc w:val="right"/>
              <w:rPr>
                <w:bCs/>
                <w:color w:val="000000"/>
                <w:sz w:val="20"/>
              </w:rPr>
            </w:pPr>
          </w:p>
        </w:tc>
        <w:tc>
          <w:tcPr>
            <w:tcW w:w="1896" w:type="dxa"/>
            <w:shd w:val="clear" w:color="auto" w:fill="auto"/>
            <w:noWrap/>
            <w:vAlign w:val="bottom"/>
          </w:tcPr>
          <w:p w:rsidR="0019670E" w:rsidRPr="00EA0CDD" w:rsidRDefault="0019670E" w:rsidP="00550BED">
            <w:pPr>
              <w:rPr>
                <w:color w:val="000000"/>
                <w:sz w:val="20"/>
              </w:rPr>
            </w:pPr>
            <w:r w:rsidRPr="00EA0CDD">
              <w:rPr>
                <w:color w:val="000000"/>
                <w:sz w:val="20"/>
              </w:rPr>
              <w:t xml:space="preserve">                            $7,200,000 </w:t>
            </w:r>
          </w:p>
        </w:tc>
      </w:tr>
      <w:tr w:rsidR="0019670E" w:rsidRPr="002A470F" w:rsidTr="00550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853" w:type="dxa"/>
            <w:shd w:val="clear" w:color="auto" w:fill="auto"/>
            <w:vAlign w:val="bottom"/>
          </w:tcPr>
          <w:p w:rsidR="0019670E" w:rsidRPr="00EA0CDD" w:rsidRDefault="0019670E" w:rsidP="00550BED">
            <w:pPr>
              <w:rPr>
                <w:color w:val="000000"/>
                <w:sz w:val="20"/>
              </w:rPr>
            </w:pPr>
            <w:r w:rsidRPr="00EA0CDD">
              <w:rPr>
                <w:color w:val="000000"/>
                <w:sz w:val="20"/>
              </w:rPr>
              <w:t>19.01(a)(2)</w:t>
            </w:r>
          </w:p>
        </w:tc>
        <w:tc>
          <w:tcPr>
            <w:tcW w:w="1523" w:type="dxa"/>
            <w:shd w:val="clear" w:color="auto" w:fill="auto"/>
            <w:vAlign w:val="bottom"/>
          </w:tcPr>
          <w:p w:rsidR="0019670E" w:rsidRPr="00EA0CDD" w:rsidRDefault="0019670E" w:rsidP="00550BED">
            <w:pPr>
              <w:jc w:val="right"/>
              <w:rPr>
                <w:color w:val="000000"/>
                <w:sz w:val="20"/>
              </w:rPr>
            </w:pPr>
            <w:r w:rsidRPr="00EA0CDD">
              <w:rPr>
                <w:color w:val="000000"/>
                <w:sz w:val="20"/>
              </w:rPr>
              <w:t>200</w:t>
            </w:r>
          </w:p>
        </w:tc>
        <w:tc>
          <w:tcPr>
            <w:tcW w:w="1256" w:type="dxa"/>
            <w:shd w:val="clear" w:color="auto" w:fill="auto"/>
            <w:noWrap/>
            <w:vAlign w:val="bottom"/>
          </w:tcPr>
          <w:p w:rsidR="0019670E" w:rsidRPr="00EA0CDD" w:rsidRDefault="0019670E" w:rsidP="00550BED">
            <w:pPr>
              <w:jc w:val="right"/>
              <w:rPr>
                <w:color w:val="000000"/>
                <w:sz w:val="20"/>
              </w:rPr>
            </w:pPr>
            <w:r w:rsidRPr="00EA0CDD">
              <w:rPr>
                <w:color w:val="000000"/>
                <w:sz w:val="20"/>
              </w:rPr>
              <w:t>20</w:t>
            </w:r>
          </w:p>
        </w:tc>
        <w:tc>
          <w:tcPr>
            <w:tcW w:w="1416" w:type="dxa"/>
            <w:gridSpan w:val="2"/>
            <w:shd w:val="clear" w:color="auto" w:fill="auto"/>
            <w:vAlign w:val="bottom"/>
          </w:tcPr>
          <w:p w:rsidR="0019670E" w:rsidRPr="00EA0CDD" w:rsidRDefault="0019670E" w:rsidP="00550BED">
            <w:pPr>
              <w:jc w:val="right"/>
              <w:rPr>
                <w:color w:val="000000"/>
                <w:sz w:val="20"/>
              </w:rPr>
            </w:pPr>
            <w:r w:rsidRPr="00EA0CDD">
              <w:rPr>
                <w:color w:val="000000"/>
                <w:sz w:val="20"/>
              </w:rPr>
              <w:t>2000</w:t>
            </w:r>
          </w:p>
        </w:tc>
        <w:tc>
          <w:tcPr>
            <w:tcW w:w="1656" w:type="dxa"/>
            <w:shd w:val="clear" w:color="auto" w:fill="auto"/>
            <w:noWrap/>
            <w:vAlign w:val="bottom"/>
          </w:tcPr>
          <w:p w:rsidR="0019670E" w:rsidRPr="00EA0CDD" w:rsidRDefault="0019670E" w:rsidP="00550BED">
            <w:pPr>
              <w:jc w:val="right"/>
              <w:rPr>
                <w:color w:val="000000"/>
                <w:sz w:val="20"/>
              </w:rPr>
            </w:pPr>
            <w:r w:rsidRPr="00EA0CDD">
              <w:rPr>
                <w:color w:val="000000"/>
                <w:sz w:val="20"/>
              </w:rPr>
              <w:t>40000</w:t>
            </w:r>
          </w:p>
        </w:tc>
        <w:tc>
          <w:tcPr>
            <w:tcW w:w="1656" w:type="dxa"/>
            <w:shd w:val="clear" w:color="auto" w:fill="auto"/>
            <w:noWrap/>
            <w:vAlign w:val="bottom"/>
          </w:tcPr>
          <w:p w:rsidR="0019670E" w:rsidRPr="00EA0CDD" w:rsidRDefault="0019670E" w:rsidP="00550BED">
            <w:pPr>
              <w:jc w:val="right"/>
              <w:rPr>
                <w:bCs/>
                <w:color w:val="000000"/>
                <w:sz w:val="20"/>
              </w:rPr>
            </w:pPr>
          </w:p>
        </w:tc>
        <w:tc>
          <w:tcPr>
            <w:tcW w:w="1896" w:type="dxa"/>
            <w:shd w:val="clear" w:color="auto" w:fill="auto"/>
            <w:noWrap/>
            <w:vAlign w:val="bottom"/>
          </w:tcPr>
          <w:p w:rsidR="0019670E" w:rsidRPr="00EA0CDD" w:rsidRDefault="0019670E" w:rsidP="00550BED">
            <w:pPr>
              <w:rPr>
                <w:color w:val="000000"/>
                <w:sz w:val="20"/>
              </w:rPr>
            </w:pPr>
            <w:r w:rsidRPr="00EA0CDD">
              <w:rPr>
                <w:color w:val="000000"/>
                <w:sz w:val="20"/>
              </w:rPr>
              <w:t xml:space="preserve">                            $4,800,000 </w:t>
            </w:r>
          </w:p>
        </w:tc>
      </w:tr>
      <w:tr w:rsidR="0019670E" w:rsidRPr="002A470F" w:rsidTr="00550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853" w:type="dxa"/>
            <w:shd w:val="clear" w:color="auto" w:fill="auto"/>
            <w:vAlign w:val="bottom"/>
          </w:tcPr>
          <w:p w:rsidR="0019670E" w:rsidRPr="00EA0CDD" w:rsidRDefault="0019670E" w:rsidP="00550BED">
            <w:pPr>
              <w:rPr>
                <w:color w:val="000000"/>
                <w:sz w:val="20"/>
              </w:rPr>
            </w:pPr>
            <w:r w:rsidRPr="00EA0CDD">
              <w:rPr>
                <w:color w:val="000000"/>
                <w:sz w:val="20"/>
              </w:rPr>
              <w:t>19.01(a)(3)-304</w:t>
            </w:r>
          </w:p>
        </w:tc>
        <w:tc>
          <w:tcPr>
            <w:tcW w:w="1523" w:type="dxa"/>
            <w:shd w:val="clear" w:color="auto" w:fill="auto"/>
            <w:vAlign w:val="bottom"/>
          </w:tcPr>
          <w:p w:rsidR="0019670E" w:rsidRPr="00EA0CDD" w:rsidRDefault="0019670E" w:rsidP="00550BED">
            <w:pPr>
              <w:jc w:val="right"/>
              <w:rPr>
                <w:color w:val="000000"/>
                <w:sz w:val="20"/>
              </w:rPr>
            </w:pPr>
            <w:r w:rsidRPr="00EA0CDD">
              <w:rPr>
                <w:color w:val="000000"/>
                <w:sz w:val="20"/>
              </w:rPr>
              <w:t>400</w:t>
            </w:r>
          </w:p>
        </w:tc>
        <w:tc>
          <w:tcPr>
            <w:tcW w:w="1256" w:type="dxa"/>
            <w:shd w:val="clear" w:color="auto" w:fill="auto"/>
            <w:noWrap/>
            <w:vAlign w:val="bottom"/>
          </w:tcPr>
          <w:p w:rsidR="0019670E" w:rsidRPr="00EA0CDD" w:rsidRDefault="0019670E" w:rsidP="00550BED">
            <w:pPr>
              <w:jc w:val="right"/>
              <w:rPr>
                <w:color w:val="000000"/>
                <w:sz w:val="20"/>
              </w:rPr>
            </w:pPr>
            <w:r w:rsidRPr="00EA0CDD">
              <w:rPr>
                <w:color w:val="000000"/>
                <w:sz w:val="20"/>
              </w:rPr>
              <w:t>1</w:t>
            </w:r>
          </w:p>
        </w:tc>
        <w:tc>
          <w:tcPr>
            <w:tcW w:w="1416" w:type="dxa"/>
            <w:gridSpan w:val="2"/>
            <w:shd w:val="clear" w:color="auto" w:fill="auto"/>
            <w:vAlign w:val="bottom"/>
          </w:tcPr>
          <w:p w:rsidR="0019670E" w:rsidRPr="00EA0CDD" w:rsidRDefault="0019670E" w:rsidP="00550BED">
            <w:pPr>
              <w:jc w:val="right"/>
              <w:rPr>
                <w:color w:val="000000"/>
                <w:sz w:val="20"/>
              </w:rPr>
            </w:pPr>
            <w:r w:rsidRPr="00EA0CDD">
              <w:rPr>
                <w:color w:val="000000"/>
                <w:sz w:val="20"/>
              </w:rPr>
              <w:t>20800</w:t>
            </w:r>
          </w:p>
        </w:tc>
        <w:tc>
          <w:tcPr>
            <w:tcW w:w="1656" w:type="dxa"/>
            <w:shd w:val="clear" w:color="auto" w:fill="auto"/>
            <w:noWrap/>
            <w:vAlign w:val="bottom"/>
          </w:tcPr>
          <w:p w:rsidR="0019670E" w:rsidRPr="00EA0CDD" w:rsidRDefault="0019670E" w:rsidP="00550BED">
            <w:pPr>
              <w:jc w:val="right"/>
              <w:rPr>
                <w:color w:val="000000"/>
                <w:sz w:val="20"/>
              </w:rPr>
            </w:pPr>
            <w:r w:rsidRPr="00EA0CDD">
              <w:rPr>
                <w:color w:val="000000"/>
                <w:sz w:val="20"/>
              </w:rPr>
              <w:t>20800</w:t>
            </w:r>
          </w:p>
        </w:tc>
        <w:tc>
          <w:tcPr>
            <w:tcW w:w="1656" w:type="dxa"/>
            <w:vMerge w:val="restart"/>
            <w:shd w:val="clear" w:color="auto" w:fill="auto"/>
            <w:noWrap/>
            <w:vAlign w:val="bottom"/>
          </w:tcPr>
          <w:p w:rsidR="0019670E" w:rsidRPr="00EA0CDD" w:rsidRDefault="0019670E" w:rsidP="00550BED">
            <w:pPr>
              <w:jc w:val="center"/>
              <w:rPr>
                <w:bCs/>
                <w:color w:val="000000"/>
                <w:sz w:val="20"/>
              </w:rPr>
            </w:pPr>
            <w:r w:rsidRPr="00EA0CDD">
              <w:rPr>
                <w:bCs/>
                <w:color w:val="000000"/>
                <w:sz w:val="20"/>
              </w:rPr>
              <w:t>29050</w:t>
            </w:r>
          </w:p>
          <w:p w:rsidR="0019670E" w:rsidRPr="00EA0CDD" w:rsidRDefault="0019670E" w:rsidP="00550BED">
            <w:pPr>
              <w:jc w:val="right"/>
              <w:rPr>
                <w:bCs/>
                <w:color w:val="000000"/>
                <w:sz w:val="20"/>
              </w:rPr>
            </w:pPr>
          </w:p>
        </w:tc>
        <w:tc>
          <w:tcPr>
            <w:tcW w:w="1896" w:type="dxa"/>
            <w:shd w:val="clear" w:color="auto" w:fill="auto"/>
            <w:noWrap/>
            <w:vAlign w:val="bottom"/>
          </w:tcPr>
          <w:p w:rsidR="0019670E" w:rsidRPr="00EA0CDD" w:rsidRDefault="0019670E" w:rsidP="00550BED">
            <w:pPr>
              <w:rPr>
                <w:color w:val="000000"/>
                <w:sz w:val="20"/>
              </w:rPr>
            </w:pPr>
            <w:r w:rsidRPr="00EA0CDD">
              <w:rPr>
                <w:color w:val="000000"/>
                <w:sz w:val="20"/>
              </w:rPr>
              <w:t xml:space="preserve">                            $2,496,000 </w:t>
            </w:r>
          </w:p>
        </w:tc>
      </w:tr>
      <w:tr w:rsidR="0019670E" w:rsidRPr="002A470F" w:rsidTr="00550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853" w:type="dxa"/>
            <w:shd w:val="clear" w:color="auto" w:fill="auto"/>
            <w:vAlign w:val="bottom"/>
          </w:tcPr>
          <w:p w:rsidR="0019670E" w:rsidRPr="00EA0CDD" w:rsidRDefault="0019670E" w:rsidP="00550BED">
            <w:pPr>
              <w:rPr>
                <w:color w:val="000000"/>
                <w:sz w:val="20"/>
              </w:rPr>
            </w:pPr>
            <w:r w:rsidRPr="00EA0CDD">
              <w:rPr>
                <w:color w:val="000000"/>
                <w:sz w:val="20"/>
              </w:rPr>
              <w:t>19.01(a)(3)-204</w:t>
            </w:r>
          </w:p>
        </w:tc>
        <w:tc>
          <w:tcPr>
            <w:tcW w:w="1523" w:type="dxa"/>
            <w:shd w:val="clear" w:color="auto" w:fill="auto"/>
            <w:vAlign w:val="bottom"/>
          </w:tcPr>
          <w:p w:rsidR="0019670E" w:rsidRPr="00EA0CDD" w:rsidRDefault="0019670E" w:rsidP="00550BED">
            <w:pPr>
              <w:jc w:val="right"/>
              <w:rPr>
                <w:color w:val="000000"/>
                <w:sz w:val="20"/>
              </w:rPr>
            </w:pPr>
            <w:r w:rsidRPr="00EA0CDD">
              <w:rPr>
                <w:color w:val="000000"/>
                <w:sz w:val="20"/>
              </w:rPr>
              <w:t>400</w:t>
            </w:r>
          </w:p>
        </w:tc>
        <w:tc>
          <w:tcPr>
            <w:tcW w:w="1256" w:type="dxa"/>
            <w:shd w:val="clear" w:color="auto" w:fill="auto"/>
            <w:noWrap/>
            <w:vAlign w:val="bottom"/>
          </w:tcPr>
          <w:p w:rsidR="0019670E" w:rsidRPr="00EA0CDD" w:rsidRDefault="0019670E" w:rsidP="00550BED">
            <w:pPr>
              <w:jc w:val="right"/>
              <w:rPr>
                <w:color w:val="000000"/>
                <w:sz w:val="20"/>
              </w:rPr>
            </w:pPr>
            <w:r w:rsidRPr="00EA0CDD">
              <w:rPr>
                <w:color w:val="000000"/>
                <w:sz w:val="20"/>
              </w:rPr>
              <w:t>2</w:t>
            </w:r>
          </w:p>
        </w:tc>
        <w:tc>
          <w:tcPr>
            <w:tcW w:w="1416" w:type="dxa"/>
            <w:gridSpan w:val="2"/>
            <w:shd w:val="clear" w:color="auto" w:fill="auto"/>
            <w:vAlign w:val="bottom"/>
          </w:tcPr>
          <w:p w:rsidR="0019670E" w:rsidRPr="00EA0CDD" w:rsidRDefault="0019670E" w:rsidP="00550BED">
            <w:pPr>
              <w:jc w:val="right"/>
              <w:rPr>
                <w:color w:val="000000"/>
                <w:sz w:val="20"/>
              </w:rPr>
            </w:pPr>
            <w:r w:rsidRPr="00EA0CDD">
              <w:rPr>
                <w:color w:val="000000"/>
                <w:sz w:val="20"/>
              </w:rPr>
              <w:t>4800</w:t>
            </w:r>
          </w:p>
        </w:tc>
        <w:tc>
          <w:tcPr>
            <w:tcW w:w="1656" w:type="dxa"/>
            <w:shd w:val="clear" w:color="auto" w:fill="auto"/>
            <w:noWrap/>
            <w:vAlign w:val="bottom"/>
          </w:tcPr>
          <w:p w:rsidR="0019670E" w:rsidRPr="00EA0CDD" w:rsidRDefault="0019670E" w:rsidP="00550BED">
            <w:pPr>
              <w:jc w:val="right"/>
              <w:rPr>
                <w:color w:val="000000"/>
                <w:sz w:val="20"/>
              </w:rPr>
            </w:pPr>
            <w:r w:rsidRPr="00EA0CDD">
              <w:rPr>
                <w:color w:val="000000"/>
                <w:sz w:val="20"/>
              </w:rPr>
              <w:t>9600</w:t>
            </w:r>
          </w:p>
        </w:tc>
        <w:tc>
          <w:tcPr>
            <w:tcW w:w="1656" w:type="dxa"/>
            <w:vMerge/>
            <w:shd w:val="clear" w:color="auto" w:fill="auto"/>
            <w:noWrap/>
            <w:vAlign w:val="bottom"/>
          </w:tcPr>
          <w:p w:rsidR="0019670E" w:rsidRPr="00EA0CDD" w:rsidRDefault="0019670E" w:rsidP="00550BED">
            <w:pPr>
              <w:jc w:val="right"/>
              <w:rPr>
                <w:bCs/>
                <w:color w:val="000000"/>
                <w:sz w:val="20"/>
              </w:rPr>
            </w:pPr>
          </w:p>
        </w:tc>
        <w:tc>
          <w:tcPr>
            <w:tcW w:w="1896" w:type="dxa"/>
            <w:shd w:val="clear" w:color="auto" w:fill="auto"/>
            <w:noWrap/>
            <w:vAlign w:val="bottom"/>
          </w:tcPr>
          <w:p w:rsidR="0019670E" w:rsidRPr="00EA0CDD" w:rsidRDefault="0019670E" w:rsidP="00550BED">
            <w:pPr>
              <w:rPr>
                <w:color w:val="000000"/>
                <w:sz w:val="20"/>
              </w:rPr>
            </w:pPr>
            <w:r w:rsidRPr="00EA0CDD">
              <w:rPr>
                <w:color w:val="000000"/>
                <w:sz w:val="20"/>
              </w:rPr>
              <w:t xml:space="preserve">                            $1,152,000 </w:t>
            </w:r>
          </w:p>
        </w:tc>
      </w:tr>
    </w:tbl>
    <w:p w:rsidR="0019670E" w:rsidRPr="002A470F" w:rsidRDefault="0019670E" w:rsidP="0019670E">
      <w:pPr>
        <w:pStyle w:val="Title"/>
        <w:tabs>
          <w:tab w:val="center" w:pos="7200"/>
        </w:tabs>
        <w:spacing w:after="480"/>
        <w:jc w:val="left"/>
        <w:rPr>
          <w:b w:val="0"/>
          <w:sz w:val="24"/>
          <w:szCs w:val="24"/>
        </w:rPr>
      </w:pPr>
    </w:p>
    <w:p w:rsidR="00585718" w:rsidRDefault="00585718">
      <w:bookmarkStart w:id="0" w:name="_GoBack"/>
      <w:bookmarkEnd w:id="0"/>
    </w:p>
    <w:sectPr w:rsidR="00585718" w:rsidSect="005857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CE7" w:rsidRDefault="00FA7CE7" w:rsidP="00FA7CE7">
      <w:r>
        <w:separator/>
      </w:r>
    </w:p>
  </w:endnote>
  <w:endnote w:type="continuationSeparator" w:id="0">
    <w:p w:rsidR="00FA7CE7" w:rsidRDefault="00FA7CE7" w:rsidP="00FA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4C4" w:rsidRDefault="0082244C">
    <w:pPr>
      <w:pStyle w:val="Footer"/>
      <w:jc w:val="center"/>
    </w:pPr>
    <w:r>
      <w:fldChar w:fldCharType="begin"/>
    </w:r>
    <w:r>
      <w:instrText xml:space="preserve"> PAGE   \* MERGEFORMAT </w:instrText>
    </w:r>
    <w:r>
      <w:fldChar w:fldCharType="separate"/>
    </w:r>
    <w:r w:rsidR="0019670E">
      <w:rPr>
        <w:noProof/>
      </w:rPr>
      <w:t>12</w:t>
    </w:r>
    <w:r>
      <w:fldChar w:fldCharType="end"/>
    </w:r>
  </w:p>
  <w:p w:rsidR="003C74C4" w:rsidRDefault="00196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CE7" w:rsidRDefault="00FA7CE7" w:rsidP="00FA7CE7">
      <w:r>
        <w:separator/>
      </w:r>
    </w:p>
  </w:footnote>
  <w:footnote w:type="continuationSeparator" w:id="0">
    <w:p w:rsidR="00FA7CE7" w:rsidRDefault="00FA7CE7" w:rsidP="00FA7CE7">
      <w:r>
        <w:continuationSeparator/>
      </w:r>
    </w:p>
  </w:footnote>
  <w:footnote w:id="1">
    <w:p w:rsidR="00FA7CE7" w:rsidRPr="0071393A" w:rsidRDefault="00FA7CE7" w:rsidP="00FA7CE7">
      <w:pPr>
        <w:pStyle w:val="PlainText"/>
        <w:rPr>
          <w:rFonts w:ascii="Times New Roman" w:hAnsi="Times New Roman"/>
          <w:color w:val="auto"/>
          <w:sz w:val="20"/>
          <w:szCs w:val="20"/>
        </w:rPr>
      </w:pPr>
      <w:r w:rsidRPr="0071393A">
        <w:rPr>
          <w:rStyle w:val="FootnoteReference"/>
          <w:rFonts w:ascii="Times New Roman" w:hAnsi="Times New Roman"/>
          <w:color w:val="auto"/>
          <w:sz w:val="20"/>
          <w:szCs w:val="20"/>
        </w:rPr>
        <w:footnoteRef/>
      </w:r>
      <w:r w:rsidRPr="0071393A">
        <w:rPr>
          <w:rFonts w:ascii="Times New Roman" w:hAnsi="Times New Roman"/>
          <w:color w:val="auto"/>
          <w:sz w:val="20"/>
          <w:szCs w:val="20"/>
        </w:rPr>
        <w:t xml:space="preserve"> </w:t>
      </w:r>
      <w:r w:rsidRPr="0071393A">
        <w:rPr>
          <w:rFonts w:ascii="Times New Roman" w:hAnsi="Times New Roman"/>
          <w:i/>
          <w:color w:val="auto"/>
          <w:sz w:val="20"/>
          <w:szCs w:val="20"/>
        </w:rPr>
        <w:t>See</w:t>
      </w:r>
      <w:r w:rsidRPr="0071393A">
        <w:rPr>
          <w:rFonts w:ascii="Times New Roman" w:hAnsi="Times New Roman"/>
          <w:color w:val="auto"/>
          <w:sz w:val="20"/>
          <w:szCs w:val="20"/>
        </w:rPr>
        <w:t xml:space="preserve"> Dodd-Frank Wall Street Reform and Consumer Protection Act, Pub. </w:t>
      </w:r>
      <w:proofErr w:type="gramStart"/>
      <w:r w:rsidRPr="0071393A">
        <w:rPr>
          <w:rFonts w:ascii="Times New Roman" w:hAnsi="Times New Roman"/>
          <w:color w:val="auto"/>
          <w:sz w:val="20"/>
          <w:szCs w:val="20"/>
        </w:rPr>
        <w:t>L. No. 111-203, 124 Stat. 1376 (2010).</w:t>
      </w:r>
      <w:proofErr w:type="gramEnd"/>
      <w:r w:rsidRPr="0071393A">
        <w:rPr>
          <w:rFonts w:ascii="Times New Roman" w:hAnsi="Times New Roman"/>
          <w:color w:val="auto"/>
          <w:sz w:val="20"/>
          <w:szCs w:val="20"/>
        </w:rPr>
        <w:t xml:space="preserve"> </w:t>
      </w:r>
    </w:p>
    <w:p w:rsidR="00FA7CE7" w:rsidRPr="0071393A" w:rsidRDefault="00FA7CE7" w:rsidP="00FA7CE7">
      <w:pPr>
        <w:pStyle w:val="PlainText"/>
        <w:rPr>
          <w:rFonts w:ascii="Times New Roman" w:hAnsi="Times New Roman"/>
          <w:color w:val="auto"/>
          <w:sz w:val="20"/>
          <w:szCs w:val="20"/>
        </w:rPr>
      </w:pPr>
      <w:r w:rsidRPr="0071393A">
        <w:rPr>
          <w:rFonts w:ascii="Times New Roman" w:hAnsi="Times New Roman"/>
          <w:color w:val="auto"/>
          <w:sz w:val="20"/>
          <w:szCs w:val="20"/>
        </w:rPr>
        <w:t xml:space="preserve"> </w:t>
      </w:r>
    </w:p>
  </w:footnote>
  <w:footnote w:id="2">
    <w:p w:rsidR="00FA7CE7" w:rsidRPr="0071393A" w:rsidRDefault="00FA7CE7" w:rsidP="00FA7CE7">
      <w:pPr>
        <w:pStyle w:val="FootnoteText"/>
        <w:rPr>
          <w:szCs w:val="20"/>
        </w:rPr>
      </w:pPr>
      <w:r w:rsidRPr="0071393A">
        <w:rPr>
          <w:rStyle w:val="FootnoteReference"/>
          <w:szCs w:val="20"/>
        </w:rPr>
        <w:footnoteRef/>
      </w:r>
      <w:r w:rsidRPr="0071393A">
        <w:rPr>
          <w:szCs w:val="20"/>
        </w:rPr>
        <w:t xml:space="preserve"> </w:t>
      </w:r>
      <w:proofErr w:type="gramStart"/>
      <w:r w:rsidRPr="0071393A">
        <w:rPr>
          <w:szCs w:val="20"/>
        </w:rPr>
        <w:t xml:space="preserve">7 U.S.C. 1 </w:t>
      </w:r>
      <w:r w:rsidRPr="0071393A">
        <w:rPr>
          <w:i/>
          <w:szCs w:val="20"/>
        </w:rPr>
        <w:t>et seq.</w:t>
      </w:r>
      <w:proofErr w:type="gramEnd"/>
    </w:p>
    <w:p w:rsidR="00FA7CE7" w:rsidRPr="0071393A" w:rsidRDefault="00FA7CE7" w:rsidP="00FA7CE7">
      <w:pPr>
        <w:pStyle w:val="FootnoteText"/>
        <w:rPr>
          <w:szCs w:val="20"/>
        </w:rPr>
      </w:pPr>
    </w:p>
  </w:footnote>
  <w:footnote w:id="3">
    <w:p w:rsidR="00FA7CE7" w:rsidRPr="0071393A" w:rsidRDefault="00FA7CE7" w:rsidP="00FA7CE7">
      <w:pPr>
        <w:pStyle w:val="FootnoteText"/>
        <w:rPr>
          <w:szCs w:val="20"/>
        </w:rPr>
      </w:pPr>
      <w:r w:rsidRPr="0071393A">
        <w:rPr>
          <w:rStyle w:val="FootnoteReference"/>
          <w:szCs w:val="20"/>
        </w:rPr>
        <w:footnoteRef/>
      </w:r>
      <w:r w:rsidRPr="0071393A">
        <w:rPr>
          <w:szCs w:val="20"/>
        </w:rPr>
        <w:t xml:space="preserve"> Title XIII of the Food, Conservation and Energy Act of 2008, Pub. L. No. 110-246, 122 Stat. 1624 (June 18, 2008).</w:t>
      </w:r>
    </w:p>
    <w:p w:rsidR="00FA7CE7" w:rsidRPr="0071393A" w:rsidRDefault="00FA7CE7" w:rsidP="00FA7CE7">
      <w:pPr>
        <w:pStyle w:val="FootnoteText"/>
        <w:rPr>
          <w:szCs w:val="20"/>
        </w:rPr>
      </w:pPr>
    </w:p>
  </w:footnote>
  <w:footnote w:id="4">
    <w:p w:rsidR="00FA7CE7" w:rsidRPr="0071393A" w:rsidRDefault="00FA7CE7" w:rsidP="00FA7CE7">
      <w:pPr>
        <w:pStyle w:val="FootnoteText"/>
        <w:rPr>
          <w:szCs w:val="20"/>
        </w:rPr>
      </w:pPr>
      <w:r w:rsidRPr="0071393A">
        <w:rPr>
          <w:rStyle w:val="FootnoteReference"/>
          <w:szCs w:val="20"/>
        </w:rPr>
        <w:footnoteRef/>
      </w:r>
      <w:r w:rsidRPr="0071393A">
        <w:rPr>
          <w:szCs w:val="20"/>
        </w:rPr>
        <w:t xml:space="preserve"> The Commission’s estimates concerning wage rates are based on 2011 salary information for the securities industry compiled by the Securities Industry and Financial Markets Association (“SIFMA”). The Commission is using a figure of $120 per hour, which is derived from a weighted average of salaries across different professions from the SIFMA Report on Management &amp; Professional Earnings in the Securities Industry 2011, modified to account for an 1800-hour work-year, adjusted to account for the average rate of inflation in 2012.  This figure was then multiplied by 1.33 to account for benefits   and further by 1.5 to account for overhead and administrative expenses.  The Commission anticipates that compliance with the provisions would require the work of an information technology professional; a compliance manager; an accounting professional; and an associate general counsel. Thus, the wage rate is a weighted national average of salary for professionals with the following titles (and their relative weight); “programmer (average of senior and non-senior)” (15% weight), “senior accountant” (15%) “</w:t>
      </w:r>
      <w:proofErr w:type="gramStart"/>
      <w:r w:rsidRPr="0071393A">
        <w:rPr>
          <w:szCs w:val="20"/>
        </w:rPr>
        <w:t>compliance</w:t>
      </w:r>
      <w:proofErr w:type="gramEnd"/>
      <w:r w:rsidRPr="0071393A">
        <w:rPr>
          <w:szCs w:val="20"/>
        </w:rPr>
        <w:t xml:space="preserve"> manager” (30%), and “assistant/associate general counsel” (40%).  All monetary estimates have been rounded to the nearest hundred dollars.  </w:t>
      </w:r>
      <w:r w:rsidR="0082244C">
        <w:rPr>
          <w:szCs w:val="20"/>
        </w:rPr>
        <w:t>The sum of the parts may not equal the total amount due to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B4C28"/>
    <w:multiLevelType w:val="hybridMultilevel"/>
    <w:tmpl w:val="F94ED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C75B3"/>
    <w:multiLevelType w:val="hybridMultilevel"/>
    <w:tmpl w:val="2B0E3B8E"/>
    <w:lvl w:ilvl="0" w:tplc="75442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05D9E"/>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80B18"/>
    <w:multiLevelType w:val="hybridMultilevel"/>
    <w:tmpl w:val="789E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4D35F3"/>
    <w:multiLevelType w:val="hybridMultilevel"/>
    <w:tmpl w:val="FE96479E"/>
    <w:lvl w:ilvl="0" w:tplc="F9141E6A">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CE7"/>
    <w:rsid w:val="000576BF"/>
    <w:rsid w:val="00072761"/>
    <w:rsid w:val="000803D6"/>
    <w:rsid w:val="0019670E"/>
    <w:rsid w:val="001F056F"/>
    <w:rsid w:val="00292AC8"/>
    <w:rsid w:val="00305699"/>
    <w:rsid w:val="00307E70"/>
    <w:rsid w:val="003259F7"/>
    <w:rsid w:val="00491947"/>
    <w:rsid w:val="00585718"/>
    <w:rsid w:val="00607D38"/>
    <w:rsid w:val="006243BC"/>
    <w:rsid w:val="0063622E"/>
    <w:rsid w:val="00667CD6"/>
    <w:rsid w:val="007029A9"/>
    <w:rsid w:val="0082244C"/>
    <w:rsid w:val="009309EC"/>
    <w:rsid w:val="00A05FC2"/>
    <w:rsid w:val="00A73DF0"/>
    <w:rsid w:val="00B350EE"/>
    <w:rsid w:val="00B443B9"/>
    <w:rsid w:val="00B91704"/>
    <w:rsid w:val="00BE6AC8"/>
    <w:rsid w:val="00C23A3C"/>
    <w:rsid w:val="00D27AE8"/>
    <w:rsid w:val="00DB1AD1"/>
    <w:rsid w:val="00DB7297"/>
    <w:rsid w:val="00E87F90"/>
    <w:rsid w:val="00F378A6"/>
    <w:rsid w:val="00FA7CE7"/>
    <w:rsid w:val="00FB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CE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iPriority w:val="99"/>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B443B9"/>
    <w:rPr>
      <w:rFonts w:ascii="Times New Roman" w:hAnsi="Times New Roman"/>
      <w:sz w:val="20"/>
    </w:rPr>
  </w:style>
  <w:style w:type="paragraph" w:styleId="ListParagraph">
    <w:name w:val="List Paragraph"/>
    <w:basedOn w:val="Normal"/>
    <w:uiPriority w:val="34"/>
    <w:qFormat/>
    <w:rsid w:val="00FA7CE7"/>
    <w:pPr>
      <w:ind w:left="720"/>
      <w:contextualSpacing/>
    </w:pPr>
  </w:style>
  <w:style w:type="character" w:styleId="FootnoteReference">
    <w:name w:val="footnote reference"/>
    <w:aliases w:val="fr,Style 19,Style 16,Style 35"/>
    <w:uiPriority w:val="99"/>
    <w:rsid w:val="00FA7CE7"/>
    <w:rPr>
      <w:vertAlign w:val="superscript"/>
    </w:rPr>
  </w:style>
  <w:style w:type="paragraph" w:styleId="PlainText">
    <w:name w:val="Plain Text"/>
    <w:basedOn w:val="Normal"/>
    <w:link w:val="PlainTextChar"/>
    <w:uiPriority w:val="99"/>
    <w:unhideWhenUsed/>
    <w:rsid w:val="00FA7CE7"/>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A7CE7"/>
    <w:rPr>
      <w:rFonts w:ascii="Calibri" w:eastAsia="Times New Roman" w:hAnsi="Calibri" w:cs="Times New Roman"/>
      <w:color w:val="1F497D"/>
      <w:szCs w:val="21"/>
    </w:rPr>
  </w:style>
  <w:style w:type="paragraph" w:styleId="Footer">
    <w:name w:val="footer"/>
    <w:basedOn w:val="Normal"/>
    <w:link w:val="FooterChar"/>
    <w:uiPriority w:val="99"/>
    <w:unhideWhenUsed/>
    <w:rsid w:val="00FA7CE7"/>
    <w:pPr>
      <w:tabs>
        <w:tab w:val="center" w:pos="4680"/>
        <w:tab w:val="right" w:pos="9360"/>
      </w:tabs>
    </w:pPr>
  </w:style>
  <w:style w:type="character" w:customStyle="1" w:styleId="FooterChar">
    <w:name w:val="Footer Char"/>
    <w:basedOn w:val="DefaultParagraphFont"/>
    <w:link w:val="Footer"/>
    <w:uiPriority w:val="99"/>
    <w:rsid w:val="00FA7CE7"/>
    <w:rPr>
      <w:rFonts w:ascii="Times New Roman" w:eastAsia="Calibri" w:hAnsi="Times New Roman" w:cs="Times New Roman"/>
      <w:sz w:val="24"/>
    </w:rPr>
  </w:style>
  <w:style w:type="paragraph" w:styleId="Title">
    <w:name w:val="Title"/>
    <w:basedOn w:val="Normal"/>
    <w:link w:val="TitleChar"/>
    <w:qFormat/>
    <w:rsid w:val="00FA7CE7"/>
    <w:pPr>
      <w:jc w:val="center"/>
    </w:pPr>
    <w:rPr>
      <w:rFonts w:eastAsia="Times New Roman"/>
      <w:b/>
      <w:sz w:val="40"/>
      <w:szCs w:val="20"/>
    </w:rPr>
  </w:style>
  <w:style w:type="character" w:customStyle="1" w:styleId="TitleChar">
    <w:name w:val="Title Char"/>
    <w:basedOn w:val="DefaultParagraphFont"/>
    <w:link w:val="Title"/>
    <w:rsid w:val="00FA7CE7"/>
    <w:rPr>
      <w:rFonts w:ascii="Times New Roman" w:eastAsia="Times New Roman" w:hAnsi="Times New Roman" w:cs="Times New Roman"/>
      <w:b/>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CE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autoRedefine/>
    <w:uiPriority w:val="99"/>
    <w:unhideWhenUsed/>
    <w:qFormat/>
    <w:rsid w:val="00B443B9"/>
    <w:rPr>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B443B9"/>
    <w:rPr>
      <w:rFonts w:ascii="Times New Roman" w:hAnsi="Times New Roman"/>
      <w:sz w:val="20"/>
    </w:rPr>
  </w:style>
  <w:style w:type="paragraph" w:styleId="ListParagraph">
    <w:name w:val="List Paragraph"/>
    <w:basedOn w:val="Normal"/>
    <w:uiPriority w:val="34"/>
    <w:qFormat/>
    <w:rsid w:val="00FA7CE7"/>
    <w:pPr>
      <w:ind w:left="720"/>
      <w:contextualSpacing/>
    </w:pPr>
  </w:style>
  <w:style w:type="character" w:styleId="FootnoteReference">
    <w:name w:val="footnote reference"/>
    <w:aliases w:val="fr,Style 19,Style 16,Style 35"/>
    <w:uiPriority w:val="99"/>
    <w:rsid w:val="00FA7CE7"/>
    <w:rPr>
      <w:vertAlign w:val="superscript"/>
    </w:rPr>
  </w:style>
  <w:style w:type="paragraph" w:styleId="PlainText">
    <w:name w:val="Plain Text"/>
    <w:basedOn w:val="Normal"/>
    <w:link w:val="PlainTextChar"/>
    <w:uiPriority w:val="99"/>
    <w:unhideWhenUsed/>
    <w:rsid w:val="00FA7CE7"/>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FA7CE7"/>
    <w:rPr>
      <w:rFonts w:ascii="Calibri" w:eastAsia="Times New Roman" w:hAnsi="Calibri" w:cs="Times New Roman"/>
      <w:color w:val="1F497D"/>
      <w:szCs w:val="21"/>
    </w:rPr>
  </w:style>
  <w:style w:type="paragraph" w:styleId="Footer">
    <w:name w:val="footer"/>
    <w:basedOn w:val="Normal"/>
    <w:link w:val="FooterChar"/>
    <w:uiPriority w:val="99"/>
    <w:unhideWhenUsed/>
    <w:rsid w:val="00FA7CE7"/>
    <w:pPr>
      <w:tabs>
        <w:tab w:val="center" w:pos="4680"/>
        <w:tab w:val="right" w:pos="9360"/>
      </w:tabs>
    </w:pPr>
  </w:style>
  <w:style w:type="character" w:customStyle="1" w:styleId="FooterChar">
    <w:name w:val="Footer Char"/>
    <w:basedOn w:val="DefaultParagraphFont"/>
    <w:link w:val="Footer"/>
    <w:uiPriority w:val="99"/>
    <w:rsid w:val="00FA7CE7"/>
    <w:rPr>
      <w:rFonts w:ascii="Times New Roman" w:eastAsia="Calibri" w:hAnsi="Times New Roman" w:cs="Times New Roman"/>
      <w:sz w:val="24"/>
    </w:rPr>
  </w:style>
  <w:style w:type="paragraph" w:styleId="Title">
    <w:name w:val="Title"/>
    <w:basedOn w:val="Normal"/>
    <w:link w:val="TitleChar"/>
    <w:qFormat/>
    <w:rsid w:val="00FA7CE7"/>
    <w:pPr>
      <w:jc w:val="center"/>
    </w:pPr>
    <w:rPr>
      <w:rFonts w:eastAsia="Times New Roman"/>
      <w:b/>
      <w:sz w:val="40"/>
      <w:szCs w:val="20"/>
    </w:rPr>
  </w:style>
  <w:style w:type="character" w:customStyle="1" w:styleId="TitleChar">
    <w:name w:val="Title Char"/>
    <w:basedOn w:val="DefaultParagraphFont"/>
    <w:link w:val="Title"/>
    <w:rsid w:val="00FA7CE7"/>
    <w:rPr>
      <w:rFonts w:ascii="Times New Roman" w:eastAsia="Times New Roman" w:hAnsi="Times New Roman" w:cs="Times New Roman"/>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90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HRopp</dc:creator>
  <cp:lastModifiedBy>VHill</cp:lastModifiedBy>
  <cp:revision>3</cp:revision>
  <dcterms:created xsi:type="dcterms:W3CDTF">2013-11-12T16:39:00Z</dcterms:created>
  <dcterms:modified xsi:type="dcterms:W3CDTF">2013-11-12T16:50:00Z</dcterms:modified>
</cp:coreProperties>
</file>