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4208B7" w14:textId="77777777" w:rsidR="00F768C4" w:rsidRPr="00644E95" w:rsidRDefault="00F768C4" w:rsidP="00644E95">
      <w:pPr>
        <w:ind w:left="90"/>
        <w:jc w:val="right"/>
        <w:rPr>
          <w:rFonts w:ascii="Arial" w:hAnsi="Arial" w:cs="Arial"/>
          <w:b/>
          <w:sz w:val="20"/>
          <w:szCs w:val="20"/>
        </w:rPr>
      </w:pPr>
      <w:bookmarkStart w:id="0" w:name="_GoBack"/>
      <w:bookmarkEnd w:id="0"/>
      <w:r w:rsidRPr="00644E95">
        <w:rPr>
          <w:rFonts w:ascii="Arial" w:hAnsi="Arial" w:cs="Arial"/>
          <w:b/>
          <w:sz w:val="20"/>
          <w:szCs w:val="20"/>
        </w:rPr>
        <w:t>OMB No. 0910-xxxx</w:t>
      </w:r>
    </w:p>
    <w:p w14:paraId="2CAD02F1" w14:textId="76554086" w:rsidR="009E0ED0" w:rsidRPr="00644E95" w:rsidRDefault="00F768C4" w:rsidP="00644E95">
      <w:pPr>
        <w:ind w:left="90"/>
        <w:jc w:val="right"/>
        <w:rPr>
          <w:rFonts w:ascii="Arial" w:hAnsi="Arial" w:cs="Arial"/>
          <w:b/>
          <w:sz w:val="20"/>
          <w:szCs w:val="20"/>
        </w:rPr>
      </w:pPr>
      <w:r w:rsidRPr="00644E95">
        <w:rPr>
          <w:rFonts w:ascii="Arial" w:hAnsi="Arial" w:cs="Arial"/>
          <w:b/>
          <w:sz w:val="20"/>
          <w:szCs w:val="20"/>
        </w:rPr>
        <w:t>Exp. Date xx/xx/</w:t>
      </w:r>
      <w:proofErr w:type="spellStart"/>
      <w:r w:rsidRPr="00644E95">
        <w:rPr>
          <w:rFonts w:ascii="Arial" w:hAnsi="Arial" w:cs="Arial"/>
          <w:b/>
          <w:sz w:val="20"/>
          <w:szCs w:val="20"/>
        </w:rPr>
        <w:t>xxxx</w:t>
      </w:r>
      <w:proofErr w:type="spellEnd"/>
    </w:p>
    <w:p w14:paraId="3F995209" w14:textId="77777777" w:rsidR="00F768C4" w:rsidRPr="00644E95" w:rsidRDefault="00F768C4" w:rsidP="00644E95">
      <w:pPr>
        <w:ind w:left="90"/>
        <w:jc w:val="right"/>
        <w:rPr>
          <w:rFonts w:ascii="Arial" w:hAnsi="Arial" w:cs="Arial"/>
          <w:b/>
          <w:sz w:val="20"/>
          <w:szCs w:val="20"/>
        </w:rPr>
      </w:pPr>
    </w:p>
    <w:p w14:paraId="0456AD7F" w14:textId="77777777" w:rsidR="00C623BA" w:rsidRPr="00644E95" w:rsidRDefault="00C623BA" w:rsidP="009E0ED0">
      <w:pPr>
        <w:ind w:left="720"/>
        <w:rPr>
          <w:rFonts w:ascii="Arial" w:hAnsi="Arial" w:cs="Arial"/>
          <w:sz w:val="20"/>
          <w:szCs w:val="20"/>
        </w:rPr>
      </w:pPr>
    </w:p>
    <w:p w14:paraId="0C4AA1BA" w14:textId="77777777" w:rsidR="001B73C4" w:rsidRPr="00C2334B" w:rsidRDefault="00B32B91" w:rsidP="00965AB4">
      <w:pPr>
        <w:rPr>
          <w:rFonts w:ascii="Verdana" w:hAnsi="Verdana"/>
          <w:b/>
        </w:rPr>
      </w:pPr>
      <w:r>
        <w:rPr>
          <w:rFonts w:ascii="Verdana" w:hAnsi="Verdana"/>
          <w:b/>
        </w:rPr>
        <w:t xml:space="preserve">ATTACHMENT </w:t>
      </w:r>
      <w:r w:rsidR="003B55F7">
        <w:rPr>
          <w:rFonts w:ascii="Verdana" w:hAnsi="Verdana"/>
          <w:b/>
        </w:rPr>
        <w:t>4a</w:t>
      </w:r>
      <w:r w:rsidR="00C2334B">
        <w:rPr>
          <w:rFonts w:ascii="Verdana" w:hAnsi="Verdana"/>
          <w:b/>
        </w:rPr>
        <w:t xml:space="preserve">: </w:t>
      </w:r>
      <w:r w:rsidR="00024CC9">
        <w:rPr>
          <w:rFonts w:ascii="Verdana" w:hAnsi="Verdana"/>
          <w:b/>
        </w:rPr>
        <w:t xml:space="preserve">RATIONALE FOR CONDUCTING </w:t>
      </w:r>
      <w:r w:rsidR="00F52A42" w:rsidRPr="00C2334B">
        <w:rPr>
          <w:rFonts w:ascii="Verdana" w:hAnsi="Verdana"/>
          <w:b/>
        </w:rPr>
        <w:t>M</w:t>
      </w:r>
      <w:r w:rsidR="00C2334B">
        <w:rPr>
          <w:rFonts w:ascii="Verdana" w:hAnsi="Verdana"/>
          <w:b/>
        </w:rPr>
        <w:t xml:space="preserve">EDIA TRACKING </w:t>
      </w:r>
      <w:r w:rsidR="00F52A42" w:rsidRPr="00C2334B">
        <w:rPr>
          <w:rFonts w:ascii="Verdana" w:hAnsi="Verdana"/>
          <w:b/>
        </w:rPr>
        <w:t xml:space="preserve"> </w:t>
      </w:r>
    </w:p>
    <w:p w14:paraId="262B2614" w14:textId="77777777" w:rsidR="00965AB4" w:rsidRPr="00C2334B" w:rsidRDefault="00965AB4" w:rsidP="00965AB4">
      <w:pPr>
        <w:ind w:left="720"/>
        <w:rPr>
          <w:rFonts w:ascii="Verdana" w:hAnsi="Verdana"/>
          <w:b/>
          <w:sz w:val="20"/>
          <w:szCs w:val="20"/>
        </w:rPr>
      </w:pPr>
    </w:p>
    <w:p w14:paraId="60608802" w14:textId="3FE477FE" w:rsidR="009A7ACA" w:rsidRPr="00C2334B" w:rsidRDefault="00CD2587" w:rsidP="00C2334B">
      <w:pPr>
        <w:pStyle w:val="BodyText1"/>
        <w:spacing w:line="360" w:lineRule="auto"/>
        <w:rPr>
          <w:rFonts w:ascii="Verdana" w:hAnsi="Verdana"/>
          <w:sz w:val="20"/>
          <w:szCs w:val="20"/>
        </w:rPr>
      </w:pPr>
      <w:r w:rsidRPr="00C2334B">
        <w:rPr>
          <w:rFonts w:ascii="Verdana" w:hAnsi="Verdana"/>
          <w:sz w:val="20"/>
          <w:szCs w:val="20"/>
        </w:rPr>
        <w:t>M</w:t>
      </w:r>
      <w:r w:rsidR="003306E2" w:rsidRPr="00C2334B">
        <w:rPr>
          <w:rFonts w:ascii="Verdana" w:hAnsi="Verdana"/>
          <w:sz w:val="20"/>
          <w:szCs w:val="20"/>
        </w:rPr>
        <w:t>ass media</w:t>
      </w:r>
      <w:r w:rsidRPr="00C2334B">
        <w:rPr>
          <w:rFonts w:ascii="Verdana" w:hAnsi="Verdana"/>
          <w:sz w:val="20"/>
          <w:szCs w:val="20"/>
        </w:rPr>
        <w:t xml:space="preserve"> campaign evaluation</w:t>
      </w:r>
      <w:r w:rsidR="003306E2" w:rsidRPr="00C2334B">
        <w:rPr>
          <w:rFonts w:ascii="Verdana" w:hAnsi="Verdana"/>
          <w:sz w:val="20"/>
          <w:szCs w:val="20"/>
        </w:rPr>
        <w:t xml:space="preserve"> </w:t>
      </w:r>
      <w:r w:rsidR="008E43EB">
        <w:rPr>
          <w:rFonts w:ascii="Verdana" w:hAnsi="Verdana"/>
          <w:sz w:val="20"/>
          <w:szCs w:val="20"/>
        </w:rPr>
        <w:t>routinely relies on</w:t>
      </w:r>
      <w:r w:rsidR="003306E2" w:rsidRPr="00C2334B">
        <w:rPr>
          <w:rFonts w:ascii="Verdana" w:hAnsi="Verdana"/>
          <w:sz w:val="20"/>
          <w:szCs w:val="20"/>
        </w:rPr>
        <w:t xml:space="preserve"> tracking studies to measure the reach and receptivity to campaign advertisements among their target audiences.  </w:t>
      </w:r>
      <w:r w:rsidRPr="00C2334B">
        <w:rPr>
          <w:rFonts w:ascii="Verdana" w:hAnsi="Verdana"/>
          <w:sz w:val="20"/>
          <w:szCs w:val="20"/>
        </w:rPr>
        <w:t>M</w:t>
      </w:r>
      <w:r w:rsidR="00BD466F" w:rsidRPr="00C2334B">
        <w:rPr>
          <w:rFonts w:ascii="Verdana" w:hAnsi="Verdana"/>
          <w:sz w:val="20"/>
          <w:szCs w:val="20"/>
        </w:rPr>
        <w:t>edia tracking survey</w:t>
      </w:r>
      <w:r w:rsidRPr="00C2334B">
        <w:rPr>
          <w:rFonts w:ascii="Verdana" w:hAnsi="Verdana"/>
          <w:sz w:val="20"/>
          <w:szCs w:val="20"/>
        </w:rPr>
        <w:t>s are a</w:t>
      </w:r>
      <w:r w:rsidR="00BD466F" w:rsidRPr="00C2334B">
        <w:rPr>
          <w:rFonts w:ascii="Verdana" w:hAnsi="Verdana"/>
          <w:sz w:val="20"/>
          <w:szCs w:val="20"/>
        </w:rPr>
        <w:t xml:space="preserve"> critical tool for </w:t>
      </w:r>
      <w:r w:rsidR="008E43EB">
        <w:rPr>
          <w:rFonts w:ascii="Verdana" w:hAnsi="Verdana"/>
          <w:sz w:val="20"/>
          <w:szCs w:val="20"/>
        </w:rPr>
        <w:t xml:space="preserve">both </w:t>
      </w:r>
      <w:r w:rsidR="00BD466F" w:rsidRPr="00C2334B">
        <w:rPr>
          <w:rFonts w:ascii="Verdana" w:hAnsi="Verdana"/>
          <w:sz w:val="20"/>
          <w:szCs w:val="20"/>
        </w:rPr>
        <w:t>campaign planners and evaluators to assess the immediate influe</w:t>
      </w:r>
      <w:r w:rsidRPr="00C2334B">
        <w:rPr>
          <w:rFonts w:ascii="Verdana" w:hAnsi="Verdana"/>
          <w:sz w:val="20"/>
          <w:szCs w:val="20"/>
        </w:rPr>
        <w:t xml:space="preserve">nce of </w:t>
      </w:r>
      <w:r w:rsidR="00BD466F" w:rsidRPr="00C2334B">
        <w:rPr>
          <w:rFonts w:ascii="Verdana" w:hAnsi="Verdana"/>
          <w:sz w:val="20"/>
          <w:szCs w:val="20"/>
        </w:rPr>
        <w:t>media buys</w:t>
      </w:r>
      <w:r w:rsidRPr="00C2334B">
        <w:rPr>
          <w:rFonts w:ascii="Verdana" w:hAnsi="Verdana"/>
          <w:sz w:val="20"/>
          <w:szCs w:val="20"/>
        </w:rPr>
        <w:t>.  Two important tracking measures</w:t>
      </w:r>
      <w:r w:rsidR="009A5447">
        <w:rPr>
          <w:rFonts w:ascii="Verdana" w:hAnsi="Verdana"/>
          <w:sz w:val="20"/>
          <w:szCs w:val="20"/>
        </w:rPr>
        <w:t xml:space="preserve">—campaign </w:t>
      </w:r>
      <w:r w:rsidRPr="00C2334B">
        <w:rPr>
          <w:rFonts w:ascii="Verdana" w:hAnsi="Verdana"/>
          <w:sz w:val="20"/>
          <w:szCs w:val="20"/>
        </w:rPr>
        <w:t xml:space="preserve">awareness and </w:t>
      </w:r>
      <w:r w:rsidR="004B2197">
        <w:rPr>
          <w:rFonts w:ascii="Verdana" w:hAnsi="Verdana"/>
          <w:sz w:val="20"/>
          <w:szCs w:val="20"/>
        </w:rPr>
        <w:t xml:space="preserve">perceived </w:t>
      </w:r>
      <w:r w:rsidR="00640453">
        <w:rPr>
          <w:rFonts w:ascii="Verdana" w:hAnsi="Verdana"/>
          <w:sz w:val="20"/>
          <w:szCs w:val="20"/>
        </w:rPr>
        <w:t xml:space="preserve">ad </w:t>
      </w:r>
      <w:r w:rsidR="004B2197">
        <w:rPr>
          <w:rFonts w:ascii="Verdana" w:hAnsi="Verdana"/>
          <w:sz w:val="20"/>
          <w:szCs w:val="20"/>
        </w:rPr>
        <w:t>effectiveness</w:t>
      </w:r>
      <w:r w:rsidR="009A5447">
        <w:rPr>
          <w:rFonts w:ascii="Verdana" w:hAnsi="Verdana"/>
          <w:sz w:val="20"/>
          <w:szCs w:val="20"/>
        </w:rPr>
        <w:t xml:space="preserve">—will </w:t>
      </w:r>
      <w:r w:rsidR="008E43EB">
        <w:rPr>
          <w:rFonts w:ascii="Verdana" w:hAnsi="Verdana"/>
          <w:sz w:val="20"/>
          <w:szCs w:val="20"/>
        </w:rPr>
        <w:t xml:space="preserve">be measured across the planned </w:t>
      </w:r>
      <w:r w:rsidRPr="00C2334B">
        <w:rPr>
          <w:rFonts w:ascii="Verdana" w:hAnsi="Verdana"/>
          <w:sz w:val="20"/>
          <w:szCs w:val="20"/>
        </w:rPr>
        <w:t xml:space="preserve">campaigns.  </w:t>
      </w:r>
      <w:r w:rsidR="004B2197" w:rsidRPr="004B2197">
        <w:rPr>
          <w:rFonts w:ascii="Verdana" w:hAnsi="Verdana"/>
          <w:sz w:val="20"/>
          <w:szCs w:val="20"/>
        </w:rPr>
        <w:t>Awareness of campaign advertising is a CDC recommended</w:t>
      </w:r>
      <w:r w:rsidR="004B2197">
        <w:rPr>
          <w:rFonts w:ascii="Verdana" w:hAnsi="Verdana"/>
          <w:sz w:val="20"/>
          <w:szCs w:val="20"/>
        </w:rPr>
        <w:t xml:space="preserve"> (CDC, 2007)</w:t>
      </w:r>
      <w:r w:rsidR="004B2197" w:rsidRPr="004B2197">
        <w:rPr>
          <w:rFonts w:ascii="Verdana" w:hAnsi="Verdana"/>
          <w:sz w:val="20"/>
          <w:szCs w:val="20"/>
        </w:rPr>
        <w:t xml:space="preserve"> and commonly used measure of campaign exposure, because it is associated w</w:t>
      </w:r>
      <w:r w:rsidR="004B2197">
        <w:rPr>
          <w:rFonts w:ascii="Verdana" w:hAnsi="Verdana"/>
          <w:sz w:val="20"/>
          <w:szCs w:val="20"/>
        </w:rPr>
        <w:t xml:space="preserve">ith cumulative and weekly GRPs </w:t>
      </w:r>
      <w:r w:rsidR="004B2197" w:rsidRPr="004B2197">
        <w:rPr>
          <w:rFonts w:ascii="Verdana" w:hAnsi="Verdana"/>
          <w:sz w:val="20"/>
          <w:szCs w:val="20"/>
        </w:rPr>
        <w:t>and can be linked with other individual-level survey data, including beliefs, attitudes and behaviors</w:t>
      </w:r>
      <w:r w:rsidR="004B2197">
        <w:rPr>
          <w:rFonts w:ascii="Verdana" w:hAnsi="Verdana"/>
          <w:sz w:val="20"/>
          <w:szCs w:val="20"/>
        </w:rPr>
        <w:t xml:space="preserve"> (Southwell, 2002; Niederdeppe, 2005)</w:t>
      </w:r>
      <w:r w:rsidR="004B2197" w:rsidRPr="004B2197">
        <w:rPr>
          <w:rFonts w:ascii="Verdana" w:hAnsi="Verdana"/>
          <w:sz w:val="20"/>
          <w:szCs w:val="20"/>
        </w:rPr>
        <w:t xml:space="preserve">. </w:t>
      </w:r>
      <w:r w:rsidRPr="00C2334B">
        <w:rPr>
          <w:rFonts w:ascii="Verdana" w:hAnsi="Verdana"/>
          <w:sz w:val="20"/>
          <w:szCs w:val="20"/>
        </w:rPr>
        <w:t>Y</w:t>
      </w:r>
      <w:r w:rsidR="003306E2" w:rsidRPr="00C2334B">
        <w:rPr>
          <w:rFonts w:ascii="Verdana" w:hAnsi="Verdana"/>
          <w:sz w:val="20"/>
          <w:szCs w:val="20"/>
        </w:rPr>
        <w:t xml:space="preserve">outh </w:t>
      </w:r>
      <w:r w:rsidR="00BD466F" w:rsidRPr="00C2334B">
        <w:rPr>
          <w:rFonts w:ascii="Verdana" w:hAnsi="Verdana"/>
          <w:sz w:val="20"/>
          <w:szCs w:val="20"/>
        </w:rPr>
        <w:t>awareness</w:t>
      </w:r>
      <w:r w:rsidRPr="00C2334B">
        <w:rPr>
          <w:rFonts w:ascii="Verdana" w:hAnsi="Verdana"/>
          <w:sz w:val="20"/>
          <w:szCs w:val="20"/>
        </w:rPr>
        <w:t xml:space="preserve"> of the campaigns</w:t>
      </w:r>
      <w:r w:rsidR="00BD466F" w:rsidRPr="00C2334B">
        <w:rPr>
          <w:rFonts w:ascii="Verdana" w:hAnsi="Verdana"/>
          <w:sz w:val="20"/>
          <w:szCs w:val="20"/>
        </w:rPr>
        <w:t xml:space="preserve">, as measured by self-reported </w:t>
      </w:r>
      <w:r w:rsidR="003306E2" w:rsidRPr="00C2334B">
        <w:rPr>
          <w:rFonts w:ascii="Verdana" w:hAnsi="Verdana"/>
          <w:sz w:val="20"/>
          <w:szCs w:val="20"/>
        </w:rPr>
        <w:t>recall and recognition of campaign advertisements</w:t>
      </w:r>
      <w:r w:rsidR="00BD466F" w:rsidRPr="00C2334B">
        <w:rPr>
          <w:rFonts w:ascii="Verdana" w:hAnsi="Verdana"/>
          <w:sz w:val="20"/>
          <w:szCs w:val="20"/>
        </w:rPr>
        <w:t>,</w:t>
      </w:r>
      <w:r w:rsidRPr="00C2334B">
        <w:rPr>
          <w:rFonts w:ascii="Verdana" w:hAnsi="Verdana"/>
          <w:sz w:val="20"/>
          <w:szCs w:val="20"/>
        </w:rPr>
        <w:t xml:space="preserve"> is </w:t>
      </w:r>
      <w:r w:rsidR="003306E2" w:rsidRPr="00C2334B">
        <w:rPr>
          <w:rFonts w:ascii="Verdana" w:hAnsi="Verdana"/>
          <w:sz w:val="20"/>
          <w:szCs w:val="20"/>
        </w:rPr>
        <w:t xml:space="preserve">the first critical step necessary in order to influence tobacco initiation.  </w:t>
      </w:r>
      <w:r w:rsidR="004B2197">
        <w:rPr>
          <w:rFonts w:ascii="Verdana" w:hAnsi="Verdana"/>
          <w:sz w:val="20"/>
          <w:szCs w:val="20"/>
        </w:rPr>
        <w:t>For this reason, it is important to measure and document levels of awareness within the first year of the campaign. In fact, t</w:t>
      </w:r>
      <w:r w:rsidR="004B2197" w:rsidRPr="004B2197">
        <w:rPr>
          <w:rFonts w:ascii="Verdana" w:hAnsi="Verdana"/>
          <w:sz w:val="20"/>
          <w:szCs w:val="20"/>
        </w:rPr>
        <w:t>he CDC suggests that new campaigns that reach 75% to 85% of the target audience can expect to produce attitude and behavior change within the following two years</w:t>
      </w:r>
      <w:r w:rsidR="00640453">
        <w:rPr>
          <w:rFonts w:ascii="Verdana" w:hAnsi="Verdana"/>
          <w:sz w:val="20"/>
          <w:szCs w:val="20"/>
        </w:rPr>
        <w:t xml:space="preserve"> (CDC, 2007). </w:t>
      </w:r>
      <w:r w:rsidR="004B2197" w:rsidRPr="004B2197">
        <w:rPr>
          <w:rFonts w:ascii="Verdana" w:hAnsi="Verdana"/>
          <w:sz w:val="20"/>
          <w:szCs w:val="20"/>
        </w:rPr>
        <w:t xml:space="preserve"> </w:t>
      </w:r>
      <w:r w:rsidRPr="00C2334B">
        <w:rPr>
          <w:rFonts w:ascii="Verdana" w:hAnsi="Verdana"/>
          <w:sz w:val="20"/>
          <w:szCs w:val="20"/>
        </w:rPr>
        <w:t xml:space="preserve">Further, </w:t>
      </w:r>
      <w:r w:rsidR="00BD466F" w:rsidRPr="00C2334B">
        <w:rPr>
          <w:rFonts w:ascii="Verdana" w:hAnsi="Verdana"/>
          <w:sz w:val="20"/>
          <w:szCs w:val="20"/>
        </w:rPr>
        <w:t>research suggests that</w:t>
      </w:r>
      <w:r w:rsidR="003306E2" w:rsidRPr="00C2334B">
        <w:rPr>
          <w:rFonts w:ascii="Verdana" w:hAnsi="Verdana"/>
          <w:sz w:val="20"/>
          <w:szCs w:val="20"/>
        </w:rPr>
        <w:t xml:space="preserve"> </w:t>
      </w:r>
      <w:r w:rsidR="001C60BF" w:rsidRPr="00C2334B">
        <w:rPr>
          <w:rFonts w:ascii="Verdana" w:hAnsi="Verdana"/>
          <w:sz w:val="20"/>
          <w:szCs w:val="20"/>
        </w:rPr>
        <w:t xml:space="preserve">the mere presence of ads does not guarantee that target audiences have </w:t>
      </w:r>
      <w:r w:rsidR="003306E2" w:rsidRPr="00C2334B">
        <w:rPr>
          <w:rFonts w:ascii="Verdana" w:hAnsi="Verdana"/>
          <w:sz w:val="20"/>
          <w:szCs w:val="20"/>
        </w:rPr>
        <w:t>engaged with the messages in a</w:t>
      </w:r>
      <w:r w:rsidR="001C60BF" w:rsidRPr="00C2334B">
        <w:rPr>
          <w:rFonts w:ascii="Verdana" w:hAnsi="Verdana"/>
          <w:sz w:val="20"/>
          <w:szCs w:val="20"/>
        </w:rPr>
        <w:t xml:space="preserve"> meaningful way (Southwell et al., 2002</w:t>
      </w:r>
      <w:r w:rsidR="001C60BF" w:rsidRPr="00C2334B">
        <w:rPr>
          <w:rFonts w:ascii="Verdana" w:hAnsi="Verdana"/>
          <w:sz w:val="20"/>
          <w:szCs w:val="20"/>
        </w:rPr>
        <w:fldChar w:fldCharType="begin"/>
      </w:r>
      <w:r w:rsidR="001C60BF" w:rsidRPr="00C2334B">
        <w:rPr>
          <w:rFonts w:ascii="Verdana" w:hAnsi="Verdana"/>
          <w:sz w:val="20"/>
          <w:szCs w:val="20"/>
        </w:rPr>
        <w:instrText xml:space="preserve"> XE “Southwell, Barmada, Hornik Maklin, 2002” </w:instrText>
      </w:r>
      <w:r w:rsidR="001C60BF" w:rsidRPr="00C2334B">
        <w:rPr>
          <w:rFonts w:ascii="Verdana" w:hAnsi="Verdana"/>
          <w:sz w:val="20"/>
          <w:szCs w:val="20"/>
        </w:rPr>
        <w:fldChar w:fldCharType="end"/>
      </w:r>
      <w:r w:rsidR="001C60BF" w:rsidRPr="00C2334B">
        <w:rPr>
          <w:rFonts w:ascii="Verdana" w:hAnsi="Verdana"/>
          <w:sz w:val="20"/>
          <w:szCs w:val="20"/>
        </w:rPr>
        <w:t xml:space="preserve">). Messages must not only be viewed and remembered but must also be attended to, understood, and perceived as persuasive. </w:t>
      </w:r>
      <w:r w:rsidR="00BD466F" w:rsidRPr="00C2334B">
        <w:rPr>
          <w:rFonts w:ascii="Verdana" w:hAnsi="Verdana"/>
          <w:sz w:val="20"/>
          <w:szCs w:val="20"/>
        </w:rPr>
        <w:t xml:space="preserve"> </w:t>
      </w:r>
      <w:r w:rsidR="00640453">
        <w:rPr>
          <w:rFonts w:ascii="Verdana" w:hAnsi="Verdana"/>
          <w:sz w:val="20"/>
          <w:szCs w:val="20"/>
        </w:rPr>
        <w:t>Perceived effectiveness</w:t>
      </w:r>
      <w:r w:rsidR="00640453" w:rsidRPr="00C2334B">
        <w:rPr>
          <w:rFonts w:ascii="Verdana" w:hAnsi="Verdana"/>
          <w:sz w:val="20"/>
          <w:szCs w:val="20"/>
        </w:rPr>
        <w:t xml:space="preserve"> </w:t>
      </w:r>
      <w:r w:rsidR="001B73C4" w:rsidRPr="00C2334B">
        <w:rPr>
          <w:rFonts w:ascii="Verdana" w:hAnsi="Verdana"/>
          <w:sz w:val="20"/>
          <w:szCs w:val="20"/>
        </w:rPr>
        <w:t>measures in the tracking survey will gauge the persuasiveness of campaign messages, perceptions about the salience of its messages, and other general impressions about the campaign</w:t>
      </w:r>
      <w:r w:rsidR="00F970A9">
        <w:rPr>
          <w:rFonts w:ascii="Verdana" w:hAnsi="Verdana"/>
          <w:sz w:val="20"/>
          <w:szCs w:val="20"/>
        </w:rPr>
        <w:t xml:space="preserve"> (e.g. Davis et al., 2011)</w:t>
      </w:r>
      <w:r w:rsidR="001B73C4" w:rsidRPr="00C2334B">
        <w:rPr>
          <w:rFonts w:ascii="Verdana" w:hAnsi="Verdana"/>
          <w:sz w:val="20"/>
          <w:szCs w:val="20"/>
        </w:rPr>
        <w:t xml:space="preserve">.  </w:t>
      </w:r>
    </w:p>
    <w:p w14:paraId="724E9E26" w14:textId="4828A2FB" w:rsidR="00E43101" w:rsidRDefault="009A7ACA" w:rsidP="00C2334B">
      <w:pPr>
        <w:pStyle w:val="BodyText1"/>
        <w:spacing w:line="360" w:lineRule="auto"/>
        <w:rPr>
          <w:rFonts w:ascii="Verdana" w:hAnsi="Verdana"/>
          <w:sz w:val="20"/>
          <w:szCs w:val="20"/>
        </w:rPr>
      </w:pPr>
      <w:r w:rsidRPr="00C2334B">
        <w:rPr>
          <w:rFonts w:ascii="Verdana" w:hAnsi="Verdana"/>
          <w:sz w:val="20"/>
          <w:szCs w:val="20"/>
        </w:rPr>
        <w:t xml:space="preserve">Because attitudinal and behavioral changes in regard to tobacco use among youth are, to a certain extent, a function of the level of cognitive processing that occurs in response to a campaign message, </w:t>
      </w:r>
      <w:r w:rsidR="00E43101">
        <w:rPr>
          <w:rFonts w:ascii="Verdana" w:hAnsi="Verdana"/>
          <w:sz w:val="20"/>
          <w:szCs w:val="20"/>
        </w:rPr>
        <w:t xml:space="preserve">campaign awareness and </w:t>
      </w:r>
      <w:r w:rsidR="00640453">
        <w:rPr>
          <w:rFonts w:ascii="Verdana" w:hAnsi="Verdana"/>
          <w:sz w:val="20"/>
          <w:szCs w:val="20"/>
        </w:rPr>
        <w:t xml:space="preserve">perceived effectiveness </w:t>
      </w:r>
      <w:r w:rsidR="00E43101">
        <w:rPr>
          <w:rFonts w:ascii="Verdana" w:hAnsi="Verdana"/>
          <w:sz w:val="20"/>
          <w:szCs w:val="20"/>
        </w:rPr>
        <w:t>serve as</w:t>
      </w:r>
      <w:r w:rsidRPr="00C2334B">
        <w:rPr>
          <w:rFonts w:ascii="Verdana" w:hAnsi="Verdana"/>
          <w:sz w:val="20"/>
          <w:szCs w:val="20"/>
        </w:rPr>
        <w:t xml:space="preserve"> early indicators of the success of the media strategies and </w:t>
      </w:r>
      <w:r w:rsidR="00E43101">
        <w:rPr>
          <w:rFonts w:ascii="Verdana" w:hAnsi="Verdana"/>
          <w:sz w:val="20"/>
          <w:szCs w:val="20"/>
        </w:rPr>
        <w:t xml:space="preserve">may </w:t>
      </w:r>
      <w:r w:rsidRPr="00C2334B">
        <w:rPr>
          <w:rFonts w:ascii="Verdana" w:hAnsi="Verdana"/>
          <w:sz w:val="20"/>
          <w:szCs w:val="20"/>
        </w:rPr>
        <w:t xml:space="preserve">allow for early corrections as necessary.  </w:t>
      </w:r>
      <w:r w:rsidR="00E43101">
        <w:rPr>
          <w:rFonts w:ascii="Verdana" w:hAnsi="Verdana"/>
          <w:sz w:val="20"/>
          <w:szCs w:val="20"/>
        </w:rPr>
        <w:t>Importantly, c</w:t>
      </w:r>
      <w:r w:rsidRPr="00C2334B">
        <w:rPr>
          <w:rFonts w:ascii="Verdana" w:hAnsi="Verdana"/>
          <w:sz w:val="20"/>
          <w:szCs w:val="20"/>
        </w:rPr>
        <w:t xml:space="preserve">ampaign planners can understand the extent to which the campaign’s media strategy is reaching the target audience with salient messages among key groups of interest after the first few months </w:t>
      </w:r>
      <w:r w:rsidR="005304A1">
        <w:rPr>
          <w:rFonts w:ascii="Verdana" w:hAnsi="Verdana"/>
          <w:sz w:val="20"/>
          <w:szCs w:val="20"/>
        </w:rPr>
        <w:t xml:space="preserve">on air (see Attachment </w:t>
      </w:r>
      <w:r w:rsidR="00640453">
        <w:rPr>
          <w:rFonts w:ascii="Verdana" w:hAnsi="Verdana"/>
          <w:sz w:val="20"/>
          <w:szCs w:val="20"/>
        </w:rPr>
        <w:t>2a</w:t>
      </w:r>
      <w:r w:rsidR="00640453" w:rsidRPr="00C2334B">
        <w:rPr>
          <w:rFonts w:ascii="Verdana" w:hAnsi="Verdana"/>
          <w:sz w:val="20"/>
          <w:szCs w:val="20"/>
        </w:rPr>
        <w:t xml:space="preserve"> </w:t>
      </w:r>
      <w:r w:rsidRPr="00C2334B">
        <w:rPr>
          <w:rFonts w:ascii="Verdana" w:hAnsi="Verdana"/>
          <w:sz w:val="20"/>
          <w:szCs w:val="20"/>
        </w:rPr>
        <w:t xml:space="preserve">for more detail on the expectations of campaign effects).  </w:t>
      </w:r>
      <w:r w:rsidR="00640453">
        <w:rPr>
          <w:rFonts w:ascii="Verdana" w:hAnsi="Verdana"/>
          <w:sz w:val="20"/>
          <w:szCs w:val="20"/>
        </w:rPr>
        <w:t xml:space="preserve">For example, evaluators of the truth campaign used media tracking surveys to assess the relationship between campaign exposure and changes in beliefs about smoking within 9 months of launch; these data were valuable in </w:t>
      </w:r>
      <w:r w:rsidR="00640453">
        <w:rPr>
          <w:rFonts w:ascii="Verdana" w:hAnsi="Verdana"/>
          <w:sz w:val="20"/>
          <w:szCs w:val="20"/>
        </w:rPr>
        <w:lastRenderedPageBreak/>
        <w:t>that they: 1) served as an indicator of future behavior change, and 2) contributed to our understanding of the mechanisms by which the campaign ultimately changed youth prevalence (Farrelly, 2002).  Media tracking data were also used to understand truth campaign impact among racial/ethnic minorities</w:t>
      </w:r>
      <w:r w:rsidR="00B278D3">
        <w:rPr>
          <w:rFonts w:ascii="Verdana" w:hAnsi="Verdana"/>
          <w:sz w:val="20"/>
          <w:szCs w:val="20"/>
        </w:rPr>
        <w:t xml:space="preserve">; they showed that </w:t>
      </w:r>
      <w:r w:rsidR="00B278D3" w:rsidRPr="00B278D3">
        <w:rPr>
          <w:rFonts w:ascii="Verdana" w:hAnsi="Verdana"/>
          <w:sz w:val="20"/>
          <w:szCs w:val="20"/>
        </w:rPr>
        <w:t xml:space="preserve">different </w:t>
      </w:r>
      <w:r w:rsidR="00B278D3">
        <w:rPr>
          <w:rFonts w:ascii="Verdana" w:hAnsi="Verdana"/>
          <w:sz w:val="20"/>
          <w:szCs w:val="20"/>
        </w:rPr>
        <w:t>advertisements</w:t>
      </w:r>
      <w:r w:rsidR="00B278D3" w:rsidRPr="00B278D3">
        <w:rPr>
          <w:rFonts w:ascii="Verdana" w:hAnsi="Verdana"/>
          <w:sz w:val="20"/>
          <w:szCs w:val="20"/>
        </w:rPr>
        <w:t xml:space="preserve"> appealed to youth based on their race/ethnicity</w:t>
      </w:r>
      <w:r w:rsidR="00B278D3">
        <w:rPr>
          <w:rFonts w:ascii="Verdana" w:hAnsi="Verdana"/>
          <w:sz w:val="20"/>
          <w:szCs w:val="20"/>
        </w:rPr>
        <w:t xml:space="preserve"> (Cowell, 2009). </w:t>
      </w:r>
      <w:r w:rsidRPr="00C2334B">
        <w:rPr>
          <w:rFonts w:ascii="Verdana" w:hAnsi="Verdana"/>
          <w:sz w:val="20"/>
          <w:szCs w:val="20"/>
        </w:rPr>
        <w:t xml:space="preserve">In addition, continued and consistent tracking of campaign </w:t>
      </w:r>
      <w:r w:rsidR="00E43101">
        <w:rPr>
          <w:rFonts w:ascii="Verdana" w:hAnsi="Verdana"/>
          <w:sz w:val="20"/>
          <w:szCs w:val="20"/>
        </w:rPr>
        <w:t>awareness and receptivity to</w:t>
      </w:r>
      <w:r w:rsidRPr="00C2334B">
        <w:rPr>
          <w:rFonts w:ascii="Verdana" w:hAnsi="Verdana"/>
          <w:sz w:val="20"/>
          <w:szCs w:val="20"/>
        </w:rPr>
        <w:t xml:space="preserve"> </w:t>
      </w:r>
      <w:r w:rsidR="00E43101">
        <w:rPr>
          <w:rFonts w:ascii="Verdana" w:hAnsi="Verdana"/>
          <w:sz w:val="20"/>
          <w:szCs w:val="20"/>
        </w:rPr>
        <w:t xml:space="preserve">campaign </w:t>
      </w:r>
      <w:r w:rsidRPr="00C2334B">
        <w:rPr>
          <w:rFonts w:ascii="Verdana" w:hAnsi="Verdana"/>
          <w:sz w:val="20"/>
          <w:szCs w:val="20"/>
        </w:rPr>
        <w:t xml:space="preserve">messages is necessary because campaign effects may diminish based on media purchase patterns (Wakefield et al., 20011).   </w:t>
      </w:r>
    </w:p>
    <w:p w14:paraId="4D160773"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Table 1-1 describes the key evaluation questions to be addressed in the media tracking survey.</w:t>
      </w:r>
    </w:p>
    <w:p w14:paraId="61289321" w14:textId="77777777" w:rsidR="001B73C4" w:rsidRPr="00C2334B" w:rsidRDefault="001B73C4" w:rsidP="00C2334B">
      <w:pPr>
        <w:pStyle w:val="TableTitle"/>
        <w:spacing w:line="360" w:lineRule="auto"/>
      </w:pPr>
      <w:proofErr w:type="gramStart"/>
      <w:r w:rsidRPr="00C2334B">
        <w:t xml:space="preserve">Table </w:t>
      </w:r>
      <w:r w:rsidRPr="00C2334B">
        <w:rPr>
          <w:noProof/>
          <w:cs/>
        </w:rPr>
        <w:t>‎</w:t>
      </w:r>
      <w:r w:rsidRPr="00C2334B">
        <w:rPr>
          <w:noProof/>
        </w:rPr>
        <w:t>1-1</w:t>
      </w:r>
      <w:r w:rsidRPr="00C2334B">
        <w:t>.</w:t>
      </w:r>
      <w:proofErr w:type="gramEnd"/>
      <w:r w:rsidRPr="00C2334B">
        <w:tab/>
        <w:t>Campaign Key Evaluation Questions, Media Tracking Survey</w:t>
      </w:r>
    </w:p>
    <w:tbl>
      <w:tblPr>
        <w:tblW w:w="9375" w:type="dxa"/>
        <w:tblInd w:w="93" w:type="dxa"/>
        <w:tblLayout w:type="fixed"/>
        <w:tblCellMar>
          <w:left w:w="115" w:type="dxa"/>
          <w:right w:w="115" w:type="dxa"/>
        </w:tblCellMar>
        <w:tblLook w:val="0000" w:firstRow="0" w:lastRow="0" w:firstColumn="0" w:lastColumn="0" w:noHBand="0" w:noVBand="0"/>
      </w:tblPr>
      <w:tblGrid>
        <w:gridCol w:w="9375"/>
      </w:tblGrid>
      <w:tr w:rsidR="001B73C4" w:rsidRPr="00C2334B" w14:paraId="7FAEDA9B" w14:textId="77777777" w:rsidTr="009C5C03">
        <w:trPr>
          <w:cantSplit/>
          <w:trHeight w:val="339"/>
        </w:trPr>
        <w:tc>
          <w:tcPr>
            <w:tcW w:w="9375" w:type="dxa"/>
            <w:tcBorders>
              <w:top w:val="single" w:sz="12" w:space="0" w:color="auto"/>
              <w:left w:val="nil"/>
              <w:right w:val="nil"/>
            </w:tcBorders>
            <w:shd w:val="clear" w:color="auto" w:fill="auto"/>
            <w:noWrap/>
          </w:tcPr>
          <w:p w14:paraId="6CA13659" w14:textId="77777777" w:rsidR="001B73C4" w:rsidRPr="00C2334B" w:rsidRDefault="001B73C4" w:rsidP="00C2334B">
            <w:pPr>
              <w:pStyle w:val="TableText"/>
              <w:keepNext/>
              <w:spacing w:line="360" w:lineRule="auto"/>
              <w:rPr>
                <w:b/>
                <w:sz w:val="20"/>
                <w:szCs w:val="20"/>
              </w:rPr>
            </w:pPr>
            <w:r w:rsidRPr="00C2334B">
              <w:rPr>
                <w:b/>
                <w:sz w:val="20"/>
                <w:szCs w:val="20"/>
              </w:rPr>
              <w:t>Campaign Awareness and Receptivity</w:t>
            </w:r>
          </w:p>
        </w:tc>
      </w:tr>
      <w:tr w:rsidR="001B73C4" w:rsidRPr="00C2334B" w14:paraId="54CA7337" w14:textId="77777777" w:rsidTr="009C5C03">
        <w:trPr>
          <w:cantSplit/>
        </w:trPr>
        <w:tc>
          <w:tcPr>
            <w:tcW w:w="9375" w:type="dxa"/>
            <w:tcBorders>
              <w:top w:val="nil"/>
              <w:left w:val="nil"/>
              <w:right w:val="nil"/>
            </w:tcBorders>
            <w:shd w:val="clear" w:color="auto" w:fill="auto"/>
            <w:noWrap/>
          </w:tcPr>
          <w:p w14:paraId="72056A43" w14:textId="77777777" w:rsidR="001B73C4" w:rsidRPr="00C2334B" w:rsidRDefault="001B73C4" w:rsidP="00C2334B">
            <w:pPr>
              <w:pStyle w:val="TableTextIndent1"/>
              <w:keepNext/>
              <w:spacing w:line="360" w:lineRule="auto"/>
              <w:rPr>
                <w:sz w:val="20"/>
              </w:rPr>
            </w:pPr>
            <w:r w:rsidRPr="00C2334B">
              <w:rPr>
                <w:sz w:val="20"/>
              </w:rPr>
              <w:t xml:space="preserve">What proportion of 12- to 17-year-old youth is aware of specific campaign ads by media channel? </w:t>
            </w:r>
          </w:p>
        </w:tc>
      </w:tr>
      <w:tr w:rsidR="001B73C4" w:rsidRPr="00C2334B" w14:paraId="6C5F95D6" w14:textId="77777777" w:rsidTr="009C5C03">
        <w:trPr>
          <w:cantSplit/>
        </w:trPr>
        <w:tc>
          <w:tcPr>
            <w:tcW w:w="9375" w:type="dxa"/>
            <w:tcBorders>
              <w:top w:val="nil"/>
              <w:left w:val="nil"/>
              <w:right w:val="nil"/>
            </w:tcBorders>
            <w:shd w:val="clear" w:color="auto" w:fill="auto"/>
            <w:noWrap/>
          </w:tcPr>
          <w:p w14:paraId="75B2EDF4" w14:textId="77777777" w:rsidR="001B73C4" w:rsidRPr="00C2334B" w:rsidRDefault="001B73C4" w:rsidP="00C2334B">
            <w:pPr>
              <w:pStyle w:val="TableTextIndent1"/>
              <w:keepNext/>
              <w:spacing w:line="360" w:lineRule="auto"/>
              <w:rPr>
                <w:sz w:val="20"/>
              </w:rPr>
            </w:pPr>
            <w:r w:rsidRPr="00C2334B">
              <w:rPr>
                <w:sz w:val="20"/>
              </w:rPr>
              <w:t>What proportion of 12- to 17-year-old youth is aware of ANY campaign ad overall and by media channel?</w:t>
            </w:r>
          </w:p>
        </w:tc>
      </w:tr>
      <w:tr w:rsidR="001B73C4" w:rsidRPr="00C2334B" w14:paraId="7A0CEEBB" w14:textId="77777777" w:rsidTr="009C5C03">
        <w:trPr>
          <w:cantSplit/>
        </w:trPr>
        <w:tc>
          <w:tcPr>
            <w:tcW w:w="9375" w:type="dxa"/>
            <w:tcBorders>
              <w:top w:val="nil"/>
              <w:left w:val="nil"/>
              <w:right w:val="nil"/>
            </w:tcBorders>
            <w:shd w:val="clear" w:color="auto" w:fill="auto"/>
            <w:noWrap/>
          </w:tcPr>
          <w:p w14:paraId="2A0417AC" w14:textId="77777777" w:rsidR="001B73C4" w:rsidRPr="00C2334B" w:rsidRDefault="001B73C4" w:rsidP="00C2334B">
            <w:pPr>
              <w:pStyle w:val="TableTextIndent1"/>
              <w:keepNext/>
              <w:spacing w:line="360" w:lineRule="auto"/>
              <w:rPr>
                <w:sz w:val="20"/>
              </w:rPr>
            </w:pPr>
            <w:r w:rsidRPr="00C2334B">
              <w:rPr>
                <w:sz w:val="20"/>
              </w:rPr>
              <w:t>How does awareness vary by demographic subgroups, such as race/ethnicity, gender, population density, and/or by tobacco use?</w:t>
            </w:r>
          </w:p>
        </w:tc>
      </w:tr>
      <w:tr w:rsidR="001B73C4" w:rsidRPr="00C2334B" w14:paraId="0349AA90" w14:textId="77777777" w:rsidTr="006645DA">
        <w:trPr>
          <w:cantSplit/>
        </w:trPr>
        <w:tc>
          <w:tcPr>
            <w:tcW w:w="9375" w:type="dxa"/>
            <w:tcBorders>
              <w:top w:val="nil"/>
              <w:left w:val="nil"/>
              <w:right w:val="nil"/>
            </w:tcBorders>
            <w:shd w:val="clear" w:color="auto" w:fill="auto"/>
            <w:noWrap/>
          </w:tcPr>
          <w:p w14:paraId="5D2F868D" w14:textId="77777777" w:rsidR="001B73C4" w:rsidRPr="00C2334B" w:rsidRDefault="001B73C4" w:rsidP="00C2334B">
            <w:pPr>
              <w:pStyle w:val="TableTextIndent1"/>
              <w:keepNext/>
              <w:spacing w:line="360" w:lineRule="auto"/>
              <w:rPr>
                <w:sz w:val="20"/>
              </w:rPr>
            </w:pPr>
            <w:r w:rsidRPr="00C2334B">
              <w:rPr>
                <w:sz w:val="20"/>
              </w:rPr>
              <w:t>What are youth’s reactions to campaign media?</w:t>
            </w:r>
          </w:p>
        </w:tc>
      </w:tr>
      <w:tr w:rsidR="001B73C4" w:rsidRPr="00C2334B" w14:paraId="5CEB6040" w14:textId="77777777" w:rsidTr="006645DA">
        <w:trPr>
          <w:cantSplit/>
        </w:trPr>
        <w:tc>
          <w:tcPr>
            <w:tcW w:w="9375" w:type="dxa"/>
            <w:tcBorders>
              <w:top w:val="nil"/>
              <w:left w:val="nil"/>
              <w:bottom w:val="single" w:sz="4" w:space="0" w:color="auto"/>
              <w:right w:val="nil"/>
            </w:tcBorders>
            <w:shd w:val="clear" w:color="auto" w:fill="auto"/>
            <w:noWrap/>
          </w:tcPr>
          <w:p w14:paraId="3C2119E6" w14:textId="77777777" w:rsidR="001B73C4" w:rsidRPr="00C2334B" w:rsidRDefault="001B73C4" w:rsidP="00C2334B">
            <w:pPr>
              <w:pStyle w:val="TableTextIndent1"/>
              <w:keepNext/>
              <w:spacing w:line="360" w:lineRule="auto"/>
              <w:rPr>
                <w:sz w:val="20"/>
              </w:rPr>
            </w:pPr>
            <w:r w:rsidRPr="00C2334B">
              <w:rPr>
                <w:sz w:val="20"/>
              </w:rPr>
              <w:t>How do youth’s reactions to campaign media vary by subgroups?</w:t>
            </w:r>
          </w:p>
        </w:tc>
      </w:tr>
    </w:tbl>
    <w:p w14:paraId="4CD863F8" w14:textId="77777777" w:rsidR="001B73C4" w:rsidRPr="00C2334B" w:rsidRDefault="001B73C4" w:rsidP="00C2334B">
      <w:pPr>
        <w:pStyle w:val="BodyText1"/>
        <w:spacing w:line="360" w:lineRule="auto"/>
        <w:rPr>
          <w:rFonts w:ascii="Verdana" w:hAnsi="Verdana"/>
          <w:sz w:val="20"/>
          <w:szCs w:val="20"/>
        </w:rPr>
      </w:pPr>
    </w:p>
    <w:p w14:paraId="24801070" w14:textId="2BF48511" w:rsidR="00965AB4" w:rsidRPr="00C2334B" w:rsidRDefault="006645DA" w:rsidP="001C6D17">
      <w:pPr>
        <w:pStyle w:val="BodyText1"/>
        <w:spacing w:line="360" w:lineRule="auto"/>
        <w:rPr>
          <w:rFonts w:ascii="Verdana" w:hAnsi="Verdana"/>
          <w:sz w:val="20"/>
          <w:szCs w:val="20"/>
        </w:rPr>
      </w:pPr>
      <w:r>
        <w:rPr>
          <w:rFonts w:ascii="Verdana" w:hAnsi="Verdana"/>
          <w:sz w:val="20"/>
          <w:szCs w:val="20"/>
        </w:rPr>
        <w:t>To address the</w:t>
      </w:r>
      <w:r w:rsidR="009A7ACA" w:rsidRPr="00C2334B">
        <w:rPr>
          <w:rFonts w:ascii="Verdana" w:hAnsi="Verdana"/>
          <w:sz w:val="20"/>
          <w:szCs w:val="20"/>
        </w:rPr>
        <w:t xml:space="preserve"> evaluation questions, w</w:t>
      </w:r>
      <w:r w:rsidR="001B73C4" w:rsidRPr="00C2334B">
        <w:rPr>
          <w:rFonts w:ascii="Verdana" w:hAnsi="Verdana"/>
          <w:sz w:val="20"/>
          <w:szCs w:val="20"/>
        </w:rPr>
        <w:t xml:space="preserve">e will conduct three Web-based, cross-sectional media tracking surveys, each with a unique sample of 4,000 youth. </w:t>
      </w:r>
      <w:r w:rsidR="009A7ACA" w:rsidRPr="00C2334B">
        <w:rPr>
          <w:rFonts w:ascii="Verdana" w:hAnsi="Verdana"/>
          <w:sz w:val="20"/>
          <w:szCs w:val="20"/>
        </w:rPr>
        <w:t xml:space="preserve"> </w:t>
      </w:r>
      <w:r w:rsidR="001B73C4" w:rsidRPr="00C2334B">
        <w:rPr>
          <w:rFonts w:ascii="Verdana" w:hAnsi="Verdana"/>
          <w:sz w:val="20"/>
          <w:szCs w:val="20"/>
        </w:rPr>
        <w:t xml:space="preserve">Surveys will be conducted </w:t>
      </w:r>
      <w:r w:rsidR="00E43101">
        <w:rPr>
          <w:rFonts w:ascii="Verdana" w:hAnsi="Verdana"/>
          <w:sz w:val="20"/>
          <w:szCs w:val="20"/>
        </w:rPr>
        <w:t xml:space="preserve">approximately </w:t>
      </w:r>
      <w:r w:rsidR="001B73C4" w:rsidRPr="00C2334B">
        <w:rPr>
          <w:rFonts w:ascii="Verdana" w:hAnsi="Verdana"/>
          <w:sz w:val="20"/>
          <w:szCs w:val="20"/>
        </w:rPr>
        <w:t xml:space="preserve">4 months after campaign launch and at 8-month intervals throughout the evaluation period.  </w:t>
      </w:r>
      <w:r w:rsidR="009A7ACA" w:rsidRPr="00C2334B">
        <w:rPr>
          <w:rFonts w:ascii="Verdana" w:hAnsi="Verdana"/>
          <w:sz w:val="20"/>
          <w:szCs w:val="20"/>
        </w:rPr>
        <w:t xml:space="preserve">Power calculations were conducted to determine the appropriate sample size to understand campaign awareness and receptivity among several key subpopulation groups. The sample size is calculated based on CTP requirements to assess campaign </w:t>
      </w:r>
      <w:r w:rsidR="00DA0853">
        <w:rPr>
          <w:rFonts w:ascii="Verdana" w:hAnsi="Verdana"/>
          <w:sz w:val="20"/>
          <w:szCs w:val="20"/>
        </w:rPr>
        <w:t>awareness and ad-level awareness</w:t>
      </w:r>
      <w:r w:rsidR="009A7ACA" w:rsidRPr="00C2334B">
        <w:rPr>
          <w:rFonts w:ascii="Verdana" w:hAnsi="Verdana"/>
          <w:sz w:val="20"/>
          <w:szCs w:val="20"/>
        </w:rPr>
        <w:t xml:space="preserve"> by gender, age (aged 12 to 14 and aged 15 to 17), geographic area (rural and non-rural</w:t>
      </w:r>
      <w:r w:rsidR="00DA0853">
        <w:rPr>
          <w:rFonts w:ascii="Verdana" w:hAnsi="Verdana"/>
          <w:sz w:val="20"/>
          <w:szCs w:val="20"/>
        </w:rPr>
        <w:t>)</w:t>
      </w:r>
      <w:r w:rsidR="001C6D17">
        <w:rPr>
          <w:rFonts w:ascii="Verdana" w:hAnsi="Verdana"/>
          <w:sz w:val="20"/>
          <w:szCs w:val="20"/>
        </w:rPr>
        <w:t>,</w:t>
      </w:r>
      <w:r w:rsidR="00DA0853">
        <w:rPr>
          <w:rFonts w:ascii="Verdana" w:hAnsi="Verdana"/>
          <w:sz w:val="20"/>
          <w:szCs w:val="20"/>
        </w:rPr>
        <w:t xml:space="preserve"> and tobacco use susceptibility</w:t>
      </w:r>
      <w:r w:rsidR="001C6D17">
        <w:rPr>
          <w:rFonts w:ascii="Verdana" w:hAnsi="Verdana"/>
          <w:sz w:val="20"/>
          <w:szCs w:val="20"/>
        </w:rPr>
        <w:t xml:space="preserve">.  </w:t>
      </w:r>
      <w:r w:rsidR="001C6D17" w:rsidRPr="00C2334B">
        <w:rPr>
          <w:rFonts w:ascii="Verdana" w:hAnsi="Verdana"/>
          <w:sz w:val="20"/>
          <w:szCs w:val="20"/>
        </w:rPr>
        <w:t xml:space="preserve">Each media tracking survey will provide approximately </w:t>
      </w:r>
      <w:r w:rsidR="00DA0853">
        <w:rPr>
          <w:rFonts w:ascii="Verdana" w:hAnsi="Verdana"/>
          <w:sz w:val="20"/>
          <w:szCs w:val="20"/>
        </w:rPr>
        <w:t>250</w:t>
      </w:r>
      <w:r w:rsidR="001C6D17" w:rsidRPr="00C2334B">
        <w:rPr>
          <w:rFonts w:ascii="Verdana" w:hAnsi="Verdana"/>
          <w:sz w:val="20"/>
          <w:szCs w:val="20"/>
        </w:rPr>
        <w:t xml:space="preserve"> </w:t>
      </w:r>
      <w:r w:rsidR="001C6D17">
        <w:rPr>
          <w:rFonts w:ascii="Verdana" w:hAnsi="Verdana"/>
          <w:sz w:val="20"/>
          <w:szCs w:val="20"/>
        </w:rPr>
        <w:t xml:space="preserve">youth in each of </w:t>
      </w:r>
      <w:r w:rsidR="00DA0853">
        <w:rPr>
          <w:rFonts w:ascii="Verdana" w:hAnsi="Verdana"/>
          <w:sz w:val="20"/>
          <w:szCs w:val="20"/>
        </w:rPr>
        <w:t>sixteen</w:t>
      </w:r>
      <w:r w:rsidR="00303C09">
        <w:rPr>
          <w:rFonts w:ascii="Verdana" w:hAnsi="Verdana"/>
          <w:sz w:val="20"/>
          <w:szCs w:val="20"/>
        </w:rPr>
        <w:t xml:space="preserve"> segments.  </w:t>
      </w:r>
      <w:r w:rsidR="00303C09" w:rsidRPr="00303C09">
        <w:rPr>
          <w:rFonts w:ascii="Verdana" w:hAnsi="Verdana"/>
          <w:sz w:val="20"/>
          <w:szCs w:val="20"/>
        </w:rPr>
        <w:t>For the purposes of esti</w:t>
      </w:r>
      <w:r w:rsidR="00303C09">
        <w:rPr>
          <w:rFonts w:ascii="Verdana" w:hAnsi="Verdana"/>
          <w:sz w:val="20"/>
          <w:szCs w:val="20"/>
        </w:rPr>
        <w:t>mating statistical power</w:t>
      </w:r>
      <w:r w:rsidR="00303C09" w:rsidRPr="00303C09">
        <w:rPr>
          <w:rFonts w:ascii="Verdana" w:hAnsi="Verdana"/>
          <w:sz w:val="20"/>
          <w:szCs w:val="20"/>
        </w:rPr>
        <w:t xml:space="preserve">, we assume that the test statistic evaluating </w:t>
      </w:r>
      <w:r w:rsidR="00303C09">
        <w:rPr>
          <w:rFonts w:ascii="Verdana" w:hAnsi="Verdana"/>
          <w:sz w:val="20"/>
          <w:szCs w:val="20"/>
        </w:rPr>
        <w:t xml:space="preserve">subpopulation differences in </w:t>
      </w:r>
      <w:r w:rsidR="00303C09" w:rsidRPr="00303C09">
        <w:rPr>
          <w:rFonts w:ascii="Verdana" w:hAnsi="Verdana"/>
          <w:sz w:val="20"/>
          <w:szCs w:val="20"/>
        </w:rPr>
        <w:t xml:space="preserve">campaign </w:t>
      </w:r>
      <w:r w:rsidR="00303C09">
        <w:rPr>
          <w:rFonts w:ascii="Verdana" w:hAnsi="Verdana"/>
          <w:sz w:val="20"/>
          <w:szCs w:val="20"/>
        </w:rPr>
        <w:t xml:space="preserve">awareness </w:t>
      </w:r>
      <w:r w:rsidR="00303C09" w:rsidRPr="00303C09">
        <w:rPr>
          <w:rFonts w:ascii="Verdana" w:hAnsi="Verdana"/>
          <w:sz w:val="20"/>
          <w:szCs w:val="20"/>
        </w:rPr>
        <w:t xml:space="preserve">will involve a two-tailed hypothesis test </w:t>
      </w:r>
      <w:r w:rsidR="00303C09" w:rsidRPr="00303C09">
        <w:rPr>
          <w:rFonts w:ascii="Verdana" w:hAnsi="Verdana"/>
          <w:sz w:val="20"/>
          <w:szCs w:val="20"/>
        </w:rPr>
        <w:lastRenderedPageBreak/>
        <w:t xml:space="preserve">with a Type I error rate of 0.05 and a Type II error rate of 0.020, yielding 80% statistical power. </w:t>
      </w:r>
      <w:r w:rsidR="00965AB4" w:rsidRPr="00C2334B">
        <w:rPr>
          <w:rFonts w:ascii="Verdana" w:hAnsi="Verdana"/>
          <w:sz w:val="20"/>
          <w:szCs w:val="20"/>
        </w:rPr>
        <w:t xml:space="preserve">Analyses of the media tracking will consist </w:t>
      </w:r>
      <w:r w:rsidR="001C6D17">
        <w:rPr>
          <w:rFonts w:ascii="Verdana" w:hAnsi="Verdana"/>
          <w:sz w:val="20"/>
          <w:szCs w:val="20"/>
        </w:rPr>
        <w:t xml:space="preserve">primarily </w:t>
      </w:r>
      <w:r w:rsidR="00965AB4" w:rsidRPr="00C2334B">
        <w:rPr>
          <w:rFonts w:ascii="Verdana" w:hAnsi="Verdana"/>
          <w:sz w:val="20"/>
          <w:szCs w:val="20"/>
        </w:rPr>
        <w:t>of summary statistics on awareness of and reactions to campaign advertisements within the</w:t>
      </w:r>
      <w:r w:rsidR="001C6D17">
        <w:rPr>
          <w:rFonts w:ascii="Verdana" w:hAnsi="Verdana"/>
          <w:sz w:val="20"/>
          <w:szCs w:val="20"/>
        </w:rPr>
        <w:t xml:space="preserve"> </w:t>
      </w:r>
      <w:r w:rsidR="00166F85">
        <w:rPr>
          <w:rFonts w:ascii="Verdana" w:hAnsi="Verdana"/>
          <w:sz w:val="20"/>
          <w:szCs w:val="20"/>
        </w:rPr>
        <w:t>sixteen</w:t>
      </w:r>
      <w:r w:rsidR="00166F85" w:rsidRPr="00C2334B">
        <w:rPr>
          <w:rFonts w:ascii="Verdana" w:hAnsi="Verdana"/>
          <w:sz w:val="20"/>
          <w:szCs w:val="20"/>
        </w:rPr>
        <w:t xml:space="preserve"> </w:t>
      </w:r>
      <w:r w:rsidR="00965AB4" w:rsidRPr="00C2334B">
        <w:rPr>
          <w:rFonts w:ascii="Verdana" w:hAnsi="Verdana"/>
          <w:sz w:val="20"/>
          <w:szCs w:val="20"/>
        </w:rPr>
        <w:t xml:space="preserve">subpopulations noted.  </w:t>
      </w:r>
    </w:p>
    <w:p w14:paraId="60036F61" w14:textId="77777777" w:rsidR="001B73C4" w:rsidRPr="00C2334B" w:rsidRDefault="001B73C4" w:rsidP="00C2334B">
      <w:pPr>
        <w:pStyle w:val="BodyText1"/>
        <w:spacing w:line="360" w:lineRule="auto"/>
        <w:rPr>
          <w:rFonts w:ascii="Verdana" w:hAnsi="Verdana"/>
          <w:sz w:val="20"/>
          <w:szCs w:val="20"/>
        </w:rPr>
      </w:pPr>
      <w:r w:rsidRPr="00C2334B">
        <w:rPr>
          <w:rFonts w:ascii="Verdana" w:hAnsi="Verdana"/>
          <w:sz w:val="20"/>
          <w:szCs w:val="20"/>
        </w:rPr>
        <w:t xml:space="preserve">RTI will conduct this study using a sample of youth purchased from the digital data collection company Global Market Insite, Inc. (GMI). GMI will distribute a link to these RTI-programmed, RTI-housed Web-based surveys to approximately 40,000 members of their youth panel and track the number of completed surveys remotely using redirect links until we reach our target of 4,000 for each survey. Youth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entered directly into secure RTI servers. </w:t>
      </w:r>
    </w:p>
    <w:p w14:paraId="7ED4BC25" w14:textId="7BF711A2" w:rsidR="009A7ACA" w:rsidRPr="00C2334B" w:rsidRDefault="009A7ACA" w:rsidP="00C2334B">
      <w:pPr>
        <w:pStyle w:val="BodyText1"/>
        <w:spacing w:line="360" w:lineRule="auto"/>
        <w:rPr>
          <w:rFonts w:ascii="Verdana" w:hAnsi="Verdana"/>
          <w:sz w:val="20"/>
          <w:szCs w:val="20"/>
        </w:rPr>
      </w:pPr>
      <w:r w:rsidRPr="00C2334B">
        <w:rPr>
          <w:rFonts w:ascii="Verdana" w:hAnsi="Verdana"/>
          <w:sz w:val="20"/>
          <w:szCs w:val="20"/>
        </w:rPr>
        <w:t>The data collected are not a nationally representative sample and are not intended to draw conclusions at the population-level.  T</w:t>
      </w:r>
      <w:r w:rsidR="001B73C4" w:rsidRPr="00C2334B">
        <w:rPr>
          <w:rFonts w:ascii="Verdana" w:hAnsi="Verdana"/>
          <w:sz w:val="20"/>
          <w:szCs w:val="20"/>
        </w:rPr>
        <w:t>he primary outcome evaluation will be the source for all public information about the campaign</w:t>
      </w:r>
      <w:r w:rsidR="00E43101">
        <w:rPr>
          <w:rFonts w:ascii="Verdana" w:hAnsi="Verdana"/>
          <w:sz w:val="20"/>
          <w:szCs w:val="20"/>
        </w:rPr>
        <w:t>.  T</w:t>
      </w:r>
      <w:r w:rsidR="001B73C4" w:rsidRPr="00C2334B">
        <w:rPr>
          <w:rFonts w:ascii="Verdana" w:hAnsi="Verdana"/>
          <w:sz w:val="20"/>
          <w:szCs w:val="20"/>
        </w:rPr>
        <w:t>he media tracking surveys allow FDA t</w:t>
      </w:r>
      <w:r w:rsidRPr="00C2334B">
        <w:rPr>
          <w:rFonts w:ascii="Verdana" w:hAnsi="Verdana"/>
          <w:sz w:val="20"/>
          <w:szCs w:val="20"/>
        </w:rPr>
        <w:t xml:space="preserve">o track campaign awareness </w:t>
      </w:r>
      <w:r w:rsidR="00B278D3">
        <w:rPr>
          <w:rFonts w:ascii="Verdana" w:hAnsi="Verdana"/>
          <w:sz w:val="20"/>
          <w:szCs w:val="20"/>
        </w:rPr>
        <w:t>and perceived ad effectiveness</w:t>
      </w:r>
      <w:r w:rsidR="00B278D3" w:rsidRPr="00C2334B">
        <w:rPr>
          <w:rFonts w:ascii="Verdana" w:hAnsi="Verdana"/>
          <w:sz w:val="20"/>
          <w:szCs w:val="20"/>
        </w:rPr>
        <w:t xml:space="preserve"> </w:t>
      </w:r>
      <w:r w:rsidRPr="00C2334B">
        <w:rPr>
          <w:rFonts w:ascii="Verdana" w:hAnsi="Verdana"/>
          <w:sz w:val="20"/>
          <w:szCs w:val="20"/>
        </w:rPr>
        <w:t>for internal planning purposes</w:t>
      </w:r>
      <w:r w:rsidR="00E43101">
        <w:rPr>
          <w:rFonts w:ascii="Verdana" w:hAnsi="Verdana"/>
          <w:sz w:val="20"/>
          <w:szCs w:val="20"/>
        </w:rPr>
        <w:t xml:space="preserve"> only</w:t>
      </w:r>
      <w:r w:rsidR="001B73C4" w:rsidRPr="00C2334B">
        <w:rPr>
          <w:rFonts w:ascii="Verdana" w:hAnsi="Verdana"/>
          <w:sz w:val="20"/>
          <w:szCs w:val="20"/>
        </w:rPr>
        <w:t>.</w:t>
      </w:r>
      <w:r w:rsidRPr="00C2334B">
        <w:rPr>
          <w:rFonts w:ascii="Verdana" w:hAnsi="Verdana"/>
          <w:sz w:val="20"/>
          <w:szCs w:val="20"/>
        </w:rPr>
        <w:t xml:space="preserve">  </w:t>
      </w:r>
    </w:p>
    <w:p w14:paraId="4242C476" w14:textId="69150CA1" w:rsidR="006556D7" w:rsidRDefault="001B73C4" w:rsidP="00C2334B">
      <w:pPr>
        <w:pStyle w:val="BodyText1"/>
        <w:spacing w:line="360" w:lineRule="auto"/>
        <w:rPr>
          <w:rFonts w:ascii="Verdana" w:hAnsi="Verdana"/>
          <w:sz w:val="20"/>
          <w:szCs w:val="20"/>
        </w:rPr>
      </w:pPr>
      <w:r w:rsidRPr="00C2334B">
        <w:rPr>
          <w:rFonts w:ascii="Verdana" w:hAnsi="Verdana"/>
          <w:sz w:val="20"/>
          <w:szCs w:val="20"/>
        </w:rPr>
        <w:t>While</w:t>
      </w:r>
      <w:r w:rsidR="00EC0369" w:rsidRPr="00C2334B">
        <w:rPr>
          <w:rFonts w:ascii="Verdana" w:hAnsi="Verdana"/>
          <w:sz w:val="20"/>
          <w:szCs w:val="20"/>
        </w:rPr>
        <w:t xml:space="preserve"> measures</w:t>
      </w:r>
      <w:r w:rsidRPr="00C2334B">
        <w:rPr>
          <w:rFonts w:ascii="Verdana" w:hAnsi="Verdana"/>
          <w:sz w:val="20"/>
          <w:szCs w:val="20"/>
        </w:rPr>
        <w:t xml:space="preserve"> of campaign awareness and </w:t>
      </w:r>
      <w:r w:rsidR="00B278D3">
        <w:rPr>
          <w:rFonts w:ascii="Verdana" w:hAnsi="Verdana"/>
          <w:sz w:val="20"/>
          <w:szCs w:val="20"/>
        </w:rPr>
        <w:t>perceived effectiveness</w:t>
      </w:r>
      <w:r w:rsidR="00B278D3" w:rsidRPr="00C2334B">
        <w:rPr>
          <w:rFonts w:ascii="Verdana" w:hAnsi="Verdana"/>
          <w:sz w:val="20"/>
          <w:szCs w:val="20"/>
        </w:rPr>
        <w:t xml:space="preserve"> </w:t>
      </w:r>
      <w:r w:rsidR="00EC0369" w:rsidRPr="00C2334B">
        <w:rPr>
          <w:rFonts w:ascii="Verdana" w:hAnsi="Verdana"/>
          <w:sz w:val="20"/>
          <w:szCs w:val="20"/>
        </w:rPr>
        <w:t>are included in the outcome evaluation survey,</w:t>
      </w:r>
      <w:r w:rsidR="00325C72" w:rsidRPr="00C2334B">
        <w:rPr>
          <w:rFonts w:ascii="Verdana" w:hAnsi="Verdana"/>
          <w:sz w:val="20"/>
          <w:szCs w:val="20"/>
        </w:rPr>
        <w:t xml:space="preserve"> the addition of surveys early after launch and at additional t</w:t>
      </w:r>
      <w:r w:rsidR="00437BD8">
        <w:rPr>
          <w:rFonts w:ascii="Verdana" w:hAnsi="Verdana"/>
          <w:sz w:val="20"/>
          <w:szCs w:val="20"/>
        </w:rPr>
        <w:t xml:space="preserve">ime points to the current outcome evaluation study design would be harmful to the evaluation.  </w:t>
      </w:r>
      <w:r w:rsidR="00325C72" w:rsidRPr="00C2334B">
        <w:rPr>
          <w:rFonts w:ascii="Verdana" w:hAnsi="Verdana"/>
          <w:sz w:val="20"/>
          <w:szCs w:val="20"/>
        </w:rPr>
        <w:t>Because youth are exposed to campaign advertis</w:t>
      </w:r>
      <w:r w:rsidRPr="00C2334B">
        <w:rPr>
          <w:rFonts w:ascii="Verdana" w:hAnsi="Verdana"/>
          <w:sz w:val="20"/>
          <w:szCs w:val="20"/>
        </w:rPr>
        <w:t>e</w:t>
      </w:r>
      <w:r w:rsidR="00325C72" w:rsidRPr="00C2334B">
        <w:rPr>
          <w:rFonts w:ascii="Verdana" w:hAnsi="Verdana"/>
          <w:sz w:val="20"/>
          <w:szCs w:val="20"/>
        </w:rPr>
        <w:t xml:space="preserve">ments during the survey, additional surveys </w:t>
      </w:r>
      <w:r w:rsidR="009A7ACA" w:rsidRPr="00C2334B">
        <w:rPr>
          <w:rFonts w:ascii="Verdana" w:hAnsi="Verdana"/>
          <w:sz w:val="20"/>
          <w:szCs w:val="20"/>
        </w:rPr>
        <w:t>would</w:t>
      </w:r>
      <w:r w:rsidR="00325C72" w:rsidRPr="00C2334B">
        <w:rPr>
          <w:rFonts w:ascii="Verdana" w:hAnsi="Verdana"/>
          <w:sz w:val="20"/>
          <w:szCs w:val="20"/>
        </w:rPr>
        <w:t xml:space="preserve"> arti</w:t>
      </w:r>
      <w:r w:rsidR="009A7ACA" w:rsidRPr="00C2334B">
        <w:rPr>
          <w:rFonts w:ascii="Verdana" w:hAnsi="Verdana"/>
          <w:sz w:val="20"/>
          <w:szCs w:val="20"/>
        </w:rPr>
        <w:t>fi</w:t>
      </w:r>
      <w:r w:rsidR="00325C72" w:rsidRPr="00C2334B">
        <w:rPr>
          <w:rFonts w:ascii="Verdana" w:hAnsi="Verdana"/>
          <w:sz w:val="20"/>
          <w:szCs w:val="20"/>
        </w:rPr>
        <w:t>cially increase campaign awareness</w:t>
      </w:r>
      <w:r w:rsidR="009A7ACA" w:rsidRPr="00C2334B">
        <w:rPr>
          <w:rFonts w:ascii="Verdana" w:hAnsi="Verdana"/>
          <w:sz w:val="20"/>
          <w:szCs w:val="20"/>
        </w:rPr>
        <w:t>, especially at later waves</w:t>
      </w:r>
      <w:r w:rsidR="00325C72" w:rsidRPr="00C2334B">
        <w:rPr>
          <w:rFonts w:ascii="Verdana" w:hAnsi="Verdana"/>
          <w:sz w:val="20"/>
          <w:szCs w:val="20"/>
        </w:rPr>
        <w:t xml:space="preserve">.  Also, the attrition introduced by these additional surveys would </w:t>
      </w:r>
      <w:r w:rsidRPr="00C2334B">
        <w:rPr>
          <w:rFonts w:ascii="Verdana" w:hAnsi="Verdana"/>
          <w:sz w:val="20"/>
          <w:szCs w:val="20"/>
        </w:rPr>
        <w:t xml:space="preserve">substantially </w:t>
      </w:r>
      <w:r w:rsidR="00325C72" w:rsidRPr="00C2334B">
        <w:rPr>
          <w:rFonts w:ascii="Verdana" w:hAnsi="Verdana"/>
          <w:sz w:val="20"/>
          <w:szCs w:val="20"/>
        </w:rPr>
        <w:t>increase the baseline sample</w:t>
      </w:r>
      <w:r w:rsidR="006556D7">
        <w:rPr>
          <w:rFonts w:ascii="Verdana" w:hAnsi="Verdana"/>
          <w:sz w:val="20"/>
          <w:szCs w:val="20"/>
        </w:rPr>
        <w:t xml:space="preserve"> sizes</w:t>
      </w:r>
      <w:r w:rsidR="00325C72" w:rsidRPr="00C2334B">
        <w:rPr>
          <w:rFonts w:ascii="Verdana" w:hAnsi="Verdana"/>
          <w:sz w:val="20"/>
          <w:szCs w:val="20"/>
        </w:rPr>
        <w:t xml:space="preserve"> required</w:t>
      </w:r>
      <w:r w:rsidR="006556D7">
        <w:rPr>
          <w:rFonts w:ascii="Verdana" w:hAnsi="Verdana"/>
          <w:sz w:val="20"/>
          <w:szCs w:val="20"/>
        </w:rPr>
        <w:t xml:space="preserve"> as well as</w:t>
      </w:r>
      <w:r w:rsidRPr="00C2334B">
        <w:rPr>
          <w:rFonts w:ascii="Verdana" w:hAnsi="Verdana"/>
          <w:sz w:val="20"/>
          <w:szCs w:val="20"/>
        </w:rPr>
        <w:t xml:space="preserve"> increase the likelihood of survey response bias over time.  </w:t>
      </w:r>
    </w:p>
    <w:p w14:paraId="1677C7CC" w14:textId="77777777" w:rsidR="00B278D3" w:rsidRDefault="00B278D3">
      <w:pPr>
        <w:spacing w:after="200" w:line="276" w:lineRule="auto"/>
        <w:rPr>
          <w:rFonts w:ascii="Verdana" w:hAnsi="Verdana"/>
          <w:sz w:val="20"/>
          <w:szCs w:val="20"/>
        </w:rPr>
      </w:pPr>
      <w:r>
        <w:rPr>
          <w:rFonts w:ascii="Verdana" w:hAnsi="Verdana"/>
          <w:sz w:val="20"/>
          <w:szCs w:val="20"/>
        </w:rPr>
        <w:br w:type="page"/>
      </w:r>
    </w:p>
    <w:p w14:paraId="0C38AA4A" w14:textId="77777777" w:rsidR="006645DA" w:rsidRPr="00CD1451" w:rsidRDefault="00CD1451" w:rsidP="00C2334B">
      <w:pPr>
        <w:pStyle w:val="BodyText1"/>
        <w:spacing w:line="360" w:lineRule="auto"/>
        <w:rPr>
          <w:rFonts w:ascii="Verdana" w:hAnsi="Verdana"/>
          <w:sz w:val="20"/>
          <w:szCs w:val="20"/>
        </w:rPr>
      </w:pPr>
      <w:r w:rsidRPr="00CD1451">
        <w:rPr>
          <w:rFonts w:ascii="Verdana" w:hAnsi="Verdana"/>
          <w:sz w:val="20"/>
          <w:szCs w:val="20"/>
        </w:rPr>
        <w:lastRenderedPageBreak/>
        <w:t>Table 1-2 provides the survey items enumerated by type and a description of how the various survey measures will be used in analyses.</w:t>
      </w:r>
    </w:p>
    <w:p w14:paraId="74E98FCD" w14:textId="77777777" w:rsidR="00CD1451" w:rsidRDefault="00CD1451" w:rsidP="00CD1451">
      <w:pPr>
        <w:rPr>
          <w:rFonts w:ascii="Verdana" w:hAnsi="Verdana"/>
          <w:b/>
          <w:sz w:val="20"/>
          <w:szCs w:val="20"/>
        </w:rPr>
      </w:pPr>
      <w:r w:rsidRPr="00CD1451">
        <w:rPr>
          <w:rFonts w:ascii="Verdana" w:hAnsi="Verdana"/>
          <w:b/>
          <w:sz w:val="20"/>
          <w:szCs w:val="20"/>
        </w:rPr>
        <w:t xml:space="preserve">Table 1-2.  Survey Items by Type and Intended in Analysis, Media Tracking Survey </w:t>
      </w:r>
    </w:p>
    <w:p w14:paraId="3F3EB125" w14:textId="77777777" w:rsidR="00CD1451" w:rsidRPr="00CD1451" w:rsidRDefault="00CD1451" w:rsidP="00CD1451">
      <w:pPr>
        <w:rPr>
          <w:rFonts w:ascii="Verdana" w:hAnsi="Verdana"/>
          <w:b/>
          <w:sz w:val="20"/>
          <w:szCs w:val="20"/>
        </w:rPr>
      </w:pPr>
    </w:p>
    <w:tbl>
      <w:tblPr>
        <w:tblStyle w:val="TableGrid"/>
        <w:tblW w:w="0" w:type="auto"/>
        <w:tblLook w:val="04A0" w:firstRow="1" w:lastRow="0" w:firstColumn="1" w:lastColumn="0" w:noHBand="0" w:noVBand="1"/>
      </w:tblPr>
      <w:tblGrid>
        <w:gridCol w:w="3348"/>
        <w:gridCol w:w="3420"/>
        <w:gridCol w:w="2700"/>
      </w:tblGrid>
      <w:tr w:rsidR="00CD1451" w:rsidRPr="00CD1451" w14:paraId="618E7BDF" w14:textId="77777777" w:rsidTr="009C5C03">
        <w:tc>
          <w:tcPr>
            <w:tcW w:w="3348" w:type="dxa"/>
          </w:tcPr>
          <w:p w14:paraId="631EB414"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Type of Item</w:t>
            </w:r>
          </w:p>
        </w:tc>
        <w:tc>
          <w:tcPr>
            <w:tcW w:w="3420" w:type="dxa"/>
          </w:tcPr>
          <w:p w14:paraId="2BEF42BA"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Survey Items</w:t>
            </w:r>
          </w:p>
        </w:tc>
        <w:tc>
          <w:tcPr>
            <w:tcW w:w="2700" w:type="dxa"/>
          </w:tcPr>
          <w:p w14:paraId="14DF9CC9" w14:textId="77777777" w:rsidR="00CD1451" w:rsidRPr="00CD1451" w:rsidRDefault="00CD1451" w:rsidP="009C5C03">
            <w:pPr>
              <w:jc w:val="center"/>
              <w:rPr>
                <w:rFonts w:ascii="Verdana" w:hAnsi="Verdana"/>
                <w:b/>
                <w:sz w:val="20"/>
                <w:szCs w:val="20"/>
              </w:rPr>
            </w:pPr>
            <w:r w:rsidRPr="00CD1451">
              <w:rPr>
                <w:rFonts w:ascii="Verdana" w:hAnsi="Verdana"/>
                <w:b/>
                <w:sz w:val="20"/>
                <w:szCs w:val="20"/>
              </w:rPr>
              <w:t>Intended Use in Analysis of Media Tracking Data</w:t>
            </w:r>
          </w:p>
        </w:tc>
      </w:tr>
      <w:tr w:rsidR="00CD1451" w:rsidRPr="00CD1451" w14:paraId="29F13B78" w14:textId="77777777" w:rsidTr="009C5C03">
        <w:tc>
          <w:tcPr>
            <w:tcW w:w="3348" w:type="dxa"/>
          </w:tcPr>
          <w:p w14:paraId="32330456" w14:textId="77777777" w:rsidR="00CD1451" w:rsidRPr="00CD1451" w:rsidRDefault="00CD1451" w:rsidP="009C5C03">
            <w:pPr>
              <w:rPr>
                <w:rFonts w:ascii="Verdana" w:hAnsi="Verdana"/>
                <w:sz w:val="20"/>
                <w:szCs w:val="20"/>
              </w:rPr>
            </w:pPr>
            <w:r w:rsidRPr="00CD1451">
              <w:rPr>
                <w:rFonts w:ascii="Verdana" w:hAnsi="Verdana"/>
                <w:sz w:val="20"/>
                <w:szCs w:val="20"/>
              </w:rPr>
              <w:t>Demographics</w:t>
            </w:r>
          </w:p>
        </w:tc>
        <w:tc>
          <w:tcPr>
            <w:tcW w:w="3420" w:type="dxa"/>
          </w:tcPr>
          <w:p w14:paraId="6A3A276A" w14:textId="77777777" w:rsidR="00CD1451" w:rsidRPr="00CD1451" w:rsidRDefault="00814055" w:rsidP="009C5C03">
            <w:pPr>
              <w:rPr>
                <w:rFonts w:ascii="Verdana" w:hAnsi="Verdana"/>
                <w:sz w:val="20"/>
                <w:szCs w:val="20"/>
              </w:rPr>
            </w:pPr>
            <w:r>
              <w:rPr>
                <w:rFonts w:ascii="Verdana" w:hAnsi="Verdana"/>
                <w:sz w:val="20"/>
                <w:szCs w:val="20"/>
              </w:rPr>
              <w:t>S1, C1 – C5</w:t>
            </w:r>
          </w:p>
        </w:tc>
        <w:tc>
          <w:tcPr>
            <w:tcW w:w="2700" w:type="dxa"/>
          </w:tcPr>
          <w:p w14:paraId="5406F4FC" w14:textId="77777777" w:rsidR="00CD1451" w:rsidRPr="00CD1451" w:rsidRDefault="00CD1451" w:rsidP="009C5C03">
            <w:pPr>
              <w:rPr>
                <w:rFonts w:ascii="Verdana" w:hAnsi="Verdana"/>
                <w:sz w:val="20"/>
                <w:szCs w:val="20"/>
              </w:rPr>
            </w:pPr>
            <w:r w:rsidRPr="00CD1451">
              <w:rPr>
                <w:rFonts w:ascii="Verdana" w:hAnsi="Verdana"/>
                <w:sz w:val="20"/>
                <w:szCs w:val="20"/>
              </w:rPr>
              <w:t>stratification variable</w:t>
            </w:r>
          </w:p>
        </w:tc>
      </w:tr>
      <w:tr w:rsidR="00CD1451" w:rsidRPr="00CD1451" w14:paraId="09D70F60" w14:textId="77777777" w:rsidTr="009C5C03">
        <w:tc>
          <w:tcPr>
            <w:tcW w:w="3348" w:type="dxa"/>
          </w:tcPr>
          <w:p w14:paraId="26832EDB"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Awareness </w:t>
            </w:r>
          </w:p>
        </w:tc>
        <w:tc>
          <w:tcPr>
            <w:tcW w:w="3420" w:type="dxa"/>
          </w:tcPr>
          <w:p w14:paraId="11A94D3F" w14:textId="77777777" w:rsidR="00CD1451" w:rsidRPr="00CD1451" w:rsidRDefault="00814055" w:rsidP="009C5C03">
            <w:pPr>
              <w:rPr>
                <w:rFonts w:ascii="Verdana" w:hAnsi="Verdana"/>
                <w:sz w:val="20"/>
                <w:szCs w:val="20"/>
              </w:rPr>
            </w:pPr>
            <w:r>
              <w:rPr>
                <w:rFonts w:ascii="Verdana" w:hAnsi="Verdana"/>
                <w:sz w:val="20"/>
                <w:szCs w:val="20"/>
              </w:rPr>
              <w:t>A3 – A9</w:t>
            </w:r>
          </w:p>
        </w:tc>
        <w:tc>
          <w:tcPr>
            <w:tcW w:w="2700" w:type="dxa"/>
          </w:tcPr>
          <w:p w14:paraId="27051A84"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11B081A9" w14:textId="77777777" w:rsidTr="009C5C03">
        <w:tc>
          <w:tcPr>
            <w:tcW w:w="3348" w:type="dxa"/>
          </w:tcPr>
          <w:p w14:paraId="1A758C0D" w14:textId="77777777" w:rsidR="00CD1451" w:rsidRPr="00CD1451" w:rsidRDefault="00CD1451" w:rsidP="009C5C03">
            <w:pPr>
              <w:rPr>
                <w:rFonts w:ascii="Verdana" w:hAnsi="Verdana"/>
                <w:sz w:val="20"/>
                <w:szCs w:val="20"/>
              </w:rPr>
            </w:pPr>
            <w:r w:rsidRPr="00CD1451">
              <w:rPr>
                <w:rFonts w:ascii="Verdana" w:hAnsi="Verdana"/>
                <w:sz w:val="20"/>
                <w:szCs w:val="20"/>
              </w:rPr>
              <w:t xml:space="preserve">Campaign Receptivity </w:t>
            </w:r>
          </w:p>
        </w:tc>
        <w:tc>
          <w:tcPr>
            <w:tcW w:w="3420" w:type="dxa"/>
          </w:tcPr>
          <w:p w14:paraId="2A8A8EB7" w14:textId="77777777" w:rsidR="00CD1451" w:rsidRPr="00CD1451" w:rsidRDefault="00814055" w:rsidP="009C5C03">
            <w:pPr>
              <w:rPr>
                <w:rFonts w:ascii="Verdana" w:hAnsi="Verdana"/>
                <w:sz w:val="20"/>
                <w:szCs w:val="20"/>
              </w:rPr>
            </w:pPr>
            <w:r>
              <w:rPr>
                <w:rFonts w:ascii="Verdana" w:hAnsi="Verdana"/>
                <w:sz w:val="20"/>
                <w:szCs w:val="20"/>
              </w:rPr>
              <w:t>A10 – A15</w:t>
            </w:r>
          </w:p>
        </w:tc>
        <w:tc>
          <w:tcPr>
            <w:tcW w:w="2700" w:type="dxa"/>
          </w:tcPr>
          <w:p w14:paraId="2091BA9B" w14:textId="77777777" w:rsidR="00CD1451" w:rsidRPr="00CD1451" w:rsidRDefault="00CD1451" w:rsidP="009C5C03">
            <w:pPr>
              <w:rPr>
                <w:rFonts w:ascii="Verdana" w:hAnsi="Verdana"/>
                <w:sz w:val="20"/>
                <w:szCs w:val="20"/>
              </w:rPr>
            </w:pPr>
            <w:r w:rsidRPr="00CD1451">
              <w:rPr>
                <w:rFonts w:ascii="Verdana" w:hAnsi="Verdana"/>
                <w:sz w:val="20"/>
                <w:szCs w:val="20"/>
              </w:rPr>
              <w:t>outcome variable</w:t>
            </w:r>
          </w:p>
        </w:tc>
      </w:tr>
      <w:tr w:rsidR="00CD1451" w:rsidRPr="00CD1451" w14:paraId="702B8905" w14:textId="77777777" w:rsidTr="009C5C03">
        <w:tc>
          <w:tcPr>
            <w:tcW w:w="3348" w:type="dxa"/>
          </w:tcPr>
          <w:p w14:paraId="3B6AF075" w14:textId="77777777" w:rsidR="00CD1451" w:rsidRPr="00CD1451" w:rsidRDefault="00CD1451" w:rsidP="009C5C03">
            <w:pPr>
              <w:rPr>
                <w:rFonts w:ascii="Verdana" w:hAnsi="Verdana"/>
                <w:sz w:val="20"/>
                <w:szCs w:val="20"/>
              </w:rPr>
            </w:pPr>
            <w:r w:rsidRPr="00CD1451">
              <w:rPr>
                <w:rFonts w:ascii="Verdana" w:hAnsi="Verdana"/>
                <w:sz w:val="20"/>
                <w:szCs w:val="20"/>
              </w:rPr>
              <w:t>Tobacco-related Attitudes, Beliefs, Risk Perceptions, and Social Norms</w:t>
            </w:r>
          </w:p>
        </w:tc>
        <w:tc>
          <w:tcPr>
            <w:tcW w:w="3420" w:type="dxa"/>
          </w:tcPr>
          <w:p w14:paraId="10979DF6" w14:textId="77777777" w:rsidR="00CD1451" w:rsidRPr="00CD1451" w:rsidRDefault="00814055" w:rsidP="009C5C03">
            <w:pPr>
              <w:rPr>
                <w:rFonts w:ascii="Verdana" w:hAnsi="Verdana"/>
                <w:sz w:val="20"/>
                <w:szCs w:val="20"/>
              </w:rPr>
            </w:pPr>
            <w:r>
              <w:rPr>
                <w:rFonts w:ascii="Verdana" w:hAnsi="Verdana"/>
                <w:sz w:val="20"/>
                <w:szCs w:val="20"/>
              </w:rPr>
              <w:t>B11 – B21</w:t>
            </w:r>
          </w:p>
        </w:tc>
        <w:tc>
          <w:tcPr>
            <w:tcW w:w="2700" w:type="dxa"/>
          </w:tcPr>
          <w:p w14:paraId="23939799"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0D1694AD" w14:textId="77777777" w:rsidTr="009C5C03">
        <w:tc>
          <w:tcPr>
            <w:tcW w:w="3348" w:type="dxa"/>
          </w:tcPr>
          <w:p w14:paraId="513466BF" w14:textId="77777777" w:rsidR="00CD1451" w:rsidRPr="00CD1451" w:rsidRDefault="00814055" w:rsidP="00814055">
            <w:pPr>
              <w:rPr>
                <w:rFonts w:ascii="Verdana" w:hAnsi="Verdana"/>
                <w:sz w:val="20"/>
                <w:szCs w:val="20"/>
              </w:rPr>
            </w:pPr>
            <w:r>
              <w:rPr>
                <w:rFonts w:ascii="Verdana" w:hAnsi="Verdana"/>
                <w:sz w:val="20"/>
                <w:szCs w:val="20"/>
              </w:rPr>
              <w:t xml:space="preserve">Ever Use of </w:t>
            </w:r>
            <w:r w:rsidR="00CD1451" w:rsidRPr="00CD1451">
              <w:rPr>
                <w:rFonts w:ascii="Verdana" w:hAnsi="Verdana"/>
                <w:sz w:val="20"/>
                <w:szCs w:val="20"/>
              </w:rPr>
              <w:t>Tobacco</w:t>
            </w:r>
          </w:p>
        </w:tc>
        <w:tc>
          <w:tcPr>
            <w:tcW w:w="3420" w:type="dxa"/>
          </w:tcPr>
          <w:p w14:paraId="625696CF" w14:textId="77777777" w:rsidR="00CD1451" w:rsidRPr="00CD1451" w:rsidRDefault="00814055" w:rsidP="009C5C03">
            <w:pPr>
              <w:rPr>
                <w:rFonts w:ascii="Verdana" w:hAnsi="Verdana"/>
                <w:sz w:val="20"/>
                <w:szCs w:val="20"/>
              </w:rPr>
            </w:pPr>
            <w:r>
              <w:rPr>
                <w:rFonts w:ascii="Verdana" w:hAnsi="Verdana"/>
                <w:sz w:val="20"/>
                <w:szCs w:val="20"/>
              </w:rPr>
              <w:t>B1 – B2, B7</w:t>
            </w:r>
          </w:p>
        </w:tc>
        <w:tc>
          <w:tcPr>
            <w:tcW w:w="2700" w:type="dxa"/>
          </w:tcPr>
          <w:p w14:paraId="2EE472D8" w14:textId="77777777" w:rsidR="00CD1451" w:rsidRPr="00CD1451" w:rsidRDefault="00814055" w:rsidP="009C5C03">
            <w:pPr>
              <w:rPr>
                <w:rFonts w:ascii="Verdana" w:hAnsi="Verdana"/>
                <w:sz w:val="20"/>
                <w:szCs w:val="20"/>
              </w:rPr>
            </w:pPr>
            <w:r>
              <w:rPr>
                <w:rFonts w:ascii="Verdana" w:hAnsi="Verdana"/>
                <w:sz w:val="20"/>
                <w:szCs w:val="20"/>
              </w:rPr>
              <w:t>stratification</w:t>
            </w:r>
            <w:r w:rsidR="00CD1451" w:rsidRPr="00CD1451">
              <w:rPr>
                <w:rFonts w:ascii="Verdana" w:hAnsi="Verdana"/>
                <w:sz w:val="20"/>
                <w:szCs w:val="20"/>
              </w:rPr>
              <w:t xml:space="preserve"> variable</w:t>
            </w:r>
          </w:p>
        </w:tc>
      </w:tr>
      <w:tr w:rsidR="00814055" w:rsidRPr="00CD1451" w14:paraId="0E237D0A" w14:textId="77777777" w:rsidTr="009C5C03">
        <w:tc>
          <w:tcPr>
            <w:tcW w:w="3348" w:type="dxa"/>
          </w:tcPr>
          <w:p w14:paraId="365259E9" w14:textId="77777777" w:rsidR="00814055" w:rsidRPr="00CD1451" w:rsidRDefault="00814055" w:rsidP="009C5C03">
            <w:pPr>
              <w:rPr>
                <w:rFonts w:ascii="Verdana" w:hAnsi="Verdana"/>
                <w:sz w:val="20"/>
                <w:szCs w:val="20"/>
              </w:rPr>
            </w:pPr>
            <w:r>
              <w:rPr>
                <w:rFonts w:ascii="Verdana" w:hAnsi="Verdana"/>
                <w:sz w:val="20"/>
                <w:szCs w:val="20"/>
              </w:rPr>
              <w:t>Tobacco-Related Intentions Behaviors</w:t>
            </w:r>
          </w:p>
        </w:tc>
        <w:tc>
          <w:tcPr>
            <w:tcW w:w="3420" w:type="dxa"/>
          </w:tcPr>
          <w:p w14:paraId="105007CE" w14:textId="77777777" w:rsidR="00814055" w:rsidRPr="00CD1451" w:rsidRDefault="00814055" w:rsidP="009C5C03">
            <w:pPr>
              <w:rPr>
                <w:rFonts w:ascii="Verdana" w:hAnsi="Verdana"/>
                <w:sz w:val="20"/>
                <w:szCs w:val="20"/>
              </w:rPr>
            </w:pPr>
            <w:r>
              <w:rPr>
                <w:rFonts w:ascii="Verdana" w:hAnsi="Verdana"/>
                <w:sz w:val="20"/>
                <w:szCs w:val="20"/>
              </w:rPr>
              <w:t>B3 – B6, B8 - 10</w:t>
            </w:r>
          </w:p>
        </w:tc>
        <w:tc>
          <w:tcPr>
            <w:tcW w:w="2700" w:type="dxa"/>
          </w:tcPr>
          <w:p w14:paraId="69481A3D" w14:textId="25EAF04C" w:rsidR="00814055" w:rsidRPr="00CD1451" w:rsidRDefault="00EA14FD" w:rsidP="009C5C03">
            <w:pPr>
              <w:rPr>
                <w:rFonts w:ascii="Verdana" w:hAnsi="Verdana"/>
                <w:sz w:val="20"/>
                <w:szCs w:val="20"/>
              </w:rPr>
            </w:pPr>
            <w:r>
              <w:rPr>
                <w:rFonts w:ascii="Verdana" w:hAnsi="Verdana"/>
                <w:sz w:val="20"/>
                <w:szCs w:val="20"/>
              </w:rPr>
              <w:t>stratification</w:t>
            </w:r>
            <w:r w:rsidRPr="00CD1451">
              <w:rPr>
                <w:rFonts w:ascii="Verdana" w:hAnsi="Verdana"/>
                <w:sz w:val="20"/>
                <w:szCs w:val="20"/>
              </w:rPr>
              <w:t xml:space="preserve"> variable</w:t>
            </w:r>
          </w:p>
        </w:tc>
      </w:tr>
      <w:tr w:rsidR="00CD1451" w:rsidRPr="00CD1451" w14:paraId="6EA537E7" w14:textId="77777777" w:rsidTr="009C5C03">
        <w:tc>
          <w:tcPr>
            <w:tcW w:w="3348" w:type="dxa"/>
          </w:tcPr>
          <w:p w14:paraId="0280AB2C" w14:textId="77777777" w:rsidR="00CD1451" w:rsidRPr="00CD1451" w:rsidRDefault="00CD1451" w:rsidP="009C5C03">
            <w:pPr>
              <w:rPr>
                <w:rFonts w:ascii="Verdana" w:hAnsi="Verdana"/>
                <w:sz w:val="20"/>
                <w:szCs w:val="20"/>
              </w:rPr>
            </w:pPr>
            <w:r w:rsidRPr="00CD1451">
              <w:rPr>
                <w:rFonts w:ascii="Verdana" w:hAnsi="Verdana"/>
                <w:sz w:val="20"/>
                <w:szCs w:val="20"/>
              </w:rPr>
              <w:t>Media Use</w:t>
            </w:r>
          </w:p>
        </w:tc>
        <w:tc>
          <w:tcPr>
            <w:tcW w:w="3420" w:type="dxa"/>
          </w:tcPr>
          <w:p w14:paraId="1D3375DA" w14:textId="77777777" w:rsidR="00CD1451" w:rsidRPr="00CD1451" w:rsidRDefault="00814055" w:rsidP="009C5C03">
            <w:pPr>
              <w:rPr>
                <w:rFonts w:ascii="Verdana" w:hAnsi="Verdana"/>
                <w:sz w:val="20"/>
                <w:szCs w:val="20"/>
              </w:rPr>
            </w:pPr>
            <w:r>
              <w:rPr>
                <w:rFonts w:ascii="Verdana" w:hAnsi="Verdana"/>
                <w:sz w:val="20"/>
                <w:szCs w:val="20"/>
              </w:rPr>
              <w:t>A1 – A2, A16 – A19</w:t>
            </w:r>
          </w:p>
        </w:tc>
        <w:tc>
          <w:tcPr>
            <w:tcW w:w="2700" w:type="dxa"/>
          </w:tcPr>
          <w:p w14:paraId="5A3CEEE2"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r w:rsidR="00CD1451" w:rsidRPr="00CD1451" w14:paraId="19211592" w14:textId="77777777" w:rsidTr="009C5C03">
        <w:tc>
          <w:tcPr>
            <w:tcW w:w="3348" w:type="dxa"/>
          </w:tcPr>
          <w:p w14:paraId="535E9705" w14:textId="77777777" w:rsidR="00CD1451" w:rsidRPr="00CD1451" w:rsidRDefault="00CD1451" w:rsidP="009C5C03">
            <w:pPr>
              <w:rPr>
                <w:rFonts w:ascii="Verdana" w:hAnsi="Verdana"/>
                <w:sz w:val="20"/>
                <w:szCs w:val="20"/>
              </w:rPr>
            </w:pPr>
            <w:r w:rsidRPr="00CD1451">
              <w:rPr>
                <w:rFonts w:ascii="Verdana" w:hAnsi="Verdana"/>
                <w:sz w:val="20"/>
                <w:szCs w:val="20"/>
              </w:rPr>
              <w:t>Youth Environment</w:t>
            </w:r>
          </w:p>
        </w:tc>
        <w:tc>
          <w:tcPr>
            <w:tcW w:w="3420" w:type="dxa"/>
          </w:tcPr>
          <w:p w14:paraId="6ED48FA1" w14:textId="77777777" w:rsidR="00CD1451" w:rsidRPr="00CD1451" w:rsidRDefault="00814055" w:rsidP="00814055">
            <w:pPr>
              <w:rPr>
                <w:rFonts w:ascii="Verdana" w:hAnsi="Verdana"/>
                <w:sz w:val="20"/>
                <w:szCs w:val="20"/>
              </w:rPr>
            </w:pPr>
            <w:r>
              <w:rPr>
                <w:rFonts w:ascii="Verdana" w:hAnsi="Verdana"/>
                <w:sz w:val="20"/>
                <w:szCs w:val="20"/>
              </w:rPr>
              <w:t>C6 – C12</w:t>
            </w:r>
          </w:p>
        </w:tc>
        <w:tc>
          <w:tcPr>
            <w:tcW w:w="2700" w:type="dxa"/>
          </w:tcPr>
          <w:p w14:paraId="6B96F425" w14:textId="77777777" w:rsidR="00CD1451" w:rsidRPr="00CD1451" w:rsidRDefault="00CD1451" w:rsidP="009C5C03">
            <w:pPr>
              <w:rPr>
                <w:rFonts w:ascii="Verdana" w:hAnsi="Verdana"/>
                <w:sz w:val="20"/>
                <w:szCs w:val="20"/>
              </w:rPr>
            </w:pPr>
            <w:r w:rsidRPr="00CD1451">
              <w:rPr>
                <w:rFonts w:ascii="Verdana" w:hAnsi="Verdana"/>
                <w:sz w:val="20"/>
                <w:szCs w:val="20"/>
              </w:rPr>
              <w:t>control variable</w:t>
            </w:r>
          </w:p>
        </w:tc>
      </w:tr>
    </w:tbl>
    <w:p w14:paraId="25454BB2" w14:textId="77777777" w:rsidR="00F970A9" w:rsidRDefault="00F970A9" w:rsidP="00C2334B">
      <w:pPr>
        <w:pStyle w:val="BodyText1"/>
        <w:spacing w:line="360" w:lineRule="auto"/>
        <w:rPr>
          <w:rFonts w:ascii="Verdana" w:hAnsi="Verdana"/>
          <w:sz w:val="20"/>
          <w:szCs w:val="20"/>
        </w:rPr>
      </w:pPr>
    </w:p>
    <w:p w14:paraId="6E75B458" w14:textId="77777777" w:rsidR="006645DA" w:rsidRDefault="006645DA" w:rsidP="00C2334B">
      <w:pPr>
        <w:pStyle w:val="BodyText1"/>
        <w:spacing w:line="360" w:lineRule="auto"/>
        <w:rPr>
          <w:rFonts w:ascii="Verdana" w:hAnsi="Verdana"/>
          <w:sz w:val="20"/>
          <w:szCs w:val="20"/>
        </w:rPr>
      </w:pPr>
    </w:p>
    <w:p w14:paraId="34947527" w14:textId="77777777" w:rsidR="00CD1451" w:rsidRDefault="00CD1451">
      <w:pPr>
        <w:spacing w:after="200" w:line="276" w:lineRule="auto"/>
        <w:rPr>
          <w:rFonts w:ascii="Verdana" w:hAnsi="Verdana"/>
          <w:sz w:val="20"/>
          <w:szCs w:val="20"/>
        </w:rPr>
      </w:pPr>
      <w:r>
        <w:rPr>
          <w:rFonts w:ascii="Verdana" w:hAnsi="Verdana"/>
          <w:sz w:val="20"/>
          <w:szCs w:val="20"/>
        </w:rPr>
        <w:br w:type="page"/>
      </w:r>
    </w:p>
    <w:p w14:paraId="3E5F2346" w14:textId="77777777" w:rsidR="006645DA" w:rsidRDefault="006645DA" w:rsidP="00C2334B">
      <w:pPr>
        <w:pStyle w:val="BodyText1"/>
        <w:spacing w:line="360" w:lineRule="auto"/>
        <w:rPr>
          <w:rFonts w:ascii="Verdana" w:hAnsi="Verdana"/>
          <w:sz w:val="20"/>
          <w:szCs w:val="20"/>
        </w:rPr>
      </w:pPr>
      <w:r>
        <w:rPr>
          <w:rFonts w:ascii="Verdana" w:hAnsi="Verdana"/>
          <w:sz w:val="20"/>
          <w:szCs w:val="20"/>
        </w:rPr>
        <w:lastRenderedPageBreak/>
        <w:t>REFERENCES</w:t>
      </w:r>
    </w:p>
    <w:p w14:paraId="62D9008E" w14:textId="77777777" w:rsidR="004B2197" w:rsidRDefault="004B2197" w:rsidP="00C2334B">
      <w:pPr>
        <w:pStyle w:val="BodyText1"/>
        <w:spacing w:line="360" w:lineRule="auto"/>
        <w:rPr>
          <w:rFonts w:ascii="Verdana" w:hAnsi="Verdana"/>
          <w:sz w:val="20"/>
          <w:szCs w:val="20"/>
        </w:rPr>
      </w:pPr>
      <w:proofErr w:type="gramStart"/>
      <w:r w:rsidRPr="004B2197">
        <w:rPr>
          <w:rFonts w:ascii="Verdana" w:hAnsi="Verdana"/>
          <w:sz w:val="20"/>
          <w:szCs w:val="20"/>
        </w:rPr>
        <w:t>Centers for Disease Control and Prevention.</w:t>
      </w:r>
      <w:proofErr w:type="gramEnd"/>
      <w:r w:rsidRPr="004B2197">
        <w:rPr>
          <w:rFonts w:ascii="Verdana" w:hAnsi="Verdana"/>
          <w:sz w:val="20"/>
          <w:szCs w:val="20"/>
        </w:rPr>
        <w:t xml:space="preserve"> Best Practices for Comprehensive Tobacco Control Programs—2007. . Atlanta: U.S. Department of Health and Human Services, Centers for Disease Control and Prevention, National Center for Chronic Disease Prevention and Health Promotion, Office on Smoking and Health;2007.</w:t>
      </w:r>
    </w:p>
    <w:p w14:paraId="39F73668" w14:textId="77777777" w:rsidR="00640453" w:rsidRDefault="00640453" w:rsidP="00C2334B">
      <w:pPr>
        <w:pStyle w:val="BodyText1"/>
        <w:spacing w:line="360" w:lineRule="auto"/>
        <w:rPr>
          <w:rFonts w:ascii="Verdana" w:hAnsi="Verdana"/>
          <w:sz w:val="20"/>
          <w:szCs w:val="20"/>
        </w:rPr>
      </w:pPr>
      <w:r w:rsidRPr="00640453">
        <w:rPr>
          <w:rFonts w:ascii="Verdana" w:hAnsi="Verdana"/>
          <w:sz w:val="20"/>
          <w:szCs w:val="20"/>
        </w:rPr>
        <w:t xml:space="preserve">Cowell AJ, Farrelly MC, Chou R, Vallone DM. Assessing the impact of the national 'truth' antismoking campaign on beliefs, attitudes, and intent to smoke by race/ethnicity. </w:t>
      </w:r>
      <w:proofErr w:type="gramStart"/>
      <w:r w:rsidRPr="00640453">
        <w:rPr>
          <w:rFonts w:ascii="Verdana" w:hAnsi="Verdana"/>
          <w:sz w:val="20"/>
          <w:szCs w:val="20"/>
        </w:rPr>
        <w:t>Ethnicity &amp; health.</w:t>
      </w:r>
      <w:proofErr w:type="gramEnd"/>
      <w:r w:rsidRPr="00640453">
        <w:rPr>
          <w:rFonts w:ascii="Verdana" w:hAnsi="Verdana"/>
          <w:sz w:val="20"/>
          <w:szCs w:val="20"/>
        </w:rPr>
        <w:t xml:space="preserve"> Feb 2009</w:t>
      </w:r>
      <w:proofErr w:type="gramStart"/>
      <w:r w:rsidRPr="00640453">
        <w:rPr>
          <w:rFonts w:ascii="Verdana" w:hAnsi="Verdana"/>
          <w:sz w:val="20"/>
          <w:szCs w:val="20"/>
        </w:rPr>
        <w:t>;14</w:t>
      </w:r>
      <w:proofErr w:type="gramEnd"/>
      <w:r w:rsidRPr="00640453">
        <w:rPr>
          <w:rFonts w:ascii="Verdana" w:hAnsi="Verdana"/>
          <w:sz w:val="20"/>
          <w:szCs w:val="20"/>
        </w:rPr>
        <w:t>(1):75-91.</w:t>
      </w:r>
    </w:p>
    <w:p w14:paraId="5BEF000F" w14:textId="77777777" w:rsidR="006645DA" w:rsidRDefault="006645DA" w:rsidP="00C2334B">
      <w:pPr>
        <w:pStyle w:val="BodyText1"/>
        <w:spacing w:line="360" w:lineRule="auto"/>
        <w:rPr>
          <w:rFonts w:ascii="Verdana" w:hAnsi="Verdana"/>
          <w:sz w:val="20"/>
          <w:szCs w:val="20"/>
        </w:rPr>
      </w:pPr>
      <w:proofErr w:type="gramStart"/>
      <w:r w:rsidRPr="006645DA">
        <w:rPr>
          <w:rFonts w:ascii="Verdana" w:hAnsi="Verdana"/>
          <w:sz w:val="20"/>
          <w:szCs w:val="20"/>
        </w:rPr>
        <w:t>Davis, K. C., Nonnemaker, J. M., Farrelly, M. C., &amp; Niederdeppe, J. (2011).</w:t>
      </w:r>
      <w:proofErr w:type="gramEnd"/>
      <w:r w:rsidRPr="006645DA">
        <w:rPr>
          <w:rFonts w:ascii="Verdana" w:hAnsi="Verdana"/>
          <w:sz w:val="20"/>
          <w:szCs w:val="20"/>
        </w:rPr>
        <w:t xml:space="preserve"> </w:t>
      </w:r>
      <w:proofErr w:type="gramStart"/>
      <w:r w:rsidRPr="006645DA">
        <w:rPr>
          <w:rFonts w:ascii="Verdana" w:hAnsi="Verdana"/>
          <w:sz w:val="20"/>
          <w:szCs w:val="20"/>
        </w:rPr>
        <w:t>Exploring differences in smokers’ perceptions of the effectiveness of cessation media messages.</w:t>
      </w:r>
      <w:proofErr w:type="gramEnd"/>
      <w:r w:rsidRPr="006645DA">
        <w:rPr>
          <w:rFonts w:ascii="Verdana" w:hAnsi="Verdana"/>
          <w:sz w:val="20"/>
          <w:szCs w:val="20"/>
        </w:rPr>
        <w:t xml:space="preserve"> </w:t>
      </w:r>
      <w:proofErr w:type="gramStart"/>
      <w:r w:rsidRPr="006645DA">
        <w:rPr>
          <w:rFonts w:ascii="Verdana" w:hAnsi="Verdana"/>
          <w:sz w:val="20"/>
          <w:szCs w:val="20"/>
        </w:rPr>
        <w:t>Tobacco Control.</w:t>
      </w:r>
      <w:proofErr w:type="gramEnd"/>
      <w:r w:rsidRPr="006645DA">
        <w:rPr>
          <w:rFonts w:ascii="Verdana" w:hAnsi="Verdana"/>
          <w:sz w:val="20"/>
          <w:szCs w:val="20"/>
        </w:rPr>
        <w:t xml:space="preserve"> 20, 26–33.</w:t>
      </w:r>
    </w:p>
    <w:p w14:paraId="7AE215D7" w14:textId="77777777" w:rsidR="00640453" w:rsidRDefault="00640453" w:rsidP="00C2334B">
      <w:pPr>
        <w:pStyle w:val="BodyText1"/>
        <w:spacing w:line="360" w:lineRule="auto"/>
        <w:rPr>
          <w:rFonts w:ascii="Verdana" w:hAnsi="Verdana"/>
          <w:sz w:val="20"/>
          <w:szCs w:val="20"/>
        </w:rPr>
      </w:pPr>
      <w:proofErr w:type="spellStart"/>
      <w:r w:rsidRPr="00640453">
        <w:rPr>
          <w:rFonts w:ascii="Verdana" w:hAnsi="Verdana"/>
          <w:sz w:val="20"/>
          <w:szCs w:val="20"/>
        </w:rPr>
        <w:t>Farrelly</w:t>
      </w:r>
      <w:proofErr w:type="spellEnd"/>
      <w:r w:rsidRPr="00640453">
        <w:rPr>
          <w:rFonts w:ascii="Verdana" w:hAnsi="Verdana"/>
          <w:sz w:val="20"/>
          <w:szCs w:val="20"/>
        </w:rPr>
        <w:t xml:space="preserve"> MC, </w:t>
      </w:r>
      <w:proofErr w:type="spellStart"/>
      <w:r w:rsidRPr="00640453">
        <w:rPr>
          <w:rFonts w:ascii="Verdana" w:hAnsi="Verdana"/>
          <w:sz w:val="20"/>
          <w:szCs w:val="20"/>
        </w:rPr>
        <w:t>Healton</w:t>
      </w:r>
      <w:proofErr w:type="spellEnd"/>
      <w:r w:rsidRPr="00640453">
        <w:rPr>
          <w:rFonts w:ascii="Verdana" w:hAnsi="Verdana"/>
          <w:sz w:val="20"/>
          <w:szCs w:val="20"/>
        </w:rPr>
        <w:t xml:space="preserve"> CG, Davis KC, </w:t>
      </w:r>
      <w:proofErr w:type="spellStart"/>
      <w:r w:rsidRPr="00640453">
        <w:rPr>
          <w:rFonts w:ascii="Verdana" w:hAnsi="Verdana"/>
          <w:sz w:val="20"/>
          <w:szCs w:val="20"/>
        </w:rPr>
        <w:t>Messeri</w:t>
      </w:r>
      <w:proofErr w:type="spellEnd"/>
      <w:r w:rsidRPr="00640453">
        <w:rPr>
          <w:rFonts w:ascii="Verdana" w:hAnsi="Verdana"/>
          <w:sz w:val="20"/>
          <w:szCs w:val="20"/>
        </w:rPr>
        <w:t xml:space="preserve"> P, Hersey JC, </w:t>
      </w:r>
      <w:proofErr w:type="spellStart"/>
      <w:proofErr w:type="gramStart"/>
      <w:r w:rsidRPr="00640453">
        <w:rPr>
          <w:rFonts w:ascii="Verdana" w:hAnsi="Verdana"/>
          <w:sz w:val="20"/>
          <w:szCs w:val="20"/>
        </w:rPr>
        <w:t>Haviland</w:t>
      </w:r>
      <w:proofErr w:type="spellEnd"/>
      <w:proofErr w:type="gramEnd"/>
      <w:r w:rsidRPr="00640453">
        <w:rPr>
          <w:rFonts w:ascii="Verdana" w:hAnsi="Verdana"/>
          <w:sz w:val="20"/>
          <w:szCs w:val="20"/>
        </w:rPr>
        <w:t xml:space="preserve"> ML. Getting to the truth: evaluating national tobacco </w:t>
      </w:r>
      <w:proofErr w:type="spellStart"/>
      <w:r w:rsidRPr="00640453">
        <w:rPr>
          <w:rFonts w:ascii="Verdana" w:hAnsi="Verdana"/>
          <w:sz w:val="20"/>
          <w:szCs w:val="20"/>
        </w:rPr>
        <w:t>countermarketing</w:t>
      </w:r>
      <w:proofErr w:type="spellEnd"/>
      <w:r w:rsidRPr="00640453">
        <w:rPr>
          <w:rFonts w:ascii="Verdana" w:hAnsi="Verdana"/>
          <w:sz w:val="20"/>
          <w:szCs w:val="20"/>
        </w:rPr>
        <w:t xml:space="preserve"> campaigns. </w:t>
      </w:r>
      <w:proofErr w:type="gramStart"/>
      <w:r w:rsidRPr="00640453">
        <w:rPr>
          <w:rFonts w:ascii="Verdana" w:hAnsi="Verdana"/>
          <w:sz w:val="20"/>
          <w:szCs w:val="20"/>
        </w:rPr>
        <w:t>American journal of public health.</w:t>
      </w:r>
      <w:proofErr w:type="gramEnd"/>
      <w:r w:rsidRPr="00640453">
        <w:rPr>
          <w:rFonts w:ascii="Verdana" w:hAnsi="Verdana"/>
          <w:sz w:val="20"/>
          <w:szCs w:val="20"/>
        </w:rPr>
        <w:t xml:space="preserve"> Jun 2002</w:t>
      </w:r>
      <w:proofErr w:type="gramStart"/>
      <w:r w:rsidRPr="00640453">
        <w:rPr>
          <w:rFonts w:ascii="Verdana" w:hAnsi="Verdana"/>
          <w:sz w:val="20"/>
          <w:szCs w:val="20"/>
        </w:rPr>
        <w:t>;92</w:t>
      </w:r>
      <w:proofErr w:type="gramEnd"/>
      <w:r w:rsidRPr="00640453">
        <w:rPr>
          <w:rFonts w:ascii="Verdana" w:hAnsi="Verdana"/>
          <w:sz w:val="20"/>
          <w:szCs w:val="20"/>
        </w:rPr>
        <w:t>(6):901-907.</w:t>
      </w:r>
    </w:p>
    <w:p w14:paraId="4E6CC381" w14:textId="77777777" w:rsidR="001C6D17" w:rsidRDefault="001C6D17" w:rsidP="00C2334B">
      <w:pPr>
        <w:pStyle w:val="BodyText1"/>
        <w:spacing w:line="360" w:lineRule="auto"/>
        <w:rPr>
          <w:rFonts w:ascii="Verdana" w:hAnsi="Verdana"/>
          <w:sz w:val="20"/>
          <w:szCs w:val="20"/>
        </w:rPr>
      </w:pPr>
      <w:proofErr w:type="gramStart"/>
      <w:r w:rsidRPr="001C6D17">
        <w:rPr>
          <w:rFonts w:ascii="Verdana" w:hAnsi="Verdana"/>
          <w:sz w:val="20"/>
          <w:szCs w:val="20"/>
        </w:rPr>
        <w:t xml:space="preserve">Southwell, B. G., </w:t>
      </w:r>
      <w:proofErr w:type="spellStart"/>
      <w:r w:rsidRPr="001C6D17">
        <w:rPr>
          <w:rFonts w:ascii="Verdana" w:hAnsi="Verdana"/>
          <w:sz w:val="20"/>
          <w:szCs w:val="20"/>
        </w:rPr>
        <w:t>Barmada</w:t>
      </w:r>
      <w:proofErr w:type="spellEnd"/>
      <w:r w:rsidRPr="001C6D17">
        <w:rPr>
          <w:rFonts w:ascii="Verdana" w:hAnsi="Verdana"/>
          <w:sz w:val="20"/>
          <w:szCs w:val="20"/>
        </w:rPr>
        <w:t xml:space="preserve">, C. H., </w:t>
      </w:r>
      <w:proofErr w:type="spellStart"/>
      <w:r w:rsidRPr="001C6D17">
        <w:rPr>
          <w:rFonts w:ascii="Verdana" w:hAnsi="Verdana"/>
          <w:sz w:val="20"/>
          <w:szCs w:val="20"/>
        </w:rPr>
        <w:t>Hornik</w:t>
      </w:r>
      <w:proofErr w:type="spellEnd"/>
      <w:r w:rsidRPr="001C6D17">
        <w:rPr>
          <w:rFonts w:ascii="Verdana" w:hAnsi="Verdana"/>
          <w:sz w:val="20"/>
          <w:szCs w:val="20"/>
        </w:rPr>
        <w:t xml:space="preserve">, R. C., &amp; </w:t>
      </w:r>
      <w:proofErr w:type="spellStart"/>
      <w:r w:rsidRPr="001C6D17">
        <w:rPr>
          <w:rFonts w:ascii="Verdana" w:hAnsi="Verdana"/>
          <w:sz w:val="20"/>
          <w:szCs w:val="20"/>
        </w:rPr>
        <w:t>Maklin</w:t>
      </w:r>
      <w:proofErr w:type="spellEnd"/>
      <w:r w:rsidRPr="001C6D17">
        <w:rPr>
          <w:rFonts w:ascii="Verdana" w:hAnsi="Verdana"/>
          <w:sz w:val="20"/>
          <w:szCs w:val="20"/>
        </w:rPr>
        <w:t>, D. M. (2002).</w:t>
      </w:r>
      <w:proofErr w:type="gramEnd"/>
      <w:r w:rsidRPr="001C6D17">
        <w:rPr>
          <w:rFonts w:ascii="Verdana" w:hAnsi="Verdana"/>
          <w:sz w:val="20"/>
          <w:szCs w:val="20"/>
        </w:rPr>
        <w:t xml:space="preserve"> Can we measure encoded exposure? </w:t>
      </w:r>
      <w:proofErr w:type="gramStart"/>
      <w:r w:rsidRPr="001C6D17">
        <w:rPr>
          <w:rFonts w:ascii="Verdana" w:hAnsi="Verdana"/>
          <w:sz w:val="20"/>
          <w:szCs w:val="20"/>
        </w:rPr>
        <w:t>Evidence from a national campaign.</w:t>
      </w:r>
      <w:proofErr w:type="gramEnd"/>
      <w:r w:rsidRPr="001C6D17">
        <w:rPr>
          <w:rFonts w:ascii="Verdana" w:hAnsi="Verdana"/>
          <w:sz w:val="20"/>
          <w:szCs w:val="20"/>
        </w:rPr>
        <w:t xml:space="preserve"> Journal of Health Communication 7, 445–453.</w:t>
      </w:r>
    </w:p>
    <w:p w14:paraId="3D950301" w14:textId="77777777" w:rsidR="004B2197" w:rsidRPr="00C2334B" w:rsidRDefault="004B2197" w:rsidP="004B2197">
      <w:pPr>
        <w:pStyle w:val="BodyText1"/>
        <w:spacing w:line="360" w:lineRule="auto"/>
        <w:rPr>
          <w:rFonts w:ascii="Verdana" w:hAnsi="Verdana"/>
          <w:sz w:val="20"/>
          <w:szCs w:val="20"/>
        </w:rPr>
      </w:pPr>
      <w:r w:rsidRPr="004B2197">
        <w:rPr>
          <w:rFonts w:ascii="Verdana" w:hAnsi="Verdana"/>
          <w:sz w:val="20"/>
          <w:szCs w:val="20"/>
        </w:rPr>
        <w:t xml:space="preserve">Niederdeppe J. Assessing the validity of confirmed AD recall measures for public health communication campaign evaluation. </w:t>
      </w:r>
      <w:proofErr w:type="gramStart"/>
      <w:r w:rsidRPr="004B2197">
        <w:rPr>
          <w:rFonts w:ascii="Verdana" w:hAnsi="Verdana"/>
          <w:sz w:val="20"/>
          <w:szCs w:val="20"/>
        </w:rPr>
        <w:t>Journal of health communication.</w:t>
      </w:r>
      <w:proofErr w:type="gramEnd"/>
      <w:r w:rsidRPr="004B2197">
        <w:rPr>
          <w:rFonts w:ascii="Verdana" w:hAnsi="Verdana"/>
          <w:sz w:val="20"/>
          <w:szCs w:val="20"/>
        </w:rPr>
        <w:t xml:space="preserve"> Oct-Nov 2005</w:t>
      </w:r>
      <w:proofErr w:type="gramStart"/>
      <w:r w:rsidRPr="004B2197">
        <w:rPr>
          <w:rFonts w:ascii="Verdana" w:hAnsi="Verdana"/>
          <w:sz w:val="20"/>
          <w:szCs w:val="20"/>
        </w:rPr>
        <w:t>;10</w:t>
      </w:r>
      <w:proofErr w:type="gramEnd"/>
      <w:r w:rsidRPr="004B2197">
        <w:rPr>
          <w:rFonts w:ascii="Verdana" w:hAnsi="Verdana"/>
          <w:sz w:val="20"/>
          <w:szCs w:val="20"/>
        </w:rPr>
        <w:t>(7):635-650.</w:t>
      </w:r>
    </w:p>
    <w:p w14:paraId="18A120B9" w14:textId="77777777" w:rsidR="00D43B59" w:rsidRDefault="006645DA" w:rsidP="00C2334B">
      <w:pPr>
        <w:pStyle w:val="BodyText1"/>
        <w:spacing w:line="360" w:lineRule="auto"/>
        <w:rPr>
          <w:rFonts w:ascii="Verdana" w:hAnsi="Verdana"/>
          <w:sz w:val="20"/>
          <w:szCs w:val="20"/>
        </w:rPr>
      </w:pPr>
      <w:proofErr w:type="gramStart"/>
      <w:r w:rsidRPr="006645DA">
        <w:rPr>
          <w:rFonts w:ascii="Verdana" w:hAnsi="Verdana"/>
          <w:sz w:val="20"/>
          <w:szCs w:val="20"/>
        </w:rPr>
        <w:t xml:space="preserve">Wakefield, M. A., </w:t>
      </w:r>
      <w:proofErr w:type="spellStart"/>
      <w:r w:rsidRPr="006645DA">
        <w:rPr>
          <w:rFonts w:ascii="Verdana" w:hAnsi="Verdana"/>
          <w:sz w:val="20"/>
          <w:szCs w:val="20"/>
        </w:rPr>
        <w:t>Spittal</w:t>
      </w:r>
      <w:proofErr w:type="spellEnd"/>
      <w:r w:rsidRPr="006645DA">
        <w:rPr>
          <w:rFonts w:ascii="Verdana" w:hAnsi="Verdana"/>
          <w:sz w:val="20"/>
          <w:szCs w:val="20"/>
        </w:rPr>
        <w:t>, M. J., Yong, H-H., Durkin, S. J., &amp; Borland, R. (2011).</w:t>
      </w:r>
      <w:proofErr w:type="gramEnd"/>
      <w:r w:rsidRPr="006645DA">
        <w:rPr>
          <w:rFonts w:ascii="Verdana" w:hAnsi="Verdana"/>
          <w:sz w:val="20"/>
          <w:szCs w:val="20"/>
        </w:rPr>
        <w:t xml:space="preserve"> Effects of mass media campaign exposure intensity and durability on quit attempts in a population-based cohort study. Health Education Research, 26(6), 988–997.</w:t>
      </w:r>
      <w:r w:rsidR="00325C72" w:rsidRPr="00C2334B">
        <w:rPr>
          <w:rFonts w:ascii="Verdana" w:hAnsi="Verdana"/>
          <w:sz w:val="20"/>
          <w:szCs w:val="20"/>
        </w:rPr>
        <w:t xml:space="preserve"> </w:t>
      </w:r>
      <w:r w:rsidR="00EC0369" w:rsidRPr="00C2334B">
        <w:rPr>
          <w:rFonts w:ascii="Verdana" w:hAnsi="Verdana"/>
          <w:sz w:val="20"/>
          <w:szCs w:val="20"/>
        </w:rPr>
        <w:t xml:space="preserve">  </w:t>
      </w:r>
      <w:r w:rsidR="00BD466F" w:rsidRPr="00C2334B">
        <w:rPr>
          <w:rFonts w:ascii="Verdana" w:hAnsi="Verdana"/>
          <w:sz w:val="20"/>
          <w:szCs w:val="20"/>
        </w:rPr>
        <w:t xml:space="preserve"> </w:t>
      </w:r>
    </w:p>
    <w:p w14:paraId="78710723" w14:textId="77777777" w:rsidR="004B2197" w:rsidRPr="00C2334B" w:rsidRDefault="004B2197" w:rsidP="004B2197">
      <w:pPr>
        <w:pStyle w:val="BodyText1"/>
        <w:spacing w:line="360" w:lineRule="auto"/>
        <w:rPr>
          <w:rFonts w:ascii="Verdana" w:hAnsi="Verdana"/>
          <w:sz w:val="20"/>
          <w:szCs w:val="20"/>
        </w:rPr>
      </w:pPr>
    </w:p>
    <w:sectPr w:rsidR="004B2197" w:rsidRPr="00C233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39EDA" w14:textId="77777777" w:rsidR="00F206FE" w:rsidRDefault="00F206FE" w:rsidP="001374DB">
      <w:r>
        <w:separator/>
      </w:r>
    </w:p>
  </w:endnote>
  <w:endnote w:type="continuationSeparator" w:id="0">
    <w:p w14:paraId="0AA74AC7" w14:textId="77777777" w:rsidR="00F206FE" w:rsidRDefault="00F206FE" w:rsidP="0013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A175A" w14:textId="77777777" w:rsidR="001374DB" w:rsidRDefault="00137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26305" w14:textId="77777777" w:rsidR="001374DB" w:rsidRDefault="001374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D2A84" w14:textId="77777777" w:rsidR="001374DB" w:rsidRDefault="00137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77104" w14:textId="77777777" w:rsidR="00F206FE" w:rsidRDefault="00F206FE" w:rsidP="001374DB">
      <w:r>
        <w:separator/>
      </w:r>
    </w:p>
  </w:footnote>
  <w:footnote w:type="continuationSeparator" w:id="0">
    <w:p w14:paraId="2954CA10" w14:textId="77777777" w:rsidR="00F206FE" w:rsidRDefault="00F206FE" w:rsidP="0013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E260" w14:textId="77777777" w:rsidR="001374DB" w:rsidRDefault="001374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6823F" w14:textId="77777777" w:rsidR="001374DB" w:rsidRDefault="001374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37E78" w14:textId="77777777" w:rsidR="001374DB" w:rsidRDefault="001374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ED0"/>
    <w:rsid w:val="000135B8"/>
    <w:rsid w:val="00024CC9"/>
    <w:rsid w:val="001374DB"/>
    <w:rsid w:val="00166F85"/>
    <w:rsid w:val="001B73C4"/>
    <w:rsid w:val="001C60BF"/>
    <w:rsid w:val="001C6D17"/>
    <w:rsid w:val="00303C09"/>
    <w:rsid w:val="00325C72"/>
    <w:rsid w:val="003306E2"/>
    <w:rsid w:val="003B55F7"/>
    <w:rsid w:val="00410C57"/>
    <w:rsid w:val="00437BD8"/>
    <w:rsid w:val="0044219F"/>
    <w:rsid w:val="004B2197"/>
    <w:rsid w:val="005304A1"/>
    <w:rsid w:val="00640453"/>
    <w:rsid w:val="00644E95"/>
    <w:rsid w:val="006556D7"/>
    <w:rsid w:val="006645DA"/>
    <w:rsid w:val="007168C3"/>
    <w:rsid w:val="00814055"/>
    <w:rsid w:val="008948B7"/>
    <w:rsid w:val="008E43EB"/>
    <w:rsid w:val="00950B27"/>
    <w:rsid w:val="00965AB4"/>
    <w:rsid w:val="009A5447"/>
    <w:rsid w:val="009A7ACA"/>
    <w:rsid w:val="009E0ED0"/>
    <w:rsid w:val="00B278D3"/>
    <w:rsid w:val="00B32B91"/>
    <w:rsid w:val="00BD466F"/>
    <w:rsid w:val="00C2334B"/>
    <w:rsid w:val="00C623BA"/>
    <w:rsid w:val="00CD1451"/>
    <w:rsid w:val="00CD2587"/>
    <w:rsid w:val="00D43B59"/>
    <w:rsid w:val="00D55ABD"/>
    <w:rsid w:val="00D975B3"/>
    <w:rsid w:val="00DA0853"/>
    <w:rsid w:val="00E43101"/>
    <w:rsid w:val="00EA14FD"/>
    <w:rsid w:val="00EC0369"/>
    <w:rsid w:val="00F206FE"/>
    <w:rsid w:val="00F23BFC"/>
    <w:rsid w:val="00F52A42"/>
    <w:rsid w:val="00F768C4"/>
    <w:rsid w:val="00F8099C"/>
    <w:rsid w:val="00F9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1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E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rsid w:val="001C60BF"/>
    <w:pPr>
      <w:spacing w:after="80"/>
      <w:ind w:firstLine="576"/>
    </w:pPr>
    <w:rPr>
      <w:sz w:val="22"/>
      <w:szCs w:val="22"/>
    </w:rPr>
  </w:style>
  <w:style w:type="character" w:customStyle="1" w:styleId="bodytextChar">
    <w:name w:val="body text Char"/>
    <w:basedOn w:val="DefaultParagraphFont"/>
    <w:link w:val="BodyText1"/>
    <w:rsid w:val="001C60BF"/>
    <w:rPr>
      <w:rFonts w:ascii="Times New Roman" w:eastAsia="Times New Roman" w:hAnsi="Times New Roman" w:cs="Times New Roman"/>
    </w:rPr>
  </w:style>
  <w:style w:type="character" w:customStyle="1" w:styleId="abolditalic">
    <w:name w:val="abold_italic"/>
    <w:basedOn w:val="DefaultParagraphFont"/>
    <w:qFormat/>
    <w:rsid w:val="001C60BF"/>
    <w:rPr>
      <w:b/>
      <w:i/>
    </w:rPr>
  </w:style>
  <w:style w:type="paragraph" w:customStyle="1" w:styleId="TableTitle">
    <w:name w:val="Table Title"/>
    <w:basedOn w:val="Normal"/>
    <w:rsid w:val="00D43B59"/>
    <w:pPr>
      <w:keepNext/>
      <w:keepLines/>
      <w:spacing w:before="320" w:after="120"/>
      <w:ind w:left="1440" w:hanging="1440"/>
    </w:pPr>
    <w:rPr>
      <w:rFonts w:ascii="Verdana" w:eastAsia="MS Mincho" w:hAnsi="Verdana"/>
      <w:b/>
      <w:sz w:val="20"/>
      <w:szCs w:val="20"/>
    </w:rPr>
  </w:style>
  <w:style w:type="paragraph" w:customStyle="1" w:styleId="TableTextIndent1">
    <w:name w:val="Table Text Indent1"/>
    <w:basedOn w:val="Normal"/>
    <w:qFormat/>
    <w:rsid w:val="00D43B59"/>
    <w:pPr>
      <w:spacing w:before="60" w:after="60"/>
      <w:ind w:left="245"/>
    </w:pPr>
    <w:rPr>
      <w:rFonts w:ascii="Verdana" w:eastAsia="MS Mincho" w:hAnsi="Verdana"/>
      <w:sz w:val="18"/>
      <w:szCs w:val="20"/>
    </w:rPr>
  </w:style>
  <w:style w:type="paragraph" w:customStyle="1" w:styleId="TableText">
    <w:name w:val="Table Text"/>
    <w:basedOn w:val="Normal"/>
    <w:qFormat/>
    <w:rsid w:val="00D43B59"/>
    <w:pPr>
      <w:spacing w:before="60" w:after="60"/>
    </w:pPr>
    <w:rPr>
      <w:rFonts w:ascii="Verdana" w:eastAsia="MS Mincho" w:hAnsi="Verdana"/>
      <w:color w:val="000000"/>
      <w:sz w:val="18"/>
      <w:szCs w:val="26"/>
    </w:rPr>
  </w:style>
  <w:style w:type="character" w:styleId="CommentReference">
    <w:name w:val="annotation reference"/>
    <w:basedOn w:val="DefaultParagraphFont"/>
    <w:uiPriority w:val="99"/>
    <w:semiHidden/>
    <w:unhideWhenUsed/>
    <w:rsid w:val="00CD2587"/>
    <w:rPr>
      <w:sz w:val="16"/>
      <w:szCs w:val="16"/>
    </w:rPr>
  </w:style>
  <w:style w:type="paragraph" w:styleId="CommentText">
    <w:name w:val="annotation text"/>
    <w:basedOn w:val="Normal"/>
    <w:link w:val="CommentTextChar"/>
    <w:uiPriority w:val="99"/>
    <w:semiHidden/>
    <w:unhideWhenUsed/>
    <w:rsid w:val="00CD2587"/>
    <w:rPr>
      <w:sz w:val="20"/>
      <w:szCs w:val="20"/>
    </w:rPr>
  </w:style>
  <w:style w:type="character" w:customStyle="1" w:styleId="CommentTextChar">
    <w:name w:val="Comment Text Char"/>
    <w:basedOn w:val="DefaultParagraphFont"/>
    <w:link w:val="CommentText"/>
    <w:uiPriority w:val="99"/>
    <w:semiHidden/>
    <w:rsid w:val="00CD25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2587"/>
    <w:rPr>
      <w:b/>
      <w:bCs/>
    </w:rPr>
  </w:style>
  <w:style w:type="character" w:customStyle="1" w:styleId="CommentSubjectChar">
    <w:name w:val="Comment Subject Char"/>
    <w:basedOn w:val="CommentTextChar"/>
    <w:link w:val="CommentSubject"/>
    <w:uiPriority w:val="99"/>
    <w:semiHidden/>
    <w:rsid w:val="00CD25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2587"/>
    <w:rPr>
      <w:rFonts w:ascii="Tahoma" w:hAnsi="Tahoma" w:cs="Tahoma"/>
      <w:sz w:val="16"/>
      <w:szCs w:val="16"/>
    </w:rPr>
  </w:style>
  <w:style w:type="character" w:customStyle="1" w:styleId="BalloonTextChar">
    <w:name w:val="Balloon Text Char"/>
    <w:basedOn w:val="DefaultParagraphFont"/>
    <w:link w:val="BalloonText"/>
    <w:uiPriority w:val="99"/>
    <w:semiHidden/>
    <w:rsid w:val="00CD2587"/>
    <w:rPr>
      <w:rFonts w:ascii="Tahoma" w:eastAsia="Times New Roman" w:hAnsi="Tahoma" w:cs="Tahoma"/>
      <w:sz w:val="16"/>
      <w:szCs w:val="16"/>
    </w:rPr>
  </w:style>
  <w:style w:type="table" w:styleId="TableGrid">
    <w:name w:val="Table Grid"/>
    <w:basedOn w:val="TableNormal"/>
    <w:uiPriority w:val="59"/>
    <w:rsid w:val="00CD1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74DB"/>
    <w:pPr>
      <w:tabs>
        <w:tab w:val="center" w:pos="4680"/>
        <w:tab w:val="right" w:pos="9360"/>
      </w:tabs>
    </w:pPr>
  </w:style>
  <w:style w:type="character" w:customStyle="1" w:styleId="HeaderChar">
    <w:name w:val="Header Char"/>
    <w:basedOn w:val="DefaultParagraphFont"/>
    <w:link w:val="Header"/>
    <w:uiPriority w:val="99"/>
    <w:rsid w:val="001374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4DB"/>
    <w:pPr>
      <w:tabs>
        <w:tab w:val="center" w:pos="4680"/>
        <w:tab w:val="right" w:pos="9360"/>
      </w:tabs>
    </w:pPr>
  </w:style>
  <w:style w:type="character" w:customStyle="1" w:styleId="FooterChar">
    <w:name w:val="Footer Char"/>
    <w:basedOn w:val="DefaultParagraphFont"/>
    <w:link w:val="Footer"/>
    <w:uiPriority w:val="99"/>
    <w:rsid w:val="001374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7974</Characters>
  <Application>Microsoft Office Word</Application>
  <DocSecurity>0</DocSecurity>
  <Lines>66</Lines>
  <Paragraphs>18</Paragraphs>
  <ScaleCrop>false</ScaleCrop>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2013-10-28T20:42:00Z</dcterms:created>
  <dcterms:modified xsi:type="dcterms:W3CDTF">2013-10-29T20:06:00Z</dcterms:modified>
</cp:coreProperties>
</file>