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D4A446" w14:textId="77777777" w:rsidR="00436B37" w:rsidRDefault="00436B37"/>
    <w:p w14:paraId="08AF013A" w14:textId="77777777" w:rsidR="00436B37" w:rsidRPr="0016328E" w:rsidRDefault="00745161" w:rsidP="00617945">
      <w:pPr>
        <w:jc w:val="center"/>
        <w:rPr>
          <w:rFonts w:ascii="Times New Roman" w:hAnsi="Times New Roman" w:cs="Times New Roman"/>
          <w:b/>
          <w:sz w:val="28"/>
          <w:szCs w:val="28"/>
        </w:rPr>
      </w:pPr>
      <w:r w:rsidRPr="0016328E">
        <w:rPr>
          <w:rFonts w:ascii="Times New Roman" w:hAnsi="Times New Roman" w:cs="Times New Roman"/>
          <w:b/>
          <w:sz w:val="28"/>
          <w:szCs w:val="28"/>
        </w:rPr>
        <w:t>Supporting Statement A for:</w:t>
      </w:r>
    </w:p>
    <w:p w14:paraId="3CCEC1D9" w14:textId="77777777" w:rsidR="00617945" w:rsidRPr="00787CF6" w:rsidRDefault="00617945" w:rsidP="00617945">
      <w:pPr>
        <w:jc w:val="center"/>
        <w:rPr>
          <w:rFonts w:ascii="Times New Roman" w:hAnsi="Times New Roman" w:cs="Times New Roman"/>
          <w:b/>
          <w:sz w:val="24"/>
          <w:szCs w:val="24"/>
        </w:rPr>
      </w:pPr>
    </w:p>
    <w:p w14:paraId="62EF6903" w14:textId="77777777" w:rsidR="00617945" w:rsidRPr="00787CF6" w:rsidRDefault="00617945" w:rsidP="00617945">
      <w:pPr>
        <w:jc w:val="center"/>
        <w:rPr>
          <w:rFonts w:ascii="Times New Roman" w:hAnsi="Times New Roman" w:cs="Times New Roman"/>
          <w:b/>
          <w:sz w:val="24"/>
          <w:szCs w:val="24"/>
        </w:rPr>
      </w:pPr>
    </w:p>
    <w:p w14:paraId="159C875C" w14:textId="77777777" w:rsidR="0016328E" w:rsidRDefault="00745161" w:rsidP="00617945">
      <w:pPr>
        <w:jc w:val="center"/>
        <w:rPr>
          <w:rFonts w:ascii="Times New Roman" w:hAnsi="Times New Roman" w:cs="Times New Roman"/>
          <w:sz w:val="36"/>
          <w:szCs w:val="36"/>
        </w:rPr>
      </w:pPr>
      <w:r w:rsidRPr="0016328E">
        <w:rPr>
          <w:rFonts w:ascii="Times New Roman" w:hAnsi="Times New Roman" w:cs="Times New Roman"/>
          <w:sz w:val="36"/>
          <w:szCs w:val="36"/>
        </w:rPr>
        <w:t xml:space="preserve">Generic Clearance to Support </w:t>
      </w:r>
      <w:r w:rsidR="00571C83" w:rsidRPr="0016328E">
        <w:rPr>
          <w:rFonts w:ascii="Times New Roman" w:hAnsi="Times New Roman" w:cs="Times New Roman"/>
          <w:sz w:val="36"/>
          <w:szCs w:val="36"/>
        </w:rPr>
        <w:t xml:space="preserve">Programs </w:t>
      </w:r>
      <w:r w:rsidRPr="0016328E">
        <w:rPr>
          <w:rFonts w:ascii="Times New Roman" w:hAnsi="Times New Roman" w:cs="Times New Roman"/>
          <w:sz w:val="36"/>
          <w:szCs w:val="36"/>
        </w:rPr>
        <w:t xml:space="preserve">and </w:t>
      </w:r>
    </w:p>
    <w:p w14:paraId="32A9C17F" w14:textId="77777777" w:rsidR="00C634D2" w:rsidRDefault="00745161" w:rsidP="00617945">
      <w:pPr>
        <w:jc w:val="center"/>
        <w:rPr>
          <w:rFonts w:ascii="Times New Roman" w:hAnsi="Times New Roman" w:cs="Times New Roman"/>
          <w:sz w:val="36"/>
          <w:szCs w:val="36"/>
        </w:rPr>
      </w:pPr>
      <w:r w:rsidRPr="0016328E">
        <w:rPr>
          <w:rFonts w:ascii="Times New Roman" w:hAnsi="Times New Roman" w:cs="Times New Roman"/>
          <w:sz w:val="36"/>
          <w:szCs w:val="36"/>
        </w:rPr>
        <w:t xml:space="preserve">Administrative Operations </w:t>
      </w:r>
    </w:p>
    <w:p w14:paraId="27030379" w14:textId="3570EC52" w:rsidR="00745161" w:rsidRPr="0016328E" w:rsidRDefault="00C634D2" w:rsidP="00617945">
      <w:pPr>
        <w:jc w:val="center"/>
        <w:rPr>
          <w:rFonts w:ascii="Times New Roman" w:hAnsi="Times New Roman" w:cs="Times New Roman"/>
          <w:sz w:val="36"/>
          <w:szCs w:val="36"/>
        </w:rPr>
      </w:pPr>
      <w:proofErr w:type="gramStart"/>
      <w:r>
        <w:rPr>
          <w:rFonts w:ascii="Times New Roman" w:hAnsi="Times New Roman" w:cs="Times New Roman"/>
          <w:sz w:val="36"/>
          <w:szCs w:val="36"/>
        </w:rPr>
        <w:t>a</w:t>
      </w:r>
      <w:r w:rsidR="009106A0" w:rsidRPr="0016328E">
        <w:rPr>
          <w:rFonts w:ascii="Times New Roman" w:hAnsi="Times New Roman" w:cs="Times New Roman"/>
          <w:sz w:val="36"/>
          <w:szCs w:val="36"/>
        </w:rPr>
        <w:t>t</w:t>
      </w:r>
      <w:proofErr w:type="gramEnd"/>
      <w:r w:rsidR="009106A0" w:rsidRPr="0016328E">
        <w:rPr>
          <w:rFonts w:ascii="Times New Roman" w:hAnsi="Times New Roman" w:cs="Times New Roman"/>
          <w:sz w:val="36"/>
          <w:szCs w:val="36"/>
        </w:rPr>
        <w:t xml:space="preserve"> </w:t>
      </w:r>
      <w:r w:rsidR="00745161" w:rsidRPr="0016328E">
        <w:rPr>
          <w:rFonts w:ascii="Times New Roman" w:hAnsi="Times New Roman" w:cs="Times New Roman"/>
          <w:sz w:val="36"/>
          <w:szCs w:val="36"/>
        </w:rPr>
        <w:t>the National Cancer Institute</w:t>
      </w:r>
      <w:r w:rsidR="00B67598" w:rsidRPr="0016328E">
        <w:rPr>
          <w:rFonts w:ascii="Times New Roman" w:hAnsi="Times New Roman" w:cs="Times New Roman"/>
          <w:sz w:val="36"/>
          <w:szCs w:val="36"/>
        </w:rPr>
        <w:t xml:space="preserve"> (NCI)</w:t>
      </w:r>
    </w:p>
    <w:p w14:paraId="39A8FF3E" w14:textId="77777777" w:rsidR="00434F67" w:rsidRPr="0016328E" w:rsidRDefault="00434F67" w:rsidP="00617945">
      <w:pPr>
        <w:jc w:val="center"/>
        <w:rPr>
          <w:rFonts w:ascii="Times New Roman" w:hAnsi="Times New Roman" w:cs="Times New Roman"/>
          <w:sz w:val="36"/>
          <w:szCs w:val="36"/>
        </w:rPr>
      </w:pPr>
    </w:p>
    <w:p w14:paraId="2354AF8A" w14:textId="77B4D456" w:rsidR="00434F67" w:rsidRPr="0016328E" w:rsidRDefault="00A47787" w:rsidP="00617945">
      <w:pPr>
        <w:jc w:val="center"/>
        <w:rPr>
          <w:rFonts w:ascii="Times New Roman" w:hAnsi="Times New Roman" w:cs="Times New Roman"/>
          <w:sz w:val="36"/>
          <w:szCs w:val="36"/>
        </w:rPr>
      </w:pPr>
      <w:r w:rsidRPr="0016328E">
        <w:rPr>
          <w:rFonts w:ascii="Times New Roman" w:hAnsi="Times New Roman" w:cs="Times New Roman"/>
          <w:sz w:val="36"/>
          <w:szCs w:val="36"/>
        </w:rPr>
        <w:t xml:space="preserve"> </w:t>
      </w:r>
      <w:r w:rsidR="00B11E04">
        <w:rPr>
          <w:rFonts w:ascii="Times New Roman" w:hAnsi="Times New Roman" w:cs="Times New Roman"/>
          <w:sz w:val="36"/>
          <w:szCs w:val="36"/>
        </w:rPr>
        <w:t>October 29</w:t>
      </w:r>
      <w:r w:rsidR="008025EF">
        <w:rPr>
          <w:rFonts w:ascii="Times New Roman" w:hAnsi="Times New Roman" w:cs="Times New Roman"/>
          <w:sz w:val="36"/>
          <w:szCs w:val="36"/>
        </w:rPr>
        <w:t>,</w:t>
      </w:r>
      <w:r w:rsidRPr="0016328E">
        <w:rPr>
          <w:rFonts w:ascii="Times New Roman" w:hAnsi="Times New Roman" w:cs="Times New Roman"/>
          <w:sz w:val="36"/>
          <w:szCs w:val="36"/>
        </w:rPr>
        <w:t xml:space="preserve"> 2013</w:t>
      </w:r>
    </w:p>
    <w:p w14:paraId="02DEF596" w14:textId="77777777" w:rsidR="00617945" w:rsidRPr="00F60D51" w:rsidRDefault="00617945" w:rsidP="00617945">
      <w:pPr>
        <w:jc w:val="center"/>
        <w:rPr>
          <w:rFonts w:ascii="Times New Roman" w:hAnsi="Times New Roman" w:cs="Times New Roman"/>
          <w:sz w:val="24"/>
          <w:szCs w:val="24"/>
        </w:rPr>
      </w:pPr>
    </w:p>
    <w:p w14:paraId="3E8034AA" w14:textId="77777777" w:rsidR="00617945" w:rsidRPr="00F60D51" w:rsidRDefault="00617945" w:rsidP="00617945">
      <w:pPr>
        <w:jc w:val="center"/>
        <w:rPr>
          <w:rFonts w:ascii="Times New Roman" w:hAnsi="Times New Roman" w:cs="Times New Roman"/>
          <w:sz w:val="24"/>
          <w:szCs w:val="24"/>
        </w:rPr>
      </w:pPr>
    </w:p>
    <w:p w14:paraId="577127F0" w14:textId="77777777" w:rsidR="00617945" w:rsidRPr="00F60D51" w:rsidRDefault="00617945" w:rsidP="00617945">
      <w:pPr>
        <w:jc w:val="center"/>
        <w:rPr>
          <w:rFonts w:ascii="Times New Roman" w:hAnsi="Times New Roman" w:cs="Times New Roman"/>
          <w:sz w:val="24"/>
          <w:szCs w:val="24"/>
        </w:rPr>
      </w:pPr>
    </w:p>
    <w:p w14:paraId="2B160C4A" w14:textId="77777777" w:rsidR="00617945" w:rsidRPr="00F60D51" w:rsidRDefault="00617945" w:rsidP="00617945">
      <w:pPr>
        <w:jc w:val="center"/>
        <w:rPr>
          <w:rFonts w:ascii="Times New Roman" w:hAnsi="Times New Roman" w:cs="Times New Roman"/>
          <w:sz w:val="24"/>
          <w:szCs w:val="24"/>
        </w:rPr>
      </w:pPr>
    </w:p>
    <w:p w14:paraId="07E22E28" w14:textId="77777777" w:rsidR="00617945" w:rsidRPr="00F60D51" w:rsidRDefault="00617945" w:rsidP="00617945">
      <w:pPr>
        <w:jc w:val="center"/>
        <w:rPr>
          <w:rFonts w:ascii="Times New Roman" w:hAnsi="Times New Roman" w:cs="Times New Roman"/>
          <w:sz w:val="24"/>
          <w:szCs w:val="24"/>
        </w:rPr>
      </w:pPr>
    </w:p>
    <w:p w14:paraId="0B115BA6" w14:textId="77777777" w:rsidR="00617945" w:rsidRPr="00F60D51" w:rsidRDefault="00617945" w:rsidP="00617945">
      <w:pPr>
        <w:jc w:val="center"/>
        <w:rPr>
          <w:rFonts w:ascii="Times New Roman" w:hAnsi="Times New Roman" w:cs="Times New Roman"/>
          <w:sz w:val="24"/>
          <w:szCs w:val="24"/>
        </w:rPr>
      </w:pPr>
    </w:p>
    <w:p w14:paraId="33F59BBD" w14:textId="77777777" w:rsidR="00617945" w:rsidRPr="00F60D51" w:rsidRDefault="00617945" w:rsidP="00617945">
      <w:pPr>
        <w:jc w:val="center"/>
        <w:rPr>
          <w:rFonts w:ascii="Times New Roman" w:hAnsi="Times New Roman" w:cs="Times New Roman"/>
          <w:sz w:val="24"/>
          <w:szCs w:val="24"/>
        </w:rPr>
      </w:pPr>
    </w:p>
    <w:p w14:paraId="7064707B" w14:textId="77777777" w:rsidR="00617945" w:rsidRPr="00F60D51" w:rsidRDefault="00617945" w:rsidP="00617945">
      <w:pPr>
        <w:jc w:val="center"/>
        <w:rPr>
          <w:rFonts w:ascii="Times New Roman" w:hAnsi="Times New Roman" w:cs="Times New Roman"/>
          <w:sz w:val="24"/>
          <w:szCs w:val="24"/>
        </w:rPr>
      </w:pPr>
    </w:p>
    <w:p w14:paraId="583C222E" w14:textId="77777777" w:rsidR="0094335A" w:rsidRPr="00F60D51" w:rsidRDefault="0094335A" w:rsidP="00110C7E">
      <w:pPr>
        <w:spacing w:after="0" w:line="240" w:lineRule="auto"/>
        <w:jc w:val="center"/>
        <w:rPr>
          <w:rFonts w:ascii="Times New Roman" w:hAnsi="Times New Roman" w:cs="Times New Roman"/>
          <w:sz w:val="24"/>
          <w:szCs w:val="24"/>
        </w:rPr>
      </w:pPr>
      <w:r w:rsidRPr="00F60D51">
        <w:rPr>
          <w:rFonts w:ascii="Times New Roman" w:hAnsi="Times New Roman" w:cs="Times New Roman"/>
          <w:sz w:val="24"/>
          <w:szCs w:val="24"/>
        </w:rPr>
        <w:t>Vivian Horovitch-Kelley</w:t>
      </w:r>
    </w:p>
    <w:p w14:paraId="15F83686" w14:textId="77777777" w:rsidR="0094335A" w:rsidRPr="00F60D51" w:rsidRDefault="0094335A" w:rsidP="00110C7E">
      <w:pPr>
        <w:spacing w:after="0" w:line="240" w:lineRule="auto"/>
        <w:jc w:val="center"/>
        <w:rPr>
          <w:rFonts w:ascii="Times New Roman" w:hAnsi="Times New Roman" w:cs="Times New Roman"/>
          <w:sz w:val="24"/>
          <w:szCs w:val="24"/>
        </w:rPr>
      </w:pPr>
      <w:r w:rsidRPr="00F60D51">
        <w:rPr>
          <w:rFonts w:ascii="Times New Roman" w:hAnsi="Times New Roman" w:cs="Times New Roman"/>
          <w:sz w:val="24"/>
          <w:szCs w:val="24"/>
        </w:rPr>
        <w:t>PRA/OMB Project Clearance Liaison</w:t>
      </w:r>
    </w:p>
    <w:p w14:paraId="6E507729" w14:textId="77777777" w:rsidR="00787CF6" w:rsidRDefault="0094335A" w:rsidP="00110C7E">
      <w:pPr>
        <w:spacing w:after="0" w:line="240" w:lineRule="auto"/>
        <w:jc w:val="center"/>
        <w:rPr>
          <w:rFonts w:ascii="Times New Roman" w:hAnsi="Times New Roman" w:cs="Times New Roman"/>
          <w:sz w:val="24"/>
          <w:szCs w:val="24"/>
        </w:rPr>
      </w:pPr>
      <w:r w:rsidRPr="00F60D51">
        <w:rPr>
          <w:rFonts w:ascii="Times New Roman" w:hAnsi="Times New Roman" w:cs="Times New Roman"/>
          <w:sz w:val="24"/>
          <w:szCs w:val="24"/>
        </w:rPr>
        <w:t>Office of Ma</w:t>
      </w:r>
      <w:r w:rsidRPr="00787CF6">
        <w:rPr>
          <w:rFonts w:ascii="Times New Roman" w:hAnsi="Times New Roman" w:cs="Times New Roman"/>
          <w:sz w:val="24"/>
          <w:szCs w:val="24"/>
        </w:rPr>
        <w:t xml:space="preserve">nagement </w:t>
      </w:r>
      <w:r w:rsidR="00B347D6" w:rsidRPr="00787CF6">
        <w:rPr>
          <w:rFonts w:ascii="Times New Roman" w:hAnsi="Times New Roman" w:cs="Times New Roman"/>
          <w:sz w:val="24"/>
          <w:szCs w:val="24"/>
        </w:rPr>
        <w:t>Policy and Compliance</w:t>
      </w:r>
      <w:r w:rsidRPr="00787CF6">
        <w:rPr>
          <w:rFonts w:ascii="Times New Roman" w:hAnsi="Times New Roman" w:cs="Times New Roman"/>
          <w:sz w:val="24"/>
          <w:szCs w:val="24"/>
        </w:rPr>
        <w:t xml:space="preserve"> (OM</w:t>
      </w:r>
      <w:r w:rsidR="00B347D6" w:rsidRPr="00787CF6">
        <w:rPr>
          <w:rFonts w:ascii="Times New Roman" w:hAnsi="Times New Roman" w:cs="Times New Roman"/>
          <w:sz w:val="24"/>
          <w:szCs w:val="24"/>
        </w:rPr>
        <w:t>PC</w:t>
      </w:r>
      <w:r w:rsidRPr="00787CF6">
        <w:rPr>
          <w:rFonts w:ascii="Times New Roman" w:hAnsi="Times New Roman" w:cs="Times New Roman"/>
          <w:sz w:val="24"/>
          <w:szCs w:val="24"/>
        </w:rPr>
        <w:t>)</w:t>
      </w:r>
    </w:p>
    <w:p w14:paraId="1FF860D9" w14:textId="77777777" w:rsidR="00617945" w:rsidRPr="00787CF6" w:rsidRDefault="00617945" w:rsidP="00110C7E">
      <w:pPr>
        <w:spacing w:after="0" w:line="240" w:lineRule="auto"/>
        <w:jc w:val="center"/>
        <w:rPr>
          <w:rFonts w:ascii="Times New Roman" w:hAnsi="Times New Roman" w:cs="Times New Roman"/>
          <w:sz w:val="24"/>
          <w:szCs w:val="24"/>
        </w:rPr>
      </w:pPr>
      <w:r w:rsidRPr="00787CF6">
        <w:rPr>
          <w:rFonts w:ascii="Times New Roman" w:hAnsi="Times New Roman" w:cs="Times New Roman"/>
          <w:sz w:val="24"/>
          <w:szCs w:val="24"/>
        </w:rPr>
        <w:t>National Cancer Institute</w:t>
      </w:r>
    </w:p>
    <w:p w14:paraId="16A82F8A" w14:textId="1309DA04" w:rsidR="0094335A" w:rsidRPr="00787CF6" w:rsidRDefault="009106A0" w:rsidP="00110C7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11400 Rockville Pike</w:t>
      </w:r>
      <w:r w:rsidR="0094335A" w:rsidRPr="00787CF6">
        <w:rPr>
          <w:rFonts w:ascii="Times New Roman" w:hAnsi="Times New Roman" w:cs="Times New Roman"/>
          <w:sz w:val="24"/>
          <w:szCs w:val="24"/>
        </w:rPr>
        <w:t xml:space="preserve">, </w:t>
      </w:r>
      <w:r>
        <w:rPr>
          <w:rFonts w:ascii="Times New Roman" w:hAnsi="Times New Roman" w:cs="Times New Roman"/>
          <w:sz w:val="24"/>
          <w:szCs w:val="24"/>
        </w:rPr>
        <w:t>Room</w:t>
      </w:r>
      <w:r w:rsidR="00F53CA9">
        <w:rPr>
          <w:rFonts w:ascii="Times New Roman" w:hAnsi="Times New Roman" w:cs="Times New Roman"/>
          <w:sz w:val="24"/>
          <w:szCs w:val="24"/>
        </w:rPr>
        <w:t xml:space="preserve"> 714</w:t>
      </w:r>
    </w:p>
    <w:p w14:paraId="4D347848" w14:textId="77777777" w:rsidR="0094335A" w:rsidRPr="00787CF6" w:rsidRDefault="0094335A" w:rsidP="00110C7E">
      <w:pPr>
        <w:spacing w:after="0" w:line="240" w:lineRule="auto"/>
        <w:jc w:val="center"/>
        <w:rPr>
          <w:rFonts w:ascii="Times New Roman" w:hAnsi="Times New Roman" w:cs="Times New Roman"/>
          <w:sz w:val="24"/>
          <w:szCs w:val="24"/>
        </w:rPr>
      </w:pPr>
      <w:r w:rsidRPr="00787CF6">
        <w:rPr>
          <w:rFonts w:ascii="Times New Roman" w:hAnsi="Times New Roman" w:cs="Times New Roman"/>
          <w:sz w:val="24"/>
          <w:szCs w:val="24"/>
        </w:rPr>
        <w:t>Rockville, MD</w:t>
      </w:r>
      <w:r w:rsidR="00D72825">
        <w:rPr>
          <w:rFonts w:ascii="Times New Roman" w:hAnsi="Times New Roman" w:cs="Times New Roman"/>
          <w:sz w:val="24"/>
          <w:szCs w:val="24"/>
        </w:rPr>
        <w:t xml:space="preserve">  20852</w:t>
      </w:r>
    </w:p>
    <w:p w14:paraId="70F73001" w14:textId="77777777" w:rsidR="0094335A" w:rsidRPr="00787CF6" w:rsidRDefault="0094335A" w:rsidP="00110C7E">
      <w:pPr>
        <w:spacing w:after="0" w:line="240" w:lineRule="auto"/>
        <w:jc w:val="center"/>
        <w:rPr>
          <w:rFonts w:ascii="Times New Roman" w:hAnsi="Times New Roman" w:cs="Times New Roman"/>
          <w:sz w:val="24"/>
          <w:szCs w:val="24"/>
        </w:rPr>
      </w:pPr>
      <w:r w:rsidRPr="00787CF6">
        <w:rPr>
          <w:rFonts w:ascii="Times New Roman" w:hAnsi="Times New Roman" w:cs="Times New Roman"/>
          <w:sz w:val="24"/>
          <w:szCs w:val="24"/>
        </w:rPr>
        <w:t>Phone</w:t>
      </w:r>
      <w:r w:rsidR="00617945" w:rsidRPr="00787CF6">
        <w:rPr>
          <w:rFonts w:ascii="Times New Roman" w:hAnsi="Times New Roman" w:cs="Times New Roman"/>
          <w:sz w:val="24"/>
          <w:szCs w:val="24"/>
        </w:rPr>
        <w:t> 301</w:t>
      </w:r>
      <w:r w:rsidRPr="00787CF6">
        <w:rPr>
          <w:rFonts w:ascii="Times New Roman" w:hAnsi="Times New Roman" w:cs="Times New Roman"/>
          <w:sz w:val="24"/>
          <w:szCs w:val="24"/>
        </w:rPr>
        <w:t>-</w:t>
      </w:r>
      <w:r w:rsidR="009106A0">
        <w:rPr>
          <w:rFonts w:ascii="Times New Roman" w:hAnsi="Times New Roman" w:cs="Times New Roman"/>
          <w:sz w:val="24"/>
          <w:szCs w:val="24"/>
        </w:rPr>
        <w:t>480-0541</w:t>
      </w:r>
    </w:p>
    <w:p w14:paraId="55F98C00" w14:textId="77777777" w:rsidR="0094335A" w:rsidRPr="00787CF6" w:rsidRDefault="0094335A" w:rsidP="00110C7E">
      <w:pPr>
        <w:spacing w:after="0" w:line="240" w:lineRule="auto"/>
        <w:jc w:val="center"/>
        <w:rPr>
          <w:rFonts w:ascii="Times New Roman" w:hAnsi="Times New Roman" w:cs="Times New Roman"/>
          <w:sz w:val="24"/>
          <w:szCs w:val="24"/>
        </w:rPr>
      </w:pPr>
      <w:r w:rsidRPr="00787CF6">
        <w:rPr>
          <w:rFonts w:ascii="Times New Roman" w:hAnsi="Times New Roman" w:cs="Times New Roman"/>
          <w:sz w:val="24"/>
          <w:szCs w:val="24"/>
        </w:rPr>
        <w:t>Fax</w:t>
      </w:r>
      <w:r w:rsidR="00617945" w:rsidRPr="00787CF6">
        <w:rPr>
          <w:rFonts w:ascii="Times New Roman" w:hAnsi="Times New Roman" w:cs="Times New Roman"/>
          <w:sz w:val="24"/>
          <w:szCs w:val="24"/>
        </w:rPr>
        <w:t> 301</w:t>
      </w:r>
      <w:r w:rsidRPr="00787CF6">
        <w:rPr>
          <w:rFonts w:ascii="Times New Roman" w:hAnsi="Times New Roman" w:cs="Times New Roman"/>
          <w:sz w:val="24"/>
          <w:szCs w:val="24"/>
        </w:rPr>
        <w:t>-</w:t>
      </w:r>
      <w:r w:rsidR="0016328E">
        <w:rPr>
          <w:rFonts w:ascii="Times New Roman" w:hAnsi="Times New Roman" w:cs="Times New Roman"/>
          <w:sz w:val="24"/>
          <w:szCs w:val="24"/>
        </w:rPr>
        <w:t>827-0940</w:t>
      </w:r>
    </w:p>
    <w:p w14:paraId="617CBCBB" w14:textId="77777777" w:rsidR="0094335A" w:rsidRPr="00787CF6" w:rsidRDefault="00397333" w:rsidP="00110C7E">
      <w:pPr>
        <w:spacing w:after="0" w:line="240" w:lineRule="auto"/>
        <w:jc w:val="center"/>
        <w:rPr>
          <w:rFonts w:ascii="Times New Roman" w:hAnsi="Times New Roman" w:cs="Times New Roman"/>
          <w:sz w:val="24"/>
          <w:szCs w:val="24"/>
        </w:rPr>
      </w:pPr>
      <w:hyperlink r:id="rId9" w:history="1">
        <w:r w:rsidR="0094335A" w:rsidRPr="00787CF6">
          <w:rPr>
            <w:rStyle w:val="Hyperlink"/>
            <w:rFonts w:ascii="Times New Roman" w:hAnsi="Times New Roman" w:cs="Times New Roman"/>
            <w:color w:val="auto"/>
            <w:sz w:val="24"/>
            <w:szCs w:val="24"/>
          </w:rPr>
          <w:t>Horovitchkellv@mail.nih.gov</w:t>
        </w:r>
      </w:hyperlink>
    </w:p>
    <w:p w14:paraId="09613EE2" w14:textId="77777777" w:rsidR="00436B37" w:rsidRPr="00787CF6" w:rsidRDefault="00436B37" w:rsidP="0094335A">
      <w:pPr>
        <w:spacing w:after="0"/>
        <w:rPr>
          <w:rFonts w:ascii="Times New Roman" w:hAnsi="Times New Roman" w:cs="Times New Roman"/>
          <w:sz w:val="24"/>
          <w:szCs w:val="24"/>
        </w:rPr>
      </w:pPr>
    </w:p>
    <w:p w14:paraId="72B61B9F" w14:textId="77777777" w:rsidR="00617945" w:rsidRPr="00787CF6" w:rsidRDefault="00617945">
      <w:pPr>
        <w:rPr>
          <w:rFonts w:ascii="Times New Roman" w:hAnsi="Times New Roman" w:cs="Times New Roman"/>
          <w:sz w:val="24"/>
          <w:szCs w:val="24"/>
        </w:rPr>
      </w:pPr>
      <w:r w:rsidRPr="00787CF6">
        <w:rPr>
          <w:rFonts w:ascii="Times New Roman" w:hAnsi="Times New Roman" w:cs="Times New Roman"/>
          <w:sz w:val="24"/>
          <w:szCs w:val="24"/>
        </w:rPr>
        <w:br w:type="page"/>
      </w:r>
    </w:p>
    <w:p w14:paraId="4F4E9374" w14:textId="77777777" w:rsidR="00617945" w:rsidRPr="00787CF6" w:rsidRDefault="00617945" w:rsidP="00617945">
      <w:pPr>
        <w:tabs>
          <w:tab w:val="left" w:pos="3510"/>
        </w:tabs>
        <w:jc w:val="center"/>
        <w:rPr>
          <w:rFonts w:ascii="Times New Roman" w:hAnsi="Times New Roman" w:cs="Times New Roman"/>
          <w:b/>
          <w:sz w:val="24"/>
          <w:szCs w:val="24"/>
        </w:rPr>
      </w:pPr>
      <w:r w:rsidRPr="00787CF6">
        <w:rPr>
          <w:rFonts w:ascii="Times New Roman" w:hAnsi="Times New Roman" w:cs="Times New Roman"/>
          <w:b/>
          <w:sz w:val="24"/>
          <w:szCs w:val="24"/>
        </w:rPr>
        <w:lastRenderedPageBreak/>
        <w:t>Table of Contents</w:t>
      </w:r>
    </w:p>
    <w:p w14:paraId="147BAA2D" w14:textId="77777777" w:rsidR="00617945" w:rsidRPr="00787CF6" w:rsidRDefault="00050F46" w:rsidP="007204C6">
      <w:pPr>
        <w:pStyle w:val="TOC2"/>
        <w:rPr>
          <w:noProof/>
          <w:sz w:val="24"/>
          <w:szCs w:val="24"/>
        </w:rPr>
      </w:pPr>
      <w:r w:rsidRPr="00787CF6">
        <w:rPr>
          <w:noProof/>
          <w:sz w:val="24"/>
          <w:szCs w:val="24"/>
        </w:rPr>
        <w:fldChar w:fldCharType="begin"/>
      </w:r>
      <w:r w:rsidR="00617945" w:rsidRPr="00787CF6">
        <w:rPr>
          <w:noProof/>
          <w:sz w:val="24"/>
          <w:szCs w:val="24"/>
        </w:rPr>
        <w:instrText xml:space="preserve"> TOC \o "1-2" \u </w:instrText>
      </w:r>
      <w:r w:rsidRPr="00787CF6">
        <w:rPr>
          <w:noProof/>
          <w:sz w:val="24"/>
          <w:szCs w:val="24"/>
        </w:rPr>
        <w:fldChar w:fldCharType="separate"/>
      </w:r>
      <w:r w:rsidR="00617945" w:rsidRPr="00787CF6">
        <w:rPr>
          <w:b/>
          <w:noProof/>
          <w:sz w:val="24"/>
          <w:szCs w:val="24"/>
        </w:rPr>
        <w:t>A.</w:t>
      </w:r>
      <w:r w:rsidR="00617945" w:rsidRPr="00787CF6">
        <w:rPr>
          <w:b/>
          <w:noProof/>
          <w:sz w:val="24"/>
          <w:szCs w:val="24"/>
        </w:rPr>
        <w:tab/>
        <w:t>Justification</w:t>
      </w:r>
      <w:r w:rsidR="00617945" w:rsidRPr="00787CF6">
        <w:rPr>
          <w:b/>
          <w:noProof/>
          <w:sz w:val="24"/>
          <w:szCs w:val="24"/>
        </w:rPr>
        <w:tab/>
      </w:r>
      <w:r w:rsidR="00464DB9" w:rsidRPr="00787CF6">
        <w:rPr>
          <w:b/>
          <w:noProof/>
          <w:sz w:val="24"/>
          <w:szCs w:val="24"/>
        </w:rPr>
        <w:tab/>
      </w:r>
      <w:r w:rsidR="00D51E75">
        <w:rPr>
          <w:b/>
          <w:noProof/>
          <w:sz w:val="24"/>
          <w:szCs w:val="24"/>
        </w:rPr>
        <w:t>1</w:t>
      </w:r>
    </w:p>
    <w:p w14:paraId="673C3C70" w14:textId="77777777" w:rsidR="00464DB9" w:rsidRPr="00787CF6" w:rsidRDefault="00464DB9" w:rsidP="007204C6">
      <w:pPr>
        <w:pStyle w:val="TOC2"/>
        <w:rPr>
          <w:noProof/>
          <w:sz w:val="24"/>
          <w:szCs w:val="24"/>
        </w:rPr>
      </w:pPr>
      <w:r w:rsidRPr="00787CF6">
        <w:rPr>
          <w:noProof/>
          <w:sz w:val="24"/>
          <w:szCs w:val="24"/>
        </w:rPr>
        <w:t>A1</w:t>
      </w:r>
      <w:r w:rsidR="00033507" w:rsidRPr="00787CF6">
        <w:rPr>
          <w:noProof/>
          <w:sz w:val="24"/>
          <w:szCs w:val="24"/>
        </w:rPr>
        <w:t>.</w:t>
      </w:r>
      <w:r w:rsidRPr="00787CF6">
        <w:rPr>
          <w:noProof/>
          <w:sz w:val="24"/>
          <w:szCs w:val="24"/>
        </w:rPr>
        <w:tab/>
        <w:t>circumstance</w:t>
      </w:r>
      <w:r w:rsidR="00435C49" w:rsidRPr="00787CF6">
        <w:rPr>
          <w:noProof/>
          <w:sz w:val="24"/>
          <w:szCs w:val="24"/>
        </w:rPr>
        <w:t>s</w:t>
      </w:r>
      <w:r w:rsidRPr="00787CF6">
        <w:rPr>
          <w:noProof/>
          <w:sz w:val="24"/>
          <w:szCs w:val="24"/>
        </w:rPr>
        <w:t xml:space="preserve"> making the collection of information necessary</w:t>
      </w:r>
      <w:r w:rsidRPr="00787CF6">
        <w:rPr>
          <w:noProof/>
          <w:sz w:val="24"/>
          <w:szCs w:val="24"/>
        </w:rPr>
        <w:tab/>
      </w:r>
      <w:r w:rsidRPr="00787CF6">
        <w:rPr>
          <w:noProof/>
          <w:sz w:val="24"/>
          <w:szCs w:val="24"/>
        </w:rPr>
        <w:tab/>
      </w:r>
      <w:r w:rsidR="00D51E75">
        <w:rPr>
          <w:noProof/>
          <w:sz w:val="24"/>
          <w:szCs w:val="24"/>
        </w:rPr>
        <w:t>1</w:t>
      </w:r>
    </w:p>
    <w:p w14:paraId="0CE78875" w14:textId="54700B2E" w:rsidR="00617945" w:rsidRPr="00787CF6" w:rsidRDefault="00617945" w:rsidP="007204C6">
      <w:pPr>
        <w:pStyle w:val="TOC2"/>
        <w:rPr>
          <w:noProof/>
          <w:sz w:val="24"/>
          <w:szCs w:val="24"/>
        </w:rPr>
      </w:pPr>
      <w:r w:rsidRPr="00787CF6">
        <w:rPr>
          <w:noProof/>
          <w:sz w:val="24"/>
          <w:szCs w:val="24"/>
        </w:rPr>
        <w:t>A2.</w:t>
      </w:r>
      <w:r w:rsidRPr="00787CF6">
        <w:rPr>
          <w:noProof/>
          <w:sz w:val="24"/>
          <w:szCs w:val="24"/>
        </w:rPr>
        <w:tab/>
        <w:t>Purpose and Use of the Information</w:t>
      </w:r>
      <w:r w:rsidR="00F029A4" w:rsidRPr="00787CF6">
        <w:rPr>
          <w:noProof/>
          <w:sz w:val="24"/>
          <w:szCs w:val="24"/>
        </w:rPr>
        <w:t xml:space="preserve"> Collection</w:t>
      </w:r>
      <w:r w:rsidRPr="00787CF6">
        <w:rPr>
          <w:noProof/>
          <w:sz w:val="24"/>
          <w:szCs w:val="24"/>
        </w:rPr>
        <w:tab/>
      </w:r>
      <w:r w:rsidR="00464DB9" w:rsidRPr="00787CF6">
        <w:rPr>
          <w:noProof/>
          <w:sz w:val="24"/>
          <w:szCs w:val="24"/>
        </w:rPr>
        <w:tab/>
      </w:r>
      <w:r w:rsidR="007B51E7">
        <w:rPr>
          <w:noProof/>
          <w:sz w:val="24"/>
          <w:szCs w:val="24"/>
        </w:rPr>
        <w:t>4</w:t>
      </w:r>
    </w:p>
    <w:p w14:paraId="296A95F8" w14:textId="0DB87E40" w:rsidR="00617945" w:rsidRPr="00787CF6" w:rsidRDefault="00617945" w:rsidP="007204C6">
      <w:pPr>
        <w:pStyle w:val="TOC2"/>
        <w:rPr>
          <w:noProof/>
          <w:sz w:val="24"/>
          <w:szCs w:val="24"/>
        </w:rPr>
      </w:pPr>
      <w:r w:rsidRPr="00787CF6">
        <w:rPr>
          <w:noProof/>
          <w:sz w:val="24"/>
          <w:szCs w:val="24"/>
        </w:rPr>
        <w:t>A3</w:t>
      </w:r>
      <w:r w:rsidR="00033507" w:rsidRPr="00787CF6">
        <w:rPr>
          <w:noProof/>
          <w:sz w:val="24"/>
          <w:szCs w:val="24"/>
        </w:rPr>
        <w:t>.</w:t>
      </w:r>
      <w:r w:rsidRPr="00787CF6">
        <w:rPr>
          <w:noProof/>
          <w:sz w:val="24"/>
          <w:szCs w:val="24"/>
        </w:rPr>
        <w:tab/>
        <w:t>Use of Improved Information Technology and Burden Reduction</w:t>
      </w:r>
      <w:r w:rsidRPr="00787CF6">
        <w:rPr>
          <w:noProof/>
          <w:sz w:val="24"/>
          <w:szCs w:val="24"/>
        </w:rPr>
        <w:tab/>
      </w:r>
      <w:r w:rsidR="00464DB9" w:rsidRPr="00787CF6">
        <w:rPr>
          <w:noProof/>
          <w:sz w:val="24"/>
          <w:szCs w:val="24"/>
        </w:rPr>
        <w:tab/>
      </w:r>
      <w:r w:rsidR="008C1231">
        <w:rPr>
          <w:noProof/>
          <w:sz w:val="24"/>
          <w:szCs w:val="24"/>
        </w:rPr>
        <w:t>7</w:t>
      </w:r>
    </w:p>
    <w:p w14:paraId="79081E09" w14:textId="18D31950" w:rsidR="00617945" w:rsidRPr="00787CF6" w:rsidRDefault="00617945" w:rsidP="007204C6">
      <w:pPr>
        <w:pStyle w:val="TOC2"/>
        <w:rPr>
          <w:noProof/>
          <w:sz w:val="24"/>
          <w:szCs w:val="24"/>
        </w:rPr>
      </w:pPr>
      <w:r w:rsidRPr="00787CF6">
        <w:rPr>
          <w:noProof/>
          <w:sz w:val="24"/>
          <w:szCs w:val="24"/>
        </w:rPr>
        <w:t>A4</w:t>
      </w:r>
      <w:r w:rsidR="00033507" w:rsidRPr="00787CF6">
        <w:rPr>
          <w:noProof/>
          <w:sz w:val="24"/>
          <w:szCs w:val="24"/>
        </w:rPr>
        <w:t>.</w:t>
      </w:r>
      <w:r w:rsidRPr="00787CF6">
        <w:rPr>
          <w:noProof/>
          <w:sz w:val="24"/>
          <w:szCs w:val="24"/>
        </w:rPr>
        <w:tab/>
        <w:t>Efforts to Identify Duplication and Use of Similar Information</w:t>
      </w:r>
      <w:r w:rsidRPr="00787CF6">
        <w:rPr>
          <w:noProof/>
          <w:sz w:val="24"/>
          <w:szCs w:val="24"/>
        </w:rPr>
        <w:tab/>
      </w:r>
      <w:r w:rsidR="00464DB9" w:rsidRPr="00787CF6">
        <w:rPr>
          <w:noProof/>
          <w:sz w:val="24"/>
          <w:szCs w:val="24"/>
        </w:rPr>
        <w:tab/>
      </w:r>
      <w:r w:rsidR="007B51E7">
        <w:rPr>
          <w:noProof/>
          <w:sz w:val="24"/>
          <w:szCs w:val="24"/>
        </w:rPr>
        <w:t>7</w:t>
      </w:r>
    </w:p>
    <w:p w14:paraId="47754265" w14:textId="40E8AC70" w:rsidR="00617945" w:rsidRPr="00787CF6" w:rsidRDefault="00617945" w:rsidP="007204C6">
      <w:pPr>
        <w:pStyle w:val="TOC2"/>
        <w:rPr>
          <w:noProof/>
          <w:sz w:val="24"/>
          <w:szCs w:val="24"/>
        </w:rPr>
      </w:pPr>
      <w:r w:rsidRPr="00787CF6">
        <w:rPr>
          <w:noProof/>
          <w:sz w:val="24"/>
          <w:szCs w:val="24"/>
        </w:rPr>
        <w:t>A5</w:t>
      </w:r>
      <w:r w:rsidR="00033507" w:rsidRPr="00787CF6">
        <w:rPr>
          <w:noProof/>
          <w:sz w:val="24"/>
          <w:szCs w:val="24"/>
        </w:rPr>
        <w:t>.</w:t>
      </w:r>
      <w:r w:rsidRPr="00787CF6">
        <w:rPr>
          <w:noProof/>
          <w:sz w:val="24"/>
          <w:szCs w:val="24"/>
        </w:rPr>
        <w:tab/>
        <w:t>Impact on Small Businesses or Other Small Entities</w:t>
      </w:r>
      <w:r w:rsidRPr="00787CF6">
        <w:rPr>
          <w:noProof/>
          <w:sz w:val="24"/>
          <w:szCs w:val="24"/>
        </w:rPr>
        <w:tab/>
      </w:r>
      <w:r w:rsidR="00464DB9" w:rsidRPr="00787CF6">
        <w:rPr>
          <w:noProof/>
          <w:sz w:val="24"/>
          <w:szCs w:val="24"/>
        </w:rPr>
        <w:tab/>
      </w:r>
      <w:r w:rsidR="00375B09">
        <w:rPr>
          <w:noProof/>
          <w:sz w:val="24"/>
          <w:szCs w:val="24"/>
        </w:rPr>
        <w:t>9</w:t>
      </w:r>
    </w:p>
    <w:p w14:paraId="7880F1BB" w14:textId="64255406" w:rsidR="00617945" w:rsidRPr="00787CF6" w:rsidRDefault="00617945" w:rsidP="007204C6">
      <w:pPr>
        <w:pStyle w:val="TOC2"/>
        <w:rPr>
          <w:noProof/>
          <w:sz w:val="24"/>
          <w:szCs w:val="24"/>
        </w:rPr>
      </w:pPr>
      <w:r w:rsidRPr="00787CF6">
        <w:rPr>
          <w:noProof/>
          <w:sz w:val="24"/>
          <w:szCs w:val="24"/>
        </w:rPr>
        <w:t>A6</w:t>
      </w:r>
      <w:r w:rsidR="00033507" w:rsidRPr="00787CF6">
        <w:rPr>
          <w:noProof/>
          <w:sz w:val="24"/>
          <w:szCs w:val="24"/>
        </w:rPr>
        <w:t>.</w:t>
      </w:r>
      <w:r w:rsidRPr="00787CF6">
        <w:rPr>
          <w:noProof/>
          <w:sz w:val="24"/>
          <w:szCs w:val="24"/>
        </w:rPr>
        <w:tab/>
        <w:t>Consequences of Collecting the Information Less Frequently</w:t>
      </w:r>
      <w:r w:rsidRPr="00787CF6">
        <w:rPr>
          <w:noProof/>
          <w:sz w:val="24"/>
          <w:szCs w:val="24"/>
        </w:rPr>
        <w:tab/>
      </w:r>
      <w:r w:rsidR="00464DB9" w:rsidRPr="00787CF6">
        <w:rPr>
          <w:noProof/>
          <w:sz w:val="24"/>
          <w:szCs w:val="24"/>
        </w:rPr>
        <w:tab/>
      </w:r>
      <w:r w:rsidR="00375B09">
        <w:rPr>
          <w:noProof/>
          <w:sz w:val="24"/>
          <w:szCs w:val="24"/>
        </w:rPr>
        <w:t>9</w:t>
      </w:r>
    </w:p>
    <w:p w14:paraId="05C6995C" w14:textId="547FF1D2" w:rsidR="00617945" w:rsidRPr="00787CF6" w:rsidRDefault="00617945" w:rsidP="007204C6">
      <w:pPr>
        <w:pStyle w:val="TOC2"/>
        <w:rPr>
          <w:noProof/>
          <w:sz w:val="24"/>
          <w:szCs w:val="24"/>
        </w:rPr>
      </w:pPr>
      <w:r w:rsidRPr="00787CF6">
        <w:rPr>
          <w:noProof/>
          <w:sz w:val="24"/>
          <w:szCs w:val="24"/>
        </w:rPr>
        <w:t>A7</w:t>
      </w:r>
      <w:r w:rsidR="00033507" w:rsidRPr="00787CF6">
        <w:rPr>
          <w:noProof/>
          <w:sz w:val="24"/>
          <w:szCs w:val="24"/>
        </w:rPr>
        <w:t>.</w:t>
      </w:r>
      <w:r w:rsidRPr="00787CF6">
        <w:rPr>
          <w:noProof/>
          <w:sz w:val="24"/>
          <w:szCs w:val="24"/>
        </w:rPr>
        <w:tab/>
        <w:t>Special Circumstances Relating to the Guidelines of 5 CFR 1320.5</w:t>
      </w:r>
      <w:r w:rsidRPr="00787CF6">
        <w:rPr>
          <w:noProof/>
          <w:sz w:val="24"/>
          <w:szCs w:val="24"/>
        </w:rPr>
        <w:tab/>
      </w:r>
      <w:r w:rsidR="00464DB9" w:rsidRPr="00787CF6">
        <w:rPr>
          <w:noProof/>
          <w:sz w:val="24"/>
          <w:szCs w:val="24"/>
        </w:rPr>
        <w:tab/>
      </w:r>
      <w:r w:rsidR="008C1231">
        <w:rPr>
          <w:noProof/>
          <w:sz w:val="24"/>
          <w:szCs w:val="24"/>
        </w:rPr>
        <w:t>10</w:t>
      </w:r>
    </w:p>
    <w:p w14:paraId="2EF60CCE" w14:textId="3CB0A562" w:rsidR="00617945" w:rsidRPr="00787CF6" w:rsidRDefault="00617945" w:rsidP="007204C6">
      <w:pPr>
        <w:pStyle w:val="TOC2"/>
        <w:rPr>
          <w:noProof/>
          <w:sz w:val="24"/>
          <w:szCs w:val="24"/>
        </w:rPr>
      </w:pPr>
      <w:r w:rsidRPr="00787CF6">
        <w:rPr>
          <w:noProof/>
          <w:sz w:val="24"/>
          <w:szCs w:val="24"/>
        </w:rPr>
        <w:t>A8</w:t>
      </w:r>
      <w:r w:rsidR="00033507" w:rsidRPr="00787CF6">
        <w:rPr>
          <w:noProof/>
          <w:sz w:val="24"/>
          <w:szCs w:val="24"/>
        </w:rPr>
        <w:t>.</w:t>
      </w:r>
      <w:r w:rsidRPr="00787CF6">
        <w:rPr>
          <w:noProof/>
          <w:sz w:val="24"/>
          <w:szCs w:val="24"/>
        </w:rPr>
        <w:tab/>
        <w:t>Comments in Response to the Federal Register Notice</w:t>
      </w:r>
      <w:r w:rsidR="00464DB9" w:rsidRPr="00787CF6">
        <w:rPr>
          <w:noProof/>
          <w:sz w:val="24"/>
          <w:szCs w:val="24"/>
        </w:rPr>
        <w:t xml:space="preserve"> and Efforts to Consult Outside</w:t>
      </w:r>
      <w:r w:rsidR="00033507" w:rsidRPr="00787CF6">
        <w:rPr>
          <w:noProof/>
          <w:sz w:val="24"/>
          <w:szCs w:val="24"/>
        </w:rPr>
        <w:t xml:space="preserve"> </w:t>
      </w:r>
      <w:r w:rsidRPr="00787CF6">
        <w:rPr>
          <w:noProof/>
          <w:sz w:val="24"/>
          <w:szCs w:val="24"/>
        </w:rPr>
        <w:t>the Agency</w:t>
      </w:r>
      <w:r w:rsidR="00744B31">
        <w:rPr>
          <w:noProof/>
          <w:sz w:val="24"/>
          <w:szCs w:val="24"/>
        </w:rPr>
        <w:tab/>
      </w:r>
      <w:r w:rsidR="00744B31">
        <w:rPr>
          <w:noProof/>
          <w:sz w:val="24"/>
          <w:szCs w:val="24"/>
        </w:rPr>
        <w:tab/>
      </w:r>
      <w:r w:rsidR="00250761">
        <w:rPr>
          <w:noProof/>
          <w:sz w:val="24"/>
          <w:szCs w:val="24"/>
        </w:rPr>
        <w:t>1</w:t>
      </w:r>
      <w:r w:rsidR="00375B09">
        <w:rPr>
          <w:noProof/>
          <w:sz w:val="24"/>
          <w:szCs w:val="24"/>
        </w:rPr>
        <w:t>0</w:t>
      </w:r>
    </w:p>
    <w:p w14:paraId="3055FF06" w14:textId="71B361B6" w:rsidR="00617945" w:rsidRPr="00787CF6" w:rsidRDefault="00617945" w:rsidP="007204C6">
      <w:pPr>
        <w:pStyle w:val="TOC2"/>
        <w:rPr>
          <w:noProof/>
          <w:sz w:val="24"/>
          <w:szCs w:val="24"/>
        </w:rPr>
      </w:pPr>
      <w:r w:rsidRPr="00787CF6">
        <w:rPr>
          <w:noProof/>
          <w:sz w:val="24"/>
          <w:szCs w:val="24"/>
        </w:rPr>
        <w:t>A9</w:t>
      </w:r>
      <w:r w:rsidR="00033507" w:rsidRPr="00787CF6">
        <w:rPr>
          <w:noProof/>
          <w:sz w:val="24"/>
          <w:szCs w:val="24"/>
        </w:rPr>
        <w:t>.</w:t>
      </w:r>
      <w:r w:rsidRPr="00787CF6">
        <w:rPr>
          <w:noProof/>
          <w:sz w:val="24"/>
          <w:szCs w:val="24"/>
        </w:rPr>
        <w:tab/>
        <w:t>Explanation of Any Payment or Gift to Respondents</w:t>
      </w:r>
      <w:r w:rsidRPr="00787CF6">
        <w:rPr>
          <w:noProof/>
          <w:sz w:val="24"/>
          <w:szCs w:val="24"/>
        </w:rPr>
        <w:tab/>
      </w:r>
      <w:r w:rsidR="00744B31">
        <w:rPr>
          <w:noProof/>
          <w:sz w:val="24"/>
          <w:szCs w:val="24"/>
        </w:rPr>
        <w:tab/>
      </w:r>
      <w:r w:rsidR="004004BC">
        <w:rPr>
          <w:noProof/>
          <w:sz w:val="24"/>
          <w:szCs w:val="24"/>
        </w:rPr>
        <w:t>1</w:t>
      </w:r>
      <w:r w:rsidR="008C1231">
        <w:rPr>
          <w:noProof/>
          <w:sz w:val="24"/>
          <w:szCs w:val="24"/>
        </w:rPr>
        <w:t>1</w:t>
      </w:r>
    </w:p>
    <w:p w14:paraId="6E2547E4" w14:textId="052E4293" w:rsidR="00617945" w:rsidRPr="00787CF6" w:rsidRDefault="00617945" w:rsidP="007204C6">
      <w:pPr>
        <w:pStyle w:val="TOC2"/>
        <w:rPr>
          <w:noProof/>
          <w:sz w:val="24"/>
          <w:szCs w:val="24"/>
        </w:rPr>
      </w:pPr>
      <w:r w:rsidRPr="00787CF6">
        <w:rPr>
          <w:noProof/>
          <w:sz w:val="24"/>
          <w:szCs w:val="24"/>
        </w:rPr>
        <w:t>A10</w:t>
      </w:r>
      <w:r w:rsidR="00033507" w:rsidRPr="00787CF6">
        <w:rPr>
          <w:noProof/>
          <w:sz w:val="24"/>
          <w:szCs w:val="24"/>
        </w:rPr>
        <w:t>.</w:t>
      </w:r>
      <w:r w:rsidRPr="00787CF6">
        <w:rPr>
          <w:noProof/>
          <w:sz w:val="24"/>
          <w:szCs w:val="24"/>
        </w:rPr>
        <w:tab/>
        <w:t>Assurance of Confidentiality Provided to Respondents</w:t>
      </w:r>
      <w:r w:rsidRPr="00787CF6">
        <w:rPr>
          <w:noProof/>
          <w:sz w:val="24"/>
          <w:szCs w:val="24"/>
        </w:rPr>
        <w:tab/>
      </w:r>
      <w:r w:rsidR="00744B31">
        <w:rPr>
          <w:noProof/>
          <w:sz w:val="24"/>
          <w:szCs w:val="24"/>
        </w:rPr>
        <w:tab/>
      </w:r>
      <w:r w:rsidR="00250761">
        <w:rPr>
          <w:noProof/>
          <w:sz w:val="24"/>
          <w:szCs w:val="24"/>
        </w:rPr>
        <w:t>1</w:t>
      </w:r>
      <w:r w:rsidR="008C1231">
        <w:rPr>
          <w:noProof/>
          <w:sz w:val="24"/>
          <w:szCs w:val="24"/>
        </w:rPr>
        <w:t>1</w:t>
      </w:r>
    </w:p>
    <w:p w14:paraId="2743F74E" w14:textId="17456CF4" w:rsidR="00617945" w:rsidRPr="00787CF6" w:rsidRDefault="00617945" w:rsidP="007204C6">
      <w:pPr>
        <w:pStyle w:val="TOC2"/>
        <w:rPr>
          <w:noProof/>
          <w:sz w:val="24"/>
          <w:szCs w:val="24"/>
        </w:rPr>
      </w:pPr>
      <w:r w:rsidRPr="00787CF6">
        <w:rPr>
          <w:noProof/>
          <w:sz w:val="24"/>
          <w:szCs w:val="24"/>
        </w:rPr>
        <w:t>A11</w:t>
      </w:r>
      <w:r w:rsidR="00033507" w:rsidRPr="00787CF6">
        <w:rPr>
          <w:noProof/>
          <w:sz w:val="24"/>
          <w:szCs w:val="24"/>
        </w:rPr>
        <w:t>.</w:t>
      </w:r>
      <w:r w:rsidRPr="00787CF6">
        <w:rPr>
          <w:noProof/>
          <w:sz w:val="24"/>
          <w:szCs w:val="24"/>
        </w:rPr>
        <w:tab/>
        <w:t>Justification for Sensitive Questions</w:t>
      </w:r>
      <w:r w:rsidRPr="00787CF6">
        <w:rPr>
          <w:noProof/>
          <w:sz w:val="24"/>
          <w:szCs w:val="24"/>
        </w:rPr>
        <w:tab/>
      </w:r>
      <w:r w:rsidR="00744B31">
        <w:rPr>
          <w:noProof/>
          <w:sz w:val="24"/>
          <w:szCs w:val="24"/>
        </w:rPr>
        <w:tab/>
      </w:r>
      <w:r w:rsidR="00250761">
        <w:rPr>
          <w:noProof/>
          <w:sz w:val="24"/>
          <w:szCs w:val="24"/>
        </w:rPr>
        <w:t>1</w:t>
      </w:r>
      <w:r w:rsidR="008C1231">
        <w:rPr>
          <w:noProof/>
          <w:sz w:val="24"/>
          <w:szCs w:val="24"/>
        </w:rPr>
        <w:t>2</w:t>
      </w:r>
    </w:p>
    <w:p w14:paraId="75734060" w14:textId="66722EE3" w:rsidR="00617945" w:rsidRPr="00787CF6" w:rsidRDefault="00617945" w:rsidP="007204C6">
      <w:pPr>
        <w:pStyle w:val="TOC2"/>
        <w:rPr>
          <w:noProof/>
          <w:sz w:val="24"/>
          <w:szCs w:val="24"/>
        </w:rPr>
      </w:pPr>
      <w:r w:rsidRPr="00787CF6">
        <w:rPr>
          <w:noProof/>
          <w:sz w:val="24"/>
          <w:szCs w:val="24"/>
        </w:rPr>
        <w:t>A12</w:t>
      </w:r>
      <w:r w:rsidR="00033507" w:rsidRPr="00787CF6">
        <w:rPr>
          <w:noProof/>
          <w:sz w:val="24"/>
          <w:szCs w:val="24"/>
        </w:rPr>
        <w:t>.</w:t>
      </w:r>
      <w:r w:rsidRPr="00787CF6">
        <w:rPr>
          <w:noProof/>
          <w:sz w:val="24"/>
          <w:szCs w:val="24"/>
        </w:rPr>
        <w:tab/>
        <w:t>Estimates of Annualized Burden Hours And Costs</w:t>
      </w:r>
      <w:r w:rsidRPr="00787CF6">
        <w:rPr>
          <w:noProof/>
          <w:sz w:val="24"/>
          <w:szCs w:val="24"/>
        </w:rPr>
        <w:tab/>
      </w:r>
      <w:r w:rsidR="0011460E">
        <w:rPr>
          <w:noProof/>
          <w:sz w:val="24"/>
          <w:szCs w:val="24"/>
        </w:rPr>
        <w:tab/>
      </w:r>
      <w:r w:rsidR="00250761">
        <w:rPr>
          <w:noProof/>
          <w:sz w:val="24"/>
          <w:szCs w:val="24"/>
        </w:rPr>
        <w:t>1</w:t>
      </w:r>
      <w:r w:rsidR="008C1231">
        <w:rPr>
          <w:noProof/>
          <w:sz w:val="24"/>
          <w:szCs w:val="24"/>
        </w:rPr>
        <w:t>2</w:t>
      </w:r>
    </w:p>
    <w:p w14:paraId="6179A94B" w14:textId="77777777" w:rsidR="00617945" w:rsidRPr="00787CF6" w:rsidRDefault="00617945" w:rsidP="007204C6">
      <w:pPr>
        <w:pStyle w:val="TOC2"/>
        <w:rPr>
          <w:noProof/>
          <w:sz w:val="24"/>
          <w:szCs w:val="24"/>
        </w:rPr>
      </w:pPr>
      <w:r w:rsidRPr="00787CF6">
        <w:rPr>
          <w:noProof/>
          <w:sz w:val="24"/>
          <w:szCs w:val="24"/>
        </w:rPr>
        <w:t>A13</w:t>
      </w:r>
      <w:r w:rsidR="00033507" w:rsidRPr="00787CF6">
        <w:rPr>
          <w:noProof/>
          <w:sz w:val="24"/>
          <w:szCs w:val="24"/>
        </w:rPr>
        <w:t>.</w:t>
      </w:r>
      <w:r w:rsidRPr="00787CF6">
        <w:rPr>
          <w:noProof/>
          <w:sz w:val="24"/>
          <w:szCs w:val="24"/>
        </w:rPr>
        <w:tab/>
        <w:t xml:space="preserve">Estimates of Other Total Annual Cost Burden to Respondents and </w:t>
      </w:r>
    </w:p>
    <w:p w14:paraId="13609D5B" w14:textId="01163ED4" w:rsidR="00617945" w:rsidRPr="00787CF6" w:rsidRDefault="00617945" w:rsidP="007204C6">
      <w:pPr>
        <w:pStyle w:val="TOC2"/>
        <w:rPr>
          <w:noProof/>
          <w:sz w:val="24"/>
          <w:szCs w:val="24"/>
        </w:rPr>
      </w:pPr>
      <w:r w:rsidRPr="00787CF6">
        <w:rPr>
          <w:noProof/>
          <w:sz w:val="24"/>
          <w:szCs w:val="24"/>
        </w:rPr>
        <w:tab/>
        <w:t>Record Keepers</w:t>
      </w:r>
      <w:r w:rsidRPr="00787CF6">
        <w:rPr>
          <w:noProof/>
          <w:sz w:val="24"/>
          <w:szCs w:val="24"/>
        </w:rPr>
        <w:tab/>
      </w:r>
      <w:r w:rsidR="0011460E">
        <w:rPr>
          <w:noProof/>
          <w:sz w:val="24"/>
          <w:szCs w:val="24"/>
        </w:rPr>
        <w:tab/>
      </w:r>
      <w:r w:rsidR="00250761">
        <w:rPr>
          <w:noProof/>
          <w:sz w:val="24"/>
          <w:szCs w:val="24"/>
        </w:rPr>
        <w:t>1</w:t>
      </w:r>
      <w:r w:rsidR="008C1231">
        <w:rPr>
          <w:noProof/>
          <w:sz w:val="24"/>
          <w:szCs w:val="24"/>
        </w:rPr>
        <w:t>3</w:t>
      </w:r>
    </w:p>
    <w:p w14:paraId="7C81703D" w14:textId="191AFE91" w:rsidR="00617945" w:rsidRPr="00787CF6" w:rsidRDefault="00617945" w:rsidP="007204C6">
      <w:pPr>
        <w:pStyle w:val="TOC2"/>
        <w:rPr>
          <w:noProof/>
          <w:sz w:val="24"/>
          <w:szCs w:val="24"/>
        </w:rPr>
      </w:pPr>
      <w:r w:rsidRPr="00787CF6">
        <w:rPr>
          <w:noProof/>
          <w:sz w:val="24"/>
          <w:szCs w:val="24"/>
        </w:rPr>
        <w:t>A14</w:t>
      </w:r>
      <w:r w:rsidR="00033507" w:rsidRPr="00787CF6">
        <w:rPr>
          <w:noProof/>
          <w:sz w:val="24"/>
          <w:szCs w:val="24"/>
        </w:rPr>
        <w:t>.</w:t>
      </w:r>
      <w:r w:rsidRPr="00787CF6">
        <w:rPr>
          <w:noProof/>
          <w:sz w:val="24"/>
          <w:szCs w:val="24"/>
        </w:rPr>
        <w:tab/>
        <w:t>Annualized Cost to the Federal Government</w:t>
      </w:r>
      <w:r w:rsidRPr="00787CF6">
        <w:rPr>
          <w:noProof/>
          <w:sz w:val="24"/>
          <w:szCs w:val="24"/>
        </w:rPr>
        <w:tab/>
      </w:r>
      <w:r w:rsidR="0011460E">
        <w:rPr>
          <w:noProof/>
          <w:sz w:val="24"/>
          <w:szCs w:val="24"/>
        </w:rPr>
        <w:tab/>
      </w:r>
      <w:r w:rsidR="00250761">
        <w:rPr>
          <w:noProof/>
          <w:sz w:val="24"/>
          <w:szCs w:val="24"/>
        </w:rPr>
        <w:t>1</w:t>
      </w:r>
      <w:r w:rsidR="008C1231">
        <w:rPr>
          <w:noProof/>
          <w:sz w:val="24"/>
          <w:szCs w:val="24"/>
        </w:rPr>
        <w:t>3</w:t>
      </w:r>
    </w:p>
    <w:p w14:paraId="0CBBDF9B" w14:textId="394C8615" w:rsidR="00617945" w:rsidRPr="00787CF6" w:rsidRDefault="00617945" w:rsidP="007204C6">
      <w:pPr>
        <w:pStyle w:val="TOC2"/>
        <w:rPr>
          <w:noProof/>
          <w:sz w:val="24"/>
          <w:szCs w:val="24"/>
        </w:rPr>
      </w:pPr>
      <w:r w:rsidRPr="00787CF6">
        <w:rPr>
          <w:noProof/>
          <w:sz w:val="24"/>
          <w:szCs w:val="24"/>
        </w:rPr>
        <w:t>A15</w:t>
      </w:r>
      <w:r w:rsidR="00033507" w:rsidRPr="00787CF6">
        <w:rPr>
          <w:noProof/>
          <w:sz w:val="24"/>
          <w:szCs w:val="24"/>
        </w:rPr>
        <w:t>.</w:t>
      </w:r>
      <w:r w:rsidRPr="00787CF6">
        <w:rPr>
          <w:noProof/>
          <w:sz w:val="24"/>
          <w:szCs w:val="24"/>
        </w:rPr>
        <w:tab/>
        <w:t>Explanation for Program Changes or Adjustments</w:t>
      </w:r>
      <w:r w:rsidRPr="00787CF6">
        <w:rPr>
          <w:noProof/>
          <w:sz w:val="24"/>
          <w:szCs w:val="24"/>
        </w:rPr>
        <w:tab/>
      </w:r>
      <w:r w:rsidR="0011460E">
        <w:rPr>
          <w:noProof/>
          <w:sz w:val="24"/>
          <w:szCs w:val="24"/>
        </w:rPr>
        <w:tab/>
      </w:r>
      <w:r w:rsidR="00250761">
        <w:rPr>
          <w:noProof/>
          <w:sz w:val="24"/>
          <w:szCs w:val="24"/>
        </w:rPr>
        <w:t>1</w:t>
      </w:r>
      <w:r w:rsidR="008C1231">
        <w:rPr>
          <w:noProof/>
          <w:sz w:val="24"/>
          <w:szCs w:val="24"/>
        </w:rPr>
        <w:t>4</w:t>
      </w:r>
    </w:p>
    <w:p w14:paraId="1E7DF223" w14:textId="432B0487" w:rsidR="00617945" w:rsidRPr="00787CF6" w:rsidRDefault="00617945" w:rsidP="007204C6">
      <w:pPr>
        <w:pStyle w:val="TOC2"/>
        <w:rPr>
          <w:noProof/>
          <w:sz w:val="24"/>
          <w:szCs w:val="24"/>
        </w:rPr>
      </w:pPr>
      <w:r w:rsidRPr="00787CF6">
        <w:rPr>
          <w:noProof/>
          <w:sz w:val="24"/>
          <w:szCs w:val="24"/>
        </w:rPr>
        <w:t>A16</w:t>
      </w:r>
      <w:r w:rsidR="00033507" w:rsidRPr="00787CF6">
        <w:rPr>
          <w:noProof/>
          <w:sz w:val="24"/>
          <w:szCs w:val="24"/>
        </w:rPr>
        <w:t>.</w:t>
      </w:r>
      <w:r w:rsidRPr="00787CF6">
        <w:rPr>
          <w:noProof/>
          <w:sz w:val="24"/>
          <w:szCs w:val="24"/>
        </w:rPr>
        <w:tab/>
        <w:t>Plans for Tabulation and Publication and Project Time Schedule</w:t>
      </w:r>
      <w:r w:rsidRPr="00787CF6">
        <w:rPr>
          <w:noProof/>
          <w:sz w:val="24"/>
          <w:szCs w:val="24"/>
        </w:rPr>
        <w:tab/>
      </w:r>
      <w:r w:rsidR="0011460E">
        <w:rPr>
          <w:noProof/>
          <w:sz w:val="24"/>
          <w:szCs w:val="24"/>
        </w:rPr>
        <w:tab/>
        <w:t>1</w:t>
      </w:r>
      <w:r w:rsidR="008C1231">
        <w:rPr>
          <w:noProof/>
          <w:sz w:val="24"/>
          <w:szCs w:val="24"/>
        </w:rPr>
        <w:t>4</w:t>
      </w:r>
    </w:p>
    <w:p w14:paraId="60BEDE5D" w14:textId="5A9D0F7F" w:rsidR="00617945" w:rsidRPr="00787CF6" w:rsidRDefault="00617945" w:rsidP="007204C6">
      <w:pPr>
        <w:pStyle w:val="TOC2"/>
        <w:rPr>
          <w:noProof/>
          <w:sz w:val="24"/>
          <w:szCs w:val="24"/>
        </w:rPr>
      </w:pPr>
      <w:r w:rsidRPr="00787CF6">
        <w:rPr>
          <w:noProof/>
          <w:sz w:val="24"/>
          <w:szCs w:val="24"/>
        </w:rPr>
        <w:t>A17</w:t>
      </w:r>
      <w:r w:rsidR="00033507" w:rsidRPr="00787CF6">
        <w:rPr>
          <w:noProof/>
          <w:sz w:val="24"/>
          <w:szCs w:val="24"/>
        </w:rPr>
        <w:t>.</w:t>
      </w:r>
      <w:r w:rsidRPr="00787CF6">
        <w:rPr>
          <w:noProof/>
          <w:sz w:val="24"/>
          <w:szCs w:val="24"/>
        </w:rPr>
        <w:tab/>
        <w:t>Reason(s) Display of OMB Expiration Date is Inappropriate</w:t>
      </w:r>
      <w:r w:rsidRPr="00787CF6">
        <w:rPr>
          <w:noProof/>
          <w:sz w:val="24"/>
          <w:szCs w:val="24"/>
        </w:rPr>
        <w:tab/>
      </w:r>
      <w:r w:rsidR="0011460E">
        <w:rPr>
          <w:noProof/>
          <w:sz w:val="24"/>
          <w:szCs w:val="24"/>
        </w:rPr>
        <w:tab/>
        <w:t>1</w:t>
      </w:r>
      <w:r w:rsidR="008C1231">
        <w:rPr>
          <w:noProof/>
          <w:sz w:val="24"/>
          <w:szCs w:val="24"/>
        </w:rPr>
        <w:t>5</w:t>
      </w:r>
    </w:p>
    <w:p w14:paraId="156571BA" w14:textId="7C3784FD" w:rsidR="00617945" w:rsidRPr="00787CF6" w:rsidRDefault="00617945" w:rsidP="007204C6">
      <w:pPr>
        <w:pStyle w:val="TOC2"/>
        <w:rPr>
          <w:noProof/>
          <w:sz w:val="24"/>
          <w:szCs w:val="24"/>
        </w:rPr>
      </w:pPr>
      <w:r w:rsidRPr="00787CF6">
        <w:rPr>
          <w:noProof/>
          <w:sz w:val="24"/>
          <w:szCs w:val="24"/>
        </w:rPr>
        <w:t>A18</w:t>
      </w:r>
      <w:r w:rsidR="00033507" w:rsidRPr="00787CF6">
        <w:rPr>
          <w:noProof/>
          <w:sz w:val="24"/>
          <w:szCs w:val="24"/>
        </w:rPr>
        <w:t>.</w:t>
      </w:r>
      <w:r w:rsidRPr="00787CF6">
        <w:rPr>
          <w:noProof/>
          <w:sz w:val="24"/>
          <w:szCs w:val="24"/>
        </w:rPr>
        <w:tab/>
        <w:t>Exceptions to Certification for Paperwork Reduction Act Submissions</w:t>
      </w:r>
      <w:r w:rsidRPr="00787CF6">
        <w:rPr>
          <w:noProof/>
          <w:sz w:val="24"/>
          <w:szCs w:val="24"/>
        </w:rPr>
        <w:tab/>
      </w:r>
      <w:r w:rsidR="0011460E">
        <w:rPr>
          <w:noProof/>
          <w:sz w:val="24"/>
          <w:szCs w:val="24"/>
        </w:rPr>
        <w:tab/>
        <w:t>1</w:t>
      </w:r>
      <w:r w:rsidR="008C1231">
        <w:rPr>
          <w:noProof/>
          <w:sz w:val="24"/>
          <w:szCs w:val="24"/>
        </w:rPr>
        <w:t>5</w:t>
      </w:r>
    </w:p>
    <w:p w14:paraId="6FC89B2C" w14:textId="77777777" w:rsidR="005961C6" w:rsidRPr="00787CF6" w:rsidRDefault="00050F46" w:rsidP="007204C6">
      <w:pPr>
        <w:pStyle w:val="TOC2"/>
        <w:rPr>
          <w:caps/>
          <w:noProof/>
          <w:sz w:val="24"/>
          <w:szCs w:val="24"/>
        </w:rPr>
      </w:pPr>
      <w:r w:rsidRPr="00787CF6">
        <w:rPr>
          <w:noProof/>
          <w:sz w:val="24"/>
          <w:szCs w:val="24"/>
        </w:rPr>
        <w:fldChar w:fldCharType="end"/>
      </w:r>
    </w:p>
    <w:p w14:paraId="7DF5E66F" w14:textId="77777777" w:rsidR="005961C6" w:rsidRPr="00787CF6" w:rsidRDefault="005961C6">
      <w:pPr>
        <w:rPr>
          <w:rFonts w:ascii="Times New Roman" w:hAnsi="Times New Roman" w:cs="Times New Roman"/>
          <w:caps/>
          <w:noProof/>
          <w:sz w:val="24"/>
          <w:szCs w:val="24"/>
        </w:rPr>
      </w:pPr>
      <w:r w:rsidRPr="00787CF6">
        <w:rPr>
          <w:rFonts w:ascii="Times New Roman" w:hAnsi="Times New Roman" w:cs="Times New Roman"/>
          <w:caps/>
          <w:noProof/>
          <w:sz w:val="24"/>
          <w:szCs w:val="24"/>
        </w:rPr>
        <w:br w:type="page"/>
      </w:r>
    </w:p>
    <w:p w14:paraId="5D962F7A" w14:textId="77777777" w:rsidR="0094335A" w:rsidRPr="00787CF6" w:rsidRDefault="0094335A" w:rsidP="00617945">
      <w:pPr>
        <w:rPr>
          <w:rFonts w:ascii="Times New Roman" w:hAnsi="Times New Roman" w:cs="Times New Roman"/>
          <w:sz w:val="24"/>
          <w:szCs w:val="24"/>
        </w:rPr>
      </w:pPr>
    </w:p>
    <w:p w14:paraId="65A83E99" w14:textId="77777777" w:rsidR="005961C6" w:rsidRPr="00787CF6" w:rsidRDefault="005961C6" w:rsidP="005961C6">
      <w:pPr>
        <w:jc w:val="center"/>
        <w:rPr>
          <w:rFonts w:ascii="Times New Roman" w:hAnsi="Times New Roman" w:cs="Times New Roman"/>
          <w:b/>
          <w:sz w:val="24"/>
          <w:szCs w:val="24"/>
        </w:rPr>
      </w:pPr>
      <w:r w:rsidRPr="00787CF6">
        <w:rPr>
          <w:rFonts w:ascii="Times New Roman" w:hAnsi="Times New Roman" w:cs="Times New Roman"/>
          <w:b/>
          <w:sz w:val="24"/>
          <w:szCs w:val="24"/>
        </w:rPr>
        <w:t>ATTACHMENTS</w:t>
      </w:r>
    </w:p>
    <w:p w14:paraId="02766747" w14:textId="5FB0ABE9" w:rsidR="000B689C" w:rsidRDefault="008F083C">
      <w:pPr>
        <w:rPr>
          <w:rFonts w:ascii="Times New Roman" w:hAnsi="Times New Roman" w:cs="Times New Roman"/>
          <w:sz w:val="24"/>
          <w:szCs w:val="24"/>
        </w:rPr>
      </w:pPr>
      <w:r w:rsidRPr="00787CF6">
        <w:rPr>
          <w:rFonts w:ascii="Times New Roman" w:hAnsi="Times New Roman" w:cs="Times New Roman"/>
          <w:sz w:val="24"/>
          <w:szCs w:val="24"/>
        </w:rPr>
        <w:t xml:space="preserve">Attachment 1 </w:t>
      </w:r>
      <w:r w:rsidR="00DA2624">
        <w:rPr>
          <w:rFonts w:ascii="Times New Roman" w:hAnsi="Times New Roman" w:cs="Times New Roman"/>
          <w:sz w:val="24"/>
          <w:szCs w:val="24"/>
        </w:rPr>
        <w:t>–</w:t>
      </w:r>
      <w:r w:rsidRPr="00787CF6">
        <w:rPr>
          <w:rFonts w:ascii="Times New Roman" w:hAnsi="Times New Roman" w:cs="Times New Roman"/>
          <w:sz w:val="24"/>
          <w:szCs w:val="24"/>
        </w:rPr>
        <w:t xml:space="preserve"> </w:t>
      </w:r>
      <w:r w:rsidR="00383AFD">
        <w:rPr>
          <w:rFonts w:ascii="Times New Roman" w:hAnsi="Times New Roman" w:cs="Times New Roman"/>
          <w:sz w:val="24"/>
          <w:szCs w:val="24"/>
        </w:rPr>
        <w:t>E</w:t>
      </w:r>
      <w:r w:rsidR="00FC60AA">
        <w:rPr>
          <w:rFonts w:ascii="Times New Roman" w:hAnsi="Times New Roman" w:cs="Times New Roman"/>
          <w:sz w:val="24"/>
          <w:szCs w:val="24"/>
        </w:rPr>
        <w:t xml:space="preserve">xamples of Potential </w:t>
      </w:r>
      <w:r w:rsidR="00CB1D5C">
        <w:rPr>
          <w:rFonts w:ascii="Times New Roman" w:hAnsi="Times New Roman" w:cs="Times New Roman"/>
          <w:sz w:val="24"/>
          <w:szCs w:val="24"/>
        </w:rPr>
        <w:t xml:space="preserve">Administrative </w:t>
      </w:r>
      <w:r w:rsidR="00FC60AA">
        <w:rPr>
          <w:rFonts w:ascii="Times New Roman" w:hAnsi="Times New Roman" w:cs="Times New Roman"/>
          <w:sz w:val="24"/>
          <w:szCs w:val="24"/>
        </w:rPr>
        <w:t>Generic Sub-Projects</w:t>
      </w:r>
    </w:p>
    <w:p w14:paraId="50D24EE8" w14:textId="1CD99C38" w:rsidR="009A2EFA" w:rsidRDefault="000B689C">
      <w:pPr>
        <w:rPr>
          <w:rFonts w:ascii="Times New Roman" w:hAnsi="Times New Roman" w:cs="Times New Roman"/>
          <w:sz w:val="24"/>
          <w:szCs w:val="24"/>
        </w:rPr>
      </w:pPr>
      <w:r>
        <w:rPr>
          <w:rFonts w:ascii="Times New Roman" w:hAnsi="Times New Roman" w:cs="Times New Roman"/>
          <w:sz w:val="24"/>
          <w:szCs w:val="24"/>
        </w:rPr>
        <w:t>Attachment 2</w:t>
      </w:r>
      <w:r w:rsidR="00C33687">
        <w:rPr>
          <w:rFonts w:ascii="Times New Roman" w:hAnsi="Times New Roman" w:cs="Times New Roman"/>
          <w:sz w:val="24"/>
          <w:szCs w:val="24"/>
        </w:rPr>
        <w:t xml:space="preserve"> – </w:t>
      </w:r>
      <w:r w:rsidR="009A2EFA">
        <w:rPr>
          <w:rFonts w:ascii="Times New Roman" w:hAnsi="Times New Roman" w:cs="Times New Roman"/>
          <w:sz w:val="24"/>
          <w:szCs w:val="24"/>
        </w:rPr>
        <w:t>Request Templates for Future Requests</w:t>
      </w:r>
    </w:p>
    <w:p w14:paraId="4EAB5D38" w14:textId="12976D27" w:rsidR="006B7C98" w:rsidRDefault="009A2EFA" w:rsidP="00C7175D">
      <w:pPr>
        <w:ind w:left="1800"/>
        <w:rPr>
          <w:rFonts w:ascii="Times New Roman" w:hAnsi="Times New Roman" w:cs="Times New Roman"/>
          <w:sz w:val="24"/>
          <w:szCs w:val="24"/>
        </w:rPr>
      </w:pPr>
      <w:r>
        <w:rPr>
          <w:rFonts w:ascii="Times New Roman" w:hAnsi="Times New Roman" w:cs="Times New Roman"/>
          <w:sz w:val="24"/>
          <w:szCs w:val="24"/>
        </w:rPr>
        <w:t>2</w:t>
      </w:r>
      <w:r w:rsidR="000C316E">
        <w:rPr>
          <w:rFonts w:ascii="Times New Roman" w:hAnsi="Times New Roman" w:cs="Times New Roman"/>
          <w:sz w:val="24"/>
          <w:szCs w:val="24"/>
        </w:rPr>
        <w:t>A</w:t>
      </w:r>
      <w:r w:rsidR="000B689C">
        <w:rPr>
          <w:rFonts w:ascii="Times New Roman" w:hAnsi="Times New Roman" w:cs="Times New Roman"/>
          <w:sz w:val="24"/>
          <w:szCs w:val="24"/>
        </w:rPr>
        <w:t xml:space="preserve"> </w:t>
      </w:r>
      <w:r w:rsidR="009C5D40">
        <w:rPr>
          <w:rFonts w:ascii="Times New Roman" w:hAnsi="Times New Roman" w:cs="Times New Roman"/>
          <w:sz w:val="24"/>
          <w:szCs w:val="24"/>
        </w:rPr>
        <w:t>–</w:t>
      </w:r>
      <w:r w:rsidR="000B689C">
        <w:rPr>
          <w:rFonts w:ascii="Times New Roman" w:hAnsi="Times New Roman" w:cs="Times New Roman"/>
          <w:sz w:val="24"/>
          <w:szCs w:val="24"/>
        </w:rPr>
        <w:t xml:space="preserve"> </w:t>
      </w:r>
      <w:r w:rsidR="006B7C98">
        <w:rPr>
          <w:rFonts w:ascii="Times New Roman" w:hAnsi="Times New Roman" w:cs="Times New Roman"/>
          <w:sz w:val="24"/>
          <w:szCs w:val="24"/>
        </w:rPr>
        <w:t>Generic IC Template</w:t>
      </w:r>
    </w:p>
    <w:p w14:paraId="1364AD4B" w14:textId="2D619236" w:rsidR="003B2231" w:rsidRDefault="006B7C98" w:rsidP="00C7175D">
      <w:pPr>
        <w:ind w:left="1800"/>
        <w:rPr>
          <w:rFonts w:ascii="Times New Roman" w:hAnsi="Times New Roman" w:cs="Times New Roman"/>
          <w:sz w:val="24"/>
          <w:szCs w:val="24"/>
        </w:rPr>
      </w:pPr>
      <w:r>
        <w:rPr>
          <w:rFonts w:ascii="Times New Roman" w:hAnsi="Times New Roman" w:cs="Times New Roman"/>
          <w:sz w:val="24"/>
          <w:szCs w:val="24"/>
        </w:rPr>
        <w:t xml:space="preserve">2B – </w:t>
      </w:r>
      <w:r w:rsidR="000C316E">
        <w:rPr>
          <w:rFonts w:ascii="Times New Roman" w:hAnsi="Times New Roman" w:cs="Times New Roman"/>
          <w:sz w:val="24"/>
          <w:szCs w:val="24"/>
        </w:rPr>
        <w:t>Sub-project M</w:t>
      </w:r>
      <w:r w:rsidR="009C5D40">
        <w:rPr>
          <w:rFonts w:ascii="Times New Roman" w:hAnsi="Times New Roman" w:cs="Times New Roman"/>
          <w:sz w:val="24"/>
          <w:szCs w:val="24"/>
        </w:rPr>
        <w:t>ini</w:t>
      </w:r>
      <w:r w:rsidR="000C316E">
        <w:rPr>
          <w:rFonts w:ascii="Times New Roman" w:hAnsi="Times New Roman" w:cs="Times New Roman"/>
          <w:sz w:val="24"/>
          <w:szCs w:val="24"/>
        </w:rPr>
        <w:t>-</w:t>
      </w:r>
      <w:r w:rsidR="009C5D40">
        <w:rPr>
          <w:rFonts w:ascii="Times New Roman" w:hAnsi="Times New Roman" w:cs="Times New Roman"/>
          <w:sz w:val="24"/>
          <w:szCs w:val="24"/>
        </w:rPr>
        <w:t>SSA</w:t>
      </w:r>
      <w:r w:rsidR="000C316E">
        <w:rPr>
          <w:rFonts w:ascii="Times New Roman" w:hAnsi="Times New Roman" w:cs="Times New Roman"/>
          <w:sz w:val="24"/>
          <w:szCs w:val="24"/>
        </w:rPr>
        <w:t xml:space="preserve"> </w:t>
      </w:r>
      <w:r w:rsidR="003B2231">
        <w:rPr>
          <w:rFonts w:ascii="Times New Roman" w:hAnsi="Times New Roman" w:cs="Times New Roman"/>
          <w:sz w:val="24"/>
          <w:szCs w:val="24"/>
        </w:rPr>
        <w:t>Template</w:t>
      </w:r>
    </w:p>
    <w:p w14:paraId="7E389EEE" w14:textId="1332FF35" w:rsidR="000C316E" w:rsidRDefault="006B7C98" w:rsidP="00C7175D">
      <w:pPr>
        <w:ind w:left="1800"/>
        <w:rPr>
          <w:rFonts w:ascii="Times New Roman" w:hAnsi="Times New Roman" w:cs="Times New Roman"/>
          <w:sz w:val="24"/>
          <w:szCs w:val="24"/>
        </w:rPr>
      </w:pPr>
      <w:r>
        <w:rPr>
          <w:rFonts w:ascii="Times New Roman" w:hAnsi="Times New Roman" w:cs="Times New Roman"/>
          <w:sz w:val="24"/>
          <w:szCs w:val="24"/>
        </w:rPr>
        <w:t xml:space="preserve">2C </w:t>
      </w:r>
      <w:r w:rsidR="009A2EFA">
        <w:rPr>
          <w:rFonts w:ascii="Times New Roman" w:hAnsi="Times New Roman" w:cs="Times New Roman"/>
          <w:sz w:val="24"/>
          <w:szCs w:val="24"/>
        </w:rPr>
        <w:t>–</w:t>
      </w:r>
      <w:r w:rsidR="000C316E">
        <w:rPr>
          <w:rFonts w:ascii="Times New Roman" w:hAnsi="Times New Roman" w:cs="Times New Roman"/>
          <w:sz w:val="24"/>
          <w:szCs w:val="24"/>
        </w:rPr>
        <w:t xml:space="preserve"> Sub-project Mini-SSB Template</w:t>
      </w:r>
    </w:p>
    <w:p w14:paraId="1858C6F4" w14:textId="77777777" w:rsidR="00416C59" w:rsidRDefault="00416C59">
      <w:pPr>
        <w:rPr>
          <w:rFonts w:ascii="Times New Roman" w:hAnsi="Times New Roman" w:cs="Times New Roman"/>
          <w:sz w:val="24"/>
          <w:szCs w:val="24"/>
        </w:rPr>
      </w:pPr>
      <w:r>
        <w:rPr>
          <w:rFonts w:ascii="Times New Roman" w:hAnsi="Times New Roman" w:cs="Times New Roman"/>
          <w:sz w:val="24"/>
          <w:szCs w:val="24"/>
        </w:rPr>
        <w:t xml:space="preserve">Attachment </w:t>
      </w:r>
      <w:r w:rsidR="000B689C">
        <w:rPr>
          <w:rFonts w:ascii="Times New Roman" w:hAnsi="Times New Roman" w:cs="Times New Roman"/>
          <w:sz w:val="24"/>
          <w:szCs w:val="24"/>
        </w:rPr>
        <w:t>3</w:t>
      </w:r>
      <w:r>
        <w:rPr>
          <w:rFonts w:ascii="Times New Roman" w:hAnsi="Times New Roman" w:cs="Times New Roman"/>
          <w:sz w:val="24"/>
          <w:szCs w:val="24"/>
        </w:rPr>
        <w:t xml:space="preserve"> – Sub-</w:t>
      </w:r>
      <w:r w:rsidR="00426E5E">
        <w:rPr>
          <w:rFonts w:ascii="Times New Roman" w:hAnsi="Times New Roman" w:cs="Times New Roman"/>
          <w:sz w:val="24"/>
          <w:szCs w:val="24"/>
        </w:rPr>
        <w:t>project</w:t>
      </w:r>
      <w:r>
        <w:rPr>
          <w:rFonts w:ascii="Times New Roman" w:hAnsi="Times New Roman" w:cs="Times New Roman"/>
          <w:sz w:val="24"/>
          <w:szCs w:val="24"/>
        </w:rPr>
        <w:t xml:space="preserve"> #1_IMAT Request</w:t>
      </w:r>
    </w:p>
    <w:p w14:paraId="1AD98DAE" w14:textId="6A5DB26E" w:rsidR="009A2EFA" w:rsidRDefault="009A2EFA" w:rsidP="00C7175D">
      <w:pPr>
        <w:ind w:left="1800"/>
        <w:rPr>
          <w:rFonts w:ascii="Times New Roman" w:hAnsi="Times New Roman" w:cs="Times New Roman"/>
          <w:sz w:val="24"/>
          <w:szCs w:val="24"/>
        </w:rPr>
      </w:pPr>
      <w:r>
        <w:rPr>
          <w:rFonts w:ascii="Times New Roman" w:hAnsi="Times New Roman" w:cs="Times New Roman"/>
          <w:sz w:val="24"/>
          <w:szCs w:val="24"/>
        </w:rPr>
        <w:t>3A – Generic IC Form IMAT</w:t>
      </w:r>
    </w:p>
    <w:p w14:paraId="1C6DEC53" w14:textId="279324E4" w:rsidR="009A2EFA" w:rsidRDefault="009A2EFA" w:rsidP="00C7175D">
      <w:pPr>
        <w:ind w:left="1800"/>
        <w:rPr>
          <w:rFonts w:ascii="Times New Roman" w:hAnsi="Times New Roman" w:cs="Times New Roman"/>
          <w:sz w:val="24"/>
          <w:szCs w:val="24"/>
        </w:rPr>
      </w:pPr>
      <w:r>
        <w:rPr>
          <w:rFonts w:ascii="Times New Roman" w:hAnsi="Times New Roman" w:cs="Times New Roman"/>
          <w:sz w:val="24"/>
          <w:szCs w:val="24"/>
        </w:rPr>
        <w:t>3B – Mini-SSA Request IMAT</w:t>
      </w:r>
    </w:p>
    <w:p w14:paraId="388E03ED" w14:textId="52FB0D21" w:rsidR="009A2EFA" w:rsidRDefault="009A2EFA" w:rsidP="00C7175D">
      <w:pPr>
        <w:ind w:left="1800"/>
        <w:rPr>
          <w:rFonts w:ascii="Times New Roman" w:hAnsi="Times New Roman" w:cs="Times New Roman"/>
          <w:sz w:val="24"/>
          <w:szCs w:val="24"/>
        </w:rPr>
      </w:pPr>
      <w:r>
        <w:rPr>
          <w:rFonts w:ascii="Times New Roman" w:hAnsi="Times New Roman" w:cs="Times New Roman"/>
          <w:sz w:val="24"/>
          <w:szCs w:val="24"/>
        </w:rPr>
        <w:t>3C – Mini-SSB Request IMAT</w:t>
      </w:r>
    </w:p>
    <w:p w14:paraId="32C10E97" w14:textId="04337DB7" w:rsidR="009A2EFA" w:rsidRDefault="009A2EFA" w:rsidP="00C7175D">
      <w:pPr>
        <w:ind w:left="1800"/>
        <w:rPr>
          <w:rFonts w:ascii="Times New Roman" w:hAnsi="Times New Roman" w:cs="Times New Roman"/>
          <w:sz w:val="24"/>
          <w:szCs w:val="24"/>
        </w:rPr>
      </w:pPr>
      <w:r>
        <w:rPr>
          <w:rFonts w:ascii="Times New Roman" w:hAnsi="Times New Roman" w:cs="Times New Roman"/>
          <w:sz w:val="24"/>
          <w:szCs w:val="24"/>
        </w:rPr>
        <w:t>3D – IMAT Survey</w:t>
      </w:r>
    </w:p>
    <w:p w14:paraId="564405F4" w14:textId="466A76F9" w:rsidR="009A2EFA" w:rsidRDefault="009A2EFA" w:rsidP="00C7175D">
      <w:pPr>
        <w:ind w:left="1800"/>
        <w:rPr>
          <w:rFonts w:ascii="Times New Roman" w:hAnsi="Times New Roman" w:cs="Times New Roman"/>
          <w:sz w:val="24"/>
          <w:szCs w:val="24"/>
        </w:rPr>
      </w:pPr>
      <w:r>
        <w:rPr>
          <w:rFonts w:ascii="Times New Roman" w:hAnsi="Times New Roman" w:cs="Times New Roman"/>
          <w:sz w:val="24"/>
          <w:szCs w:val="24"/>
        </w:rPr>
        <w:t>3E – IMAT Invite Email</w:t>
      </w:r>
    </w:p>
    <w:p w14:paraId="20D54BAB" w14:textId="77777777" w:rsidR="00416C59" w:rsidRDefault="00416C59">
      <w:pPr>
        <w:rPr>
          <w:rFonts w:ascii="Times New Roman" w:hAnsi="Times New Roman" w:cs="Times New Roman"/>
          <w:sz w:val="24"/>
          <w:szCs w:val="24"/>
        </w:rPr>
      </w:pPr>
      <w:r>
        <w:rPr>
          <w:rFonts w:ascii="Times New Roman" w:hAnsi="Times New Roman" w:cs="Times New Roman"/>
          <w:sz w:val="24"/>
          <w:szCs w:val="24"/>
        </w:rPr>
        <w:t xml:space="preserve">Attachment </w:t>
      </w:r>
      <w:r w:rsidR="000B689C">
        <w:rPr>
          <w:rFonts w:ascii="Times New Roman" w:hAnsi="Times New Roman" w:cs="Times New Roman"/>
          <w:sz w:val="24"/>
          <w:szCs w:val="24"/>
        </w:rPr>
        <w:t>4</w:t>
      </w:r>
      <w:r>
        <w:rPr>
          <w:rFonts w:ascii="Times New Roman" w:hAnsi="Times New Roman" w:cs="Times New Roman"/>
          <w:sz w:val="24"/>
          <w:szCs w:val="24"/>
        </w:rPr>
        <w:t xml:space="preserve"> – Sub-</w:t>
      </w:r>
      <w:r w:rsidR="00426E5E">
        <w:rPr>
          <w:rFonts w:ascii="Times New Roman" w:hAnsi="Times New Roman" w:cs="Times New Roman"/>
          <w:sz w:val="24"/>
          <w:szCs w:val="24"/>
        </w:rPr>
        <w:t>project</w:t>
      </w:r>
      <w:r>
        <w:rPr>
          <w:rFonts w:ascii="Times New Roman" w:hAnsi="Times New Roman" w:cs="Times New Roman"/>
          <w:sz w:val="24"/>
          <w:szCs w:val="24"/>
        </w:rPr>
        <w:t xml:space="preserve"> #2_</w:t>
      </w:r>
      <w:r w:rsidR="003704B7">
        <w:rPr>
          <w:rFonts w:ascii="Times New Roman" w:hAnsi="Times New Roman" w:cs="Times New Roman"/>
          <w:sz w:val="24"/>
          <w:szCs w:val="24"/>
        </w:rPr>
        <w:t>DCEG Fellow and Student Application</w:t>
      </w:r>
    </w:p>
    <w:p w14:paraId="2F4777FD" w14:textId="31C5A521" w:rsidR="00FF18EA" w:rsidRDefault="00FF18EA" w:rsidP="00C7175D">
      <w:pPr>
        <w:ind w:left="1800"/>
        <w:rPr>
          <w:rFonts w:ascii="Times New Roman" w:hAnsi="Times New Roman" w:cs="Times New Roman"/>
          <w:sz w:val="24"/>
          <w:szCs w:val="24"/>
        </w:rPr>
      </w:pPr>
      <w:r>
        <w:rPr>
          <w:rFonts w:ascii="Times New Roman" w:hAnsi="Times New Roman" w:cs="Times New Roman"/>
          <w:sz w:val="24"/>
          <w:szCs w:val="24"/>
        </w:rPr>
        <w:t>4A – Generic IC Form DCEG</w:t>
      </w:r>
    </w:p>
    <w:p w14:paraId="63D2F2C2" w14:textId="7D630FB6" w:rsidR="00FF18EA" w:rsidRDefault="00FF18EA" w:rsidP="00C7175D">
      <w:pPr>
        <w:ind w:left="1800"/>
        <w:rPr>
          <w:rFonts w:ascii="Times New Roman" w:hAnsi="Times New Roman" w:cs="Times New Roman"/>
          <w:sz w:val="24"/>
          <w:szCs w:val="24"/>
        </w:rPr>
      </w:pPr>
      <w:r>
        <w:rPr>
          <w:rFonts w:ascii="Times New Roman" w:hAnsi="Times New Roman" w:cs="Times New Roman"/>
          <w:sz w:val="24"/>
          <w:szCs w:val="24"/>
        </w:rPr>
        <w:t>4B – Mini-SSA Request DCEG</w:t>
      </w:r>
    </w:p>
    <w:p w14:paraId="2EB7F21E" w14:textId="605FBE53" w:rsidR="00FF18EA" w:rsidRDefault="00FF18EA" w:rsidP="00C7175D">
      <w:pPr>
        <w:ind w:left="1800"/>
        <w:rPr>
          <w:rFonts w:ascii="Times New Roman" w:hAnsi="Times New Roman" w:cs="Times New Roman"/>
          <w:sz w:val="24"/>
          <w:szCs w:val="24"/>
        </w:rPr>
      </w:pPr>
      <w:r>
        <w:rPr>
          <w:rFonts w:ascii="Times New Roman" w:hAnsi="Times New Roman" w:cs="Times New Roman"/>
          <w:sz w:val="24"/>
          <w:szCs w:val="24"/>
        </w:rPr>
        <w:t>4C – DCEG Fellowship Application</w:t>
      </w:r>
    </w:p>
    <w:p w14:paraId="61D0231E" w14:textId="54C1A907" w:rsidR="00FF18EA" w:rsidRDefault="00FF18EA" w:rsidP="00C7175D">
      <w:pPr>
        <w:ind w:left="1800"/>
        <w:rPr>
          <w:rFonts w:ascii="Times New Roman" w:hAnsi="Times New Roman" w:cs="Times New Roman"/>
          <w:sz w:val="24"/>
          <w:szCs w:val="24"/>
        </w:rPr>
      </w:pPr>
      <w:r>
        <w:rPr>
          <w:rFonts w:ascii="Times New Roman" w:hAnsi="Times New Roman" w:cs="Times New Roman"/>
          <w:sz w:val="24"/>
          <w:szCs w:val="24"/>
        </w:rPr>
        <w:t>4D – DCEG Student Application</w:t>
      </w:r>
    </w:p>
    <w:p w14:paraId="08E014E9" w14:textId="50B928C3" w:rsidR="00FF18EA" w:rsidRDefault="00FF18EA" w:rsidP="00FF18EA">
      <w:pPr>
        <w:rPr>
          <w:rFonts w:ascii="Times New Roman" w:hAnsi="Times New Roman" w:cs="Times New Roman"/>
          <w:sz w:val="24"/>
          <w:szCs w:val="24"/>
        </w:rPr>
      </w:pPr>
    </w:p>
    <w:p w14:paraId="61661925" w14:textId="7D70CA8C" w:rsidR="00787CF6" w:rsidRPr="00457E30" w:rsidRDefault="00617945" w:rsidP="005961C6">
      <w:pPr>
        <w:rPr>
          <w:rFonts w:ascii="Times New Roman" w:hAnsi="Times New Roman" w:cs="Times New Roman"/>
          <w:sz w:val="24"/>
          <w:szCs w:val="24"/>
        </w:rPr>
        <w:sectPr w:rsidR="00787CF6" w:rsidRPr="00457E30" w:rsidSect="00F60D51">
          <w:footerReference w:type="default" r:id="rId10"/>
          <w:pgSz w:w="12240" w:h="15840"/>
          <w:pgMar w:top="1440" w:right="1440" w:bottom="1440" w:left="1440" w:header="720" w:footer="720" w:gutter="0"/>
          <w:pgNumType w:fmt="lowerRoman"/>
          <w:cols w:space="720"/>
          <w:docGrid w:linePitch="360"/>
        </w:sectPr>
      </w:pPr>
      <w:r w:rsidRPr="00787CF6">
        <w:rPr>
          <w:rFonts w:ascii="Times New Roman" w:hAnsi="Times New Roman" w:cs="Times New Roman"/>
          <w:b/>
          <w:sz w:val="24"/>
          <w:szCs w:val="24"/>
        </w:rPr>
        <w:br w:type="page"/>
      </w:r>
    </w:p>
    <w:p w14:paraId="686AED4A" w14:textId="4F2A9EBC" w:rsidR="00C634D2" w:rsidRPr="00C634D2" w:rsidRDefault="00B347D6" w:rsidP="00C634D2">
      <w:pPr>
        <w:spacing w:after="0" w:line="240" w:lineRule="auto"/>
        <w:rPr>
          <w:rFonts w:ascii="Times New Roman" w:hAnsi="Times New Roman" w:cs="Times New Roman"/>
          <w:sz w:val="24"/>
          <w:szCs w:val="24"/>
        </w:rPr>
      </w:pPr>
      <w:r w:rsidRPr="00C634D2">
        <w:rPr>
          <w:rFonts w:ascii="Times New Roman" w:hAnsi="Times New Roman" w:cs="Times New Roman"/>
          <w:sz w:val="24"/>
          <w:szCs w:val="24"/>
        </w:rPr>
        <w:lastRenderedPageBreak/>
        <w:t xml:space="preserve">This is a request for a generic submission that would </w:t>
      </w:r>
      <w:r w:rsidR="003774BA" w:rsidRPr="00C634D2">
        <w:rPr>
          <w:rFonts w:ascii="Times New Roman" w:hAnsi="Times New Roman" w:cs="Times New Roman"/>
          <w:sz w:val="24"/>
          <w:szCs w:val="24"/>
        </w:rPr>
        <w:t xml:space="preserve">be used for </w:t>
      </w:r>
      <w:r w:rsidRPr="00C634D2">
        <w:rPr>
          <w:rFonts w:ascii="Times New Roman" w:hAnsi="Times New Roman" w:cs="Times New Roman"/>
          <w:sz w:val="24"/>
          <w:szCs w:val="24"/>
        </w:rPr>
        <w:t xml:space="preserve">administrative </w:t>
      </w:r>
      <w:r w:rsidR="009348D8" w:rsidRPr="00C634D2">
        <w:rPr>
          <w:rFonts w:ascii="Times New Roman" w:hAnsi="Times New Roman" w:cs="Times New Roman"/>
          <w:sz w:val="24"/>
          <w:szCs w:val="24"/>
        </w:rPr>
        <w:t xml:space="preserve">and program-related </w:t>
      </w:r>
      <w:r w:rsidRPr="00C634D2">
        <w:rPr>
          <w:rFonts w:ascii="Times New Roman" w:hAnsi="Times New Roman" w:cs="Times New Roman"/>
          <w:sz w:val="24"/>
          <w:szCs w:val="24"/>
        </w:rPr>
        <w:t xml:space="preserve">submissions.  Administrative submissions are defined as information collections </w:t>
      </w:r>
      <w:r w:rsidR="007F16B2" w:rsidRPr="00C634D2">
        <w:rPr>
          <w:rFonts w:ascii="Times New Roman" w:hAnsi="Times New Roman" w:cs="Times New Roman"/>
          <w:sz w:val="24"/>
          <w:szCs w:val="24"/>
        </w:rPr>
        <w:t xml:space="preserve">(ICs) </w:t>
      </w:r>
      <w:r w:rsidRPr="00C634D2">
        <w:rPr>
          <w:rFonts w:ascii="Times New Roman" w:hAnsi="Times New Roman" w:cs="Times New Roman"/>
          <w:sz w:val="24"/>
          <w:szCs w:val="24"/>
        </w:rPr>
        <w:t xml:space="preserve">wherein </w:t>
      </w:r>
      <w:r w:rsidR="003774BA" w:rsidRPr="00C634D2">
        <w:rPr>
          <w:rFonts w:ascii="Times New Roman" w:hAnsi="Times New Roman" w:cs="Times New Roman"/>
          <w:sz w:val="24"/>
          <w:szCs w:val="24"/>
        </w:rPr>
        <w:t xml:space="preserve">the </w:t>
      </w:r>
      <w:r w:rsidRPr="00C634D2">
        <w:rPr>
          <w:rFonts w:ascii="Times New Roman" w:hAnsi="Times New Roman" w:cs="Times New Roman"/>
          <w:sz w:val="24"/>
          <w:szCs w:val="24"/>
        </w:rPr>
        <w:t xml:space="preserve">primary content is </w:t>
      </w:r>
      <w:r w:rsidR="007F16B2" w:rsidRPr="00C634D2">
        <w:rPr>
          <w:rFonts w:ascii="Times New Roman" w:hAnsi="Times New Roman" w:cs="Times New Roman"/>
          <w:sz w:val="24"/>
          <w:szCs w:val="24"/>
        </w:rPr>
        <w:t>used for administrative purposes (e.g., an application) or to monitor</w:t>
      </w:r>
      <w:r w:rsidR="007216EA" w:rsidRPr="00C634D2">
        <w:rPr>
          <w:rFonts w:ascii="Times New Roman" w:hAnsi="Times New Roman" w:cs="Times New Roman"/>
          <w:sz w:val="24"/>
          <w:szCs w:val="24"/>
        </w:rPr>
        <w:t xml:space="preserve">, </w:t>
      </w:r>
      <w:r w:rsidR="00A97A84" w:rsidRPr="00C634D2">
        <w:rPr>
          <w:rFonts w:ascii="Times New Roman" w:hAnsi="Times New Roman" w:cs="Times New Roman"/>
          <w:sz w:val="24"/>
          <w:szCs w:val="24"/>
        </w:rPr>
        <w:t xml:space="preserve">measure, </w:t>
      </w:r>
      <w:r w:rsidR="007216EA" w:rsidRPr="00C634D2">
        <w:rPr>
          <w:rFonts w:ascii="Times New Roman" w:hAnsi="Times New Roman" w:cs="Times New Roman"/>
          <w:sz w:val="24"/>
          <w:szCs w:val="24"/>
        </w:rPr>
        <w:t>manage</w:t>
      </w:r>
      <w:r w:rsidR="007F16B2" w:rsidRPr="00C634D2">
        <w:rPr>
          <w:rFonts w:ascii="Times New Roman" w:hAnsi="Times New Roman" w:cs="Times New Roman"/>
          <w:sz w:val="24"/>
          <w:szCs w:val="24"/>
        </w:rPr>
        <w:t xml:space="preserve"> or improve a program.  These ICs may involve little</w:t>
      </w:r>
      <w:r w:rsidRPr="00C634D2">
        <w:rPr>
          <w:rFonts w:ascii="Times New Roman" w:hAnsi="Times New Roman" w:cs="Times New Roman"/>
          <w:sz w:val="24"/>
          <w:szCs w:val="24"/>
        </w:rPr>
        <w:t xml:space="preserve"> if any, subsequent analysis</w:t>
      </w:r>
      <w:r w:rsidR="007F16B2" w:rsidRPr="00C634D2">
        <w:rPr>
          <w:rFonts w:ascii="Times New Roman" w:hAnsi="Times New Roman" w:cs="Times New Roman"/>
          <w:sz w:val="24"/>
          <w:szCs w:val="24"/>
        </w:rPr>
        <w:t xml:space="preserve"> </w:t>
      </w:r>
      <w:r w:rsidR="00340071" w:rsidRPr="00C634D2">
        <w:rPr>
          <w:rFonts w:ascii="Times New Roman" w:hAnsi="Times New Roman" w:cs="Times New Roman"/>
          <w:sz w:val="24"/>
          <w:szCs w:val="24"/>
        </w:rPr>
        <w:t>and/</w:t>
      </w:r>
      <w:r w:rsidR="007F16B2" w:rsidRPr="00C634D2">
        <w:rPr>
          <w:rFonts w:ascii="Times New Roman" w:hAnsi="Times New Roman" w:cs="Times New Roman"/>
          <w:sz w:val="24"/>
          <w:szCs w:val="24"/>
        </w:rPr>
        <w:t>or the use of descriptive statistics</w:t>
      </w:r>
      <w:r w:rsidRPr="00C634D2">
        <w:rPr>
          <w:rFonts w:ascii="Times New Roman" w:hAnsi="Times New Roman" w:cs="Times New Roman"/>
          <w:sz w:val="24"/>
          <w:szCs w:val="24"/>
        </w:rPr>
        <w:t xml:space="preserve">. </w:t>
      </w:r>
      <w:r w:rsidR="007F16B2" w:rsidRPr="00C634D2">
        <w:rPr>
          <w:rFonts w:ascii="Times New Roman" w:hAnsi="Times New Roman" w:cs="Times New Roman"/>
          <w:sz w:val="24"/>
          <w:szCs w:val="24"/>
        </w:rPr>
        <w:t>Some ICs</w:t>
      </w:r>
      <w:r w:rsidRPr="00C634D2">
        <w:rPr>
          <w:rFonts w:ascii="Times New Roman" w:hAnsi="Times New Roman" w:cs="Times New Roman"/>
          <w:sz w:val="24"/>
          <w:szCs w:val="24"/>
        </w:rPr>
        <w:t xml:space="preserve"> </w:t>
      </w:r>
      <w:r w:rsidR="003774BA" w:rsidRPr="00C634D2">
        <w:rPr>
          <w:rFonts w:ascii="Times New Roman" w:hAnsi="Times New Roman" w:cs="Times New Roman"/>
          <w:sz w:val="24"/>
          <w:szCs w:val="24"/>
        </w:rPr>
        <w:t xml:space="preserve">are </w:t>
      </w:r>
      <w:r w:rsidRPr="00C634D2">
        <w:rPr>
          <w:rFonts w:ascii="Times New Roman" w:hAnsi="Times New Roman" w:cs="Times New Roman"/>
          <w:sz w:val="24"/>
          <w:szCs w:val="24"/>
        </w:rPr>
        <w:t>forms used to source and aggregate contact information, history, preferences, opinions, and/or other data that does not necessitate further inquiry</w:t>
      </w:r>
      <w:r w:rsidR="007F16B2" w:rsidRPr="00C634D2">
        <w:rPr>
          <w:rFonts w:ascii="Times New Roman" w:hAnsi="Times New Roman" w:cs="Times New Roman"/>
          <w:sz w:val="24"/>
          <w:szCs w:val="24"/>
        </w:rPr>
        <w:t xml:space="preserve"> but </w:t>
      </w:r>
      <w:r w:rsidR="00183E1E" w:rsidRPr="00C634D2">
        <w:rPr>
          <w:rFonts w:ascii="Times New Roman" w:hAnsi="Times New Roman" w:cs="Times New Roman"/>
          <w:sz w:val="24"/>
          <w:szCs w:val="24"/>
        </w:rPr>
        <w:t xml:space="preserve">allow the respondents to maintain contact, indicate preferences, and respond to data calls of information that has not already been collected.  </w:t>
      </w:r>
      <w:r w:rsidR="00571C83" w:rsidRPr="00C634D2">
        <w:rPr>
          <w:rFonts w:ascii="Times New Roman" w:hAnsi="Times New Roman" w:cs="Times New Roman"/>
          <w:sz w:val="24"/>
          <w:szCs w:val="24"/>
        </w:rPr>
        <w:t xml:space="preserve">Other ICs may be program-related requests for the purpose of </w:t>
      </w:r>
      <w:r w:rsidR="00A97A84" w:rsidRPr="00C634D2">
        <w:rPr>
          <w:rFonts w:ascii="Times New Roman" w:hAnsi="Times New Roman" w:cs="Times New Roman"/>
          <w:sz w:val="24"/>
          <w:szCs w:val="24"/>
        </w:rPr>
        <w:t xml:space="preserve">program </w:t>
      </w:r>
      <w:r w:rsidR="00571C83" w:rsidRPr="00C634D2">
        <w:rPr>
          <w:rFonts w:ascii="Times New Roman" w:hAnsi="Times New Roman" w:cs="Times New Roman"/>
          <w:sz w:val="24"/>
          <w:szCs w:val="24"/>
        </w:rPr>
        <w:t xml:space="preserve">monitoring, </w:t>
      </w:r>
      <w:r w:rsidR="00A97A84" w:rsidRPr="00C634D2">
        <w:rPr>
          <w:rFonts w:ascii="Times New Roman" w:hAnsi="Times New Roman" w:cs="Times New Roman"/>
          <w:sz w:val="24"/>
          <w:szCs w:val="24"/>
        </w:rPr>
        <w:t xml:space="preserve">performance measurement, and </w:t>
      </w:r>
      <w:r w:rsidR="00571C83" w:rsidRPr="00C634D2">
        <w:rPr>
          <w:rFonts w:ascii="Times New Roman" w:hAnsi="Times New Roman" w:cs="Times New Roman"/>
          <w:sz w:val="24"/>
          <w:szCs w:val="24"/>
        </w:rPr>
        <w:t xml:space="preserve">improving or assessing the effectiveness of the program.  </w:t>
      </w:r>
      <w:r w:rsidRPr="00C634D2">
        <w:rPr>
          <w:rFonts w:ascii="Times New Roman" w:hAnsi="Times New Roman" w:cs="Times New Roman"/>
          <w:sz w:val="24"/>
          <w:szCs w:val="24"/>
        </w:rPr>
        <w:t xml:space="preserve">This submission is the result of </w:t>
      </w:r>
      <w:r w:rsidR="00397333">
        <w:rPr>
          <w:rFonts w:ascii="Times New Roman" w:hAnsi="Times New Roman" w:cs="Times New Roman"/>
          <w:sz w:val="24"/>
          <w:szCs w:val="24"/>
        </w:rPr>
        <w:t>two</w:t>
      </w:r>
      <w:r w:rsidRPr="00C634D2">
        <w:rPr>
          <w:rFonts w:ascii="Times New Roman" w:hAnsi="Times New Roman" w:cs="Times New Roman"/>
          <w:sz w:val="24"/>
          <w:szCs w:val="24"/>
        </w:rPr>
        <w:t xml:space="preserve"> year</w:t>
      </w:r>
      <w:r w:rsidR="00397333">
        <w:rPr>
          <w:rFonts w:ascii="Times New Roman" w:hAnsi="Times New Roman" w:cs="Times New Roman"/>
          <w:sz w:val="24"/>
          <w:szCs w:val="24"/>
        </w:rPr>
        <w:t>s</w:t>
      </w:r>
      <w:r w:rsidRPr="00C634D2">
        <w:rPr>
          <w:rFonts w:ascii="Times New Roman" w:hAnsi="Times New Roman" w:cs="Times New Roman"/>
          <w:sz w:val="24"/>
          <w:szCs w:val="24"/>
        </w:rPr>
        <w:t xml:space="preserve"> of analysis at </w:t>
      </w:r>
      <w:r w:rsidR="00FC60AA" w:rsidRPr="00C634D2">
        <w:rPr>
          <w:rFonts w:ascii="Times New Roman" w:hAnsi="Times New Roman" w:cs="Times New Roman"/>
          <w:sz w:val="24"/>
          <w:szCs w:val="24"/>
        </w:rPr>
        <w:t>the National Cancer Institute (</w:t>
      </w:r>
      <w:r w:rsidRPr="00C634D2">
        <w:rPr>
          <w:rFonts w:ascii="Times New Roman" w:hAnsi="Times New Roman" w:cs="Times New Roman"/>
          <w:sz w:val="24"/>
          <w:szCs w:val="24"/>
        </w:rPr>
        <w:t>NCI</w:t>
      </w:r>
      <w:r w:rsidR="00FC60AA" w:rsidRPr="00C634D2">
        <w:rPr>
          <w:rFonts w:ascii="Times New Roman" w:hAnsi="Times New Roman" w:cs="Times New Roman"/>
          <w:sz w:val="24"/>
          <w:szCs w:val="24"/>
        </w:rPr>
        <w:t>)</w:t>
      </w:r>
      <w:r w:rsidRPr="00C634D2">
        <w:rPr>
          <w:rFonts w:ascii="Times New Roman" w:hAnsi="Times New Roman" w:cs="Times New Roman"/>
          <w:sz w:val="24"/>
          <w:szCs w:val="24"/>
        </w:rPr>
        <w:t xml:space="preserve"> which has demonstrated that more often than not, the</w:t>
      </w:r>
      <w:r w:rsidR="002966E6" w:rsidRPr="00C634D2">
        <w:rPr>
          <w:rFonts w:ascii="Times New Roman" w:hAnsi="Times New Roman" w:cs="Times New Roman"/>
          <w:sz w:val="24"/>
          <w:szCs w:val="24"/>
        </w:rPr>
        <w:t xml:space="preserve"> potential and actual</w:t>
      </w:r>
      <w:r w:rsidRPr="00C634D2">
        <w:rPr>
          <w:rFonts w:ascii="Times New Roman" w:hAnsi="Times New Roman" w:cs="Times New Roman"/>
          <w:sz w:val="24"/>
          <w:szCs w:val="24"/>
        </w:rPr>
        <w:t xml:space="preserve"> </w:t>
      </w:r>
      <w:r w:rsidR="00C634D2" w:rsidRPr="00C634D2">
        <w:rPr>
          <w:rFonts w:ascii="Times New Roman" w:hAnsi="Times New Roman" w:cs="Times New Roman"/>
          <w:sz w:val="24"/>
          <w:szCs w:val="24"/>
        </w:rPr>
        <w:t>Paperwork Reduction Act (</w:t>
      </w:r>
      <w:r w:rsidRPr="00C634D2">
        <w:rPr>
          <w:rFonts w:ascii="Times New Roman" w:hAnsi="Times New Roman" w:cs="Times New Roman"/>
          <w:sz w:val="24"/>
          <w:szCs w:val="24"/>
        </w:rPr>
        <w:t>PRA</w:t>
      </w:r>
      <w:r w:rsidR="00C634D2" w:rsidRPr="00C634D2">
        <w:rPr>
          <w:rFonts w:ascii="Times New Roman" w:hAnsi="Times New Roman" w:cs="Times New Roman"/>
          <w:sz w:val="24"/>
          <w:szCs w:val="24"/>
        </w:rPr>
        <w:t>)</w:t>
      </w:r>
      <w:r w:rsidR="002966E6" w:rsidRPr="00C634D2">
        <w:rPr>
          <w:rFonts w:ascii="Times New Roman" w:hAnsi="Times New Roman" w:cs="Times New Roman"/>
          <w:sz w:val="24"/>
          <w:szCs w:val="24"/>
        </w:rPr>
        <w:t xml:space="preserve"> bootlegs </w:t>
      </w:r>
      <w:r w:rsidRPr="00C634D2">
        <w:rPr>
          <w:rFonts w:ascii="Times New Roman" w:hAnsi="Times New Roman" w:cs="Times New Roman"/>
          <w:sz w:val="24"/>
          <w:szCs w:val="24"/>
        </w:rPr>
        <w:t>that occur are administrative in nature, not research</w:t>
      </w:r>
      <w:r w:rsidR="00B67433" w:rsidRPr="00C634D2">
        <w:rPr>
          <w:rFonts w:ascii="Times New Roman" w:hAnsi="Times New Roman" w:cs="Times New Roman"/>
          <w:sz w:val="24"/>
          <w:szCs w:val="24"/>
        </w:rPr>
        <w:t xml:space="preserve"> based</w:t>
      </w:r>
      <w:r w:rsidRPr="00C634D2">
        <w:rPr>
          <w:rFonts w:ascii="Times New Roman" w:hAnsi="Times New Roman" w:cs="Times New Roman"/>
          <w:sz w:val="24"/>
          <w:szCs w:val="24"/>
        </w:rPr>
        <w:t xml:space="preserve">.  </w:t>
      </w:r>
      <w:r w:rsidR="00C634D2" w:rsidRPr="00C634D2">
        <w:rPr>
          <w:rFonts w:ascii="Times New Roman" w:hAnsi="Times New Roman" w:cs="Times New Roman"/>
          <w:sz w:val="24"/>
          <w:szCs w:val="24"/>
        </w:rPr>
        <w:t xml:space="preserve">Additionally, </w:t>
      </w:r>
      <w:r w:rsidR="002966E6" w:rsidRPr="00C634D2">
        <w:rPr>
          <w:rFonts w:ascii="Times New Roman" w:hAnsi="Times New Roman" w:cs="Times New Roman"/>
          <w:sz w:val="24"/>
          <w:szCs w:val="24"/>
        </w:rPr>
        <w:t xml:space="preserve">NCI </w:t>
      </w:r>
      <w:r w:rsidR="002966E6" w:rsidRPr="00C634D2">
        <w:rPr>
          <w:rFonts w:ascii="Times New Roman" w:hAnsi="Times New Roman" w:cs="Times New Roman"/>
          <w:noProof/>
          <w:sz w:val="24"/>
          <w:szCs w:val="24"/>
        </w:rPr>
        <w:t>program staff who have submitted sub-projects that have been reviewed and returned by OMB,  have contributed ideas and comments to this r</w:t>
      </w:r>
      <w:bookmarkStart w:id="0" w:name="_GoBack"/>
      <w:bookmarkEnd w:id="0"/>
      <w:r w:rsidR="002966E6" w:rsidRPr="00C634D2">
        <w:rPr>
          <w:rFonts w:ascii="Times New Roman" w:hAnsi="Times New Roman" w:cs="Times New Roman"/>
          <w:noProof/>
          <w:sz w:val="24"/>
          <w:szCs w:val="24"/>
        </w:rPr>
        <w:t xml:space="preserve">equest. </w:t>
      </w:r>
      <w:r w:rsidR="00C634D2" w:rsidRPr="00C634D2">
        <w:rPr>
          <w:rFonts w:ascii="Times New Roman" w:hAnsi="Times New Roman" w:cs="Times New Roman"/>
          <w:noProof/>
          <w:sz w:val="24"/>
          <w:szCs w:val="24"/>
        </w:rPr>
        <w:t xml:space="preserve">And finally, input and collaborations have been sought regarding this submission with program staff from different divisions and offices at NCI and PRA Liaisions at a variety of other National Institutes of Health (NIH) Institutes.  </w:t>
      </w:r>
      <w:r w:rsidR="00C634D2" w:rsidRPr="00C634D2">
        <w:rPr>
          <w:rFonts w:ascii="Times New Roman" w:hAnsi="Times New Roman" w:cs="Times New Roman"/>
          <w:sz w:val="24"/>
          <w:szCs w:val="24"/>
        </w:rPr>
        <w:t xml:space="preserve">Along with the analysis, NCI’s ongoing education and outreach effort has increased the awareness and the need for a generic submission that covers administrative and program-related information collections.  NCI’s current scope for administrative generic sub-projects is non-existent and this submission would fill that gap.  </w:t>
      </w:r>
    </w:p>
    <w:p w14:paraId="2C8B2C05" w14:textId="02148625" w:rsidR="00B67433" w:rsidRDefault="00B67433" w:rsidP="00787CF6">
      <w:pPr>
        <w:spacing w:after="0" w:line="240" w:lineRule="auto"/>
        <w:rPr>
          <w:rFonts w:ascii="Times New Roman" w:hAnsi="Times New Roman" w:cs="Times New Roman"/>
          <w:sz w:val="24"/>
          <w:szCs w:val="24"/>
        </w:rPr>
      </w:pPr>
    </w:p>
    <w:p w14:paraId="722481DF" w14:textId="77777777" w:rsidR="00436B37" w:rsidRPr="00F60D51" w:rsidRDefault="00192B2E" w:rsidP="00787CF6">
      <w:pPr>
        <w:spacing w:after="0" w:line="480" w:lineRule="auto"/>
        <w:rPr>
          <w:rFonts w:ascii="Times New Roman" w:hAnsi="Times New Roman" w:cs="Times New Roman"/>
          <w:b/>
          <w:color w:val="000000" w:themeColor="text1"/>
          <w:sz w:val="24"/>
          <w:szCs w:val="24"/>
        </w:rPr>
      </w:pPr>
      <w:r w:rsidRPr="00F60D51">
        <w:rPr>
          <w:rFonts w:ascii="Times New Roman" w:hAnsi="Times New Roman" w:cs="Times New Roman"/>
          <w:b/>
          <w:color w:val="000000" w:themeColor="text1"/>
          <w:sz w:val="24"/>
          <w:szCs w:val="24"/>
        </w:rPr>
        <w:t xml:space="preserve">A. </w:t>
      </w:r>
      <w:r w:rsidR="00436B37" w:rsidRPr="00F60D51">
        <w:rPr>
          <w:rFonts w:ascii="Times New Roman" w:hAnsi="Times New Roman" w:cs="Times New Roman"/>
          <w:b/>
          <w:color w:val="000000" w:themeColor="text1"/>
          <w:sz w:val="24"/>
          <w:szCs w:val="24"/>
        </w:rPr>
        <w:t>Justification</w:t>
      </w:r>
    </w:p>
    <w:p w14:paraId="7D9741D7" w14:textId="77777777" w:rsidR="00192B2E" w:rsidRPr="00F60D51" w:rsidRDefault="00275EDC" w:rsidP="00787CF6">
      <w:pPr>
        <w:spacing w:after="0" w:line="480" w:lineRule="auto"/>
        <w:rPr>
          <w:rFonts w:ascii="Times New Roman" w:hAnsi="Times New Roman" w:cs="Times New Roman"/>
          <w:b/>
          <w:color w:val="000000" w:themeColor="text1"/>
          <w:sz w:val="24"/>
          <w:szCs w:val="24"/>
          <w:u w:val="single"/>
        </w:rPr>
      </w:pPr>
      <w:r w:rsidRPr="00F60D51">
        <w:rPr>
          <w:rFonts w:ascii="Times New Roman" w:hAnsi="Times New Roman" w:cs="Times New Roman"/>
          <w:b/>
          <w:color w:val="000000" w:themeColor="text1"/>
          <w:sz w:val="24"/>
          <w:szCs w:val="24"/>
          <w:u w:val="single"/>
        </w:rPr>
        <w:t>A1.  Circumstances M</w:t>
      </w:r>
      <w:r w:rsidR="00192B2E" w:rsidRPr="00F60D51">
        <w:rPr>
          <w:rFonts w:ascii="Times New Roman" w:hAnsi="Times New Roman" w:cs="Times New Roman"/>
          <w:b/>
          <w:color w:val="000000" w:themeColor="text1"/>
          <w:sz w:val="24"/>
          <w:szCs w:val="24"/>
          <w:u w:val="single"/>
        </w:rPr>
        <w:t>aking the Collection of Information Necessary</w:t>
      </w:r>
    </w:p>
    <w:p w14:paraId="2EC5E2CC" w14:textId="77777777" w:rsidR="005F69F2" w:rsidRPr="00787CF6" w:rsidRDefault="00935F7E" w:rsidP="00F60D51">
      <w:pPr>
        <w:spacing w:after="0" w:line="480" w:lineRule="auto"/>
        <w:ind w:firstLine="720"/>
        <w:jc w:val="both"/>
        <w:rPr>
          <w:rFonts w:ascii="Times New Roman" w:eastAsia="Times New Roman" w:hAnsi="Times New Roman" w:cs="Times New Roman"/>
          <w:color w:val="000000" w:themeColor="text1"/>
          <w:sz w:val="24"/>
          <w:szCs w:val="24"/>
        </w:rPr>
      </w:pPr>
      <w:r w:rsidRPr="00787CF6">
        <w:rPr>
          <w:rFonts w:ascii="Times New Roman" w:eastAsia="Times New Roman" w:hAnsi="Times New Roman" w:cs="Times New Roman"/>
          <w:color w:val="000000" w:themeColor="text1"/>
          <w:sz w:val="24"/>
          <w:szCs w:val="24"/>
        </w:rPr>
        <w:t>E</w:t>
      </w:r>
      <w:r w:rsidR="00436B37" w:rsidRPr="00787CF6">
        <w:rPr>
          <w:rFonts w:ascii="Times New Roman" w:eastAsia="Times New Roman" w:hAnsi="Times New Roman" w:cs="Times New Roman"/>
          <w:color w:val="000000" w:themeColor="text1"/>
          <w:sz w:val="24"/>
          <w:szCs w:val="24"/>
        </w:rPr>
        <w:t xml:space="preserve">stablished under the National Cancer Institute Act of 1937, </w:t>
      </w:r>
      <w:r w:rsidRPr="00787CF6">
        <w:rPr>
          <w:rFonts w:ascii="Times New Roman" w:eastAsia="Times New Roman" w:hAnsi="Times New Roman" w:cs="Times New Roman"/>
          <w:color w:val="000000" w:themeColor="text1"/>
          <w:sz w:val="24"/>
          <w:szCs w:val="24"/>
        </w:rPr>
        <w:t>the National Cancer Institute (NCI</w:t>
      </w:r>
      <w:r w:rsidR="00E72DFB" w:rsidRPr="00787CF6">
        <w:rPr>
          <w:rFonts w:ascii="Times New Roman" w:eastAsia="Times New Roman" w:hAnsi="Times New Roman" w:cs="Times New Roman"/>
          <w:color w:val="000000" w:themeColor="text1"/>
          <w:sz w:val="24"/>
          <w:szCs w:val="24"/>
        </w:rPr>
        <w:t>)</w:t>
      </w:r>
      <w:r w:rsidRPr="00787CF6">
        <w:rPr>
          <w:rFonts w:ascii="Times New Roman" w:eastAsia="Times New Roman" w:hAnsi="Times New Roman" w:cs="Times New Roman"/>
          <w:color w:val="000000" w:themeColor="text1"/>
          <w:sz w:val="24"/>
          <w:szCs w:val="24"/>
        </w:rPr>
        <w:t xml:space="preserve"> </w:t>
      </w:r>
      <w:r w:rsidR="00436B37" w:rsidRPr="00787CF6">
        <w:rPr>
          <w:rFonts w:ascii="Times New Roman" w:eastAsia="Times New Roman" w:hAnsi="Times New Roman" w:cs="Times New Roman"/>
          <w:color w:val="000000" w:themeColor="text1"/>
          <w:sz w:val="24"/>
          <w:szCs w:val="24"/>
        </w:rPr>
        <w:t xml:space="preserve">is the Federal Government's principal agency for cancer research and training. </w:t>
      </w:r>
      <w:r w:rsidR="00192B2E" w:rsidRPr="00787CF6">
        <w:rPr>
          <w:rFonts w:ascii="Times New Roman" w:eastAsia="Times New Roman" w:hAnsi="Times New Roman" w:cs="Times New Roman"/>
          <w:color w:val="000000" w:themeColor="text1"/>
          <w:sz w:val="24"/>
          <w:szCs w:val="24"/>
        </w:rPr>
        <w:t xml:space="preserve"> T</w:t>
      </w:r>
      <w:r w:rsidR="00AA5B9C" w:rsidRPr="00787CF6">
        <w:rPr>
          <w:rFonts w:ascii="Times New Roman" w:eastAsia="Times New Roman" w:hAnsi="Times New Roman" w:cs="Times New Roman"/>
          <w:color w:val="000000" w:themeColor="text1"/>
          <w:sz w:val="24"/>
          <w:szCs w:val="24"/>
        </w:rPr>
        <w:t>he Public Health Service Act</w:t>
      </w:r>
      <w:r w:rsidR="00B47031">
        <w:rPr>
          <w:rFonts w:ascii="Times New Roman" w:eastAsia="Times New Roman" w:hAnsi="Times New Roman" w:cs="Times New Roman"/>
          <w:color w:val="000000" w:themeColor="text1"/>
          <w:sz w:val="24"/>
          <w:szCs w:val="24"/>
        </w:rPr>
        <w:t xml:space="preserve">, </w:t>
      </w:r>
      <w:r w:rsidR="00275EDC" w:rsidRPr="00787CF6">
        <w:rPr>
          <w:rFonts w:ascii="Times New Roman" w:eastAsia="Times New Roman" w:hAnsi="Times New Roman" w:cs="Times New Roman"/>
          <w:color w:val="000000" w:themeColor="text1"/>
          <w:sz w:val="24"/>
          <w:szCs w:val="24"/>
        </w:rPr>
        <w:t>Section 410</w:t>
      </w:r>
      <w:r w:rsidR="00B47031">
        <w:rPr>
          <w:rFonts w:ascii="Times New Roman" w:eastAsia="Times New Roman" w:hAnsi="Times New Roman" w:cs="Times New Roman"/>
          <w:color w:val="000000" w:themeColor="text1"/>
          <w:sz w:val="24"/>
          <w:szCs w:val="24"/>
        </w:rPr>
        <w:t xml:space="preserve"> (42 </w:t>
      </w:r>
      <w:r w:rsidR="00B47031" w:rsidRPr="00B47031">
        <w:rPr>
          <w:rFonts w:ascii="Times New Roman" w:eastAsia="Times New Roman" w:hAnsi="Times New Roman" w:cs="Times New Roman"/>
          <w:color w:val="000000" w:themeColor="text1"/>
          <w:sz w:val="24"/>
          <w:szCs w:val="24"/>
        </w:rPr>
        <w:t xml:space="preserve">USC </w:t>
      </w:r>
      <w:r w:rsidR="00B47031" w:rsidRPr="00B47031">
        <w:rPr>
          <w:i/>
          <w:iCs/>
          <w:color w:val="000000" w:themeColor="text1"/>
          <w:sz w:val="24"/>
          <w:szCs w:val="24"/>
        </w:rPr>
        <w:t>§</w:t>
      </w:r>
      <w:r w:rsidR="00275EDC" w:rsidRPr="00B47031">
        <w:rPr>
          <w:rFonts w:ascii="Times New Roman" w:eastAsia="Times New Roman" w:hAnsi="Times New Roman" w:cs="Times New Roman"/>
          <w:color w:val="000000" w:themeColor="text1"/>
          <w:sz w:val="24"/>
          <w:szCs w:val="24"/>
        </w:rPr>
        <w:t xml:space="preserve"> 285</w:t>
      </w:r>
      <w:r w:rsidR="00B47031">
        <w:rPr>
          <w:rFonts w:ascii="Times New Roman" w:eastAsia="Times New Roman" w:hAnsi="Times New Roman" w:cs="Times New Roman"/>
          <w:color w:val="000000" w:themeColor="text1"/>
          <w:sz w:val="24"/>
          <w:szCs w:val="24"/>
        </w:rPr>
        <w:t>)</w:t>
      </w:r>
      <w:r w:rsidR="00275EDC" w:rsidRPr="00787CF6">
        <w:rPr>
          <w:rFonts w:ascii="Times New Roman" w:eastAsia="Times New Roman" w:hAnsi="Times New Roman" w:cs="Times New Roman"/>
          <w:color w:val="000000" w:themeColor="text1"/>
          <w:sz w:val="24"/>
          <w:szCs w:val="24"/>
        </w:rPr>
        <w:t xml:space="preserve"> elucidates NCI’s mission as</w:t>
      </w:r>
      <w:r w:rsidR="00AA5B9C" w:rsidRPr="00787CF6">
        <w:rPr>
          <w:rFonts w:ascii="Times New Roman" w:eastAsia="Times New Roman" w:hAnsi="Times New Roman" w:cs="Times New Roman"/>
          <w:color w:val="000000" w:themeColor="text1"/>
          <w:sz w:val="24"/>
          <w:szCs w:val="24"/>
        </w:rPr>
        <w:t xml:space="preserve"> “the conduct and support of research, training, health information dissemination, and other programs with respect to the cause, diagnosis, prevention, and treatment of cancer.”  </w:t>
      </w:r>
      <w:r w:rsidR="009D77F3" w:rsidRPr="00787CF6">
        <w:rPr>
          <w:rFonts w:ascii="Times New Roman" w:eastAsia="Times New Roman" w:hAnsi="Times New Roman" w:cs="Times New Roman"/>
          <w:color w:val="000000" w:themeColor="text1"/>
          <w:sz w:val="24"/>
          <w:szCs w:val="24"/>
        </w:rPr>
        <w:t xml:space="preserve"> </w:t>
      </w:r>
      <w:r w:rsidR="005F69F2" w:rsidRPr="00787CF6">
        <w:rPr>
          <w:rFonts w:ascii="Times New Roman" w:eastAsia="Times New Roman" w:hAnsi="Times New Roman" w:cs="Times New Roman"/>
          <w:color w:val="000000" w:themeColor="text1"/>
          <w:sz w:val="24"/>
          <w:szCs w:val="24"/>
        </w:rPr>
        <w:t xml:space="preserve">The National Cancer Act of 1971 </w:t>
      </w:r>
      <w:r w:rsidR="000A3B79" w:rsidRPr="00787CF6">
        <w:rPr>
          <w:rFonts w:ascii="Times New Roman" w:eastAsia="Times New Roman" w:hAnsi="Times New Roman" w:cs="Times New Roman"/>
          <w:color w:val="000000" w:themeColor="text1"/>
          <w:sz w:val="24"/>
          <w:szCs w:val="24"/>
        </w:rPr>
        <w:t xml:space="preserve">further </w:t>
      </w:r>
      <w:r w:rsidR="005F69F2" w:rsidRPr="00787CF6">
        <w:rPr>
          <w:rFonts w:ascii="Times New Roman" w:eastAsia="Times New Roman" w:hAnsi="Times New Roman" w:cs="Times New Roman"/>
          <w:color w:val="000000" w:themeColor="text1"/>
          <w:sz w:val="24"/>
          <w:szCs w:val="24"/>
        </w:rPr>
        <w:t>broadened the scope and responsibilities of the NCI and created the National Cancer Program. Over the years, legislative a</w:t>
      </w:r>
      <w:r w:rsidR="00C96B96">
        <w:rPr>
          <w:rFonts w:ascii="Times New Roman" w:eastAsia="Times New Roman" w:hAnsi="Times New Roman" w:cs="Times New Roman"/>
          <w:color w:val="000000" w:themeColor="text1"/>
          <w:sz w:val="24"/>
          <w:szCs w:val="24"/>
        </w:rPr>
        <w:t>ctions</w:t>
      </w:r>
      <w:r w:rsidR="005F69F2" w:rsidRPr="00787CF6">
        <w:rPr>
          <w:rFonts w:ascii="Times New Roman" w:eastAsia="Times New Roman" w:hAnsi="Times New Roman" w:cs="Times New Roman"/>
          <w:color w:val="000000" w:themeColor="text1"/>
          <w:sz w:val="24"/>
          <w:szCs w:val="24"/>
        </w:rPr>
        <w:t xml:space="preserve"> </w:t>
      </w:r>
      <w:r w:rsidR="000F12CD">
        <w:rPr>
          <w:rFonts w:ascii="Times New Roman" w:eastAsia="Times New Roman" w:hAnsi="Times New Roman" w:cs="Times New Roman"/>
          <w:color w:val="000000" w:themeColor="text1"/>
          <w:sz w:val="24"/>
          <w:szCs w:val="24"/>
        </w:rPr>
        <w:t xml:space="preserve">have </w:t>
      </w:r>
      <w:r w:rsidR="005F69F2" w:rsidRPr="00787CF6">
        <w:rPr>
          <w:rFonts w:ascii="Times New Roman" w:eastAsia="Times New Roman" w:hAnsi="Times New Roman" w:cs="Times New Roman"/>
          <w:color w:val="000000" w:themeColor="text1"/>
          <w:sz w:val="24"/>
          <w:szCs w:val="24"/>
        </w:rPr>
        <w:t>added information dissemination mandates</w:t>
      </w:r>
      <w:r w:rsidR="000F12CD">
        <w:rPr>
          <w:rFonts w:ascii="Times New Roman" w:eastAsia="Times New Roman" w:hAnsi="Times New Roman" w:cs="Times New Roman"/>
          <w:color w:val="000000" w:themeColor="text1"/>
          <w:sz w:val="24"/>
          <w:szCs w:val="24"/>
        </w:rPr>
        <w:t>,</w:t>
      </w:r>
      <w:r w:rsidR="005F69F2" w:rsidRPr="00787CF6">
        <w:rPr>
          <w:rFonts w:ascii="Times New Roman" w:eastAsia="Times New Roman" w:hAnsi="Times New Roman" w:cs="Times New Roman"/>
          <w:color w:val="000000" w:themeColor="text1"/>
          <w:sz w:val="24"/>
          <w:szCs w:val="24"/>
        </w:rPr>
        <w:t xml:space="preserve"> as well as a requirement to assess the incorporation of state-of-the-art cancer treatments into clinical practice</w:t>
      </w:r>
      <w:r w:rsidR="000F12CD">
        <w:rPr>
          <w:rFonts w:ascii="Times New Roman" w:eastAsia="Times New Roman" w:hAnsi="Times New Roman" w:cs="Times New Roman"/>
          <w:color w:val="000000" w:themeColor="text1"/>
          <w:sz w:val="24"/>
          <w:szCs w:val="24"/>
        </w:rPr>
        <w:t>, to the NCI mission.</w:t>
      </w:r>
      <w:r w:rsidR="005F69F2" w:rsidRPr="00787CF6">
        <w:rPr>
          <w:rFonts w:ascii="Times New Roman" w:eastAsia="Times New Roman" w:hAnsi="Times New Roman" w:cs="Times New Roman"/>
          <w:color w:val="000000" w:themeColor="text1"/>
          <w:sz w:val="24"/>
          <w:szCs w:val="24"/>
        </w:rPr>
        <w:t xml:space="preserve">  In keeping with </w:t>
      </w:r>
      <w:r w:rsidR="000F12CD">
        <w:rPr>
          <w:rFonts w:ascii="Times New Roman" w:eastAsia="Times New Roman" w:hAnsi="Times New Roman" w:cs="Times New Roman"/>
          <w:color w:val="000000" w:themeColor="text1"/>
          <w:sz w:val="24"/>
          <w:szCs w:val="24"/>
        </w:rPr>
        <w:t xml:space="preserve">all of </w:t>
      </w:r>
      <w:r w:rsidR="005F69F2" w:rsidRPr="00787CF6">
        <w:rPr>
          <w:rFonts w:ascii="Times New Roman" w:eastAsia="Times New Roman" w:hAnsi="Times New Roman" w:cs="Times New Roman"/>
          <w:color w:val="000000" w:themeColor="text1"/>
          <w:sz w:val="24"/>
          <w:szCs w:val="24"/>
        </w:rPr>
        <w:t xml:space="preserve">its legislative mandates, </w:t>
      </w:r>
      <w:r w:rsidR="009D77F3" w:rsidRPr="00787CF6">
        <w:rPr>
          <w:rFonts w:ascii="Times New Roman" w:eastAsia="Times New Roman" w:hAnsi="Times New Roman" w:cs="Times New Roman"/>
          <w:color w:val="000000" w:themeColor="text1"/>
          <w:sz w:val="24"/>
          <w:szCs w:val="24"/>
        </w:rPr>
        <w:t>the NCI include</w:t>
      </w:r>
      <w:r w:rsidR="000F12CD">
        <w:rPr>
          <w:rFonts w:ascii="Times New Roman" w:eastAsia="Times New Roman" w:hAnsi="Times New Roman" w:cs="Times New Roman"/>
          <w:color w:val="000000" w:themeColor="text1"/>
          <w:sz w:val="24"/>
          <w:szCs w:val="24"/>
        </w:rPr>
        <w:t>s</w:t>
      </w:r>
      <w:r w:rsidR="009D77F3" w:rsidRPr="00787CF6">
        <w:rPr>
          <w:rFonts w:ascii="Times New Roman" w:eastAsia="Times New Roman" w:hAnsi="Times New Roman" w:cs="Times New Roman"/>
          <w:color w:val="000000" w:themeColor="text1"/>
          <w:sz w:val="24"/>
          <w:szCs w:val="24"/>
        </w:rPr>
        <w:t xml:space="preserve"> </w:t>
      </w:r>
      <w:r w:rsidR="00037112">
        <w:rPr>
          <w:rFonts w:ascii="Times New Roman" w:eastAsia="Times New Roman" w:hAnsi="Times New Roman" w:cs="Times New Roman"/>
          <w:color w:val="000000" w:themeColor="text1"/>
          <w:sz w:val="24"/>
          <w:szCs w:val="24"/>
        </w:rPr>
        <w:t xml:space="preserve">official components that comprise </w:t>
      </w:r>
      <w:r w:rsidR="00C65A50" w:rsidRPr="00787CF6">
        <w:rPr>
          <w:rFonts w:ascii="Times New Roman" w:eastAsia="Times New Roman" w:hAnsi="Times New Roman" w:cs="Times New Roman"/>
          <w:color w:val="000000" w:themeColor="text1"/>
          <w:sz w:val="24"/>
          <w:szCs w:val="24"/>
        </w:rPr>
        <w:t xml:space="preserve">the Office of the Director, </w:t>
      </w:r>
      <w:r w:rsidR="00AC08C6">
        <w:rPr>
          <w:rFonts w:ascii="Times New Roman" w:eastAsia="Times New Roman" w:hAnsi="Times New Roman" w:cs="Times New Roman"/>
          <w:color w:val="000000" w:themeColor="text1"/>
          <w:sz w:val="24"/>
          <w:szCs w:val="24"/>
        </w:rPr>
        <w:t>i</w:t>
      </w:r>
      <w:r w:rsidR="00037112">
        <w:rPr>
          <w:rFonts w:ascii="Times New Roman" w:eastAsia="Times New Roman" w:hAnsi="Times New Roman" w:cs="Times New Roman"/>
          <w:color w:val="000000" w:themeColor="text1"/>
          <w:sz w:val="24"/>
          <w:szCs w:val="24"/>
        </w:rPr>
        <w:t xml:space="preserve">ntramural and </w:t>
      </w:r>
      <w:r w:rsidR="00AC08C6">
        <w:rPr>
          <w:rFonts w:ascii="Times New Roman" w:eastAsia="Times New Roman" w:hAnsi="Times New Roman" w:cs="Times New Roman"/>
          <w:color w:val="000000" w:themeColor="text1"/>
          <w:sz w:val="24"/>
          <w:szCs w:val="24"/>
        </w:rPr>
        <w:t>e</w:t>
      </w:r>
      <w:r w:rsidR="00037112">
        <w:rPr>
          <w:rFonts w:ascii="Times New Roman" w:eastAsia="Times New Roman" w:hAnsi="Times New Roman" w:cs="Times New Roman"/>
          <w:color w:val="000000" w:themeColor="text1"/>
          <w:sz w:val="24"/>
          <w:szCs w:val="24"/>
        </w:rPr>
        <w:t xml:space="preserve">xtramural </w:t>
      </w:r>
      <w:r w:rsidR="00AC08C6">
        <w:rPr>
          <w:rFonts w:ascii="Times New Roman" w:eastAsia="Times New Roman" w:hAnsi="Times New Roman" w:cs="Times New Roman"/>
          <w:color w:val="000000" w:themeColor="text1"/>
          <w:sz w:val="24"/>
          <w:szCs w:val="24"/>
        </w:rPr>
        <w:t>r</w:t>
      </w:r>
      <w:r w:rsidR="009D77F3" w:rsidRPr="00787CF6">
        <w:rPr>
          <w:rFonts w:ascii="Times New Roman" w:eastAsia="Times New Roman" w:hAnsi="Times New Roman" w:cs="Times New Roman"/>
          <w:color w:val="000000" w:themeColor="text1"/>
          <w:sz w:val="24"/>
          <w:szCs w:val="24"/>
        </w:rPr>
        <w:t xml:space="preserve">esearch, </w:t>
      </w:r>
      <w:r w:rsidR="00037112">
        <w:rPr>
          <w:rFonts w:ascii="Times New Roman" w:eastAsia="Times New Roman" w:hAnsi="Times New Roman" w:cs="Times New Roman"/>
          <w:color w:val="000000" w:themeColor="text1"/>
          <w:sz w:val="24"/>
          <w:szCs w:val="24"/>
        </w:rPr>
        <w:lastRenderedPageBreak/>
        <w:t xml:space="preserve">and </w:t>
      </w:r>
      <w:r w:rsidR="00AC08C6">
        <w:rPr>
          <w:rFonts w:ascii="Times New Roman" w:eastAsia="Times New Roman" w:hAnsi="Times New Roman" w:cs="Times New Roman"/>
          <w:color w:val="000000" w:themeColor="text1"/>
          <w:sz w:val="24"/>
          <w:szCs w:val="24"/>
        </w:rPr>
        <w:t>m</w:t>
      </w:r>
      <w:r w:rsidR="00037112">
        <w:rPr>
          <w:rFonts w:ascii="Times New Roman" w:eastAsia="Times New Roman" w:hAnsi="Times New Roman" w:cs="Times New Roman"/>
          <w:color w:val="000000" w:themeColor="text1"/>
          <w:sz w:val="24"/>
          <w:szCs w:val="24"/>
        </w:rPr>
        <w:t xml:space="preserve">anagement organizations critical </w:t>
      </w:r>
      <w:r w:rsidR="009D77F3" w:rsidRPr="00787CF6">
        <w:rPr>
          <w:rFonts w:ascii="Times New Roman" w:eastAsia="Times New Roman" w:hAnsi="Times New Roman" w:cs="Times New Roman"/>
          <w:color w:val="000000" w:themeColor="text1"/>
          <w:sz w:val="24"/>
          <w:szCs w:val="24"/>
        </w:rPr>
        <w:t xml:space="preserve">to </w:t>
      </w:r>
      <w:r w:rsidR="000125FB">
        <w:rPr>
          <w:rFonts w:ascii="Times New Roman" w:eastAsia="Times New Roman" w:hAnsi="Times New Roman" w:cs="Times New Roman"/>
          <w:color w:val="000000" w:themeColor="text1"/>
          <w:sz w:val="24"/>
          <w:szCs w:val="24"/>
        </w:rPr>
        <w:t xml:space="preserve">conducting, funding and </w:t>
      </w:r>
      <w:r w:rsidR="009D77F3" w:rsidRPr="00787CF6">
        <w:rPr>
          <w:rFonts w:ascii="Times New Roman" w:eastAsia="Times New Roman" w:hAnsi="Times New Roman" w:cs="Times New Roman"/>
          <w:color w:val="000000" w:themeColor="text1"/>
          <w:sz w:val="24"/>
          <w:szCs w:val="24"/>
        </w:rPr>
        <w:t xml:space="preserve">supporting the </w:t>
      </w:r>
      <w:r w:rsidR="000125FB">
        <w:rPr>
          <w:rFonts w:ascii="Times New Roman" w:eastAsia="Times New Roman" w:hAnsi="Times New Roman" w:cs="Times New Roman"/>
          <w:color w:val="000000" w:themeColor="text1"/>
          <w:sz w:val="24"/>
          <w:szCs w:val="24"/>
        </w:rPr>
        <w:t>goals to prevent, treat, and eradicate cancer</w:t>
      </w:r>
      <w:r w:rsidR="009D77F3" w:rsidRPr="00787CF6">
        <w:rPr>
          <w:rFonts w:ascii="Times New Roman" w:eastAsia="Times New Roman" w:hAnsi="Times New Roman" w:cs="Times New Roman"/>
          <w:color w:val="000000" w:themeColor="text1"/>
          <w:sz w:val="24"/>
          <w:szCs w:val="24"/>
        </w:rPr>
        <w:t>.</w:t>
      </w:r>
      <w:r w:rsidR="005F69F2" w:rsidRPr="00787CF6">
        <w:rPr>
          <w:rFonts w:ascii="Times New Roman" w:eastAsia="Times New Roman" w:hAnsi="Times New Roman" w:cs="Times New Roman"/>
          <w:color w:val="000000" w:themeColor="text1"/>
          <w:sz w:val="24"/>
          <w:szCs w:val="24"/>
        </w:rPr>
        <w:t xml:space="preserve">  </w:t>
      </w:r>
      <w:r w:rsidR="00F46CEC">
        <w:rPr>
          <w:rFonts w:ascii="Times New Roman" w:eastAsia="Times New Roman" w:hAnsi="Times New Roman" w:cs="Times New Roman"/>
          <w:color w:val="000000" w:themeColor="text1"/>
          <w:sz w:val="24"/>
          <w:szCs w:val="24"/>
        </w:rPr>
        <w:t xml:space="preserve">The mission of </w:t>
      </w:r>
      <w:r w:rsidR="006F1AF8" w:rsidRPr="002873FB">
        <w:rPr>
          <w:rFonts w:ascii="Times New Roman" w:hAnsi="Times New Roman" w:cs="Times New Roman"/>
          <w:sz w:val="24"/>
          <w:szCs w:val="24"/>
        </w:rPr>
        <w:t>NCI’s Office of Management and Policy Compliance (OMPC)</w:t>
      </w:r>
      <w:r w:rsidR="00F46CEC">
        <w:rPr>
          <w:rFonts w:ascii="Times New Roman" w:hAnsi="Times New Roman" w:cs="Times New Roman"/>
          <w:sz w:val="24"/>
          <w:szCs w:val="24"/>
        </w:rPr>
        <w:t xml:space="preserve"> is to d</w:t>
      </w:r>
      <w:r w:rsidR="006F1AF8" w:rsidRPr="002873FB">
        <w:rPr>
          <w:rFonts w:ascii="Times New Roman" w:hAnsi="Times New Roman" w:cs="Times New Roman"/>
          <w:sz w:val="24"/>
          <w:szCs w:val="24"/>
        </w:rPr>
        <w:t>esign and conducts management analyses and provides coordination and expertise for submissions to the Office of Management and Budget throughout the Institute.</w:t>
      </w:r>
    </w:p>
    <w:p w14:paraId="789A722A" w14:textId="77777777" w:rsidR="00097625" w:rsidRPr="00787CF6" w:rsidRDefault="005F69F2" w:rsidP="003E316D">
      <w:pPr>
        <w:spacing w:after="0" w:line="480" w:lineRule="auto"/>
        <w:ind w:firstLine="720"/>
        <w:jc w:val="both"/>
        <w:rPr>
          <w:rFonts w:ascii="Times New Roman" w:eastAsia="Times New Roman" w:hAnsi="Times New Roman" w:cs="Times New Roman"/>
          <w:color w:val="000000" w:themeColor="text1"/>
          <w:sz w:val="24"/>
          <w:szCs w:val="24"/>
        </w:rPr>
      </w:pPr>
      <w:r w:rsidRPr="00787CF6">
        <w:rPr>
          <w:rFonts w:ascii="Times New Roman" w:eastAsia="Times New Roman" w:hAnsi="Times New Roman" w:cs="Times New Roman"/>
          <w:color w:val="000000" w:themeColor="text1"/>
          <w:sz w:val="24"/>
          <w:szCs w:val="24"/>
        </w:rPr>
        <w:t>T</w:t>
      </w:r>
      <w:r w:rsidR="00AA5B9C" w:rsidRPr="00787CF6">
        <w:rPr>
          <w:rFonts w:ascii="Times New Roman" w:eastAsia="Times New Roman" w:hAnsi="Times New Roman" w:cs="Times New Roman"/>
          <w:color w:val="000000" w:themeColor="text1"/>
          <w:sz w:val="24"/>
          <w:szCs w:val="24"/>
        </w:rPr>
        <w:t>he</w:t>
      </w:r>
      <w:r w:rsidR="00192B2E" w:rsidRPr="00787CF6">
        <w:rPr>
          <w:rFonts w:ascii="Times New Roman" w:eastAsia="Times New Roman" w:hAnsi="Times New Roman" w:cs="Times New Roman"/>
          <w:color w:val="000000" w:themeColor="text1"/>
          <w:sz w:val="24"/>
          <w:szCs w:val="24"/>
        </w:rPr>
        <w:t xml:space="preserve"> </w:t>
      </w:r>
      <w:r w:rsidR="00275EDC" w:rsidRPr="00787CF6">
        <w:rPr>
          <w:rFonts w:ascii="Times New Roman" w:eastAsia="Times New Roman" w:hAnsi="Times New Roman" w:cs="Times New Roman"/>
          <w:color w:val="000000" w:themeColor="text1"/>
          <w:sz w:val="24"/>
          <w:szCs w:val="24"/>
        </w:rPr>
        <w:t>I</w:t>
      </w:r>
      <w:r w:rsidR="00172AEA" w:rsidRPr="00787CF6">
        <w:rPr>
          <w:rFonts w:ascii="Times New Roman" w:eastAsia="Times New Roman" w:hAnsi="Times New Roman" w:cs="Times New Roman"/>
          <w:color w:val="000000" w:themeColor="text1"/>
          <w:sz w:val="24"/>
          <w:szCs w:val="24"/>
        </w:rPr>
        <w:t>nstitute’s</w:t>
      </w:r>
      <w:r w:rsidR="00192B2E" w:rsidRPr="00787CF6">
        <w:rPr>
          <w:rFonts w:ascii="Times New Roman" w:eastAsia="Times New Roman" w:hAnsi="Times New Roman" w:cs="Times New Roman"/>
          <w:color w:val="000000" w:themeColor="text1"/>
          <w:sz w:val="24"/>
          <w:szCs w:val="24"/>
        </w:rPr>
        <w:t xml:space="preserve"> research focus</w:t>
      </w:r>
      <w:r w:rsidR="00AA5B9C" w:rsidRPr="00787CF6">
        <w:rPr>
          <w:rFonts w:ascii="Times New Roman" w:eastAsia="Times New Roman" w:hAnsi="Times New Roman" w:cs="Times New Roman"/>
          <w:color w:val="000000" w:themeColor="text1"/>
          <w:sz w:val="24"/>
          <w:szCs w:val="24"/>
        </w:rPr>
        <w:t xml:space="preserve"> is not confined to </w:t>
      </w:r>
      <w:r w:rsidR="00E7791A" w:rsidRPr="00787CF6">
        <w:rPr>
          <w:rFonts w:ascii="Times New Roman" w:eastAsia="Times New Roman" w:hAnsi="Times New Roman" w:cs="Times New Roman"/>
          <w:color w:val="000000" w:themeColor="text1"/>
          <w:sz w:val="24"/>
          <w:szCs w:val="24"/>
        </w:rPr>
        <w:t xml:space="preserve">the generation of major </w:t>
      </w:r>
      <w:r w:rsidR="005E7138" w:rsidRPr="00787CF6">
        <w:rPr>
          <w:rFonts w:ascii="Times New Roman" w:eastAsia="Times New Roman" w:hAnsi="Times New Roman" w:cs="Times New Roman"/>
          <w:color w:val="000000" w:themeColor="text1"/>
          <w:sz w:val="24"/>
          <w:szCs w:val="24"/>
        </w:rPr>
        <w:t xml:space="preserve">genetic, immunological, histological, pharmaceutical, </w:t>
      </w:r>
      <w:r w:rsidR="007D3A59">
        <w:rPr>
          <w:rFonts w:ascii="Times New Roman" w:eastAsia="Times New Roman" w:hAnsi="Times New Roman" w:cs="Times New Roman"/>
          <w:color w:val="000000" w:themeColor="text1"/>
          <w:sz w:val="24"/>
          <w:szCs w:val="24"/>
        </w:rPr>
        <w:t xml:space="preserve">and </w:t>
      </w:r>
      <w:r w:rsidR="005E7138" w:rsidRPr="00787CF6">
        <w:rPr>
          <w:rFonts w:ascii="Times New Roman" w:eastAsia="Times New Roman" w:hAnsi="Times New Roman" w:cs="Times New Roman"/>
          <w:color w:val="000000" w:themeColor="text1"/>
          <w:sz w:val="24"/>
          <w:szCs w:val="24"/>
        </w:rPr>
        <w:t>radiological advancements,</w:t>
      </w:r>
      <w:r w:rsidR="00192B2E" w:rsidRPr="00787CF6">
        <w:rPr>
          <w:rFonts w:ascii="Times New Roman" w:eastAsia="Times New Roman" w:hAnsi="Times New Roman" w:cs="Times New Roman"/>
          <w:color w:val="000000" w:themeColor="text1"/>
          <w:sz w:val="24"/>
          <w:szCs w:val="24"/>
        </w:rPr>
        <w:t xml:space="preserve"> but</w:t>
      </w:r>
      <w:r w:rsidR="009D77F3" w:rsidRPr="00787CF6">
        <w:rPr>
          <w:rFonts w:ascii="Times New Roman" w:eastAsia="Times New Roman" w:hAnsi="Times New Roman" w:cs="Times New Roman"/>
          <w:color w:val="000000" w:themeColor="text1"/>
          <w:sz w:val="24"/>
          <w:szCs w:val="24"/>
        </w:rPr>
        <w:t xml:space="preserve"> also includes </w:t>
      </w:r>
      <w:r w:rsidR="00DB3917" w:rsidRPr="00787CF6">
        <w:rPr>
          <w:rFonts w:ascii="Times New Roman" w:eastAsia="Times New Roman" w:hAnsi="Times New Roman" w:cs="Times New Roman"/>
          <w:color w:val="000000" w:themeColor="text1"/>
          <w:sz w:val="24"/>
          <w:szCs w:val="24"/>
        </w:rPr>
        <w:t xml:space="preserve">investigations </w:t>
      </w:r>
      <w:r w:rsidR="00097625" w:rsidRPr="00787CF6">
        <w:rPr>
          <w:rFonts w:ascii="Times New Roman" w:eastAsia="Times New Roman" w:hAnsi="Times New Roman" w:cs="Times New Roman"/>
          <w:color w:val="000000" w:themeColor="text1"/>
          <w:sz w:val="24"/>
          <w:szCs w:val="24"/>
        </w:rPr>
        <w:t xml:space="preserve">of related </w:t>
      </w:r>
      <w:r w:rsidR="00DB3917" w:rsidRPr="00787CF6">
        <w:rPr>
          <w:rFonts w:ascii="Times New Roman" w:eastAsia="Times New Roman" w:hAnsi="Times New Roman" w:cs="Times New Roman"/>
          <w:color w:val="000000" w:themeColor="text1"/>
          <w:sz w:val="24"/>
          <w:szCs w:val="24"/>
        </w:rPr>
        <w:t>health sciences</w:t>
      </w:r>
      <w:r w:rsidR="005E7138" w:rsidRPr="00787CF6">
        <w:rPr>
          <w:rFonts w:ascii="Times New Roman" w:eastAsia="Times New Roman" w:hAnsi="Times New Roman" w:cs="Times New Roman"/>
          <w:color w:val="000000" w:themeColor="text1"/>
          <w:sz w:val="24"/>
          <w:szCs w:val="24"/>
        </w:rPr>
        <w:t xml:space="preserve"> </w:t>
      </w:r>
      <w:r w:rsidR="009D77F3" w:rsidRPr="00787CF6">
        <w:rPr>
          <w:rFonts w:ascii="Times New Roman" w:eastAsia="Times New Roman" w:hAnsi="Times New Roman" w:cs="Times New Roman"/>
          <w:color w:val="000000" w:themeColor="text1"/>
          <w:sz w:val="24"/>
          <w:szCs w:val="24"/>
        </w:rPr>
        <w:t xml:space="preserve">and </w:t>
      </w:r>
      <w:r w:rsidR="00E72DFB" w:rsidRPr="00787CF6">
        <w:rPr>
          <w:rFonts w:ascii="Times New Roman" w:eastAsia="Times New Roman" w:hAnsi="Times New Roman" w:cs="Times New Roman"/>
          <w:color w:val="000000" w:themeColor="text1"/>
          <w:sz w:val="24"/>
          <w:szCs w:val="24"/>
        </w:rPr>
        <w:t xml:space="preserve">investigations </w:t>
      </w:r>
      <w:r w:rsidR="009D77F3" w:rsidRPr="00787CF6">
        <w:rPr>
          <w:rFonts w:ascii="Times New Roman" w:eastAsia="Times New Roman" w:hAnsi="Times New Roman" w:cs="Times New Roman"/>
          <w:color w:val="000000" w:themeColor="text1"/>
          <w:sz w:val="24"/>
          <w:szCs w:val="24"/>
        </w:rPr>
        <w:t xml:space="preserve">of smaller scale.  </w:t>
      </w:r>
      <w:r w:rsidR="00097625" w:rsidRPr="00787CF6">
        <w:rPr>
          <w:rFonts w:ascii="Times New Roman" w:eastAsia="Times New Roman" w:hAnsi="Times New Roman" w:cs="Times New Roman"/>
          <w:color w:val="000000" w:themeColor="text1"/>
          <w:sz w:val="24"/>
          <w:szCs w:val="24"/>
        </w:rPr>
        <w:t>Discipline</w:t>
      </w:r>
      <w:r w:rsidR="00DB3917" w:rsidRPr="00787CF6">
        <w:rPr>
          <w:rFonts w:ascii="Times New Roman" w:eastAsia="Times New Roman" w:hAnsi="Times New Roman" w:cs="Times New Roman"/>
          <w:color w:val="000000" w:themeColor="text1"/>
          <w:sz w:val="24"/>
          <w:szCs w:val="24"/>
        </w:rPr>
        <w:t>s</w:t>
      </w:r>
      <w:r w:rsidR="00097625" w:rsidRPr="00787CF6">
        <w:rPr>
          <w:rFonts w:ascii="Times New Roman" w:eastAsia="Times New Roman" w:hAnsi="Times New Roman" w:cs="Times New Roman"/>
          <w:color w:val="000000" w:themeColor="text1"/>
          <w:sz w:val="24"/>
          <w:szCs w:val="24"/>
        </w:rPr>
        <w:t xml:space="preserve"> </w:t>
      </w:r>
      <w:r w:rsidR="00E7791A" w:rsidRPr="00787CF6">
        <w:rPr>
          <w:rFonts w:ascii="Times New Roman" w:eastAsia="Times New Roman" w:hAnsi="Times New Roman" w:cs="Times New Roman"/>
          <w:color w:val="000000" w:themeColor="text1"/>
          <w:sz w:val="24"/>
          <w:szCs w:val="24"/>
        </w:rPr>
        <w:t>such as bioinformatics, survey research, communications,</w:t>
      </w:r>
      <w:r w:rsidR="00353EB7" w:rsidRPr="00787CF6">
        <w:rPr>
          <w:rFonts w:ascii="Times New Roman" w:eastAsia="Times New Roman" w:hAnsi="Times New Roman" w:cs="Times New Roman"/>
          <w:color w:val="000000" w:themeColor="text1"/>
          <w:sz w:val="24"/>
          <w:szCs w:val="24"/>
        </w:rPr>
        <w:t xml:space="preserve"> </w:t>
      </w:r>
      <w:r w:rsidR="009D77F3" w:rsidRPr="00787CF6">
        <w:rPr>
          <w:rFonts w:ascii="Times New Roman" w:eastAsia="Times New Roman" w:hAnsi="Times New Roman" w:cs="Times New Roman"/>
          <w:color w:val="000000" w:themeColor="text1"/>
          <w:sz w:val="24"/>
          <w:szCs w:val="24"/>
        </w:rPr>
        <w:t>and health administration help</w:t>
      </w:r>
      <w:r w:rsidR="00097625" w:rsidRPr="00787CF6">
        <w:rPr>
          <w:rFonts w:ascii="Times New Roman" w:eastAsia="Times New Roman" w:hAnsi="Times New Roman" w:cs="Times New Roman"/>
          <w:color w:val="000000" w:themeColor="text1"/>
          <w:sz w:val="24"/>
          <w:szCs w:val="24"/>
        </w:rPr>
        <w:t xml:space="preserve"> ensure that:</w:t>
      </w:r>
    </w:p>
    <w:p w14:paraId="581AAF17" w14:textId="77777777" w:rsidR="00097625" w:rsidRDefault="00E72DFB" w:rsidP="00EE519E">
      <w:pPr>
        <w:pStyle w:val="ListParagraph"/>
        <w:numPr>
          <w:ilvl w:val="0"/>
          <w:numId w:val="2"/>
        </w:numPr>
        <w:spacing w:after="0" w:line="240" w:lineRule="auto"/>
        <w:ind w:left="1080"/>
        <w:jc w:val="both"/>
        <w:rPr>
          <w:rFonts w:ascii="Times New Roman" w:eastAsia="Times New Roman" w:hAnsi="Times New Roman" w:cs="Times New Roman"/>
          <w:color w:val="000000" w:themeColor="text1"/>
          <w:sz w:val="24"/>
          <w:szCs w:val="24"/>
        </w:rPr>
      </w:pPr>
      <w:r w:rsidRPr="00787CF6">
        <w:rPr>
          <w:rFonts w:ascii="Times New Roman" w:eastAsia="Times New Roman" w:hAnsi="Times New Roman" w:cs="Times New Roman"/>
          <w:color w:val="000000" w:themeColor="text1"/>
          <w:sz w:val="24"/>
          <w:szCs w:val="24"/>
        </w:rPr>
        <w:t xml:space="preserve">The </w:t>
      </w:r>
      <w:r w:rsidR="00353EB7" w:rsidRPr="00787CF6">
        <w:rPr>
          <w:rFonts w:ascii="Times New Roman" w:eastAsia="Times New Roman" w:hAnsi="Times New Roman" w:cs="Times New Roman"/>
          <w:color w:val="000000" w:themeColor="text1"/>
          <w:sz w:val="24"/>
          <w:szCs w:val="24"/>
        </w:rPr>
        <w:t>research addresses the cancer needs of the</w:t>
      </w:r>
      <w:r w:rsidR="00097625" w:rsidRPr="00787CF6">
        <w:rPr>
          <w:rFonts w:ascii="Times New Roman" w:eastAsia="Times New Roman" w:hAnsi="Times New Roman" w:cs="Times New Roman"/>
          <w:color w:val="000000" w:themeColor="text1"/>
          <w:sz w:val="24"/>
          <w:szCs w:val="24"/>
        </w:rPr>
        <w:t xml:space="preserve"> US population</w:t>
      </w:r>
      <w:r w:rsidR="00DB3917" w:rsidRPr="00787CF6">
        <w:rPr>
          <w:rFonts w:ascii="Times New Roman" w:eastAsia="Times New Roman" w:hAnsi="Times New Roman" w:cs="Times New Roman"/>
          <w:color w:val="000000" w:themeColor="text1"/>
          <w:sz w:val="24"/>
          <w:szCs w:val="24"/>
        </w:rPr>
        <w:t>;</w:t>
      </w:r>
      <w:r w:rsidR="00353EB7" w:rsidRPr="00787CF6">
        <w:rPr>
          <w:rFonts w:ascii="Times New Roman" w:eastAsia="Times New Roman" w:hAnsi="Times New Roman" w:cs="Times New Roman"/>
          <w:color w:val="000000" w:themeColor="text1"/>
          <w:sz w:val="24"/>
          <w:szCs w:val="24"/>
        </w:rPr>
        <w:t xml:space="preserve"> </w:t>
      </w:r>
    </w:p>
    <w:p w14:paraId="12BBECAF" w14:textId="77777777" w:rsidR="008877D4" w:rsidRPr="00787CF6" w:rsidRDefault="008877D4" w:rsidP="00EE519E">
      <w:pPr>
        <w:pStyle w:val="ListParagraph"/>
        <w:spacing w:after="0" w:line="240" w:lineRule="auto"/>
        <w:ind w:left="1080" w:hanging="360"/>
        <w:jc w:val="both"/>
        <w:rPr>
          <w:rFonts w:ascii="Times New Roman" w:eastAsia="Times New Roman" w:hAnsi="Times New Roman" w:cs="Times New Roman"/>
          <w:color w:val="000000" w:themeColor="text1"/>
          <w:sz w:val="24"/>
          <w:szCs w:val="24"/>
        </w:rPr>
      </w:pPr>
    </w:p>
    <w:p w14:paraId="4E73BB8F" w14:textId="77777777" w:rsidR="00097625" w:rsidRPr="00787CF6" w:rsidRDefault="00E72DFB" w:rsidP="00EE519E">
      <w:pPr>
        <w:pStyle w:val="ListParagraph"/>
        <w:numPr>
          <w:ilvl w:val="0"/>
          <w:numId w:val="2"/>
        </w:numPr>
        <w:spacing w:after="0" w:line="240" w:lineRule="auto"/>
        <w:ind w:left="1080"/>
        <w:jc w:val="both"/>
        <w:rPr>
          <w:rFonts w:ascii="Times New Roman" w:eastAsia="Times New Roman" w:hAnsi="Times New Roman" w:cs="Times New Roman"/>
          <w:color w:val="000000" w:themeColor="text1"/>
          <w:sz w:val="24"/>
          <w:szCs w:val="24"/>
        </w:rPr>
      </w:pPr>
      <w:r w:rsidRPr="00787CF6">
        <w:rPr>
          <w:rFonts w:ascii="Times New Roman" w:eastAsia="Times New Roman" w:hAnsi="Times New Roman" w:cs="Times New Roman"/>
          <w:color w:val="000000" w:themeColor="text1"/>
          <w:sz w:val="24"/>
          <w:szCs w:val="24"/>
        </w:rPr>
        <w:t>F</w:t>
      </w:r>
      <w:r w:rsidR="00097625" w:rsidRPr="00787CF6">
        <w:rPr>
          <w:rFonts w:ascii="Times New Roman" w:eastAsia="Times New Roman" w:hAnsi="Times New Roman" w:cs="Times New Roman"/>
          <w:color w:val="000000" w:themeColor="text1"/>
          <w:sz w:val="24"/>
          <w:szCs w:val="24"/>
        </w:rPr>
        <w:t>indings are</w:t>
      </w:r>
      <w:r w:rsidR="00353EB7" w:rsidRPr="00787CF6">
        <w:rPr>
          <w:rFonts w:ascii="Times New Roman" w:eastAsia="Times New Roman" w:hAnsi="Times New Roman" w:cs="Times New Roman"/>
          <w:color w:val="000000" w:themeColor="text1"/>
          <w:sz w:val="24"/>
          <w:szCs w:val="24"/>
        </w:rPr>
        <w:t xml:space="preserve"> communicated in a </w:t>
      </w:r>
      <w:r w:rsidR="00935F7E" w:rsidRPr="00787CF6">
        <w:rPr>
          <w:rFonts w:ascii="Times New Roman" w:eastAsia="Times New Roman" w:hAnsi="Times New Roman" w:cs="Times New Roman"/>
          <w:color w:val="000000" w:themeColor="text1"/>
          <w:sz w:val="24"/>
          <w:szCs w:val="24"/>
        </w:rPr>
        <w:t xml:space="preserve">clear and </w:t>
      </w:r>
      <w:r w:rsidR="00353EB7" w:rsidRPr="00787CF6">
        <w:rPr>
          <w:rFonts w:ascii="Times New Roman" w:eastAsia="Times New Roman" w:hAnsi="Times New Roman" w:cs="Times New Roman"/>
          <w:color w:val="000000" w:themeColor="text1"/>
          <w:sz w:val="24"/>
          <w:szCs w:val="24"/>
        </w:rPr>
        <w:t>timely</w:t>
      </w:r>
      <w:r w:rsidR="00935F7E" w:rsidRPr="00787CF6">
        <w:rPr>
          <w:rFonts w:ascii="Times New Roman" w:eastAsia="Times New Roman" w:hAnsi="Times New Roman" w:cs="Times New Roman"/>
          <w:color w:val="000000" w:themeColor="text1"/>
          <w:sz w:val="24"/>
          <w:szCs w:val="24"/>
        </w:rPr>
        <w:t xml:space="preserve"> </w:t>
      </w:r>
      <w:r w:rsidR="00353EB7" w:rsidRPr="00787CF6">
        <w:rPr>
          <w:rFonts w:ascii="Times New Roman" w:eastAsia="Times New Roman" w:hAnsi="Times New Roman" w:cs="Times New Roman"/>
          <w:color w:val="000000" w:themeColor="text1"/>
          <w:sz w:val="24"/>
          <w:szCs w:val="24"/>
        </w:rPr>
        <w:t>manner to</w:t>
      </w:r>
      <w:r w:rsidR="00935F7E" w:rsidRPr="00787CF6">
        <w:rPr>
          <w:rFonts w:ascii="Times New Roman" w:eastAsia="Times New Roman" w:hAnsi="Times New Roman" w:cs="Times New Roman"/>
          <w:color w:val="000000" w:themeColor="text1"/>
          <w:sz w:val="24"/>
          <w:szCs w:val="24"/>
        </w:rPr>
        <w:t xml:space="preserve"> clinicians</w:t>
      </w:r>
      <w:r w:rsidR="00097625" w:rsidRPr="00787CF6">
        <w:rPr>
          <w:rFonts w:ascii="Times New Roman" w:eastAsia="Times New Roman" w:hAnsi="Times New Roman" w:cs="Times New Roman"/>
          <w:color w:val="000000" w:themeColor="text1"/>
          <w:sz w:val="24"/>
          <w:szCs w:val="24"/>
        </w:rPr>
        <w:t>,</w:t>
      </w:r>
      <w:r w:rsidR="00935F7E" w:rsidRPr="00787CF6">
        <w:rPr>
          <w:rFonts w:ascii="Times New Roman" w:eastAsia="Times New Roman" w:hAnsi="Times New Roman" w:cs="Times New Roman"/>
          <w:color w:val="000000" w:themeColor="text1"/>
          <w:sz w:val="24"/>
          <w:szCs w:val="24"/>
        </w:rPr>
        <w:t xml:space="preserve"> and cancer patients and their </w:t>
      </w:r>
      <w:r w:rsidR="00DB3917" w:rsidRPr="00787CF6">
        <w:rPr>
          <w:rFonts w:ascii="Times New Roman" w:eastAsia="Times New Roman" w:hAnsi="Times New Roman" w:cs="Times New Roman"/>
          <w:color w:val="000000" w:themeColor="text1"/>
          <w:sz w:val="24"/>
          <w:szCs w:val="24"/>
        </w:rPr>
        <w:t>families;</w:t>
      </w:r>
      <w:r w:rsidR="00353EB7" w:rsidRPr="00787CF6">
        <w:rPr>
          <w:rFonts w:ascii="Times New Roman" w:eastAsia="Times New Roman" w:hAnsi="Times New Roman" w:cs="Times New Roman"/>
          <w:color w:val="000000" w:themeColor="text1"/>
          <w:sz w:val="24"/>
          <w:szCs w:val="24"/>
        </w:rPr>
        <w:t xml:space="preserve"> and </w:t>
      </w:r>
    </w:p>
    <w:p w14:paraId="48EF2973" w14:textId="77777777" w:rsidR="008877D4" w:rsidRDefault="008877D4" w:rsidP="00EE519E">
      <w:pPr>
        <w:pStyle w:val="ListParagraph"/>
        <w:spacing w:after="0" w:line="240" w:lineRule="auto"/>
        <w:ind w:left="1080" w:hanging="360"/>
        <w:jc w:val="both"/>
        <w:rPr>
          <w:rFonts w:ascii="Times New Roman" w:eastAsia="Times New Roman" w:hAnsi="Times New Roman" w:cs="Times New Roman"/>
          <w:color w:val="000000" w:themeColor="text1"/>
          <w:sz w:val="24"/>
          <w:szCs w:val="24"/>
        </w:rPr>
      </w:pPr>
    </w:p>
    <w:p w14:paraId="1A160C14" w14:textId="77777777" w:rsidR="008877D4" w:rsidRDefault="00E72DFB" w:rsidP="00EE519E">
      <w:pPr>
        <w:pStyle w:val="ListParagraph"/>
        <w:numPr>
          <w:ilvl w:val="0"/>
          <w:numId w:val="2"/>
        </w:numPr>
        <w:spacing w:after="0" w:line="240" w:lineRule="auto"/>
        <w:ind w:left="1080"/>
        <w:jc w:val="both"/>
        <w:rPr>
          <w:rFonts w:ascii="Times New Roman" w:eastAsia="Times New Roman" w:hAnsi="Times New Roman" w:cs="Times New Roman"/>
          <w:color w:val="000000" w:themeColor="text1"/>
          <w:sz w:val="24"/>
          <w:szCs w:val="24"/>
        </w:rPr>
      </w:pPr>
      <w:r w:rsidRPr="00787CF6">
        <w:rPr>
          <w:rFonts w:ascii="Times New Roman" w:eastAsia="Times New Roman" w:hAnsi="Times New Roman" w:cs="Times New Roman"/>
          <w:color w:val="000000" w:themeColor="text1"/>
          <w:sz w:val="24"/>
          <w:szCs w:val="24"/>
        </w:rPr>
        <w:t>T</w:t>
      </w:r>
      <w:r w:rsidR="00353EB7" w:rsidRPr="00787CF6">
        <w:rPr>
          <w:rFonts w:ascii="Times New Roman" w:eastAsia="Times New Roman" w:hAnsi="Times New Roman" w:cs="Times New Roman"/>
          <w:color w:val="000000" w:themeColor="text1"/>
          <w:sz w:val="24"/>
          <w:szCs w:val="24"/>
        </w:rPr>
        <w:t>he NCI infras</w:t>
      </w:r>
      <w:r w:rsidR="00935F7E" w:rsidRPr="00787CF6">
        <w:rPr>
          <w:rFonts w:ascii="Times New Roman" w:eastAsia="Times New Roman" w:hAnsi="Times New Roman" w:cs="Times New Roman"/>
          <w:color w:val="000000" w:themeColor="text1"/>
          <w:sz w:val="24"/>
          <w:szCs w:val="24"/>
        </w:rPr>
        <w:t xml:space="preserve">tructure operates at the level </w:t>
      </w:r>
      <w:r w:rsidR="00097625" w:rsidRPr="00787CF6">
        <w:rPr>
          <w:rFonts w:ascii="Times New Roman" w:eastAsia="Times New Roman" w:hAnsi="Times New Roman" w:cs="Times New Roman"/>
          <w:color w:val="000000" w:themeColor="text1"/>
          <w:sz w:val="24"/>
          <w:szCs w:val="24"/>
        </w:rPr>
        <w:t>needed to support and adapt to rapidly-evolving scientific findings</w:t>
      </w:r>
      <w:r w:rsidRPr="00787CF6">
        <w:rPr>
          <w:rFonts w:ascii="Times New Roman" w:eastAsia="Times New Roman" w:hAnsi="Times New Roman" w:cs="Times New Roman"/>
          <w:color w:val="000000" w:themeColor="text1"/>
          <w:sz w:val="24"/>
          <w:szCs w:val="24"/>
        </w:rPr>
        <w:t>, and</w:t>
      </w:r>
      <w:r w:rsidR="00935F7E" w:rsidRPr="00787CF6">
        <w:rPr>
          <w:rFonts w:ascii="Times New Roman" w:eastAsia="Times New Roman" w:hAnsi="Times New Roman" w:cs="Times New Roman"/>
          <w:color w:val="000000" w:themeColor="text1"/>
          <w:sz w:val="24"/>
          <w:szCs w:val="24"/>
        </w:rPr>
        <w:t xml:space="preserve"> </w:t>
      </w:r>
    </w:p>
    <w:p w14:paraId="5ADA12F0" w14:textId="77777777" w:rsidR="008877D4" w:rsidRPr="00EE519E" w:rsidRDefault="008877D4" w:rsidP="00EE519E">
      <w:pPr>
        <w:pStyle w:val="ListParagraph"/>
        <w:ind w:left="1080" w:hanging="360"/>
        <w:rPr>
          <w:rFonts w:ascii="Times New Roman" w:eastAsia="Times New Roman" w:hAnsi="Times New Roman" w:cs="Times New Roman"/>
          <w:color w:val="000000" w:themeColor="text1"/>
          <w:sz w:val="24"/>
          <w:szCs w:val="24"/>
        </w:rPr>
      </w:pPr>
    </w:p>
    <w:p w14:paraId="7B155973" w14:textId="77777777" w:rsidR="00353EB7" w:rsidRPr="00787CF6" w:rsidRDefault="008877D4" w:rsidP="008877D4">
      <w:pPr>
        <w:pStyle w:val="ListParagraph"/>
        <w:numPr>
          <w:ilvl w:val="0"/>
          <w:numId w:val="2"/>
        </w:numPr>
        <w:spacing w:after="0" w:line="480" w:lineRule="auto"/>
        <w:ind w:left="108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w:t>
      </w:r>
      <w:r w:rsidR="00935F7E" w:rsidRPr="00787CF6">
        <w:rPr>
          <w:rFonts w:ascii="Times New Roman" w:eastAsia="Times New Roman" w:hAnsi="Times New Roman" w:cs="Times New Roman"/>
          <w:color w:val="000000" w:themeColor="text1"/>
          <w:sz w:val="24"/>
          <w:szCs w:val="24"/>
        </w:rPr>
        <w:t>aintain</w:t>
      </w:r>
      <w:r>
        <w:rPr>
          <w:rFonts w:ascii="Times New Roman" w:eastAsia="Times New Roman" w:hAnsi="Times New Roman" w:cs="Times New Roman"/>
          <w:color w:val="000000" w:themeColor="text1"/>
          <w:sz w:val="24"/>
          <w:szCs w:val="24"/>
        </w:rPr>
        <w:t>s</w:t>
      </w:r>
      <w:r w:rsidR="00935F7E" w:rsidRPr="00787CF6">
        <w:rPr>
          <w:rFonts w:ascii="Times New Roman" w:eastAsia="Times New Roman" w:hAnsi="Times New Roman" w:cs="Times New Roman"/>
          <w:color w:val="000000" w:themeColor="text1"/>
          <w:sz w:val="24"/>
          <w:szCs w:val="24"/>
        </w:rPr>
        <w:t xml:space="preserve"> the NCI as a world leader in all areas of cancer research</w:t>
      </w:r>
      <w:r w:rsidR="00353EB7" w:rsidRPr="00787CF6">
        <w:rPr>
          <w:rFonts w:ascii="Times New Roman" w:eastAsia="Times New Roman" w:hAnsi="Times New Roman" w:cs="Times New Roman"/>
          <w:color w:val="000000" w:themeColor="text1"/>
          <w:sz w:val="24"/>
          <w:szCs w:val="24"/>
        </w:rPr>
        <w:t>.</w:t>
      </w:r>
    </w:p>
    <w:p w14:paraId="365D3A12" w14:textId="70B2B727" w:rsidR="008C1231" w:rsidRDefault="000C4F4F" w:rsidP="008C1231">
      <w:pPr>
        <w:spacing w:after="0" w:line="480" w:lineRule="auto"/>
        <w:ind w:firstLine="720"/>
        <w:rPr>
          <w:rFonts w:ascii="Times New Roman" w:eastAsia="Times New Roman" w:hAnsi="Times New Roman" w:cs="Times New Roman"/>
          <w:sz w:val="24"/>
          <w:szCs w:val="24"/>
        </w:rPr>
      </w:pPr>
      <w:r w:rsidRPr="00787CF6">
        <w:rPr>
          <w:rFonts w:ascii="Times New Roman" w:eastAsia="Times New Roman" w:hAnsi="Times New Roman" w:cs="Times New Roman"/>
          <w:color w:val="000000" w:themeColor="text1"/>
          <w:sz w:val="24"/>
          <w:szCs w:val="24"/>
        </w:rPr>
        <w:t>T</w:t>
      </w:r>
      <w:r w:rsidR="00172AEA" w:rsidRPr="00787CF6">
        <w:rPr>
          <w:rFonts w:ascii="Times New Roman" w:eastAsia="Times New Roman" w:hAnsi="Times New Roman" w:cs="Times New Roman"/>
          <w:color w:val="000000" w:themeColor="text1"/>
          <w:sz w:val="24"/>
          <w:szCs w:val="24"/>
        </w:rPr>
        <w:t>his gene</w:t>
      </w:r>
      <w:r w:rsidR="001462B2" w:rsidRPr="00787CF6">
        <w:rPr>
          <w:rFonts w:ascii="Times New Roman" w:eastAsia="Times New Roman" w:hAnsi="Times New Roman" w:cs="Times New Roman"/>
          <w:color w:val="000000" w:themeColor="text1"/>
          <w:sz w:val="24"/>
          <w:szCs w:val="24"/>
        </w:rPr>
        <w:t>ric clearance will</w:t>
      </w:r>
      <w:r w:rsidR="008D4AB7" w:rsidRPr="00787CF6">
        <w:rPr>
          <w:rFonts w:ascii="Times New Roman" w:eastAsia="Times New Roman" w:hAnsi="Times New Roman" w:cs="Times New Roman"/>
          <w:color w:val="000000" w:themeColor="text1"/>
          <w:sz w:val="24"/>
          <w:szCs w:val="24"/>
        </w:rPr>
        <w:t xml:space="preserve"> enable the I</w:t>
      </w:r>
      <w:r w:rsidR="00172AEA" w:rsidRPr="00787CF6">
        <w:rPr>
          <w:rFonts w:ascii="Times New Roman" w:eastAsia="Times New Roman" w:hAnsi="Times New Roman" w:cs="Times New Roman"/>
          <w:color w:val="000000" w:themeColor="text1"/>
          <w:sz w:val="24"/>
          <w:szCs w:val="24"/>
        </w:rPr>
        <w:t xml:space="preserve">nstitute to more efficiently conduct selected </w:t>
      </w:r>
      <w:r w:rsidR="00787CF6">
        <w:rPr>
          <w:rFonts w:ascii="Times New Roman" w:eastAsia="Times New Roman" w:hAnsi="Times New Roman" w:cs="Times New Roman"/>
          <w:color w:val="000000" w:themeColor="text1"/>
          <w:sz w:val="24"/>
          <w:szCs w:val="24"/>
        </w:rPr>
        <w:t>administrative</w:t>
      </w:r>
      <w:r w:rsidR="00172AEA" w:rsidRPr="00787CF6">
        <w:rPr>
          <w:rFonts w:ascii="Times New Roman" w:eastAsia="Times New Roman" w:hAnsi="Times New Roman" w:cs="Times New Roman"/>
          <w:color w:val="000000" w:themeColor="text1"/>
          <w:sz w:val="24"/>
          <w:szCs w:val="24"/>
        </w:rPr>
        <w:t xml:space="preserve"> projects </w:t>
      </w:r>
      <w:r w:rsidRPr="00787CF6">
        <w:rPr>
          <w:rFonts w:ascii="Times New Roman" w:eastAsia="Times New Roman" w:hAnsi="Times New Roman" w:cs="Times New Roman"/>
          <w:color w:val="000000" w:themeColor="text1"/>
          <w:sz w:val="24"/>
          <w:szCs w:val="24"/>
        </w:rPr>
        <w:t>necessary for the achievement of program</w:t>
      </w:r>
      <w:r w:rsidR="00CB1F67">
        <w:rPr>
          <w:rStyle w:val="FootnoteReference"/>
          <w:rFonts w:ascii="Times New Roman" w:eastAsia="Times New Roman" w:hAnsi="Times New Roman" w:cs="Times New Roman"/>
          <w:color w:val="000000" w:themeColor="text1"/>
          <w:sz w:val="24"/>
          <w:szCs w:val="24"/>
        </w:rPr>
        <w:footnoteReference w:id="1"/>
      </w:r>
      <w:r w:rsidRPr="00787CF6">
        <w:rPr>
          <w:rFonts w:ascii="Times New Roman" w:eastAsia="Times New Roman" w:hAnsi="Times New Roman" w:cs="Times New Roman"/>
          <w:color w:val="000000" w:themeColor="text1"/>
          <w:sz w:val="24"/>
          <w:szCs w:val="24"/>
        </w:rPr>
        <w:t xml:space="preserve"> objectives</w:t>
      </w:r>
      <w:r w:rsidR="00E72DFB" w:rsidRPr="00787CF6">
        <w:rPr>
          <w:rFonts w:ascii="Times New Roman" w:eastAsia="Times New Roman" w:hAnsi="Times New Roman" w:cs="Times New Roman"/>
          <w:color w:val="000000" w:themeColor="text1"/>
          <w:sz w:val="24"/>
          <w:szCs w:val="24"/>
        </w:rPr>
        <w:t xml:space="preserve">.  </w:t>
      </w:r>
      <w:r w:rsidR="001462B2" w:rsidRPr="00787CF6">
        <w:rPr>
          <w:rFonts w:ascii="Times New Roman" w:eastAsia="Times New Roman" w:hAnsi="Times New Roman" w:cs="Times New Roman"/>
          <w:color w:val="000000" w:themeColor="text1"/>
          <w:sz w:val="24"/>
          <w:szCs w:val="24"/>
        </w:rPr>
        <w:t>S</w:t>
      </w:r>
      <w:r w:rsidR="00E72DFB" w:rsidRPr="00787CF6">
        <w:rPr>
          <w:rFonts w:ascii="Times New Roman" w:eastAsia="Times New Roman" w:hAnsi="Times New Roman" w:cs="Times New Roman"/>
          <w:color w:val="000000" w:themeColor="text1"/>
          <w:sz w:val="24"/>
          <w:szCs w:val="24"/>
        </w:rPr>
        <w:t>ample objectiv</w:t>
      </w:r>
      <w:r w:rsidR="001462B2" w:rsidRPr="00787CF6">
        <w:rPr>
          <w:rFonts w:ascii="Times New Roman" w:eastAsia="Times New Roman" w:hAnsi="Times New Roman" w:cs="Times New Roman"/>
          <w:color w:val="000000" w:themeColor="text1"/>
          <w:sz w:val="24"/>
          <w:szCs w:val="24"/>
        </w:rPr>
        <w:t xml:space="preserve">es that require </w:t>
      </w:r>
      <w:r w:rsidR="00787CF6">
        <w:rPr>
          <w:rFonts w:ascii="Times New Roman" w:eastAsia="Times New Roman" w:hAnsi="Times New Roman" w:cs="Times New Roman"/>
          <w:color w:val="000000" w:themeColor="text1"/>
          <w:sz w:val="24"/>
          <w:szCs w:val="24"/>
        </w:rPr>
        <w:t xml:space="preserve">OMB approval would include </w:t>
      </w:r>
      <w:r w:rsidR="00787CF6" w:rsidRPr="00787CF6">
        <w:rPr>
          <w:rFonts w:ascii="Times New Roman" w:hAnsi="Times New Roman" w:cs="Times New Roman"/>
          <w:sz w:val="24"/>
          <w:szCs w:val="24"/>
        </w:rPr>
        <w:t>forms and applications related to progra</w:t>
      </w:r>
      <w:r w:rsidR="00857BC5">
        <w:rPr>
          <w:rFonts w:ascii="Times New Roman" w:hAnsi="Times New Roman" w:cs="Times New Roman"/>
          <w:sz w:val="24"/>
          <w:szCs w:val="24"/>
        </w:rPr>
        <w:t xml:space="preserve">m and administrative operations, management </w:t>
      </w:r>
      <w:r w:rsidR="00787CF6" w:rsidRPr="00787CF6">
        <w:rPr>
          <w:rFonts w:ascii="Times New Roman" w:hAnsi="Times New Roman" w:cs="Times New Roman"/>
          <w:sz w:val="24"/>
          <w:szCs w:val="24"/>
        </w:rPr>
        <w:t xml:space="preserve">and policy compliance. </w:t>
      </w:r>
      <w:r w:rsidR="003E316D">
        <w:rPr>
          <w:rFonts w:ascii="Times New Roman" w:eastAsia="Times New Roman" w:hAnsi="Times New Roman" w:cs="Times New Roman"/>
          <w:sz w:val="24"/>
          <w:szCs w:val="24"/>
        </w:rPr>
        <w:t xml:space="preserve"> </w:t>
      </w:r>
      <w:r w:rsidR="0067248F" w:rsidRPr="00787CF6">
        <w:rPr>
          <w:rFonts w:ascii="Times New Roman" w:eastAsia="Times New Roman" w:hAnsi="Times New Roman" w:cs="Times New Roman"/>
          <w:sz w:val="24"/>
          <w:szCs w:val="24"/>
        </w:rPr>
        <w:t xml:space="preserve">It is </w:t>
      </w:r>
      <w:r w:rsidR="00DD36B2" w:rsidRPr="00870022">
        <w:rPr>
          <w:rFonts w:ascii="Times New Roman" w:eastAsia="Times New Roman" w:hAnsi="Times New Roman" w:cs="Times New Roman"/>
          <w:sz w:val="24"/>
          <w:szCs w:val="24"/>
        </w:rPr>
        <w:t xml:space="preserve">important is to ensure that NCI’s </w:t>
      </w:r>
      <w:r w:rsidR="003D40BD" w:rsidRPr="00870022">
        <w:rPr>
          <w:rFonts w:ascii="Times New Roman" w:eastAsia="Times New Roman" w:hAnsi="Times New Roman" w:cs="Times New Roman"/>
          <w:sz w:val="24"/>
          <w:szCs w:val="24"/>
        </w:rPr>
        <w:t>administrative support</w:t>
      </w:r>
      <w:r w:rsidR="00DD36B2" w:rsidRPr="00870022">
        <w:rPr>
          <w:rFonts w:ascii="Times New Roman" w:eastAsia="Times New Roman" w:hAnsi="Times New Roman" w:cs="Times New Roman"/>
          <w:sz w:val="24"/>
          <w:szCs w:val="24"/>
        </w:rPr>
        <w:t xml:space="preserve"> is targeted and streamlined</w:t>
      </w:r>
      <w:r w:rsidR="00870022">
        <w:rPr>
          <w:rFonts w:ascii="Times New Roman" w:eastAsia="Times New Roman" w:hAnsi="Times New Roman" w:cs="Times New Roman"/>
          <w:sz w:val="24"/>
          <w:szCs w:val="24"/>
        </w:rPr>
        <w:t xml:space="preserve"> and works in conjunction with</w:t>
      </w:r>
      <w:r w:rsidR="00B47031">
        <w:rPr>
          <w:rFonts w:ascii="Times New Roman" w:eastAsia="Times New Roman" w:hAnsi="Times New Roman" w:cs="Times New Roman"/>
          <w:sz w:val="24"/>
          <w:szCs w:val="24"/>
        </w:rPr>
        <w:t xml:space="preserve"> the research </w:t>
      </w:r>
      <w:r w:rsidR="00870022">
        <w:rPr>
          <w:rFonts w:ascii="Times New Roman" w:eastAsia="Times New Roman" w:hAnsi="Times New Roman" w:cs="Times New Roman"/>
          <w:sz w:val="24"/>
          <w:szCs w:val="24"/>
        </w:rPr>
        <w:t>efforts</w:t>
      </w:r>
      <w:r w:rsidR="00B47031">
        <w:rPr>
          <w:rFonts w:ascii="Times New Roman" w:eastAsia="Times New Roman" w:hAnsi="Times New Roman" w:cs="Times New Roman"/>
          <w:sz w:val="24"/>
          <w:szCs w:val="24"/>
        </w:rPr>
        <w:t xml:space="preserve"> of both the intramural and extramural scientists</w:t>
      </w:r>
      <w:r w:rsidR="007216EA">
        <w:rPr>
          <w:rFonts w:ascii="Times New Roman" w:eastAsia="Times New Roman" w:hAnsi="Times New Roman" w:cs="Times New Roman"/>
          <w:sz w:val="24"/>
          <w:szCs w:val="24"/>
        </w:rPr>
        <w:t xml:space="preserve">.  For effective administrative support, strategic and funding objectives need to be monitored, managed and reported.  </w:t>
      </w:r>
      <w:r w:rsidR="00EA4C6A">
        <w:rPr>
          <w:rFonts w:ascii="Times New Roman" w:eastAsia="Times New Roman" w:hAnsi="Times New Roman" w:cs="Times New Roman"/>
          <w:sz w:val="24"/>
          <w:szCs w:val="24"/>
        </w:rPr>
        <w:t>T</w:t>
      </w:r>
      <w:r w:rsidR="007216EA">
        <w:rPr>
          <w:rFonts w:ascii="Times New Roman" w:eastAsia="Times New Roman" w:hAnsi="Times New Roman" w:cs="Times New Roman"/>
          <w:sz w:val="24"/>
          <w:szCs w:val="24"/>
        </w:rPr>
        <w:t xml:space="preserve">here are </w:t>
      </w:r>
      <w:r w:rsidR="007216EA">
        <w:rPr>
          <w:rFonts w:ascii="Times New Roman" w:eastAsia="Times New Roman" w:hAnsi="Times New Roman" w:cs="Times New Roman"/>
          <w:sz w:val="24"/>
          <w:szCs w:val="24"/>
        </w:rPr>
        <w:lastRenderedPageBreak/>
        <w:t xml:space="preserve">times where program </w:t>
      </w:r>
      <w:r w:rsidR="008E45B4">
        <w:rPr>
          <w:rFonts w:ascii="Times New Roman" w:eastAsia="Times New Roman" w:hAnsi="Times New Roman" w:cs="Times New Roman"/>
          <w:sz w:val="24"/>
          <w:szCs w:val="24"/>
        </w:rPr>
        <w:t>monitoring and performance measurement</w:t>
      </w:r>
      <w:r w:rsidR="007216EA">
        <w:rPr>
          <w:rFonts w:ascii="Times New Roman" w:eastAsia="Times New Roman" w:hAnsi="Times New Roman" w:cs="Times New Roman"/>
          <w:sz w:val="24"/>
          <w:szCs w:val="24"/>
        </w:rPr>
        <w:t xml:space="preserve"> </w:t>
      </w:r>
      <w:r w:rsidR="00F46CEC">
        <w:rPr>
          <w:rFonts w:ascii="Times New Roman" w:eastAsia="Times New Roman" w:hAnsi="Times New Roman" w:cs="Times New Roman"/>
          <w:sz w:val="24"/>
          <w:szCs w:val="24"/>
        </w:rPr>
        <w:t>could</w:t>
      </w:r>
      <w:r w:rsidR="007216EA">
        <w:rPr>
          <w:rFonts w:ascii="Times New Roman" w:eastAsia="Times New Roman" w:hAnsi="Times New Roman" w:cs="Times New Roman"/>
          <w:sz w:val="24"/>
          <w:szCs w:val="24"/>
        </w:rPr>
        <w:t xml:space="preserve"> be conducted to ensure the program’s objectives </w:t>
      </w:r>
      <w:r w:rsidR="00857BC5">
        <w:rPr>
          <w:rFonts w:ascii="Times New Roman" w:eastAsia="Times New Roman" w:hAnsi="Times New Roman" w:cs="Times New Roman"/>
          <w:sz w:val="24"/>
          <w:szCs w:val="24"/>
        </w:rPr>
        <w:t>ar</w:t>
      </w:r>
      <w:r w:rsidR="007216EA">
        <w:rPr>
          <w:rFonts w:ascii="Times New Roman" w:eastAsia="Times New Roman" w:hAnsi="Times New Roman" w:cs="Times New Roman"/>
          <w:sz w:val="24"/>
          <w:szCs w:val="24"/>
        </w:rPr>
        <w:t>e met and the quality in which this occurred</w:t>
      </w:r>
      <w:r w:rsidR="00EA4C6A">
        <w:rPr>
          <w:rFonts w:ascii="Times New Roman" w:eastAsia="Times New Roman" w:hAnsi="Times New Roman" w:cs="Times New Roman"/>
          <w:sz w:val="24"/>
          <w:szCs w:val="24"/>
        </w:rPr>
        <w:t>.</w:t>
      </w:r>
      <w:r w:rsidR="007216EA">
        <w:rPr>
          <w:rFonts w:ascii="Times New Roman" w:eastAsia="Times New Roman" w:hAnsi="Times New Roman" w:cs="Times New Roman"/>
          <w:sz w:val="24"/>
          <w:szCs w:val="24"/>
        </w:rPr>
        <w:t xml:space="preserve"> </w:t>
      </w:r>
      <w:r w:rsidR="00C97411">
        <w:rPr>
          <w:rFonts w:ascii="Times New Roman" w:eastAsia="Times New Roman" w:hAnsi="Times New Roman" w:cs="Times New Roman"/>
          <w:sz w:val="24"/>
          <w:szCs w:val="24"/>
        </w:rPr>
        <w:t xml:space="preserve"> Many different types of program </w:t>
      </w:r>
      <w:r w:rsidR="008E45B4">
        <w:rPr>
          <w:rFonts w:ascii="Times New Roman" w:eastAsia="Times New Roman" w:hAnsi="Times New Roman" w:cs="Times New Roman"/>
          <w:sz w:val="24"/>
          <w:szCs w:val="24"/>
        </w:rPr>
        <w:t xml:space="preserve">monitoring and assessment sub-projects can be envisioned based on previous requests and proposals.  </w:t>
      </w:r>
      <w:r w:rsidR="0047707E" w:rsidRPr="0047707E">
        <w:rPr>
          <w:rFonts w:ascii="Times New Roman" w:eastAsia="Times New Roman" w:hAnsi="Times New Roman" w:cs="Times New Roman"/>
          <w:b/>
          <w:sz w:val="24"/>
          <w:szCs w:val="24"/>
        </w:rPr>
        <w:t xml:space="preserve">Attachment </w:t>
      </w:r>
      <w:r w:rsidR="008E45B4">
        <w:rPr>
          <w:rFonts w:ascii="Times New Roman" w:eastAsia="Times New Roman" w:hAnsi="Times New Roman" w:cs="Times New Roman"/>
          <w:b/>
          <w:sz w:val="24"/>
          <w:szCs w:val="24"/>
        </w:rPr>
        <w:t xml:space="preserve">1 </w:t>
      </w:r>
      <w:r w:rsidR="008E45B4" w:rsidRPr="008E45B4">
        <w:rPr>
          <w:rFonts w:ascii="Times New Roman" w:eastAsia="Times New Roman" w:hAnsi="Times New Roman" w:cs="Times New Roman"/>
          <w:sz w:val="24"/>
          <w:szCs w:val="24"/>
        </w:rPr>
        <w:t xml:space="preserve">includes </w:t>
      </w:r>
      <w:r w:rsidR="00385306">
        <w:rPr>
          <w:rFonts w:ascii="Times New Roman" w:eastAsia="Times New Roman" w:hAnsi="Times New Roman" w:cs="Times New Roman"/>
          <w:sz w:val="24"/>
          <w:szCs w:val="24"/>
        </w:rPr>
        <w:t xml:space="preserve">an array of </w:t>
      </w:r>
      <w:r w:rsidR="008E45B4" w:rsidRPr="008E45B4">
        <w:rPr>
          <w:rFonts w:ascii="Times New Roman" w:eastAsia="Times New Roman" w:hAnsi="Times New Roman" w:cs="Times New Roman"/>
          <w:sz w:val="24"/>
          <w:szCs w:val="24"/>
        </w:rPr>
        <w:t>examples of</w:t>
      </w:r>
      <w:r w:rsidR="000D46F3">
        <w:rPr>
          <w:rFonts w:ascii="Times New Roman" w:eastAsia="Times New Roman" w:hAnsi="Times New Roman" w:cs="Times New Roman"/>
          <w:sz w:val="24"/>
          <w:szCs w:val="24"/>
        </w:rPr>
        <w:t xml:space="preserve"> </w:t>
      </w:r>
      <w:r w:rsidR="002728F3">
        <w:rPr>
          <w:rFonts w:ascii="Times New Roman" w:eastAsia="Times New Roman" w:hAnsi="Times New Roman" w:cs="Times New Roman"/>
          <w:sz w:val="24"/>
          <w:szCs w:val="24"/>
        </w:rPr>
        <w:t xml:space="preserve">potential administrative </w:t>
      </w:r>
      <w:r w:rsidR="00385306">
        <w:rPr>
          <w:rFonts w:ascii="Times New Roman" w:eastAsia="Times New Roman" w:hAnsi="Times New Roman" w:cs="Times New Roman"/>
          <w:sz w:val="24"/>
          <w:szCs w:val="24"/>
        </w:rPr>
        <w:t>sub-projects that c</w:t>
      </w:r>
      <w:r w:rsidR="008E45B4" w:rsidRPr="008E45B4">
        <w:rPr>
          <w:rFonts w:ascii="Times New Roman" w:eastAsia="Times New Roman" w:hAnsi="Times New Roman" w:cs="Times New Roman"/>
          <w:sz w:val="24"/>
          <w:szCs w:val="24"/>
        </w:rPr>
        <w:t>ould be submitted under this generic clearance</w:t>
      </w:r>
      <w:r w:rsidR="000D46F3">
        <w:rPr>
          <w:rFonts w:ascii="Times New Roman" w:eastAsia="Times New Roman" w:hAnsi="Times New Roman" w:cs="Times New Roman"/>
          <w:sz w:val="24"/>
          <w:szCs w:val="24"/>
        </w:rPr>
        <w:t xml:space="preserve"> within the next year</w:t>
      </w:r>
      <w:r w:rsidR="00C97411" w:rsidRPr="008E45B4">
        <w:rPr>
          <w:rFonts w:ascii="Times New Roman" w:eastAsia="Times New Roman" w:hAnsi="Times New Roman" w:cs="Times New Roman"/>
          <w:sz w:val="24"/>
          <w:szCs w:val="24"/>
        </w:rPr>
        <w:t>.</w:t>
      </w:r>
      <w:r w:rsidR="005858FF">
        <w:rPr>
          <w:rFonts w:ascii="Times New Roman" w:eastAsia="Times New Roman" w:hAnsi="Times New Roman" w:cs="Times New Roman"/>
          <w:sz w:val="24"/>
          <w:szCs w:val="24"/>
        </w:rPr>
        <w:t xml:space="preserve">  </w:t>
      </w:r>
    </w:p>
    <w:p w14:paraId="4FA4E748" w14:textId="31899D08" w:rsidR="008C1231" w:rsidRDefault="005B1A38" w:rsidP="008C1231">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AF4210">
        <w:rPr>
          <w:rFonts w:ascii="Times New Roman" w:eastAsia="Times New Roman" w:hAnsi="Times New Roman" w:cs="Times New Roman"/>
          <w:sz w:val="24"/>
          <w:szCs w:val="24"/>
        </w:rPr>
        <w:t xml:space="preserve">wo </w:t>
      </w:r>
      <w:r w:rsidR="005858FF">
        <w:rPr>
          <w:rFonts w:ascii="Times New Roman" w:eastAsia="Times New Roman" w:hAnsi="Times New Roman" w:cs="Times New Roman"/>
          <w:sz w:val="24"/>
          <w:szCs w:val="24"/>
        </w:rPr>
        <w:t>sub-projects</w:t>
      </w:r>
      <w:r>
        <w:rPr>
          <w:rFonts w:ascii="Times New Roman" w:eastAsia="Times New Roman" w:hAnsi="Times New Roman" w:cs="Times New Roman"/>
          <w:sz w:val="24"/>
          <w:szCs w:val="24"/>
        </w:rPr>
        <w:t xml:space="preserve"> are </w:t>
      </w:r>
      <w:r w:rsidR="00AF4210">
        <w:rPr>
          <w:rFonts w:ascii="Times New Roman" w:eastAsia="Times New Roman" w:hAnsi="Times New Roman" w:cs="Times New Roman"/>
          <w:sz w:val="24"/>
          <w:szCs w:val="24"/>
        </w:rPr>
        <w:t xml:space="preserve">being </w:t>
      </w:r>
      <w:r>
        <w:rPr>
          <w:rFonts w:ascii="Times New Roman" w:eastAsia="Times New Roman" w:hAnsi="Times New Roman" w:cs="Times New Roman"/>
          <w:sz w:val="24"/>
          <w:szCs w:val="24"/>
        </w:rPr>
        <w:t xml:space="preserve">simultaneously </w:t>
      </w:r>
      <w:r w:rsidR="00AF4210">
        <w:rPr>
          <w:rFonts w:ascii="Times New Roman" w:eastAsia="Times New Roman" w:hAnsi="Times New Roman" w:cs="Times New Roman"/>
          <w:sz w:val="24"/>
          <w:szCs w:val="24"/>
        </w:rPr>
        <w:t>proposed w</w:t>
      </w:r>
      <w:r w:rsidR="00B92FD6">
        <w:rPr>
          <w:rFonts w:ascii="Times New Roman" w:eastAsia="Times New Roman" w:hAnsi="Times New Roman" w:cs="Times New Roman"/>
          <w:sz w:val="24"/>
          <w:szCs w:val="24"/>
        </w:rPr>
        <w:t>ithin the scope of this generic</w:t>
      </w:r>
      <w:r>
        <w:rPr>
          <w:rFonts w:ascii="Times New Roman" w:eastAsia="Times New Roman" w:hAnsi="Times New Roman" w:cs="Times New Roman"/>
          <w:sz w:val="24"/>
          <w:szCs w:val="24"/>
        </w:rPr>
        <w:t xml:space="preserve">: </w:t>
      </w:r>
    </w:p>
    <w:p w14:paraId="1621F140" w14:textId="77777777" w:rsidR="008C1231" w:rsidRDefault="005B1A38" w:rsidP="005B1A38">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survey to </w:t>
      </w:r>
      <w:r w:rsidR="00B92FD6">
        <w:rPr>
          <w:rFonts w:ascii="Times New Roman" w:eastAsia="Times New Roman" w:hAnsi="Times New Roman" w:cs="Times New Roman"/>
          <w:sz w:val="24"/>
          <w:szCs w:val="24"/>
        </w:rPr>
        <w:t xml:space="preserve">assess grantee’s outcomes after </w:t>
      </w:r>
      <w:r w:rsidR="00B92FD6" w:rsidRPr="00675D2D">
        <w:rPr>
          <w:rFonts w:ascii="Times New Roman" w:eastAsia="Times New Roman" w:hAnsi="Times New Roman" w:cs="Times New Roman"/>
          <w:sz w:val="24"/>
          <w:szCs w:val="24"/>
        </w:rPr>
        <w:t>a</w:t>
      </w:r>
      <w:r w:rsidR="00675D2D">
        <w:rPr>
          <w:rFonts w:ascii="Times New Roman" w:eastAsia="Times New Roman" w:hAnsi="Times New Roman" w:cs="Times New Roman"/>
          <w:sz w:val="24"/>
          <w:szCs w:val="24"/>
        </w:rPr>
        <w:t>n</w:t>
      </w:r>
      <w:r w:rsidR="00B92FD6" w:rsidRPr="00675D2D">
        <w:rPr>
          <w:rFonts w:ascii="Times New Roman" w:eastAsia="Times New Roman" w:hAnsi="Times New Roman" w:cs="Times New Roman"/>
          <w:sz w:val="24"/>
          <w:szCs w:val="24"/>
        </w:rPr>
        <w:t xml:space="preserve"> </w:t>
      </w:r>
      <w:r w:rsidR="00675D2D" w:rsidRPr="00675D2D">
        <w:rPr>
          <w:rFonts w:ascii="Times New Roman" w:eastAsia="Times New Roman" w:hAnsi="Times New Roman" w:cs="Times New Roman"/>
          <w:sz w:val="24"/>
          <w:szCs w:val="24"/>
        </w:rPr>
        <w:t xml:space="preserve">Innovative Molecular Analysis Technologies (IMAT) </w:t>
      </w:r>
      <w:r w:rsidR="00675D2D">
        <w:rPr>
          <w:rFonts w:ascii="Times New Roman" w:eastAsia="Times New Roman" w:hAnsi="Times New Roman" w:cs="Times New Roman"/>
          <w:sz w:val="24"/>
          <w:szCs w:val="24"/>
        </w:rPr>
        <w:t>grant</w:t>
      </w:r>
      <w:r w:rsidR="00B92FD6" w:rsidRPr="00675D2D">
        <w:rPr>
          <w:rFonts w:ascii="Times New Roman" w:eastAsia="Times New Roman" w:hAnsi="Times New Roman" w:cs="Times New Roman"/>
          <w:sz w:val="24"/>
          <w:szCs w:val="24"/>
        </w:rPr>
        <w:t xml:space="preserve"> is awarded </w:t>
      </w:r>
      <w:r w:rsidRPr="00675D2D">
        <w:rPr>
          <w:rFonts w:ascii="Times New Roman" w:eastAsia="Times New Roman" w:hAnsi="Times New Roman" w:cs="Times New Roman"/>
          <w:sz w:val="24"/>
          <w:szCs w:val="24"/>
        </w:rPr>
        <w:t>(</w:t>
      </w:r>
      <w:r w:rsidRPr="00675D2D">
        <w:rPr>
          <w:rFonts w:ascii="Times New Roman" w:eastAsia="Times New Roman" w:hAnsi="Times New Roman" w:cs="Times New Roman"/>
          <w:b/>
          <w:sz w:val="24"/>
          <w:szCs w:val="24"/>
        </w:rPr>
        <w:t>Attac</w:t>
      </w:r>
      <w:r w:rsidRPr="005B1A38">
        <w:rPr>
          <w:rFonts w:ascii="Times New Roman" w:eastAsia="Times New Roman" w:hAnsi="Times New Roman" w:cs="Times New Roman"/>
          <w:b/>
          <w:sz w:val="24"/>
          <w:szCs w:val="24"/>
        </w:rPr>
        <w:t>hments 3</w:t>
      </w:r>
      <w:r>
        <w:rPr>
          <w:rFonts w:ascii="Times New Roman" w:eastAsia="Times New Roman" w:hAnsi="Times New Roman" w:cs="Times New Roman"/>
          <w:sz w:val="24"/>
          <w:szCs w:val="24"/>
        </w:rPr>
        <w:t>)</w:t>
      </w:r>
      <w:r w:rsidR="00B92FD6">
        <w:rPr>
          <w:rFonts w:ascii="Times New Roman" w:eastAsia="Times New Roman" w:hAnsi="Times New Roman" w:cs="Times New Roman"/>
          <w:sz w:val="24"/>
          <w:szCs w:val="24"/>
        </w:rPr>
        <w:t xml:space="preserve">, and </w:t>
      </w:r>
    </w:p>
    <w:p w14:paraId="585673EA" w14:textId="2F30DD0C" w:rsidR="00B92FD6" w:rsidRDefault="005B1A38" w:rsidP="005B1A38">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gramStart"/>
      <w:r w:rsidR="00B92FD6">
        <w:rPr>
          <w:rFonts w:ascii="Times New Roman" w:eastAsia="Times New Roman" w:hAnsi="Times New Roman" w:cs="Times New Roman"/>
          <w:sz w:val="24"/>
          <w:szCs w:val="24"/>
        </w:rPr>
        <w:t>applications</w:t>
      </w:r>
      <w:proofErr w:type="gramEnd"/>
      <w:r w:rsidR="00B92FD6">
        <w:rPr>
          <w:rFonts w:ascii="Times New Roman" w:eastAsia="Times New Roman" w:hAnsi="Times New Roman" w:cs="Times New Roman"/>
          <w:sz w:val="24"/>
          <w:szCs w:val="24"/>
        </w:rPr>
        <w:t xml:space="preserve"> to enroll </w:t>
      </w:r>
      <w:r w:rsidR="00B92FD6" w:rsidRPr="00B92FD6">
        <w:rPr>
          <w:rFonts w:ascii="Times New Roman" w:eastAsia="Times New Roman" w:hAnsi="Times New Roman" w:cs="Times New Roman"/>
          <w:sz w:val="24"/>
          <w:szCs w:val="24"/>
        </w:rPr>
        <w:t>in</w:t>
      </w:r>
      <w:r w:rsidR="00675D2D">
        <w:rPr>
          <w:rFonts w:ascii="Times New Roman" w:eastAsia="Times New Roman" w:hAnsi="Times New Roman" w:cs="Times New Roman"/>
          <w:sz w:val="24"/>
          <w:szCs w:val="24"/>
        </w:rPr>
        <w:t xml:space="preserve"> two </w:t>
      </w:r>
      <w:r w:rsidR="00B92FD6" w:rsidRPr="00B92FD6">
        <w:rPr>
          <w:rFonts w:ascii="Times New Roman" w:hAnsi="Times New Roman" w:cs="Times New Roman"/>
          <w:sz w:val="24"/>
          <w:szCs w:val="24"/>
        </w:rPr>
        <w:t xml:space="preserve">Division of Cancer Epidemiology and Genetics (DCEG) training </w:t>
      </w:r>
      <w:r w:rsidR="00B92FD6">
        <w:rPr>
          <w:rFonts w:ascii="Times New Roman" w:hAnsi="Times New Roman" w:cs="Times New Roman"/>
          <w:sz w:val="24"/>
          <w:szCs w:val="24"/>
        </w:rPr>
        <w:t xml:space="preserve">programs </w:t>
      </w:r>
      <w:r>
        <w:rPr>
          <w:rFonts w:ascii="Times New Roman" w:hAnsi="Times New Roman" w:cs="Times New Roman"/>
          <w:sz w:val="24"/>
          <w:szCs w:val="24"/>
        </w:rPr>
        <w:t>(</w:t>
      </w:r>
      <w:r w:rsidRPr="005B1A38">
        <w:rPr>
          <w:rFonts w:ascii="Times New Roman" w:eastAsia="Times New Roman" w:hAnsi="Times New Roman" w:cs="Times New Roman"/>
          <w:b/>
          <w:sz w:val="24"/>
          <w:szCs w:val="24"/>
        </w:rPr>
        <w:t>Attachments 4</w:t>
      </w:r>
      <w:r>
        <w:rPr>
          <w:rFonts w:ascii="Times New Roman" w:eastAsia="Times New Roman" w:hAnsi="Times New Roman" w:cs="Times New Roman"/>
          <w:sz w:val="24"/>
          <w:szCs w:val="24"/>
        </w:rPr>
        <w:t>)</w:t>
      </w:r>
      <w:r w:rsidR="00B92FD6">
        <w:rPr>
          <w:rFonts w:ascii="Times New Roman" w:eastAsia="Times New Roman" w:hAnsi="Times New Roman" w:cs="Times New Roman"/>
          <w:sz w:val="24"/>
          <w:szCs w:val="24"/>
        </w:rPr>
        <w:t>.</w:t>
      </w:r>
    </w:p>
    <w:p w14:paraId="3F3F80BE" w14:textId="07A9CD33" w:rsidR="00014ED6" w:rsidRPr="00D34F08" w:rsidRDefault="00F46CEC" w:rsidP="00B92FD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w:t>
      </w:r>
      <w:r w:rsidR="00014ED6" w:rsidRPr="00937851">
        <w:rPr>
          <w:rFonts w:ascii="Times New Roman" w:hAnsi="Times New Roman" w:cs="Times New Roman"/>
          <w:sz w:val="24"/>
          <w:szCs w:val="24"/>
        </w:rPr>
        <w:t>eedback from NCI scientists throughout the division of extramural research indicated that sub-studies often were not done or delayed due to limitations of scope of the current generic clearances.</w:t>
      </w:r>
      <w:r w:rsidR="00D44DD4">
        <w:rPr>
          <w:rFonts w:ascii="Times New Roman" w:hAnsi="Times New Roman" w:cs="Times New Roman"/>
          <w:sz w:val="24"/>
          <w:szCs w:val="24"/>
        </w:rPr>
        <w:t xml:space="preserve"> </w:t>
      </w:r>
      <w:r w:rsidR="00014ED6" w:rsidRPr="00937851">
        <w:rPr>
          <w:rFonts w:ascii="Times New Roman" w:hAnsi="Times New Roman" w:cs="Times New Roman"/>
          <w:sz w:val="24"/>
          <w:szCs w:val="24"/>
        </w:rPr>
        <w:t xml:space="preserve"> A needs assessment</w:t>
      </w:r>
      <w:r w:rsidR="004B362F" w:rsidRPr="00937851">
        <w:rPr>
          <w:rFonts w:ascii="Times New Roman" w:hAnsi="Times New Roman" w:cs="Times New Roman"/>
          <w:sz w:val="24"/>
          <w:szCs w:val="24"/>
        </w:rPr>
        <w:t xml:space="preserve"> with current and potential PRA/OMB submitters</w:t>
      </w:r>
      <w:r w:rsidR="00014ED6" w:rsidRPr="00937851">
        <w:rPr>
          <w:rFonts w:ascii="Times New Roman" w:hAnsi="Times New Roman" w:cs="Times New Roman"/>
          <w:sz w:val="24"/>
          <w:szCs w:val="24"/>
        </w:rPr>
        <w:t xml:space="preserve"> for the </w:t>
      </w:r>
      <w:r w:rsidR="001A6E56" w:rsidRPr="00937851">
        <w:rPr>
          <w:rFonts w:ascii="Times New Roman" w:hAnsi="Times New Roman" w:cs="Times New Roman"/>
          <w:sz w:val="24"/>
          <w:szCs w:val="24"/>
        </w:rPr>
        <w:t xml:space="preserve">OMPC </w:t>
      </w:r>
      <w:r w:rsidR="00014ED6" w:rsidRPr="00937851">
        <w:rPr>
          <w:rFonts w:ascii="Times New Roman" w:hAnsi="Times New Roman" w:cs="Times New Roman"/>
          <w:sz w:val="24"/>
          <w:szCs w:val="24"/>
        </w:rPr>
        <w:t xml:space="preserve">found that small-scale studies that sought to </w:t>
      </w:r>
      <w:r w:rsidR="0067248F" w:rsidRPr="00937851">
        <w:rPr>
          <w:rFonts w:ascii="Times New Roman" w:hAnsi="Times New Roman" w:cs="Times New Roman"/>
          <w:sz w:val="24"/>
          <w:szCs w:val="24"/>
        </w:rPr>
        <w:t xml:space="preserve">assess the effectiveness of </w:t>
      </w:r>
      <w:r w:rsidR="00014ED6" w:rsidRPr="003E316D">
        <w:rPr>
          <w:rFonts w:ascii="Times New Roman" w:hAnsi="Times New Roman" w:cs="Times New Roman"/>
          <w:sz w:val="24"/>
          <w:szCs w:val="24"/>
        </w:rPr>
        <w:t xml:space="preserve">administrative processes were often abandoned due to falling outside the defined scopes of the generics, or deemed as not worth the </w:t>
      </w:r>
      <w:r w:rsidR="004B362F" w:rsidRPr="003E316D">
        <w:rPr>
          <w:rFonts w:ascii="Times New Roman" w:hAnsi="Times New Roman" w:cs="Times New Roman"/>
          <w:sz w:val="24"/>
          <w:szCs w:val="24"/>
        </w:rPr>
        <w:t xml:space="preserve">time and </w:t>
      </w:r>
      <w:r w:rsidR="00014ED6" w:rsidRPr="003E316D">
        <w:rPr>
          <w:rFonts w:ascii="Times New Roman" w:hAnsi="Times New Roman" w:cs="Times New Roman"/>
          <w:sz w:val="24"/>
          <w:szCs w:val="24"/>
        </w:rPr>
        <w:t xml:space="preserve">effort for OMB review.  In addition, </w:t>
      </w:r>
      <w:r w:rsidR="00014ED6" w:rsidRPr="00D34F08">
        <w:rPr>
          <w:rFonts w:ascii="Times New Roman" w:hAnsi="Times New Roman" w:cs="Times New Roman"/>
          <w:sz w:val="24"/>
          <w:szCs w:val="24"/>
        </w:rPr>
        <w:t xml:space="preserve">it found that </w:t>
      </w:r>
      <w:r w:rsidR="004B362F" w:rsidRPr="00D34F08">
        <w:rPr>
          <w:rFonts w:ascii="Times New Roman" w:hAnsi="Times New Roman" w:cs="Times New Roman"/>
          <w:sz w:val="24"/>
          <w:szCs w:val="24"/>
        </w:rPr>
        <w:t xml:space="preserve">some </w:t>
      </w:r>
      <w:r w:rsidR="00014ED6" w:rsidRPr="00D34F08">
        <w:rPr>
          <w:rFonts w:ascii="Times New Roman" w:hAnsi="Times New Roman" w:cs="Times New Roman"/>
          <w:sz w:val="24"/>
          <w:szCs w:val="24"/>
        </w:rPr>
        <w:t>small projects were not conducted due to the wait for a vacancy in a submission bundle in one of the generic clearances.</w:t>
      </w:r>
    </w:p>
    <w:p w14:paraId="023AC66E" w14:textId="34EEE620" w:rsidR="004D3F5B" w:rsidRDefault="008F2739" w:rsidP="00D0668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Additionally, outside influences </w:t>
      </w:r>
      <w:r w:rsidR="00BF1B35">
        <w:rPr>
          <w:rFonts w:ascii="Times New Roman" w:eastAsia="Times New Roman" w:hAnsi="Times New Roman" w:cs="Times New Roman"/>
          <w:sz w:val="24"/>
          <w:szCs w:val="24"/>
        </w:rPr>
        <w:t xml:space="preserve">support the </w:t>
      </w:r>
      <w:r>
        <w:rPr>
          <w:rFonts w:ascii="Times New Roman" w:eastAsia="Times New Roman" w:hAnsi="Times New Roman" w:cs="Times New Roman"/>
          <w:sz w:val="24"/>
          <w:szCs w:val="24"/>
        </w:rPr>
        <w:t>adopti</w:t>
      </w:r>
      <w:r w:rsidR="00BF1B35">
        <w:rPr>
          <w:rFonts w:ascii="Times New Roman" w:eastAsia="Times New Roman" w:hAnsi="Times New Roman" w:cs="Times New Roman"/>
          <w:sz w:val="24"/>
          <w:szCs w:val="24"/>
        </w:rPr>
        <w:t>on of</w:t>
      </w:r>
      <w:r>
        <w:rPr>
          <w:rFonts w:ascii="Times New Roman" w:eastAsia="Times New Roman" w:hAnsi="Times New Roman" w:cs="Times New Roman"/>
          <w:sz w:val="24"/>
          <w:szCs w:val="24"/>
        </w:rPr>
        <w:t xml:space="preserve"> </w:t>
      </w:r>
      <w:r w:rsidR="00650A10">
        <w:rPr>
          <w:rFonts w:ascii="Times New Roman" w:eastAsia="Times New Roman" w:hAnsi="Times New Roman" w:cs="Times New Roman"/>
          <w:sz w:val="24"/>
          <w:szCs w:val="24"/>
        </w:rPr>
        <w:t>performance measurement and program monitoring th</w:t>
      </w:r>
      <w:r>
        <w:rPr>
          <w:rFonts w:ascii="Times New Roman" w:eastAsia="Times New Roman" w:hAnsi="Times New Roman" w:cs="Times New Roman"/>
          <w:sz w:val="24"/>
          <w:szCs w:val="24"/>
        </w:rPr>
        <w:t xml:space="preserve">roughout </w:t>
      </w:r>
      <w:r w:rsidR="00650A10">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government. </w:t>
      </w:r>
      <w:r w:rsidR="000859D4">
        <w:rPr>
          <w:rFonts w:ascii="Times New Roman" w:eastAsia="Times New Roman" w:hAnsi="Times New Roman" w:cs="Times New Roman"/>
          <w:sz w:val="24"/>
          <w:szCs w:val="24"/>
        </w:rPr>
        <w:t>I</w:t>
      </w:r>
      <w:r w:rsidR="004D3F5B">
        <w:rPr>
          <w:rFonts w:ascii="Times New Roman" w:eastAsia="Times New Roman" w:hAnsi="Times New Roman" w:cs="Times New Roman"/>
          <w:sz w:val="24"/>
          <w:szCs w:val="24"/>
        </w:rPr>
        <w:t>n OMB Circular M-12-14 dated May 18, 2012, it is recommended that agencies have officials who are responsible for program evaluations and:</w:t>
      </w:r>
    </w:p>
    <w:p w14:paraId="23DB0F6D" w14:textId="77777777" w:rsidR="004D3F5B" w:rsidRDefault="004D3F5B" w:rsidP="004D3F5B">
      <w:pPr>
        <w:pStyle w:val="ListParagraph"/>
        <w:numPr>
          <w:ilvl w:val="0"/>
          <w:numId w:val="26"/>
        </w:numPr>
        <w:spacing w:after="0" w:line="480" w:lineRule="auto"/>
        <w:jc w:val="both"/>
        <w:rPr>
          <w:rFonts w:ascii="Times New Roman" w:eastAsia="Times New Roman" w:hAnsi="Times New Roman" w:cs="Times New Roman"/>
          <w:sz w:val="24"/>
          <w:szCs w:val="24"/>
        </w:rPr>
      </w:pPr>
      <w:r w:rsidRPr="004D3F5B">
        <w:rPr>
          <w:rFonts w:ascii="Times New Roman" w:eastAsia="Times New Roman" w:hAnsi="Times New Roman" w:cs="Times New Roman"/>
          <w:sz w:val="24"/>
          <w:szCs w:val="24"/>
        </w:rPr>
        <w:t xml:space="preserve">can develop and manage the agency’s research agenda, </w:t>
      </w:r>
    </w:p>
    <w:p w14:paraId="25EB9B8C" w14:textId="33173B2F" w:rsidR="004D3F5B" w:rsidRDefault="004D3F5B" w:rsidP="004D3F5B">
      <w:pPr>
        <w:pStyle w:val="ListParagraph"/>
        <w:numPr>
          <w:ilvl w:val="0"/>
          <w:numId w:val="26"/>
        </w:numPr>
        <w:spacing w:after="0" w:line="480" w:lineRule="auto"/>
        <w:jc w:val="both"/>
        <w:rPr>
          <w:rFonts w:ascii="Times New Roman" w:eastAsia="Times New Roman" w:hAnsi="Times New Roman" w:cs="Times New Roman"/>
          <w:sz w:val="24"/>
          <w:szCs w:val="24"/>
        </w:rPr>
      </w:pPr>
      <w:r w:rsidRPr="004D3F5B">
        <w:rPr>
          <w:rFonts w:ascii="Times New Roman" w:eastAsia="Times New Roman" w:hAnsi="Times New Roman" w:cs="Times New Roman"/>
          <w:sz w:val="24"/>
          <w:szCs w:val="24"/>
        </w:rPr>
        <w:t xml:space="preserve">provide input to program leaders on program management, and </w:t>
      </w:r>
    </w:p>
    <w:p w14:paraId="5ABB1742" w14:textId="77777777" w:rsidR="004D3F5B" w:rsidRDefault="004D3F5B" w:rsidP="004D3F5B">
      <w:pPr>
        <w:pStyle w:val="ListParagraph"/>
        <w:numPr>
          <w:ilvl w:val="0"/>
          <w:numId w:val="26"/>
        </w:numPr>
        <w:spacing w:after="0" w:line="480" w:lineRule="auto"/>
        <w:jc w:val="both"/>
        <w:rPr>
          <w:rFonts w:ascii="Times New Roman" w:eastAsia="Times New Roman" w:hAnsi="Times New Roman" w:cs="Times New Roman"/>
          <w:sz w:val="24"/>
          <w:szCs w:val="24"/>
        </w:rPr>
      </w:pPr>
      <w:proofErr w:type="gramStart"/>
      <w:r w:rsidRPr="004D3F5B">
        <w:rPr>
          <w:rFonts w:ascii="Times New Roman" w:eastAsia="Times New Roman" w:hAnsi="Times New Roman" w:cs="Times New Roman"/>
          <w:sz w:val="24"/>
          <w:szCs w:val="24"/>
        </w:rPr>
        <w:lastRenderedPageBreak/>
        <w:t>to</w:t>
      </w:r>
      <w:proofErr w:type="gramEnd"/>
      <w:r w:rsidRPr="004D3F5B">
        <w:rPr>
          <w:rFonts w:ascii="Times New Roman" w:eastAsia="Times New Roman" w:hAnsi="Times New Roman" w:cs="Times New Roman"/>
          <w:sz w:val="24"/>
          <w:szCs w:val="24"/>
        </w:rPr>
        <w:t xml:space="preserve"> refine program performance measures.</w:t>
      </w:r>
    </w:p>
    <w:p w14:paraId="7CC5C46F" w14:textId="66266711" w:rsidR="00EF0029" w:rsidRPr="00EF0029" w:rsidRDefault="00EF0029" w:rsidP="00293A72">
      <w:pPr>
        <w:spacing w:after="0" w:line="480" w:lineRule="auto"/>
        <w:ind w:firstLine="720"/>
        <w:jc w:val="both"/>
        <w:rPr>
          <w:rFonts w:ascii="Times New Roman" w:eastAsia="Times New Roman" w:hAnsi="Times New Roman" w:cs="Times New Roman"/>
          <w:sz w:val="24"/>
          <w:szCs w:val="24"/>
        </w:rPr>
      </w:pPr>
      <w:r w:rsidRPr="00293A72">
        <w:rPr>
          <w:rFonts w:ascii="Times New Roman" w:hAnsi="Times New Roman" w:cs="Times New Roman"/>
          <w:color w:val="000000" w:themeColor="text1"/>
          <w:sz w:val="24"/>
          <w:szCs w:val="24"/>
        </w:rPr>
        <w:t>Therefore, the OMPC seeks</w:t>
      </w:r>
      <w:r w:rsidR="009F33A1">
        <w:rPr>
          <w:rFonts w:ascii="Times New Roman" w:hAnsi="Times New Roman" w:cs="Times New Roman"/>
          <w:sz w:val="24"/>
          <w:szCs w:val="24"/>
        </w:rPr>
        <w:t xml:space="preserve"> to create a</w:t>
      </w:r>
      <w:r w:rsidR="00A4472E">
        <w:rPr>
          <w:rFonts w:ascii="Times New Roman" w:hAnsi="Times New Roman" w:cs="Times New Roman"/>
          <w:sz w:val="24"/>
          <w:szCs w:val="24"/>
        </w:rPr>
        <w:t xml:space="preserve"> </w:t>
      </w:r>
      <w:r w:rsidRPr="00EF0029">
        <w:rPr>
          <w:rFonts w:ascii="Times New Roman" w:hAnsi="Times New Roman" w:cs="Times New Roman"/>
          <w:sz w:val="24"/>
          <w:szCs w:val="24"/>
        </w:rPr>
        <w:t xml:space="preserve">generic clearance to collect administrative and program-related information to fulfill NCI’s needs providing a mechanism for projects that fall outside the scope of the current generic clearances.  </w:t>
      </w:r>
      <w:r w:rsidRPr="00EF0029">
        <w:rPr>
          <w:rFonts w:ascii="Times New Roman" w:eastAsia="Times New Roman" w:hAnsi="Times New Roman" w:cs="Times New Roman"/>
          <w:sz w:val="24"/>
          <w:szCs w:val="24"/>
        </w:rPr>
        <w:t>The information collections under this generic clearance will be conducted by NCI administrators to ensure that division, office, and center objectives are met.  Additionally, the sub-projects under this generic clearance will conform to the criteria determined by the Office of Management and Budget which states that g</w:t>
      </w:r>
      <w:r w:rsidRPr="00EF0029">
        <w:rPr>
          <w:rFonts w:ascii="Times New Roman" w:hAnsi="Times New Roman" w:cs="Times New Roman"/>
          <w:sz w:val="24"/>
          <w:szCs w:val="24"/>
        </w:rPr>
        <w:t xml:space="preserve">eneric clearances are “considered only when the agency is able to demonstrate that there is a need for multiple, similar collections, but that the specifics of each collection cannot be determined until shortly before the data are to be collected.” </w:t>
      </w:r>
      <w:r w:rsidRPr="00EF0029">
        <w:rPr>
          <w:rFonts w:ascii="Times New Roman" w:eastAsia="Times New Roman" w:hAnsi="Times New Roman" w:cs="Times New Roman"/>
          <w:sz w:val="24"/>
          <w:szCs w:val="24"/>
        </w:rPr>
        <w:t>Further</w:t>
      </w:r>
      <w:r w:rsidR="00A4472E">
        <w:rPr>
          <w:rFonts w:ascii="Times New Roman" w:eastAsia="Times New Roman" w:hAnsi="Times New Roman" w:cs="Times New Roman"/>
          <w:sz w:val="24"/>
          <w:szCs w:val="24"/>
        </w:rPr>
        <w:t>more</w:t>
      </w:r>
      <w:r w:rsidRPr="00EF0029">
        <w:rPr>
          <w:rFonts w:ascii="Times New Roman" w:eastAsia="Times New Roman" w:hAnsi="Times New Roman" w:cs="Times New Roman"/>
          <w:sz w:val="24"/>
          <w:szCs w:val="24"/>
        </w:rPr>
        <w:t xml:space="preserve">, </w:t>
      </w:r>
      <w:r w:rsidR="00A4472E">
        <w:rPr>
          <w:rFonts w:ascii="Times New Roman" w:eastAsia="Times New Roman" w:hAnsi="Times New Roman" w:cs="Times New Roman"/>
          <w:sz w:val="24"/>
          <w:szCs w:val="24"/>
        </w:rPr>
        <w:t>proposed</w:t>
      </w:r>
      <w:r w:rsidRPr="00EF0029">
        <w:rPr>
          <w:rFonts w:ascii="Times New Roman" w:eastAsia="Times New Roman" w:hAnsi="Times New Roman" w:cs="Times New Roman"/>
          <w:sz w:val="24"/>
          <w:szCs w:val="24"/>
        </w:rPr>
        <w:t xml:space="preserve"> projects will be low </w:t>
      </w:r>
      <w:r w:rsidR="009F33A1">
        <w:rPr>
          <w:rFonts w:ascii="Times New Roman" w:eastAsia="Times New Roman" w:hAnsi="Times New Roman" w:cs="Times New Roman"/>
          <w:sz w:val="24"/>
          <w:szCs w:val="24"/>
        </w:rPr>
        <w:t xml:space="preserve">in total </w:t>
      </w:r>
      <w:r w:rsidRPr="00EF0029">
        <w:rPr>
          <w:rFonts w:ascii="Times New Roman" w:eastAsia="Times New Roman" w:hAnsi="Times New Roman" w:cs="Times New Roman"/>
          <w:sz w:val="24"/>
          <w:szCs w:val="24"/>
        </w:rPr>
        <w:t>burden</w:t>
      </w:r>
      <w:r w:rsidR="009F33A1">
        <w:rPr>
          <w:rFonts w:ascii="Times New Roman" w:eastAsia="Times New Roman" w:hAnsi="Times New Roman" w:cs="Times New Roman"/>
          <w:sz w:val="24"/>
          <w:szCs w:val="24"/>
        </w:rPr>
        <w:t xml:space="preserve"> hour</w:t>
      </w:r>
      <w:r w:rsidRPr="00EF0029">
        <w:rPr>
          <w:rFonts w:ascii="Times New Roman" w:eastAsia="Times New Roman" w:hAnsi="Times New Roman" w:cs="Times New Roman"/>
          <w:sz w:val="24"/>
          <w:szCs w:val="24"/>
        </w:rPr>
        <w:t>s, non-controversial in nature, and are not performed with the intent to provide information for a report to Congress or influence</w:t>
      </w:r>
      <w:r>
        <w:rPr>
          <w:rStyle w:val="FootnoteReference"/>
          <w:rFonts w:ascii="Times New Roman" w:eastAsia="Times New Roman" w:hAnsi="Times New Roman" w:cs="Times New Roman"/>
          <w:sz w:val="24"/>
          <w:szCs w:val="24"/>
        </w:rPr>
        <w:footnoteReference w:id="2"/>
      </w:r>
      <w:r w:rsidRPr="00EF0029">
        <w:rPr>
          <w:rFonts w:ascii="Times New Roman" w:eastAsia="Times New Roman" w:hAnsi="Times New Roman" w:cs="Times New Roman"/>
          <w:sz w:val="24"/>
          <w:szCs w:val="24"/>
        </w:rPr>
        <w:t xml:space="preserve"> policy decisions.  </w:t>
      </w:r>
    </w:p>
    <w:p w14:paraId="4A0DD195" w14:textId="77777777" w:rsidR="00630E74" w:rsidRPr="002873FB" w:rsidRDefault="00630E74" w:rsidP="00630E74">
      <w:pPr>
        <w:spacing w:after="0" w:line="480" w:lineRule="auto"/>
        <w:jc w:val="both"/>
        <w:rPr>
          <w:rFonts w:ascii="Times New Roman" w:eastAsia="Times New Roman" w:hAnsi="Times New Roman" w:cs="Times New Roman"/>
          <w:b/>
          <w:color w:val="4D4D4D"/>
          <w:sz w:val="24"/>
          <w:szCs w:val="24"/>
          <w:u w:val="single"/>
        </w:rPr>
      </w:pPr>
      <w:r w:rsidRPr="002873FB">
        <w:rPr>
          <w:rFonts w:ascii="Times New Roman" w:eastAsia="Times New Roman" w:hAnsi="Times New Roman" w:cs="Times New Roman"/>
          <w:b/>
          <w:color w:val="000000" w:themeColor="text1"/>
          <w:sz w:val="24"/>
          <w:szCs w:val="24"/>
          <w:u w:val="single"/>
        </w:rPr>
        <w:t>A2.  Purpose</w:t>
      </w:r>
      <w:r w:rsidRPr="00870022">
        <w:rPr>
          <w:rFonts w:ascii="Times New Roman" w:eastAsia="Times New Roman" w:hAnsi="Times New Roman" w:cs="Times New Roman"/>
          <w:b/>
          <w:sz w:val="24"/>
          <w:szCs w:val="24"/>
          <w:u w:val="single"/>
        </w:rPr>
        <w:t xml:space="preserve"> and Use of the</w:t>
      </w:r>
      <w:r w:rsidRPr="00870022">
        <w:rPr>
          <w:rFonts w:ascii="Times New Roman" w:eastAsia="Times New Roman" w:hAnsi="Times New Roman" w:cs="Times New Roman"/>
          <w:b/>
          <w:color w:val="4D4D4D"/>
          <w:sz w:val="24"/>
          <w:szCs w:val="24"/>
          <w:u w:val="single"/>
        </w:rPr>
        <w:t xml:space="preserve"> </w:t>
      </w:r>
      <w:r w:rsidRPr="00870022">
        <w:rPr>
          <w:rFonts w:ascii="Times New Roman" w:eastAsia="Times New Roman" w:hAnsi="Times New Roman" w:cs="Times New Roman"/>
          <w:b/>
          <w:sz w:val="24"/>
          <w:szCs w:val="24"/>
          <w:u w:val="single"/>
        </w:rPr>
        <w:t>Information</w:t>
      </w:r>
    </w:p>
    <w:p w14:paraId="0F2E1354" w14:textId="19CAA518" w:rsidR="00E05BE6" w:rsidRDefault="00EE519E" w:rsidP="004D3F5B">
      <w:pPr>
        <w:spacing w:after="0" w:line="480" w:lineRule="auto"/>
        <w:ind w:firstLine="720"/>
        <w:rPr>
          <w:rFonts w:ascii="Times New Roman" w:eastAsia="Times New Roman" w:hAnsi="Times New Roman" w:cs="Times New Roman"/>
          <w:sz w:val="24"/>
          <w:szCs w:val="24"/>
        </w:rPr>
      </w:pPr>
      <w:r w:rsidRPr="00787CF6">
        <w:rPr>
          <w:rFonts w:ascii="Times New Roman" w:hAnsi="Times New Roman" w:cs="Times New Roman"/>
          <w:sz w:val="24"/>
          <w:szCs w:val="24"/>
        </w:rPr>
        <w:t xml:space="preserve">Administrative submissions are defined as information collections </w:t>
      </w:r>
      <w:r>
        <w:rPr>
          <w:rFonts w:ascii="Times New Roman" w:hAnsi="Times New Roman" w:cs="Times New Roman"/>
          <w:sz w:val="24"/>
          <w:szCs w:val="24"/>
        </w:rPr>
        <w:t xml:space="preserve">(ICs) </w:t>
      </w:r>
      <w:r w:rsidRPr="00787CF6">
        <w:rPr>
          <w:rFonts w:ascii="Times New Roman" w:hAnsi="Times New Roman" w:cs="Times New Roman"/>
          <w:sz w:val="24"/>
          <w:szCs w:val="24"/>
        </w:rPr>
        <w:t xml:space="preserve">wherein </w:t>
      </w:r>
      <w:r>
        <w:rPr>
          <w:rFonts w:ascii="Times New Roman" w:hAnsi="Times New Roman" w:cs="Times New Roman"/>
          <w:sz w:val="24"/>
          <w:szCs w:val="24"/>
        </w:rPr>
        <w:t xml:space="preserve">the </w:t>
      </w:r>
      <w:r w:rsidRPr="00787CF6">
        <w:rPr>
          <w:rFonts w:ascii="Times New Roman" w:hAnsi="Times New Roman" w:cs="Times New Roman"/>
          <w:sz w:val="24"/>
          <w:szCs w:val="24"/>
        </w:rPr>
        <w:t xml:space="preserve">primary content is </w:t>
      </w:r>
      <w:r>
        <w:rPr>
          <w:rFonts w:ascii="Times New Roman" w:hAnsi="Times New Roman" w:cs="Times New Roman"/>
          <w:sz w:val="24"/>
          <w:szCs w:val="24"/>
        </w:rPr>
        <w:t>used for administrative purposes (e.g., an application) or to monitor</w:t>
      </w:r>
      <w:r w:rsidR="0071049A">
        <w:rPr>
          <w:rFonts w:ascii="Times New Roman" w:hAnsi="Times New Roman" w:cs="Times New Roman"/>
          <w:sz w:val="24"/>
          <w:szCs w:val="24"/>
        </w:rPr>
        <w:t>, measure, assess</w:t>
      </w:r>
      <w:r>
        <w:rPr>
          <w:rFonts w:ascii="Times New Roman" w:hAnsi="Times New Roman" w:cs="Times New Roman"/>
          <w:sz w:val="24"/>
          <w:szCs w:val="24"/>
        </w:rPr>
        <w:t xml:space="preserve"> or improve a program.  Some ICs</w:t>
      </w:r>
      <w:r w:rsidRPr="00787CF6">
        <w:rPr>
          <w:rFonts w:ascii="Times New Roman" w:hAnsi="Times New Roman" w:cs="Times New Roman"/>
          <w:sz w:val="24"/>
          <w:szCs w:val="24"/>
        </w:rPr>
        <w:t xml:space="preserve"> </w:t>
      </w:r>
      <w:r>
        <w:rPr>
          <w:rFonts w:ascii="Times New Roman" w:hAnsi="Times New Roman" w:cs="Times New Roman"/>
          <w:sz w:val="24"/>
          <w:szCs w:val="24"/>
        </w:rPr>
        <w:t xml:space="preserve">are </w:t>
      </w:r>
      <w:r w:rsidRPr="00787CF6">
        <w:rPr>
          <w:rFonts w:ascii="Times New Roman" w:hAnsi="Times New Roman" w:cs="Times New Roman"/>
          <w:sz w:val="24"/>
          <w:szCs w:val="24"/>
        </w:rPr>
        <w:t>forms used to source and aggregate contact information, history, preferences, opinions, and/or other data that does not necessitate further inquiry</w:t>
      </w:r>
      <w:r>
        <w:rPr>
          <w:rFonts w:ascii="Times New Roman" w:hAnsi="Times New Roman" w:cs="Times New Roman"/>
          <w:sz w:val="24"/>
          <w:szCs w:val="24"/>
        </w:rPr>
        <w:t xml:space="preserve"> but allow the respondents to maintain contact, indicate preferences, and respond to data calls of information </w:t>
      </w:r>
      <w:r w:rsidRPr="00E05BE6">
        <w:rPr>
          <w:rFonts w:ascii="Times New Roman" w:hAnsi="Times New Roman" w:cs="Times New Roman"/>
          <w:sz w:val="24"/>
          <w:szCs w:val="24"/>
        </w:rPr>
        <w:t xml:space="preserve">that has not already been collected.  Other ICs may be program-related requests for the purpose of monitoring, improving or assessing the effectiveness of the program.  </w:t>
      </w:r>
      <w:r w:rsidRPr="00F24D80">
        <w:rPr>
          <w:rFonts w:ascii="Times New Roman" w:eastAsia="Times New Roman" w:hAnsi="Times New Roman" w:cs="Times New Roman"/>
          <w:sz w:val="24"/>
          <w:szCs w:val="24"/>
        </w:rPr>
        <w:t xml:space="preserve">Information collections that are part of </w:t>
      </w:r>
      <w:r w:rsidR="0071049A">
        <w:rPr>
          <w:rFonts w:ascii="Times New Roman" w:eastAsia="Times New Roman" w:hAnsi="Times New Roman" w:cs="Times New Roman"/>
          <w:sz w:val="24"/>
          <w:szCs w:val="24"/>
        </w:rPr>
        <w:t>this generic clearance</w:t>
      </w:r>
      <w:r w:rsidRPr="00F24D80">
        <w:rPr>
          <w:rFonts w:ascii="Times New Roman" w:eastAsia="Times New Roman" w:hAnsi="Times New Roman" w:cs="Times New Roman"/>
          <w:sz w:val="24"/>
          <w:szCs w:val="24"/>
        </w:rPr>
        <w:t xml:space="preserve"> would be contextual based, not </w:t>
      </w:r>
      <w:r w:rsidRPr="00F24D80">
        <w:rPr>
          <w:rFonts w:ascii="Times New Roman" w:eastAsia="Times New Roman" w:hAnsi="Times New Roman" w:cs="Times New Roman"/>
          <w:sz w:val="24"/>
          <w:szCs w:val="24"/>
        </w:rPr>
        <w:lastRenderedPageBreak/>
        <w:t xml:space="preserve">generalizable, and the information would be used internally, to make decisions about on-going monitoring or improving a part of the program, or the program as a whole.  </w:t>
      </w:r>
    </w:p>
    <w:p w14:paraId="75A83AF4" w14:textId="7F901270" w:rsidR="00E05BE6" w:rsidRPr="00F24D80" w:rsidRDefault="006009C4" w:rsidP="00F24D80">
      <w:pPr>
        <w:spacing w:after="0" w:line="480" w:lineRule="auto"/>
        <w:ind w:firstLine="720"/>
        <w:rPr>
          <w:rFonts w:ascii="Times New Roman" w:hAnsi="Times New Roman" w:cs="Times New Roman"/>
          <w:sz w:val="24"/>
          <w:szCs w:val="24"/>
        </w:rPr>
      </w:pPr>
      <w:r>
        <w:rPr>
          <w:rFonts w:ascii="Times New Roman" w:eastAsia="Times New Roman" w:hAnsi="Times New Roman" w:cs="Times New Roman"/>
          <w:sz w:val="24"/>
          <w:szCs w:val="24"/>
        </w:rPr>
        <w:t xml:space="preserve">Recommendations and management support may include </w:t>
      </w:r>
      <w:r w:rsidR="00F26FB6">
        <w:rPr>
          <w:rFonts w:ascii="Times New Roman" w:eastAsia="Times New Roman" w:hAnsi="Times New Roman" w:cs="Times New Roman"/>
          <w:sz w:val="24"/>
          <w:szCs w:val="24"/>
        </w:rPr>
        <w:t xml:space="preserve">assessing </w:t>
      </w:r>
      <w:r>
        <w:rPr>
          <w:rFonts w:ascii="Times New Roman" w:eastAsia="Times New Roman" w:hAnsi="Times New Roman" w:cs="Times New Roman"/>
          <w:sz w:val="24"/>
          <w:szCs w:val="24"/>
        </w:rPr>
        <w:t xml:space="preserve">a program prior to starting a program, mid-way through, or at the conclusion of a program.  </w:t>
      </w:r>
      <w:r w:rsidR="00E05BE6" w:rsidRPr="00F24D80">
        <w:rPr>
          <w:rFonts w:ascii="Times New Roman" w:hAnsi="Times New Roman" w:cs="Times New Roman"/>
          <w:sz w:val="24"/>
          <w:szCs w:val="24"/>
        </w:rPr>
        <w:t xml:space="preserve">A </w:t>
      </w:r>
      <w:r w:rsidR="00F26FB6">
        <w:rPr>
          <w:rFonts w:ascii="Times New Roman" w:hAnsi="Times New Roman" w:cs="Times New Roman"/>
          <w:sz w:val="24"/>
          <w:szCs w:val="24"/>
        </w:rPr>
        <w:t>generic sub-project may include a</w:t>
      </w:r>
      <w:r w:rsidR="00E05BE6" w:rsidRPr="00F24D80">
        <w:rPr>
          <w:rFonts w:ascii="Times New Roman" w:hAnsi="Times New Roman" w:cs="Times New Roman"/>
          <w:sz w:val="24"/>
          <w:szCs w:val="24"/>
        </w:rPr>
        <w:t xml:space="preserve"> s</w:t>
      </w:r>
      <w:r w:rsidR="00F26FB6">
        <w:rPr>
          <w:rFonts w:ascii="Times New Roman" w:hAnsi="Times New Roman" w:cs="Times New Roman"/>
          <w:sz w:val="24"/>
          <w:szCs w:val="24"/>
        </w:rPr>
        <w:t>ystematic and objective inquiry</w:t>
      </w:r>
      <w:r w:rsidR="00E05BE6" w:rsidRPr="00F24D80">
        <w:rPr>
          <w:rFonts w:ascii="Times New Roman" w:hAnsi="Times New Roman" w:cs="Times New Roman"/>
          <w:sz w:val="24"/>
          <w:szCs w:val="24"/>
        </w:rPr>
        <w:t xml:space="preserve"> </w:t>
      </w:r>
      <w:r w:rsidR="00F26FB6">
        <w:rPr>
          <w:rFonts w:ascii="Times New Roman" w:hAnsi="Times New Roman" w:cs="Times New Roman"/>
          <w:sz w:val="24"/>
          <w:szCs w:val="24"/>
        </w:rPr>
        <w:t>that</w:t>
      </w:r>
      <w:r w:rsidR="00E05BE6" w:rsidRPr="00F24D80">
        <w:rPr>
          <w:rFonts w:ascii="Times New Roman" w:hAnsi="Times New Roman" w:cs="Times New Roman"/>
          <w:sz w:val="24"/>
          <w:szCs w:val="24"/>
        </w:rPr>
        <w:t xml:space="preserve"> results in recommendations </w:t>
      </w:r>
      <w:r w:rsidR="00BF1E76">
        <w:rPr>
          <w:rFonts w:ascii="Times New Roman" w:hAnsi="Times New Roman" w:cs="Times New Roman"/>
          <w:sz w:val="24"/>
          <w:szCs w:val="24"/>
        </w:rPr>
        <w:t xml:space="preserve">to improve, continue, or terminate either parts or a full </w:t>
      </w:r>
      <w:r w:rsidR="00E05BE6" w:rsidRPr="00F24D80">
        <w:rPr>
          <w:rFonts w:ascii="Times New Roman" w:hAnsi="Times New Roman" w:cs="Times New Roman"/>
          <w:sz w:val="24"/>
          <w:szCs w:val="24"/>
        </w:rPr>
        <w:t>program.</w:t>
      </w:r>
      <w:r w:rsidR="00EA4C6A">
        <w:rPr>
          <w:rFonts w:ascii="Times New Roman" w:hAnsi="Times New Roman" w:cs="Times New Roman"/>
          <w:sz w:val="24"/>
          <w:szCs w:val="24"/>
        </w:rPr>
        <w:t xml:space="preserve">  </w:t>
      </w:r>
      <w:r w:rsidR="00BF1E76">
        <w:rPr>
          <w:rFonts w:ascii="Times New Roman" w:hAnsi="Times New Roman" w:cs="Times New Roman"/>
          <w:sz w:val="24"/>
          <w:szCs w:val="24"/>
        </w:rPr>
        <w:t>Sub-projects may be formative and feasibility projects in which parts of a program, or a pre-testing of a full program, is used for program monitoring or performance measurement.</w:t>
      </w:r>
    </w:p>
    <w:p w14:paraId="51EAA0BF" w14:textId="0D1B737F" w:rsidR="00B229F2" w:rsidRDefault="001A6E56" w:rsidP="000D4880">
      <w:pPr>
        <w:spacing w:after="0" w:line="480" w:lineRule="auto"/>
        <w:ind w:firstLine="720"/>
        <w:jc w:val="both"/>
        <w:rPr>
          <w:rFonts w:ascii="Times New Roman" w:eastAsia="Times New Roman" w:hAnsi="Times New Roman" w:cs="Times New Roman"/>
          <w:sz w:val="24"/>
          <w:szCs w:val="24"/>
        </w:rPr>
      </w:pPr>
      <w:r w:rsidRPr="00F24D80">
        <w:rPr>
          <w:rFonts w:ascii="Times New Roman" w:eastAsia="Times New Roman" w:hAnsi="Times New Roman" w:cs="Times New Roman"/>
          <w:sz w:val="24"/>
          <w:szCs w:val="24"/>
        </w:rPr>
        <w:t xml:space="preserve">Examples of the types of information collections </w:t>
      </w:r>
      <w:r w:rsidR="007F18E8" w:rsidRPr="00F24D80">
        <w:rPr>
          <w:rFonts w:ascii="Times New Roman" w:eastAsia="Times New Roman" w:hAnsi="Times New Roman" w:cs="Times New Roman"/>
          <w:sz w:val="24"/>
          <w:szCs w:val="24"/>
        </w:rPr>
        <w:t xml:space="preserve">that could be </w:t>
      </w:r>
      <w:r w:rsidRPr="00F24D80">
        <w:rPr>
          <w:rFonts w:ascii="Times New Roman" w:eastAsia="Times New Roman" w:hAnsi="Times New Roman" w:cs="Times New Roman"/>
          <w:sz w:val="24"/>
          <w:szCs w:val="24"/>
        </w:rPr>
        <w:t>included under</w:t>
      </w:r>
      <w:r w:rsidRPr="00D34F08">
        <w:rPr>
          <w:rFonts w:ascii="Times New Roman" w:eastAsia="Times New Roman" w:hAnsi="Times New Roman" w:cs="Times New Roman"/>
          <w:sz w:val="24"/>
          <w:szCs w:val="24"/>
        </w:rPr>
        <w:t xml:space="preserve"> this generic clearance include: compiling mailing list</w:t>
      </w:r>
      <w:r w:rsidR="007F18E8">
        <w:rPr>
          <w:rFonts w:ascii="Times New Roman" w:eastAsia="Times New Roman" w:hAnsi="Times New Roman" w:cs="Times New Roman"/>
          <w:sz w:val="24"/>
          <w:szCs w:val="24"/>
        </w:rPr>
        <w:t xml:space="preserve"> for respondents to</w:t>
      </w:r>
      <w:r w:rsidRPr="00D34F08">
        <w:rPr>
          <w:rFonts w:ascii="Times New Roman" w:eastAsia="Times New Roman" w:hAnsi="Times New Roman" w:cs="Times New Roman"/>
          <w:sz w:val="24"/>
          <w:szCs w:val="24"/>
        </w:rPr>
        <w:t xml:space="preserve"> receive information from NCI </w:t>
      </w:r>
      <w:r w:rsidR="007F18E8">
        <w:rPr>
          <w:rFonts w:ascii="Times New Roman" w:eastAsia="Times New Roman" w:hAnsi="Times New Roman" w:cs="Times New Roman"/>
          <w:sz w:val="24"/>
          <w:szCs w:val="24"/>
        </w:rPr>
        <w:t>based on their preferences/interests</w:t>
      </w:r>
      <w:r w:rsidRPr="00D34F08">
        <w:rPr>
          <w:rFonts w:ascii="Times New Roman" w:eastAsia="Times New Roman" w:hAnsi="Times New Roman" w:cs="Times New Roman"/>
          <w:sz w:val="24"/>
          <w:szCs w:val="24"/>
        </w:rPr>
        <w:t>;</w:t>
      </w:r>
      <w:r w:rsidR="007F18E8">
        <w:rPr>
          <w:rFonts w:ascii="Times New Roman" w:eastAsia="Times New Roman" w:hAnsi="Times New Roman" w:cs="Times New Roman"/>
          <w:sz w:val="24"/>
          <w:szCs w:val="24"/>
        </w:rPr>
        <w:t xml:space="preserve"> collecting demographic information of website users to a particular website so that the website can be tailored to meet their needs and demographic; </w:t>
      </w:r>
      <w:r w:rsidRPr="00D34F08">
        <w:rPr>
          <w:rFonts w:ascii="Times New Roman" w:eastAsia="Times New Roman" w:hAnsi="Times New Roman" w:cs="Times New Roman"/>
          <w:sz w:val="24"/>
          <w:szCs w:val="24"/>
        </w:rPr>
        <w:t xml:space="preserve">and collecting information from grantees or contractors which may include </w:t>
      </w:r>
      <w:r w:rsidR="007F18E8">
        <w:rPr>
          <w:rFonts w:ascii="Times New Roman" w:eastAsia="Times New Roman" w:hAnsi="Times New Roman" w:cs="Times New Roman"/>
          <w:sz w:val="24"/>
          <w:szCs w:val="24"/>
        </w:rPr>
        <w:t>questions used to</w:t>
      </w:r>
      <w:r w:rsidRPr="00D34F08">
        <w:rPr>
          <w:rFonts w:ascii="Times New Roman" w:eastAsia="Times New Roman" w:hAnsi="Times New Roman" w:cs="Times New Roman"/>
          <w:sz w:val="24"/>
          <w:szCs w:val="24"/>
        </w:rPr>
        <w:t xml:space="preserve"> monitor their progress</w:t>
      </w:r>
      <w:r w:rsidR="007F18E8">
        <w:rPr>
          <w:rFonts w:ascii="Times New Roman" w:eastAsia="Times New Roman" w:hAnsi="Times New Roman" w:cs="Times New Roman"/>
          <w:sz w:val="24"/>
          <w:szCs w:val="24"/>
        </w:rPr>
        <w:t>, self-report their scientific advances,</w:t>
      </w:r>
      <w:r w:rsidRPr="00D34F08">
        <w:rPr>
          <w:rFonts w:ascii="Times New Roman" w:eastAsia="Times New Roman" w:hAnsi="Times New Roman" w:cs="Times New Roman"/>
          <w:sz w:val="24"/>
          <w:szCs w:val="24"/>
        </w:rPr>
        <w:t xml:space="preserve"> or information required by a federal policy or program.</w:t>
      </w:r>
      <w:r w:rsidR="00A73098" w:rsidRPr="00D34F08">
        <w:rPr>
          <w:rFonts w:ascii="Times New Roman" w:eastAsia="Times New Roman" w:hAnsi="Times New Roman" w:cs="Times New Roman"/>
          <w:sz w:val="24"/>
          <w:szCs w:val="24"/>
        </w:rPr>
        <w:t xml:space="preserve"> </w:t>
      </w:r>
      <w:r w:rsidR="00E51FDA">
        <w:rPr>
          <w:rFonts w:ascii="Times New Roman" w:eastAsia="Times New Roman" w:hAnsi="Times New Roman" w:cs="Times New Roman"/>
          <w:sz w:val="24"/>
          <w:szCs w:val="24"/>
        </w:rPr>
        <w:t>The sub-</w:t>
      </w:r>
      <w:r w:rsidR="00F24D80">
        <w:rPr>
          <w:rFonts w:ascii="Times New Roman" w:eastAsia="Times New Roman" w:hAnsi="Times New Roman" w:cs="Times New Roman"/>
          <w:sz w:val="24"/>
          <w:szCs w:val="24"/>
        </w:rPr>
        <w:t>project</w:t>
      </w:r>
      <w:r w:rsidR="00E51FDA">
        <w:rPr>
          <w:rFonts w:ascii="Times New Roman" w:eastAsia="Times New Roman" w:hAnsi="Times New Roman" w:cs="Times New Roman"/>
          <w:sz w:val="24"/>
          <w:szCs w:val="24"/>
        </w:rPr>
        <w:t xml:space="preserve">s that involve monitoring grantees progress will provide information that will help to understand how investigators use the resources provided by the program and form collaborative relationships.  </w:t>
      </w:r>
      <w:r w:rsidR="002B624E">
        <w:rPr>
          <w:rFonts w:ascii="Times New Roman" w:eastAsia="Times New Roman" w:hAnsi="Times New Roman" w:cs="Times New Roman"/>
          <w:sz w:val="24"/>
          <w:szCs w:val="24"/>
        </w:rPr>
        <w:t xml:space="preserve">This information can be used to improve the use of resources in the future and to help the program office to create methods to more effectively encourage collaboration between awardees. The promotion of successful collaborative relationships is particularly important for multi-disciplinary research programs. </w:t>
      </w:r>
      <w:r w:rsidR="00E51FDA">
        <w:rPr>
          <w:rFonts w:ascii="Times New Roman" w:eastAsia="Times New Roman" w:hAnsi="Times New Roman" w:cs="Times New Roman"/>
          <w:sz w:val="24"/>
          <w:szCs w:val="24"/>
        </w:rPr>
        <w:t xml:space="preserve">  </w:t>
      </w:r>
      <w:r w:rsidR="00F24D80">
        <w:rPr>
          <w:rFonts w:ascii="Times New Roman" w:eastAsia="Times New Roman" w:hAnsi="Times New Roman" w:cs="Times New Roman"/>
          <w:sz w:val="24"/>
          <w:szCs w:val="24"/>
        </w:rPr>
        <w:t>Similar i</w:t>
      </w:r>
      <w:r w:rsidR="008E0349">
        <w:rPr>
          <w:rFonts w:ascii="Times New Roman" w:eastAsia="Times New Roman" w:hAnsi="Times New Roman" w:cs="Times New Roman"/>
          <w:sz w:val="24"/>
          <w:szCs w:val="24"/>
        </w:rPr>
        <w:t xml:space="preserve">nformation </w:t>
      </w:r>
      <w:r w:rsidR="00F24D80">
        <w:rPr>
          <w:rFonts w:ascii="Times New Roman" w:eastAsia="Times New Roman" w:hAnsi="Times New Roman" w:cs="Times New Roman"/>
          <w:sz w:val="24"/>
          <w:szCs w:val="24"/>
        </w:rPr>
        <w:t>may be</w:t>
      </w:r>
      <w:r w:rsidR="003C1FF1">
        <w:rPr>
          <w:rFonts w:ascii="Times New Roman" w:eastAsia="Times New Roman" w:hAnsi="Times New Roman" w:cs="Times New Roman"/>
          <w:sz w:val="24"/>
          <w:szCs w:val="24"/>
        </w:rPr>
        <w:t xml:space="preserve"> collected in a</w:t>
      </w:r>
      <w:r w:rsidR="008E0349">
        <w:rPr>
          <w:rFonts w:ascii="Times New Roman" w:eastAsia="Times New Roman" w:hAnsi="Times New Roman" w:cs="Times New Roman"/>
          <w:sz w:val="24"/>
          <w:szCs w:val="24"/>
        </w:rPr>
        <w:t xml:space="preserve"> </w:t>
      </w:r>
      <w:r w:rsidR="003C1FF1">
        <w:rPr>
          <w:rFonts w:ascii="Times New Roman" w:eastAsia="Times New Roman" w:hAnsi="Times New Roman" w:cs="Times New Roman"/>
          <w:sz w:val="24"/>
          <w:szCs w:val="24"/>
        </w:rPr>
        <w:t>program assess</w:t>
      </w:r>
      <w:r w:rsidR="00AF38CF">
        <w:rPr>
          <w:rFonts w:ascii="Times New Roman" w:eastAsia="Times New Roman" w:hAnsi="Times New Roman" w:cs="Times New Roman"/>
          <w:sz w:val="24"/>
          <w:szCs w:val="24"/>
        </w:rPr>
        <w:t>ment to target the most e</w:t>
      </w:r>
      <w:r w:rsidR="003C1FF1">
        <w:rPr>
          <w:rFonts w:ascii="Times New Roman" w:eastAsia="Times New Roman" w:hAnsi="Times New Roman" w:cs="Times New Roman"/>
          <w:sz w:val="24"/>
          <w:szCs w:val="24"/>
        </w:rPr>
        <w:t>ffective</w:t>
      </w:r>
      <w:r w:rsidR="00AF38CF">
        <w:rPr>
          <w:rFonts w:ascii="Times New Roman" w:eastAsia="Times New Roman" w:hAnsi="Times New Roman" w:cs="Times New Roman"/>
          <w:sz w:val="24"/>
          <w:szCs w:val="24"/>
        </w:rPr>
        <w:t xml:space="preserve"> and efficient use of </w:t>
      </w:r>
      <w:r w:rsidR="003C1FF1">
        <w:rPr>
          <w:rFonts w:ascii="Times New Roman" w:eastAsia="Times New Roman" w:hAnsi="Times New Roman" w:cs="Times New Roman"/>
          <w:sz w:val="24"/>
          <w:szCs w:val="24"/>
        </w:rPr>
        <w:t>program</w:t>
      </w:r>
      <w:r w:rsidR="00AF38CF">
        <w:rPr>
          <w:rFonts w:ascii="Times New Roman" w:eastAsia="Times New Roman" w:hAnsi="Times New Roman" w:cs="Times New Roman"/>
          <w:sz w:val="24"/>
          <w:szCs w:val="24"/>
        </w:rPr>
        <w:t xml:space="preserve"> </w:t>
      </w:r>
      <w:r w:rsidR="003C1FF1">
        <w:rPr>
          <w:rFonts w:ascii="Times New Roman" w:eastAsia="Times New Roman" w:hAnsi="Times New Roman" w:cs="Times New Roman"/>
          <w:sz w:val="24"/>
          <w:szCs w:val="24"/>
        </w:rPr>
        <w:t xml:space="preserve">resources.  </w:t>
      </w:r>
      <w:r w:rsidR="008E0349">
        <w:rPr>
          <w:rFonts w:ascii="Times New Roman" w:eastAsia="Times New Roman" w:hAnsi="Times New Roman" w:cs="Times New Roman"/>
          <w:sz w:val="24"/>
          <w:szCs w:val="24"/>
        </w:rPr>
        <w:t xml:space="preserve"> </w:t>
      </w:r>
    </w:p>
    <w:p w14:paraId="31258DD6" w14:textId="4D231042" w:rsidR="004D3F5B" w:rsidRDefault="004D3F5B" w:rsidP="004D3F5B">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information included in administrative progress reports can also be used for performance </w:t>
      </w:r>
      <w:r w:rsidR="006C00DB">
        <w:rPr>
          <w:rFonts w:ascii="Times New Roman" w:eastAsia="Times New Roman" w:hAnsi="Times New Roman" w:cs="Times New Roman"/>
          <w:sz w:val="24"/>
          <w:szCs w:val="24"/>
        </w:rPr>
        <w:t>measurement</w:t>
      </w:r>
      <w:r>
        <w:rPr>
          <w:rFonts w:ascii="Times New Roman" w:eastAsia="Times New Roman" w:hAnsi="Times New Roman" w:cs="Times New Roman"/>
          <w:sz w:val="24"/>
          <w:szCs w:val="24"/>
        </w:rPr>
        <w:t xml:space="preserve"> and program </w:t>
      </w:r>
      <w:r w:rsidR="006E43D0">
        <w:rPr>
          <w:rFonts w:ascii="Times New Roman" w:eastAsia="Times New Roman" w:hAnsi="Times New Roman" w:cs="Times New Roman"/>
          <w:sz w:val="24"/>
          <w:szCs w:val="24"/>
        </w:rPr>
        <w:t>monitoring</w:t>
      </w:r>
      <w:r>
        <w:rPr>
          <w:rFonts w:ascii="Times New Roman" w:eastAsia="Times New Roman" w:hAnsi="Times New Roman" w:cs="Times New Roman"/>
          <w:sz w:val="24"/>
          <w:szCs w:val="24"/>
        </w:rPr>
        <w:t xml:space="preserve">.  Specifically, the administrative information being gathered will be used to monitor the progress of grants and or contracts.  An example may be a supplemental request to previously approved forms such as the Research Performance Progress Report (RRPR) (OMB#0925-0002).  Other sub-projects may request the information in a more program specific format.  This information is necessary to ensure that funding recipients are on track to reach program goals and that the requirements and intent of the Request for Application/Funding Opportunity Announcement are being met.  Evidence of failure to meet program goals may be used by program staff to initiate discussions with investigators regarding ways to adjust their collaboration or research plans to improve their ability to meet program goals.  Frequent reporting creates multiple opportunities for adjustments to prevent serious shortcomings.  It also provides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opportunity for investigators to learn from </w:t>
      </w:r>
      <w:proofErr w:type="spellStart"/>
      <w:r>
        <w:rPr>
          <w:rFonts w:ascii="Times New Roman" w:eastAsia="Times New Roman" w:hAnsi="Times New Roman" w:cs="Times New Roman"/>
          <w:sz w:val="24"/>
          <w:szCs w:val="24"/>
        </w:rPr>
        <w:t>each others</w:t>
      </w:r>
      <w:proofErr w:type="spellEnd"/>
      <w:r>
        <w:rPr>
          <w:rFonts w:ascii="Times New Roman" w:eastAsia="Times New Roman" w:hAnsi="Times New Roman" w:cs="Times New Roman"/>
          <w:sz w:val="24"/>
          <w:szCs w:val="24"/>
        </w:rPr>
        <w:t xml:space="preserve"> experiences.  An excellent performance by awardees is used to identify areas that could benefit from shared activities and inform best practices. </w:t>
      </w:r>
    </w:p>
    <w:p w14:paraId="08BF2B67" w14:textId="7A433BC2" w:rsidR="008537E0" w:rsidRPr="007A3B9A" w:rsidRDefault="00A73098" w:rsidP="000D4880">
      <w:pPr>
        <w:spacing w:after="0" w:line="480" w:lineRule="auto"/>
        <w:ind w:firstLine="720"/>
        <w:jc w:val="both"/>
        <w:rPr>
          <w:rFonts w:ascii="Times New Roman" w:hAnsi="Times New Roman" w:cs="Times New Roman"/>
          <w:sz w:val="24"/>
          <w:szCs w:val="24"/>
        </w:rPr>
      </w:pPr>
      <w:r w:rsidRPr="00D34F08">
        <w:rPr>
          <w:rFonts w:ascii="Times New Roman" w:eastAsia="Times New Roman" w:hAnsi="Times New Roman" w:cs="Times New Roman"/>
          <w:sz w:val="24"/>
          <w:szCs w:val="24"/>
        </w:rPr>
        <w:t xml:space="preserve">In summary, these </w:t>
      </w:r>
      <w:r w:rsidR="00407744">
        <w:rPr>
          <w:rFonts w:ascii="Times New Roman" w:eastAsia="Times New Roman" w:hAnsi="Times New Roman" w:cs="Times New Roman"/>
          <w:sz w:val="24"/>
          <w:szCs w:val="24"/>
        </w:rPr>
        <w:t>a</w:t>
      </w:r>
      <w:r w:rsidRPr="00D34F08">
        <w:rPr>
          <w:rFonts w:ascii="Times New Roman" w:eastAsia="Times New Roman" w:hAnsi="Times New Roman" w:cs="Times New Roman"/>
          <w:sz w:val="24"/>
          <w:szCs w:val="24"/>
        </w:rPr>
        <w:t xml:space="preserve">re </w:t>
      </w:r>
      <w:r w:rsidR="008C2B31" w:rsidRPr="00D34F08">
        <w:rPr>
          <w:rFonts w:ascii="Times New Roman" w:eastAsia="Times New Roman" w:hAnsi="Times New Roman" w:cs="Times New Roman"/>
          <w:sz w:val="24"/>
          <w:szCs w:val="24"/>
        </w:rPr>
        <w:t xml:space="preserve">forms and applications </w:t>
      </w:r>
      <w:r w:rsidR="00841927">
        <w:rPr>
          <w:rFonts w:ascii="Times New Roman" w:eastAsia="Times New Roman" w:hAnsi="Times New Roman" w:cs="Times New Roman"/>
          <w:sz w:val="24"/>
          <w:szCs w:val="24"/>
        </w:rPr>
        <w:t xml:space="preserve">that allow NCI </w:t>
      </w:r>
      <w:r w:rsidRPr="00D34F08">
        <w:rPr>
          <w:rFonts w:ascii="Times New Roman" w:eastAsia="Times New Roman" w:hAnsi="Times New Roman" w:cs="Times New Roman"/>
          <w:sz w:val="24"/>
          <w:szCs w:val="24"/>
        </w:rPr>
        <w:t xml:space="preserve">to obtain results in </w:t>
      </w:r>
      <w:r w:rsidR="00267D10" w:rsidRPr="00D34F08">
        <w:rPr>
          <w:rFonts w:ascii="Times New Roman" w:eastAsia="Times New Roman" w:hAnsi="Times New Roman" w:cs="Times New Roman"/>
          <w:sz w:val="24"/>
          <w:szCs w:val="24"/>
        </w:rPr>
        <w:t xml:space="preserve">a rapid fashion to guide </w:t>
      </w:r>
      <w:r w:rsidR="0018775F" w:rsidRPr="00D34F08">
        <w:rPr>
          <w:rFonts w:ascii="Times New Roman" w:eastAsia="Times New Roman" w:hAnsi="Times New Roman" w:cs="Times New Roman"/>
          <w:sz w:val="24"/>
          <w:szCs w:val="24"/>
        </w:rPr>
        <w:t xml:space="preserve">development or implementation of </w:t>
      </w:r>
      <w:r w:rsidRPr="00D34F08">
        <w:rPr>
          <w:rFonts w:ascii="Times New Roman" w:eastAsia="Times New Roman" w:hAnsi="Times New Roman" w:cs="Times New Roman"/>
          <w:sz w:val="24"/>
          <w:szCs w:val="24"/>
        </w:rPr>
        <w:t>larger projects</w:t>
      </w:r>
      <w:r w:rsidR="0018775F" w:rsidRPr="00D34F08">
        <w:rPr>
          <w:rFonts w:ascii="Times New Roman" w:eastAsia="Times New Roman" w:hAnsi="Times New Roman" w:cs="Times New Roman"/>
          <w:sz w:val="24"/>
          <w:szCs w:val="24"/>
        </w:rPr>
        <w:t>,</w:t>
      </w:r>
      <w:r w:rsidRPr="00D34F08">
        <w:rPr>
          <w:rFonts w:ascii="Times New Roman" w:eastAsia="Times New Roman" w:hAnsi="Times New Roman" w:cs="Times New Roman"/>
          <w:sz w:val="24"/>
          <w:szCs w:val="24"/>
        </w:rPr>
        <w:t xml:space="preserve"> </w:t>
      </w:r>
      <w:r w:rsidR="0018775F" w:rsidRPr="00D34F08">
        <w:rPr>
          <w:rFonts w:ascii="Times New Roman" w:eastAsia="Times New Roman" w:hAnsi="Times New Roman" w:cs="Times New Roman"/>
          <w:sz w:val="24"/>
          <w:szCs w:val="24"/>
        </w:rPr>
        <w:t xml:space="preserve">inform </w:t>
      </w:r>
      <w:r w:rsidRPr="00D34F08">
        <w:rPr>
          <w:rFonts w:ascii="Times New Roman" w:eastAsia="Times New Roman" w:hAnsi="Times New Roman" w:cs="Times New Roman"/>
          <w:sz w:val="24"/>
          <w:szCs w:val="24"/>
        </w:rPr>
        <w:t>program direction</w:t>
      </w:r>
      <w:r w:rsidR="008C2B31" w:rsidRPr="00D34F08">
        <w:rPr>
          <w:rFonts w:ascii="Times New Roman" w:eastAsia="Times New Roman" w:hAnsi="Times New Roman" w:cs="Times New Roman"/>
          <w:sz w:val="24"/>
          <w:szCs w:val="24"/>
        </w:rPr>
        <w:t>, provide administrative functions</w:t>
      </w:r>
      <w:r w:rsidR="00F24D80">
        <w:rPr>
          <w:rFonts w:ascii="Times New Roman" w:eastAsia="Times New Roman" w:hAnsi="Times New Roman" w:cs="Times New Roman"/>
          <w:sz w:val="24"/>
          <w:szCs w:val="24"/>
        </w:rPr>
        <w:t xml:space="preserve">, </w:t>
      </w:r>
      <w:r w:rsidR="00407744">
        <w:rPr>
          <w:rFonts w:ascii="Times New Roman" w:eastAsia="Times New Roman" w:hAnsi="Times New Roman" w:cs="Times New Roman"/>
          <w:sz w:val="24"/>
          <w:szCs w:val="24"/>
        </w:rPr>
        <w:t>and</w:t>
      </w:r>
      <w:r w:rsidR="00F24D80">
        <w:rPr>
          <w:rFonts w:ascii="Times New Roman" w:eastAsia="Times New Roman" w:hAnsi="Times New Roman" w:cs="Times New Roman"/>
          <w:sz w:val="24"/>
          <w:szCs w:val="24"/>
        </w:rPr>
        <w:t xml:space="preserve"> to be used internally for program management purposes</w:t>
      </w:r>
      <w:r w:rsidRPr="00D34F08">
        <w:rPr>
          <w:rFonts w:ascii="Times New Roman" w:eastAsia="Times New Roman" w:hAnsi="Times New Roman" w:cs="Times New Roman"/>
          <w:sz w:val="24"/>
          <w:szCs w:val="24"/>
        </w:rPr>
        <w:t>.</w:t>
      </w:r>
      <w:r w:rsidR="00547578" w:rsidRPr="00D34F08">
        <w:rPr>
          <w:rFonts w:ascii="Times New Roman" w:eastAsia="Times New Roman" w:hAnsi="Times New Roman" w:cs="Times New Roman"/>
          <w:sz w:val="24"/>
          <w:szCs w:val="24"/>
        </w:rPr>
        <w:t xml:space="preserve">  This generic will not include </w:t>
      </w:r>
      <w:r w:rsidR="00D73369">
        <w:rPr>
          <w:rFonts w:ascii="Times New Roman" w:eastAsia="Times New Roman" w:hAnsi="Times New Roman" w:cs="Times New Roman"/>
          <w:sz w:val="24"/>
          <w:szCs w:val="24"/>
        </w:rPr>
        <w:t xml:space="preserve">outcome </w:t>
      </w:r>
      <w:r w:rsidR="00547578" w:rsidRPr="00D34F08">
        <w:rPr>
          <w:rFonts w:ascii="Times New Roman" w:eastAsia="Times New Roman" w:hAnsi="Times New Roman" w:cs="Times New Roman"/>
          <w:sz w:val="24"/>
          <w:szCs w:val="24"/>
        </w:rPr>
        <w:t xml:space="preserve">program evaluations that </w:t>
      </w:r>
      <w:r w:rsidR="00D73369">
        <w:rPr>
          <w:rFonts w:ascii="Times New Roman" w:eastAsia="Times New Roman" w:hAnsi="Times New Roman" w:cs="Times New Roman"/>
          <w:sz w:val="24"/>
          <w:szCs w:val="24"/>
        </w:rPr>
        <w:t xml:space="preserve">may </w:t>
      </w:r>
      <w:r w:rsidR="00627141">
        <w:rPr>
          <w:rFonts w:ascii="Times New Roman" w:eastAsia="Times New Roman" w:hAnsi="Times New Roman" w:cs="Times New Roman"/>
          <w:sz w:val="24"/>
          <w:szCs w:val="24"/>
        </w:rPr>
        <w:t>use inferential statistics for analysis</w:t>
      </w:r>
      <w:r w:rsidR="00D73369">
        <w:rPr>
          <w:rFonts w:ascii="Times New Roman" w:eastAsia="Times New Roman" w:hAnsi="Times New Roman" w:cs="Times New Roman"/>
          <w:sz w:val="24"/>
          <w:szCs w:val="24"/>
        </w:rPr>
        <w:t xml:space="preserve"> and i</w:t>
      </w:r>
      <w:r w:rsidR="00246BD6">
        <w:rPr>
          <w:rFonts w:ascii="Times New Roman" w:eastAsia="Times New Roman" w:hAnsi="Times New Roman" w:cs="Times New Roman"/>
          <w:sz w:val="24"/>
          <w:szCs w:val="24"/>
        </w:rPr>
        <w:t>nclude randomized control trials</w:t>
      </w:r>
      <w:r w:rsidR="00D73369">
        <w:rPr>
          <w:rFonts w:ascii="Times New Roman" w:eastAsia="Times New Roman" w:hAnsi="Times New Roman" w:cs="Times New Roman"/>
          <w:sz w:val="24"/>
          <w:szCs w:val="24"/>
        </w:rPr>
        <w:t xml:space="preserve">.  Additionally, any proposal to conduct a program evaluation that </w:t>
      </w:r>
      <w:r w:rsidR="00547578" w:rsidRPr="00D34F08">
        <w:rPr>
          <w:rFonts w:ascii="Times New Roman" w:eastAsia="Times New Roman" w:hAnsi="Times New Roman" w:cs="Times New Roman"/>
          <w:sz w:val="24"/>
          <w:szCs w:val="24"/>
        </w:rPr>
        <w:t>will affect public policy</w:t>
      </w:r>
      <w:r w:rsidR="009A2E5A">
        <w:rPr>
          <w:rFonts w:ascii="Times New Roman" w:eastAsia="Times New Roman" w:hAnsi="Times New Roman" w:cs="Times New Roman"/>
          <w:sz w:val="24"/>
          <w:szCs w:val="24"/>
        </w:rPr>
        <w:t xml:space="preserve"> or guide major funding decisions</w:t>
      </w:r>
      <w:r w:rsidR="008B17C2">
        <w:rPr>
          <w:rFonts w:ascii="Times New Roman" w:eastAsia="Times New Roman" w:hAnsi="Times New Roman" w:cs="Times New Roman"/>
          <w:sz w:val="24"/>
          <w:szCs w:val="24"/>
        </w:rPr>
        <w:t xml:space="preserve"> will be submitted as a full submission, rather than a sub-project</w:t>
      </w:r>
      <w:r w:rsidR="00547578" w:rsidRPr="00D34F08">
        <w:rPr>
          <w:rFonts w:ascii="Times New Roman" w:eastAsia="Times New Roman" w:hAnsi="Times New Roman" w:cs="Times New Roman"/>
          <w:sz w:val="24"/>
          <w:szCs w:val="24"/>
        </w:rPr>
        <w:t xml:space="preserve">. </w:t>
      </w:r>
      <w:r w:rsidR="00D73369">
        <w:rPr>
          <w:rFonts w:ascii="Times New Roman" w:eastAsia="Times New Roman" w:hAnsi="Times New Roman" w:cs="Times New Roman"/>
          <w:sz w:val="24"/>
          <w:szCs w:val="24"/>
        </w:rPr>
        <w:t xml:space="preserve"> </w:t>
      </w:r>
    </w:p>
    <w:p w14:paraId="075A033E" w14:textId="77777777" w:rsidR="008C1231" w:rsidRDefault="008C1231" w:rsidP="007A3B9A">
      <w:pPr>
        <w:spacing w:after="0" w:line="480" w:lineRule="auto"/>
        <w:jc w:val="both"/>
        <w:rPr>
          <w:rFonts w:ascii="Times New Roman" w:hAnsi="Times New Roman" w:cs="Times New Roman"/>
          <w:b/>
          <w:noProof/>
          <w:sz w:val="24"/>
          <w:szCs w:val="24"/>
          <w:u w:val="single"/>
        </w:rPr>
      </w:pPr>
    </w:p>
    <w:p w14:paraId="233B1201" w14:textId="77777777" w:rsidR="008C1231" w:rsidRDefault="008C1231" w:rsidP="007A3B9A">
      <w:pPr>
        <w:spacing w:after="0" w:line="480" w:lineRule="auto"/>
        <w:jc w:val="both"/>
        <w:rPr>
          <w:rFonts w:ascii="Times New Roman" w:hAnsi="Times New Roman" w:cs="Times New Roman"/>
          <w:b/>
          <w:noProof/>
          <w:sz w:val="24"/>
          <w:szCs w:val="24"/>
          <w:u w:val="single"/>
        </w:rPr>
      </w:pPr>
    </w:p>
    <w:p w14:paraId="28F0CE09" w14:textId="77777777" w:rsidR="00AA5B9C" w:rsidRPr="007A3B9A" w:rsidRDefault="00E72DFB" w:rsidP="007A3B9A">
      <w:pPr>
        <w:spacing w:after="0" w:line="480" w:lineRule="auto"/>
        <w:jc w:val="both"/>
        <w:rPr>
          <w:rFonts w:ascii="Times New Roman" w:hAnsi="Times New Roman" w:cs="Times New Roman"/>
          <w:b/>
          <w:noProof/>
          <w:sz w:val="24"/>
          <w:szCs w:val="24"/>
          <w:u w:val="single"/>
        </w:rPr>
      </w:pPr>
      <w:r w:rsidRPr="007A3B9A">
        <w:rPr>
          <w:rFonts w:ascii="Times New Roman" w:hAnsi="Times New Roman" w:cs="Times New Roman"/>
          <w:b/>
          <w:noProof/>
          <w:sz w:val="24"/>
          <w:szCs w:val="24"/>
          <w:u w:val="single"/>
        </w:rPr>
        <w:lastRenderedPageBreak/>
        <w:t>A.3. Use of Improved Information Technology and Burden Reduction</w:t>
      </w:r>
    </w:p>
    <w:p w14:paraId="391CEAEA" w14:textId="77777777" w:rsidR="005B5A16" w:rsidRDefault="00B272C4" w:rsidP="007A3B9A">
      <w:pPr>
        <w:spacing w:after="0" w:line="480" w:lineRule="auto"/>
        <w:ind w:firstLine="720"/>
        <w:jc w:val="both"/>
        <w:rPr>
          <w:rFonts w:ascii="Times New Roman" w:hAnsi="Times New Roman" w:cs="Times New Roman"/>
          <w:sz w:val="24"/>
          <w:szCs w:val="24"/>
        </w:rPr>
      </w:pPr>
      <w:r w:rsidRPr="00D34F08">
        <w:rPr>
          <w:rFonts w:ascii="Times New Roman" w:hAnsi="Times New Roman" w:cs="Times New Roman"/>
          <w:sz w:val="24"/>
          <w:szCs w:val="24"/>
        </w:rPr>
        <w:t>To enable NCI to meet their ob</w:t>
      </w:r>
      <w:r w:rsidR="0001640A" w:rsidRPr="00D34F08">
        <w:rPr>
          <w:rFonts w:ascii="Times New Roman" w:hAnsi="Times New Roman" w:cs="Times New Roman"/>
          <w:sz w:val="24"/>
          <w:szCs w:val="24"/>
        </w:rPr>
        <w:t>jectives</w:t>
      </w:r>
      <w:r w:rsidR="00ED571C">
        <w:rPr>
          <w:rFonts w:ascii="Times New Roman" w:hAnsi="Times New Roman" w:cs="Times New Roman"/>
          <w:sz w:val="24"/>
          <w:szCs w:val="24"/>
        </w:rPr>
        <w:t xml:space="preserve">, </w:t>
      </w:r>
      <w:r w:rsidR="0001640A" w:rsidRPr="00D34F08">
        <w:rPr>
          <w:rFonts w:ascii="Times New Roman" w:hAnsi="Times New Roman" w:cs="Times New Roman"/>
          <w:sz w:val="24"/>
          <w:szCs w:val="24"/>
        </w:rPr>
        <w:t>forms and applications related to program and administrative operations and policy compliance</w:t>
      </w:r>
      <w:r w:rsidR="00014ED6" w:rsidRPr="00D34F08">
        <w:rPr>
          <w:rFonts w:ascii="Times New Roman" w:hAnsi="Times New Roman" w:cs="Times New Roman"/>
          <w:sz w:val="24"/>
          <w:szCs w:val="24"/>
        </w:rPr>
        <w:t xml:space="preserve"> must keep up with rapidly evolving </w:t>
      </w:r>
      <w:r w:rsidR="00014ED6" w:rsidRPr="006C7DC2">
        <w:rPr>
          <w:rFonts w:ascii="Times New Roman" w:hAnsi="Times New Roman" w:cs="Times New Roman"/>
          <w:sz w:val="24"/>
          <w:szCs w:val="24"/>
        </w:rPr>
        <w:t>t</w:t>
      </w:r>
      <w:r w:rsidR="002D09E7" w:rsidRPr="006C7DC2">
        <w:rPr>
          <w:rFonts w:ascii="Times New Roman" w:hAnsi="Times New Roman" w:cs="Times New Roman"/>
          <w:sz w:val="24"/>
          <w:szCs w:val="24"/>
        </w:rPr>
        <w:t>echnologic trends and advances</w:t>
      </w:r>
      <w:r w:rsidR="00AD3119" w:rsidRPr="006C7DC2">
        <w:rPr>
          <w:rFonts w:ascii="Times New Roman" w:hAnsi="Times New Roman" w:cs="Times New Roman"/>
          <w:sz w:val="24"/>
          <w:szCs w:val="24"/>
        </w:rPr>
        <w:t xml:space="preserve">, as well as uses in the marketplaces of </w:t>
      </w:r>
      <w:r w:rsidR="0001640A" w:rsidRPr="006C7DC2">
        <w:rPr>
          <w:rFonts w:ascii="Times New Roman" w:hAnsi="Times New Roman" w:cs="Times New Roman"/>
          <w:sz w:val="24"/>
          <w:szCs w:val="24"/>
        </w:rPr>
        <w:t xml:space="preserve">research investigators and </w:t>
      </w:r>
      <w:r w:rsidR="00AD3119" w:rsidRPr="006C7DC2">
        <w:rPr>
          <w:rFonts w:ascii="Times New Roman" w:hAnsi="Times New Roman" w:cs="Times New Roman"/>
          <w:sz w:val="24"/>
          <w:szCs w:val="24"/>
        </w:rPr>
        <w:t>health care professionals.  The use of electronic data collection</w:t>
      </w:r>
      <w:r w:rsidR="00DB6572" w:rsidRPr="006C7DC2">
        <w:rPr>
          <w:rFonts w:ascii="Times New Roman" w:hAnsi="Times New Roman" w:cs="Times New Roman"/>
          <w:sz w:val="24"/>
          <w:szCs w:val="24"/>
        </w:rPr>
        <w:t xml:space="preserve"> forms, such as computer-assisted telephone interview (CATI), computer-assisted personal interview (CAPI) and audio and computer-assisted self-interview (ACASI), and online</w:t>
      </w:r>
      <w:r w:rsidR="006C7DC2">
        <w:rPr>
          <w:rFonts w:ascii="Times New Roman" w:hAnsi="Times New Roman" w:cs="Times New Roman"/>
          <w:sz w:val="24"/>
          <w:szCs w:val="24"/>
        </w:rPr>
        <w:t>/web forms</w:t>
      </w:r>
      <w:r w:rsidR="00DB6572" w:rsidRPr="006C7DC2">
        <w:rPr>
          <w:rFonts w:ascii="Times New Roman" w:hAnsi="Times New Roman" w:cs="Times New Roman"/>
          <w:sz w:val="24"/>
          <w:szCs w:val="24"/>
        </w:rPr>
        <w:t xml:space="preserve">, </w:t>
      </w:r>
      <w:r w:rsidR="00AD3119" w:rsidRPr="006C7DC2">
        <w:rPr>
          <w:rFonts w:ascii="Times New Roman" w:hAnsi="Times New Roman" w:cs="Times New Roman"/>
          <w:sz w:val="24"/>
          <w:szCs w:val="24"/>
        </w:rPr>
        <w:t xml:space="preserve">permits efficient data collection and avoids the need for hard copies, stamps, </w:t>
      </w:r>
      <w:r w:rsidR="005B5A16">
        <w:rPr>
          <w:rFonts w:ascii="Times New Roman" w:hAnsi="Times New Roman" w:cs="Times New Roman"/>
          <w:sz w:val="24"/>
          <w:szCs w:val="24"/>
        </w:rPr>
        <w:t>and</w:t>
      </w:r>
      <w:r w:rsidR="00AD3119" w:rsidRPr="006C7DC2">
        <w:rPr>
          <w:rFonts w:ascii="Times New Roman" w:hAnsi="Times New Roman" w:cs="Times New Roman"/>
          <w:sz w:val="24"/>
          <w:szCs w:val="24"/>
        </w:rPr>
        <w:t xml:space="preserve"> travel.</w:t>
      </w:r>
      <w:r w:rsidR="004C71ED" w:rsidRPr="006C7DC2">
        <w:rPr>
          <w:rFonts w:ascii="Times New Roman" w:hAnsi="Times New Roman" w:cs="Times New Roman"/>
          <w:sz w:val="24"/>
          <w:szCs w:val="24"/>
        </w:rPr>
        <w:t xml:space="preserve">  </w:t>
      </w:r>
      <w:r w:rsidR="006C7DC2">
        <w:rPr>
          <w:rFonts w:ascii="Times New Roman" w:hAnsi="Times New Roman" w:cs="Times New Roman"/>
          <w:sz w:val="24"/>
          <w:szCs w:val="24"/>
        </w:rPr>
        <w:t>When at all possible, technology will be employed to minimize the burden on the respondents.</w:t>
      </w:r>
      <w:r w:rsidR="004222A0">
        <w:rPr>
          <w:rFonts w:ascii="Times New Roman" w:hAnsi="Times New Roman" w:cs="Times New Roman"/>
          <w:sz w:val="24"/>
          <w:szCs w:val="24"/>
        </w:rPr>
        <w:t xml:space="preserve">  </w:t>
      </w:r>
    </w:p>
    <w:p w14:paraId="256CDCF7" w14:textId="77777777" w:rsidR="00F34B7C" w:rsidRPr="003E316D" w:rsidRDefault="005B5A16" w:rsidP="007A3B9A">
      <w:pPr>
        <w:spacing w:after="0"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A</w:t>
      </w:r>
      <w:r w:rsidR="004222A0">
        <w:rPr>
          <w:rFonts w:ascii="Times New Roman" w:hAnsi="Times New Roman" w:cs="Times New Roman"/>
          <w:sz w:val="24"/>
          <w:szCs w:val="24"/>
        </w:rPr>
        <w:t>ll sub-</w:t>
      </w:r>
      <w:r w:rsidR="00456F8D">
        <w:rPr>
          <w:rFonts w:ascii="Times New Roman" w:hAnsi="Times New Roman" w:cs="Times New Roman"/>
          <w:sz w:val="24"/>
          <w:szCs w:val="24"/>
        </w:rPr>
        <w:t>projects</w:t>
      </w:r>
      <w:r w:rsidR="004222A0">
        <w:rPr>
          <w:rFonts w:ascii="Times New Roman" w:hAnsi="Times New Roman" w:cs="Times New Roman"/>
          <w:sz w:val="24"/>
          <w:szCs w:val="24"/>
        </w:rPr>
        <w:t xml:space="preserve"> will be </w:t>
      </w:r>
      <w:r w:rsidR="00821E7A">
        <w:rPr>
          <w:rFonts w:ascii="Times New Roman" w:hAnsi="Times New Roman" w:cs="Times New Roman"/>
          <w:sz w:val="24"/>
          <w:szCs w:val="24"/>
        </w:rPr>
        <w:t xml:space="preserve">referred and </w:t>
      </w:r>
      <w:r w:rsidR="004222A0">
        <w:rPr>
          <w:rFonts w:ascii="Times New Roman" w:hAnsi="Times New Roman" w:cs="Times New Roman"/>
          <w:sz w:val="24"/>
          <w:szCs w:val="24"/>
        </w:rPr>
        <w:t>assessed for a Privacy Impact Assessment (PIA) by the NCI Privacy Act Coordinator.</w:t>
      </w:r>
      <w:r w:rsidR="00821E7A">
        <w:rPr>
          <w:rFonts w:ascii="Times New Roman" w:hAnsi="Times New Roman" w:cs="Times New Roman"/>
          <w:sz w:val="24"/>
          <w:szCs w:val="24"/>
        </w:rPr>
        <w:t xml:space="preserve">  If it is determined a PIA is needed, the program staff with work with the NCI Privacy Act Coordinator to draft and publish a PIA</w:t>
      </w:r>
      <w:r w:rsidR="00456F8D">
        <w:rPr>
          <w:rFonts w:ascii="Times New Roman" w:hAnsi="Times New Roman" w:cs="Times New Roman"/>
          <w:sz w:val="24"/>
          <w:szCs w:val="24"/>
        </w:rPr>
        <w:t xml:space="preserve"> to ensure the privacy and security of the data</w:t>
      </w:r>
      <w:r w:rsidR="00821E7A">
        <w:rPr>
          <w:rFonts w:ascii="Times New Roman" w:hAnsi="Times New Roman" w:cs="Times New Roman"/>
          <w:sz w:val="24"/>
          <w:szCs w:val="24"/>
        </w:rPr>
        <w:t>.</w:t>
      </w:r>
    </w:p>
    <w:p w14:paraId="5C65ADEB" w14:textId="77777777" w:rsidR="00F34B7C" w:rsidRPr="003E316D" w:rsidRDefault="00F34B7C" w:rsidP="003E316D">
      <w:pPr>
        <w:spacing w:after="0" w:line="480" w:lineRule="auto"/>
        <w:jc w:val="both"/>
        <w:rPr>
          <w:rFonts w:ascii="Times New Roman" w:hAnsi="Times New Roman" w:cs="Times New Roman"/>
          <w:b/>
          <w:noProof/>
          <w:sz w:val="24"/>
          <w:szCs w:val="24"/>
          <w:u w:val="single"/>
        </w:rPr>
      </w:pPr>
      <w:r w:rsidRPr="003E316D">
        <w:rPr>
          <w:rFonts w:ascii="Times New Roman" w:hAnsi="Times New Roman" w:cs="Times New Roman"/>
          <w:b/>
          <w:noProof/>
          <w:sz w:val="24"/>
          <w:szCs w:val="24"/>
          <w:u w:val="single"/>
        </w:rPr>
        <w:t>A4.  Efforts to Identify Duplication and Use of Similar Information</w:t>
      </w:r>
    </w:p>
    <w:p w14:paraId="43CE076F" w14:textId="77777777" w:rsidR="003E3230" w:rsidRDefault="003E3230" w:rsidP="003E3230">
      <w:pPr>
        <w:spacing w:after="0" w:line="480" w:lineRule="auto"/>
        <w:ind w:firstLine="720"/>
        <w:jc w:val="both"/>
        <w:rPr>
          <w:rFonts w:ascii="Times New Roman" w:hAnsi="Times New Roman" w:cs="Times New Roman"/>
          <w:sz w:val="24"/>
          <w:szCs w:val="24"/>
        </w:rPr>
      </w:pPr>
      <w:r w:rsidRPr="002873FB">
        <w:rPr>
          <w:rFonts w:ascii="Times New Roman" w:hAnsi="Times New Roman" w:cs="Times New Roman"/>
          <w:sz w:val="24"/>
          <w:szCs w:val="24"/>
        </w:rPr>
        <w:t xml:space="preserve">Currently, there are </w:t>
      </w:r>
      <w:r>
        <w:rPr>
          <w:rFonts w:ascii="Times New Roman" w:hAnsi="Times New Roman" w:cs="Times New Roman"/>
          <w:sz w:val="24"/>
          <w:szCs w:val="24"/>
        </w:rPr>
        <w:t>four</w:t>
      </w:r>
      <w:r w:rsidRPr="002873FB">
        <w:rPr>
          <w:rFonts w:ascii="Times New Roman" w:hAnsi="Times New Roman" w:cs="Times New Roman"/>
          <w:sz w:val="24"/>
          <w:szCs w:val="24"/>
        </w:rPr>
        <w:t xml:space="preserve"> approved generic clearances </w:t>
      </w:r>
      <w:r>
        <w:rPr>
          <w:rFonts w:ascii="Times New Roman" w:hAnsi="Times New Roman" w:cs="Times New Roman"/>
          <w:sz w:val="24"/>
          <w:szCs w:val="24"/>
        </w:rPr>
        <w:t xml:space="preserve">at NCI </w:t>
      </w:r>
      <w:r w:rsidRPr="002873FB">
        <w:rPr>
          <w:rFonts w:ascii="Times New Roman" w:hAnsi="Times New Roman" w:cs="Times New Roman"/>
          <w:sz w:val="24"/>
          <w:szCs w:val="24"/>
        </w:rPr>
        <w:t>that facilitate scientific research endeavors</w:t>
      </w:r>
      <w:r>
        <w:rPr>
          <w:rFonts w:ascii="Times New Roman" w:hAnsi="Times New Roman" w:cs="Times New Roman"/>
          <w:sz w:val="24"/>
          <w:szCs w:val="24"/>
        </w:rPr>
        <w:t xml:space="preserve">:  </w:t>
      </w:r>
    </w:p>
    <w:p w14:paraId="51FFF8DA" w14:textId="77777777" w:rsidR="003E3230" w:rsidRDefault="006F5E30" w:rsidP="006F5E30">
      <w:pPr>
        <w:pStyle w:val="ListParagraph"/>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Generic Submission for </w:t>
      </w:r>
      <w:r w:rsidR="003E3230" w:rsidRPr="00F0604A">
        <w:rPr>
          <w:rFonts w:ascii="Times New Roman" w:hAnsi="Times New Roman" w:cs="Times New Roman"/>
          <w:sz w:val="24"/>
          <w:szCs w:val="24"/>
        </w:rPr>
        <w:t xml:space="preserve">Formative </w:t>
      </w:r>
      <w:r>
        <w:rPr>
          <w:rFonts w:ascii="Times New Roman" w:hAnsi="Times New Roman" w:cs="Times New Roman"/>
          <w:sz w:val="24"/>
          <w:szCs w:val="24"/>
        </w:rPr>
        <w:t>Research, Pret</w:t>
      </w:r>
      <w:r w:rsidR="003E3230" w:rsidRPr="00F0604A">
        <w:rPr>
          <w:rFonts w:ascii="Times New Roman" w:hAnsi="Times New Roman" w:cs="Times New Roman"/>
          <w:sz w:val="24"/>
          <w:szCs w:val="24"/>
        </w:rPr>
        <w:t xml:space="preserve">esting and </w:t>
      </w:r>
      <w:r>
        <w:rPr>
          <w:rFonts w:ascii="Times New Roman" w:hAnsi="Times New Roman" w:cs="Times New Roman"/>
          <w:sz w:val="24"/>
          <w:szCs w:val="24"/>
        </w:rPr>
        <w:t>Customer Satisfaction of NCI’s Communication and Education Resources</w:t>
      </w:r>
      <w:r w:rsidR="003E3230" w:rsidRPr="00F0604A">
        <w:rPr>
          <w:rFonts w:ascii="Times New Roman" w:hAnsi="Times New Roman" w:cs="Times New Roman"/>
          <w:sz w:val="24"/>
          <w:szCs w:val="24"/>
        </w:rPr>
        <w:t xml:space="preserve"> (0925-0046</w:t>
      </w:r>
      <w:r w:rsidR="003E3230">
        <w:rPr>
          <w:rFonts w:ascii="Times New Roman" w:hAnsi="Times New Roman" w:cs="Times New Roman"/>
          <w:sz w:val="24"/>
          <w:szCs w:val="24"/>
        </w:rPr>
        <w:t>, Expiry Date 5/31/2016</w:t>
      </w:r>
      <w:r w:rsidR="003E3230" w:rsidRPr="00F0604A">
        <w:rPr>
          <w:rFonts w:ascii="Times New Roman" w:hAnsi="Times New Roman" w:cs="Times New Roman"/>
          <w:sz w:val="24"/>
          <w:szCs w:val="24"/>
        </w:rPr>
        <w:t xml:space="preserve">), </w:t>
      </w:r>
    </w:p>
    <w:p w14:paraId="63FAA0A1" w14:textId="77777777" w:rsidR="006F5E30" w:rsidRDefault="006F5E30" w:rsidP="006F5E30">
      <w:pPr>
        <w:pStyle w:val="ListParagraph"/>
        <w:spacing w:after="0" w:line="240" w:lineRule="auto"/>
        <w:ind w:left="1440"/>
        <w:jc w:val="both"/>
        <w:rPr>
          <w:rFonts w:ascii="Times New Roman" w:hAnsi="Times New Roman" w:cs="Times New Roman"/>
          <w:sz w:val="24"/>
          <w:szCs w:val="24"/>
        </w:rPr>
      </w:pPr>
    </w:p>
    <w:p w14:paraId="20F12DBC" w14:textId="77777777" w:rsidR="003E3230" w:rsidRDefault="003E3230" w:rsidP="002447C9">
      <w:pPr>
        <w:pStyle w:val="ListParagraph"/>
        <w:numPr>
          <w:ilvl w:val="0"/>
          <w:numId w:val="24"/>
        </w:numPr>
        <w:spacing w:after="0" w:line="240" w:lineRule="auto"/>
        <w:jc w:val="both"/>
        <w:rPr>
          <w:rFonts w:ascii="Times New Roman" w:hAnsi="Times New Roman" w:cs="Times New Roman"/>
          <w:sz w:val="24"/>
          <w:szCs w:val="24"/>
        </w:rPr>
      </w:pPr>
      <w:r w:rsidRPr="00F0604A">
        <w:rPr>
          <w:rFonts w:ascii="Times New Roman" w:hAnsi="Times New Roman" w:cs="Times New Roman"/>
          <w:sz w:val="24"/>
          <w:szCs w:val="24"/>
        </w:rPr>
        <w:t>Questionnaire Cognitive Interviewing and Pretesting (0925-0589</w:t>
      </w:r>
      <w:r>
        <w:rPr>
          <w:rFonts w:ascii="Times New Roman" w:hAnsi="Times New Roman" w:cs="Times New Roman"/>
          <w:sz w:val="24"/>
          <w:szCs w:val="24"/>
        </w:rPr>
        <w:t>, Expiry Date 4/30/2014</w:t>
      </w:r>
      <w:r w:rsidRPr="00F0604A">
        <w:rPr>
          <w:rFonts w:ascii="Times New Roman" w:hAnsi="Times New Roman" w:cs="Times New Roman"/>
          <w:sz w:val="24"/>
          <w:szCs w:val="24"/>
        </w:rPr>
        <w:t xml:space="preserve">), </w:t>
      </w:r>
    </w:p>
    <w:p w14:paraId="5F7458B1" w14:textId="77777777" w:rsidR="002447C9" w:rsidRDefault="002447C9" w:rsidP="002447C9">
      <w:pPr>
        <w:pStyle w:val="ListParagraph"/>
        <w:spacing w:after="0" w:line="240" w:lineRule="auto"/>
        <w:ind w:left="1440"/>
        <w:jc w:val="both"/>
        <w:rPr>
          <w:rFonts w:ascii="Times New Roman" w:hAnsi="Times New Roman" w:cs="Times New Roman"/>
          <w:sz w:val="24"/>
          <w:szCs w:val="24"/>
        </w:rPr>
      </w:pPr>
    </w:p>
    <w:p w14:paraId="0D7B5E83" w14:textId="77777777" w:rsidR="003E3230" w:rsidRDefault="002447C9" w:rsidP="002447C9">
      <w:pPr>
        <w:pStyle w:val="ListParagraph"/>
        <w:numPr>
          <w:ilvl w:val="0"/>
          <w:numId w:val="24"/>
        </w:numPr>
        <w:spacing w:after="0" w:line="240" w:lineRule="auto"/>
        <w:jc w:val="both"/>
        <w:rPr>
          <w:rFonts w:ascii="Times New Roman" w:hAnsi="Times New Roman" w:cs="Times New Roman"/>
          <w:sz w:val="24"/>
          <w:szCs w:val="24"/>
        </w:rPr>
      </w:pPr>
      <w:r w:rsidRPr="002447C9">
        <w:rPr>
          <w:rFonts w:ascii="Times New Roman" w:hAnsi="Times New Roman" w:cs="Times New Roman"/>
          <w:sz w:val="24"/>
          <w:szCs w:val="24"/>
        </w:rPr>
        <w:t xml:space="preserve">Generic Clearance for the Collection of Qualitative Feedback on Agency Service Delivery </w:t>
      </w:r>
      <w:r>
        <w:rPr>
          <w:rFonts w:ascii="Times New Roman" w:hAnsi="Times New Roman" w:cs="Times New Roman"/>
          <w:sz w:val="24"/>
          <w:szCs w:val="24"/>
        </w:rPr>
        <w:t>(</w:t>
      </w:r>
      <w:r w:rsidR="003E3230" w:rsidRPr="002447C9">
        <w:rPr>
          <w:rFonts w:ascii="Times New Roman" w:hAnsi="Times New Roman" w:cs="Times New Roman"/>
          <w:sz w:val="24"/>
          <w:szCs w:val="24"/>
        </w:rPr>
        <w:t>NCI</w:t>
      </w:r>
      <w:r>
        <w:rPr>
          <w:rFonts w:ascii="Times New Roman" w:hAnsi="Times New Roman" w:cs="Times New Roman"/>
          <w:sz w:val="24"/>
          <w:szCs w:val="24"/>
        </w:rPr>
        <w:t>)</w:t>
      </w:r>
      <w:r w:rsidR="003E3230" w:rsidRPr="00F0604A">
        <w:rPr>
          <w:rFonts w:ascii="Times New Roman" w:hAnsi="Times New Roman" w:cs="Times New Roman"/>
          <w:sz w:val="24"/>
          <w:szCs w:val="24"/>
        </w:rPr>
        <w:t xml:space="preserve"> (0925-0642</w:t>
      </w:r>
      <w:r w:rsidR="003E3230">
        <w:rPr>
          <w:rFonts w:ascii="Times New Roman" w:hAnsi="Times New Roman" w:cs="Times New Roman"/>
          <w:sz w:val="24"/>
          <w:szCs w:val="24"/>
        </w:rPr>
        <w:t>, Expiry Date 9/30/2014</w:t>
      </w:r>
      <w:r w:rsidR="003E3230" w:rsidRPr="00F0604A">
        <w:rPr>
          <w:rFonts w:ascii="Times New Roman" w:hAnsi="Times New Roman" w:cs="Times New Roman"/>
          <w:sz w:val="24"/>
          <w:szCs w:val="24"/>
        </w:rPr>
        <w:t xml:space="preserve">), and </w:t>
      </w:r>
    </w:p>
    <w:p w14:paraId="50E583C2" w14:textId="77777777" w:rsidR="002447C9" w:rsidRPr="002447C9" w:rsidRDefault="002447C9" w:rsidP="002447C9">
      <w:pPr>
        <w:pStyle w:val="ListParagraph"/>
        <w:rPr>
          <w:rFonts w:ascii="Times New Roman" w:hAnsi="Times New Roman" w:cs="Times New Roman"/>
          <w:sz w:val="24"/>
          <w:szCs w:val="24"/>
        </w:rPr>
      </w:pPr>
    </w:p>
    <w:p w14:paraId="0FFC7DD9" w14:textId="77777777" w:rsidR="006F5E30" w:rsidRDefault="006F5E30" w:rsidP="006F5E30">
      <w:pPr>
        <w:pStyle w:val="ListParagraph"/>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Generic Submission for T</w:t>
      </w:r>
      <w:r w:rsidR="003E3230" w:rsidRPr="00F0604A">
        <w:rPr>
          <w:rFonts w:ascii="Times New Roman" w:hAnsi="Times New Roman" w:cs="Times New Roman"/>
          <w:sz w:val="24"/>
          <w:szCs w:val="24"/>
        </w:rPr>
        <w:t>heory Development and Validation (0925-0645</w:t>
      </w:r>
      <w:r w:rsidR="003E3230">
        <w:rPr>
          <w:rFonts w:ascii="Times New Roman" w:hAnsi="Times New Roman" w:cs="Times New Roman"/>
          <w:sz w:val="24"/>
          <w:szCs w:val="24"/>
        </w:rPr>
        <w:t>, Expiry Date 12/31/2014</w:t>
      </w:r>
      <w:r w:rsidR="003E3230" w:rsidRPr="00F0604A">
        <w:rPr>
          <w:rFonts w:ascii="Times New Roman" w:hAnsi="Times New Roman" w:cs="Times New Roman"/>
          <w:sz w:val="24"/>
          <w:szCs w:val="24"/>
        </w:rPr>
        <w:t xml:space="preserve">).  </w:t>
      </w:r>
    </w:p>
    <w:p w14:paraId="6474B589" w14:textId="77777777" w:rsidR="006F5E30" w:rsidRPr="006F5E30" w:rsidRDefault="006F5E30" w:rsidP="006F5E30">
      <w:pPr>
        <w:pStyle w:val="ListParagraph"/>
        <w:rPr>
          <w:rFonts w:ascii="Times New Roman" w:hAnsi="Times New Roman" w:cs="Times New Roman"/>
          <w:sz w:val="24"/>
          <w:szCs w:val="24"/>
        </w:rPr>
      </w:pPr>
    </w:p>
    <w:p w14:paraId="6C654273" w14:textId="77777777" w:rsidR="003E3230" w:rsidRPr="00F0604A" w:rsidRDefault="003E3230" w:rsidP="003E3230">
      <w:pPr>
        <w:spacing w:after="0" w:line="480" w:lineRule="auto"/>
        <w:jc w:val="both"/>
        <w:rPr>
          <w:rFonts w:ascii="Times New Roman" w:hAnsi="Times New Roman" w:cs="Times New Roman"/>
          <w:sz w:val="24"/>
          <w:szCs w:val="24"/>
        </w:rPr>
      </w:pPr>
      <w:r w:rsidRPr="00F0604A">
        <w:rPr>
          <w:rFonts w:ascii="Times New Roman" w:hAnsi="Times New Roman" w:cs="Times New Roman"/>
          <w:sz w:val="24"/>
          <w:szCs w:val="24"/>
        </w:rPr>
        <w:lastRenderedPageBreak/>
        <w:t>Additionally, there are two other generic clearances for specific programs at NCI:  Technology Transfer Center (TTC) Customer Satisfaction Surveys (0925-0633</w:t>
      </w:r>
      <w:r>
        <w:rPr>
          <w:rFonts w:ascii="Times New Roman" w:hAnsi="Times New Roman" w:cs="Times New Roman"/>
          <w:sz w:val="24"/>
          <w:szCs w:val="24"/>
        </w:rPr>
        <w:t>, Expiry Date 4/30/2014</w:t>
      </w:r>
      <w:r w:rsidRPr="00F0604A">
        <w:rPr>
          <w:rFonts w:ascii="Times New Roman" w:hAnsi="Times New Roman" w:cs="Times New Roman"/>
          <w:sz w:val="24"/>
          <w:szCs w:val="24"/>
        </w:rPr>
        <w:t xml:space="preserve">), and Office of Advocacy Relations </w:t>
      </w:r>
      <w:r>
        <w:rPr>
          <w:rFonts w:ascii="Times New Roman" w:hAnsi="Times New Roman" w:cs="Times New Roman"/>
          <w:sz w:val="24"/>
          <w:szCs w:val="24"/>
        </w:rPr>
        <w:t xml:space="preserve">(OAR) </w:t>
      </w:r>
      <w:r w:rsidRPr="00F0604A">
        <w:rPr>
          <w:rFonts w:ascii="Times New Roman" w:hAnsi="Times New Roman" w:cs="Times New Roman"/>
          <w:sz w:val="24"/>
          <w:szCs w:val="24"/>
        </w:rPr>
        <w:t>Formative Research, Pretesting, Stakeholder Measures and Advocate Forms (0925-0641</w:t>
      </w:r>
      <w:r>
        <w:rPr>
          <w:rFonts w:ascii="Times New Roman" w:hAnsi="Times New Roman" w:cs="Times New Roman"/>
          <w:sz w:val="24"/>
          <w:szCs w:val="24"/>
        </w:rPr>
        <w:t>, Expiry Date 9/30/2014</w:t>
      </w:r>
      <w:r w:rsidRPr="00F0604A">
        <w:rPr>
          <w:rFonts w:ascii="Times New Roman" w:hAnsi="Times New Roman" w:cs="Times New Roman"/>
          <w:sz w:val="24"/>
          <w:szCs w:val="24"/>
        </w:rPr>
        <w:t>). The latter</w:t>
      </w:r>
      <w:r>
        <w:rPr>
          <w:rFonts w:ascii="Times New Roman" w:hAnsi="Times New Roman" w:cs="Times New Roman"/>
          <w:sz w:val="24"/>
          <w:szCs w:val="24"/>
        </w:rPr>
        <w:t xml:space="preserve"> two</w:t>
      </w:r>
      <w:r w:rsidRPr="00F0604A">
        <w:rPr>
          <w:rFonts w:ascii="Times New Roman" w:hAnsi="Times New Roman" w:cs="Times New Roman"/>
          <w:sz w:val="24"/>
          <w:szCs w:val="24"/>
        </w:rPr>
        <w:t xml:space="preserve"> will not be discussed further since they are center-specific and designed to meet very specific needs of a particular program.</w:t>
      </w:r>
    </w:p>
    <w:p w14:paraId="03B33562" w14:textId="77777777" w:rsidR="003E3230" w:rsidRPr="00F0604A" w:rsidRDefault="003E3230" w:rsidP="003E323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four generic clearances listed above collect information that has a range with a broad scope.  NCI generic clearances have conducted formative research, pre-testing, questionnaire development, pilot testing, usability studies, customer satisfaction surveys, in-depth interviews (IDI’s), focus groups, and cognitive interviewing for a variety of respondents including the general public, cancer advocates, researchers, physicians, other health care providers, and students.</w:t>
      </w:r>
      <w:r w:rsidRPr="00F0604A">
        <w:rPr>
          <w:rFonts w:ascii="Times New Roman" w:hAnsi="Times New Roman" w:cs="Times New Roman"/>
          <w:sz w:val="24"/>
          <w:szCs w:val="24"/>
        </w:rPr>
        <w:t xml:space="preserve"> </w:t>
      </w:r>
      <w:r>
        <w:rPr>
          <w:rFonts w:ascii="Times New Roman" w:hAnsi="Times New Roman" w:cs="Times New Roman"/>
          <w:sz w:val="24"/>
          <w:szCs w:val="24"/>
        </w:rPr>
        <w:t xml:space="preserve"> At this time, only one approved generic clearance has the scope to approve administrative sub-studies and that is the OAR generic, which is specific to forms and applications related to advocates.  It is felt that this generic submission will fill a need that exists at NCI.</w:t>
      </w:r>
    </w:p>
    <w:p w14:paraId="10CC4718" w14:textId="53FCBE80" w:rsidR="00430AA4" w:rsidRPr="008D6ECA" w:rsidRDefault="00014ED6" w:rsidP="008D6ECA">
      <w:pPr>
        <w:spacing w:after="0" w:line="480" w:lineRule="auto"/>
        <w:ind w:firstLine="720"/>
        <w:jc w:val="both"/>
        <w:rPr>
          <w:rFonts w:ascii="Times New Roman" w:hAnsi="Times New Roman" w:cs="Times New Roman"/>
          <w:sz w:val="24"/>
          <w:szCs w:val="24"/>
        </w:rPr>
      </w:pPr>
      <w:r w:rsidRPr="003E316D">
        <w:rPr>
          <w:rFonts w:ascii="Times New Roman" w:hAnsi="Times New Roman" w:cs="Times New Roman"/>
          <w:sz w:val="24"/>
          <w:szCs w:val="24"/>
        </w:rPr>
        <w:t xml:space="preserve">As the focal point for Institute-wide </w:t>
      </w:r>
      <w:r w:rsidR="00165689">
        <w:rPr>
          <w:rFonts w:ascii="Times New Roman" w:hAnsi="Times New Roman" w:cs="Times New Roman"/>
          <w:sz w:val="24"/>
          <w:szCs w:val="24"/>
        </w:rPr>
        <w:t>PRA/</w:t>
      </w:r>
      <w:r w:rsidRPr="003E316D">
        <w:rPr>
          <w:rFonts w:ascii="Times New Roman" w:hAnsi="Times New Roman" w:cs="Times New Roman"/>
          <w:sz w:val="24"/>
          <w:szCs w:val="24"/>
        </w:rPr>
        <w:t xml:space="preserve">OMB submissions, the </w:t>
      </w:r>
      <w:r w:rsidR="004006AB" w:rsidRPr="003E316D">
        <w:rPr>
          <w:rFonts w:ascii="Times New Roman" w:hAnsi="Times New Roman" w:cs="Times New Roman"/>
          <w:sz w:val="24"/>
          <w:szCs w:val="24"/>
        </w:rPr>
        <w:t xml:space="preserve">OMPC </w:t>
      </w:r>
      <w:r w:rsidR="00B730A0" w:rsidRPr="003E316D">
        <w:rPr>
          <w:rFonts w:ascii="Times New Roman" w:hAnsi="Times New Roman" w:cs="Times New Roman"/>
          <w:sz w:val="24"/>
          <w:szCs w:val="24"/>
        </w:rPr>
        <w:t xml:space="preserve">staff </w:t>
      </w:r>
      <w:r w:rsidR="00B730A0" w:rsidRPr="007A3B9A">
        <w:rPr>
          <w:rFonts w:ascii="Times New Roman" w:hAnsi="Times New Roman" w:cs="Times New Roman"/>
          <w:sz w:val="24"/>
          <w:szCs w:val="24"/>
        </w:rPr>
        <w:t>receives</w:t>
      </w:r>
      <w:r w:rsidRPr="007A3B9A">
        <w:rPr>
          <w:rFonts w:ascii="Times New Roman" w:hAnsi="Times New Roman" w:cs="Times New Roman"/>
          <w:sz w:val="24"/>
          <w:szCs w:val="24"/>
        </w:rPr>
        <w:t xml:space="preserve"> </w:t>
      </w:r>
      <w:r w:rsidR="00C76930" w:rsidRPr="007A3B9A">
        <w:rPr>
          <w:rFonts w:ascii="Times New Roman" w:hAnsi="Times New Roman" w:cs="Times New Roman"/>
          <w:sz w:val="24"/>
          <w:szCs w:val="24"/>
        </w:rPr>
        <w:t xml:space="preserve">all </w:t>
      </w:r>
      <w:r w:rsidR="00DC699A" w:rsidRPr="007A3B9A">
        <w:rPr>
          <w:rFonts w:ascii="Times New Roman" w:hAnsi="Times New Roman" w:cs="Times New Roman"/>
          <w:sz w:val="24"/>
          <w:szCs w:val="24"/>
        </w:rPr>
        <w:t xml:space="preserve">specific </w:t>
      </w:r>
      <w:r w:rsidR="00B83575" w:rsidRPr="007A3B9A">
        <w:rPr>
          <w:rFonts w:ascii="Times New Roman" w:hAnsi="Times New Roman" w:cs="Times New Roman"/>
          <w:sz w:val="24"/>
          <w:szCs w:val="24"/>
        </w:rPr>
        <w:t>information collection</w:t>
      </w:r>
      <w:r w:rsidR="00DC699A" w:rsidRPr="007A3B9A">
        <w:rPr>
          <w:rFonts w:ascii="Times New Roman" w:hAnsi="Times New Roman" w:cs="Times New Roman"/>
          <w:sz w:val="24"/>
          <w:szCs w:val="24"/>
        </w:rPr>
        <w:t xml:space="preserve"> </w:t>
      </w:r>
      <w:r w:rsidRPr="007A3B9A">
        <w:rPr>
          <w:rFonts w:ascii="Times New Roman" w:hAnsi="Times New Roman" w:cs="Times New Roman"/>
          <w:sz w:val="24"/>
          <w:szCs w:val="24"/>
        </w:rPr>
        <w:t>submission</w:t>
      </w:r>
      <w:r w:rsidR="00C76930" w:rsidRPr="007A3B9A">
        <w:rPr>
          <w:rFonts w:ascii="Times New Roman" w:hAnsi="Times New Roman" w:cs="Times New Roman"/>
          <w:sz w:val="24"/>
          <w:szCs w:val="24"/>
        </w:rPr>
        <w:t xml:space="preserve">s for </w:t>
      </w:r>
      <w:r w:rsidR="003F60FB" w:rsidRPr="007A3B9A">
        <w:rPr>
          <w:rFonts w:ascii="Times New Roman" w:hAnsi="Times New Roman" w:cs="Times New Roman"/>
          <w:sz w:val="24"/>
          <w:szCs w:val="24"/>
        </w:rPr>
        <w:t xml:space="preserve">full </w:t>
      </w:r>
      <w:r w:rsidR="00C76930" w:rsidRPr="007A3B9A">
        <w:rPr>
          <w:rFonts w:ascii="Times New Roman" w:hAnsi="Times New Roman" w:cs="Times New Roman"/>
          <w:sz w:val="24"/>
          <w:szCs w:val="24"/>
        </w:rPr>
        <w:t>and generic clearances</w:t>
      </w:r>
      <w:r w:rsidR="00165689">
        <w:rPr>
          <w:rFonts w:ascii="Times New Roman" w:hAnsi="Times New Roman" w:cs="Times New Roman"/>
          <w:sz w:val="24"/>
          <w:szCs w:val="24"/>
        </w:rPr>
        <w:t xml:space="preserve">.  As such they are </w:t>
      </w:r>
      <w:r w:rsidR="00C76930" w:rsidRPr="007A3B9A">
        <w:rPr>
          <w:rFonts w:ascii="Times New Roman" w:hAnsi="Times New Roman" w:cs="Times New Roman"/>
          <w:sz w:val="24"/>
          <w:szCs w:val="24"/>
        </w:rPr>
        <w:t>apprised of efforts in progress</w:t>
      </w:r>
      <w:r w:rsidR="00165689">
        <w:rPr>
          <w:rFonts w:ascii="Times New Roman" w:hAnsi="Times New Roman" w:cs="Times New Roman"/>
          <w:sz w:val="24"/>
          <w:szCs w:val="24"/>
        </w:rPr>
        <w:t xml:space="preserve"> and</w:t>
      </w:r>
      <w:r w:rsidR="00C76930" w:rsidRPr="007A3B9A">
        <w:rPr>
          <w:rFonts w:ascii="Times New Roman" w:hAnsi="Times New Roman" w:cs="Times New Roman"/>
          <w:sz w:val="24"/>
          <w:szCs w:val="24"/>
        </w:rPr>
        <w:t xml:space="preserve"> thus </w:t>
      </w:r>
      <w:r w:rsidR="004963B7" w:rsidRPr="007A3B9A">
        <w:rPr>
          <w:rFonts w:ascii="Times New Roman" w:hAnsi="Times New Roman" w:cs="Times New Roman"/>
          <w:sz w:val="24"/>
          <w:szCs w:val="24"/>
        </w:rPr>
        <w:t xml:space="preserve">uniquely </w:t>
      </w:r>
      <w:r w:rsidR="00C76930" w:rsidRPr="007A3B9A">
        <w:rPr>
          <w:rFonts w:ascii="Times New Roman" w:hAnsi="Times New Roman" w:cs="Times New Roman"/>
          <w:sz w:val="24"/>
          <w:szCs w:val="24"/>
        </w:rPr>
        <w:t>position</w:t>
      </w:r>
      <w:r w:rsidR="004963B7" w:rsidRPr="007A3B9A">
        <w:rPr>
          <w:rFonts w:ascii="Times New Roman" w:hAnsi="Times New Roman" w:cs="Times New Roman"/>
          <w:sz w:val="24"/>
          <w:szCs w:val="24"/>
        </w:rPr>
        <w:t>ed</w:t>
      </w:r>
      <w:r w:rsidR="00C76930" w:rsidRPr="007A3B9A">
        <w:rPr>
          <w:rFonts w:ascii="Times New Roman" w:hAnsi="Times New Roman" w:cs="Times New Roman"/>
          <w:sz w:val="24"/>
          <w:szCs w:val="24"/>
        </w:rPr>
        <w:t xml:space="preserve"> to identify similar </w:t>
      </w:r>
      <w:r w:rsidR="00B83575" w:rsidRPr="007A3B9A">
        <w:rPr>
          <w:rFonts w:ascii="Times New Roman" w:hAnsi="Times New Roman" w:cs="Times New Roman"/>
          <w:sz w:val="24"/>
          <w:szCs w:val="24"/>
        </w:rPr>
        <w:t>information</w:t>
      </w:r>
      <w:r w:rsidR="000D19C2" w:rsidRPr="007A3B9A">
        <w:rPr>
          <w:rFonts w:ascii="Times New Roman" w:hAnsi="Times New Roman" w:cs="Times New Roman"/>
          <w:sz w:val="24"/>
          <w:szCs w:val="24"/>
        </w:rPr>
        <w:t xml:space="preserve"> </w:t>
      </w:r>
      <w:r w:rsidR="00B83575" w:rsidRPr="007A3B9A">
        <w:rPr>
          <w:rFonts w:ascii="Times New Roman" w:hAnsi="Times New Roman" w:cs="Times New Roman"/>
          <w:sz w:val="24"/>
          <w:szCs w:val="24"/>
        </w:rPr>
        <w:t>collection efforts</w:t>
      </w:r>
      <w:r w:rsidR="00C76930" w:rsidRPr="007A3B9A">
        <w:rPr>
          <w:rFonts w:ascii="Times New Roman" w:hAnsi="Times New Roman" w:cs="Times New Roman"/>
          <w:sz w:val="24"/>
          <w:szCs w:val="24"/>
        </w:rPr>
        <w:t xml:space="preserve"> and avoid duplication.  </w:t>
      </w:r>
      <w:r w:rsidR="00F93DFD" w:rsidRPr="007A3B9A">
        <w:rPr>
          <w:rFonts w:ascii="Times New Roman" w:hAnsi="Times New Roman" w:cs="Times New Roman"/>
          <w:sz w:val="24"/>
          <w:szCs w:val="24"/>
        </w:rPr>
        <w:t xml:space="preserve">In addition, the individual NCI offices and centers perform an internal review of proposed </w:t>
      </w:r>
      <w:r w:rsidR="00590B9D" w:rsidRPr="007A3B9A">
        <w:rPr>
          <w:rFonts w:ascii="Times New Roman" w:hAnsi="Times New Roman" w:cs="Times New Roman"/>
          <w:sz w:val="24"/>
          <w:szCs w:val="24"/>
        </w:rPr>
        <w:t>information collections</w:t>
      </w:r>
      <w:r w:rsidR="00F93DFD" w:rsidRPr="007A3B9A">
        <w:rPr>
          <w:rFonts w:ascii="Times New Roman" w:hAnsi="Times New Roman" w:cs="Times New Roman"/>
          <w:sz w:val="24"/>
          <w:szCs w:val="24"/>
        </w:rPr>
        <w:t xml:space="preserve"> as a preliminary step in avoiding duplication.  </w:t>
      </w:r>
      <w:r w:rsidR="003F60FB" w:rsidRPr="007A3B9A">
        <w:rPr>
          <w:rFonts w:ascii="Times New Roman" w:hAnsi="Times New Roman" w:cs="Times New Roman"/>
          <w:sz w:val="24"/>
          <w:szCs w:val="24"/>
        </w:rPr>
        <w:t xml:space="preserve">Though </w:t>
      </w:r>
      <w:r w:rsidR="006C7DC2">
        <w:rPr>
          <w:rFonts w:ascii="Times New Roman" w:hAnsi="Times New Roman" w:cs="Times New Roman"/>
          <w:sz w:val="24"/>
          <w:szCs w:val="24"/>
        </w:rPr>
        <w:t>five</w:t>
      </w:r>
      <w:r w:rsidR="003F60FB" w:rsidRPr="007A3B9A">
        <w:rPr>
          <w:rFonts w:ascii="Times New Roman" w:hAnsi="Times New Roman" w:cs="Times New Roman"/>
          <w:sz w:val="24"/>
          <w:szCs w:val="24"/>
        </w:rPr>
        <w:t xml:space="preserve"> gene</w:t>
      </w:r>
      <w:r w:rsidR="006E43D0">
        <w:rPr>
          <w:rFonts w:ascii="Times New Roman" w:hAnsi="Times New Roman" w:cs="Times New Roman"/>
          <w:sz w:val="24"/>
          <w:szCs w:val="24"/>
        </w:rPr>
        <w:t>rics already exist at NCI, none of the existing</w:t>
      </w:r>
      <w:r w:rsidR="003F60FB" w:rsidRPr="007A3B9A">
        <w:rPr>
          <w:rFonts w:ascii="Times New Roman" w:hAnsi="Times New Roman" w:cs="Times New Roman"/>
          <w:sz w:val="24"/>
          <w:szCs w:val="24"/>
        </w:rPr>
        <w:t xml:space="preserve"> generics </w:t>
      </w:r>
      <w:r w:rsidR="006E43D0">
        <w:rPr>
          <w:rFonts w:ascii="Times New Roman" w:hAnsi="Times New Roman" w:cs="Times New Roman"/>
          <w:sz w:val="24"/>
          <w:szCs w:val="24"/>
        </w:rPr>
        <w:t xml:space="preserve">allow for administrative information collections (such as an application or listserv), performance </w:t>
      </w:r>
      <w:r w:rsidR="006E43D0">
        <w:rPr>
          <w:rFonts w:ascii="Times New Roman" w:hAnsi="Times New Roman" w:cs="Times New Roman"/>
          <w:sz w:val="24"/>
          <w:szCs w:val="24"/>
        </w:rPr>
        <w:lastRenderedPageBreak/>
        <w:t xml:space="preserve">measurement and program monitoring.  </w:t>
      </w:r>
      <w:r w:rsidR="005F7E13">
        <w:rPr>
          <w:rFonts w:ascii="Times New Roman" w:hAnsi="Times New Roman" w:cs="Times New Roman"/>
          <w:sz w:val="24"/>
          <w:szCs w:val="24"/>
        </w:rPr>
        <w:t xml:space="preserve">In the past, OMB has approved </w:t>
      </w:r>
      <w:r w:rsidR="003E3230">
        <w:rPr>
          <w:rFonts w:ascii="Times New Roman" w:hAnsi="Times New Roman" w:cs="Times New Roman"/>
          <w:sz w:val="24"/>
          <w:szCs w:val="24"/>
        </w:rPr>
        <w:t xml:space="preserve">generic clearances for </w:t>
      </w:r>
      <w:r w:rsidR="005F7E13">
        <w:rPr>
          <w:rFonts w:ascii="Times New Roman" w:hAnsi="Times New Roman" w:cs="Times New Roman"/>
          <w:sz w:val="24"/>
          <w:szCs w:val="24"/>
        </w:rPr>
        <w:t xml:space="preserve">program </w:t>
      </w:r>
      <w:r w:rsidR="008D6ECA">
        <w:rPr>
          <w:rFonts w:ascii="Times New Roman" w:hAnsi="Times New Roman" w:cs="Times New Roman"/>
          <w:sz w:val="24"/>
          <w:szCs w:val="24"/>
        </w:rPr>
        <w:t>monitoring and performance measurement</w:t>
      </w:r>
      <w:r w:rsidR="005F7E13">
        <w:rPr>
          <w:rFonts w:ascii="Times New Roman" w:hAnsi="Times New Roman" w:cs="Times New Roman"/>
          <w:sz w:val="24"/>
          <w:szCs w:val="24"/>
        </w:rPr>
        <w:t xml:space="preserve"> for a variety of agencies including:</w:t>
      </w:r>
    </w:p>
    <w:p w14:paraId="07D02942" w14:textId="77777777" w:rsidR="009626F4" w:rsidRDefault="00B77F77" w:rsidP="00430AA4">
      <w:pPr>
        <w:pStyle w:val="ListParagraph"/>
        <w:numPr>
          <w:ilvl w:val="0"/>
          <w:numId w:val="25"/>
        </w:numPr>
        <w:spacing w:after="0" w:line="240" w:lineRule="auto"/>
        <w:ind w:left="1498"/>
        <w:jc w:val="both"/>
        <w:rPr>
          <w:rFonts w:ascii="Times New Roman" w:hAnsi="Times New Roman" w:cs="Times New Roman"/>
          <w:sz w:val="24"/>
          <w:szCs w:val="24"/>
        </w:rPr>
      </w:pPr>
      <w:r w:rsidRPr="00430AA4">
        <w:rPr>
          <w:rFonts w:ascii="Times New Roman" w:hAnsi="Times New Roman" w:cs="Times New Roman"/>
          <w:sz w:val="24"/>
          <w:szCs w:val="24"/>
        </w:rPr>
        <w:t>Public Diplomacy Evaluation Office: Performance Measurement, Evaluation and Public Diplomacy Program Surveys (</w:t>
      </w:r>
      <w:r w:rsidR="005307EB" w:rsidRPr="00430AA4">
        <w:rPr>
          <w:rFonts w:ascii="Times New Roman" w:hAnsi="Times New Roman" w:cs="Times New Roman"/>
          <w:sz w:val="24"/>
          <w:szCs w:val="24"/>
        </w:rPr>
        <w:t>State/AFA</w:t>
      </w:r>
      <w:r w:rsidRPr="00430AA4">
        <w:rPr>
          <w:rFonts w:ascii="Times New Roman" w:hAnsi="Times New Roman" w:cs="Times New Roman"/>
          <w:sz w:val="24"/>
          <w:szCs w:val="24"/>
        </w:rPr>
        <w:t>)</w:t>
      </w:r>
      <w:r w:rsidR="005307EB" w:rsidRPr="00430AA4">
        <w:rPr>
          <w:rFonts w:ascii="Times New Roman" w:hAnsi="Times New Roman" w:cs="Times New Roman"/>
          <w:sz w:val="24"/>
          <w:szCs w:val="24"/>
        </w:rPr>
        <w:t xml:space="preserve"> – </w:t>
      </w:r>
    </w:p>
    <w:p w14:paraId="57CB6BAB" w14:textId="77777777" w:rsidR="005F7E13" w:rsidRDefault="005307EB" w:rsidP="009626F4">
      <w:pPr>
        <w:pStyle w:val="ListParagraph"/>
        <w:spacing w:after="0" w:line="240" w:lineRule="auto"/>
        <w:ind w:left="1498"/>
        <w:jc w:val="both"/>
        <w:rPr>
          <w:rFonts w:ascii="Times New Roman" w:hAnsi="Times New Roman" w:cs="Times New Roman"/>
          <w:sz w:val="24"/>
          <w:szCs w:val="24"/>
        </w:rPr>
      </w:pPr>
      <w:r w:rsidRPr="00430AA4">
        <w:rPr>
          <w:rFonts w:ascii="Times New Roman" w:hAnsi="Times New Roman" w:cs="Times New Roman"/>
          <w:sz w:val="24"/>
          <w:szCs w:val="24"/>
        </w:rPr>
        <w:t>OMB No. 1405-0158</w:t>
      </w:r>
      <w:r w:rsidR="00B77F77" w:rsidRPr="00430AA4">
        <w:rPr>
          <w:rFonts w:ascii="Times New Roman" w:hAnsi="Times New Roman" w:cs="Times New Roman"/>
          <w:sz w:val="24"/>
          <w:szCs w:val="24"/>
        </w:rPr>
        <w:t>, Expiration Date 9/30/2011</w:t>
      </w:r>
    </w:p>
    <w:p w14:paraId="31EE5CC8" w14:textId="77777777" w:rsidR="009626F4" w:rsidRPr="009626F4" w:rsidRDefault="009626F4" w:rsidP="009626F4">
      <w:pPr>
        <w:pStyle w:val="ListParagraph"/>
        <w:rPr>
          <w:rFonts w:ascii="Times New Roman" w:hAnsi="Times New Roman" w:cs="Times New Roman"/>
          <w:sz w:val="24"/>
          <w:szCs w:val="24"/>
        </w:rPr>
      </w:pPr>
    </w:p>
    <w:p w14:paraId="206A4072" w14:textId="706533B5" w:rsidR="009626F4" w:rsidRDefault="009626F4" w:rsidP="00430AA4">
      <w:pPr>
        <w:pStyle w:val="ListParagraph"/>
        <w:numPr>
          <w:ilvl w:val="0"/>
          <w:numId w:val="25"/>
        </w:numPr>
        <w:spacing w:after="0" w:line="240" w:lineRule="auto"/>
        <w:ind w:left="1498"/>
        <w:jc w:val="both"/>
        <w:rPr>
          <w:rFonts w:ascii="Times New Roman" w:hAnsi="Times New Roman" w:cs="Times New Roman"/>
          <w:sz w:val="24"/>
          <w:szCs w:val="24"/>
        </w:rPr>
      </w:pPr>
      <w:r>
        <w:rPr>
          <w:rFonts w:ascii="Times New Roman" w:hAnsi="Times New Roman" w:cs="Times New Roman"/>
          <w:sz w:val="24"/>
          <w:szCs w:val="24"/>
        </w:rPr>
        <w:t>Consolidat</w:t>
      </w:r>
      <w:r w:rsidR="008D6ECA">
        <w:rPr>
          <w:rFonts w:ascii="Times New Roman" w:hAnsi="Times New Roman" w:cs="Times New Roman"/>
          <w:sz w:val="24"/>
          <w:szCs w:val="24"/>
        </w:rPr>
        <w:t>e</w:t>
      </w:r>
      <w:r>
        <w:rPr>
          <w:rFonts w:ascii="Times New Roman" w:hAnsi="Times New Roman" w:cs="Times New Roman"/>
          <w:sz w:val="24"/>
          <w:szCs w:val="24"/>
        </w:rPr>
        <w:t xml:space="preserve">d State Performance Report (Part 1 and Part II) (ED/OESE) – </w:t>
      </w:r>
    </w:p>
    <w:p w14:paraId="27371C73" w14:textId="77777777" w:rsidR="00430AA4" w:rsidRDefault="009626F4" w:rsidP="003C2B58">
      <w:pPr>
        <w:pStyle w:val="ListParagraph"/>
        <w:spacing w:after="0" w:line="240" w:lineRule="auto"/>
        <w:ind w:left="1498"/>
        <w:jc w:val="both"/>
        <w:rPr>
          <w:rFonts w:ascii="Times New Roman" w:hAnsi="Times New Roman" w:cs="Times New Roman"/>
          <w:sz w:val="24"/>
          <w:szCs w:val="24"/>
        </w:rPr>
      </w:pPr>
      <w:r>
        <w:rPr>
          <w:rFonts w:ascii="Times New Roman" w:hAnsi="Times New Roman" w:cs="Times New Roman"/>
          <w:sz w:val="24"/>
          <w:szCs w:val="24"/>
        </w:rPr>
        <w:t>OMB No. 1810-0614, Expiration Date 7/31/2015</w:t>
      </w:r>
    </w:p>
    <w:p w14:paraId="084B22C0" w14:textId="77777777" w:rsidR="00447E38" w:rsidRDefault="00447E38" w:rsidP="003C2B58">
      <w:pPr>
        <w:pStyle w:val="ListParagraph"/>
        <w:spacing w:after="0" w:line="240" w:lineRule="auto"/>
        <w:ind w:left="1498"/>
        <w:jc w:val="both"/>
        <w:rPr>
          <w:rFonts w:ascii="Times New Roman" w:hAnsi="Times New Roman" w:cs="Times New Roman"/>
          <w:sz w:val="24"/>
          <w:szCs w:val="24"/>
        </w:rPr>
      </w:pPr>
    </w:p>
    <w:p w14:paraId="4580D15A" w14:textId="77777777" w:rsidR="00447E38" w:rsidRDefault="00447E38" w:rsidP="00447E38">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FTC Administrative Activities (FTC) –</w:t>
      </w:r>
    </w:p>
    <w:p w14:paraId="79EC4CF9" w14:textId="77777777" w:rsidR="00447E38" w:rsidRDefault="00447E38" w:rsidP="00447E38">
      <w:pPr>
        <w:pStyle w:val="ListParagraph"/>
        <w:spacing w:after="0" w:line="240" w:lineRule="auto"/>
        <w:ind w:left="1500"/>
        <w:jc w:val="both"/>
        <w:rPr>
          <w:rFonts w:ascii="Times New Roman" w:hAnsi="Times New Roman" w:cs="Times New Roman"/>
          <w:sz w:val="24"/>
          <w:szCs w:val="24"/>
        </w:rPr>
      </w:pPr>
      <w:r>
        <w:rPr>
          <w:rFonts w:ascii="Times New Roman" w:hAnsi="Times New Roman" w:cs="Times New Roman"/>
          <w:sz w:val="24"/>
          <w:szCs w:val="24"/>
        </w:rPr>
        <w:t>OMB No. 3084-0047, Expiration Date 2/28/2015</w:t>
      </w:r>
    </w:p>
    <w:p w14:paraId="7951E025" w14:textId="77777777" w:rsidR="003C2B58" w:rsidRDefault="003C2B58" w:rsidP="003C2B58">
      <w:pPr>
        <w:pStyle w:val="ListParagraph"/>
        <w:spacing w:after="0" w:line="240" w:lineRule="auto"/>
        <w:ind w:left="1498"/>
        <w:jc w:val="both"/>
        <w:rPr>
          <w:rFonts w:ascii="Times New Roman" w:hAnsi="Times New Roman" w:cs="Times New Roman"/>
          <w:sz w:val="24"/>
          <w:szCs w:val="24"/>
        </w:rPr>
      </w:pPr>
    </w:p>
    <w:p w14:paraId="02080EE7" w14:textId="2CE8EEEC" w:rsidR="00250761" w:rsidRPr="0021723F" w:rsidRDefault="003C2B58" w:rsidP="0021723F">
      <w:pPr>
        <w:spacing w:after="0" w:line="480" w:lineRule="auto"/>
        <w:rPr>
          <w:rFonts w:ascii="Times New Roman" w:hAnsi="Times New Roman" w:cs="Times New Roman"/>
          <w:sz w:val="24"/>
          <w:szCs w:val="24"/>
        </w:rPr>
      </w:pPr>
      <w:r>
        <w:rPr>
          <w:rFonts w:ascii="Times New Roman" w:hAnsi="Times New Roman" w:cs="Times New Roman"/>
          <w:sz w:val="24"/>
          <w:szCs w:val="24"/>
        </w:rPr>
        <w:t>The purposes of the above</w:t>
      </w:r>
      <w:r w:rsidR="00197756">
        <w:rPr>
          <w:rFonts w:ascii="Times New Roman" w:hAnsi="Times New Roman" w:cs="Times New Roman"/>
          <w:sz w:val="24"/>
          <w:szCs w:val="24"/>
        </w:rPr>
        <w:t xml:space="preserve"> mentioned information collections</w:t>
      </w:r>
      <w:r>
        <w:rPr>
          <w:rFonts w:ascii="Times New Roman" w:hAnsi="Times New Roman" w:cs="Times New Roman"/>
          <w:sz w:val="24"/>
          <w:szCs w:val="24"/>
        </w:rPr>
        <w:t xml:space="preserve"> includes:  strategic planning, improve program management and design, assess the quality and efficacy of a program, report on program performance, support/guide funding decisions, monitor implementation of a program, and inform policy and monitor compliance.</w:t>
      </w:r>
    </w:p>
    <w:p w14:paraId="0A3070EA" w14:textId="77777777" w:rsidR="00FA5518" w:rsidRPr="007A3B9A" w:rsidRDefault="00FA5518" w:rsidP="007A3B9A">
      <w:pPr>
        <w:spacing w:after="0" w:line="480" w:lineRule="auto"/>
        <w:jc w:val="both"/>
        <w:rPr>
          <w:rFonts w:ascii="Times New Roman" w:hAnsi="Times New Roman" w:cs="Times New Roman"/>
          <w:b/>
          <w:noProof/>
          <w:sz w:val="24"/>
          <w:szCs w:val="24"/>
          <w:u w:val="single"/>
        </w:rPr>
      </w:pPr>
      <w:r w:rsidRPr="007A3B9A">
        <w:rPr>
          <w:rFonts w:ascii="Times New Roman" w:hAnsi="Times New Roman" w:cs="Times New Roman"/>
          <w:b/>
          <w:noProof/>
          <w:sz w:val="24"/>
          <w:szCs w:val="24"/>
          <w:u w:val="single"/>
        </w:rPr>
        <w:t>A5.  Impact on Small Businesses or Other Small Entities</w:t>
      </w:r>
    </w:p>
    <w:p w14:paraId="7F686EF0" w14:textId="7CA27487" w:rsidR="00AD3119" w:rsidRPr="007A3B9A" w:rsidRDefault="0024159A" w:rsidP="004222A0">
      <w:pPr>
        <w:spacing w:after="0" w:line="480" w:lineRule="auto"/>
        <w:ind w:firstLine="720"/>
        <w:jc w:val="both"/>
        <w:rPr>
          <w:rFonts w:ascii="Times New Roman" w:hAnsi="Times New Roman" w:cs="Times New Roman"/>
          <w:noProof/>
          <w:sz w:val="24"/>
          <w:szCs w:val="24"/>
        </w:rPr>
      </w:pPr>
      <w:r w:rsidRPr="007A3B9A">
        <w:rPr>
          <w:rFonts w:ascii="Times New Roman" w:hAnsi="Times New Roman" w:cs="Times New Roman"/>
          <w:noProof/>
          <w:sz w:val="24"/>
          <w:szCs w:val="24"/>
        </w:rPr>
        <w:t xml:space="preserve">The target groups for </w:t>
      </w:r>
      <w:r w:rsidR="00D714CA">
        <w:rPr>
          <w:rFonts w:ascii="Times New Roman" w:hAnsi="Times New Roman" w:cs="Times New Roman"/>
          <w:noProof/>
          <w:sz w:val="24"/>
          <w:szCs w:val="24"/>
        </w:rPr>
        <w:t>these requests</w:t>
      </w:r>
      <w:r w:rsidR="001A1179">
        <w:rPr>
          <w:rFonts w:ascii="Times New Roman" w:hAnsi="Times New Roman" w:cs="Times New Roman"/>
          <w:noProof/>
          <w:sz w:val="24"/>
          <w:szCs w:val="24"/>
        </w:rPr>
        <w:t xml:space="preserve"> </w:t>
      </w:r>
      <w:r w:rsidR="00165689">
        <w:rPr>
          <w:rFonts w:ascii="Times New Roman" w:hAnsi="Times New Roman" w:cs="Times New Roman"/>
          <w:noProof/>
          <w:sz w:val="24"/>
          <w:szCs w:val="24"/>
        </w:rPr>
        <w:t>would include</w:t>
      </w:r>
      <w:r w:rsidR="00D714CA">
        <w:rPr>
          <w:rFonts w:ascii="Times New Roman" w:hAnsi="Times New Roman" w:cs="Times New Roman"/>
          <w:noProof/>
          <w:sz w:val="24"/>
          <w:szCs w:val="24"/>
        </w:rPr>
        <w:t>, but are not limited to</w:t>
      </w:r>
      <w:r w:rsidR="00165689">
        <w:rPr>
          <w:rFonts w:ascii="Times New Roman" w:hAnsi="Times New Roman" w:cs="Times New Roman"/>
          <w:noProof/>
          <w:sz w:val="24"/>
          <w:szCs w:val="24"/>
        </w:rPr>
        <w:t>:  g</w:t>
      </w:r>
      <w:r w:rsidR="004222A0">
        <w:rPr>
          <w:rFonts w:ascii="Times New Roman" w:hAnsi="Times New Roman" w:cs="Times New Roman"/>
          <w:noProof/>
          <w:sz w:val="24"/>
          <w:szCs w:val="24"/>
        </w:rPr>
        <w:t xml:space="preserve">rantees, researchers/investigators, </w:t>
      </w:r>
      <w:r w:rsidR="00D714CA">
        <w:rPr>
          <w:rFonts w:ascii="Times New Roman" w:hAnsi="Times New Roman" w:cs="Times New Roman"/>
          <w:noProof/>
          <w:sz w:val="24"/>
          <w:szCs w:val="24"/>
        </w:rPr>
        <w:t xml:space="preserve">fellows, </w:t>
      </w:r>
      <w:r w:rsidR="00165689">
        <w:rPr>
          <w:rFonts w:ascii="Times New Roman" w:hAnsi="Times New Roman" w:cs="Times New Roman"/>
          <w:noProof/>
          <w:sz w:val="24"/>
          <w:szCs w:val="24"/>
        </w:rPr>
        <w:t xml:space="preserve">general public, </w:t>
      </w:r>
      <w:r w:rsidR="004222A0">
        <w:rPr>
          <w:rFonts w:ascii="Times New Roman" w:hAnsi="Times New Roman" w:cs="Times New Roman"/>
          <w:noProof/>
          <w:sz w:val="24"/>
          <w:szCs w:val="24"/>
        </w:rPr>
        <w:t xml:space="preserve">and </w:t>
      </w:r>
      <w:r w:rsidRPr="004222A0">
        <w:rPr>
          <w:rFonts w:ascii="Times New Roman" w:hAnsi="Times New Roman" w:cs="Times New Roman"/>
          <w:noProof/>
          <w:sz w:val="24"/>
          <w:szCs w:val="24"/>
        </w:rPr>
        <w:t xml:space="preserve">owners of small businesses such as independently-owned medical practices or health insurance agencies.  </w:t>
      </w:r>
      <w:r w:rsidR="00165689">
        <w:rPr>
          <w:rFonts w:ascii="Times New Roman" w:hAnsi="Times New Roman" w:cs="Times New Roman"/>
          <w:noProof/>
          <w:sz w:val="24"/>
          <w:szCs w:val="24"/>
        </w:rPr>
        <w:t xml:space="preserve">It may be possible that small businesses or other small entities would participate in an information collection.  </w:t>
      </w:r>
      <w:r w:rsidRPr="004222A0">
        <w:rPr>
          <w:rFonts w:ascii="Times New Roman" w:hAnsi="Times New Roman" w:cs="Times New Roman"/>
          <w:noProof/>
          <w:sz w:val="24"/>
          <w:szCs w:val="24"/>
        </w:rPr>
        <w:t>As such, the</w:t>
      </w:r>
      <w:r w:rsidR="00A57FDB" w:rsidRPr="004222A0">
        <w:rPr>
          <w:rFonts w:ascii="Times New Roman" w:hAnsi="Times New Roman" w:cs="Times New Roman"/>
          <w:noProof/>
          <w:sz w:val="24"/>
          <w:szCs w:val="24"/>
        </w:rPr>
        <w:t xml:space="preserve"> </w:t>
      </w:r>
      <w:r w:rsidR="00165689">
        <w:rPr>
          <w:rFonts w:ascii="Times New Roman" w:hAnsi="Times New Roman" w:cs="Times New Roman"/>
          <w:noProof/>
          <w:sz w:val="24"/>
          <w:szCs w:val="24"/>
        </w:rPr>
        <w:t>sub-</w:t>
      </w:r>
      <w:r w:rsidR="00D714CA">
        <w:rPr>
          <w:rFonts w:ascii="Times New Roman" w:hAnsi="Times New Roman" w:cs="Times New Roman"/>
          <w:noProof/>
          <w:sz w:val="24"/>
          <w:szCs w:val="24"/>
        </w:rPr>
        <w:t>projects</w:t>
      </w:r>
      <w:r w:rsidR="00A57FDB" w:rsidRPr="004222A0">
        <w:rPr>
          <w:rFonts w:ascii="Times New Roman" w:hAnsi="Times New Roman" w:cs="Times New Roman"/>
          <w:noProof/>
          <w:sz w:val="24"/>
          <w:szCs w:val="24"/>
        </w:rPr>
        <w:t xml:space="preserve"> w</w:t>
      </w:r>
      <w:r w:rsidR="00165689">
        <w:rPr>
          <w:rFonts w:ascii="Times New Roman" w:hAnsi="Times New Roman" w:cs="Times New Roman"/>
          <w:noProof/>
          <w:sz w:val="24"/>
          <w:szCs w:val="24"/>
        </w:rPr>
        <w:t>ould</w:t>
      </w:r>
      <w:r w:rsidR="00A57FDB" w:rsidRPr="004222A0">
        <w:rPr>
          <w:rFonts w:ascii="Times New Roman" w:hAnsi="Times New Roman" w:cs="Times New Roman"/>
          <w:noProof/>
          <w:sz w:val="24"/>
          <w:szCs w:val="24"/>
        </w:rPr>
        <w:t xml:space="preserve"> be conducted in a manner that reduces the burden of time and effort, by keeping the </w:t>
      </w:r>
      <w:r w:rsidR="00165689">
        <w:rPr>
          <w:rFonts w:ascii="Times New Roman" w:hAnsi="Times New Roman" w:cs="Times New Roman"/>
          <w:noProof/>
          <w:sz w:val="24"/>
          <w:szCs w:val="24"/>
        </w:rPr>
        <w:t>forms</w:t>
      </w:r>
      <w:r w:rsidR="00A57FDB" w:rsidRPr="004222A0">
        <w:rPr>
          <w:rFonts w:ascii="Times New Roman" w:hAnsi="Times New Roman" w:cs="Times New Roman"/>
          <w:noProof/>
          <w:sz w:val="24"/>
          <w:szCs w:val="24"/>
        </w:rPr>
        <w:t xml:space="preserve"> brief</w:t>
      </w:r>
      <w:r w:rsidR="00070F2B" w:rsidRPr="004222A0">
        <w:rPr>
          <w:rFonts w:ascii="Times New Roman" w:hAnsi="Times New Roman" w:cs="Times New Roman"/>
          <w:noProof/>
          <w:sz w:val="24"/>
          <w:szCs w:val="24"/>
        </w:rPr>
        <w:t xml:space="preserve">.  </w:t>
      </w:r>
      <w:r w:rsidR="00165689">
        <w:rPr>
          <w:rFonts w:ascii="Times New Roman" w:hAnsi="Times New Roman" w:cs="Times New Roman"/>
          <w:noProof/>
          <w:sz w:val="24"/>
          <w:szCs w:val="24"/>
        </w:rPr>
        <w:t>Additionally, i</w:t>
      </w:r>
      <w:r w:rsidR="004222A0">
        <w:rPr>
          <w:rFonts w:ascii="Times New Roman" w:hAnsi="Times New Roman" w:cs="Times New Roman"/>
          <w:noProof/>
          <w:sz w:val="24"/>
          <w:szCs w:val="24"/>
        </w:rPr>
        <w:t xml:space="preserve">f a small business or other small entity is part of the population sample, the </w:t>
      </w:r>
      <w:r w:rsidR="00165689">
        <w:rPr>
          <w:rFonts w:ascii="Times New Roman" w:hAnsi="Times New Roman" w:cs="Times New Roman"/>
          <w:noProof/>
          <w:sz w:val="24"/>
          <w:szCs w:val="24"/>
        </w:rPr>
        <w:t xml:space="preserve">program staff </w:t>
      </w:r>
      <w:r w:rsidR="004222A0">
        <w:rPr>
          <w:rFonts w:ascii="Times New Roman" w:hAnsi="Times New Roman" w:cs="Times New Roman"/>
          <w:noProof/>
          <w:sz w:val="24"/>
          <w:szCs w:val="24"/>
        </w:rPr>
        <w:t>for the i</w:t>
      </w:r>
      <w:r w:rsidR="00A57FDB" w:rsidRPr="004222A0">
        <w:rPr>
          <w:rFonts w:ascii="Times New Roman" w:hAnsi="Times New Roman" w:cs="Times New Roman"/>
          <w:noProof/>
          <w:sz w:val="24"/>
          <w:szCs w:val="24"/>
        </w:rPr>
        <w:t>ndividual sub-</w:t>
      </w:r>
      <w:r w:rsidR="00D714CA">
        <w:rPr>
          <w:rFonts w:ascii="Times New Roman" w:hAnsi="Times New Roman" w:cs="Times New Roman"/>
          <w:noProof/>
          <w:sz w:val="24"/>
          <w:szCs w:val="24"/>
        </w:rPr>
        <w:t>projects</w:t>
      </w:r>
      <w:r w:rsidR="00D714CA" w:rsidRPr="004222A0">
        <w:rPr>
          <w:rFonts w:ascii="Times New Roman" w:hAnsi="Times New Roman" w:cs="Times New Roman"/>
          <w:noProof/>
          <w:sz w:val="24"/>
          <w:szCs w:val="24"/>
        </w:rPr>
        <w:t xml:space="preserve"> </w:t>
      </w:r>
      <w:r w:rsidR="00A57FDB" w:rsidRPr="004222A0">
        <w:rPr>
          <w:rFonts w:ascii="Times New Roman" w:hAnsi="Times New Roman" w:cs="Times New Roman"/>
          <w:noProof/>
          <w:sz w:val="24"/>
          <w:szCs w:val="24"/>
        </w:rPr>
        <w:t xml:space="preserve">will provide justification for </w:t>
      </w:r>
      <w:r w:rsidR="00070F2B" w:rsidRPr="004222A0">
        <w:rPr>
          <w:rFonts w:ascii="Times New Roman" w:hAnsi="Times New Roman" w:cs="Times New Roman"/>
          <w:noProof/>
          <w:sz w:val="24"/>
          <w:szCs w:val="24"/>
        </w:rPr>
        <w:t>participation of small businesses</w:t>
      </w:r>
      <w:r w:rsidR="00070F2B" w:rsidRPr="007A3B9A">
        <w:rPr>
          <w:rFonts w:ascii="Times New Roman" w:hAnsi="Times New Roman" w:cs="Times New Roman"/>
          <w:noProof/>
          <w:sz w:val="24"/>
          <w:szCs w:val="24"/>
        </w:rPr>
        <w:t>.</w:t>
      </w:r>
    </w:p>
    <w:p w14:paraId="6474EB48" w14:textId="77777777" w:rsidR="00FA5518" w:rsidRPr="007A3B9A" w:rsidRDefault="00FA5518" w:rsidP="007A3B9A">
      <w:pPr>
        <w:spacing w:after="0" w:line="480" w:lineRule="auto"/>
        <w:jc w:val="both"/>
        <w:rPr>
          <w:rFonts w:ascii="Times New Roman" w:hAnsi="Times New Roman" w:cs="Times New Roman"/>
          <w:b/>
          <w:noProof/>
          <w:sz w:val="24"/>
          <w:szCs w:val="24"/>
          <w:u w:val="single"/>
        </w:rPr>
      </w:pPr>
      <w:r w:rsidRPr="007A3B9A">
        <w:rPr>
          <w:rFonts w:ascii="Times New Roman" w:hAnsi="Times New Roman" w:cs="Times New Roman"/>
          <w:b/>
          <w:noProof/>
          <w:sz w:val="24"/>
          <w:szCs w:val="24"/>
          <w:u w:val="single"/>
        </w:rPr>
        <w:t xml:space="preserve">A6.  Consequences of </w:t>
      </w:r>
      <w:r w:rsidR="00AD3119" w:rsidRPr="007A3B9A">
        <w:rPr>
          <w:rFonts w:ascii="Times New Roman" w:hAnsi="Times New Roman" w:cs="Times New Roman"/>
          <w:b/>
          <w:noProof/>
          <w:sz w:val="24"/>
          <w:szCs w:val="24"/>
          <w:u w:val="single"/>
        </w:rPr>
        <w:t>Collecting the Information Less Frequently</w:t>
      </w:r>
    </w:p>
    <w:p w14:paraId="74730EAE" w14:textId="77777777" w:rsidR="003E316D" w:rsidRPr="007A3B9A" w:rsidRDefault="00776868" w:rsidP="005D1FBE">
      <w:pPr>
        <w:spacing w:after="0" w:line="480" w:lineRule="auto"/>
        <w:ind w:firstLine="720"/>
        <w:jc w:val="both"/>
        <w:rPr>
          <w:rFonts w:ascii="Times New Roman" w:hAnsi="Times New Roman" w:cs="Times New Roman"/>
          <w:noProof/>
          <w:sz w:val="24"/>
          <w:szCs w:val="24"/>
        </w:rPr>
      </w:pPr>
      <w:r w:rsidRPr="007A3B9A">
        <w:rPr>
          <w:rFonts w:ascii="Times New Roman" w:hAnsi="Times New Roman" w:cs="Times New Roman"/>
          <w:noProof/>
          <w:sz w:val="24"/>
          <w:szCs w:val="24"/>
        </w:rPr>
        <w:t>The majority of sub-</w:t>
      </w:r>
      <w:r w:rsidR="00C038E9">
        <w:rPr>
          <w:rFonts w:ascii="Times New Roman" w:hAnsi="Times New Roman" w:cs="Times New Roman"/>
          <w:noProof/>
          <w:sz w:val="24"/>
          <w:szCs w:val="24"/>
        </w:rPr>
        <w:t>projects</w:t>
      </w:r>
      <w:r w:rsidR="00C038E9" w:rsidRPr="007A3B9A">
        <w:rPr>
          <w:rFonts w:ascii="Times New Roman" w:hAnsi="Times New Roman" w:cs="Times New Roman"/>
          <w:noProof/>
          <w:sz w:val="24"/>
          <w:szCs w:val="24"/>
        </w:rPr>
        <w:t xml:space="preserve"> </w:t>
      </w:r>
      <w:r w:rsidRPr="007A3B9A">
        <w:rPr>
          <w:rFonts w:ascii="Times New Roman" w:hAnsi="Times New Roman" w:cs="Times New Roman"/>
          <w:noProof/>
          <w:sz w:val="24"/>
          <w:szCs w:val="24"/>
        </w:rPr>
        <w:t xml:space="preserve">to </w:t>
      </w:r>
      <w:r w:rsidR="00C038E9">
        <w:rPr>
          <w:rFonts w:ascii="Times New Roman" w:hAnsi="Times New Roman" w:cs="Times New Roman"/>
          <w:noProof/>
          <w:sz w:val="24"/>
          <w:szCs w:val="24"/>
        </w:rPr>
        <w:t>be</w:t>
      </w:r>
      <w:r w:rsidRPr="007A3B9A">
        <w:rPr>
          <w:rFonts w:ascii="Times New Roman" w:hAnsi="Times New Roman" w:cs="Times New Roman"/>
          <w:noProof/>
          <w:sz w:val="24"/>
          <w:szCs w:val="24"/>
        </w:rPr>
        <w:t xml:space="preserve"> </w:t>
      </w:r>
      <w:r w:rsidR="00C038E9">
        <w:rPr>
          <w:rFonts w:ascii="Times New Roman" w:hAnsi="Times New Roman" w:cs="Times New Roman"/>
          <w:noProof/>
          <w:sz w:val="24"/>
          <w:szCs w:val="24"/>
        </w:rPr>
        <w:t xml:space="preserve">conducted </w:t>
      </w:r>
      <w:r w:rsidRPr="007A3B9A">
        <w:rPr>
          <w:rFonts w:ascii="Times New Roman" w:hAnsi="Times New Roman" w:cs="Times New Roman"/>
          <w:noProof/>
          <w:sz w:val="24"/>
          <w:szCs w:val="24"/>
        </w:rPr>
        <w:t xml:space="preserve">through this generic are planned as </w:t>
      </w:r>
      <w:r w:rsidR="00167D1E" w:rsidRPr="007A3B9A">
        <w:rPr>
          <w:rFonts w:ascii="Times New Roman" w:hAnsi="Times New Roman" w:cs="Times New Roman"/>
          <w:noProof/>
          <w:sz w:val="24"/>
          <w:szCs w:val="24"/>
        </w:rPr>
        <w:t>information collections from a single contact with</w:t>
      </w:r>
      <w:r w:rsidRPr="007A3B9A">
        <w:rPr>
          <w:rFonts w:ascii="Times New Roman" w:hAnsi="Times New Roman" w:cs="Times New Roman"/>
          <w:noProof/>
          <w:sz w:val="24"/>
          <w:szCs w:val="24"/>
        </w:rPr>
        <w:t xml:space="preserve"> participants. </w:t>
      </w:r>
      <w:r w:rsidR="006F46D6">
        <w:rPr>
          <w:rFonts w:ascii="Times New Roman" w:hAnsi="Times New Roman" w:cs="Times New Roman"/>
          <w:noProof/>
          <w:sz w:val="24"/>
          <w:szCs w:val="24"/>
        </w:rPr>
        <w:t>Sub-</w:t>
      </w:r>
      <w:r w:rsidR="004B42E9">
        <w:rPr>
          <w:rFonts w:ascii="Times New Roman" w:hAnsi="Times New Roman" w:cs="Times New Roman"/>
          <w:noProof/>
          <w:sz w:val="24"/>
          <w:szCs w:val="24"/>
        </w:rPr>
        <w:t>project</w:t>
      </w:r>
      <w:r w:rsidR="006F46D6">
        <w:rPr>
          <w:rFonts w:ascii="Times New Roman" w:hAnsi="Times New Roman" w:cs="Times New Roman"/>
          <w:noProof/>
          <w:sz w:val="24"/>
          <w:szCs w:val="24"/>
        </w:rPr>
        <w:t xml:space="preserve">s that involve the </w:t>
      </w:r>
      <w:r w:rsidR="006F46D6">
        <w:rPr>
          <w:rFonts w:ascii="Times New Roman" w:hAnsi="Times New Roman" w:cs="Times New Roman"/>
          <w:noProof/>
          <w:sz w:val="24"/>
          <w:szCs w:val="24"/>
        </w:rPr>
        <w:lastRenderedPageBreak/>
        <w:t xml:space="preserve">completion of a progress report may require frequent collections to judge prgogress toward meeting program goals or to suggest solutions to those having difficulty meeting program goals.  This includes </w:t>
      </w:r>
      <w:r w:rsidR="00660ED0">
        <w:rPr>
          <w:rFonts w:ascii="Times New Roman" w:hAnsi="Times New Roman" w:cs="Times New Roman"/>
          <w:noProof/>
          <w:sz w:val="24"/>
          <w:szCs w:val="24"/>
        </w:rPr>
        <w:t>assisting investigators in identifying collabo</w:t>
      </w:r>
      <w:r w:rsidR="00A14CB0">
        <w:rPr>
          <w:rFonts w:ascii="Times New Roman" w:hAnsi="Times New Roman" w:cs="Times New Roman"/>
          <w:noProof/>
          <w:sz w:val="24"/>
          <w:szCs w:val="24"/>
        </w:rPr>
        <w:t>r</w:t>
      </w:r>
      <w:r w:rsidR="00660ED0">
        <w:rPr>
          <w:rFonts w:ascii="Times New Roman" w:hAnsi="Times New Roman" w:cs="Times New Roman"/>
          <w:noProof/>
          <w:sz w:val="24"/>
          <w:szCs w:val="24"/>
        </w:rPr>
        <w:t xml:space="preserve">ative partners and study topics, when necessary. </w:t>
      </w:r>
      <w:r w:rsidRPr="007A3B9A">
        <w:rPr>
          <w:rFonts w:ascii="Times New Roman" w:hAnsi="Times New Roman" w:cs="Times New Roman"/>
          <w:noProof/>
          <w:sz w:val="24"/>
          <w:szCs w:val="24"/>
        </w:rPr>
        <w:t xml:space="preserve">  </w:t>
      </w:r>
      <w:r w:rsidR="005D1FBE">
        <w:rPr>
          <w:rFonts w:ascii="Times New Roman" w:hAnsi="Times New Roman" w:cs="Times New Roman"/>
          <w:noProof/>
          <w:sz w:val="24"/>
          <w:szCs w:val="24"/>
        </w:rPr>
        <w:t>When instances occur that multiple contacts will be made, t</w:t>
      </w:r>
      <w:r w:rsidR="004222A0">
        <w:rPr>
          <w:rFonts w:ascii="Times New Roman" w:hAnsi="Times New Roman" w:cs="Times New Roman"/>
          <w:noProof/>
          <w:sz w:val="24"/>
          <w:szCs w:val="24"/>
        </w:rPr>
        <w:t>he submitter for the i</w:t>
      </w:r>
      <w:r w:rsidRPr="007A3B9A">
        <w:rPr>
          <w:rFonts w:ascii="Times New Roman" w:hAnsi="Times New Roman" w:cs="Times New Roman"/>
          <w:noProof/>
          <w:sz w:val="24"/>
          <w:szCs w:val="24"/>
        </w:rPr>
        <w:t>ndividual sub-stud</w:t>
      </w:r>
      <w:r w:rsidR="004222A0">
        <w:rPr>
          <w:rFonts w:ascii="Times New Roman" w:hAnsi="Times New Roman" w:cs="Times New Roman"/>
          <w:noProof/>
          <w:sz w:val="24"/>
          <w:szCs w:val="24"/>
        </w:rPr>
        <w:t>ies</w:t>
      </w:r>
      <w:r w:rsidRPr="007A3B9A">
        <w:rPr>
          <w:rFonts w:ascii="Times New Roman" w:hAnsi="Times New Roman" w:cs="Times New Roman"/>
          <w:noProof/>
          <w:sz w:val="24"/>
          <w:szCs w:val="24"/>
        </w:rPr>
        <w:t xml:space="preserve"> will make provisi</w:t>
      </w:r>
      <w:r w:rsidR="002B414B" w:rsidRPr="007A3B9A">
        <w:rPr>
          <w:rFonts w:ascii="Times New Roman" w:hAnsi="Times New Roman" w:cs="Times New Roman"/>
          <w:noProof/>
          <w:sz w:val="24"/>
          <w:szCs w:val="24"/>
        </w:rPr>
        <w:t>ons for the additional contact and provide justification in terms of more meaningful results.</w:t>
      </w:r>
      <w:r w:rsidR="00854337" w:rsidRPr="007A3B9A">
        <w:rPr>
          <w:rFonts w:ascii="Times New Roman" w:hAnsi="Times New Roman" w:cs="Times New Roman"/>
          <w:noProof/>
          <w:sz w:val="24"/>
          <w:szCs w:val="24"/>
        </w:rPr>
        <w:t xml:space="preserve"> </w:t>
      </w:r>
    </w:p>
    <w:p w14:paraId="7D072E21" w14:textId="77777777" w:rsidR="00AD3119" w:rsidRPr="007A3B9A" w:rsidRDefault="00AD3119" w:rsidP="007A3B9A">
      <w:pPr>
        <w:spacing w:after="0" w:line="480" w:lineRule="auto"/>
        <w:jc w:val="both"/>
        <w:rPr>
          <w:rFonts w:ascii="Times New Roman" w:hAnsi="Times New Roman" w:cs="Times New Roman"/>
          <w:b/>
          <w:noProof/>
          <w:sz w:val="24"/>
          <w:szCs w:val="24"/>
          <w:u w:val="single"/>
        </w:rPr>
      </w:pPr>
      <w:r w:rsidRPr="007A3B9A">
        <w:rPr>
          <w:rFonts w:ascii="Times New Roman" w:hAnsi="Times New Roman" w:cs="Times New Roman"/>
          <w:b/>
          <w:noProof/>
          <w:sz w:val="24"/>
          <w:szCs w:val="24"/>
          <w:u w:val="single"/>
        </w:rPr>
        <w:t>A7.  Special Circumstances Relating to the Guidelines of 5 CFR 1320.5</w:t>
      </w:r>
    </w:p>
    <w:p w14:paraId="1781B12F" w14:textId="77777777" w:rsidR="00167D1E" w:rsidRPr="007A3B9A" w:rsidRDefault="00D4027E" w:rsidP="007A3B9A">
      <w:pPr>
        <w:spacing w:after="0" w:line="480" w:lineRule="auto"/>
        <w:ind w:firstLine="720"/>
        <w:jc w:val="both"/>
        <w:rPr>
          <w:rFonts w:ascii="Times New Roman" w:hAnsi="Times New Roman" w:cs="Times New Roman"/>
          <w:noProof/>
          <w:sz w:val="24"/>
          <w:szCs w:val="24"/>
        </w:rPr>
      </w:pPr>
      <w:r w:rsidRPr="007A3B9A">
        <w:rPr>
          <w:rFonts w:ascii="Times New Roman" w:hAnsi="Times New Roman" w:cs="Times New Roman"/>
          <w:noProof/>
          <w:sz w:val="24"/>
          <w:szCs w:val="24"/>
        </w:rPr>
        <w:t xml:space="preserve">NCI recognizes the requirement of OMB review as a mechanism to reduce burden on </w:t>
      </w:r>
      <w:r w:rsidR="008D037A" w:rsidRPr="007A3B9A">
        <w:rPr>
          <w:rFonts w:ascii="Times New Roman" w:hAnsi="Times New Roman" w:cs="Times New Roman"/>
          <w:noProof/>
          <w:sz w:val="24"/>
          <w:szCs w:val="24"/>
        </w:rPr>
        <w:t xml:space="preserve">information collection </w:t>
      </w:r>
      <w:r w:rsidRPr="007A3B9A">
        <w:rPr>
          <w:rFonts w:ascii="Times New Roman" w:hAnsi="Times New Roman" w:cs="Times New Roman"/>
          <w:noProof/>
          <w:sz w:val="24"/>
          <w:szCs w:val="24"/>
        </w:rPr>
        <w:t>participants and will ensure that information collections conducted under this generic clearance will comply with 5 CFR 1320.5.  Investigators of specific sub-</w:t>
      </w:r>
      <w:r w:rsidR="00D810AF">
        <w:rPr>
          <w:rFonts w:ascii="Times New Roman" w:hAnsi="Times New Roman" w:cs="Times New Roman"/>
          <w:noProof/>
          <w:sz w:val="24"/>
          <w:szCs w:val="24"/>
        </w:rPr>
        <w:t>projects</w:t>
      </w:r>
      <w:r w:rsidR="00D810AF" w:rsidRPr="007A3B9A">
        <w:rPr>
          <w:rFonts w:ascii="Times New Roman" w:hAnsi="Times New Roman" w:cs="Times New Roman"/>
          <w:noProof/>
          <w:sz w:val="24"/>
          <w:szCs w:val="24"/>
        </w:rPr>
        <w:t xml:space="preserve"> </w:t>
      </w:r>
      <w:r w:rsidRPr="007A3B9A">
        <w:rPr>
          <w:rFonts w:ascii="Times New Roman" w:hAnsi="Times New Roman" w:cs="Times New Roman"/>
          <w:noProof/>
          <w:sz w:val="24"/>
          <w:szCs w:val="24"/>
        </w:rPr>
        <w:t>will provide indication of and justification for exceptions</w:t>
      </w:r>
      <w:r w:rsidR="00D810AF">
        <w:rPr>
          <w:rFonts w:ascii="Times New Roman" w:hAnsi="Times New Roman" w:cs="Times New Roman"/>
          <w:noProof/>
          <w:sz w:val="24"/>
          <w:szCs w:val="24"/>
        </w:rPr>
        <w:t xml:space="preserve"> to these guidelines</w:t>
      </w:r>
      <w:r w:rsidRPr="007A3B9A">
        <w:rPr>
          <w:rFonts w:ascii="Times New Roman" w:hAnsi="Times New Roman" w:cs="Times New Roman"/>
          <w:noProof/>
          <w:sz w:val="24"/>
          <w:szCs w:val="24"/>
        </w:rPr>
        <w:t>.</w:t>
      </w:r>
    </w:p>
    <w:p w14:paraId="65772207" w14:textId="77777777" w:rsidR="00910D7E" w:rsidRDefault="00AD3119" w:rsidP="00910D7E">
      <w:pPr>
        <w:spacing w:after="0" w:line="240" w:lineRule="auto"/>
        <w:jc w:val="both"/>
        <w:rPr>
          <w:rFonts w:ascii="Times New Roman" w:hAnsi="Times New Roman" w:cs="Times New Roman"/>
          <w:b/>
          <w:noProof/>
          <w:sz w:val="24"/>
          <w:szCs w:val="24"/>
          <w:u w:val="single"/>
        </w:rPr>
      </w:pPr>
      <w:r w:rsidRPr="007A3B9A">
        <w:rPr>
          <w:rFonts w:ascii="Times New Roman" w:hAnsi="Times New Roman" w:cs="Times New Roman"/>
          <w:b/>
          <w:noProof/>
          <w:sz w:val="24"/>
          <w:szCs w:val="24"/>
          <w:u w:val="single"/>
        </w:rPr>
        <w:t>A8.  Comments in Response to the Federal Register Notice and Efforts to Consult Outside the Agency</w:t>
      </w:r>
    </w:p>
    <w:p w14:paraId="26614B19" w14:textId="77777777" w:rsidR="00910D7E" w:rsidRPr="00910D7E" w:rsidRDefault="00910D7E" w:rsidP="00910D7E">
      <w:pPr>
        <w:spacing w:after="0" w:line="240" w:lineRule="auto"/>
        <w:jc w:val="both"/>
      </w:pPr>
    </w:p>
    <w:p w14:paraId="7D8ACEC7" w14:textId="77777777" w:rsidR="005E7776" w:rsidRDefault="004222A0" w:rsidP="005E7776">
      <w:pPr>
        <w:pStyle w:val="BodyTextIndent"/>
        <w:tabs>
          <w:tab w:val="left" w:pos="0"/>
        </w:tabs>
        <w:spacing w:before="0" w:after="0" w:line="480" w:lineRule="auto"/>
        <w:rPr>
          <w:sz w:val="24"/>
          <w:szCs w:val="24"/>
        </w:rPr>
      </w:pPr>
      <w:r w:rsidRPr="007A3B9A">
        <w:rPr>
          <w:color w:val="000000" w:themeColor="text1"/>
          <w:sz w:val="24"/>
          <w:szCs w:val="24"/>
        </w:rPr>
        <w:t xml:space="preserve">The 60-Day </w:t>
      </w:r>
      <w:r w:rsidRPr="007A3B9A">
        <w:rPr>
          <w:color w:val="000000" w:themeColor="text1"/>
          <w:sz w:val="24"/>
          <w:szCs w:val="24"/>
          <w:u w:val="single"/>
        </w:rPr>
        <w:t>Federal</w:t>
      </w:r>
      <w:r w:rsidRPr="007A3B9A">
        <w:rPr>
          <w:color w:val="000000" w:themeColor="text1"/>
          <w:sz w:val="24"/>
          <w:szCs w:val="24"/>
        </w:rPr>
        <w:t xml:space="preserve"> </w:t>
      </w:r>
      <w:r w:rsidRPr="007A3B9A">
        <w:rPr>
          <w:color w:val="000000" w:themeColor="text1"/>
          <w:sz w:val="24"/>
          <w:szCs w:val="24"/>
          <w:u w:val="single"/>
        </w:rPr>
        <w:t>Register</w:t>
      </w:r>
      <w:r w:rsidRPr="007A3B9A">
        <w:rPr>
          <w:color w:val="000000" w:themeColor="text1"/>
          <w:sz w:val="24"/>
          <w:szCs w:val="24"/>
        </w:rPr>
        <w:t xml:space="preserve"> notice soliciting comments on this study prior to initial submission to OMB was published on </w:t>
      </w:r>
      <w:r w:rsidR="005E7776">
        <w:rPr>
          <w:sz w:val="24"/>
          <w:szCs w:val="24"/>
        </w:rPr>
        <w:t>May 23, 2013, Volume 78, p. 30930</w:t>
      </w:r>
      <w:r w:rsidR="005E7776" w:rsidRPr="00DC71FF">
        <w:rPr>
          <w:bCs/>
          <w:sz w:val="24"/>
          <w:szCs w:val="24"/>
        </w:rPr>
        <w:t xml:space="preserve">.  </w:t>
      </w:r>
      <w:r w:rsidR="005E7776" w:rsidRPr="00DC71FF">
        <w:rPr>
          <w:sz w:val="24"/>
          <w:szCs w:val="24"/>
        </w:rPr>
        <w:t>One public comment was received on May 24, 2013 stating that the agency should spend more money on funding prevention research.  An email response was sent on May 28, 2013 stating, “Your comments were received and they will be taken into consideration</w:t>
      </w:r>
      <w:r w:rsidR="005E7776">
        <w:rPr>
          <w:sz w:val="24"/>
          <w:szCs w:val="24"/>
        </w:rPr>
        <w:t>.</w:t>
      </w:r>
      <w:r w:rsidR="005E7776" w:rsidRPr="00DC71FF">
        <w:rPr>
          <w:sz w:val="24"/>
          <w:szCs w:val="24"/>
        </w:rPr>
        <w:t xml:space="preserve">”  </w:t>
      </w:r>
    </w:p>
    <w:p w14:paraId="512B9A2F" w14:textId="0F010C24" w:rsidR="00092EAC" w:rsidRDefault="00001380" w:rsidP="00092EAC">
      <w:pPr>
        <w:pStyle w:val="BodyTextIndent"/>
        <w:tabs>
          <w:tab w:val="left" w:pos="0"/>
        </w:tabs>
        <w:spacing w:before="0" w:after="0" w:line="480" w:lineRule="auto"/>
        <w:rPr>
          <w:noProof/>
          <w:sz w:val="24"/>
          <w:szCs w:val="24"/>
        </w:rPr>
      </w:pPr>
      <w:r>
        <w:rPr>
          <w:noProof/>
          <w:sz w:val="24"/>
          <w:szCs w:val="24"/>
        </w:rPr>
        <w:t xml:space="preserve">The </w:t>
      </w:r>
      <w:r w:rsidR="005E7776">
        <w:rPr>
          <w:noProof/>
          <w:sz w:val="24"/>
          <w:szCs w:val="24"/>
        </w:rPr>
        <w:t xml:space="preserve">program staff who have written the previous </w:t>
      </w:r>
      <w:r>
        <w:rPr>
          <w:noProof/>
          <w:sz w:val="24"/>
          <w:szCs w:val="24"/>
        </w:rPr>
        <w:t>full generics</w:t>
      </w:r>
      <w:r w:rsidR="005E7776">
        <w:rPr>
          <w:noProof/>
          <w:sz w:val="24"/>
          <w:szCs w:val="24"/>
        </w:rPr>
        <w:t xml:space="preserve"> at NCI</w:t>
      </w:r>
      <w:r>
        <w:rPr>
          <w:noProof/>
          <w:sz w:val="24"/>
          <w:szCs w:val="24"/>
        </w:rPr>
        <w:t xml:space="preserve">, as well as program staff who have submitted sub-projects that have been reviewed and returned by OMB,  have contributed ideas and comments to this request. </w:t>
      </w:r>
      <w:r w:rsidR="0055523D">
        <w:rPr>
          <w:noProof/>
          <w:sz w:val="24"/>
          <w:szCs w:val="24"/>
        </w:rPr>
        <w:t xml:space="preserve">Additionally, </w:t>
      </w:r>
      <w:r>
        <w:rPr>
          <w:noProof/>
          <w:sz w:val="24"/>
          <w:szCs w:val="24"/>
        </w:rPr>
        <w:t xml:space="preserve">NCI has sought out collaborations and input regarding this submission with program </w:t>
      </w:r>
      <w:r w:rsidR="00F77DA0">
        <w:rPr>
          <w:noProof/>
          <w:sz w:val="24"/>
          <w:szCs w:val="24"/>
        </w:rPr>
        <w:t>staff</w:t>
      </w:r>
      <w:r>
        <w:rPr>
          <w:noProof/>
          <w:sz w:val="24"/>
          <w:szCs w:val="24"/>
        </w:rPr>
        <w:t xml:space="preserve"> and PRA Liaisions at a variety of </w:t>
      </w:r>
      <w:r w:rsidR="0055523D">
        <w:rPr>
          <w:noProof/>
          <w:sz w:val="24"/>
          <w:szCs w:val="24"/>
        </w:rPr>
        <w:t xml:space="preserve">other </w:t>
      </w:r>
      <w:r>
        <w:rPr>
          <w:noProof/>
          <w:sz w:val="24"/>
          <w:szCs w:val="24"/>
        </w:rPr>
        <w:t>NIH Institutes</w:t>
      </w:r>
      <w:r w:rsidR="0055523D">
        <w:rPr>
          <w:noProof/>
          <w:sz w:val="24"/>
          <w:szCs w:val="24"/>
        </w:rPr>
        <w:t>.</w:t>
      </w:r>
    </w:p>
    <w:p w14:paraId="4B6CEEF0" w14:textId="77777777" w:rsidR="008C1231" w:rsidRDefault="008C1231" w:rsidP="007A3B9A">
      <w:pPr>
        <w:spacing w:after="0" w:line="480" w:lineRule="auto"/>
        <w:jc w:val="both"/>
        <w:rPr>
          <w:rFonts w:ascii="Times New Roman" w:hAnsi="Times New Roman" w:cs="Times New Roman"/>
          <w:b/>
          <w:noProof/>
          <w:sz w:val="24"/>
          <w:szCs w:val="24"/>
          <w:u w:val="single"/>
        </w:rPr>
      </w:pPr>
    </w:p>
    <w:p w14:paraId="10C6DA83" w14:textId="77777777" w:rsidR="00AD3119" w:rsidRPr="007A3B9A" w:rsidRDefault="00AD3119" w:rsidP="007A3B9A">
      <w:pPr>
        <w:spacing w:after="0" w:line="480" w:lineRule="auto"/>
        <w:jc w:val="both"/>
        <w:rPr>
          <w:rFonts w:ascii="Times New Roman" w:hAnsi="Times New Roman" w:cs="Times New Roman"/>
          <w:b/>
          <w:noProof/>
          <w:sz w:val="24"/>
          <w:szCs w:val="24"/>
          <w:u w:val="single"/>
        </w:rPr>
      </w:pPr>
      <w:r w:rsidRPr="007A3B9A">
        <w:rPr>
          <w:rFonts w:ascii="Times New Roman" w:hAnsi="Times New Roman" w:cs="Times New Roman"/>
          <w:b/>
          <w:noProof/>
          <w:sz w:val="24"/>
          <w:szCs w:val="24"/>
          <w:u w:val="single"/>
        </w:rPr>
        <w:lastRenderedPageBreak/>
        <w:t>A9.  Explanation of Any Payment or Gift to Respondents</w:t>
      </w:r>
    </w:p>
    <w:p w14:paraId="37B99A79" w14:textId="062BFA9F" w:rsidR="00464DB9" w:rsidRPr="007A3B9A" w:rsidRDefault="00FB54DC" w:rsidP="007A3B9A">
      <w:pPr>
        <w:spacing w:after="0" w:line="48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There will be few if any sub-</w:t>
      </w:r>
      <w:r w:rsidR="0055523D">
        <w:rPr>
          <w:rFonts w:ascii="Times New Roman" w:hAnsi="Times New Roman" w:cs="Times New Roman"/>
          <w:noProof/>
          <w:sz w:val="24"/>
          <w:szCs w:val="24"/>
        </w:rPr>
        <w:t>projects</w:t>
      </w:r>
      <w:r>
        <w:rPr>
          <w:rFonts w:ascii="Times New Roman" w:hAnsi="Times New Roman" w:cs="Times New Roman"/>
          <w:noProof/>
          <w:sz w:val="24"/>
          <w:szCs w:val="24"/>
        </w:rPr>
        <w:t xml:space="preserve"> that </w:t>
      </w:r>
      <w:r w:rsidR="00E52FDE">
        <w:rPr>
          <w:rFonts w:ascii="Times New Roman" w:hAnsi="Times New Roman" w:cs="Times New Roman"/>
          <w:noProof/>
          <w:sz w:val="24"/>
          <w:szCs w:val="24"/>
        </w:rPr>
        <w:t xml:space="preserve">would </w:t>
      </w:r>
      <w:r w:rsidR="005F13B5">
        <w:rPr>
          <w:rFonts w:ascii="Times New Roman" w:hAnsi="Times New Roman" w:cs="Times New Roman"/>
          <w:noProof/>
          <w:sz w:val="24"/>
          <w:szCs w:val="24"/>
        </w:rPr>
        <w:t xml:space="preserve">use </w:t>
      </w:r>
      <w:r>
        <w:rPr>
          <w:rFonts w:ascii="Times New Roman" w:hAnsi="Times New Roman" w:cs="Times New Roman"/>
          <w:noProof/>
          <w:sz w:val="24"/>
          <w:szCs w:val="24"/>
        </w:rPr>
        <w:t xml:space="preserve">an </w:t>
      </w:r>
      <w:r w:rsidR="009866F9" w:rsidRPr="00FB54DC">
        <w:rPr>
          <w:rFonts w:ascii="Times New Roman" w:hAnsi="Times New Roman" w:cs="Times New Roman"/>
          <w:noProof/>
          <w:sz w:val="24"/>
          <w:szCs w:val="24"/>
        </w:rPr>
        <w:t xml:space="preserve"> incentive </w:t>
      </w:r>
      <w:r w:rsidR="005F13B5">
        <w:rPr>
          <w:rFonts w:ascii="Times New Roman" w:hAnsi="Times New Roman" w:cs="Times New Roman"/>
          <w:noProof/>
          <w:sz w:val="24"/>
          <w:szCs w:val="24"/>
        </w:rPr>
        <w:t>t</w:t>
      </w:r>
      <w:r w:rsidR="009866F9" w:rsidRPr="00FB54DC">
        <w:rPr>
          <w:rFonts w:ascii="Times New Roman" w:hAnsi="Times New Roman" w:cs="Times New Roman"/>
          <w:noProof/>
          <w:sz w:val="24"/>
          <w:szCs w:val="24"/>
        </w:rPr>
        <w:t>o</w:t>
      </w:r>
      <w:r w:rsidR="005F13B5">
        <w:rPr>
          <w:rFonts w:ascii="Times New Roman" w:hAnsi="Times New Roman" w:cs="Times New Roman"/>
          <w:noProof/>
          <w:sz w:val="24"/>
          <w:szCs w:val="24"/>
        </w:rPr>
        <w:t xml:space="preserve"> motivate</w:t>
      </w:r>
      <w:r w:rsidR="009866F9" w:rsidRPr="00FB54DC">
        <w:rPr>
          <w:rFonts w:ascii="Times New Roman" w:hAnsi="Times New Roman" w:cs="Times New Roman"/>
          <w:noProof/>
          <w:sz w:val="24"/>
          <w:szCs w:val="24"/>
        </w:rPr>
        <w:t xml:space="preserve"> participation</w:t>
      </w:r>
      <w:r>
        <w:rPr>
          <w:rFonts w:ascii="Times New Roman" w:hAnsi="Times New Roman" w:cs="Times New Roman"/>
          <w:noProof/>
          <w:sz w:val="24"/>
          <w:szCs w:val="24"/>
        </w:rPr>
        <w:t xml:space="preserve">.  If an incentive is planned, the </w:t>
      </w:r>
      <w:r w:rsidR="00B12DA1">
        <w:rPr>
          <w:rFonts w:ascii="Times New Roman" w:hAnsi="Times New Roman" w:cs="Times New Roman"/>
          <w:noProof/>
          <w:sz w:val="24"/>
          <w:szCs w:val="24"/>
        </w:rPr>
        <w:t xml:space="preserve">sub-project will </w:t>
      </w:r>
      <w:r>
        <w:rPr>
          <w:rFonts w:ascii="Times New Roman" w:hAnsi="Times New Roman" w:cs="Times New Roman"/>
          <w:noProof/>
          <w:sz w:val="24"/>
          <w:szCs w:val="24"/>
        </w:rPr>
        <w:t>justify</w:t>
      </w:r>
      <w:r w:rsidR="00B12DA1">
        <w:rPr>
          <w:rFonts w:ascii="Times New Roman" w:hAnsi="Times New Roman" w:cs="Times New Roman"/>
          <w:noProof/>
          <w:sz w:val="24"/>
          <w:szCs w:val="24"/>
        </w:rPr>
        <w:t xml:space="preserve"> the need in the mini-SSA</w:t>
      </w:r>
      <w:r>
        <w:rPr>
          <w:rFonts w:ascii="Times New Roman" w:hAnsi="Times New Roman" w:cs="Times New Roman"/>
          <w:noProof/>
          <w:sz w:val="24"/>
          <w:szCs w:val="24"/>
        </w:rPr>
        <w:t xml:space="preserve"> </w:t>
      </w:r>
      <w:r w:rsidR="00B12DA1">
        <w:rPr>
          <w:rFonts w:ascii="Times New Roman" w:hAnsi="Times New Roman" w:cs="Times New Roman"/>
          <w:noProof/>
          <w:sz w:val="24"/>
          <w:szCs w:val="24"/>
        </w:rPr>
        <w:t>at the time of the request</w:t>
      </w:r>
      <w:r>
        <w:rPr>
          <w:rFonts w:ascii="Times New Roman" w:hAnsi="Times New Roman" w:cs="Times New Roman"/>
          <w:noProof/>
          <w:sz w:val="24"/>
          <w:szCs w:val="24"/>
        </w:rPr>
        <w:t xml:space="preserve">.  </w:t>
      </w:r>
      <w:r w:rsidR="00CC7DF6">
        <w:rPr>
          <w:rFonts w:ascii="Times New Roman" w:hAnsi="Times New Roman" w:cs="Times New Roman"/>
          <w:noProof/>
          <w:sz w:val="24"/>
          <w:szCs w:val="24"/>
        </w:rPr>
        <w:t>Specifically, incentives may be used in situations where hard-to-find population or highly specialialized respondents are needed to improve or maintain the quality of the survey data, or in studies that impose exceptional burden on respondents (e.g., asking highly sensitive questions).</w:t>
      </w:r>
    </w:p>
    <w:p w14:paraId="6667E75A" w14:textId="77777777" w:rsidR="00AD3119" w:rsidRPr="007A3B9A" w:rsidRDefault="00AD3119" w:rsidP="007A3B9A">
      <w:pPr>
        <w:spacing w:after="0" w:line="480" w:lineRule="auto"/>
        <w:jc w:val="both"/>
        <w:rPr>
          <w:rFonts w:ascii="Times New Roman" w:hAnsi="Times New Roman" w:cs="Times New Roman"/>
          <w:b/>
          <w:noProof/>
          <w:sz w:val="24"/>
          <w:szCs w:val="24"/>
          <w:u w:val="single"/>
        </w:rPr>
      </w:pPr>
      <w:r w:rsidRPr="007A3B9A">
        <w:rPr>
          <w:rFonts w:ascii="Times New Roman" w:hAnsi="Times New Roman" w:cs="Times New Roman"/>
          <w:b/>
          <w:noProof/>
          <w:sz w:val="24"/>
          <w:szCs w:val="24"/>
          <w:u w:val="single"/>
        </w:rPr>
        <w:t>A10.  Assurance of Confidentiality Provided to Resondents</w:t>
      </w:r>
    </w:p>
    <w:p w14:paraId="3B2347E7" w14:textId="77777777" w:rsidR="00207DF1" w:rsidRPr="007A3B9A" w:rsidRDefault="007451F6" w:rsidP="007A3B9A">
      <w:pPr>
        <w:spacing w:after="0" w:line="480" w:lineRule="auto"/>
        <w:ind w:firstLine="720"/>
        <w:jc w:val="both"/>
        <w:rPr>
          <w:rFonts w:ascii="Times New Roman" w:hAnsi="Times New Roman" w:cs="Times New Roman"/>
          <w:noProof/>
          <w:sz w:val="24"/>
          <w:szCs w:val="24"/>
        </w:rPr>
      </w:pPr>
      <w:r w:rsidRPr="007A3B9A">
        <w:rPr>
          <w:rFonts w:ascii="Times New Roman" w:hAnsi="Times New Roman" w:cs="Times New Roman"/>
          <w:noProof/>
          <w:sz w:val="24"/>
          <w:szCs w:val="24"/>
        </w:rPr>
        <w:t xml:space="preserve">In keeping with human subjects research protections, the </w:t>
      </w:r>
      <w:r w:rsidR="008D037A" w:rsidRPr="007A3B9A">
        <w:rPr>
          <w:rFonts w:ascii="Times New Roman" w:hAnsi="Times New Roman" w:cs="Times New Roman"/>
          <w:noProof/>
          <w:sz w:val="24"/>
          <w:szCs w:val="24"/>
        </w:rPr>
        <w:t>informati</w:t>
      </w:r>
      <w:r w:rsidR="000D0E9C" w:rsidRPr="007A3B9A">
        <w:rPr>
          <w:rFonts w:ascii="Times New Roman" w:hAnsi="Times New Roman" w:cs="Times New Roman"/>
          <w:noProof/>
          <w:sz w:val="24"/>
          <w:szCs w:val="24"/>
        </w:rPr>
        <w:t>o</w:t>
      </w:r>
      <w:r w:rsidR="008D037A" w:rsidRPr="007A3B9A">
        <w:rPr>
          <w:rFonts w:ascii="Times New Roman" w:hAnsi="Times New Roman" w:cs="Times New Roman"/>
          <w:noProof/>
          <w:sz w:val="24"/>
          <w:szCs w:val="24"/>
        </w:rPr>
        <w:t xml:space="preserve">n collections </w:t>
      </w:r>
      <w:r w:rsidRPr="007A3B9A">
        <w:rPr>
          <w:rFonts w:ascii="Times New Roman" w:hAnsi="Times New Roman" w:cs="Times New Roman"/>
          <w:noProof/>
          <w:sz w:val="24"/>
          <w:szCs w:val="24"/>
        </w:rPr>
        <w:t>conducted under this generic clearance will ta</w:t>
      </w:r>
      <w:r w:rsidR="007B3BCC" w:rsidRPr="007A3B9A">
        <w:rPr>
          <w:rFonts w:ascii="Times New Roman" w:hAnsi="Times New Roman" w:cs="Times New Roman"/>
          <w:noProof/>
          <w:sz w:val="24"/>
          <w:szCs w:val="24"/>
        </w:rPr>
        <w:t xml:space="preserve">ke steps to guarantee that </w:t>
      </w:r>
      <w:r w:rsidRPr="007A3B9A">
        <w:rPr>
          <w:rFonts w:ascii="Times New Roman" w:hAnsi="Times New Roman" w:cs="Times New Roman"/>
          <w:noProof/>
          <w:sz w:val="24"/>
          <w:szCs w:val="24"/>
        </w:rPr>
        <w:t>all personally indentifiable information (PII)</w:t>
      </w:r>
      <w:r w:rsidR="006F0DD1" w:rsidRPr="007A3B9A">
        <w:rPr>
          <w:rFonts w:ascii="Times New Roman" w:hAnsi="Times New Roman" w:cs="Times New Roman"/>
          <w:noProof/>
          <w:sz w:val="24"/>
          <w:szCs w:val="24"/>
        </w:rPr>
        <w:t>,</w:t>
      </w:r>
      <w:r w:rsidRPr="007A3B9A">
        <w:rPr>
          <w:rFonts w:ascii="Times New Roman" w:hAnsi="Times New Roman" w:cs="Times New Roman"/>
          <w:noProof/>
          <w:sz w:val="24"/>
          <w:szCs w:val="24"/>
        </w:rPr>
        <w:t xml:space="preserve"> and all </w:t>
      </w:r>
      <w:r w:rsidR="007B3BCC" w:rsidRPr="007A3B9A">
        <w:rPr>
          <w:rFonts w:ascii="Times New Roman" w:hAnsi="Times New Roman" w:cs="Times New Roman"/>
          <w:noProof/>
          <w:sz w:val="24"/>
          <w:szCs w:val="24"/>
        </w:rPr>
        <w:t xml:space="preserve">data </w:t>
      </w:r>
      <w:r w:rsidRPr="007A3B9A">
        <w:rPr>
          <w:rFonts w:ascii="Times New Roman" w:hAnsi="Times New Roman" w:cs="Times New Roman"/>
          <w:noProof/>
          <w:sz w:val="24"/>
          <w:szCs w:val="24"/>
        </w:rPr>
        <w:t>collected</w:t>
      </w:r>
      <w:r w:rsidR="006F0DD1" w:rsidRPr="007A3B9A">
        <w:rPr>
          <w:rFonts w:ascii="Times New Roman" w:hAnsi="Times New Roman" w:cs="Times New Roman"/>
          <w:noProof/>
          <w:sz w:val="24"/>
          <w:szCs w:val="24"/>
        </w:rPr>
        <w:t>,</w:t>
      </w:r>
      <w:r w:rsidRPr="007A3B9A">
        <w:rPr>
          <w:rFonts w:ascii="Times New Roman" w:hAnsi="Times New Roman" w:cs="Times New Roman"/>
          <w:noProof/>
          <w:sz w:val="24"/>
          <w:szCs w:val="24"/>
        </w:rPr>
        <w:t xml:space="preserve"> </w:t>
      </w:r>
      <w:r w:rsidR="007B3BCC" w:rsidRPr="007A3B9A">
        <w:rPr>
          <w:rFonts w:ascii="Times New Roman" w:hAnsi="Times New Roman" w:cs="Times New Roman"/>
          <w:noProof/>
          <w:sz w:val="24"/>
          <w:szCs w:val="24"/>
        </w:rPr>
        <w:t xml:space="preserve">are </w:t>
      </w:r>
      <w:r w:rsidRPr="007A3B9A">
        <w:rPr>
          <w:rFonts w:ascii="Times New Roman" w:hAnsi="Times New Roman" w:cs="Times New Roman"/>
          <w:noProof/>
          <w:sz w:val="24"/>
          <w:szCs w:val="24"/>
        </w:rPr>
        <w:t xml:space="preserve">secure and </w:t>
      </w:r>
      <w:r w:rsidR="00787F0B">
        <w:rPr>
          <w:rFonts w:ascii="Times New Roman" w:hAnsi="Times New Roman" w:cs="Times New Roman"/>
          <w:noProof/>
          <w:sz w:val="24"/>
          <w:szCs w:val="24"/>
        </w:rPr>
        <w:t>private</w:t>
      </w:r>
      <w:r w:rsidRPr="007A3B9A">
        <w:rPr>
          <w:rFonts w:ascii="Times New Roman" w:hAnsi="Times New Roman" w:cs="Times New Roman"/>
          <w:noProof/>
          <w:sz w:val="24"/>
          <w:szCs w:val="24"/>
        </w:rPr>
        <w:t>.</w:t>
      </w:r>
      <w:r w:rsidR="00787F0B">
        <w:rPr>
          <w:rFonts w:ascii="Times New Roman" w:hAnsi="Times New Roman" w:cs="Times New Roman"/>
          <w:noProof/>
          <w:sz w:val="24"/>
          <w:szCs w:val="24"/>
        </w:rPr>
        <w:t xml:space="preserve">  PII will only be collected to the extent necessary.</w:t>
      </w:r>
      <w:r w:rsidRPr="007A3B9A">
        <w:rPr>
          <w:rFonts w:ascii="Times New Roman" w:hAnsi="Times New Roman" w:cs="Times New Roman"/>
          <w:noProof/>
          <w:sz w:val="24"/>
          <w:szCs w:val="24"/>
        </w:rPr>
        <w:t xml:space="preserve">  </w:t>
      </w:r>
      <w:r w:rsidR="006F0DD1" w:rsidRPr="007A3B9A">
        <w:rPr>
          <w:rFonts w:ascii="Times New Roman" w:hAnsi="Times New Roman" w:cs="Times New Roman"/>
          <w:noProof/>
          <w:sz w:val="24"/>
          <w:szCs w:val="24"/>
        </w:rPr>
        <w:t xml:space="preserve">Respondents will be informed of </w:t>
      </w:r>
      <w:r w:rsidR="00787F0B">
        <w:rPr>
          <w:rFonts w:ascii="Times New Roman" w:hAnsi="Times New Roman" w:cs="Times New Roman"/>
          <w:noProof/>
          <w:sz w:val="24"/>
          <w:szCs w:val="24"/>
        </w:rPr>
        <w:t>security</w:t>
      </w:r>
      <w:r w:rsidR="006F0DD1" w:rsidRPr="007A3B9A">
        <w:rPr>
          <w:rFonts w:ascii="Times New Roman" w:hAnsi="Times New Roman" w:cs="Times New Roman"/>
          <w:noProof/>
          <w:sz w:val="24"/>
          <w:szCs w:val="24"/>
        </w:rPr>
        <w:t xml:space="preserve"> through explanatory text on the cover of </w:t>
      </w:r>
      <w:r w:rsidR="00FB54DC">
        <w:rPr>
          <w:rFonts w:ascii="Times New Roman" w:hAnsi="Times New Roman" w:cs="Times New Roman"/>
          <w:noProof/>
          <w:sz w:val="24"/>
          <w:szCs w:val="24"/>
        </w:rPr>
        <w:t xml:space="preserve">forms and applications.  </w:t>
      </w:r>
      <w:r w:rsidR="006F0DD1" w:rsidRPr="007A3B9A">
        <w:rPr>
          <w:rFonts w:ascii="Times New Roman" w:hAnsi="Times New Roman" w:cs="Times New Roman"/>
          <w:noProof/>
          <w:sz w:val="24"/>
          <w:szCs w:val="24"/>
        </w:rPr>
        <w:t xml:space="preserve">In addition, respondents will be advised of the </w:t>
      </w:r>
      <w:r w:rsidR="002E7021" w:rsidRPr="007A3B9A">
        <w:rPr>
          <w:rFonts w:ascii="Times New Roman" w:hAnsi="Times New Roman" w:cs="Times New Roman"/>
          <w:noProof/>
          <w:sz w:val="24"/>
          <w:szCs w:val="24"/>
        </w:rPr>
        <w:t xml:space="preserve">purpose of the </w:t>
      </w:r>
      <w:r w:rsidR="00FB54DC">
        <w:rPr>
          <w:rFonts w:ascii="Times New Roman" w:hAnsi="Times New Roman" w:cs="Times New Roman"/>
          <w:noProof/>
          <w:sz w:val="24"/>
          <w:szCs w:val="24"/>
        </w:rPr>
        <w:t>information collection</w:t>
      </w:r>
      <w:r w:rsidR="002E7021" w:rsidRPr="007A3B9A">
        <w:rPr>
          <w:rFonts w:ascii="Times New Roman" w:hAnsi="Times New Roman" w:cs="Times New Roman"/>
          <w:noProof/>
          <w:sz w:val="24"/>
          <w:szCs w:val="24"/>
        </w:rPr>
        <w:t xml:space="preserve">, the </w:t>
      </w:r>
      <w:r w:rsidR="0055523D">
        <w:rPr>
          <w:rFonts w:ascii="Times New Roman" w:hAnsi="Times New Roman" w:cs="Times New Roman"/>
          <w:noProof/>
          <w:sz w:val="24"/>
          <w:szCs w:val="24"/>
        </w:rPr>
        <w:t>use</w:t>
      </w:r>
      <w:r w:rsidR="002E7021" w:rsidRPr="007A3B9A">
        <w:rPr>
          <w:rFonts w:ascii="Times New Roman" w:hAnsi="Times New Roman" w:cs="Times New Roman"/>
          <w:noProof/>
          <w:sz w:val="24"/>
          <w:szCs w:val="24"/>
        </w:rPr>
        <w:t xml:space="preserve"> of </w:t>
      </w:r>
      <w:r w:rsidR="0055523D">
        <w:rPr>
          <w:rFonts w:ascii="Times New Roman" w:hAnsi="Times New Roman" w:cs="Times New Roman"/>
          <w:noProof/>
          <w:sz w:val="24"/>
          <w:szCs w:val="24"/>
        </w:rPr>
        <w:t>information</w:t>
      </w:r>
      <w:r w:rsidR="002E7021" w:rsidRPr="007A3B9A">
        <w:rPr>
          <w:rFonts w:ascii="Times New Roman" w:hAnsi="Times New Roman" w:cs="Times New Roman"/>
          <w:noProof/>
          <w:sz w:val="24"/>
          <w:szCs w:val="24"/>
        </w:rPr>
        <w:t xml:space="preserve"> collection</w:t>
      </w:r>
      <w:r w:rsidR="006F0DD1" w:rsidRPr="007A3B9A">
        <w:rPr>
          <w:rFonts w:ascii="Times New Roman" w:hAnsi="Times New Roman" w:cs="Times New Roman"/>
          <w:noProof/>
          <w:sz w:val="24"/>
          <w:szCs w:val="24"/>
        </w:rPr>
        <w:t xml:space="preserve">, NCI sponsorship, and that their participation is voluntary and </w:t>
      </w:r>
      <w:r w:rsidR="00107D84" w:rsidRPr="007A3B9A">
        <w:rPr>
          <w:rFonts w:ascii="Times New Roman" w:hAnsi="Times New Roman" w:cs="Times New Roman"/>
          <w:noProof/>
          <w:sz w:val="24"/>
          <w:szCs w:val="24"/>
        </w:rPr>
        <w:t xml:space="preserve">that </w:t>
      </w:r>
      <w:r w:rsidR="00787F0B">
        <w:rPr>
          <w:rFonts w:ascii="Times New Roman" w:hAnsi="Times New Roman" w:cs="Times New Roman"/>
          <w:noProof/>
          <w:sz w:val="24"/>
          <w:szCs w:val="24"/>
        </w:rPr>
        <w:t xml:space="preserve">they may choose to </w:t>
      </w:r>
      <w:r w:rsidR="0055523D">
        <w:rPr>
          <w:rFonts w:ascii="Times New Roman" w:hAnsi="Times New Roman" w:cs="Times New Roman"/>
          <w:noProof/>
          <w:sz w:val="24"/>
          <w:szCs w:val="24"/>
        </w:rPr>
        <w:t xml:space="preserve">discontinue or </w:t>
      </w:r>
      <w:r w:rsidR="00787F0B">
        <w:rPr>
          <w:rFonts w:ascii="Times New Roman" w:hAnsi="Times New Roman" w:cs="Times New Roman"/>
          <w:noProof/>
          <w:sz w:val="24"/>
          <w:szCs w:val="24"/>
        </w:rPr>
        <w:t>have their name</w:t>
      </w:r>
      <w:r w:rsidR="0055523D">
        <w:rPr>
          <w:rFonts w:ascii="Times New Roman" w:hAnsi="Times New Roman" w:cs="Times New Roman"/>
          <w:noProof/>
          <w:sz w:val="24"/>
          <w:szCs w:val="24"/>
        </w:rPr>
        <w:t xml:space="preserve"> and/or related information</w:t>
      </w:r>
      <w:r w:rsidR="00787F0B">
        <w:rPr>
          <w:rFonts w:ascii="Times New Roman" w:hAnsi="Times New Roman" w:cs="Times New Roman"/>
          <w:noProof/>
          <w:sz w:val="24"/>
          <w:szCs w:val="24"/>
        </w:rPr>
        <w:t xml:space="preserve"> </w:t>
      </w:r>
      <w:r w:rsidR="006F0DD1" w:rsidRPr="007A3B9A">
        <w:rPr>
          <w:rFonts w:ascii="Times New Roman" w:hAnsi="Times New Roman" w:cs="Times New Roman"/>
          <w:noProof/>
          <w:sz w:val="24"/>
          <w:szCs w:val="24"/>
        </w:rPr>
        <w:t xml:space="preserve">withdrawn at any </w:t>
      </w:r>
      <w:r w:rsidR="002E7021" w:rsidRPr="007A3B9A">
        <w:rPr>
          <w:rFonts w:ascii="Times New Roman" w:hAnsi="Times New Roman" w:cs="Times New Roman"/>
          <w:noProof/>
          <w:sz w:val="24"/>
          <w:szCs w:val="24"/>
        </w:rPr>
        <w:t>time</w:t>
      </w:r>
      <w:r w:rsidR="006F0DD1" w:rsidRPr="007A3B9A">
        <w:rPr>
          <w:rFonts w:ascii="Times New Roman" w:hAnsi="Times New Roman" w:cs="Times New Roman"/>
          <w:noProof/>
          <w:sz w:val="24"/>
          <w:szCs w:val="24"/>
        </w:rPr>
        <w:t xml:space="preserve">.  </w:t>
      </w:r>
      <w:r w:rsidR="00787F0B">
        <w:rPr>
          <w:rFonts w:ascii="Times New Roman" w:hAnsi="Times New Roman" w:cs="Times New Roman"/>
          <w:noProof/>
          <w:sz w:val="24"/>
          <w:szCs w:val="24"/>
        </w:rPr>
        <w:t>In instances where it is possible, i</w:t>
      </w:r>
      <w:r w:rsidR="00107D84" w:rsidRPr="007A3B9A">
        <w:rPr>
          <w:rFonts w:ascii="Times New Roman" w:hAnsi="Times New Roman" w:cs="Times New Roman"/>
          <w:noProof/>
          <w:sz w:val="24"/>
          <w:szCs w:val="24"/>
        </w:rPr>
        <w:t>nformation will be presented in aggregate form, without links to the identity of individual participants.</w:t>
      </w:r>
      <w:r w:rsidR="002E7021" w:rsidRPr="007A3B9A">
        <w:rPr>
          <w:rFonts w:ascii="Times New Roman" w:hAnsi="Times New Roman" w:cs="Times New Roman"/>
          <w:noProof/>
          <w:sz w:val="24"/>
          <w:szCs w:val="24"/>
        </w:rPr>
        <w:t xml:space="preserve">  </w:t>
      </w:r>
    </w:p>
    <w:p w14:paraId="538A4B73" w14:textId="77777777" w:rsidR="00C764FE" w:rsidRPr="007A3B9A" w:rsidRDefault="00DF36F5" w:rsidP="00FB54DC">
      <w:pPr>
        <w:spacing w:after="0" w:line="480" w:lineRule="auto"/>
        <w:ind w:firstLine="720"/>
        <w:jc w:val="both"/>
        <w:rPr>
          <w:rFonts w:ascii="Times New Roman" w:hAnsi="Times New Roman" w:cs="Times New Roman"/>
          <w:sz w:val="24"/>
          <w:szCs w:val="24"/>
        </w:rPr>
      </w:pPr>
      <w:r w:rsidRPr="00FB54DC">
        <w:rPr>
          <w:rFonts w:ascii="Times New Roman" w:hAnsi="Times New Roman" w:cs="Times New Roman"/>
          <w:noProof/>
          <w:sz w:val="24"/>
          <w:szCs w:val="24"/>
        </w:rPr>
        <w:t>It may be necessary for some inform</w:t>
      </w:r>
      <w:r w:rsidR="00FB54DC">
        <w:rPr>
          <w:rFonts w:ascii="Times New Roman" w:hAnsi="Times New Roman" w:cs="Times New Roman"/>
          <w:noProof/>
          <w:sz w:val="24"/>
          <w:szCs w:val="24"/>
        </w:rPr>
        <w:t>a</w:t>
      </w:r>
      <w:r w:rsidRPr="00FB54DC">
        <w:rPr>
          <w:rFonts w:ascii="Times New Roman" w:hAnsi="Times New Roman" w:cs="Times New Roman"/>
          <w:noProof/>
          <w:sz w:val="24"/>
          <w:szCs w:val="24"/>
        </w:rPr>
        <w:t>tion collections to retain n</w:t>
      </w:r>
      <w:r w:rsidR="00C764FE" w:rsidRPr="00FB54DC">
        <w:rPr>
          <w:rFonts w:ascii="Times New Roman" w:hAnsi="Times New Roman" w:cs="Times New Roman"/>
          <w:noProof/>
          <w:sz w:val="24"/>
          <w:szCs w:val="24"/>
        </w:rPr>
        <w:t>ame</w:t>
      </w:r>
      <w:r w:rsidR="00E332A3">
        <w:rPr>
          <w:rFonts w:ascii="Times New Roman" w:hAnsi="Times New Roman" w:cs="Times New Roman"/>
          <w:noProof/>
          <w:sz w:val="24"/>
          <w:szCs w:val="24"/>
        </w:rPr>
        <w:t xml:space="preserve"> and </w:t>
      </w:r>
      <w:r w:rsidR="00C764FE" w:rsidRPr="00FB54DC">
        <w:rPr>
          <w:rFonts w:ascii="Times New Roman" w:hAnsi="Times New Roman" w:cs="Times New Roman"/>
          <w:noProof/>
          <w:sz w:val="24"/>
          <w:szCs w:val="24"/>
        </w:rPr>
        <w:t xml:space="preserve">contact information </w:t>
      </w:r>
      <w:r w:rsidRPr="00FB54DC">
        <w:rPr>
          <w:rFonts w:ascii="Times New Roman" w:hAnsi="Times New Roman" w:cs="Times New Roman"/>
          <w:noProof/>
          <w:sz w:val="24"/>
          <w:szCs w:val="24"/>
        </w:rPr>
        <w:t xml:space="preserve">collected on a form or application to be used to contact potential respondents. </w:t>
      </w:r>
      <w:r w:rsidR="00C764FE" w:rsidRPr="00FB54DC">
        <w:rPr>
          <w:rFonts w:ascii="Times New Roman" w:hAnsi="Times New Roman" w:cs="Times New Roman"/>
          <w:sz w:val="24"/>
          <w:szCs w:val="24"/>
        </w:rPr>
        <w:t>In these instances, the rationale for retention of PII will b</w:t>
      </w:r>
      <w:r w:rsidR="00A9765B">
        <w:rPr>
          <w:rFonts w:ascii="Times New Roman" w:hAnsi="Times New Roman" w:cs="Times New Roman"/>
          <w:sz w:val="24"/>
          <w:szCs w:val="24"/>
        </w:rPr>
        <w:t>e fully explained</w:t>
      </w:r>
      <w:r w:rsidR="00C764FE" w:rsidRPr="00FB54DC">
        <w:rPr>
          <w:rFonts w:ascii="Times New Roman" w:hAnsi="Times New Roman" w:cs="Times New Roman"/>
          <w:sz w:val="24"/>
          <w:szCs w:val="24"/>
        </w:rPr>
        <w:t>.</w:t>
      </w:r>
      <w:r w:rsidR="00FB54DC">
        <w:rPr>
          <w:rFonts w:ascii="Times New Roman" w:hAnsi="Times New Roman" w:cs="Times New Roman"/>
          <w:sz w:val="24"/>
          <w:szCs w:val="24"/>
        </w:rPr>
        <w:t xml:space="preserve"> </w:t>
      </w:r>
      <w:r w:rsidR="00C764FE" w:rsidRPr="00FB54DC">
        <w:rPr>
          <w:rFonts w:ascii="Times New Roman" w:hAnsi="Times New Roman" w:cs="Times New Roman"/>
          <w:sz w:val="24"/>
          <w:szCs w:val="24"/>
        </w:rPr>
        <w:t xml:space="preserve">Most </w:t>
      </w:r>
      <w:r w:rsidR="008D037A" w:rsidRPr="00FB54DC">
        <w:rPr>
          <w:rFonts w:ascii="Times New Roman" w:hAnsi="Times New Roman" w:cs="Times New Roman"/>
          <w:sz w:val="24"/>
          <w:szCs w:val="24"/>
        </w:rPr>
        <w:t xml:space="preserve">of the information collections </w:t>
      </w:r>
      <w:r w:rsidR="00C764FE" w:rsidRPr="00FB54DC">
        <w:rPr>
          <w:rFonts w:ascii="Times New Roman" w:hAnsi="Times New Roman" w:cs="Times New Roman"/>
          <w:sz w:val="24"/>
          <w:szCs w:val="24"/>
        </w:rPr>
        <w:t xml:space="preserve">to be conducted under this clearance </w:t>
      </w:r>
      <w:r w:rsidR="00A14A3C" w:rsidRPr="00FB54DC">
        <w:rPr>
          <w:rFonts w:ascii="Times New Roman" w:hAnsi="Times New Roman" w:cs="Times New Roman"/>
          <w:sz w:val="24"/>
          <w:szCs w:val="24"/>
        </w:rPr>
        <w:t>are</w:t>
      </w:r>
      <w:r w:rsidR="00C764FE" w:rsidRPr="00FB54DC">
        <w:rPr>
          <w:rFonts w:ascii="Times New Roman" w:hAnsi="Times New Roman" w:cs="Times New Roman"/>
          <w:sz w:val="24"/>
          <w:szCs w:val="24"/>
        </w:rPr>
        <w:t xml:space="preserve"> considered exempt from IRB review at NIH.  NCI investigators will </w:t>
      </w:r>
      <w:r w:rsidR="00CA224F" w:rsidRPr="00FB54DC">
        <w:rPr>
          <w:rFonts w:ascii="Times New Roman" w:hAnsi="Times New Roman" w:cs="Times New Roman"/>
          <w:sz w:val="24"/>
          <w:szCs w:val="24"/>
        </w:rPr>
        <w:t xml:space="preserve">submit a request for exemption to the NIH Office of Human Subjects Research </w:t>
      </w:r>
      <w:r w:rsidR="00EB4F44" w:rsidRPr="00FB54DC">
        <w:rPr>
          <w:rFonts w:ascii="Times New Roman" w:hAnsi="Times New Roman" w:cs="Times New Roman"/>
          <w:sz w:val="24"/>
          <w:szCs w:val="24"/>
        </w:rPr>
        <w:t>(OHSR).  However, i</w:t>
      </w:r>
      <w:r w:rsidR="00CA224F" w:rsidRPr="00FB54DC">
        <w:rPr>
          <w:rFonts w:ascii="Times New Roman" w:hAnsi="Times New Roman" w:cs="Times New Roman"/>
          <w:sz w:val="24"/>
          <w:szCs w:val="24"/>
        </w:rPr>
        <w:t xml:space="preserve">f it is determined that the </w:t>
      </w:r>
      <w:r w:rsidR="00185688" w:rsidRPr="00FB54DC">
        <w:rPr>
          <w:rFonts w:ascii="Times New Roman" w:hAnsi="Times New Roman" w:cs="Times New Roman"/>
          <w:sz w:val="24"/>
          <w:szCs w:val="24"/>
        </w:rPr>
        <w:t xml:space="preserve">information collection </w:t>
      </w:r>
      <w:r w:rsidR="00CA224F" w:rsidRPr="00FB54DC">
        <w:rPr>
          <w:rFonts w:ascii="Times New Roman" w:hAnsi="Times New Roman" w:cs="Times New Roman"/>
          <w:sz w:val="24"/>
          <w:szCs w:val="24"/>
        </w:rPr>
        <w:t>involves non-</w:t>
      </w:r>
      <w:r w:rsidR="00CA224F" w:rsidRPr="00FB54DC">
        <w:rPr>
          <w:rFonts w:ascii="Times New Roman" w:hAnsi="Times New Roman" w:cs="Times New Roman"/>
          <w:sz w:val="24"/>
          <w:szCs w:val="24"/>
        </w:rPr>
        <w:lastRenderedPageBreak/>
        <w:t>exempt activities, the investigator</w:t>
      </w:r>
      <w:r w:rsidR="00EB4F44" w:rsidRPr="00FB54DC">
        <w:rPr>
          <w:rFonts w:ascii="Times New Roman" w:hAnsi="Times New Roman" w:cs="Times New Roman"/>
          <w:sz w:val="24"/>
          <w:szCs w:val="24"/>
        </w:rPr>
        <w:t xml:space="preserve"> is required</w:t>
      </w:r>
      <w:r w:rsidR="00CA224F" w:rsidRPr="00FB54DC">
        <w:rPr>
          <w:rFonts w:ascii="Times New Roman" w:hAnsi="Times New Roman" w:cs="Times New Roman"/>
          <w:sz w:val="24"/>
          <w:szCs w:val="24"/>
        </w:rPr>
        <w:t xml:space="preserve"> to submit the </w:t>
      </w:r>
      <w:r w:rsidR="00185688" w:rsidRPr="00FB54DC">
        <w:rPr>
          <w:rFonts w:ascii="Times New Roman" w:hAnsi="Times New Roman" w:cs="Times New Roman"/>
          <w:sz w:val="24"/>
          <w:szCs w:val="24"/>
        </w:rPr>
        <w:t xml:space="preserve">information collection </w:t>
      </w:r>
      <w:r w:rsidR="00CA224F" w:rsidRPr="007A3B9A">
        <w:rPr>
          <w:rFonts w:ascii="Times New Roman" w:hAnsi="Times New Roman" w:cs="Times New Roman"/>
          <w:sz w:val="24"/>
          <w:szCs w:val="24"/>
        </w:rPr>
        <w:t xml:space="preserve">for review by the NCI Special Studies Institutional Review Board for approval.  </w:t>
      </w:r>
    </w:p>
    <w:p w14:paraId="7B7D4F25" w14:textId="77777777" w:rsidR="00AD3119" w:rsidRPr="007A3B9A" w:rsidRDefault="00AD3119" w:rsidP="007A3B9A">
      <w:pPr>
        <w:spacing w:after="0" w:line="480" w:lineRule="auto"/>
        <w:jc w:val="both"/>
        <w:rPr>
          <w:rFonts w:ascii="Times New Roman" w:hAnsi="Times New Roman" w:cs="Times New Roman"/>
          <w:b/>
          <w:sz w:val="24"/>
          <w:szCs w:val="24"/>
          <w:u w:val="single"/>
        </w:rPr>
      </w:pPr>
      <w:r w:rsidRPr="007A3B9A">
        <w:rPr>
          <w:rFonts w:ascii="Times New Roman" w:hAnsi="Times New Roman" w:cs="Times New Roman"/>
          <w:b/>
          <w:sz w:val="24"/>
          <w:szCs w:val="24"/>
          <w:u w:val="single"/>
        </w:rPr>
        <w:t>A11. Justification for Sensitive Questions</w:t>
      </w:r>
    </w:p>
    <w:p w14:paraId="11522C84" w14:textId="77777777" w:rsidR="00703041" w:rsidRPr="00FB54DC" w:rsidRDefault="00E6432F" w:rsidP="00FB54DC">
      <w:pPr>
        <w:spacing w:after="0" w:line="480" w:lineRule="auto"/>
        <w:ind w:firstLine="720"/>
        <w:jc w:val="both"/>
        <w:rPr>
          <w:rFonts w:ascii="Times New Roman" w:hAnsi="Times New Roman" w:cs="Times New Roman"/>
          <w:noProof/>
          <w:sz w:val="24"/>
          <w:szCs w:val="24"/>
        </w:rPr>
      </w:pPr>
      <w:r w:rsidRPr="007A3B9A">
        <w:rPr>
          <w:rFonts w:ascii="Times New Roman" w:hAnsi="Times New Roman" w:cs="Times New Roman"/>
          <w:sz w:val="24"/>
          <w:szCs w:val="24"/>
        </w:rPr>
        <w:t xml:space="preserve">Information collections </w:t>
      </w:r>
      <w:r w:rsidR="00BA3094" w:rsidRPr="00FB54DC">
        <w:rPr>
          <w:rFonts w:ascii="Times New Roman" w:hAnsi="Times New Roman" w:cs="Times New Roman"/>
          <w:sz w:val="24"/>
          <w:szCs w:val="24"/>
        </w:rPr>
        <w:t xml:space="preserve">may contain </w:t>
      </w:r>
      <w:r w:rsidRPr="00FB54DC">
        <w:rPr>
          <w:rFonts w:ascii="Times New Roman" w:hAnsi="Times New Roman" w:cs="Times New Roman"/>
          <w:sz w:val="24"/>
          <w:szCs w:val="24"/>
        </w:rPr>
        <w:t>sensitive questions</w:t>
      </w:r>
      <w:r w:rsidR="00BA3094" w:rsidRPr="00FB54DC">
        <w:rPr>
          <w:rFonts w:ascii="Times New Roman" w:hAnsi="Times New Roman" w:cs="Times New Roman"/>
          <w:sz w:val="24"/>
          <w:szCs w:val="24"/>
        </w:rPr>
        <w:t>, most of a moderate nature</w:t>
      </w:r>
      <w:r w:rsidRPr="00FB54DC">
        <w:rPr>
          <w:rFonts w:ascii="Times New Roman" w:hAnsi="Times New Roman" w:cs="Times New Roman"/>
          <w:sz w:val="24"/>
          <w:szCs w:val="24"/>
        </w:rPr>
        <w:t xml:space="preserve">.  Factors such as income, age, education, race, gender are critical to characterizing </w:t>
      </w:r>
      <w:r w:rsidR="00A14A3C" w:rsidRPr="00FB54DC">
        <w:rPr>
          <w:rFonts w:ascii="Times New Roman" w:hAnsi="Times New Roman" w:cs="Times New Roman"/>
          <w:sz w:val="24"/>
          <w:szCs w:val="24"/>
        </w:rPr>
        <w:t>various groups of people</w:t>
      </w:r>
      <w:r w:rsidR="00FB54DC">
        <w:rPr>
          <w:rFonts w:ascii="Times New Roman" w:hAnsi="Times New Roman" w:cs="Times New Roman"/>
          <w:sz w:val="24"/>
          <w:szCs w:val="24"/>
        </w:rPr>
        <w:t>.  Each sub-</w:t>
      </w:r>
      <w:r w:rsidR="00E332A3">
        <w:rPr>
          <w:rFonts w:ascii="Times New Roman" w:hAnsi="Times New Roman" w:cs="Times New Roman"/>
          <w:sz w:val="24"/>
          <w:szCs w:val="24"/>
        </w:rPr>
        <w:t xml:space="preserve">project </w:t>
      </w:r>
      <w:r w:rsidR="00FB54DC">
        <w:rPr>
          <w:rFonts w:ascii="Times New Roman" w:hAnsi="Times New Roman" w:cs="Times New Roman"/>
          <w:sz w:val="24"/>
          <w:szCs w:val="24"/>
        </w:rPr>
        <w:t>will</w:t>
      </w:r>
      <w:r w:rsidR="00BA3094" w:rsidRPr="00FB54DC">
        <w:rPr>
          <w:rFonts w:ascii="Times New Roman" w:hAnsi="Times New Roman" w:cs="Times New Roman"/>
          <w:sz w:val="24"/>
          <w:szCs w:val="24"/>
        </w:rPr>
        <w:t xml:space="preserve"> provide a description of sensitive questions </w:t>
      </w:r>
      <w:r w:rsidR="00BA3094" w:rsidRPr="00FB54DC">
        <w:rPr>
          <w:rFonts w:ascii="Times New Roman" w:hAnsi="Times New Roman" w:cs="Times New Roman"/>
          <w:noProof/>
          <w:sz w:val="24"/>
          <w:szCs w:val="24"/>
        </w:rPr>
        <w:t xml:space="preserve">and justification for </w:t>
      </w:r>
      <w:r w:rsidR="00FB54DC">
        <w:rPr>
          <w:rFonts w:ascii="Times New Roman" w:hAnsi="Times New Roman" w:cs="Times New Roman"/>
          <w:noProof/>
          <w:sz w:val="24"/>
          <w:szCs w:val="24"/>
        </w:rPr>
        <w:t>their use</w:t>
      </w:r>
      <w:r w:rsidR="008A49B5">
        <w:rPr>
          <w:rFonts w:ascii="Times New Roman" w:hAnsi="Times New Roman" w:cs="Times New Roman"/>
          <w:noProof/>
          <w:sz w:val="24"/>
          <w:szCs w:val="24"/>
        </w:rPr>
        <w:t>.</w:t>
      </w:r>
    </w:p>
    <w:p w14:paraId="188270FD" w14:textId="77777777" w:rsidR="00AD3119" w:rsidRPr="00FB54DC" w:rsidRDefault="00AD3119" w:rsidP="003E316D">
      <w:pPr>
        <w:spacing w:after="0" w:line="480" w:lineRule="auto"/>
        <w:jc w:val="both"/>
        <w:rPr>
          <w:rFonts w:ascii="Times New Roman" w:hAnsi="Times New Roman" w:cs="Times New Roman"/>
          <w:b/>
          <w:noProof/>
          <w:sz w:val="24"/>
          <w:szCs w:val="24"/>
          <w:u w:val="single"/>
        </w:rPr>
      </w:pPr>
      <w:r w:rsidRPr="00FB54DC">
        <w:rPr>
          <w:rFonts w:ascii="Times New Roman" w:hAnsi="Times New Roman" w:cs="Times New Roman"/>
          <w:b/>
          <w:noProof/>
          <w:sz w:val="24"/>
          <w:szCs w:val="24"/>
          <w:u w:val="single"/>
        </w:rPr>
        <w:t>A12. Estimates of Annualized Burden Hours and Costs</w:t>
      </w:r>
    </w:p>
    <w:p w14:paraId="5F3553C1" w14:textId="1933E048" w:rsidR="00021355" w:rsidRDefault="007F3122" w:rsidP="00CB1D87">
      <w:pPr>
        <w:spacing w:after="0" w:line="480" w:lineRule="auto"/>
        <w:ind w:firstLine="720"/>
        <w:jc w:val="both"/>
        <w:rPr>
          <w:rFonts w:ascii="Times New Roman" w:hAnsi="Times New Roman" w:cs="Times New Roman"/>
          <w:sz w:val="24"/>
          <w:szCs w:val="24"/>
        </w:rPr>
      </w:pPr>
      <w:r w:rsidRPr="00FB54DC">
        <w:rPr>
          <w:rFonts w:ascii="Times New Roman" w:hAnsi="Times New Roman" w:cs="Times New Roman"/>
          <w:noProof/>
          <w:sz w:val="24"/>
          <w:szCs w:val="24"/>
        </w:rPr>
        <w:t>It is impossible to provide a precise est</w:t>
      </w:r>
      <w:r w:rsidR="00C3639B">
        <w:rPr>
          <w:rFonts w:ascii="Times New Roman" w:hAnsi="Times New Roman" w:cs="Times New Roman"/>
          <w:noProof/>
          <w:sz w:val="24"/>
          <w:szCs w:val="24"/>
        </w:rPr>
        <w:t>i</w:t>
      </w:r>
      <w:r w:rsidRPr="00FB54DC">
        <w:rPr>
          <w:rFonts w:ascii="Times New Roman" w:hAnsi="Times New Roman" w:cs="Times New Roman"/>
          <w:noProof/>
          <w:sz w:val="24"/>
          <w:szCs w:val="24"/>
        </w:rPr>
        <w:t>mate of burden hours and costs associated wit</w:t>
      </w:r>
      <w:r w:rsidR="00021355" w:rsidRPr="00FB54DC">
        <w:rPr>
          <w:rFonts w:ascii="Times New Roman" w:hAnsi="Times New Roman" w:cs="Times New Roman"/>
          <w:noProof/>
          <w:sz w:val="24"/>
          <w:szCs w:val="24"/>
        </w:rPr>
        <w:t>h</w:t>
      </w:r>
      <w:r w:rsidRPr="00FB54DC">
        <w:rPr>
          <w:rFonts w:ascii="Times New Roman" w:hAnsi="Times New Roman" w:cs="Times New Roman"/>
          <w:noProof/>
          <w:sz w:val="24"/>
          <w:szCs w:val="24"/>
        </w:rPr>
        <w:t xml:space="preserve"> this clearance as </w:t>
      </w:r>
      <w:r w:rsidR="003E316D">
        <w:rPr>
          <w:rFonts w:ascii="Times New Roman" w:hAnsi="Times New Roman" w:cs="Times New Roman"/>
          <w:noProof/>
          <w:sz w:val="24"/>
          <w:szCs w:val="24"/>
        </w:rPr>
        <w:t>sub-</w:t>
      </w:r>
      <w:r w:rsidR="00CE592D">
        <w:rPr>
          <w:rFonts w:ascii="Times New Roman" w:hAnsi="Times New Roman" w:cs="Times New Roman"/>
          <w:noProof/>
          <w:sz w:val="24"/>
          <w:szCs w:val="24"/>
        </w:rPr>
        <w:t>project</w:t>
      </w:r>
      <w:r w:rsidR="00C3639B">
        <w:rPr>
          <w:rFonts w:ascii="Times New Roman" w:hAnsi="Times New Roman" w:cs="Times New Roman"/>
          <w:noProof/>
          <w:sz w:val="24"/>
          <w:szCs w:val="24"/>
        </w:rPr>
        <w:t>s</w:t>
      </w:r>
      <w:r w:rsidR="00CE592D" w:rsidRPr="00FB54DC">
        <w:rPr>
          <w:rFonts w:ascii="Times New Roman" w:hAnsi="Times New Roman" w:cs="Times New Roman"/>
          <w:noProof/>
          <w:sz w:val="24"/>
          <w:szCs w:val="24"/>
        </w:rPr>
        <w:t xml:space="preserve"> </w:t>
      </w:r>
      <w:r w:rsidRPr="00FB54DC">
        <w:rPr>
          <w:rFonts w:ascii="Times New Roman" w:hAnsi="Times New Roman" w:cs="Times New Roman"/>
          <w:noProof/>
          <w:sz w:val="24"/>
          <w:szCs w:val="24"/>
        </w:rPr>
        <w:t xml:space="preserve">will vary widely by </w:t>
      </w:r>
      <w:r w:rsidR="003E316D">
        <w:rPr>
          <w:rFonts w:ascii="Times New Roman" w:hAnsi="Times New Roman" w:cs="Times New Roman"/>
          <w:noProof/>
          <w:sz w:val="24"/>
          <w:szCs w:val="24"/>
        </w:rPr>
        <w:t>number of respondents and average time per response</w:t>
      </w:r>
      <w:r w:rsidRPr="00FB54DC">
        <w:rPr>
          <w:rFonts w:ascii="Times New Roman" w:hAnsi="Times New Roman" w:cs="Times New Roman"/>
          <w:noProof/>
          <w:sz w:val="24"/>
          <w:szCs w:val="24"/>
        </w:rPr>
        <w:t>.</w:t>
      </w:r>
      <w:r w:rsidRPr="00FB54DC">
        <w:rPr>
          <w:rFonts w:ascii="Times New Roman" w:hAnsi="Times New Roman" w:cs="Times New Roman"/>
          <w:sz w:val="24"/>
          <w:szCs w:val="24"/>
        </w:rPr>
        <w:t xml:space="preserve">  </w:t>
      </w:r>
      <w:r w:rsidR="003B2231">
        <w:rPr>
          <w:rFonts w:ascii="Times New Roman" w:hAnsi="Times New Roman" w:cs="Times New Roman"/>
          <w:sz w:val="24"/>
          <w:szCs w:val="24"/>
        </w:rPr>
        <w:t xml:space="preserve">However, it is estimated that approximately </w:t>
      </w:r>
      <w:r w:rsidR="002728F3">
        <w:rPr>
          <w:rFonts w:ascii="Times New Roman" w:hAnsi="Times New Roman" w:cs="Times New Roman"/>
          <w:sz w:val="24"/>
          <w:szCs w:val="24"/>
        </w:rPr>
        <w:t>20</w:t>
      </w:r>
      <w:r w:rsidR="003B2231">
        <w:rPr>
          <w:rFonts w:ascii="Times New Roman" w:hAnsi="Times New Roman" w:cs="Times New Roman"/>
          <w:sz w:val="24"/>
          <w:szCs w:val="24"/>
        </w:rPr>
        <w:t xml:space="preserve">,000 respondents will be asked to participate in </w:t>
      </w:r>
      <w:r w:rsidR="00CE592D">
        <w:rPr>
          <w:rFonts w:ascii="Times New Roman" w:hAnsi="Times New Roman" w:cs="Times New Roman"/>
          <w:sz w:val="24"/>
          <w:szCs w:val="24"/>
        </w:rPr>
        <w:t>generic</w:t>
      </w:r>
      <w:r w:rsidR="00C3639B">
        <w:rPr>
          <w:rFonts w:ascii="Times New Roman" w:hAnsi="Times New Roman" w:cs="Times New Roman"/>
          <w:sz w:val="24"/>
          <w:szCs w:val="24"/>
        </w:rPr>
        <w:t xml:space="preserve"> sub-projects</w:t>
      </w:r>
      <w:r w:rsidR="003B2231">
        <w:rPr>
          <w:rFonts w:ascii="Times New Roman" w:hAnsi="Times New Roman" w:cs="Times New Roman"/>
          <w:sz w:val="24"/>
          <w:szCs w:val="24"/>
        </w:rPr>
        <w:t>,</w:t>
      </w:r>
      <w:r w:rsidR="007B5A72">
        <w:rPr>
          <w:rFonts w:ascii="Times New Roman" w:hAnsi="Times New Roman" w:cs="Times New Roman"/>
          <w:sz w:val="24"/>
          <w:szCs w:val="24"/>
        </w:rPr>
        <w:t xml:space="preserve"> with the average instrument taking approximately </w:t>
      </w:r>
      <w:r w:rsidR="004D37C2">
        <w:rPr>
          <w:rFonts w:ascii="Times New Roman" w:hAnsi="Times New Roman" w:cs="Times New Roman"/>
          <w:sz w:val="24"/>
          <w:szCs w:val="24"/>
        </w:rPr>
        <w:t>5</w:t>
      </w:r>
      <w:r w:rsidR="007B5A72">
        <w:rPr>
          <w:rFonts w:ascii="Times New Roman" w:hAnsi="Times New Roman" w:cs="Times New Roman"/>
          <w:sz w:val="24"/>
          <w:szCs w:val="24"/>
        </w:rPr>
        <w:t>0  minutes to complete (though the range may be anywhere from 5 to 90 minutes), which</w:t>
      </w:r>
      <w:r w:rsidR="003B2231">
        <w:rPr>
          <w:rFonts w:ascii="Times New Roman" w:hAnsi="Times New Roman" w:cs="Times New Roman"/>
          <w:sz w:val="24"/>
          <w:szCs w:val="24"/>
        </w:rPr>
        <w:t xml:space="preserve"> amount</w:t>
      </w:r>
      <w:r w:rsidR="007B5A72">
        <w:rPr>
          <w:rFonts w:ascii="Times New Roman" w:hAnsi="Times New Roman" w:cs="Times New Roman"/>
          <w:sz w:val="24"/>
          <w:szCs w:val="24"/>
        </w:rPr>
        <w:t>s</w:t>
      </w:r>
      <w:r w:rsidR="003B2231">
        <w:rPr>
          <w:rFonts w:ascii="Times New Roman" w:hAnsi="Times New Roman" w:cs="Times New Roman"/>
          <w:sz w:val="24"/>
          <w:szCs w:val="24"/>
        </w:rPr>
        <w:t xml:space="preserve"> to approximately </w:t>
      </w:r>
      <w:r w:rsidR="00351D4E">
        <w:rPr>
          <w:rFonts w:ascii="Times New Roman" w:hAnsi="Times New Roman" w:cs="Times New Roman"/>
          <w:sz w:val="24"/>
          <w:szCs w:val="24"/>
        </w:rPr>
        <w:t>1</w:t>
      </w:r>
      <w:r w:rsidR="002728F3">
        <w:rPr>
          <w:rFonts w:ascii="Times New Roman" w:hAnsi="Times New Roman" w:cs="Times New Roman"/>
          <w:sz w:val="24"/>
          <w:szCs w:val="24"/>
        </w:rPr>
        <w:t>6,667</w:t>
      </w:r>
      <w:r w:rsidR="003B2231">
        <w:rPr>
          <w:rFonts w:ascii="Times New Roman" w:hAnsi="Times New Roman" w:cs="Times New Roman"/>
          <w:sz w:val="24"/>
          <w:szCs w:val="24"/>
        </w:rPr>
        <w:t xml:space="preserve"> burden hours total</w:t>
      </w:r>
      <w:r w:rsidR="007B5A72">
        <w:rPr>
          <w:rFonts w:ascii="Times New Roman" w:hAnsi="Times New Roman" w:cs="Times New Roman"/>
          <w:sz w:val="24"/>
          <w:szCs w:val="24"/>
        </w:rPr>
        <w:t xml:space="preserve"> over three years</w:t>
      </w:r>
      <w:r w:rsidR="00C3639B">
        <w:rPr>
          <w:rFonts w:ascii="Times New Roman" w:hAnsi="Times New Roman" w:cs="Times New Roman"/>
          <w:sz w:val="24"/>
          <w:szCs w:val="24"/>
        </w:rPr>
        <w:t>.  The total burden hours for sub-projects submitted under this generic will be low (generally not to exceed 1</w:t>
      </w:r>
      <w:r w:rsidR="00CB1D87">
        <w:rPr>
          <w:rFonts w:ascii="Times New Roman" w:hAnsi="Times New Roman" w:cs="Times New Roman"/>
          <w:sz w:val="24"/>
          <w:szCs w:val="24"/>
        </w:rPr>
        <w:t>,</w:t>
      </w:r>
      <w:r w:rsidR="00C3639B">
        <w:rPr>
          <w:rFonts w:ascii="Times New Roman" w:hAnsi="Times New Roman" w:cs="Times New Roman"/>
          <w:sz w:val="24"/>
          <w:szCs w:val="24"/>
        </w:rPr>
        <w:t xml:space="preserve">000 hours per request) unless it is clearly justified in the sub-project.  </w:t>
      </w:r>
    </w:p>
    <w:p w14:paraId="75C48EB7" w14:textId="37149C29" w:rsidR="00177783" w:rsidRDefault="00824DD9" w:rsidP="00177783">
      <w:pPr>
        <w:spacing w:after="0" w:line="480" w:lineRule="auto"/>
        <w:ind w:firstLine="720"/>
        <w:rPr>
          <w:rFonts w:ascii="Times New Roman" w:eastAsia="Times New Roman" w:hAnsi="Times New Roman" w:cs="Times New Roman"/>
          <w:sz w:val="24"/>
          <w:szCs w:val="24"/>
        </w:rPr>
      </w:pPr>
      <w:r>
        <w:rPr>
          <w:rFonts w:ascii="Times New Roman" w:hAnsi="Times New Roman" w:cs="Times New Roman"/>
          <w:sz w:val="24"/>
          <w:szCs w:val="24"/>
        </w:rPr>
        <w:t xml:space="preserve">Additionally, two sub-projects are being simultaneously proposed with this full generic.  The </w:t>
      </w:r>
      <w:r w:rsidR="00177783">
        <w:rPr>
          <w:rFonts w:ascii="Times New Roman" w:hAnsi="Times New Roman" w:cs="Times New Roman"/>
          <w:sz w:val="24"/>
          <w:szCs w:val="24"/>
        </w:rPr>
        <w:t xml:space="preserve">Post-award Survey of NCI </w:t>
      </w:r>
      <w:r w:rsidR="00177783" w:rsidRPr="00675D2D">
        <w:rPr>
          <w:rFonts w:ascii="Times New Roman" w:eastAsia="Times New Roman" w:hAnsi="Times New Roman" w:cs="Times New Roman"/>
          <w:sz w:val="24"/>
          <w:szCs w:val="24"/>
        </w:rPr>
        <w:t xml:space="preserve">Innovative Molecular Analysis Technologies (IMAT) </w:t>
      </w:r>
      <w:r w:rsidR="00177783">
        <w:rPr>
          <w:rFonts w:ascii="Times New Roman" w:eastAsia="Times New Roman" w:hAnsi="Times New Roman" w:cs="Times New Roman"/>
          <w:sz w:val="24"/>
          <w:szCs w:val="24"/>
        </w:rPr>
        <w:t>Grantees is a 90 minute survey</w:t>
      </w:r>
      <w:r w:rsidR="00177783" w:rsidRPr="00675D2D">
        <w:rPr>
          <w:rFonts w:ascii="Times New Roman" w:eastAsia="Times New Roman" w:hAnsi="Times New Roman" w:cs="Times New Roman"/>
          <w:sz w:val="24"/>
          <w:szCs w:val="24"/>
        </w:rPr>
        <w:t xml:space="preserve"> </w:t>
      </w:r>
      <w:r w:rsidR="00177783">
        <w:rPr>
          <w:rFonts w:ascii="Times New Roman" w:eastAsia="Times New Roman" w:hAnsi="Times New Roman" w:cs="Times New Roman"/>
          <w:sz w:val="24"/>
          <w:szCs w:val="24"/>
        </w:rPr>
        <w:t xml:space="preserve">of 400 respondents, which amounts to </w:t>
      </w:r>
      <w:r w:rsidR="00363E8C">
        <w:rPr>
          <w:rFonts w:ascii="Times New Roman" w:eastAsia="Times New Roman" w:hAnsi="Times New Roman" w:cs="Times New Roman"/>
          <w:sz w:val="24"/>
          <w:szCs w:val="24"/>
        </w:rPr>
        <w:t>600 burden hours</w:t>
      </w:r>
      <w:r w:rsidR="00177783" w:rsidRPr="00675D2D">
        <w:rPr>
          <w:rFonts w:ascii="Times New Roman" w:eastAsia="Times New Roman" w:hAnsi="Times New Roman" w:cs="Times New Roman"/>
          <w:sz w:val="24"/>
          <w:szCs w:val="24"/>
        </w:rPr>
        <w:t xml:space="preserve"> (</w:t>
      </w:r>
      <w:r w:rsidR="00177783" w:rsidRPr="00675D2D">
        <w:rPr>
          <w:rFonts w:ascii="Times New Roman" w:eastAsia="Times New Roman" w:hAnsi="Times New Roman" w:cs="Times New Roman"/>
          <w:b/>
          <w:sz w:val="24"/>
          <w:szCs w:val="24"/>
        </w:rPr>
        <w:t>Attac</w:t>
      </w:r>
      <w:r w:rsidR="00177783" w:rsidRPr="005B1A38">
        <w:rPr>
          <w:rFonts w:ascii="Times New Roman" w:eastAsia="Times New Roman" w:hAnsi="Times New Roman" w:cs="Times New Roman"/>
          <w:b/>
          <w:sz w:val="24"/>
          <w:szCs w:val="24"/>
        </w:rPr>
        <w:t>hments 3</w:t>
      </w:r>
      <w:r w:rsidR="00177783">
        <w:rPr>
          <w:rFonts w:ascii="Times New Roman" w:eastAsia="Times New Roman" w:hAnsi="Times New Roman" w:cs="Times New Roman"/>
          <w:sz w:val="24"/>
          <w:szCs w:val="24"/>
        </w:rPr>
        <w:t>)</w:t>
      </w:r>
      <w:r w:rsidR="00650BBA">
        <w:rPr>
          <w:rFonts w:ascii="Times New Roman" w:eastAsia="Times New Roman" w:hAnsi="Times New Roman" w:cs="Times New Roman"/>
          <w:sz w:val="24"/>
          <w:szCs w:val="24"/>
        </w:rPr>
        <w:t xml:space="preserve">.  The second sub-project </w:t>
      </w:r>
      <w:proofErr w:type="gramStart"/>
      <w:r w:rsidR="00650BBA">
        <w:rPr>
          <w:rFonts w:ascii="Times New Roman" w:eastAsia="Times New Roman" w:hAnsi="Times New Roman" w:cs="Times New Roman"/>
          <w:sz w:val="24"/>
          <w:szCs w:val="24"/>
        </w:rPr>
        <w:t>are</w:t>
      </w:r>
      <w:proofErr w:type="gramEnd"/>
      <w:r w:rsidR="00650BBA">
        <w:rPr>
          <w:rFonts w:ascii="Times New Roman" w:eastAsia="Times New Roman" w:hAnsi="Times New Roman" w:cs="Times New Roman"/>
          <w:sz w:val="24"/>
          <w:szCs w:val="24"/>
        </w:rPr>
        <w:t xml:space="preserve"> applications </w:t>
      </w:r>
      <w:r w:rsidR="00177783">
        <w:rPr>
          <w:rFonts w:ascii="Times New Roman" w:eastAsia="Times New Roman" w:hAnsi="Times New Roman" w:cs="Times New Roman"/>
          <w:sz w:val="24"/>
          <w:szCs w:val="24"/>
        </w:rPr>
        <w:t xml:space="preserve">to enroll </w:t>
      </w:r>
      <w:r w:rsidR="00177783" w:rsidRPr="00B92FD6">
        <w:rPr>
          <w:rFonts w:ascii="Times New Roman" w:eastAsia="Times New Roman" w:hAnsi="Times New Roman" w:cs="Times New Roman"/>
          <w:sz w:val="24"/>
          <w:szCs w:val="24"/>
        </w:rPr>
        <w:t>in</w:t>
      </w:r>
      <w:r w:rsidR="00177783">
        <w:rPr>
          <w:rFonts w:ascii="Times New Roman" w:eastAsia="Times New Roman" w:hAnsi="Times New Roman" w:cs="Times New Roman"/>
          <w:sz w:val="24"/>
          <w:szCs w:val="24"/>
        </w:rPr>
        <w:t xml:space="preserve"> two </w:t>
      </w:r>
      <w:r w:rsidR="00177783" w:rsidRPr="00B92FD6">
        <w:rPr>
          <w:rFonts w:ascii="Times New Roman" w:hAnsi="Times New Roman" w:cs="Times New Roman"/>
          <w:sz w:val="24"/>
          <w:szCs w:val="24"/>
        </w:rPr>
        <w:t xml:space="preserve">Division of Cancer Epidemiology and Genetics (DCEG) training </w:t>
      </w:r>
      <w:r w:rsidR="00177783">
        <w:rPr>
          <w:rFonts w:ascii="Times New Roman" w:hAnsi="Times New Roman" w:cs="Times New Roman"/>
          <w:sz w:val="24"/>
          <w:szCs w:val="24"/>
        </w:rPr>
        <w:t>programs (</w:t>
      </w:r>
      <w:r w:rsidR="00177783" w:rsidRPr="005B1A38">
        <w:rPr>
          <w:rFonts w:ascii="Times New Roman" w:eastAsia="Times New Roman" w:hAnsi="Times New Roman" w:cs="Times New Roman"/>
          <w:b/>
          <w:sz w:val="24"/>
          <w:szCs w:val="24"/>
        </w:rPr>
        <w:t>Attachments 4</w:t>
      </w:r>
      <w:r w:rsidR="00177783">
        <w:rPr>
          <w:rFonts w:ascii="Times New Roman" w:eastAsia="Times New Roman" w:hAnsi="Times New Roman" w:cs="Times New Roman"/>
          <w:sz w:val="24"/>
          <w:szCs w:val="24"/>
        </w:rPr>
        <w:t>).</w:t>
      </w:r>
      <w:r w:rsidR="00650BBA">
        <w:rPr>
          <w:rFonts w:ascii="Times New Roman" w:eastAsia="Times New Roman" w:hAnsi="Times New Roman" w:cs="Times New Roman"/>
          <w:sz w:val="24"/>
          <w:szCs w:val="24"/>
        </w:rPr>
        <w:t xml:space="preserve">  The two applications are estimated to amount to 525 burden hours.</w:t>
      </w:r>
    </w:p>
    <w:p w14:paraId="4CCE72B5" w14:textId="51354264" w:rsidR="00824DD9" w:rsidRDefault="00824DD9" w:rsidP="00CB1D87">
      <w:pPr>
        <w:spacing w:after="0" w:line="480" w:lineRule="auto"/>
        <w:ind w:firstLine="720"/>
        <w:jc w:val="both"/>
        <w:rPr>
          <w:rFonts w:ascii="Times New Roman" w:hAnsi="Times New Roman" w:cs="Times New Roman"/>
          <w:sz w:val="24"/>
          <w:szCs w:val="24"/>
        </w:rPr>
      </w:pPr>
    </w:p>
    <w:p w14:paraId="5FA3212F" w14:textId="49C4A079" w:rsidR="00704B7B" w:rsidRDefault="00704B7B" w:rsidP="00704B7B">
      <w:pPr>
        <w:spacing w:after="0" w:line="480" w:lineRule="auto"/>
        <w:ind w:firstLine="720"/>
        <w:jc w:val="center"/>
        <w:rPr>
          <w:rFonts w:ascii="Times New Roman" w:hAnsi="Times New Roman" w:cs="Times New Roman"/>
          <w:sz w:val="24"/>
          <w:szCs w:val="24"/>
        </w:rPr>
      </w:pPr>
      <w:proofErr w:type="gramStart"/>
      <w:r w:rsidRPr="00FB54DC">
        <w:rPr>
          <w:rFonts w:ascii="Times New Roman" w:hAnsi="Times New Roman" w:cs="Times New Roman"/>
          <w:sz w:val="24"/>
          <w:szCs w:val="24"/>
        </w:rPr>
        <w:lastRenderedPageBreak/>
        <w:t>Table A12-1</w:t>
      </w:r>
      <w:r>
        <w:rPr>
          <w:rFonts w:ascii="Times New Roman" w:hAnsi="Times New Roman" w:cs="Times New Roman"/>
          <w:sz w:val="24"/>
          <w:szCs w:val="24"/>
        </w:rPr>
        <w:t>.</w:t>
      </w:r>
      <w:proofErr w:type="gramEnd"/>
      <w:r w:rsidRPr="00FB54DC">
        <w:rPr>
          <w:rFonts w:ascii="Times New Roman" w:hAnsi="Times New Roman" w:cs="Times New Roman"/>
          <w:sz w:val="24"/>
          <w:szCs w:val="24"/>
        </w:rPr>
        <w:t xml:space="preserve"> Estimate for Burden Hours </w:t>
      </w:r>
      <w:r>
        <w:rPr>
          <w:rFonts w:ascii="Times New Roman" w:hAnsi="Times New Roman" w:cs="Times New Roman"/>
          <w:sz w:val="24"/>
          <w:szCs w:val="24"/>
        </w:rPr>
        <w:t>over Three-Year Approval Period</w:t>
      </w:r>
    </w:p>
    <w:tbl>
      <w:tblPr>
        <w:tblStyle w:val="TableGrid"/>
        <w:tblW w:w="0" w:type="auto"/>
        <w:tblLook w:val="04A0" w:firstRow="1" w:lastRow="0" w:firstColumn="1" w:lastColumn="0" w:noHBand="0" w:noVBand="1"/>
      </w:tblPr>
      <w:tblGrid>
        <w:gridCol w:w="2541"/>
        <w:gridCol w:w="1530"/>
        <w:gridCol w:w="1656"/>
        <w:gridCol w:w="2030"/>
        <w:gridCol w:w="1819"/>
      </w:tblGrid>
      <w:tr w:rsidR="00F8581F" w:rsidRPr="00FB54DC" w14:paraId="7E209E34" w14:textId="77777777" w:rsidTr="00EA57E8">
        <w:tc>
          <w:tcPr>
            <w:tcW w:w="2541" w:type="dxa"/>
          </w:tcPr>
          <w:p w14:paraId="5B9CB7C4" w14:textId="77777777" w:rsidR="00F8581F" w:rsidRPr="001C10BB" w:rsidRDefault="00FB54DC" w:rsidP="00FB54DC">
            <w:pPr>
              <w:jc w:val="center"/>
              <w:rPr>
                <w:rFonts w:ascii="Times New Roman" w:hAnsi="Times New Roman" w:cs="Times New Roman"/>
                <w:sz w:val="24"/>
                <w:szCs w:val="24"/>
              </w:rPr>
            </w:pPr>
            <w:r w:rsidRPr="001C10BB">
              <w:rPr>
                <w:rFonts w:ascii="Times New Roman" w:hAnsi="Times New Roman" w:cs="Times New Roman"/>
                <w:sz w:val="24"/>
                <w:szCs w:val="24"/>
              </w:rPr>
              <w:t>Category of Respondents</w:t>
            </w:r>
          </w:p>
        </w:tc>
        <w:tc>
          <w:tcPr>
            <w:tcW w:w="1530" w:type="dxa"/>
          </w:tcPr>
          <w:p w14:paraId="2642D3E3" w14:textId="77777777" w:rsidR="00F8581F" w:rsidRPr="001C10BB" w:rsidRDefault="00F8581F" w:rsidP="00EA57E8">
            <w:pPr>
              <w:jc w:val="center"/>
              <w:rPr>
                <w:rFonts w:ascii="Times New Roman" w:hAnsi="Times New Roman" w:cs="Times New Roman"/>
                <w:sz w:val="24"/>
                <w:szCs w:val="24"/>
              </w:rPr>
            </w:pPr>
            <w:r w:rsidRPr="001C10BB">
              <w:rPr>
                <w:rFonts w:ascii="Times New Roman" w:hAnsi="Times New Roman" w:cs="Times New Roman"/>
                <w:sz w:val="24"/>
                <w:szCs w:val="24"/>
              </w:rPr>
              <w:t>Number of Respondents</w:t>
            </w:r>
          </w:p>
        </w:tc>
        <w:tc>
          <w:tcPr>
            <w:tcW w:w="1656" w:type="dxa"/>
          </w:tcPr>
          <w:p w14:paraId="6CC784B4" w14:textId="77777777" w:rsidR="00F8581F" w:rsidRPr="001C10BB" w:rsidRDefault="00F8581F" w:rsidP="00EA57E8">
            <w:pPr>
              <w:jc w:val="center"/>
              <w:rPr>
                <w:rFonts w:ascii="Times New Roman" w:hAnsi="Times New Roman" w:cs="Times New Roman"/>
                <w:sz w:val="24"/>
                <w:szCs w:val="24"/>
              </w:rPr>
            </w:pPr>
            <w:r w:rsidRPr="001C10BB">
              <w:rPr>
                <w:rFonts w:ascii="Times New Roman" w:hAnsi="Times New Roman" w:cs="Times New Roman"/>
                <w:sz w:val="24"/>
                <w:szCs w:val="24"/>
              </w:rPr>
              <w:t>Frequency of Responses</w:t>
            </w:r>
          </w:p>
        </w:tc>
        <w:tc>
          <w:tcPr>
            <w:tcW w:w="2030" w:type="dxa"/>
          </w:tcPr>
          <w:p w14:paraId="3D3AD40B" w14:textId="77777777" w:rsidR="00F8581F" w:rsidRPr="001C10BB" w:rsidRDefault="00F8581F" w:rsidP="00EA57E8">
            <w:pPr>
              <w:jc w:val="center"/>
              <w:rPr>
                <w:rFonts w:ascii="Times New Roman" w:hAnsi="Times New Roman" w:cs="Times New Roman"/>
                <w:sz w:val="24"/>
                <w:szCs w:val="24"/>
              </w:rPr>
            </w:pPr>
            <w:r w:rsidRPr="001C10BB">
              <w:rPr>
                <w:rFonts w:ascii="Times New Roman" w:hAnsi="Times New Roman" w:cs="Times New Roman"/>
                <w:sz w:val="24"/>
                <w:szCs w:val="24"/>
              </w:rPr>
              <w:t>Average Time per Response</w:t>
            </w:r>
          </w:p>
          <w:p w14:paraId="14E57E25" w14:textId="77777777" w:rsidR="00F8581F" w:rsidRPr="001C10BB" w:rsidRDefault="00F8581F" w:rsidP="00EE487F">
            <w:pPr>
              <w:jc w:val="center"/>
              <w:rPr>
                <w:rFonts w:ascii="Times New Roman" w:hAnsi="Times New Roman" w:cs="Times New Roman"/>
                <w:sz w:val="24"/>
                <w:szCs w:val="24"/>
              </w:rPr>
            </w:pPr>
            <w:r w:rsidRPr="001C10BB">
              <w:rPr>
                <w:rFonts w:ascii="Times New Roman" w:hAnsi="Times New Roman" w:cs="Times New Roman"/>
                <w:sz w:val="24"/>
                <w:szCs w:val="24"/>
              </w:rPr>
              <w:t>(</w:t>
            </w:r>
            <w:r w:rsidR="00EE487F" w:rsidRPr="001C10BB">
              <w:rPr>
                <w:rFonts w:ascii="Times New Roman" w:hAnsi="Times New Roman" w:cs="Times New Roman"/>
                <w:sz w:val="24"/>
                <w:szCs w:val="24"/>
              </w:rPr>
              <w:t>in h</w:t>
            </w:r>
            <w:r w:rsidRPr="001C10BB">
              <w:rPr>
                <w:rFonts w:ascii="Times New Roman" w:hAnsi="Times New Roman" w:cs="Times New Roman"/>
                <w:sz w:val="24"/>
                <w:szCs w:val="24"/>
              </w:rPr>
              <w:t>our</w:t>
            </w:r>
            <w:r w:rsidR="00C16ADC" w:rsidRPr="001C10BB">
              <w:rPr>
                <w:rFonts w:ascii="Times New Roman" w:hAnsi="Times New Roman" w:cs="Times New Roman"/>
                <w:sz w:val="24"/>
                <w:szCs w:val="24"/>
              </w:rPr>
              <w:t>s</w:t>
            </w:r>
            <w:r w:rsidRPr="001C10BB">
              <w:rPr>
                <w:rFonts w:ascii="Times New Roman" w:hAnsi="Times New Roman" w:cs="Times New Roman"/>
                <w:sz w:val="24"/>
                <w:szCs w:val="24"/>
              </w:rPr>
              <w:t>)</w:t>
            </w:r>
          </w:p>
        </w:tc>
        <w:tc>
          <w:tcPr>
            <w:tcW w:w="1819" w:type="dxa"/>
          </w:tcPr>
          <w:p w14:paraId="4325043E" w14:textId="77777777" w:rsidR="00F8581F" w:rsidRPr="001C10BB" w:rsidRDefault="00EE487F" w:rsidP="00EA57E8">
            <w:pPr>
              <w:jc w:val="center"/>
              <w:rPr>
                <w:rFonts w:ascii="Times New Roman" w:hAnsi="Times New Roman" w:cs="Times New Roman"/>
                <w:sz w:val="24"/>
                <w:szCs w:val="24"/>
              </w:rPr>
            </w:pPr>
            <w:r w:rsidRPr="001C10BB">
              <w:rPr>
                <w:rFonts w:ascii="Times New Roman" w:hAnsi="Times New Roman" w:cs="Times New Roman"/>
                <w:sz w:val="24"/>
                <w:szCs w:val="24"/>
              </w:rPr>
              <w:t xml:space="preserve">Total </w:t>
            </w:r>
            <w:r w:rsidR="00F8581F" w:rsidRPr="001C10BB">
              <w:rPr>
                <w:rFonts w:ascii="Times New Roman" w:hAnsi="Times New Roman" w:cs="Times New Roman"/>
                <w:sz w:val="24"/>
                <w:szCs w:val="24"/>
              </w:rPr>
              <w:t>Burden Hours</w:t>
            </w:r>
          </w:p>
        </w:tc>
      </w:tr>
      <w:tr w:rsidR="00F8581F" w:rsidRPr="00FB54DC" w14:paraId="3D710560" w14:textId="77777777" w:rsidTr="001C10BB">
        <w:tc>
          <w:tcPr>
            <w:tcW w:w="2541" w:type="dxa"/>
          </w:tcPr>
          <w:p w14:paraId="629F92D1" w14:textId="77777777" w:rsidR="00F73F99" w:rsidRDefault="00777010" w:rsidP="00EA57E8">
            <w:pPr>
              <w:jc w:val="center"/>
              <w:rPr>
                <w:rFonts w:ascii="Times New Roman" w:hAnsi="Times New Roman" w:cs="Times New Roman"/>
                <w:sz w:val="24"/>
                <w:szCs w:val="24"/>
              </w:rPr>
            </w:pPr>
            <w:r>
              <w:rPr>
                <w:rFonts w:ascii="Times New Roman" w:hAnsi="Times New Roman" w:cs="Times New Roman"/>
                <w:sz w:val="24"/>
                <w:szCs w:val="24"/>
              </w:rPr>
              <w:t xml:space="preserve">Individuals, Households, </w:t>
            </w:r>
          </w:p>
          <w:p w14:paraId="37579319" w14:textId="77777777" w:rsidR="00F73F99" w:rsidRDefault="00777010" w:rsidP="00EA57E8">
            <w:pPr>
              <w:jc w:val="center"/>
              <w:rPr>
                <w:rFonts w:ascii="Times New Roman" w:hAnsi="Times New Roman" w:cs="Times New Roman"/>
                <w:sz w:val="24"/>
                <w:szCs w:val="24"/>
              </w:rPr>
            </w:pPr>
            <w:r>
              <w:rPr>
                <w:rFonts w:ascii="Times New Roman" w:hAnsi="Times New Roman" w:cs="Times New Roman"/>
                <w:sz w:val="24"/>
                <w:szCs w:val="24"/>
              </w:rPr>
              <w:t xml:space="preserve">Private Sector, </w:t>
            </w:r>
          </w:p>
          <w:p w14:paraId="44622F5F" w14:textId="35B2E9BE" w:rsidR="00F8581F" w:rsidRPr="00FB54DC" w:rsidRDefault="00777010" w:rsidP="00EA57E8">
            <w:pPr>
              <w:jc w:val="center"/>
              <w:rPr>
                <w:rFonts w:ascii="Times New Roman" w:hAnsi="Times New Roman" w:cs="Times New Roman"/>
                <w:sz w:val="24"/>
                <w:szCs w:val="24"/>
              </w:rPr>
            </w:pPr>
            <w:r>
              <w:rPr>
                <w:rFonts w:ascii="Times New Roman" w:hAnsi="Times New Roman" w:cs="Times New Roman"/>
                <w:sz w:val="24"/>
                <w:szCs w:val="24"/>
              </w:rPr>
              <w:t>State Government, Local Government, Tribal Government, or Federal Government</w:t>
            </w:r>
          </w:p>
        </w:tc>
        <w:tc>
          <w:tcPr>
            <w:tcW w:w="1530" w:type="dxa"/>
            <w:vAlign w:val="center"/>
          </w:tcPr>
          <w:p w14:paraId="05C01A5E" w14:textId="2035590D" w:rsidR="00F8581F" w:rsidRPr="00FB54DC" w:rsidRDefault="002728F3" w:rsidP="001C10BB">
            <w:pPr>
              <w:jc w:val="center"/>
              <w:rPr>
                <w:rFonts w:ascii="Times New Roman" w:hAnsi="Times New Roman" w:cs="Times New Roman"/>
                <w:sz w:val="24"/>
                <w:szCs w:val="24"/>
              </w:rPr>
            </w:pPr>
            <w:r>
              <w:rPr>
                <w:rFonts w:ascii="Times New Roman" w:hAnsi="Times New Roman" w:cs="Times New Roman"/>
                <w:sz w:val="24"/>
                <w:szCs w:val="24"/>
              </w:rPr>
              <w:t>20</w:t>
            </w:r>
            <w:r w:rsidR="003E316D">
              <w:rPr>
                <w:rFonts w:ascii="Times New Roman" w:hAnsi="Times New Roman" w:cs="Times New Roman"/>
                <w:sz w:val="24"/>
                <w:szCs w:val="24"/>
              </w:rPr>
              <w:t>,</w:t>
            </w:r>
            <w:r w:rsidR="00C16ADC">
              <w:rPr>
                <w:rFonts w:ascii="Times New Roman" w:hAnsi="Times New Roman" w:cs="Times New Roman"/>
                <w:sz w:val="24"/>
                <w:szCs w:val="24"/>
              </w:rPr>
              <w:t>000</w:t>
            </w:r>
          </w:p>
        </w:tc>
        <w:tc>
          <w:tcPr>
            <w:tcW w:w="1656" w:type="dxa"/>
            <w:vAlign w:val="center"/>
          </w:tcPr>
          <w:p w14:paraId="35C04D3C" w14:textId="77777777" w:rsidR="00F8581F" w:rsidRPr="00FB54DC" w:rsidRDefault="00C16ADC" w:rsidP="001C10BB">
            <w:pPr>
              <w:jc w:val="center"/>
              <w:rPr>
                <w:rFonts w:ascii="Times New Roman" w:hAnsi="Times New Roman" w:cs="Times New Roman"/>
                <w:sz w:val="24"/>
                <w:szCs w:val="24"/>
              </w:rPr>
            </w:pPr>
            <w:r>
              <w:rPr>
                <w:rFonts w:ascii="Times New Roman" w:hAnsi="Times New Roman" w:cs="Times New Roman"/>
                <w:sz w:val="24"/>
                <w:szCs w:val="24"/>
              </w:rPr>
              <w:t>1</w:t>
            </w:r>
          </w:p>
        </w:tc>
        <w:tc>
          <w:tcPr>
            <w:tcW w:w="2030" w:type="dxa"/>
            <w:vAlign w:val="center"/>
          </w:tcPr>
          <w:p w14:paraId="2D5FBC68" w14:textId="77777777" w:rsidR="00F8581F" w:rsidRPr="00FB54DC" w:rsidRDefault="004D37C2" w:rsidP="001C10BB">
            <w:pPr>
              <w:jc w:val="center"/>
              <w:rPr>
                <w:rFonts w:ascii="Times New Roman" w:hAnsi="Times New Roman" w:cs="Times New Roman"/>
                <w:sz w:val="24"/>
                <w:szCs w:val="24"/>
              </w:rPr>
            </w:pPr>
            <w:r>
              <w:rPr>
                <w:rFonts w:ascii="Times New Roman" w:hAnsi="Times New Roman" w:cs="Times New Roman"/>
                <w:sz w:val="24"/>
                <w:szCs w:val="24"/>
              </w:rPr>
              <w:t>5</w:t>
            </w:r>
            <w:r w:rsidR="003E316D">
              <w:rPr>
                <w:rFonts w:ascii="Times New Roman" w:hAnsi="Times New Roman" w:cs="Times New Roman"/>
                <w:sz w:val="24"/>
                <w:szCs w:val="24"/>
              </w:rPr>
              <w:t>0/60</w:t>
            </w:r>
          </w:p>
        </w:tc>
        <w:tc>
          <w:tcPr>
            <w:tcW w:w="1819" w:type="dxa"/>
            <w:vAlign w:val="center"/>
          </w:tcPr>
          <w:p w14:paraId="4CCBB1CE" w14:textId="391521F5" w:rsidR="00F8581F" w:rsidRPr="00FB54DC" w:rsidRDefault="00304ECE" w:rsidP="002728F3">
            <w:pPr>
              <w:jc w:val="center"/>
              <w:rPr>
                <w:rFonts w:ascii="Times New Roman" w:hAnsi="Times New Roman" w:cs="Times New Roman"/>
                <w:sz w:val="24"/>
                <w:szCs w:val="24"/>
              </w:rPr>
            </w:pPr>
            <w:r>
              <w:rPr>
                <w:rFonts w:ascii="Times New Roman" w:hAnsi="Times New Roman" w:cs="Times New Roman"/>
                <w:sz w:val="24"/>
                <w:szCs w:val="24"/>
              </w:rPr>
              <w:t>1</w:t>
            </w:r>
            <w:r w:rsidR="002728F3">
              <w:rPr>
                <w:rFonts w:ascii="Times New Roman" w:hAnsi="Times New Roman" w:cs="Times New Roman"/>
                <w:sz w:val="24"/>
                <w:szCs w:val="24"/>
              </w:rPr>
              <w:t>6,667</w:t>
            </w:r>
          </w:p>
        </w:tc>
      </w:tr>
      <w:tr w:rsidR="00F8581F" w:rsidRPr="00FB54DC" w14:paraId="630725AC" w14:textId="77777777" w:rsidTr="00EA57E8">
        <w:tc>
          <w:tcPr>
            <w:tcW w:w="2541" w:type="dxa"/>
          </w:tcPr>
          <w:p w14:paraId="33E8100A" w14:textId="77777777" w:rsidR="00F8581F" w:rsidRPr="00FB54DC" w:rsidRDefault="00F8581F" w:rsidP="00EA57E8">
            <w:pPr>
              <w:jc w:val="center"/>
              <w:rPr>
                <w:rFonts w:ascii="Times New Roman" w:hAnsi="Times New Roman" w:cs="Times New Roman"/>
                <w:sz w:val="24"/>
                <w:szCs w:val="24"/>
              </w:rPr>
            </w:pPr>
            <w:r w:rsidRPr="00FB54DC">
              <w:rPr>
                <w:rFonts w:ascii="Times New Roman" w:hAnsi="Times New Roman" w:cs="Times New Roman"/>
                <w:sz w:val="24"/>
                <w:szCs w:val="24"/>
              </w:rPr>
              <w:t>Total</w:t>
            </w:r>
          </w:p>
        </w:tc>
        <w:tc>
          <w:tcPr>
            <w:tcW w:w="1530" w:type="dxa"/>
          </w:tcPr>
          <w:p w14:paraId="68BC1324" w14:textId="585C8F7B" w:rsidR="00F8581F" w:rsidRPr="00FB54DC" w:rsidRDefault="002728F3" w:rsidP="00EA57E8">
            <w:pPr>
              <w:jc w:val="center"/>
              <w:rPr>
                <w:rFonts w:ascii="Times New Roman" w:hAnsi="Times New Roman" w:cs="Times New Roman"/>
                <w:sz w:val="24"/>
                <w:szCs w:val="24"/>
              </w:rPr>
            </w:pPr>
            <w:r>
              <w:rPr>
                <w:rFonts w:ascii="Times New Roman" w:hAnsi="Times New Roman" w:cs="Times New Roman"/>
                <w:sz w:val="24"/>
                <w:szCs w:val="24"/>
              </w:rPr>
              <w:t>20</w:t>
            </w:r>
            <w:r w:rsidR="003E316D">
              <w:rPr>
                <w:rFonts w:ascii="Times New Roman" w:hAnsi="Times New Roman" w:cs="Times New Roman"/>
                <w:sz w:val="24"/>
                <w:szCs w:val="24"/>
              </w:rPr>
              <w:t>,000</w:t>
            </w:r>
          </w:p>
        </w:tc>
        <w:tc>
          <w:tcPr>
            <w:tcW w:w="1656" w:type="dxa"/>
          </w:tcPr>
          <w:p w14:paraId="12373F2C" w14:textId="77777777" w:rsidR="00F8581F" w:rsidRPr="00FB54DC" w:rsidRDefault="00F8581F" w:rsidP="00EA57E8">
            <w:pPr>
              <w:jc w:val="center"/>
              <w:rPr>
                <w:rFonts w:ascii="Times New Roman" w:hAnsi="Times New Roman" w:cs="Times New Roman"/>
                <w:sz w:val="24"/>
                <w:szCs w:val="24"/>
              </w:rPr>
            </w:pPr>
          </w:p>
        </w:tc>
        <w:tc>
          <w:tcPr>
            <w:tcW w:w="2030" w:type="dxa"/>
          </w:tcPr>
          <w:p w14:paraId="6C7F2E75" w14:textId="77777777" w:rsidR="00F8581F" w:rsidRPr="00FB54DC" w:rsidRDefault="00F8581F" w:rsidP="00EA57E8">
            <w:pPr>
              <w:jc w:val="center"/>
              <w:rPr>
                <w:rFonts w:ascii="Times New Roman" w:hAnsi="Times New Roman" w:cs="Times New Roman"/>
                <w:sz w:val="24"/>
                <w:szCs w:val="24"/>
              </w:rPr>
            </w:pPr>
          </w:p>
        </w:tc>
        <w:tc>
          <w:tcPr>
            <w:tcW w:w="1819" w:type="dxa"/>
          </w:tcPr>
          <w:p w14:paraId="66263689" w14:textId="08288BD0" w:rsidR="00F8581F" w:rsidRPr="00FB54DC" w:rsidRDefault="002728F3" w:rsidP="00304ECE">
            <w:pPr>
              <w:jc w:val="center"/>
              <w:rPr>
                <w:rFonts w:ascii="Times New Roman" w:hAnsi="Times New Roman" w:cs="Times New Roman"/>
                <w:sz w:val="24"/>
                <w:szCs w:val="24"/>
              </w:rPr>
            </w:pPr>
            <w:r>
              <w:rPr>
                <w:rFonts w:ascii="Times New Roman" w:hAnsi="Times New Roman" w:cs="Times New Roman"/>
                <w:sz w:val="24"/>
                <w:szCs w:val="24"/>
              </w:rPr>
              <w:t>16,667</w:t>
            </w:r>
          </w:p>
        </w:tc>
      </w:tr>
    </w:tbl>
    <w:p w14:paraId="39DE13FD" w14:textId="77777777" w:rsidR="00CB1D87" w:rsidRDefault="00CB1D87" w:rsidP="00CB1D87">
      <w:pPr>
        <w:spacing w:after="0" w:line="480" w:lineRule="auto"/>
        <w:rPr>
          <w:rFonts w:ascii="Times New Roman" w:hAnsi="Times New Roman" w:cs="Times New Roman"/>
          <w:sz w:val="24"/>
          <w:szCs w:val="24"/>
        </w:rPr>
      </w:pPr>
    </w:p>
    <w:p w14:paraId="5281724D" w14:textId="4F8A8C79" w:rsidR="00704B7B" w:rsidRDefault="00CB1D87" w:rsidP="00CB1D87">
      <w:pPr>
        <w:spacing w:after="0" w:line="480" w:lineRule="auto"/>
        <w:rPr>
          <w:rFonts w:ascii="Times New Roman" w:hAnsi="Times New Roman" w:cs="Times New Roman"/>
          <w:sz w:val="24"/>
          <w:szCs w:val="24"/>
        </w:rPr>
      </w:pPr>
      <w:r>
        <w:rPr>
          <w:rFonts w:ascii="Times New Roman" w:hAnsi="Times New Roman" w:cs="Times New Roman"/>
          <w:sz w:val="24"/>
          <w:szCs w:val="24"/>
        </w:rPr>
        <w:t>Based on the Bureau of Labor Statistics for May 2011, the mean hourly wage for all occupations is $21.74</w:t>
      </w:r>
      <w:r w:rsidR="00704B7B">
        <w:rPr>
          <w:rFonts w:ascii="Times New Roman" w:hAnsi="Times New Roman" w:cs="Times New Roman"/>
          <w:sz w:val="24"/>
          <w:szCs w:val="24"/>
        </w:rPr>
        <w:t xml:space="preserve"> (Table A12-2)</w:t>
      </w:r>
      <w:r>
        <w:rPr>
          <w:rFonts w:ascii="Times New Roman" w:hAnsi="Times New Roman" w:cs="Times New Roman"/>
          <w:sz w:val="24"/>
          <w:szCs w:val="24"/>
        </w:rPr>
        <w:t>.  This would amount to $</w:t>
      </w:r>
      <w:r w:rsidR="00351D4E">
        <w:rPr>
          <w:rFonts w:ascii="Times New Roman" w:hAnsi="Times New Roman" w:cs="Times New Roman"/>
          <w:sz w:val="24"/>
          <w:szCs w:val="24"/>
        </w:rPr>
        <w:t>271,750</w:t>
      </w:r>
      <w:r>
        <w:rPr>
          <w:rFonts w:ascii="Times New Roman" w:hAnsi="Times New Roman" w:cs="Times New Roman"/>
          <w:sz w:val="24"/>
          <w:szCs w:val="24"/>
        </w:rPr>
        <w:t xml:space="preserve"> over the course of three years.</w:t>
      </w:r>
      <w:r w:rsidR="00704B7B" w:rsidRPr="00704B7B">
        <w:rPr>
          <w:rFonts w:ascii="Times New Roman" w:hAnsi="Times New Roman" w:cs="Times New Roman"/>
          <w:sz w:val="24"/>
          <w:szCs w:val="24"/>
        </w:rPr>
        <w:t xml:space="preserve"> </w:t>
      </w:r>
    </w:p>
    <w:p w14:paraId="243D13A6" w14:textId="765F86D5" w:rsidR="004004BC" w:rsidRDefault="00704B7B" w:rsidP="00704B7B">
      <w:pPr>
        <w:spacing w:after="0" w:line="480" w:lineRule="auto"/>
        <w:jc w:val="center"/>
      </w:pPr>
      <w:proofErr w:type="gramStart"/>
      <w:r w:rsidRPr="00FB54DC">
        <w:rPr>
          <w:rFonts w:ascii="Times New Roman" w:hAnsi="Times New Roman" w:cs="Times New Roman"/>
          <w:sz w:val="24"/>
          <w:szCs w:val="24"/>
        </w:rPr>
        <w:t>Table A12-</w:t>
      </w:r>
      <w:r>
        <w:rPr>
          <w:rFonts w:ascii="Times New Roman" w:hAnsi="Times New Roman" w:cs="Times New Roman"/>
          <w:sz w:val="24"/>
          <w:szCs w:val="24"/>
        </w:rPr>
        <w:t>2.</w:t>
      </w:r>
      <w:proofErr w:type="gramEnd"/>
      <w:r w:rsidRPr="00FB54DC">
        <w:rPr>
          <w:rFonts w:ascii="Times New Roman" w:hAnsi="Times New Roman" w:cs="Times New Roman"/>
          <w:sz w:val="24"/>
          <w:szCs w:val="24"/>
        </w:rPr>
        <w:t xml:space="preserve"> Estimate for </w:t>
      </w:r>
      <w:r>
        <w:rPr>
          <w:rFonts w:ascii="Times New Roman" w:hAnsi="Times New Roman" w:cs="Times New Roman"/>
          <w:sz w:val="24"/>
          <w:szCs w:val="24"/>
        </w:rPr>
        <w:t>Costs to Respondents over Three-Year Approval Period</w:t>
      </w:r>
    </w:p>
    <w:tbl>
      <w:tblPr>
        <w:tblStyle w:val="TableGrid"/>
        <w:tblpPr w:leftFromText="180" w:rightFromText="180" w:vertAnchor="text" w:horzAnchor="margin" w:tblpY="133"/>
        <w:tblW w:w="0" w:type="auto"/>
        <w:tblLook w:val="04A0" w:firstRow="1" w:lastRow="0" w:firstColumn="1" w:lastColumn="0" w:noHBand="0" w:noVBand="1"/>
      </w:tblPr>
      <w:tblGrid>
        <w:gridCol w:w="2669"/>
        <w:gridCol w:w="1748"/>
        <w:gridCol w:w="2261"/>
        <w:gridCol w:w="2880"/>
      </w:tblGrid>
      <w:tr w:rsidR="00F73933" w:rsidRPr="00FB54DC" w14:paraId="36B126D5" w14:textId="77777777" w:rsidTr="00ED5185">
        <w:trPr>
          <w:trHeight w:val="273"/>
        </w:trPr>
        <w:tc>
          <w:tcPr>
            <w:tcW w:w="2669" w:type="dxa"/>
          </w:tcPr>
          <w:p w14:paraId="528E2082" w14:textId="77777777" w:rsidR="00F73933" w:rsidRPr="001C10BB" w:rsidRDefault="00F73933" w:rsidP="00F73933">
            <w:pPr>
              <w:jc w:val="center"/>
              <w:rPr>
                <w:rFonts w:ascii="Times New Roman" w:hAnsi="Times New Roman" w:cs="Times New Roman"/>
                <w:sz w:val="24"/>
                <w:szCs w:val="24"/>
              </w:rPr>
            </w:pPr>
            <w:r w:rsidRPr="00E35F52">
              <w:rPr>
                <w:rFonts w:ascii="Times New Roman" w:hAnsi="Times New Roman" w:cs="Times New Roman"/>
                <w:sz w:val="24"/>
                <w:szCs w:val="24"/>
              </w:rPr>
              <w:t xml:space="preserve">Category of </w:t>
            </w:r>
            <w:r w:rsidRPr="001C10BB">
              <w:rPr>
                <w:rFonts w:ascii="Times New Roman" w:hAnsi="Times New Roman" w:cs="Times New Roman"/>
                <w:sz w:val="24"/>
                <w:szCs w:val="24"/>
              </w:rPr>
              <w:t>Respondents</w:t>
            </w:r>
          </w:p>
        </w:tc>
        <w:tc>
          <w:tcPr>
            <w:tcW w:w="1748" w:type="dxa"/>
          </w:tcPr>
          <w:p w14:paraId="3181ECE6" w14:textId="77777777" w:rsidR="00F73933" w:rsidRPr="001C10BB" w:rsidRDefault="00F73933" w:rsidP="00F73933">
            <w:pPr>
              <w:jc w:val="center"/>
              <w:rPr>
                <w:rFonts w:ascii="Times New Roman" w:hAnsi="Times New Roman" w:cs="Times New Roman"/>
                <w:sz w:val="24"/>
                <w:szCs w:val="24"/>
              </w:rPr>
            </w:pPr>
            <w:r w:rsidRPr="001C10BB">
              <w:rPr>
                <w:rFonts w:ascii="Times New Roman" w:hAnsi="Times New Roman" w:cs="Times New Roman"/>
                <w:sz w:val="24"/>
                <w:szCs w:val="24"/>
              </w:rPr>
              <w:t>Burden Hours</w:t>
            </w:r>
          </w:p>
        </w:tc>
        <w:tc>
          <w:tcPr>
            <w:tcW w:w="2261" w:type="dxa"/>
          </w:tcPr>
          <w:p w14:paraId="606A0CF1" w14:textId="77777777" w:rsidR="00F73933" w:rsidRPr="001C10BB" w:rsidRDefault="00F73933" w:rsidP="00F73933">
            <w:pPr>
              <w:jc w:val="center"/>
              <w:rPr>
                <w:rFonts w:ascii="Times New Roman" w:hAnsi="Times New Roman" w:cs="Times New Roman"/>
                <w:sz w:val="24"/>
                <w:szCs w:val="24"/>
              </w:rPr>
            </w:pPr>
            <w:r w:rsidRPr="001C10BB">
              <w:rPr>
                <w:rFonts w:ascii="Times New Roman" w:hAnsi="Times New Roman" w:cs="Times New Roman"/>
                <w:sz w:val="24"/>
                <w:szCs w:val="24"/>
              </w:rPr>
              <w:t>Hourly Wage Rates</w:t>
            </w:r>
          </w:p>
        </w:tc>
        <w:tc>
          <w:tcPr>
            <w:tcW w:w="2880" w:type="dxa"/>
          </w:tcPr>
          <w:p w14:paraId="5F7F6E23" w14:textId="77777777" w:rsidR="00F73933" w:rsidRPr="001C10BB" w:rsidRDefault="00F73933" w:rsidP="00F73933">
            <w:pPr>
              <w:jc w:val="center"/>
              <w:rPr>
                <w:rFonts w:ascii="Times New Roman" w:hAnsi="Times New Roman" w:cs="Times New Roman"/>
                <w:sz w:val="24"/>
                <w:szCs w:val="24"/>
              </w:rPr>
            </w:pPr>
            <w:r>
              <w:rPr>
                <w:rFonts w:ascii="Times New Roman" w:hAnsi="Times New Roman" w:cs="Times New Roman"/>
                <w:sz w:val="24"/>
                <w:szCs w:val="24"/>
              </w:rPr>
              <w:t xml:space="preserve">Total </w:t>
            </w:r>
            <w:r w:rsidRPr="001C10BB">
              <w:rPr>
                <w:rFonts w:ascii="Times New Roman" w:hAnsi="Times New Roman" w:cs="Times New Roman"/>
                <w:sz w:val="24"/>
                <w:szCs w:val="24"/>
              </w:rPr>
              <w:t>Wage Rate</w:t>
            </w:r>
          </w:p>
        </w:tc>
      </w:tr>
      <w:tr w:rsidR="00F73933" w:rsidRPr="00FB54DC" w14:paraId="19E76428" w14:textId="77777777" w:rsidTr="00ED5185">
        <w:tc>
          <w:tcPr>
            <w:tcW w:w="2669" w:type="dxa"/>
          </w:tcPr>
          <w:p w14:paraId="1D2F23B1" w14:textId="77777777" w:rsidR="00F73F99" w:rsidRDefault="00F73F99" w:rsidP="00F73F99">
            <w:pPr>
              <w:jc w:val="center"/>
              <w:rPr>
                <w:rFonts w:ascii="Times New Roman" w:hAnsi="Times New Roman" w:cs="Times New Roman"/>
                <w:sz w:val="24"/>
                <w:szCs w:val="24"/>
              </w:rPr>
            </w:pPr>
            <w:r>
              <w:rPr>
                <w:rFonts w:ascii="Times New Roman" w:hAnsi="Times New Roman" w:cs="Times New Roman"/>
                <w:sz w:val="24"/>
                <w:szCs w:val="24"/>
              </w:rPr>
              <w:t xml:space="preserve">Individuals, </w:t>
            </w:r>
          </w:p>
          <w:p w14:paraId="302ED62F" w14:textId="3478FE44" w:rsidR="00F73F99" w:rsidRDefault="00F73F99" w:rsidP="00F73F99">
            <w:pPr>
              <w:jc w:val="center"/>
              <w:rPr>
                <w:rFonts w:ascii="Times New Roman" w:hAnsi="Times New Roman" w:cs="Times New Roman"/>
                <w:sz w:val="24"/>
                <w:szCs w:val="24"/>
              </w:rPr>
            </w:pPr>
            <w:r>
              <w:rPr>
                <w:rFonts w:ascii="Times New Roman" w:hAnsi="Times New Roman" w:cs="Times New Roman"/>
                <w:sz w:val="24"/>
                <w:szCs w:val="24"/>
              </w:rPr>
              <w:t xml:space="preserve">Households, </w:t>
            </w:r>
          </w:p>
          <w:p w14:paraId="0FDB9894" w14:textId="77777777" w:rsidR="00F73F99" w:rsidRDefault="00F73F99" w:rsidP="00F73F99">
            <w:pPr>
              <w:jc w:val="center"/>
              <w:rPr>
                <w:rFonts w:ascii="Times New Roman" w:hAnsi="Times New Roman" w:cs="Times New Roman"/>
                <w:sz w:val="24"/>
                <w:szCs w:val="24"/>
              </w:rPr>
            </w:pPr>
            <w:r>
              <w:rPr>
                <w:rFonts w:ascii="Times New Roman" w:hAnsi="Times New Roman" w:cs="Times New Roman"/>
                <w:sz w:val="24"/>
                <w:szCs w:val="24"/>
              </w:rPr>
              <w:t xml:space="preserve">Private Sector, </w:t>
            </w:r>
          </w:p>
          <w:p w14:paraId="20BF3CB0" w14:textId="77777777" w:rsidR="00F73F99" w:rsidRDefault="00F73F99" w:rsidP="00F73F99">
            <w:pPr>
              <w:jc w:val="center"/>
              <w:rPr>
                <w:rFonts w:ascii="Times New Roman" w:hAnsi="Times New Roman" w:cs="Times New Roman"/>
                <w:sz w:val="24"/>
                <w:szCs w:val="24"/>
              </w:rPr>
            </w:pPr>
            <w:r>
              <w:rPr>
                <w:rFonts w:ascii="Times New Roman" w:hAnsi="Times New Roman" w:cs="Times New Roman"/>
                <w:sz w:val="24"/>
                <w:szCs w:val="24"/>
              </w:rPr>
              <w:t xml:space="preserve">State Government, </w:t>
            </w:r>
          </w:p>
          <w:p w14:paraId="452B855B" w14:textId="6387F870" w:rsidR="00F73933" w:rsidRPr="00FB54DC" w:rsidRDefault="00F73F99" w:rsidP="00F73F99">
            <w:pPr>
              <w:jc w:val="center"/>
              <w:rPr>
                <w:rFonts w:ascii="Times New Roman" w:hAnsi="Times New Roman" w:cs="Times New Roman"/>
                <w:sz w:val="24"/>
                <w:szCs w:val="24"/>
              </w:rPr>
            </w:pPr>
            <w:r>
              <w:rPr>
                <w:rFonts w:ascii="Times New Roman" w:hAnsi="Times New Roman" w:cs="Times New Roman"/>
                <w:sz w:val="24"/>
                <w:szCs w:val="24"/>
              </w:rPr>
              <w:t>Local Government, Tribal Government, or Federal Government</w:t>
            </w:r>
          </w:p>
        </w:tc>
        <w:tc>
          <w:tcPr>
            <w:tcW w:w="1748" w:type="dxa"/>
            <w:vAlign w:val="center"/>
          </w:tcPr>
          <w:p w14:paraId="31A7D4F1" w14:textId="15B80F6B" w:rsidR="00F73933" w:rsidRPr="00FB54DC" w:rsidRDefault="00A57EB6" w:rsidP="00A57EB6">
            <w:pPr>
              <w:spacing w:before="100" w:beforeAutospacing="1" w:after="100" w:afterAutospacing="1" w:line="360" w:lineRule="auto"/>
              <w:jc w:val="center"/>
              <w:rPr>
                <w:rFonts w:ascii="Times New Roman" w:hAnsi="Times New Roman" w:cs="Times New Roman"/>
                <w:sz w:val="24"/>
                <w:szCs w:val="24"/>
              </w:rPr>
            </w:pPr>
            <w:r>
              <w:rPr>
                <w:rFonts w:ascii="Times New Roman" w:hAnsi="Times New Roman" w:cs="Times New Roman"/>
                <w:sz w:val="24"/>
                <w:szCs w:val="24"/>
              </w:rPr>
              <w:t>16,667</w:t>
            </w:r>
          </w:p>
        </w:tc>
        <w:tc>
          <w:tcPr>
            <w:tcW w:w="2261" w:type="dxa"/>
            <w:vAlign w:val="center"/>
          </w:tcPr>
          <w:p w14:paraId="0EA0F613" w14:textId="77777777" w:rsidR="00F73933" w:rsidRPr="00FB54DC" w:rsidRDefault="00F73933" w:rsidP="00F73933">
            <w:pPr>
              <w:spacing w:before="100" w:beforeAutospacing="1" w:after="100" w:afterAutospacing="1" w:line="360" w:lineRule="auto"/>
              <w:jc w:val="center"/>
              <w:rPr>
                <w:rFonts w:ascii="Times New Roman" w:hAnsi="Times New Roman" w:cs="Times New Roman"/>
                <w:sz w:val="24"/>
                <w:szCs w:val="24"/>
              </w:rPr>
            </w:pPr>
            <w:r>
              <w:rPr>
                <w:rFonts w:ascii="Times New Roman" w:hAnsi="Times New Roman" w:cs="Times New Roman"/>
                <w:sz w:val="24"/>
                <w:szCs w:val="24"/>
              </w:rPr>
              <w:t>$21.74</w:t>
            </w:r>
          </w:p>
        </w:tc>
        <w:tc>
          <w:tcPr>
            <w:tcW w:w="2880" w:type="dxa"/>
            <w:vAlign w:val="center"/>
          </w:tcPr>
          <w:p w14:paraId="500CE62E" w14:textId="5A59B7F0" w:rsidR="00F73933" w:rsidRPr="00FB54DC" w:rsidRDefault="00F73933" w:rsidP="00A57EB6">
            <w:pPr>
              <w:spacing w:before="100" w:beforeAutospacing="1" w:after="100" w:afterAutospacing="1" w:line="360" w:lineRule="auto"/>
              <w:jc w:val="center"/>
              <w:rPr>
                <w:rFonts w:ascii="Times New Roman" w:hAnsi="Times New Roman" w:cs="Times New Roman"/>
                <w:sz w:val="24"/>
                <w:szCs w:val="24"/>
              </w:rPr>
            </w:pPr>
            <w:r>
              <w:rPr>
                <w:rFonts w:ascii="Times New Roman" w:hAnsi="Times New Roman" w:cs="Times New Roman"/>
                <w:sz w:val="24"/>
                <w:szCs w:val="24"/>
              </w:rPr>
              <w:t>$</w:t>
            </w:r>
            <w:r w:rsidR="00A57EB6">
              <w:rPr>
                <w:rFonts w:ascii="Times New Roman" w:hAnsi="Times New Roman" w:cs="Times New Roman"/>
                <w:sz w:val="24"/>
                <w:szCs w:val="24"/>
              </w:rPr>
              <w:t>362,340.58</w:t>
            </w:r>
          </w:p>
        </w:tc>
      </w:tr>
      <w:tr w:rsidR="00F73933" w:rsidRPr="00FB54DC" w14:paraId="1F6292F1" w14:textId="77777777" w:rsidTr="00ED5185">
        <w:tc>
          <w:tcPr>
            <w:tcW w:w="2669" w:type="dxa"/>
          </w:tcPr>
          <w:p w14:paraId="5CFA0628" w14:textId="77777777" w:rsidR="00F73933" w:rsidRPr="00FB54DC" w:rsidRDefault="00F73933" w:rsidP="00F73933">
            <w:pPr>
              <w:spacing w:before="100" w:beforeAutospacing="1" w:after="100" w:afterAutospacing="1" w:line="360" w:lineRule="auto"/>
              <w:jc w:val="center"/>
              <w:rPr>
                <w:rFonts w:ascii="Times New Roman" w:hAnsi="Times New Roman" w:cs="Times New Roman"/>
                <w:sz w:val="24"/>
                <w:szCs w:val="24"/>
              </w:rPr>
            </w:pPr>
            <w:r w:rsidRPr="00FB54DC">
              <w:rPr>
                <w:rFonts w:ascii="Times New Roman" w:hAnsi="Times New Roman" w:cs="Times New Roman"/>
                <w:sz w:val="24"/>
                <w:szCs w:val="24"/>
              </w:rPr>
              <w:t>Total</w:t>
            </w:r>
          </w:p>
        </w:tc>
        <w:tc>
          <w:tcPr>
            <w:tcW w:w="1748" w:type="dxa"/>
          </w:tcPr>
          <w:p w14:paraId="7ECB0C23" w14:textId="77777777" w:rsidR="00F73933" w:rsidRPr="00FB54DC" w:rsidRDefault="00F73933" w:rsidP="00F73933">
            <w:pPr>
              <w:spacing w:before="100" w:beforeAutospacing="1" w:after="100" w:afterAutospacing="1" w:line="360" w:lineRule="auto"/>
              <w:jc w:val="center"/>
              <w:rPr>
                <w:rFonts w:ascii="Times New Roman" w:hAnsi="Times New Roman" w:cs="Times New Roman"/>
                <w:sz w:val="24"/>
                <w:szCs w:val="24"/>
              </w:rPr>
            </w:pPr>
          </w:p>
        </w:tc>
        <w:tc>
          <w:tcPr>
            <w:tcW w:w="2261" w:type="dxa"/>
          </w:tcPr>
          <w:p w14:paraId="4E9D923A" w14:textId="77777777" w:rsidR="00F73933" w:rsidRPr="00FB54DC" w:rsidRDefault="00F73933" w:rsidP="00F73933">
            <w:pPr>
              <w:spacing w:before="100" w:beforeAutospacing="1" w:after="100" w:afterAutospacing="1" w:line="360" w:lineRule="auto"/>
              <w:jc w:val="center"/>
              <w:rPr>
                <w:rFonts w:ascii="Times New Roman" w:hAnsi="Times New Roman" w:cs="Times New Roman"/>
                <w:sz w:val="24"/>
                <w:szCs w:val="24"/>
              </w:rPr>
            </w:pPr>
          </w:p>
        </w:tc>
        <w:tc>
          <w:tcPr>
            <w:tcW w:w="2880" w:type="dxa"/>
          </w:tcPr>
          <w:p w14:paraId="0DFF8A1F" w14:textId="4FE17ECA" w:rsidR="00F73933" w:rsidRPr="00FB54DC" w:rsidRDefault="00A57EB6" w:rsidP="00351D4E">
            <w:pPr>
              <w:spacing w:before="100" w:beforeAutospacing="1" w:after="100" w:afterAutospacing="1" w:line="360" w:lineRule="auto"/>
              <w:jc w:val="center"/>
              <w:rPr>
                <w:rFonts w:ascii="Times New Roman" w:hAnsi="Times New Roman" w:cs="Times New Roman"/>
                <w:sz w:val="24"/>
                <w:szCs w:val="24"/>
              </w:rPr>
            </w:pPr>
            <w:r>
              <w:rPr>
                <w:rFonts w:ascii="Times New Roman" w:hAnsi="Times New Roman" w:cs="Times New Roman"/>
                <w:sz w:val="24"/>
                <w:szCs w:val="24"/>
              </w:rPr>
              <w:t>$362,340.58</w:t>
            </w:r>
          </w:p>
        </w:tc>
      </w:tr>
    </w:tbl>
    <w:p w14:paraId="23ABEC90" w14:textId="77777777" w:rsidR="007F3122" w:rsidRPr="00FB54DC" w:rsidRDefault="007F3122" w:rsidP="0011460E">
      <w:pPr>
        <w:spacing w:after="0" w:line="480" w:lineRule="auto"/>
        <w:jc w:val="both"/>
        <w:rPr>
          <w:rFonts w:ascii="Times New Roman" w:hAnsi="Times New Roman" w:cs="Times New Roman"/>
          <w:sz w:val="24"/>
          <w:szCs w:val="24"/>
        </w:rPr>
      </w:pPr>
    </w:p>
    <w:p w14:paraId="159F0EF5" w14:textId="77777777" w:rsidR="00AD3119" w:rsidRPr="00FB54DC" w:rsidRDefault="00AD3119" w:rsidP="0011460E">
      <w:pPr>
        <w:spacing w:after="0" w:line="480" w:lineRule="auto"/>
        <w:jc w:val="both"/>
        <w:rPr>
          <w:rFonts w:ascii="Times New Roman" w:hAnsi="Times New Roman" w:cs="Times New Roman"/>
          <w:b/>
          <w:sz w:val="24"/>
          <w:szCs w:val="24"/>
          <w:u w:val="single"/>
        </w:rPr>
      </w:pPr>
      <w:r w:rsidRPr="00FB54DC">
        <w:rPr>
          <w:rFonts w:ascii="Times New Roman" w:hAnsi="Times New Roman" w:cs="Times New Roman"/>
          <w:b/>
          <w:noProof/>
          <w:sz w:val="24"/>
          <w:szCs w:val="24"/>
          <w:u w:val="single"/>
        </w:rPr>
        <w:t xml:space="preserve">A13.  Estimates of Other </w:t>
      </w:r>
      <w:r w:rsidRPr="00FB54DC">
        <w:rPr>
          <w:rFonts w:ascii="Times New Roman" w:hAnsi="Times New Roman" w:cs="Times New Roman"/>
          <w:b/>
          <w:sz w:val="24"/>
          <w:szCs w:val="24"/>
          <w:u w:val="single"/>
        </w:rPr>
        <w:t>Total Annual Cost Burden to Respondents and Record Keepers</w:t>
      </w:r>
    </w:p>
    <w:p w14:paraId="120D7ACA" w14:textId="77777777" w:rsidR="00021355" w:rsidRPr="00FB54DC" w:rsidRDefault="003B2231" w:rsidP="0011460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No costs are anticipated.</w:t>
      </w:r>
    </w:p>
    <w:p w14:paraId="2A2C4A30" w14:textId="77777777" w:rsidR="00AD3119" w:rsidRPr="005C1FF6" w:rsidRDefault="00AD3119" w:rsidP="0011460E">
      <w:pPr>
        <w:spacing w:after="0" w:line="480" w:lineRule="auto"/>
        <w:jc w:val="both"/>
        <w:rPr>
          <w:rFonts w:ascii="Times New Roman" w:hAnsi="Times New Roman" w:cs="Times New Roman"/>
          <w:b/>
          <w:sz w:val="24"/>
          <w:szCs w:val="24"/>
          <w:u w:val="single"/>
        </w:rPr>
      </w:pPr>
      <w:r w:rsidRPr="005C1FF6">
        <w:rPr>
          <w:rFonts w:ascii="Times New Roman" w:hAnsi="Times New Roman" w:cs="Times New Roman"/>
          <w:b/>
          <w:sz w:val="24"/>
          <w:szCs w:val="24"/>
          <w:u w:val="single"/>
        </w:rPr>
        <w:t>A14.  Annualized Cost to the Federal Government</w:t>
      </w:r>
    </w:p>
    <w:p w14:paraId="0026CCC3" w14:textId="40CB33DD" w:rsidR="005C1FF6" w:rsidRPr="005C1FF6" w:rsidRDefault="005C1FF6" w:rsidP="0011460E">
      <w:pPr>
        <w:pStyle w:val="ListParagraph"/>
        <w:spacing w:after="0" w:line="480" w:lineRule="auto"/>
        <w:ind w:left="0" w:firstLine="720"/>
        <w:rPr>
          <w:rFonts w:ascii="Times New Roman" w:hAnsi="Times New Roman" w:cs="Times New Roman"/>
          <w:sz w:val="24"/>
          <w:szCs w:val="24"/>
        </w:rPr>
      </w:pPr>
      <w:r w:rsidRPr="005C1FF6">
        <w:rPr>
          <w:rFonts w:ascii="Times New Roman" w:hAnsi="Times New Roman" w:cs="Times New Roman"/>
          <w:sz w:val="24"/>
          <w:szCs w:val="24"/>
        </w:rPr>
        <w:t>The anticipated cost to the Federal Government is approximately $</w:t>
      </w:r>
      <w:r w:rsidR="00A57EB6">
        <w:rPr>
          <w:rFonts w:ascii="Times New Roman" w:hAnsi="Times New Roman" w:cs="Times New Roman"/>
          <w:sz w:val="24"/>
          <w:szCs w:val="24"/>
        </w:rPr>
        <w:t>5</w:t>
      </w:r>
      <w:r w:rsidR="00CA4AE5">
        <w:rPr>
          <w:rFonts w:ascii="Times New Roman" w:hAnsi="Times New Roman" w:cs="Times New Roman"/>
          <w:sz w:val="24"/>
          <w:szCs w:val="24"/>
        </w:rPr>
        <w:t>00</w:t>
      </w:r>
      <w:r w:rsidRPr="005C1FF6">
        <w:rPr>
          <w:rFonts w:ascii="Times New Roman" w:hAnsi="Times New Roman" w:cs="Times New Roman"/>
          <w:sz w:val="24"/>
          <w:szCs w:val="24"/>
        </w:rPr>
        <w:t>,000</w:t>
      </w:r>
      <w:r w:rsidR="00764220">
        <w:rPr>
          <w:rFonts w:ascii="Times New Roman" w:hAnsi="Times New Roman" w:cs="Times New Roman"/>
          <w:sz w:val="24"/>
          <w:szCs w:val="24"/>
        </w:rPr>
        <w:t xml:space="preserve"> over the course of three years</w:t>
      </w:r>
      <w:r w:rsidR="00CA4AE5">
        <w:rPr>
          <w:rFonts w:ascii="Times New Roman" w:hAnsi="Times New Roman" w:cs="Times New Roman"/>
          <w:sz w:val="24"/>
          <w:szCs w:val="24"/>
        </w:rPr>
        <w:t>; this amounts to an annualized cost to the Federal Government of approximately $1</w:t>
      </w:r>
      <w:r w:rsidR="00A57EB6">
        <w:rPr>
          <w:rFonts w:ascii="Times New Roman" w:hAnsi="Times New Roman" w:cs="Times New Roman"/>
          <w:sz w:val="24"/>
          <w:szCs w:val="24"/>
        </w:rPr>
        <w:t>66,667</w:t>
      </w:r>
      <w:r w:rsidRPr="005C1FF6">
        <w:rPr>
          <w:rFonts w:ascii="Times New Roman" w:hAnsi="Times New Roman" w:cs="Times New Roman"/>
          <w:sz w:val="24"/>
          <w:szCs w:val="24"/>
        </w:rPr>
        <w:t xml:space="preserve">.  </w:t>
      </w:r>
      <w:r w:rsidR="00A57EB6">
        <w:rPr>
          <w:rFonts w:ascii="Times New Roman" w:hAnsi="Times New Roman" w:cs="Times New Roman"/>
          <w:sz w:val="24"/>
          <w:szCs w:val="24"/>
        </w:rPr>
        <w:t xml:space="preserve">This is calculated by taking an estimated average of $25,000 per project over 20 projects during 3 years.  </w:t>
      </w:r>
      <w:r w:rsidR="00CA4AE5">
        <w:rPr>
          <w:rFonts w:ascii="Times New Roman" w:hAnsi="Times New Roman" w:cs="Times New Roman"/>
          <w:sz w:val="24"/>
          <w:szCs w:val="24"/>
        </w:rPr>
        <w:t xml:space="preserve">These are </w:t>
      </w:r>
      <w:proofErr w:type="gramStart"/>
      <w:r w:rsidR="00CA4AE5">
        <w:rPr>
          <w:rFonts w:ascii="Times New Roman" w:hAnsi="Times New Roman" w:cs="Times New Roman"/>
          <w:sz w:val="24"/>
          <w:szCs w:val="24"/>
        </w:rPr>
        <w:t>an estimated</w:t>
      </w:r>
      <w:proofErr w:type="gramEnd"/>
      <w:r w:rsidR="00CA4AE5">
        <w:rPr>
          <w:rFonts w:ascii="Times New Roman" w:hAnsi="Times New Roman" w:cs="Times New Roman"/>
          <w:sz w:val="24"/>
          <w:szCs w:val="24"/>
        </w:rPr>
        <w:t xml:space="preserve"> cost</w:t>
      </w:r>
      <w:r w:rsidR="00A57EB6">
        <w:rPr>
          <w:rFonts w:ascii="Times New Roman" w:hAnsi="Times New Roman" w:cs="Times New Roman"/>
          <w:sz w:val="24"/>
          <w:szCs w:val="24"/>
        </w:rPr>
        <w:t>s</w:t>
      </w:r>
      <w:r w:rsidR="00CA4AE5">
        <w:rPr>
          <w:rFonts w:ascii="Times New Roman" w:hAnsi="Times New Roman" w:cs="Times New Roman"/>
          <w:sz w:val="24"/>
          <w:szCs w:val="24"/>
        </w:rPr>
        <w:t xml:space="preserve"> since this request has not </w:t>
      </w:r>
      <w:r w:rsidR="00CA4AE5">
        <w:rPr>
          <w:rFonts w:ascii="Times New Roman" w:hAnsi="Times New Roman" w:cs="Times New Roman"/>
          <w:sz w:val="24"/>
          <w:szCs w:val="24"/>
        </w:rPr>
        <w:lastRenderedPageBreak/>
        <w:t xml:space="preserve">been formally approved in the past; future submissions will have a more accurate accounting.  </w:t>
      </w:r>
      <w:r w:rsidR="00A57EB6">
        <w:rPr>
          <w:rFonts w:ascii="Times New Roman" w:hAnsi="Times New Roman" w:cs="Times New Roman"/>
          <w:sz w:val="24"/>
          <w:szCs w:val="24"/>
        </w:rPr>
        <w:t>T</w:t>
      </w:r>
      <w:r w:rsidR="00CA4AE5">
        <w:rPr>
          <w:rFonts w:ascii="Times New Roman" w:hAnsi="Times New Roman" w:cs="Times New Roman"/>
          <w:sz w:val="24"/>
          <w:szCs w:val="24"/>
        </w:rPr>
        <w:t xml:space="preserve">he </w:t>
      </w:r>
      <w:r w:rsidR="00A57EB6">
        <w:rPr>
          <w:rFonts w:ascii="Times New Roman" w:hAnsi="Times New Roman" w:cs="Times New Roman"/>
          <w:sz w:val="24"/>
          <w:szCs w:val="24"/>
        </w:rPr>
        <w:t xml:space="preserve">actual </w:t>
      </w:r>
      <w:r w:rsidR="00CA4AE5">
        <w:rPr>
          <w:rFonts w:ascii="Times New Roman" w:hAnsi="Times New Roman" w:cs="Times New Roman"/>
          <w:sz w:val="24"/>
          <w:szCs w:val="24"/>
        </w:rPr>
        <w:t xml:space="preserve">total cost to the Federal Government will be reported on every </w:t>
      </w:r>
      <w:r w:rsidR="00A57EB6">
        <w:rPr>
          <w:rFonts w:ascii="Times New Roman" w:hAnsi="Times New Roman" w:cs="Times New Roman"/>
          <w:sz w:val="24"/>
          <w:szCs w:val="24"/>
        </w:rPr>
        <w:t>sub-project</w:t>
      </w:r>
      <w:r w:rsidR="00CA4AE5">
        <w:rPr>
          <w:rFonts w:ascii="Times New Roman" w:hAnsi="Times New Roman" w:cs="Times New Roman"/>
          <w:sz w:val="24"/>
          <w:szCs w:val="24"/>
        </w:rPr>
        <w:t xml:space="preserve">.  As certified by the responsible program staff, the costs to collect the information will be low for the Federal Government.  </w:t>
      </w:r>
      <w:r w:rsidRPr="005C1FF6">
        <w:rPr>
          <w:rFonts w:ascii="Times New Roman" w:hAnsi="Times New Roman" w:cs="Times New Roman"/>
          <w:sz w:val="24"/>
          <w:szCs w:val="24"/>
        </w:rPr>
        <w:t xml:space="preserve">These costs are comprised of:  operational expenses (e.g., equipment, overhead, printing, </w:t>
      </w:r>
      <w:proofErr w:type="gramStart"/>
      <w:r w:rsidRPr="005C1FF6">
        <w:rPr>
          <w:rFonts w:ascii="Times New Roman" w:hAnsi="Times New Roman" w:cs="Times New Roman"/>
          <w:sz w:val="24"/>
          <w:szCs w:val="24"/>
        </w:rPr>
        <w:t>postage</w:t>
      </w:r>
      <w:proofErr w:type="gramEnd"/>
      <w:r w:rsidRPr="005C1FF6">
        <w:rPr>
          <w:rFonts w:ascii="Times New Roman" w:hAnsi="Times New Roman" w:cs="Times New Roman"/>
          <w:sz w:val="24"/>
          <w:szCs w:val="24"/>
        </w:rPr>
        <w:t xml:space="preserve"> and support staff), contractor payments and any other expense</w:t>
      </w:r>
      <w:r w:rsidR="00213DA5">
        <w:rPr>
          <w:rFonts w:ascii="Times New Roman" w:hAnsi="Times New Roman" w:cs="Times New Roman"/>
          <w:sz w:val="24"/>
          <w:szCs w:val="24"/>
        </w:rPr>
        <w:t>s</w:t>
      </w:r>
      <w:r w:rsidRPr="005C1FF6">
        <w:rPr>
          <w:rFonts w:ascii="Times New Roman" w:hAnsi="Times New Roman" w:cs="Times New Roman"/>
          <w:sz w:val="24"/>
          <w:szCs w:val="24"/>
        </w:rPr>
        <w:t xml:space="preserve"> that </w:t>
      </w:r>
      <w:r w:rsidR="00213DA5">
        <w:rPr>
          <w:rFonts w:ascii="Times New Roman" w:hAnsi="Times New Roman" w:cs="Times New Roman"/>
          <w:sz w:val="24"/>
          <w:szCs w:val="24"/>
        </w:rPr>
        <w:t>are</w:t>
      </w:r>
      <w:r w:rsidRPr="005C1FF6">
        <w:rPr>
          <w:rFonts w:ascii="Times New Roman" w:hAnsi="Times New Roman" w:cs="Times New Roman"/>
          <w:sz w:val="24"/>
          <w:szCs w:val="24"/>
        </w:rPr>
        <w:t xml:space="preserve"> necessary to collect the information approved under this generic clearance.</w:t>
      </w:r>
      <w:r w:rsidR="00213DA5">
        <w:rPr>
          <w:rFonts w:ascii="Times New Roman" w:hAnsi="Times New Roman" w:cs="Times New Roman"/>
          <w:sz w:val="24"/>
          <w:szCs w:val="24"/>
        </w:rPr>
        <w:t xml:space="preserve">  </w:t>
      </w:r>
    </w:p>
    <w:p w14:paraId="6B8A0697" w14:textId="77777777" w:rsidR="00AD3119" w:rsidRPr="00FB54DC" w:rsidRDefault="00AD3119" w:rsidP="007A3B9A">
      <w:pPr>
        <w:spacing w:after="0" w:line="480" w:lineRule="auto"/>
        <w:jc w:val="both"/>
        <w:rPr>
          <w:rFonts w:ascii="Times New Roman" w:hAnsi="Times New Roman" w:cs="Times New Roman"/>
          <w:b/>
          <w:sz w:val="24"/>
          <w:szCs w:val="24"/>
          <w:u w:val="single"/>
        </w:rPr>
      </w:pPr>
      <w:r w:rsidRPr="00FB54DC">
        <w:rPr>
          <w:rFonts w:ascii="Times New Roman" w:hAnsi="Times New Roman" w:cs="Times New Roman"/>
          <w:b/>
          <w:sz w:val="24"/>
          <w:szCs w:val="24"/>
          <w:u w:val="single"/>
        </w:rPr>
        <w:t>A15. Explanation for Program Changes or Adjustments</w:t>
      </w:r>
    </w:p>
    <w:p w14:paraId="292BC013" w14:textId="77777777" w:rsidR="00703041" w:rsidRDefault="00EA57E8" w:rsidP="005C1FF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is a new</w:t>
      </w:r>
      <w:r w:rsidR="005C1FF6">
        <w:rPr>
          <w:rFonts w:ascii="Times New Roman" w:hAnsi="Times New Roman" w:cs="Times New Roman"/>
          <w:sz w:val="24"/>
          <w:szCs w:val="24"/>
        </w:rPr>
        <w:t>, generic</w:t>
      </w:r>
      <w:r>
        <w:rPr>
          <w:rFonts w:ascii="Times New Roman" w:hAnsi="Times New Roman" w:cs="Times New Roman"/>
          <w:sz w:val="24"/>
          <w:szCs w:val="24"/>
        </w:rPr>
        <w:t xml:space="preserve"> collection of information.</w:t>
      </w:r>
    </w:p>
    <w:p w14:paraId="0E746C73" w14:textId="77777777" w:rsidR="00AD3119" w:rsidRPr="00FB54DC" w:rsidRDefault="00AD3119" w:rsidP="007A3B9A">
      <w:pPr>
        <w:spacing w:after="0" w:line="480" w:lineRule="auto"/>
        <w:jc w:val="both"/>
        <w:rPr>
          <w:rFonts w:ascii="Times New Roman" w:hAnsi="Times New Roman" w:cs="Times New Roman"/>
          <w:b/>
          <w:noProof/>
          <w:sz w:val="24"/>
          <w:szCs w:val="24"/>
          <w:u w:val="single"/>
        </w:rPr>
      </w:pPr>
      <w:r w:rsidRPr="00FB54DC">
        <w:rPr>
          <w:rFonts w:ascii="Times New Roman" w:hAnsi="Times New Roman" w:cs="Times New Roman"/>
          <w:b/>
          <w:noProof/>
          <w:sz w:val="24"/>
          <w:szCs w:val="24"/>
          <w:u w:val="single"/>
        </w:rPr>
        <w:t>A16.  Plans for Tabulation and Publication and Project Time Schedule</w:t>
      </w:r>
    </w:p>
    <w:p w14:paraId="23713F90" w14:textId="77777777" w:rsidR="006112E1" w:rsidRDefault="005C1FF6" w:rsidP="005C1FF6">
      <w:pPr>
        <w:spacing w:after="0" w:line="48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Generally, administrative sub-</w:t>
      </w:r>
      <w:r w:rsidR="0055390E">
        <w:rPr>
          <w:rFonts w:ascii="Times New Roman" w:hAnsi="Times New Roman" w:cs="Times New Roman"/>
          <w:noProof/>
          <w:sz w:val="24"/>
          <w:szCs w:val="24"/>
        </w:rPr>
        <w:t xml:space="preserve">projects </w:t>
      </w:r>
      <w:r>
        <w:rPr>
          <w:rFonts w:ascii="Times New Roman" w:hAnsi="Times New Roman" w:cs="Times New Roman"/>
          <w:noProof/>
          <w:sz w:val="24"/>
          <w:szCs w:val="24"/>
        </w:rPr>
        <w:t xml:space="preserve">will not involve analysis.  However, if analysis of a few questions is involved it will </w:t>
      </w:r>
      <w:r w:rsidR="00C65ED0" w:rsidRPr="00FB54DC">
        <w:rPr>
          <w:rFonts w:ascii="Times New Roman" w:hAnsi="Times New Roman" w:cs="Times New Roman"/>
          <w:noProof/>
          <w:sz w:val="24"/>
          <w:szCs w:val="24"/>
        </w:rPr>
        <w:t xml:space="preserve">typically include frequencies, </w:t>
      </w:r>
      <w:r w:rsidR="00BF42D0" w:rsidRPr="00FB54DC">
        <w:rPr>
          <w:rFonts w:ascii="Times New Roman" w:hAnsi="Times New Roman" w:cs="Times New Roman"/>
          <w:noProof/>
          <w:sz w:val="24"/>
          <w:szCs w:val="24"/>
        </w:rPr>
        <w:t>cross tabulations</w:t>
      </w:r>
      <w:r w:rsidR="00C65ED0" w:rsidRPr="00FB54DC">
        <w:rPr>
          <w:rFonts w:ascii="Times New Roman" w:hAnsi="Times New Roman" w:cs="Times New Roman"/>
          <w:noProof/>
          <w:sz w:val="24"/>
          <w:szCs w:val="24"/>
        </w:rPr>
        <w:t>, and measures of central tendancy</w:t>
      </w:r>
      <w:r w:rsidR="00BF42D0" w:rsidRPr="00FB54DC">
        <w:rPr>
          <w:rFonts w:ascii="Times New Roman" w:hAnsi="Times New Roman" w:cs="Times New Roman"/>
          <w:noProof/>
          <w:sz w:val="24"/>
          <w:szCs w:val="24"/>
        </w:rPr>
        <w:t xml:space="preserve"> to yield</w:t>
      </w:r>
      <w:r w:rsidR="00BB3EDE" w:rsidRPr="00FB54DC">
        <w:rPr>
          <w:rFonts w:ascii="Times New Roman" w:hAnsi="Times New Roman" w:cs="Times New Roman"/>
          <w:noProof/>
          <w:sz w:val="24"/>
          <w:szCs w:val="24"/>
        </w:rPr>
        <w:t xml:space="preserve"> descriptive stati</w:t>
      </w:r>
      <w:r w:rsidR="00C65ED0" w:rsidRPr="00FB54DC">
        <w:rPr>
          <w:rFonts w:ascii="Times New Roman" w:hAnsi="Times New Roman" w:cs="Times New Roman"/>
          <w:noProof/>
          <w:sz w:val="24"/>
          <w:szCs w:val="24"/>
        </w:rPr>
        <w:t xml:space="preserve">stics of demographic variables.  </w:t>
      </w:r>
      <w:r>
        <w:rPr>
          <w:rFonts w:ascii="Times New Roman" w:hAnsi="Times New Roman" w:cs="Times New Roman"/>
          <w:noProof/>
          <w:sz w:val="24"/>
          <w:szCs w:val="24"/>
        </w:rPr>
        <w:t xml:space="preserve">These sub-studies will not involve </w:t>
      </w:r>
      <w:r w:rsidR="0055390E">
        <w:rPr>
          <w:rFonts w:ascii="Times New Roman" w:hAnsi="Times New Roman" w:cs="Times New Roman"/>
          <w:noProof/>
          <w:sz w:val="24"/>
          <w:szCs w:val="24"/>
        </w:rPr>
        <w:t xml:space="preserve">inferential </w:t>
      </w:r>
      <w:r w:rsidR="00BF42D0" w:rsidRPr="00FB54DC">
        <w:rPr>
          <w:rFonts w:ascii="Times New Roman" w:hAnsi="Times New Roman" w:cs="Times New Roman"/>
          <w:noProof/>
          <w:sz w:val="24"/>
          <w:szCs w:val="24"/>
        </w:rPr>
        <w:t>statistical analyses and</w:t>
      </w:r>
      <w:r w:rsidR="00C65ED0" w:rsidRPr="00FB54DC">
        <w:rPr>
          <w:rFonts w:ascii="Times New Roman" w:hAnsi="Times New Roman" w:cs="Times New Roman"/>
          <w:noProof/>
          <w:sz w:val="24"/>
          <w:szCs w:val="24"/>
        </w:rPr>
        <w:t xml:space="preserve"> parametric tests.  </w:t>
      </w:r>
      <w:r w:rsidR="0055778A" w:rsidRPr="00FB54DC">
        <w:rPr>
          <w:rFonts w:ascii="Times New Roman" w:hAnsi="Times New Roman" w:cs="Times New Roman"/>
          <w:noProof/>
          <w:sz w:val="24"/>
          <w:szCs w:val="24"/>
        </w:rPr>
        <w:t>The findings</w:t>
      </w:r>
      <w:r w:rsidR="00A23894" w:rsidRPr="00FB54DC">
        <w:rPr>
          <w:rFonts w:ascii="Times New Roman" w:hAnsi="Times New Roman" w:cs="Times New Roman"/>
          <w:noProof/>
          <w:sz w:val="24"/>
          <w:szCs w:val="24"/>
        </w:rPr>
        <w:t xml:space="preserve"> gleaned from the sub-</w:t>
      </w:r>
      <w:r w:rsidR="0055390E">
        <w:rPr>
          <w:rFonts w:ascii="Times New Roman" w:hAnsi="Times New Roman" w:cs="Times New Roman"/>
          <w:noProof/>
          <w:sz w:val="24"/>
          <w:szCs w:val="24"/>
        </w:rPr>
        <w:t>project</w:t>
      </w:r>
      <w:r w:rsidR="00A23894" w:rsidRPr="00FB54DC">
        <w:rPr>
          <w:rFonts w:ascii="Times New Roman" w:hAnsi="Times New Roman" w:cs="Times New Roman"/>
          <w:noProof/>
          <w:sz w:val="24"/>
          <w:szCs w:val="24"/>
        </w:rPr>
        <w:t>s are</w:t>
      </w:r>
      <w:r w:rsidR="0055778A" w:rsidRPr="00FB54DC">
        <w:rPr>
          <w:rFonts w:ascii="Times New Roman" w:hAnsi="Times New Roman" w:cs="Times New Roman"/>
          <w:noProof/>
          <w:sz w:val="24"/>
          <w:szCs w:val="24"/>
        </w:rPr>
        <w:t xml:space="preserve"> intended to be used by </w:t>
      </w:r>
      <w:r w:rsidR="00AB1EE0">
        <w:rPr>
          <w:rFonts w:ascii="Times New Roman" w:hAnsi="Times New Roman" w:cs="Times New Roman"/>
          <w:noProof/>
          <w:sz w:val="24"/>
          <w:szCs w:val="24"/>
        </w:rPr>
        <w:t xml:space="preserve">program staff to dissesimate information about the program, make decisions on the continuation of grants, report scientific advances that have been identified by grantees and other similar activities.  </w:t>
      </w:r>
      <w:r w:rsidR="00A23894" w:rsidRPr="00FB54DC">
        <w:rPr>
          <w:rFonts w:ascii="Times New Roman" w:hAnsi="Times New Roman" w:cs="Times New Roman"/>
          <w:noProof/>
          <w:sz w:val="24"/>
          <w:szCs w:val="24"/>
        </w:rPr>
        <w:t xml:space="preserve">  </w:t>
      </w:r>
    </w:p>
    <w:p w14:paraId="4AA02B3D" w14:textId="2C307EAF" w:rsidR="0055778A" w:rsidRPr="00FB54DC" w:rsidRDefault="00A23894" w:rsidP="007A3B9A">
      <w:pPr>
        <w:spacing w:after="0" w:line="480" w:lineRule="auto"/>
        <w:ind w:firstLine="720"/>
        <w:jc w:val="both"/>
        <w:rPr>
          <w:rFonts w:ascii="Times New Roman" w:hAnsi="Times New Roman" w:cs="Times New Roman"/>
          <w:noProof/>
          <w:sz w:val="24"/>
          <w:szCs w:val="24"/>
        </w:rPr>
      </w:pPr>
      <w:r w:rsidRPr="00FB54DC">
        <w:rPr>
          <w:rFonts w:ascii="Times New Roman" w:hAnsi="Times New Roman" w:cs="Times New Roman"/>
          <w:noProof/>
          <w:sz w:val="24"/>
          <w:szCs w:val="24"/>
        </w:rPr>
        <w:t xml:space="preserve">Results from information collections </w:t>
      </w:r>
      <w:r w:rsidR="00AB1EE0">
        <w:rPr>
          <w:rFonts w:ascii="Times New Roman" w:hAnsi="Times New Roman" w:cs="Times New Roman"/>
          <w:noProof/>
          <w:sz w:val="24"/>
          <w:szCs w:val="24"/>
        </w:rPr>
        <w:t xml:space="preserve">may </w:t>
      </w:r>
      <w:r w:rsidRPr="00FB54DC">
        <w:rPr>
          <w:rFonts w:ascii="Times New Roman" w:hAnsi="Times New Roman" w:cs="Times New Roman"/>
          <w:noProof/>
          <w:sz w:val="24"/>
          <w:szCs w:val="24"/>
        </w:rPr>
        <w:t xml:space="preserve">be presented in reports and briefs for the </w:t>
      </w:r>
      <w:r w:rsidR="00CB2355">
        <w:rPr>
          <w:rFonts w:ascii="Times New Roman" w:hAnsi="Times New Roman" w:cs="Times New Roman"/>
          <w:noProof/>
          <w:sz w:val="24"/>
          <w:szCs w:val="24"/>
        </w:rPr>
        <w:t xml:space="preserve">NCI Division, Offices and Centers, NIH, or HHS.  Additionally, some information depending on the content (e.g., listing of scientific advances per grantee or institution) </w:t>
      </w:r>
      <w:r w:rsidR="00AB1EE0">
        <w:rPr>
          <w:rFonts w:ascii="Times New Roman" w:hAnsi="Times New Roman" w:cs="Times New Roman"/>
          <w:noProof/>
          <w:sz w:val="24"/>
          <w:szCs w:val="24"/>
        </w:rPr>
        <w:t xml:space="preserve">may be released to the </w:t>
      </w:r>
      <w:r w:rsidR="00CB2355">
        <w:rPr>
          <w:rFonts w:ascii="Times New Roman" w:hAnsi="Times New Roman" w:cs="Times New Roman"/>
          <w:noProof/>
          <w:sz w:val="24"/>
          <w:szCs w:val="24"/>
        </w:rPr>
        <w:t xml:space="preserve">public </w:t>
      </w:r>
      <w:r w:rsidR="00AB1EE0">
        <w:rPr>
          <w:rFonts w:ascii="Times New Roman" w:hAnsi="Times New Roman" w:cs="Times New Roman"/>
          <w:noProof/>
          <w:sz w:val="24"/>
          <w:szCs w:val="24"/>
        </w:rPr>
        <w:t xml:space="preserve">through website, email or a newsletter.  </w:t>
      </w:r>
      <w:r w:rsidR="00CB2355">
        <w:rPr>
          <w:rFonts w:ascii="Times New Roman" w:hAnsi="Times New Roman" w:cs="Times New Roman"/>
          <w:noProof/>
          <w:sz w:val="24"/>
          <w:szCs w:val="24"/>
        </w:rPr>
        <w:t xml:space="preserve">The respondents will be informed of the </w:t>
      </w:r>
      <w:r w:rsidRPr="00FB54DC">
        <w:rPr>
          <w:rFonts w:ascii="Times New Roman" w:hAnsi="Times New Roman" w:cs="Times New Roman"/>
          <w:noProof/>
          <w:sz w:val="24"/>
          <w:szCs w:val="24"/>
        </w:rPr>
        <w:t>plans</w:t>
      </w:r>
      <w:r w:rsidR="00CB2355">
        <w:rPr>
          <w:rFonts w:ascii="Times New Roman" w:hAnsi="Times New Roman" w:cs="Times New Roman"/>
          <w:noProof/>
          <w:sz w:val="24"/>
          <w:szCs w:val="24"/>
        </w:rPr>
        <w:t xml:space="preserve"> to release and the specific release plans will be requested in the </w:t>
      </w:r>
      <w:r w:rsidR="00FB1800">
        <w:rPr>
          <w:rFonts w:ascii="Times New Roman" w:hAnsi="Times New Roman" w:cs="Times New Roman"/>
          <w:noProof/>
          <w:sz w:val="24"/>
          <w:szCs w:val="24"/>
        </w:rPr>
        <w:t xml:space="preserve">individual </w:t>
      </w:r>
      <w:r w:rsidR="00CB2355">
        <w:rPr>
          <w:rFonts w:ascii="Times New Roman" w:hAnsi="Times New Roman" w:cs="Times New Roman"/>
          <w:noProof/>
          <w:sz w:val="24"/>
          <w:szCs w:val="24"/>
        </w:rPr>
        <w:t xml:space="preserve">sub-project </w:t>
      </w:r>
      <w:r w:rsidR="00FB1800">
        <w:rPr>
          <w:rFonts w:ascii="Times New Roman" w:hAnsi="Times New Roman" w:cs="Times New Roman"/>
          <w:noProof/>
          <w:sz w:val="24"/>
          <w:szCs w:val="24"/>
        </w:rPr>
        <w:t>submissions</w:t>
      </w:r>
      <w:r w:rsidR="00CB2355">
        <w:rPr>
          <w:rFonts w:ascii="Times New Roman" w:hAnsi="Times New Roman" w:cs="Times New Roman"/>
          <w:noProof/>
          <w:sz w:val="24"/>
          <w:szCs w:val="24"/>
        </w:rPr>
        <w:t xml:space="preserve"> for OMB review</w:t>
      </w:r>
      <w:r w:rsidR="00EB7191">
        <w:rPr>
          <w:rFonts w:ascii="Times New Roman" w:hAnsi="Times New Roman" w:cs="Times New Roman"/>
          <w:noProof/>
          <w:sz w:val="24"/>
          <w:szCs w:val="24"/>
        </w:rPr>
        <w:t xml:space="preserve"> (</w:t>
      </w:r>
      <w:r w:rsidR="00FB1800">
        <w:rPr>
          <w:rFonts w:ascii="Times New Roman" w:hAnsi="Times New Roman" w:cs="Times New Roman"/>
          <w:b/>
          <w:noProof/>
          <w:sz w:val="24"/>
          <w:szCs w:val="24"/>
        </w:rPr>
        <w:t>Attachment 2</w:t>
      </w:r>
      <w:r w:rsidR="00EB7191">
        <w:rPr>
          <w:rFonts w:ascii="Times New Roman" w:hAnsi="Times New Roman" w:cs="Times New Roman"/>
          <w:noProof/>
          <w:sz w:val="24"/>
          <w:szCs w:val="24"/>
        </w:rPr>
        <w:t>)</w:t>
      </w:r>
      <w:r w:rsidRPr="00FB54DC">
        <w:rPr>
          <w:rFonts w:ascii="Times New Roman" w:hAnsi="Times New Roman" w:cs="Times New Roman"/>
          <w:noProof/>
          <w:sz w:val="24"/>
          <w:szCs w:val="24"/>
        </w:rPr>
        <w:t>.</w:t>
      </w:r>
    </w:p>
    <w:p w14:paraId="7DA79846" w14:textId="77777777" w:rsidR="0063729F" w:rsidRPr="00FB54DC" w:rsidRDefault="0063729F" w:rsidP="007A3B9A">
      <w:pPr>
        <w:spacing w:after="0" w:line="480" w:lineRule="auto"/>
        <w:ind w:firstLine="720"/>
        <w:jc w:val="both"/>
        <w:rPr>
          <w:rFonts w:ascii="Times New Roman" w:hAnsi="Times New Roman" w:cs="Times New Roman"/>
          <w:noProof/>
          <w:sz w:val="24"/>
          <w:szCs w:val="24"/>
        </w:rPr>
      </w:pPr>
      <w:r w:rsidRPr="00FB54DC">
        <w:rPr>
          <w:rFonts w:ascii="Times New Roman" w:hAnsi="Times New Roman" w:cs="Times New Roman"/>
          <w:noProof/>
          <w:sz w:val="24"/>
          <w:szCs w:val="24"/>
        </w:rPr>
        <w:lastRenderedPageBreak/>
        <w:t xml:space="preserve">Project timelines will vary according to funding priorities within each DOC.  Individual projects will depend on the number of respondents and the complexity or length of the </w:t>
      </w:r>
      <w:r w:rsidR="007E5429">
        <w:rPr>
          <w:rFonts w:ascii="Times New Roman" w:hAnsi="Times New Roman" w:cs="Times New Roman"/>
          <w:noProof/>
          <w:sz w:val="24"/>
          <w:szCs w:val="24"/>
        </w:rPr>
        <w:t xml:space="preserve">form </w:t>
      </w:r>
      <w:r w:rsidR="00213DA5">
        <w:rPr>
          <w:rFonts w:ascii="Times New Roman" w:hAnsi="Times New Roman" w:cs="Times New Roman"/>
          <w:noProof/>
          <w:sz w:val="24"/>
          <w:szCs w:val="24"/>
        </w:rPr>
        <w:t>or a</w:t>
      </w:r>
      <w:r w:rsidR="007E5429">
        <w:rPr>
          <w:rFonts w:ascii="Times New Roman" w:hAnsi="Times New Roman" w:cs="Times New Roman"/>
          <w:noProof/>
          <w:sz w:val="24"/>
          <w:szCs w:val="24"/>
        </w:rPr>
        <w:t>pplication</w:t>
      </w:r>
      <w:r w:rsidR="00D328F0" w:rsidRPr="00FB54DC">
        <w:rPr>
          <w:rFonts w:ascii="Times New Roman" w:hAnsi="Times New Roman" w:cs="Times New Roman"/>
          <w:noProof/>
          <w:sz w:val="24"/>
          <w:szCs w:val="24"/>
        </w:rPr>
        <w:t xml:space="preserve">.  </w:t>
      </w:r>
      <w:r w:rsidR="00A14A3C" w:rsidRPr="00FB54DC">
        <w:rPr>
          <w:rFonts w:ascii="Times New Roman" w:hAnsi="Times New Roman" w:cs="Times New Roman"/>
          <w:noProof/>
          <w:sz w:val="24"/>
          <w:szCs w:val="24"/>
        </w:rPr>
        <w:t>Administrative information collectio</w:t>
      </w:r>
      <w:r w:rsidR="00495DF7" w:rsidRPr="00FB54DC">
        <w:rPr>
          <w:rFonts w:ascii="Times New Roman" w:hAnsi="Times New Roman" w:cs="Times New Roman"/>
          <w:noProof/>
          <w:sz w:val="24"/>
          <w:szCs w:val="24"/>
        </w:rPr>
        <w:t>n</w:t>
      </w:r>
      <w:r w:rsidR="00A14A3C" w:rsidRPr="00FB54DC">
        <w:rPr>
          <w:rFonts w:ascii="Times New Roman" w:hAnsi="Times New Roman" w:cs="Times New Roman"/>
          <w:noProof/>
          <w:sz w:val="24"/>
          <w:szCs w:val="24"/>
        </w:rPr>
        <w:t xml:space="preserve"> time periods can range from 1 month to 3 years.</w:t>
      </w:r>
      <w:r w:rsidR="007E5429">
        <w:rPr>
          <w:rFonts w:ascii="Times New Roman" w:hAnsi="Times New Roman" w:cs="Times New Roman"/>
          <w:noProof/>
          <w:sz w:val="24"/>
          <w:szCs w:val="24"/>
        </w:rPr>
        <w:t xml:space="preserve">  Should the administrative collection of information plan on continuing after the expiry date of the full generic, the program staff will submit another request to continue to collect the information.</w:t>
      </w:r>
    </w:p>
    <w:p w14:paraId="2189C2D2" w14:textId="77777777" w:rsidR="00AD3119" w:rsidRPr="00FB54DC" w:rsidRDefault="00AD3119" w:rsidP="007A3B9A">
      <w:pPr>
        <w:spacing w:after="0" w:line="480" w:lineRule="auto"/>
        <w:jc w:val="both"/>
        <w:rPr>
          <w:rFonts w:ascii="Times New Roman" w:hAnsi="Times New Roman" w:cs="Times New Roman"/>
          <w:b/>
          <w:noProof/>
          <w:sz w:val="24"/>
          <w:szCs w:val="24"/>
          <w:u w:val="single"/>
        </w:rPr>
      </w:pPr>
      <w:r w:rsidRPr="00FB54DC">
        <w:rPr>
          <w:rFonts w:ascii="Times New Roman" w:hAnsi="Times New Roman" w:cs="Times New Roman"/>
          <w:b/>
          <w:noProof/>
          <w:sz w:val="24"/>
          <w:szCs w:val="24"/>
          <w:u w:val="single"/>
        </w:rPr>
        <w:t>A17. Reason(s)  Display of OMB Expiration Date is Inappropriate</w:t>
      </w:r>
    </w:p>
    <w:p w14:paraId="3D03C2D6" w14:textId="77777777" w:rsidR="00D27387" w:rsidRPr="00FB54DC" w:rsidRDefault="00D27387" w:rsidP="007A3B9A">
      <w:pPr>
        <w:spacing w:after="0" w:line="480" w:lineRule="auto"/>
        <w:ind w:firstLine="720"/>
        <w:jc w:val="both"/>
        <w:rPr>
          <w:rFonts w:ascii="Times New Roman" w:hAnsi="Times New Roman" w:cs="Times New Roman"/>
          <w:noProof/>
          <w:sz w:val="24"/>
          <w:szCs w:val="24"/>
        </w:rPr>
      </w:pPr>
      <w:r w:rsidRPr="00FB54DC">
        <w:rPr>
          <w:rFonts w:ascii="Times New Roman" w:hAnsi="Times New Roman" w:cs="Times New Roman"/>
          <w:noProof/>
          <w:sz w:val="24"/>
          <w:szCs w:val="24"/>
        </w:rPr>
        <w:t xml:space="preserve">All </w:t>
      </w:r>
      <w:r w:rsidR="00213DA5">
        <w:rPr>
          <w:rFonts w:ascii="Times New Roman" w:hAnsi="Times New Roman" w:cs="Times New Roman"/>
          <w:noProof/>
          <w:sz w:val="24"/>
          <w:szCs w:val="24"/>
        </w:rPr>
        <w:t xml:space="preserve">forms </w:t>
      </w:r>
      <w:r w:rsidRPr="00FB54DC">
        <w:rPr>
          <w:rFonts w:ascii="Times New Roman" w:hAnsi="Times New Roman" w:cs="Times New Roman"/>
          <w:noProof/>
          <w:sz w:val="24"/>
          <w:szCs w:val="24"/>
        </w:rPr>
        <w:t>will display the OMB number and expiration date.</w:t>
      </w:r>
    </w:p>
    <w:p w14:paraId="54566FB2" w14:textId="77777777" w:rsidR="00AD3119" w:rsidRPr="00FB54DC" w:rsidRDefault="00AD3119" w:rsidP="007A3B9A">
      <w:pPr>
        <w:spacing w:after="0" w:line="480" w:lineRule="auto"/>
        <w:jc w:val="both"/>
        <w:rPr>
          <w:rFonts w:ascii="Times New Roman" w:hAnsi="Times New Roman" w:cs="Times New Roman"/>
          <w:b/>
          <w:noProof/>
          <w:sz w:val="24"/>
          <w:szCs w:val="24"/>
          <w:u w:val="single"/>
        </w:rPr>
      </w:pPr>
      <w:r w:rsidRPr="00FB54DC">
        <w:rPr>
          <w:rFonts w:ascii="Times New Roman" w:hAnsi="Times New Roman" w:cs="Times New Roman"/>
          <w:b/>
          <w:noProof/>
          <w:sz w:val="24"/>
          <w:szCs w:val="24"/>
          <w:u w:val="single"/>
        </w:rPr>
        <w:t>A18. Exceptions to Certification for Paperwork Reduction Act Submissions</w:t>
      </w:r>
    </w:p>
    <w:p w14:paraId="1307E558" w14:textId="77777777" w:rsidR="00436B37" w:rsidRPr="00FB54DC" w:rsidRDefault="00D27387" w:rsidP="0055390E">
      <w:pPr>
        <w:spacing w:after="0" w:line="480" w:lineRule="auto"/>
        <w:ind w:firstLine="720"/>
        <w:jc w:val="both"/>
        <w:rPr>
          <w:rFonts w:ascii="Times New Roman" w:hAnsi="Times New Roman" w:cs="Times New Roman"/>
          <w:sz w:val="24"/>
          <w:szCs w:val="24"/>
        </w:rPr>
      </w:pPr>
      <w:r w:rsidRPr="00FB54DC">
        <w:rPr>
          <w:rFonts w:ascii="Times New Roman" w:eastAsia="Times New Roman" w:hAnsi="Times New Roman" w:cs="Times New Roman"/>
          <w:sz w:val="24"/>
          <w:szCs w:val="24"/>
        </w:rPr>
        <w:t>No exceptions to the Certification for Paperwork Reduction Act submissions are requested.</w:t>
      </w:r>
    </w:p>
    <w:sectPr w:rsidR="00436B37" w:rsidRPr="00FB54DC" w:rsidSect="00787CF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2C1865" w14:textId="77777777" w:rsidR="00F77DA0" w:rsidRDefault="00F77DA0" w:rsidP="00617945">
      <w:pPr>
        <w:spacing w:after="0" w:line="240" w:lineRule="auto"/>
      </w:pPr>
      <w:r>
        <w:separator/>
      </w:r>
    </w:p>
  </w:endnote>
  <w:endnote w:type="continuationSeparator" w:id="0">
    <w:p w14:paraId="197EEDFD" w14:textId="77777777" w:rsidR="00F77DA0" w:rsidRDefault="00F77DA0" w:rsidP="00617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8797"/>
      <w:docPartObj>
        <w:docPartGallery w:val="Page Numbers (Bottom of Page)"/>
        <w:docPartUnique/>
      </w:docPartObj>
    </w:sdtPr>
    <w:sdtEndPr>
      <w:rPr>
        <w:rFonts w:ascii="Times New Roman" w:hAnsi="Times New Roman" w:cs="Times New Roman"/>
      </w:rPr>
    </w:sdtEndPr>
    <w:sdtContent>
      <w:p w14:paraId="0D707A00" w14:textId="77777777" w:rsidR="00F77DA0" w:rsidRPr="0055390E" w:rsidRDefault="00F77DA0">
        <w:pPr>
          <w:pStyle w:val="Footer"/>
          <w:jc w:val="center"/>
          <w:rPr>
            <w:rFonts w:ascii="Times New Roman" w:hAnsi="Times New Roman" w:cs="Times New Roman"/>
          </w:rPr>
        </w:pPr>
        <w:r w:rsidRPr="0055390E">
          <w:rPr>
            <w:rFonts w:ascii="Times New Roman" w:hAnsi="Times New Roman" w:cs="Times New Roman"/>
          </w:rPr>
          <w:fldChar w:fldCharType="begin"/>
        </w:r>
        <w:r w:rsidRPr="0055390E">
          <w:rPr>
            <w:rFonts w:ascii="Times New Roman" w:hAnsi="Times New Roman" w:cs="Times New Roman"/>
          </w:rPr>
          <w:instrText xml:space="preserve"> PAGE   \* MERGEFORMAT </w:instrText>
        </w:r>
        <w:r w:rsidRPr="0055390E">
          <w:rPr>
            <w:rFonts w:ascii="Times New Roman" w:hAnsi="Times New Roman" w:cs="Times New Roman"/>
          </w:rPr>
          <w:fldChar w:fldCharType="separate"/>
        </w:r>
        <w:r w:rsidR="00397333">
          <w:rPr>
            <w:rFonts w:ascii="Times New Roman" w:hAnsi="Times New Roman" w:cs="Times New Roman"/>
            <w:noProof/>
          </w:rPr>
          <w:t>1</w:t>
        </w:r>
        <w:r w:rsidRPr="0055390E">
          <w:rPr>
            <w:rFonts w:ascii="Times New Roman" w:hAnsi="Times New Roman" w:cs="Times New Roman"/>
            <w:noProof/>
          </w:rPr>
          <w:fldChar w:fldCharType="end"/>
        </w:r>
      </w:p>
    </w:sdtContent>
  </w:sdt>
  <w:p w14:paraId="2F0511C4" w14:textId="77777777" w:rsidR="00F77DA0" w:rsidRDefault="00F77D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F6271A" w14:textId="77777777" w:rsidR="00F77DA0" w:rsidRDefault="00F77DA0" w:rsidP="00617945">
      <w:pPr>
        <w:spacing w:after="0" w:line="240" w:lineRule="auto"/>
      </w:pPr>
      <w:r>
        <w:separator/>
      </w:r>
    </w:p>
  </w:footnote>
  <w:footnote w:type="continuationSeparator" w:id="0">
    <w:p w14:paraId="31ADC328" w14:textId="77777777" w:rsidR="00F77DA0" w:rsidRDefault="00F77DA0" w:rsidP="00617945">
      <w:pPr>
        <w:spacing w:after="0" w:line="240" w:lineRule="auto"/>
      </w:pPr>
      <w:r>
        <w:continuationSeparator/>
      </w:r>
    </w:p>
  </w:footnote>
  <w:footnote w:id="1">
    <w:p w14:paraId="05FF0851" w14:textId="77777777" w:rsidR="00F77DA0" w:rsidRPr="00CB1F67" w:rsidRDefault="00F77DA0" w:rsidP="00CB1F67">
      <w:pPr>
        <w:rPr>
          <w:rFonts w:ascii="Times New Roman" w:hAnsi="Times New Roman" w:cs="Times New Roman"/>
          <w:sz w:val="20"/>
          <w:szCs w:val="20"/>
        </w:rPr>
      </w:pPr>
      <w:r>
        <w:rPr>
          <w:rStyle w:val="FootnoteReference"/>
        </w:rPr>
        <w:footnoteRef/>
      </w:r>
      <w:r>
        <w:t xml:space="preserve"> </w:t>
      </w:r>
      <w:r w:rsidRPr="00CB1F67">
        <w:rPr>
          <w:rFonts w:ascii="Times New Roman" w:hAnsi="Times New Roman" w:cs="Times New Roman"/>
          <w:sz w:val="20"/>
          <w:szCs w:val="20"/>
        </w:rPr>
        <w:t xml:space="preserve">A program is defined as is a set of planned, systematic activities that uses managed resources to achieve goals that meet needs of identified individuals or groups.  A program operates in a specific context, results </w:t>
      </w:r>
      <w:r>
        <w:rPr>
          <w:rFonts w:ascii="Times New Roman" w:hAnsi="Times New Roman" w:cs="Times New Roman"/>
          <w:sz w:val="20"/>
          <w:szCs w:val="20"/>
        </w:rPr>
        <w:t xml:space="preserve">in </w:t>
      </w:r>
      <w:r w:rsidRPr="00CB1F67">
        <w:rPr>
          <w:rFonts w:ascii="Times New Roman" w:hAnsi="Times New Roman" w:cs="Times New Roman"/>
          <w:sz w:val="20"/>
          <w:szCs w:val="20"/>
        </w:rPr>
        <w:t>documentable outputs, outcomes and impacts, follows an assumed system of beliefs, and has specific resources with investigable costs and benefits</w:t>
      </w:r>
      <w:r>
        <w:rPr>
          <w:rFonts w:ascii="Times New Roman" w:hAnsi="Times New Roman" w:cs="Times New Roman"/>
          <w:sz w:val="20"/>
          <w:szCs w:val="20"/>
        </w:rPr>
        <w:t xml:space="preserve"> (D.B. Yarbrough, L.M. </w:t>
      </w:r>
      <w:proofErr w:type="spellStart"/>
      <w:r>
        <w:rPr>
          <w:rFonts w:ascii="Times New Roman" w:hAnsi="Times New Roman" w:cs="Times New Roman"/>
          <w:sz w:val="20"/>
          <w:szCs w:val="20"/>
        </w:rPr>
        <w:t>Shulha</w:t>
      </w:r>
      <w:proofErr w:type="spellEnd"/>
      <w:r>
        <w:rPr>
          <w:rFonts w:ascii="Times New Roman" w:hAnsi="Times New Roman" w:cs="Times New Roman"/>
          <w:sz w:val="20"/>
          <w:szCs w:val="20"/>
        </w:rPr>
        <w:t xml:space="preserve">, R.K. Hopson, &amp; F.A. Caruthers (2011). </w:t>
      </w:r>
      <w:proofErr w:type="gramStart"/>
      <w:r>
        <w:rPr>
          <w:rFonts w:ascii="Times New Roman" w:hAnsi="Times New Roman" w:cs="Times New Roman"/>
          <w:sz w:val="20"/>
          <w:szCs w:val="20"/>
        </w:rPr>
        <w:t>Joint Committee on Standards for Educational Evaluation.</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The Program Evaluation Standards, 3</w:t>
      </w:r>
      <w:r w:rsidRPr="00AC16F8">
        <w:rPr>
          <w:rFonts w:ascii="Times New Roman" w:hAnsi="Times New Roman" w:cs="Times New Roman"/>
          <w:sz w:val="20"/>
          <w:szCs w:val="20"/>
          <w:vertAlign w:val="superscript"/>
        </w:rPr>
        <w:t>rd</w:t>
      </w:r>
      <w:r>
        <w:rPr>
          <w:rFonts w:ascii="Times New Roman" w:hAnsi="Times New Roman" w:cs="Times New Roman"/>
          <w:sz w:val="20"/>
          <w:szCs w:val="20"/>
        </w:rPr>
        <w:t xml:space="preserve"> Edition, p. xxiv)</w:t>
      </w:r>
      <w:r w:rsidRPr="00CB1F67">
        <w:rPr>
          <w:rFonts w:ascii="Times New Roman" w:hAnsi="Times New Roman" w:cs="Times New Roman"/>
          <w:sz w:val="20"/>
          <w:szCs w:val="20"/>
        </w:rPr>
        <w:t>.</w:t>
      </w:r>
      <w:proofErr w:type="gramEnd"/>
    </w:p>
    <w:p w14:paraId="23EEB5B0" w14:textId="77777777" w:rsidR="00F77DA0" w:rsidRDefault="00F77DA0">
      <w:pPr>
        <w:pStyle w:val="FootnoteText"/>
      </w:pPr>
    </w:p>
  </w:footnote>
  <w:footnote w:id="2">
    <w:p w14:paraId="44BD1AB2" w14:textId="77777777" w:rsidR="00F77DA0" w:rsidRPr="001C10BB" w:rsidRDefault="00F77DA0" w:rsidP="00EF0029">
      <w:pPr>
        <w:pStyle w:val="FootnoteText"/>
        <w:rPr>
          <w:rFonts w:ascii="Times New Roman" w:hAnsi="Times New Roman" w:cs="Times New Roman"/>
        </w:rPr>
      </w:pPr>
      <w:r>
        <w:rPr>
          <w:rStyle w:val="FootnoteReference"/>
        </w:rPr>
        <w:footnoteRef/>
      </w:r>
      <w:r>
        <w:t xml:space="preserve"> </w:t>
      </w:r>
      <w:r w:rsidRPr="001C10BB">
        <w:rPr>
          <w:rFonts w:ascii="Times New Roman" w:hAnsi="Times New Roman" w:cs="Times New Roman"/>
        </w:rPr>
        <w:t>As defined in OMB and DHHS, "Guidelines for Ensuring the Quality of Information Disseminated to the Public," “influen</w:t>
      </w:r>
      <w:r>
        <w:rPr>
          <w:rFonts w:ascii="Times New Roman" w:hAnsi="Times New Roman" w:cs="Times New Roman"/>
        </w:rPr>
        <w:t>ce</w:t>
      </w:r>
      <w:r w:rsidRPr="001C10BB">
        <w:rPr>
          <w:rFonts w:ascii="Times New Roman" w:hAnsi="Times New Roman" w:cs="Times New Roman"/>
        </w:rPr>
        <w:t>” means that agency can reasonably determine that dissemination of the information will have</w:t>
      </w:r>
      <w:r>
        <w:rPr>
          <w:rFonts w:ascii="Times New Roman" w:hAnsi="Times New Roman" w:cs="Times New Roman"/>
        </w:rPr>
        <w:t>,</w:t>
      </w:r>
      <w:r w:rsidRPr="001C10BB">
        <w:rPr>
          <w:rFonts w:ascii="Times New Roman" w:hAnsi="Times New Roman" w:cs="Times New Roman"/>
        </w:rPr>
        <w:t xml:space="preserve"> or does have</w:t>
      </w:r>
      <w:r>
        <w:rPr>
          <w:rFonts w:ascii="Times New Roman" w:hAnsi="Times New Roman" w:cs="Times New Roman"/>
        </w:rPr>
        <w:t>,</w:t>
      </w:r>
      <w:r w:rsidRPr="001C10BB">
        <w:rPr>
          <w:rFonts w:ascii="Times New Roman" w:hAnsi="Times New Roman" w:cs="Times New Roman"/>
        </w:rPr>
        <w:t xml:space="preser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75841"/>
    <w:multiLevelType w:val="hybridMultilevel"/>
    <w:tmpl w:val="1598B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D73203"/>
    <w:multiLevelType w:val="hybridMultilevel"/>
    <w:tmpl w:val="CBBA24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60D6040"/>
    <w:multiLevelType w:val="hybridMultilevel"/>
    <w:tmpl w:val="97D083C4"/>
    <w:lvl w:ilvl="0" w:tplc="62B2D468">
      <w:start w:val="3"/>
      <w:numFmt w:val="bullet"/>
      <w:lvlText w:val="-"/>
      <w:lvlJc w:val="left"/>
      <w:pPr>
        <w:ind w:left="1440" w:hanging="360"/>
      </w:pPr>
      <w:rPr>
        <w:rFonts w:ascii="Garamond" w:eastAsiaTheme="minorHAnsi" w:hAnsi="Garamond"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C2B774A"/>
    <w:multiLevelType w:val="hybridMultilevel"/>
    <w:tmpl w:val="59D267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30C62DD"/>
    <w:multiLevelType w:val="hybridMultilevel"/>
    <w:tmpl w:val="F9164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8271D4"/>
    <w:multiLevelType w:val="hybridMultilevel"/>
    <w:tmpl w:val="5DD640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D160096"/>
    <w:multiLevelType w:val="hybridMultilevel"/>
    <w:tmpl w:val="4D5AF8A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nsid w:val="21137C22"/>
    <w:multiLevelType w:val="hybridMultilevel"/>
    <w:tmpl w:val="F6081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CD12E3"/>
    <w:multiLevelType w:val="hybridMultilevel"/>
    <w:tmpl w:val="848C6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363EE9"/>
    <w:multiLevelType w:val="hybridMultilevel"/>
    <w:tmpl w:val="89D08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8C6E67"/>
    <w:multiLevelType w:val="hybridMultilevel"/>
    <w:tmpl w:val="6C9E7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57B71E0"/>
    <w:multiLevelType w:val="hybridMultilevel"/>
    <w:tmpl w:val="B4860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593EC9"/>
    <w:multiLevelType w:val="hybridMultilevel"/>
    <w:tmpl w:val="C87001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990D3F"/>
    <w:multiLevelType w:val="hybridMultilevel"/>
    <w:tmpl w:val="4872C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EE26F3"/>
    <w:multiLevelType w:val="hybridMultilevel"/>
    <w:tmpl w:val="C48A606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162EAB"/>
    <w:multiLevelType w:val="hybridMultilevel"/>
    <w:tmpl w:val="10B0A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8834A3"/>
    <w:multiLevelType w:val="hybridMultilevel"/>
    <w:tmpl w:val="FC2CF2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0C67FB7"/>
    <w:multiLevelType w:val="hybridMultilevel"/>
    <w:tmpl w:val="D754648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93164FF"/>
    <w:multiLevelType w:val="hybridMultilevel"/>
    <w:tmpl w:val="BE72B1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20A6EAF"/>
    <w:multiLevelType w:val="hybridMultilevel"/>
    <w:tmpl w:val="E784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9A017E"/>
    <w:multiLevelType w:val="hybridMultilevel"/>
    <w:tmpl w:val="DFFC7C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E7978AC"/>
    <w:multiLevelType w:val="hybridMultilevel"/>
    <w:tmpl w:val="B0D8C8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FF30A7A"/>
    <w:multiLevelType w:val="hybridMultilevel"/>
    <w:tmpl w:val="1542DB8E"/>
    <w:lvl w:ilvl="0" w:tplc="7610A3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2E632B0"/>
    <w:multiLevelType w:val="hybridMultilevel"/>
    <w:tmpl w:val="905C845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4">
    <w:nsid w:val="75017C43"/>
    <w:multiLevelType w:val="multilevel"/>
    <w:tmpl w:val="55A4C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9034C03"/>
    <w:multiLevelType w:val="hybridMultilevel"/>
    <w:tmpl w:val="2D1260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9"/>
  </w:num>
  <w:num w:numId="3">
    <w:abstractNumId w:val="5"/>
  </w:num>
  <w:num w:numId="4">
    <w:abstractNumId w:val="2"/>
  </w:num>
  <w:num w:numId="5">
    <w:abstractNumId w:val="16"/>
  </w:num>
  <w:num w:numId="6">
    <w:abstractNumId w:val="1"/>
  </w:num>
  <w:num w:numId="7">
    <w:abstractNumId w:val="22"/>
  </w:num>
  <w:num w:numId="8">
    <w:abstractNumId w:val="11"/>
  </w:num>
  <w:num w:numId="9">
    <w:abstractNumId w:val="19"/>
  </w:num>
  <w:num w:numId="10">
    <w:abstractNumId w:val="25"/>
  </w:num>
  <w:num w:numId="11">
    <w:abstractNumId w:val="15"/>
  </w:num>
  <w:num w:numId="12">
    <w:abstractNumId w:val="4"/>
  </w:num>
  <w:num w:numId="13">
    <w:abstractNumId w:val="0"/>
  </w:num>
  <w:num w:numId="14">
    <w:abstractNumId w:val="13"/>
  </w:num>
  <w:num w:numId="15">
    <w:abstractNumId w:val="17"/>
  </w:num>
  <w:num w:numId="16">
    <w:abstractNumId w:val="12"/>
  </w:num>
  <w:num w:numId="17">
    <w:abstractNumId w:val="20"/>
  </w:num>
  <w:num w:numId="18">
    <w:abstractNumId w:val="18"/>
  </w:num>
  <w:num w:numId="19">
    <w:abstractNumId w:val="21"/>
  </w:num>
  <w:num w:numId="20">
    <w:abstractNumId w:val="7"/>
  </w:num>
  <w:num w:numId="21">
    <w:abstractNumId w:val="14"/>
  </w:num>
  <w:num w:numId="22">
    <w:abstractNumId w:val="10"/>
  </w:num>
  <w:num w:numId="23">
    <w:abstractNumId w:val="8"/>
  </w:num>
  <w:num w:numId="24">
    <w:abstractNumId w:val="3"/>
  </w:num>
  <w:num w:numId="25">
    <w:abstractNumId w:val="23"/>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B37"/>
    <w:rsid w:val="00001380"/>
    <w:rsid w:val="000125FB"/>
    <w:rsid w:val="00013EC4"/>
    <w:rsid w:val="00014ED6"/>
    <w:rsid w:val="00015FA5"/>
    <w:rsid w:val="0001640A"/>
    <w:rsid w:val="00021355"/>
    <w:rsid w:val="000305C4"/>
    <w:rsid w:val="00033507"/>
    <w:rsid w:val="00033C35"/>
    <w:rsid w:val="0003460D"/>
    <w:rsid w:val="00037112"/>
    <w:rsid w:val="00050F46"/>
    <w:rsid w:val="00065866"/>
    <w:rsid w:val="00065BAD"/>
    <w:rsid w:val="00066345"/>
    <w:rsid w:val="0006641F"/>
    <w:rsid w:val="00070F2B"/>
    <w:rsid w:val="00077620"/>
    <w:rsid w:val="00082BCB"/>
    <w:rsid w:val="000859D4"/>
    <w:rsid w:val="00092EAC"/>
    <w:rsid w:val="00097625"/>
    <w:rsid w:val="000A3B79"/>
    <w:rsid w:val="000B3C80"/>
    <w:rsid w:val="000B666D"/>
    <w:rsid w:val="000B689C"/>
    <w:rsid w:val="000C316E"/>
    <w:rsid w:val="000C4F4F"/>
    <w:rsid w:val="000D0E9C"/>
    <w:rsid w:val="000D10C6"/>
    <w:rsid w:val="000D19C2"/>
    <w:rsid w:val="000D2E16"/>
    <w:rsid w:val="000D46F3"/>
    <w:rsid w:val="000D4880"/>
    <w:rsid w:val="000E1C64"/>
    <w:rsid w:val="000F119E"/>
    <w:rsid w:val="000F12CD"/>
    <w:rsid w:val="000F48FF"/>
    <w:rsid w:val="00107D84"/>
    <w:rsid w:val="00110C7E"/>
    <w:rsid w:val="00112CF1"/>
    <w:rsid w:val="001136FD"/>
    <w:rsid w:val="0011460E"/>
    <w:rsid w:val="001227B0"/>
    <w:rsid w:val="001462B2"/>
    <w:rsid w:val="00154209"/>
    <w:rsid w:val="00162276"/>
    <w:rsid w:val="0016328E"/>
    <w:rsid w:val="00165689"/>
    <w:rsid w:val="00167D1E"/>
    <w:rsid w:val="00172AEA"/>
    <w:rsid w:val="00177783"/>
    <w:rsid w:val="0018179A"/>
    <w:rsid w:val="00183E1E"/>
    <w:rsid w:val="00185688"/>
    <w:rsid w:val="0018775F"/>
    <w:rsid w:val="00191301"/>
    <w:rsid w:val="00192B2E"/>
    <w:rsid w:val="00197756"/>
    <w:rsid w:val="001A0B13"/>
    <w:rsid w:val="001A0E14"/>
    <w:rsid w:val="001A1179"/>
    <w:rsid w:val="001A6E56"/>
    <w:rsid w:val="001B2818"/>
    <w:rsid w:val="001C10BB"/>
    <w:rsid w:val="001C4770"/>
    <w:rsid w:val="001C580A"/>
    <w:rsid w:val="001F0998"/>
    <w:rsid w:val="001F1A3E"/>
    <w:rsid w:val="001F1CE6"/>
    <w:rsid w:val="00206129"/>
    <w:rsid w:val="00206A00"/>
    <w:rsid w:val="00207DF1"/>
    <w:rsid w:val="00213DA5"/>
    <w:rsid w:val="00214E1A"/>
    <w:rsid w:val="0021723F"/>
    <w:rsid w:val="0023287D"/>
    <w:rsid w:val="00233206"/>
    <w:rsid w:val="0024159A"/>
    <w:rsid w:val="002447C9"/>
    <w:rsid w:val="00244C85"/>
    <w:rsid w:val="00246BD6"/>
    <w:rsid w:val="00250761"/>
    <w:rsid w:val="00254C65"/>
    <w:rsid w:val="00260200"/>
    <w:rsid w:val="002663CF"/>
    <w:rsid w:val="00267D10"/>
    <w:rsid w:val="002728F3"/>
    <w:rsid w:val="00275373"/>
    <w:rsid w:val="00275EDC"/>
    <w:rsid w:val="002777BB"/>
    <w:rsid w:val="00282958"/>
    <w:rsid w:val="002873FB"/>
    <w:rsid w:val="00292D8C"/>
    <w:rsid w:val="00293A72"/>
    <w:rsid w:val="00294BAC"/>
    <w:rsid w:val="0029527E"/>
    <w:rsid w:val="002966E6"/>
    <w:rsid w:val="002A2263"/>
    <w:rsid w:val="002B414B"/>
    <w:rsid w:val="002B624E"/>
    <w:rsid w:val="002C1DD4"/>
    <w:rsid w:val="002C2941"/>
    <w:rsid w:val="002D09E7"/>
    <w:rsid w:val="002D30D1"/>
    <w:rsid w:val="002E1D8E"/>
    <w:rsid w:val="002E7021"/>
    <w:rsid w:val="00302FB6"/>
    <w:rsid w:val="00304339"/>
    <w:rsid w:val="00304ECE"/>
    <w:rsid w:val="00307368"/>
    <w:rsid w:val="00311F4F"/>
    <w:rsid w:val="003147D9"/>
    <w:rsid w:val="00315EFC"/>
    <w:rsid w:val="00332086"/>
    <w:rsid w:val="00334F74"/>
    <w:rsid w:val="00340071"/>
    <w:rsid w:val="00342173"/>
    <w:rsid w:val="00346D13"/>
    <w:rsid w:val="0035109F"/>
    <w:rsid w:val="00351D4E"/>
    <w:rsid w:val="003539FE"/>
    <w:rsid w:val="00353EB7"/>
    <w:rsid w:val="00363E8C"/>
    <w:rsid w:val="00363F12"/>
    <w:rsid w:val="003704B7"/>
    <w:rsid w:val="00375B09"/>
    <w:rsid w:val="003774BA"/>
    <w:rsid w:val="003811E6"/>
    <w:rsid w:val="003834BA"/>
    <w:rsid w:val="00383AFD"/>
    <w:rsid w:val="00385306"/>
    <w:rsid w:val="00387FC2"/>
    <w:rsid w:val="00397333"/>
    <w:rsid w:val="003A0A12"/>
    <w:rsid w:val="003B2231"/>
    <w:rsid w:val="003C15C9"/>
    <w:rsid w:val="003C1FF1"/>
    <w:rsid w:val="003C2B58"/>
    <w:rsid w:val="003C41BA"/>
    <w:rsid w:val="003D1586"/>
    <w:rsid w:val="003D40BD"/>
    <w:rsid w:val="003E316D"/>
    <w:rsid w:val="003E3230"/>
    <w:rsid w:val="003F58FF"/>
    <w:rsid w:val="003F60FB"/>
    <w:rsid w:val="004004BC"/>
    <w:rsid w:val="004006AB"/>
    <w:rsid w:val="004074DE"/>
    <w:rsid w:val="00407744"/>
    <w:rsid w:val="00411D12"/>
    <w:rsid w:val="00416C59"/>
    <w:rsid w:val="004222A0"/>
    <w:rsid w:val="004260E0"/>
    <w:rsid w:val="00426E5E"/>
    <w:rsid w:val="00430AA4"/>
    <w:rsid w:val="00432594"/>
    <w:rsid w:val="00434F67"/>
    <w:rsid w:val="00435C49"/>
    <w:rsid w:val="00436B37"/>
    <w:rsid w:val="00447E38"/>
    <w:rsid w:val="004529B2"/>
    <w:rsid w:val="00456F8D"/>
    <w:rsid w:val="00457E30"/>
    <w:rsid w:val="00464DB9"/>
    <w:rsid w:val="0047707E"/>
    <w:rsid w:val="004835D9"/>
    <w:rsid w:val="00495DF7"/>
    <w:rsid w:val="004963B7"/>
    <w:rsid w:val="00497E4E"/>
    <w:rsid w:val="004A183A"/>
    <w:rsid w:val="004B362F"/>
    <w:rsid w:val="004B42E9"/>
    <w:rsid w:val="004C1145"/>
    <w:rsid w:val="004C1E58"/>
    <w:rsid w:val="004C5984"/>
    <w:rsid w:val="004C71ED"/>
    <w:rsid w:val="004D0C88"/>
    <w:rsid w:val="004D37C2"/>
    <w:rsid w:val="004D3F5B"/>
    <w:rsid w:val="004D5FBD"/>
    <w:rsid w:val="004E046A"/>
    <w:rsid w:val="00511B81"/>
    <w:rsid w:val="00527ACC"/>
    <w:rsid w:val="005302E3"/>
    <w:rsid w:val="005307EB"/>
    <w:rsid w:val="005351CA"/>
    <w:rsid w:val="00544D76"/>
    <w:rsid w:val="00547578"/>
    <w:rsid w:val="0055390E"/>
    <w:rsid w:val="00554CEE"/>
    <w:rsid w:val="0055523D"/>
    <w:rsid w:val="0055778A"/>
    <w:rsid w:val="00571C83"/>
    <w:rsid w:val="00572159"/>
    <w:rsid w:val="00574296"/>
    <w:rsid w:val="0058071A"/>
    <w:rsid w:val="005858FF"/>
    <w:rsid w:val="00586738"/>
    <w:rsid w:val="00590B9D"/>
    <w:rsid w:val="00593FA3"/>
    <w:rsid w:val="005961C6"/>
    <w:rsid w:val="005961CC"/>
    <w:rsid w:val="00596FB3"/>
    <w:rsid w:val="005A0856"/>
    <w:rsid w:val="005A6855"/>
    <w:rsid w:val="005B1A38"/>
    <w:rsid w:val="005B5A16"/>
    <w:rsid w:val="005B5C05"/>
    <w:rsid w:val="005B62A9"/>
    <w:rsid w:val="005C171A"/>
    <w:rsid w:val="005C1FF6"/>
    <w:rsid w:val="005C3D6E"/>
    <w:rsid w:val="005D1FBE"/>
    <w:rsid w:val="005E12C5"/>
    <w:rsid w:val="005E3B81"/>
    <w:rsid w:val="005E7138"/>
    <w:rsid w:val="005E7776"/>
    <w:rsid w:val="005F13B5"/>
    <w:rsid w:val="005F1690"/>
    <w:rsid w:val="005F190E"/>
    <w:rsid w:val="005F69F2"/>
    <w:rsid w:val="005F6AFE"/>
    <w:rsid w:val="005F7E13"/>
    <w:rsid w:val="006003E2"/>
    <w:rsid w:val="006009C4"/>
    <w:rsid w:val="00605595"/>
    <w:rsid w:val="006057B7"/>
    <w:rsid w:val="006112E1"/>
    <w:rsid w:val="00616D10"/>
    <w:rsid w:val="00617945"/>
    <w:rsid w:val="00621339"/>
    <w:rsid w:val="00623087"/>
    <w:rsid w:val="00627141"/>
    <w:rsid w:val="00630E74"/>
    <w:rsid w:val="0063729F"/>
    <w:rsid w:val="00650A10"/>
    <w:rsid w:val="00650BBA"/>
    <w:rsid w:val="00651842"/>
    <w:rsid w:val="0065360D"/>
    <w:rsid w:val="006551A0"/>
    <w:rsid w:val="00660837"/>
    <w:rsid w:val="00660ED0"/>
    <w:rsid w:val="00661FB9"/>
    <w:rsid w:val="0067248F"/>
    <w:rsid w:val="00674AE6"/>
    <w:rsid w:val="00675D2D"/>
    <w:rsid w:val="00681E65"/>
    <w:rsid w:val="006900F6"/>
    <w:rsid w:val="006B168A"/>
    <w:rsid w:val="006B6FFF"/>
    <w:rsid w:val="006B7C98"/>
    <w:rsid w:val="006C00DB"/>
    <w:rsid w:val="006C7DC2"/>
    <w:rsid w:val="006E3FD1"/>
    <w:rsid w:val="006E43D0"/>
    <w:rsid w:val="006F0DD1"/>
    <w:rsid w:val="006F1AF8"/>
    <w:rsid w:val="006F371C"/>
    <w:rsid w:val="006F46D6"/>
    <w:rsid w:val="006F5E30"/>
    <w:rsid w:val="006F6561"/>
    <w:rsid w:val="006F6C17"/>
    <w:rsid w:val="006F7C0B"/>
    <w:rsid w:val="00703041"/>
    <w:rsid w:val="00704B7B"/>
    <w:rsid w:val="007053ED"/>
    <w:rsid w:val="0071049A"/>
    <w:rsid w:val="0071557D"/>
    <w:rsid w:val="0071561D"/>
    <w:rsid w:val="007204C6"/>
    <w:rsid w:val="007210B8"/>
    <w:rsid w:val="007216EA"/>
    <w:rsid w:val="007222E7"/>
    <w:rsid w:val="00733493"/>
    <w:rsid w:val="00734CB2"/>
    <w:rsid w:val="00744B31"/>
    <w:rsid w:val="00745161"/>
    <w:rsid w:val="007451F6"/>
    <w:rsid w:val="00745595"/>
    <w:rsid w:val="0075213B"/>
    <w:rsid w:val="007632A1"/>
    <w:rsid w:val="00764220"/>
    <w:rsid w:val="0076489D"/>
    <w:rsid w:val="0077131E"/>
    <w:rsid w:val="007747BB"/>
    <w:rsid w:val="00776868"/>
    <w:rsid w:val="00777010"/>
    <w:rsid w:val="00787CF6"/>
    <w:rsid w:val="00787F0B"/>
    <w:rsid w:val="007A350A"/>
    <w:rsid w:val="007A3B9A"/>
    <w:rsid w:val="007B3BCC"/>
    <w:rsid w:val="007B51E7"/>
    <w:rsid w:val="007B5A72"/>
    <w:rsid w:val="007C1069"/>
    <w:rsid w:val="007C7F99"/>
    <w:rsid w:val="007D2665"/>
    <w:rsid w:val="007D2F52"/>
    <w:rsid w:val="007D3A59"/>
    <w:rsid w:val="007E12A3"/>
    <w:rsid w:val="007E43DC"/>
    <w:rsid w:val="007E5429"/>
    <w:rsid w:val="007F16B2"/>
    <w:rsid w:val="007F189B"/>
    <w:rsid w:val="007F18E8"/>
    <w:rsid w:val="007F3122"/>
    <w:rsid w:val="008025EF"/>
    <w:rsid w:val="008130B4"/>
    <w:rsid w:val="008150DD"/>
    <w:rsid w:val="008156ED"/>
    <w:rsid w:val="00821E7A"/>
    <w:rsid w:val="00822CE8"/>
    <w:rsid w:val="00824DD9"/>
    <w:rsid w:val="00826C48"/>
    <w:rsid w:val="008275FD"/>
    <w:rsid w:val="00830E20"/>
    <w:rsid w:val="00841927"/>
    <w:rsid w:val="00853661"/>
    <w:rsid w:val="008537E0"/>
    <w:rsid w:val="00853F9D"/>
    <w:rsid w:val="00854337"/>
    <w:rsid w:val="00857BC5"/>
    <w:rsid w:val="00870022"/>
    <w:rsid w:val="00885D87"/>
    <w:rsid w:val="008877D4"/>
    <w:rsid w:val="00893B91"/>
    <w:rsid w:val="008A49B5"/>
    <w:rsid w:val="008B0CF2"/>
    <w:rsid w:val="008B17C2"/>
    <w:rsid w:val="008B3879"/>
    <w:rsid w:val="008B7400"/>
    <w:rsid w:val="008C0036"/>
    <w:rsid w:val="008C00AE"/>
    <w:rsid w:val="008C1231"/>
    <w:rsid w:val="008C28AF"/>
    <w:rsid w:val="008C2B31"/>
    <w:rsid w:val="008C518F"/>
    <w:rsid w:val="008D037A"/>
    <w:rsid w:val="008D4AB7"/>
    <w:rsid w:val="008D6ECA"/>
    <w:rsid w:val="008D6F0B"/>
    <w:rsid w:val="008D72B6"/>
    <w:rsid w:val="008D73E6"/>
    <w:rsid w:val="008E0349"/>
    <w:rsid w:val="008E2D4E"/>
    <w:rsid w:val="008E36C5"/>
    <w:rsid w:val="008E3812"/>
    <w:rsid w:val="008E45B4"/>
    <w:rsid w:val="008F083C"/>
    <w:rsid w:val="008F2739"/>
    <w:rsid w:val="009103CE"/>
    <w:rsid w:val="009106A0"/>
    <w:rsid w:val="00910D7E"/>
    <w:rsid w:val="00925174"/>
    <w:rsid w:val="009341A6"/>
    <w:rsid w:val="009348D8"/>
    <w:rsid w:val="00935F7E"/>
    <w:rsid w:val="009369FA"/>
    <w:rsid w:val="00936AED"/>
    <w:rsid w:val="00937851"/>
    <w:rsid w:val="0094335A"/>
    <w:rsid w:val="0095291D"/>
    <w:rsid w:val="0096061C"/>
    <w:rsid w:val="009626F4"/>
    <w:rsid w:val="00962E57"/>
    <w:rsid w:val="009630EE"/>
    <w:rsid w:val="009814C0"/>
    <w:rsid w:val="00981A69"/>
    <w:rsid w:val="009866F9"/>
    <w:rsid w:val="00990885"/>
    <w:rsid w:val="009919E3"/>
    <w:rsid w:val="009A1D71"/>
    <w:rsid w:val="009A2E5A"/>
    <w:rsid w:val="009A2EFA"/>
    <w:rsid w:val="009B126A"/>
    <w:rsid w:val="009B247E"/>
    <w:rsid w:val="009B6646"/>
    <w:rsid w:val="009B713E"/>
    <w:rsid w:val="009C26E9"/>
    <w:rsid w:val="009C5D40"/>
    <w:rsid w:val="009C7A68"/>
    <w:rsid w:val="009D4B4C"/>
    <w:rsid w:val="009D77F3"/>
    <w:rsid w:val="009E4190"/>
    <w:rsid w:val="009F1086"/>
    <w:rsid w:val="009F33A1"/>
    <w:rsid w:val="009F5D63"/>
    <w:rsid w:val="00A07821"/>
    <w:rsid w:val="00A07EDE"/>
    <w:rsid w:val="00A14A3C"/>
    <w:rsid w:val="00A14CB0"/>
    <w:rsid w:val="00A166FF"/>
    <w:rsid w:val="00A2385D"/>
    <w:rsid w:val="00A23894"/>
    <w:rsid w:val="00A30FBD"/>
    <w:rsid w:val="00A3274B"/>
    <w:rsid w:val="00A3655B"/>
    <w:rsid w:val="00A4472E"/>
    <w:rsid w:val="00A47787"/>
    <w:rsid w:val="00A5581D"/>
    <w:rsid w:val="00A56ED7"/>
    <w:rsid w:val="00A57EB6"/>
    <w:rsid w:val="00A57FDB"/>
    <w:rsid w:val="00A73098"/>
    <w:rsid w:val="00A93A8A"/>
    <w:rsid w:val="00A94B3C"/>
    <w:rsid w:val="00A9765B"/>
    <w:rsid w:val="00A97A84"/>
    <w:rsid w:val="00AA197F"/>
    <w:rsid w:val="00AA307E"/>
    <w:rsid w:val="00AA5B9C"/>
    <w:rsid w:val="00AB1EE0"/>
    <w:rsid w:val="00AC07AE"/>
    <w:rsid w:val="00AC08C6"/>
    <w:rsid w:val="00AC16F8"/>
    <w:rsid w:val="00AC17B8"/>
    <w:rsid w:val="00AD2D14"/>
    <w:rsid w:val="00AD3119"/>
    <w:rsid w:val="00AD619E"/>
    <w:rsid w:val="00AD775A"/>
    <w:rsid w:val="00AE6F87"/>
    <w:rsid w:val="00AF38CF"/>
    <w:rsid w:val="00AF4210"/>
    <w:rsid w:val="00AF5225"/>
    <w:rsid w:val="00AF5B17"/>
    <w:rsid w:val="00AF6A5C"/>
    <w:rsid w:val="00AF7969"/>
    <w:rsid w:val="00B11E04"/>
    <w:rsid w:val="00B12DA1"/>
    <w:rsid w:val="00B207B9"/>
    <w:rsid w:val="00B229F2"/>
    <w:rsid w:val="00B272C4"/>
    <w:rsid w:val="00B30C2B"/>
    <w:rsid w:val="00B347D6"/>
    <w:rsid w:val="00B45E1A"/>
    <w:rsid w:val="00B47031"/>
    <w:rsid w:val="00B573E8"/>
    <w:rsid w:val="00B57805"/>
    <w:rsid w:val="00B6094A"/>
    <w:rsid w:val="00B6339A"/>
    <w:rsid w:val="00B67433"/>
    <w:rsid w:val="00B67598"/>
    <w:rsid w:val="00B711B7"/>
    <w:rsid w:val="00B730A0"/>
    <w:rsid w:val="00B77F77"/>
    <w:rsid w:val="00B80731"/>
    <w:rsid w:val="00B826C8"/>
    <w:rsid w:val="00B83575"/>
    <w:rsid w:val="00B847D2"/>
    <w:rsid w:val="00B902EF"/>
    <w:rsid w:val="00B92FD6"/>
    <w:rsid w:val="00B94D79"/>
    <w:rsid w:val="00BA3094"/>
    <w:rsid w:val="00BA4A91"/>
    <w:rsid w:val="00BB03F5"/>
    <w:rsid w:val="00BB0715"/>
    <w:rsid w:val="00BB3EDE"/>
    <w:rsid w:val="00BB4ACB"/>
    <w:rsid w:val="00BC20CC"/>
    <w:rsid w:val="00BC6922"/>
    <w:rsid w:val="00BE3392"/>
    <w:rsid w:val="00BE59CE"/>
    <w:rsid w:val="00BF176B"/>
    <w:rsid w:val="00BF1B35"/>
    <w:rsid w:val="00BF1E76"/>
    <w:rsid w:val="00BF39F2"/>
    <w:rsid w:val="00BF42D0"/>
    <w:rsid w:val="00BF4863"/>
    <w:rsid w:val="00C01A19"/>
    <w:rsid w:val="00C038E9"/>
    <w:rsid w:val="00C165AE"/>
    <w:rsid w:val="00C16ADC"/>
    <w:rsid w:val="00C240EE"/>
    <w:rsid w:val="00C33687"/>
    <w:rsid w:val="00C3639B"/>
    <w:rsid w:val="00C456C8"/>
    <w:rsid w:val="00C50750"/>
    <w:rsid w:val="00C560C6"/>
    <w:rsid w:val="00C634D2"/>
    <w:rsid w:val="00C65A50"/>
    <w:rsid w:val="00C65ED0"/>
    <w:rsid w:val="00C6712D"/>
    <w:rsid w:val="00C7175D"/>
    <w:rsid w:val="00C764FE"/>
    <w:rsid w:val="00C76930"/>
    <w:rsid w:val="00C85AD7"/>
    <w:rsid w:val="00C95C8E"/>
    <w:rsid w:val="00C96B96"/>
    <w:rsid w:val="00C97411"/>
    <w:rsid w:val="00CA224F"/>
    <w:rsid w:val="00CA4A82"/>
    <w:rsid w:val="00CA4AE5"/>
    <w:rsid w:val="00CB1D5C"/>
    <w:rsid w:val="00CB1D87"/>
    <w:rsid w:val="00CB1F67"/>
    <w:rsid w:val="00CB2355"/>
    <w:rsid w:val="00CB6A91"/>
    <w:rsid w:val="00CC15F0"/>
    <w:rsid w:val="00CC7DF6"/>
    <w:rsid w:val="00CE01EC"/>
    <w:rsid w:val="00CE322B"/>
    <w:rsid w:val="00CE4663"/>
    <w:rsid w:val="00CE592D"/>
    <w:rsid w:val="00CF6C52"/>
    <w:rsid w:val="00D06686"/>
    <w:rsid w:val="00D11439"/>
    <w:rsid w:val="00D1631F"/>
    <w:rsid w:val="00D1793D"/>
    <w:rsid w:val="00D21E0C"/>
    <w:rsid w:val="00D21F8B"/>
    <w:rsid w:val="00D27387"/>
    <w:rsid w:val="00D30E83"/>
    <w:rsid w:val="00D328F0"/>
    <w:rsid w:val="00D34F08"/>
    <w:rsid w:val="00D4027E"/>
    <w:rsid w:val="00D44DD4"/>
    <w:rsid w:val="00D51E75"/>
    <w:rsid w:val="00D53809"/>
    <w:rsid w:val="00D60D6B"/>
    <w:rsid w:val="00D63F4E"/>
    <w:rsid w:val="00D65156"/>
    <w:rsid w:val="00D675FD"/>
    <w:rsid w:val="00D714CA"/>
    <w:rsid w:val="00D72825"/>
    <w:rsid w:val="00D72F9F"/>
    <w:rsid w:val="00D73369"/>
    <w:rsid w:val="00D771F4"/>
    <w:rsid w:val="00D810AF"/>
    <w:rsid w:val="00D81FDD"/>
    <w:rsid w:val="00D9091E"/>
    <w:rsid w:val="00DA1D84"/>
    <w:rsid w:val="00DA2624"/>
    <w:rsid w:val="00DB3917"/>
    <w:rsid w:val="00DB5557"/>
    <w:rsid w:val="00DB6572"/>
    <w:rsid w:val="00DC1BBC"/>
    <w:rsid w:val="00DC699A"/>
    <w:rsid w:val="00DD1C30"/>
    <w:rsid w:val="00DD36B2"/>
    <w:rsid w:val="00DE774C"/>
    <w:rsid w:val="00DF36F5"/>
    <w:rsid w:val="00DF6D45"/>
    <w:rsid w:val="00E00F39"/>
    <w:rsid w:val="00E0245C"/>
    <w:rsid w:val="00E05BE6"/>
    <w:rsid w:val="00E2174E"/>
    <w:rsid w:val="00E332A3"/>
    <w:rsid w:val="00E37F2C"/>
    <w:rsid w:val="00E51FDA"/>
    <w:rsid w:val="00E52FDE"/>
    <w:rsid w:val="00E60CAA"/>
    <w:rsid w:val="00E6432F"/>
    <w:rsid w:val="00E65F11"/>
    <w:rsid w:val="00E66013"/>
    <w:rsid w:val="00E70253"/>
    <w:rsid w:val="00E70DF8"/>
    <w:rsid w:val="00E729F4"/>
    <w:rsid w:val="00E72DFB"/>
    <w:rsid w:val="00E7791A"/>
    <w:rsid w:val="00E833C1"/>
    <w:rsid w:val="00E85EFC"/>
    <w:rsid w:val="00EA18B5"/>
    <w:rsid w:val="00EA4C6A"/>
    <w:rsid w:val="00EA57E8"/>
    <w:rsid w:val="00EB4F44"/>
    <w:rsid w:val="00EB7191"/>
    <w:rsid w:val="00EC686A"/>
    <w:rsid w:val="00ED0472"/>
    <w:rsid w:val="00ED5185"/>
    <w:rsid w:val="00ED571C"/>
    <w:rsid w:val="00EE487F"/>
    <w:rsid w:val="00EE519E"/>
    <w:rsid w:val="00EF0029"/>
    <w:rsid w:val="00EF1530"/>
    <w:rsid w:val="00EF74C5"/>
    <w:rsid w:val="00F029A4"/>
    <w:rsid w:val="00F0604A"/>
    <w:rsid w:val="00F061C3"/>
    <w:rsid w:val="00F176A8"/>
    <w:rsid w:val="00F24D80"/>
    <w:rsid w:val="00F2537C"/>
    <w:rsid w:val="00F26FB6"/>
    <w:rsid w:val="00F303F4"/>
    <w:rsid w:val="00F34B7C"/>
    <w:rsid w:val="00F40DC1"/>
    <w:rsid w:val="00F43D71"/>
    <w:rsid w:val="00F443DD"/>
    <w:rsid w:val="00F46CEC"/>
    <w:rsid w:val="00F46FC9"/>
    <w:rsid w:val="00F51FA1"/>
    <w:rsid w:val="00F52606"/>
    <w:rsid w:val="00F53CA9"/>
    <w:rsid w:val="00F60D51"/>
    <w:rsid w:val="00F65554"/>
    <w:rsid w:val="00F73933"/>
    <w:rsid w:val="00F73C4F"/>
    <w:rsid w:val="00F73F99"/>
    <w:rsid w:val="00F76548"/>
    <w:rsid w:val="00F76821"/>
    <w:rsid w:val="00F77DA0"/>
    <w:rsid w:val="00F8581F"/>
    <w:rsid w:val="00F93DFD"/>
    <w:rsid w:val="00F94EBE"/>
    <w:rsid w:val="00F9602F"/>
    <w:rsid w:val="00FA5518"/>
    <w:rsid w:val="00FB1253"/>
    <w:rsid w:val="00FB1800"/>
    <w:rsid w:val="00FB54DC"/>
    <w:rsid w:val="00FC60AA"/>
    <w:rsid w:val="00FD0741"/>
    <w:rsid w:val="00FD6626"/>
    <w:rsid w:val="00FE303A"/>
    <w:rsid w:val="00FF18EA"/>
    <w:rsid w:val="00FF1B6B"/>
    <w:rsid w:val="00FF5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4A0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6B37"/>
    <w:pPr>
      <w:spacing w:before="100" w:beforeAutospacing="1" w:after="100" w:afterAutospacing="1" w:line="240" w:lineRule="auto"/>
    </w:pPr>
    <w:rPr>
      <w:rFonts w:ascii="Arial" w:eastAsia="Times New Roman" w:hAnsi="Arial" w:cs="Arial"/>
      <w:color w:val="4D4D4D"/>
      <w:sz w:val="16"/>
      <w:szCs w:val="16"/>
    </w:rPr>
  </w:style>
  <w:style w:type="character" w:styleId="Hyperlink">
    <w:name w:val="Hyperlink"/>
    <w:basedOn w:val="DefaultParagraphFont"/>
    <w:uiPriority w:val="99"/>
    <w:unhideWhenUsed/>
    <w:rsid w:val="0094335A"/>
    <w:rPr>
      <w:color w:val="0000FF"/>
      <w:u w:val="single"/>
    </w:rPr>
  </w:style>
  <w:style w:type="paragraph" w:styleId="TOC1">
    <w:name w:val="toc 1"/>
    <w:autoRedefine/>
    <w:semiHidden/>
    <w:rsid w:val="00464DB9"/>
    <w:pPr>
      <w:tabs>
        <w:tab w:val="left" w:pos="0"/>
        <w:tab w:val="left" w:pos="720"/>
        <w:tab w:val="right" w:leader="dot" w:pos="8820"/>
        <w:tab w:val="left" w:pos="9000"/>
        <w:tab w:val="left" w:pos="9180"/>
      </w:tabs>
      <w:spacing w:before="120" w:after="120" w:line="480" w:lineRule="auto"/>
      <w:jc w:val="both"/>
    </w:pPr>
    <w:rPr>
      <w:rFonts w:ascii="Times New Roman" w:eastAsia="Times New Roman" w:hAnsi="Times New Roman" w:cs="Times New Roman"/>
      <w:b/>
      <w:caps/>
      <w:noProof/>
      <w:sz w:val="24"/>
      <w:szCs w:val="24"/>
    </w:rPr>
  </w:style>
  <w:style w:type="paragraph" w:styleId="TOC2">
    <w:name w:val="toc 2"/>
    <w:autoRedefine/>
    <w:semiHidden/>
    <w:rsid w:val="007204C6"/>
    <w:pPr>
      <w:tabs>
        <w:tab w:val="left" w:pos="720"/>
        <w:tab w:val="right" w:leader="dot" w:pos="8640"/>
        <w:tab w:val="right" w:pos="9180"/>
      </w:tabs>
      <w:spacing w:before="120" w:after="120" w:line="240" w:lineRule="atLeast"/>
      <w:ind w:left="720" w:hanging="720"/>
    </w:pPr>
    <w:rPr>
      <w:rFonts w:ascii="Times New Roman" w:eastAsia="Times New Roman" w:hAnsi="Times New Roman" w:cs="Times New Roman"/>
      <w:smallCaps/>
      <w:sz w:val="20"/>
      <w:szCs w:val="20"/>
    </w:rPr>
  </w:style>
  <w:style w:type="character" w:styleId="CommentReference">
    <w:name w:val="annotation reference"/>
    <w:basedOn w:val="DefaultParagraphFont"/>
    <w:semiHidden/>
    <w:rsid w:val="00617945"/>
    <w:rPr>
      <w:sz w:val="16"/>
    </w:rPr>
  </w:style>
  <w:style w:type="paragraph" w:styleId="CommentText">
    <w:name w:val="annotation text"/>
    <w:basedOn w:val="Normal"/>
    <w:link w:val="CommentTextChar"/>
    <w:semiHidden/>
    <w:rsid w:val="00617945"/>
    <w:pPr>
      <w:spacing w:after="0" w:line="240" w:lineRule="atLeast"/>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61794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17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945"/>
    <w:rPr>
      <w:rFonts w:ascii="Tahoma" w:hAnsi="Tahoma" w:cs="Tahoma"/>
      <w:sz w:val="16"/>
      <w:szCs w:val="16"/>
    </w:rPr>
  </w:style>
  <w:style w:type="paragraph" w:styleId="Header">
    <w:name w:val="header"/>
    <w:basedOn w:val="Normal"/>
    <w:link w:val="HeaderChar"/>
    <w:uiPriority w:val="99"/>
    <w:unhideWhenUsed/>
    <w:rsid w:val="006179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945"/>
  </w:style>
  <w:style w:type="paragraph" w:styleId="Footer">
    <w:name w:val="footer"/>
    <w:basedOn w:val="Normal"/>
    <w:link w:val="FooterChar"/>
    <w:uiPriority w:val="99"/>
    <w:unhideWhenUsed/>
    <w:rsid w:val="006179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945"/>
  </w:style>
  <w:style w:type="paragraph" w:styleId="ListParagraph">
    <w:name w:val="List Paragraph"/>
    <w:basedOn w:val="Normal"/>
    <w:uiPriority w:val="34"/>
    <w:qFormat/>
    <w:rsid w:val="00097625"/>
    <w:pPr>
      <w:ind w:left="720"/>
      <w:contextualSpacing/>
    </w:pPr>
  </w:style>
  <w:style w:type="table" w:styleId="TableGrid">
    <w:name w:val="Table Grid"/>
    <w:basedOn w:val="TableNormal"/>
    <w:uiPriority w:val="59"/>
    <w:rsid w:val="000C4F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B67598"/>
    <w:pPr>
      <w:spacing w:after="200" w:line="240" w:lineRule="auto"/>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67598"/>
    <w:rPr>
      <w:rFonts w:ascii="Times New Roman" w:eastAsia="Times New Roman" w:hAnsi="Times New Roman" w:cs="Times New Roman"/>
      <w:b/>
      <w:bCs/>
      <w:sz w:val="20"/>
      <w:szCs w:val="20"/>
    </w:rPr>
  </w:style>
  <w:style w:type="paragraph" w:styleId="BodyTextIndent">
    <w:name w:val="Body Text Indent"/>
    <w:basedOn w:val="Normal"/>
    <w:link w:val="BodyTextIndentChar"/>
    <w:rsid w:val="004222A0"/>
    <w:pPr>
      <w:spacing w:before="240" w:after="120" w:line="360" w:lineRule="atLeast"/>
      <w:ind w:firstLine="720"/>
      <w:jc w:val="both"/>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4222A0"/>
    <w:rPr>
      <w:rFonts w:ascii="Times New Roman" w:eastAsia="Times New Roman" w:hAnsi="Times New Roman" w:cs="Times New Roman"/>
      <w:szCs w:val="20"/>
    </w:rPr>
  </w:style>
  <w:style w:type="paragraph" w:styleId="FootnoteText">
    <w:name w:val="footnote text"/>
    <w:basedOn w:val="Normal"/>
    <w:link w:val="FootnoteTextChar"/>
    <w:uiPriority w:val="99"/>
    <w:unhideWhenUsed/>
    <w:rsid w:val="00CB1F67"/>
    <w:pPr>
      <w:spacing w:after="0" w:line="240" w:lineRule="auto"/>
    </w:pPr>
    <w:rPr>
      <w:sz w:val="20"/>
      <w:szCs w:val="20"/>
    </w:rPr>
  </w:style>
  <w:style w:type="character" w:customStyle="1" w:styleId="FootnoteTextChar">
    <w:name w:val="Footnote Text Char"/>
    <w:basedOn w:val="DefaultParagraphFont"/>
    <w:link w:val="FootnoteText"/>
    <w:uiPriority w:val="99"/>
    <w:rsid w:val="00CB1F67"/>
    <w:rPr>
      <w:sz w:val="20"/>
      <w:szCs w:val="20"/>
    </w:rPr>
  </w:style>
  <w:style w:type="character" w:styleId="FootnoteReference">
    <w:name w:val="footnote reference"/>
    <w:basedOn w:val="DefaultParagraphFont"/>
    <w:uiPriority w:val="99"/>
    <w:semiHidden/>
    <w:unhideWhenUsed/>
    <w:rsid w:val="00CB1F6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6B37"/>
    <w:pPr>
      <w:spacing w:before="100" w:beforeAutospacing="1" w:after="100" w:afterAutospacing="1" w:line="240" w:lineRule="auto"/>
    </w:pPr>
    <w:rPr>
      <w:rFonts w:ascii="Arial" w:eastAsia="Times New Roman" w:hAnsi="Arial" w:cs="Arial"/>
      <w:color w:val="4D4D4D"/>
      <w:sz w:val="16"/>
      <w:szCs w:val="16"/>
    </w:rPr>
  </w:style>
  <w:style w:type="character" w:styleId="Hyperlink">
    <w:name w:val="Hyperlink"/>
    <w:basedOn w:val="DefaultParagraphFont"/>
    <w:uiPriority w:val="99"/>
    <w:unhideWhenUsed/>
    <w:rsid w:val="0094335A"/>
    <w:rPr>
      <w:color w:val="0000FF"/>
      <w:u w:val="single"/>
    </w:rPr>
  </w:style>
  <w:style w:type="paragraph" w:styleId="TOC1">
    <w:name w:val="toc 1"/>
    <w:autoRedefine/>
    <w:semiHidden/>
    <w:rsid w:val="00464DB9"/>
    <w:pPr>
      <w:tabs>
        <w:tab w:val="left" w:pos="0"/>
        <w:tab w:val="left" w:pos="720"/>
        <w:tab w:val="right" w:leader="dot" w:pos="8820"/>
        <w:tab w:val="left" w:pos="9000"/>
        <w:tab w:val="left" w:pos="9180"/>
      </w:tabs>
      <w:spacing w:before="120" w:after="120" w:line="480" w:lineRule="auto"/>
      <w:jc w:val="both"/>
    </w:pPr>
    <w:rPr>
      <w:rFonts w:ascii="Times New Roman" w:eastAsia="Times New Roman" w:hAnsi="Times New Roman" w:cs="Times New Roman"/>
      <w:b/>
      <w:caps/>
      <w:noProof/>
      <w:sz w:val="24"/>
      <w:szCs w:val="24"/>
    </w:rPr>
  </w:style>
  <w:style w:type="paragraph" w:styleId="TOC2">
    <w:name w:val="toc 2"/>
    <w:autoRedefine/>
    <w:semiHidden/>
    <w:rsid w:val="007204C6"/>
    <w:pPr>
      <w:tabs>
        <w:tab w:val="left" w:pos="720"/>
        <w:tab w:val="right" w:leader="dot" w:pos="8640"/>
        <w:tab w:val="right" w:pos="9180"/>
      </w:tabs>
      <w:spacing w:before="120" w:after="120" w:line="240" w:lineRule="atLeast"/>
      <w:ind w:left="720" w:hanging="720"/>
    </w:pPr>
    <w:rPr>
      <w:rFonts w:ascii="Times New Roman" w:eastAsia="Times New Roman" w:hAnsi="Times New Roman" w:cs="Times New Roman"/>
      <w:smallCaps/>
      <w:sz w:val="20"/>
      <w:szCs w:val="20"/>
    </w:rPr>
  </w:style>
  <w:style w:type="character" w:styleId="CommentReference">
    <w:name w:val="annotation reference"/>
    <w:basedOn w:val="DefaultParagraphFont"/>
    <w:semiHidden/>
    <w:rsid w:val="00617945"/>
    <w:rPr>
      <w:sz w:val="16"/>
    </w:rPr>
  </w:style>
  <w:style w:type="paragraph" w:styleId="CommentText">
    <w:name w:val="annotation text"/>
    <w:basedOn w:val="Normal"/>
    <w:link w:val="CommentTextChar"/>
    <w:semiHidden/>
    <w:rsid w:val="00617945"/>
    <w:pPr>
      <w:spacing w:after="0" w:line="240" w:lineRule="atLeast"/>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61794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17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945"/>
    <w:rPr>
      <w:rFonts w:ascii="Tahoma" w:hAnsi="Tahoma" w:cs="Tahoma"/>
      <w:sz w:val="16"/>
      <w:szCs w:val="16"/>
    </w:rPr>
  </w:style>
  <w:style w:type="paragraph" w:styleId="Header">
    <w:name w:val="header"/>
    <w:basedOn w:val="Normal"/>
    <w:link w:val="HeaderChar"/>
    <w:uiPriority w:val="99"/>
    <w:unhideWhenUsed/>
    <w:rsid w:val="006179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945"/>
  </w:style>
  <w:style w:type="paragraph" w:styleId="Footer">
    <w:name w:val="footer"/>
    <w:basedOn w:val="Normal"/>
    <w:link w:val="FooterChar"/>
    <w:uiPriority w:val="99"/>
    <w:unhideWhenUsed/>
    <w:rsid w:val="006179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945"/>
  </w:style>
  <w:style w:type="paragraph" w:styleId="ListParagraph">
    <w:name w:val="List Paragraph"/>
    <w:basedOn w:val="Normal"/>
    <w:uiPriority w:val="34"/>
    <w:qFormat/>
    <w:rsid w:val="00097625"/>
    <w:pPr>
      <w:ind w:left="720"/>
      <w:contextualSpacing/>
    </w:pPr>
  </w:style>
  <w:style w:type="table" w:styleId="TableGrid">
    <w:name w:val="Table Grid"/>
    <w:basedOn w:val="TableNormal"/>
    <w:uiPriority w:val="59"/>
    <w:rsid w:val="000C4F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B67598"/>
    <w:pPr>
      <w:spacing w:after="200" w:line="240" w:lineRule="auto"/>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67598"/>
    <w:rPr>
      <w:rFonts w:ascii="Times New Roman" w:eastAsia="Times New Roman" w:hAnsi="Times New Roman" w:cs="Times New Roman"/>
      <w:b/>
      <w:bCs/>
      <w:sz w:val="20"/>
      <w:szCs w:val="20"/>
    </w:rPr>
  </w:style>
  <w:style w:type="paragraph" w:styleId="BodyTextIndent">
    <w:name w:val="Body Text Indent"/>
    <w:basedOn w:val="Normal"/>
    <w:link w:val="BodyTextIndentChar"/>
    <w:rsid w:val="004222A0"/>
    <w:pPr>
      <w:spacing w:before="240" w:after="120" w:line="360" w:lineRule="atLeast"/>
      <w:ind w:firstLine="720"/>
      <w:jc w:val="both"/>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4222A0"/>
    <w:rPr>
      <w:rFonts w:ascii="Times New Roman" w:eastAsia="Times New Roman" w:hAnsi="Times New Roman" w:cs="Times New Roman"/>
      <w:szCs w:val="20"/>
    </w:rPr>
  </w:style>
  <w:style w:type="paragraph" w:styleId="FootnoteText">
    <w:name w:val="footnote text"/>
    <w:basedOn w:val="Normal"/>
    <w:link w:val="FootnoteTextChar"/>
    <w:uiPriority w:val="99"/>
    <w:unhideWhenUsed/>
    <w:rsid w:val="00CB1F67"/>
    <w:pPr>
      <w:spacing w:after="0" w:line="240" w:lineRule="auto"/>
    </w:pPr>
    <w:rPr>
      <w:sz w:val="20"/>
      <w:szCs w:val="20"/>
    </w:rPr>
  </w:style>
  <w:style w:type="character" w:customStyle="1" w:styleId="FootnoteTextChar">
    <w:name w:val="Footnote Text Char"/>
    <w:basedOn w:val="DefaultParagraphFont"/>
    <w:link w:val="FootnoteText"/>
    <w:uiPriority w:val="99"/>
    <w:rsid w:val="00CB1F67"/>
    <w:rPr>
      <w:sz w:val="20"/>
      <w:szCs w:val="20"/>
    </w:rPr>
  </w:style>
  <w:style w:type="character" w:styleId="FootnoteReference">
    <w:name w:val="footnote reference"/>
    <w:basedOn w:val="DefaultParagraphFont"/>
    <w:uiPriority w:val="99"/>
    <w:semiHidden/>
    <w:unhideWhenUsed/>
    <w:rsid w:val="00CB1F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016904">
      <w:bodyDiv w:val="1"/>
      <w:marLeft w:val="0"/>
      <w:marRight w:val="0"/>
      <w:marTop w:val="0"/>
      <w:marBottom w:val="0"/>
      <w:divBdr>
        <w:top w:val="none" w:sz="0" w:space="0" w:color="auto"/>
        <w:left w:val="none" w:sz="0" w:space="0" w:color="auto"/>
        <w:bottom w:val="none" w:sz="0" w:space="0" w:color="auto"/>
        <w:right w:val="none" w:sz="0" w:space="0" w:color="auto"/>
      </w:divBdr>
    </w:div>
    <w:div w:id="880438424">
      <w:bodyDiv w:val="1"/>
      <w:marLeft w:val="0"/>
      <w:marRight w:val="0"/>
      <w:marTop w:val="0"/>
      <w:marBottom w:val="0"/>
      <w:divBdr>
        <w:top w:val="none" w:sz="0" w:space="0" w:color="auto"/>
        <w:left w:val="none" w:sz="0" w:space="0" w:color="auto"/>
        <w:bottom w:val="none" w:sz="0" w:space="0" w:color="auto"/>
        <w:right w:val="none" w:sz="0" w:space="0" w:color="auto"/>
      </w:divBdr>
      <w:divsChild>
        <w:div w:id="575700268">
          <w:marLeft w:val="0"/>
          <w:marRight w:val="0"/>
          <w:marTop w:val="120"/>
          <w:marBottom w:val="0"/>
          <w:divBdr>
            <w:top w:val="none" w:sz="0" w:space="0" w:color="auto"/>
            <w:left w:val="none" w:sz="0" w:space="0" w:color="auto"/>
            <w:bottom w:val="none" w:sz="0" w:space="0" w:color="auto"/>
            <w:right w:val="none" w:sz="0" w:space="0" w:color="auto"/>
          </w:divBdr>
          <w:divsChild>
            <w:div w:id="765730042">
              <w:marLeft w:val="0"/>
              <w:marRight w:val="0"/>
              <w:marTop w:val="0"/>
              <w:marBottom w:val="0"/>
              <w:divBdr>
                <w:top w:val="none" w:sz="0" w:space="0" w:color="auto"/>
                <w:left w:val="none" w:sz="0" w:space="0" w:color="auto"/>
                <w:bottom w:val="none" w:sz="0" w:space="0" w:color="auto"/>
                <w:right w:val="none" w:sz="0" w:space="0" w:color="auto"/>
              </w:divBdr>
              <w:divsChild>
                <w:div w:id="1478917974">
                  <w:marLeft w:val="30"/>
                  <w:marRight w:val="0"/>
                  <w:marTop w:val="0"/>
                  <w:marBottom w:val="0"/>
                  <w:divBdr>
                    <w:top w:val="none" w:sz="0" w:space="0" w:color="auto"/>
                    <w:left w:val="none" w:sz="0" w:space="0" w:color="auto"/>
                    <w:bottom w:val="none" w:sz="0" w:space="0" w:color="auto"/>
                    <w:right w:val="none" w:sz="0" w:space="0" w:color="auto"/>
                  </w:divBdr>
                  <w:divsChild>
                    <w:div w:id="293872828">
                      <w:marLeft w:val="0"/>
                      <w:marRight w:val="0"/>
                      <w:marTop w:val="30"/>
                      <w:marBottom w:val="0"/>
                      <w:divBdr>
                        <w:top w:val="none" w:sz="0" w:space="0" w:color="auto"/>
                        <w:left w:val="none" w:sz="0" w:space="0" w:color="auto"/>
                        <w:bottom w:val="none" w:sz="0" w:space="0" w:color="auto"/>
                        <w:right w:val="none" w:sz="0" w:space="0" w:color="auto"/>
                      </w:divBdr>
                      <w:divsChild>
                        <w:div w:id="195240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113894">
      <w:bodyDiv w:val="1"/>
      <w:marLeft w:val="0"/>
      <w:marRight w:val="0"/>
      <w:marTop w:val="0"/>
      <w:marBottom w:val="0"/>
      <w:divBdr>
        <w:top w:val="none" w:sz="0" w:space="0" w:color="auto"/>
        <w:left w:val="none" w:sz="0" w:space="0" w:color="auto"/>
        <w:bottom w:val="none" w:sz="0" w:space="0" w:color="auto"/>
        <w:right w:val="none" w:sz="0" w:space="0" w:color="auto"/>
      </w:divBdr>
      <w:divsChild>
        <w:div w:id="1502770534">
          <w:marLeft w:val="0"/>
          <w:marRight w:val="0"/>
          <w:marTop w:val="0"/>
          <w:marBottom w:val="0"/>
          <w:divBdr>
            <w:top w:val="none" w:sz="0" w:space="0" w:color="auto"/>
            <w:left w:val="none" w:sz="0" w:space="0" w:color="auto"/>
            <w:bottom w:val="none" w:sz="0" w:space="0" w:color="auto"/>
            <w:right w:val="none" w:sz="0" w:space="0" w:color="auto"/>
          </w:divBdr>
          <w:divsChild>
            <w:div w:id="1879125588">
              <w:marLeft w:val="0"/>
              <w:marRight w:val="0"/>
              <w:marTop w:val="0"/>
              <w:marBottom w:val="0"/>
              <w:divBdr>
                <w:top w:val="none" w:sz="0" w:space="0" w:color="auto"/>
                <w:left w:val="none" w:sz="0" w:space="0" w:color="auto"/>
                <w:bottom w:val="none" w:sz="0" w:space="0" w:color="auto"/>
                <w:right w:val="none" w:sz="0" w:space="0" w:color="auto"/>
              </w:divBdr>
              <w:divsChild>
                <w:div w:id="1767577741">
                  <w:marLeft w:val="0"/>
                  <w:marRight w:val="0"/>
                  <w:marTop w:val="0"/>
                  <w:marBottom w:val="0"/>
                  <w:divBdr>
                    <w:top w:val="none" w:sz="0" w:space="0" w:color="auto"/>
                    <w:left w:val="none" w:sz="0" w:space="0" w:color="auto"/>
                    <w:bottom w:val="none" w:sz="0" w:space="0" w:color="auto"/>
                    <w:right w:val="none" w:sz="0" w:space="0" w:color="auto"/>
                  </w:divBdr>
                  <w:divsChild>
                    <w:div w:id="175874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Horovitchkellv@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B66004BB-6A9D-4FB4-9128-523A46128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18</Pages>
  <Words>4411</Words>
  <Characters>25144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29497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galbraith_m</dc:creator>
  <cp:lastModifiedBy> Vivian Horovitch-Kelley</cp:lastModifiedBy>
  <cp:revision>6</cp:revision>
  <cp:lastPrinted>2013-10-29T18:01:00Z</cp:lastPrinted>
  <dcterms:created xsi:type="dcterms:W3CDTF">2013-10-17T21:34:00Z</dcterms:created>
  <dcterms:modified xsi:type="dcterms:W3CDTF">2013-10-29T18:42:00Z</dcterms:modified>
</cp:coreProperties>
</file>