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768" w:rsidRPr="00601503" w:rsidRDefault="00232768" w:rsidP="00232768">
      <w:pPr>
        <w:pStyle w:val="Heading1"/>
      </w:pPr>
      <w:bookmarkStart w:id="0" w:name="_Toc369616219"/>
      <w:r w:rsidRPr="00601503">
        <w:t>Part B. Statistical Methods</w:t>
      </w:r>
      <w:bookmarkEnd w:id="0"/>
    </w:p>
    <w:p w:rsidR="00232768" w:rsidRPr="00AF5AF3" w:rsidRDefault="00232768" w:rsidP="00232768">
      <w:pPr>
        <w:rPr>
          <w:rFonts w:ascii="Times New Roman" w:hAnsi="Times New Roman"/>
          <w:bCs/>
          <w:snapToGrid/>
          <w:sz w:val="24"/>
          <w:szCs w:val="24"/>
        </w:rPr>
      </w:pPr>
      <w:r w:rsidRPr="00AF5AF3">
        <w:rPr>
          <w:rFonts w:ascii="Times New Roman" w:hAnsi="Times New Roman"/>
          <w:bCs/>
          <w:snapToGrid/>
          <w:sz w:val="24"/>
          <w:szCs w:val="24"/>
        </w:rPr>
        <w:t xml:space="preserve">This submission requests OMB clearance to </w:t>
      </w:r>
      <w:r>
        <w:rPr>
          <w:rFonts w:ascii="Times New Roman" w:hAnsi="Times New Roman"/>
          <w:bCs/>
          <w:snapToGrid/>
          <w:sz w:val="24"/>
          <w:szCs w:val="24"/>
        </w:rPr>
        <w:t>continue</w:t>
      </w:r>
      <w:r w:rsidRPr="00AF5AF3">
        <w:rPr>
          <w:rFonts w:ascii="Times New Roman" w:hAnsi="Times New Roman"/>
          <w:bCs/>
          <w:snapToGrid/>
          <w:sz w:val="24"/>
          <w:szCs w:val="24"/>
        </w:rPr>
        <w:t xml:space="preserve"> </w:t>
      </w:r>
      <w:r>
        <w:rPr>
          <w:rFonts w:ascii="Times New Roman" w:hAnsi="Times New Roman"/>
          <w:bCs/>
          <w:snapToGrid/>
          <w:sz w:val="24"/>
          <w:szCs w:val="24"/>
        </w:rPr>
        <w:t>information</w:t>
      </w:r>
      <w:r w:rsidRPr="00AF5AF3">
        <w:rPr>
          <w:rFonts w:ascii="Times New Roman" w:hAnsi="Times New Roman"/>
          <w:bCs/>
          <w:snapToGrid/>
          <w:sz w:val="24"/>
          <w:szCs w:val="24"/>
        </w:rPr>
        <w:t xml:space="preserve"> gathering from all </w:t>
      </w:r>
      <w:r>
        <w:rPr>
          <w:rFonts w:ascii="Times New Roman" w:hAnsi="Times New Roman"/>
          <w:bCs/>
          <w:snapToGrid/>
          <w:sz w:val="24"/>
          <w:szCs w:val="24"/>
        </w:rPr>
        <w:t>active</w:t>
      </w:r>
      <w:r w:rsidRPr="00AF5AF3">
        <w:rPr>
          <w:rFonts w:ascii="Times New Roman" w:hAnsi="Times New Roman"/>
          <w:bCs/>
          <w:snapToGrid/>
          <w:sz w:val="24"/>
          <w:szCs w:val="24"/>
        </w:rPr>
        <w:t xml:space="preserve"> </w:t>
      </w:r>
      <w:r>
        <w:rPr>
          <w:rFonts w:ascii="Times New Roman" w:hAnsi="Times New Roman"/>
          <w:bCs/>
          <w:snapToGrid/>
          <w:sz w:val="24"/>
          <w:szCs w:val="24"/>
        </w:rPr>
        <w:t>CED</w:t>
      </w:r>
      <w:r w:rsidRPr="00AF5AF3">
        <w:rPr>
          <w:rFonts w:ascii="Times New Roman" w:hAnsi="Times New Roman"/>
          <w:bCs/>
          <w:snapToGrid/>
          <w:sz w:val="24"/>
          <w:szCs w:val="24"/>
        </w:rPr>
        <w:t xml:space="preserve"> grantees</w:t>
      </w:r>
      <w:r>
        <w:rPr>
          <w:rFonts w:ascii="Times New Roman" w:hAnsi="Times New Roman"/>
          <w:bCs/>
          <w:snapToGrid/>
          <w:sz w:val="24"/>
          <w:szCs w:val="24"/>
        </w:rPr>
        <w:t>.</w:t>
      </w:r>
      <w:r w:rsidRPr="00AF5AF3">
        <w:rPr>
          <w:rFonts w:ascii="Times New Roman" w:hAnsi="Times New Roman"/>
          <w:bCs/>
          <w:snapToGrid/>
          <w:sz w:val="24"/>
          <w:szCs w:val="24"/>
        </w:rPr>
        <w:t xml:space="preserve"> </w:t>
      </w:r>
      <w:r>
        <w:rPr>
          <w:rFonts w:ascii="Times New Roman" w:hAnsi="Times New Roman"/>
          <w:bCs/>
          <w:snapToGrid/>
          <w:sz w:val="24"/>
          <w:szCs w:val="24"/>
        </w:rPr>
        <w:t xml:space="preserve">The </w:t>
      </w:r>
      <w:r w:rsidRPr="00AF5AF3">
        <w:rPr>
          <w:rFonts w:ascii="Times New Roman" w:hAnsi="Times New Roman"/>
          <w:bCs/>
          <w:snapToGrid/>
          <w:sz w:val="24"/>
          <w:szCs w:val="24"/>
        </w:rPr>
        <w:t>intent of this project</w:t>
      </w:r>
      <w:r>
        <w:rPr>
          <w:rFonts w:ascii="Times New Roman" w:hAnsi="Times New Roman"/>
          <w:bCs/>
          <w:snapToGrid/>
          <w:sz w:val="24"/>
          <w:szCs w:val="24"/>
        </w:rPr>
        <w:t xml:space="preserve"> is</w:t>
      </w:r>
      <w:r w:rsidRPr="00AF5AF3">
        <w:rPr>
          <w:rFonts w:ascii="Times New Roman" w:hAnsi="Times New Roman"/>
          <w:bCs/>
          <w:snapToGrid/>
          <w:sz w:val="24"/>
          <w:szCs w:val="24"/>
        </w:rPr>
        <w:t xml:space="preserve"> to collect program progress report data from all </w:t>
      </w:r>
      <w:r>
        <w:rPr>
          <w:rFonts w:ascii="Times New Roman" w:hAnsi="Times New Roman"/>
          <w:bCs/>
          <w:snapToGrid/>
          <w:sz w:val="24"/>
          <w:szCs w:val="24"/>
        </w:rPr>
        <w:t xml:space="preserve">active </w:t>
      </w:r>
      <w:r w:rsidRPr="00AF5AF3">
        <w:rPr>
          <w:rFonts w:ascii="Times New Roman" w:hAnsi="Times New Roman"/>
          <w:bCs/>
          <w:snapToGrid/>
          <w:sz w:val="24"/>
          <w:szCs w:val="24"/>
        </w:rPr>
        <w:t>grantees</w:t>
      </w:r>
      <w:r>
        <w:rPr>
          <w:rFonts w:ascii="Times New Roman" w:hAnsi="Times New Roman"/>
          <w:bCs/>
          <w:snapToGrid/>
          <w:sz w:val="24"/>
          <w:szCs w:val="24"/>
        </w:rPr>
        <w:t>;</w:t>
      </w:r>
      <w:r w:rsidRPr="00AF5AF3">
        <w:rPr>
          <w:rFonts w:ascii="Times New Roman" w:hAnsi="Times New Roman"/>
          <w:bCs/>
          <w:snapToGrid/>
          <w:sz w:val="24"/>
          <w:szCs w:val="24"/>
        </w:rPr>
        <w:t xml:space="preserve"> </w:t>
      </w:r>
      <w:r>
        <w:rPr>
          <w:rFonts w:ascii="Times New Roman" w:hAnsi="Times New Roman"/>
          <w:bCs/>
          <w:snapToGrid/>
          <w:sz w:val="24"/>
          <w:szCs w:val="24"/>
        </w:rPr>
        <w:t xml:space="preserve">thus, </w:t>
      </w:r>
      <w:r w:rsidRPr="00AF5AF3">
        <w:rPr>
          <w:rFonts w:ascii="Times New Roman" w:hAnsi="Times New Roman"/>
          <w:bCs/>
          <w:snapToGrid/>
          <w:sz w:val="24"/>
          <w:szCs w:val="24"/>
        </w:rPr>
        <w:t xml:space="preserve">no statistical sampling methods are employed. </w:t>
      </w:r>
      <w:r>
        <w:rPr>
          <w:rFonts w:ascii="Times New Roman" w:hAnsi="Times New Roman"/>
          <w:bCs/>
          <w:snapToGrid/>
          <w:sz w:val="24"/>
          <w:szCs w:val="24"/>
        </w:rPr>
        <w:t>Quantitative and qualitative grantee performance data</w:t>
      </w:r>
      <w:r w:rsidRPr="00AF5AF3">
        <w:rPr>
          <w:rFonts w:ascii="Times New Roman" w:hAnsi="Times New Roman"/>
          <w:bCs/>
          <w:snapToGrid/>
          <w:sz w:val="24"/>
          <w:szCs w:val="24"/>
        </w:rPr>
        <w:t xml:space="preserve"> </w:t>
      </w:r>
      <w:r>
        <w:rPr>
          <w:rFonts w:ascii="Times New Roman" w:hAnsi="Times New Roman"/>
          <w:bCs/>
          <w:snapToGrid/>
          <w:sz w:val="24"/>
          <w:szCs w:val="24"/>
        </w:rPr>
        <w:t>is</w:t>
      </w:r>
      <w:r w:rsidRPr="00AF5AF3">
        <w:rPr>
          <w:rFonts w:ascii="Times New Roman" w:hAnsi="Times New Roman"/>
          <w:bCs/>
          <w:snapToGrid/>
          <w:sz w:val="24"/>
          <w:szCs w:val="24"/>
        </w:rPr>
        <w:t xml:space="preserve"> collected </w:t>
      </w:r>
      <w:r>
        <w:rPr>
          <w:rFonts w:ascii="Times New Roman" w:hAnsi="Times New Roman"/>
          <w:bCs/>
          <w:snapToGrid/>
          <w:sz w:val="24"/>
          <w:szCs w:val="24"/>
        </w:rPr>
        <w:t>by online form</w:t>
      </w:r>
      <w:r w:rsidRPr="00AF5AF3">
        <w:rPr>
          <w:rFonts w:ascii="Times New Roman" w:hAnsi="Times New Roman"/>
          <w:bCs/>
          <w:snapToGrid/>
          <w:sz w:val="24"/>
          <w:szCs w:val="24"/>
        </w:rPr>
        <w:t xml:space="preserve">. Descriptive statistics and content and thematic analysis will be used to conduct quantitative and qualitative analysis of the data. </w:t>
      </w:r>
      <w:r>
        <w:rPr>
          <w:rFonts w:ascii="Times New Roman" w:hAnsi="Times New Roman"/>
          <w:bCs/>
          <w:snapToGrid/>
          <w:sz w:val="24"/>
          <w:szCs w:val="24"/>
        </w:rPr>
        <w:t>B</w:t>
      </w:r>
      <w:r w:rsidRPr="00AF5AF3">
        <w:rPr>
          <w:rFonts w:ascii="Times New Roman" w:hAnsi="Times New Roman"/>
          <w:bCs/>
          <w:snapToGrid/>
          <w:sz w:val="24"/>
          <w:szCs w:val="24"/>
        </w:rPr>
        <w:t>oth statistical and non-statistical information on the respondent and the information collection procedures for project</w:t>
      </w:r>
      <w:r>
        <w:rPr>
          <w:rFonts w:ascii="Times New Roman" w:hAnsi="Times New Roman"/>
          <w:bCs/>
          <w:snapToGrid/>
          <w:sz w:val="24"/>
          <w:szCs w:val="24"/>
        </w:rPr>
        <w:t>s</w:t>
      </w:r>
      <w:r w:rsidRPr="00AF5AF3">
        <w:rPr>
          <w:rFonts w:ascii="Times New Roman" w:hAnsi="Times New Roman"/>
          <w:bCs/>
          <w:snapToGrid/>
          <w:sz w:val="24"/>
          <w:szCs w:val="24"/>
        </w:rPr>
        <w:t xml:space="preserve"> are described below.</w:t>
      </w:r>
    </w:p>
    <w:p w:rsidR="00232768" w:rsidRPr="00AF5AF3" w:rsidRDefault="00232768" w:rsidP="00232768">
      <w:pPr>
        <w:pStyle w:val="Heading2"/>
        <w:keepLines w:val="0"/>
        <w:numPr>
          <w:ilvl w:val="0"/>
          <w:numId w:val="2"/>
        </w:numPr>
        <w:spacing w:before="240" w:after="60"/>
        <w:rPr>
          <w:snapToGrid/>
        </w:rPr>
      </w:pPr>
      <w:bookmarkStart w:id="1" w:name="_Toc190774688"/>
      <w:bookmarkStart w:id="2" w:name="_Toc274589558"/>
      <w:bookmarkStart w:id="3" w:name="_Toc276013769"/>
      <w:bookmarkStart w:id="4" w:name="_Toc276022061"/>
      <w:r w:rsidRPr="00AF5AF3">
        <w:rPr>
          <w:snapToGrid/>
        </w:rPr>
        <w:t>Respondent Universe and Sampling Methods</w:t>
      </w:r>
      <w:bookmarkEnd w:id="1"/>
      <w:bookmarkEnd w:id="2"/>
      <w:bookmarkEnd w:id="3"/>
      <w:bookmarkEnd w:id="4"/>
    </w:p>
    <w:p w:rsidR="00232768" w:rsidRDefault="00232768" w:rsidP="00232768">
      <w:pPr>
        <w:rPr>
          <w:rFonts w:ascii="Times New Roman" w:hAnsi="Times New Roman"/>
          <w:bCs/>
          <w:snapToGrid/>
          <w:sz w:val="24"/>
          <w:szCs w:val="24"/>
        </w:rPr>
      </w:pPr>
      <w:r w:rsidRPr="00AF5AF3">
        <w:rPr>
          <w:rFonts w:ascii="Times New Roman" w:hAnsi="Times New Roman"/>
          <w:bCs/>
          <w:snapToGrid/>
          <w:sz w:val="24"/>
          <w:szCs w:val="24"/>
        </w:rPr>
        <w:t xml:space="preserve">This data collection </w:t>
      </w:r>
      <w:r>
        <w:rPr>
          <w:rFonts w:ascii="Times New Roman" w:hAnsi="Times New Roman"/>
          <w:bCs/>
          <w:snapToGrid/>
          <w:sz w:val="24"/>
          <w:szCs w:val="24"/>
        </w:rPr>
        <w:t xml:space="preserve">effort </w:t>
      </w:r>
      <w:r w:rsidRPr="00AF5AF3">
        <w:rPr>
          <w:rFonts w:ascii="Times New Roman" w:hAnsi="Times New Roman"/>
          <w:bCs/>
          <w:snapToGrid/>
          <w:sz w:val="24"/>
          <w:szCs w:val="24"/>
        </w:rPr>
        <w:t>does not employ statistical methods</w:t>
      </w:r>
      <w:r>
        <w:rPr>
          <w:rFonts w:ascii="Times New Roman" w:hAnsi="Times New Roman"/>
          <w:bCs/>
          <w:snapToGrid/>
          <w:sz w:val="24"/>
          <w:szCs w:val="24"/>
        </w:rPr>
        <w:t>,</w:t>
      </w:r>
      <w:r w:rsidRPr="00AF5AF3">
        <w:rPr>
          <w:rFonts w:ascii="Times New Roman" w:hAnsi="Times New Roman"/>
          <w:bCs/>
          <w:snapToGrid/>
          <w:sz w:val="24"/>
          <w:szCs w:val="24"/>
        </w:rPr>
        <w:t xml:space="preserve"> as all active CED grantees </w:t>
      </w:r>
      <w:r>
        <w:rPr>
          <w:rFonts w:ascii="Times New Roman" w:hAnsi="Times New Roman"/>
          <w:bCs/>
          <w:snapToGrid/>
          <w:sz w:val="24"/>
          <w:szCs w:val="24"/>
        </w:rPr>
        <w:t>are</w:t>
      </w:r>
      <w:r w:rsidRPr="00AF5AF3">
        <w:rPr>
          <w:rFonts w:ascii="Times New Roman" w:hAnsi="Times New Roman"/>
          <w:bCs/>
          <w:snapToGrid/>
          <w:sz w:val="24"/>
          <w:szCs w:val="24"/>
        </w:rPr>
        <w:t xml:space="preserve"> required to complete the </w:t>
      </w:r>
      <w:r>
        <w:rPr>
          <w:rFonts w:ascii="Times New Roman" w:hAnsi="Times New Roman"/>
          <w:bCs/>
          <w:snapToGrid/>
          <w:sz w:val="24"/>
          <w:szCs w:val="24"/>
        </w:rPr>
        <w:t>PPR forms.</w:t>
      </w:r>
      <w:r w:rsidRPr="00AF5AF3">
        <w:rPr>
          <w:rFonts w:ascii="Times New Roman" w:hAnsi="Times New Roman"/>
          <w:b/>
          <w:bCs/>
          <w:snapToGrid/>
          <w:sz w:val="24"/>
          <w:szCs w:val="24"/>
        </w:rPr>
        <w:t xml:space="preserve"> </w:t>
      </w:r>
      <w:r>
        <w:rPr>
          <w:rFonts w:ascii="Times New Roman" w:hAnsi="Times New Roman"/>
          <w:bCs/>
          <w:snapToGrid/>
          <w:sz w:val="24"/>
          <w:szCs w:val="24"/>
        </w:rPr>
        <w:t>In this context, an active grantee</w:t>
      </w:r>
      <w:r w:rsidRPr="00AF5AF3">
        <w:rPr>
          <w:rFonts w:ascii="Times New Roman" w:hAnsi="Times New Roman"/>
          <w:bCs/>
          <w:snapToGrid/>
          <w:sz w:val="24"/>
          <w:szCs w:val="24"/>
        </w:rPr>
        <w:t xml:space="preserve"> </w:t>
      </w:r>
      <w:r>
        <w:rPr>
          <w:rFonts w:ascii="Times New Roman" w:hAnsi="Times New Roman"/>
          <w:bCs/>
          <w:snapToGrid/>
          <w:sz w:val="24"/>
          <w:szCs w:val="24"/>
        </w:rPr>
        <w:t>is defined as</w:t>
      </w:r>
      <w:r w:rsidRPr="00AF5AF3">
        <w:rPr>
          <w:rFonts w:ascii="Times New Roman" w:hAnsi="Times New Roman"/>
          <w:bCs/>
          <w:snapToGrid/>
          <w:sz w:val="24"/>
          <w:szCs w:val="24"/>
        </w:rPr>
        <w:t xml:space="preserve"> </w:t>
      </w:r>
      <w:r>
        <w:rPr>
          <w:rFonts w:ascii="Times New Roman" w:hAnsi="Times New Roman"/>
          <w:bCs/>
          <w:snapToGrid/>
          <w:sz w:val="24"/>
          <w:szCs w:val="24"/>
        </w:rPr>
        <w:t>one with currently open program d</w:t>
      </w:r>
      <w:r w:rsidRPr="00AF5AF3">
        <w:rPr>
          <w:rFonts w:ascii="Times New Roman" w:hAnsi="Times New Roman"/>
          <w:bCs/>
          <w:snapToGrid/>
          <w:sz w:val="24"/>
          <w:szCs w:val="24"/>
        </w:rPr>
        <w:t xml:space="preserve">ates, which means that their projects are operational. </w:t>
      </w:r>
      <w:bookmarkStart w:id="5" w:name="_Toc190774689"/>
      <w:r>
        <w:rPr>
          <w:rFonts w:ascii="Times New Roman" w:hAnsi="Times New Roman"/>
          <w:bCs/>
          <w:snapToGrid/>
          <w:sz w:val="24"/>
          <w:szCs w:val="24"/>
        </w:rPr>
        <w:t xml:space="preserve"> There are approximately 170 active CED grantees every year; therefore there will be no stratification or sample selection.</w:t>
      </w:r>
    </w:p>
    <w:p w:rsidR="00232768" w:rsidRPr="004E2AC1" w:rsidRDefault="00232768" w:rsidP="00232768">
      <w:pPr>
        <w:pStyle w:val="Heading2"/>
        <w:keepLines w:val="0"/>
        <w:numPr>
          <w:ilvl w:val="0"/>
          <w:numId w:val="2"/>
        </w:numPr>
        <w:spacing w:before="240" w:after="60"/>
        <w:rPr>
          <w:snapToGrid/>
        </w:rPr>
      </w:pPr>
      <w:bookmarkStart w:id="6" w:name="_Toc274589559"/>
      <w:bookmarkStart w:id="7" w:name="_Toc276013770"/>
      <w:bookmarkStart w:id="8" w:name="_Toc276022062"/>
      <w:r w:rsidRPr="00AF5AF3">
        <w:rPr>
          <w:snapToGrid/>
        </w:rPr>
        <w:t>Procedures for the Collection of Information</w:t>
      </w:r>
      <w:bookmarkEnd w:id="5"/>
      <w:bookmarkEnd w:id="6"/>
      <w:bookmarkEnd w:id="7"/>
      <w:bookmarkEnd w:id="8"/>
    </w:p>
    <w:p w:rsidR="00232768" w:rsidRPr="00AF5AF3" w:rsidRDefault="00232768" w:rsidP="00232768">
      <w:pPr>
        <w:rPr>
          <w:rFonts w:ascii="Times New Roman" w:hAnsi="Times New Roman"/>
          <w:bCs/>
          <w:snapToGrid/>
          <w:sz w:val="24"/>
          <w:szCs w:val="24"/>
        </w:rPr>
      </w:pPr>
      <w:r>
        <w:rPr>
          <w:rFonts w:ascii="Times New Roman" w:hAnsi="Times New Roman"/>
          <w:snapToGrid/>
          <w:sz w:val="24"/>
          <w:szCs w:val="24"/>
        </w:rPr>
        <w:t xml:space="preserve">Grantees submit data in the PPR format through an online reporting system—The On-line Data Collection System (OLDC). </w:t>
      </w:r>
      <w:r>
        <w:rPr>
          <w:rFonts w:ascii="Times New Roman" w:hAnsi="Times New Roman"/>
          <w:bCs/>
          <w:snapToGrid/>
          <w:sz w:val="24"/>
          <w:szCs w:val="24"/>
        </w:rPr>
        <w:t xml:space="preserve">All active CED grantees are required to submit the PPR using this system.  </w:t>
      </w:r>
    </w:p>
    <w:p w:rsidR="00232768" w:rsidRPr="00AF5AF3" w:rsidRDefault="00232768" w:rsidP="00232768">
      <w:pPr>
        <w:pStyle w:val="Heading2"/>
        <w:keepLines w:val="0"/>
        <w:numPr>
          <w:ilvl w:val="0"/>
          <w:numId w:val="2"/>
        </w:numPr>
        <w:spacing w:before="240" w:after="60"/>
        <w:rPr>
          <w:snapToGrid/>
        </w:rPr>
      </w:pPr>
      <w:bookmarkStart w:id="9" w:name="_Toc190774690"/>
      <w:bookmarkStart w:id="10" w:name="_Toc274589560"/>
      <w:bookmarkStart w:id="11" w:name="_Toc276013771"/>
      <w:bookmarkStart w:id="12" w:name="_Toc276022063"/>
      <w:r w:rsidRPr="00AF5AF3">
        <w:rPr>
          <w:snapToGrid/>
        </w:rPr>
        <w:t>Methods to Maximize Response Rates and Deal with Nonresponse</w:t>
      </w:r>
      <w:bookmarkEnd w:id="9"/>
      <w:bookmarkEnd w:id="10"/>
      <w:bookmarkEnd w:id="11"/>
      <w:bookmarkEnd w:id="12"/>
    </w:p>
    <w:p w:rsidR="00232768" w:rsidRDefault="00232768" w:rsidP="00232768">
      <w:pPr>
        <w:rPr>
          <w:rFonts w:ascii="Times New Roman" w:hAnsi="Times New Roman"/>
          <w:bCs/>
          <w:snapToGrid/>
          <w:sz w:val="24"/>
          <w:szCs w:val="24"/>
        </w:rPr>
      </w:pPr>
      <w:r w:rsidRPr="00603F5D">
        <w:rPr>
          <w:rFonts w:ascii="Times New Roman" w:hAnsi="Times New Roman"/>
          <w:bCs/>
          <w:snapToGrid/>
          <w:sz w:val="24"/>
          <w:szCs w:val="24"/>
        </w:rPr>
        <w:t>In order to ensure compliance with the reporting requirements</w:t>
      </w:r>
      <w:r>
        <w:rPr>
          <w:rFonts w:ascii="Times New Roman" w:hAnsi="Times New Roman"/>
          <w:bCs/>
          <w:snapToGrid/>
          <w:sz w:val="24"/>
          <w:szCs w:val="24"/>
        </w:rPr>
        <w:t xml:space="preserve"> and high response rates</w:t>
      </w:r>
      <w:r w:rsidRPr="00603F5D">
        <w:rPr>
          <w:rFonts w:ascii="Times New Roman" w:hAnsi="Times New Roman"/>
          <w:bCs/>
          <w:snapToGrid/>
          <w:sz w:val="24"/>
          <w:szCs w:val="24"/>
        </w:rPr>
        <w:t>, grantees receive correspondence via email</w:t>
      </w:r>
      <w:r>
        <w:rPr>
          <w:rFonts w:ascii="Times New Roman" w:hAnsi="Times New Roman"/>
          <w:bCs/>
          <w:snapToGrid/>
          <w:sz w:val="24"/>
          <w:szCs w:val="24"/>
        </w:rPr>
        <w:t xml:space="preserve"> semi-annually that provides information, resources, and guidance about reporting requirements and use of the OLDC system. As needed, OCS schedules telephone and email contact to encourage completion of the PPR and provide one-on-one technical assistance. </w:t>
      </w:r>
      <w:r w:rsidRPr="00603F5D">
        <w:rPr>
          <w:rFonts w:ascii="Times New Roman" w:hAnsi="Times New Roman"/>
          <w:bCs/>
          <w:snapToGrid/>
          <w:sz w:val="24"/>
          <w:szCs w:val="24"/>
        </w:rPr>
        <w:t>All active grantees are required to submit their semi-annual reports in this format. Lack of compliance could affect the distribution funds from OCS.</w:t>
      </w:r>
      <w:r>
        <w:rPr>
          <w:rFonts w:ascii="Times New Roman" w:hAnsi="Times New Roman"/>
          <w:bCs/>
          <w:snapToGrid/>
          <w:sz w:val="24"/>
          <w:szCs w:val="24"/>
        </w:rPr>
        <w:t xml:space="preserve"> Approximately four weeks following the due date of the semi-annual reports, grantees that have not complied with report submission requirements receive delinquency letters from OCS.</w:t>
      </w:r>
    </w:p>
    <w:p w:rsidR="00232768" w:rsidRPr="00AF5AF3" w:rsidRDefault="00232768" w:rsidP="00232768">
      <w:pPr>
        <w:pStyle w:val="Heading2"/>
        <w:keepLines w:val="0"/>
        <w:numPr>
          <w:ilvl w:val="0"/>
          <w:numId w:val="2"/>
        </w:numPr>
        <w:spacing w:before="240" w:after="60"/>
        <w:rPr>
          <w:snapToGrid/>
        </w:rPr>
      </w:pPr>
      <w:bookmarkStart w:id="13" w:name="_Toc190774691"/>
      <w:bookmarkStart w:id="14" w:name="_Toc274589561"/>
      <w:bookmarkStart w:id="15" w:name="_Toc276013772"/>
      <w:bookmarkStart w:id="16" w:name="_Toc276022064"/>
      <w:r w:rsidRPr="00AF5AF3">
        <w:rPr>
          <w:snapToGrid/>
        </w:rPr>
        <w:t xml:space="preserve">Tests of Procedures or Methods to be </w:t>
      </w:r>
      <w:proofErr w:type="gramStart"/>
      <w:r w:rsidRPr="00AF5AF3">
        <w:rPr>
          <w:snapToGrid/>
        </w:rPr>
        <w:t>Undertaken</w:t>
      </w:r>
      <w:bookmarkEnd w:id="13"/>
      <w:bookmarkEnd w:id="14"/>
      <w:bookmarkEnd w:id="15"/>
      <w:bookmarkEnd w:id="16"/>
      <w:proofErr w:type="gramEnd"/>
    </w:p>
    <w:p w:rsidR="00232768" w:rsidRPr="00AF5AF3" w:rsidRDefault="00232768" w:rsidP="00232768">
      <w:pPr>
        <w:rPr>
          <w:rFonts w:ascii="Times New Roman" w:hAnsi="Times New Roman"/>
          <w:bCs/>
          <w:snapToGrid/>
          <w:sz w:val="24"/>
          <w:szCs w:val="24"/>
        </w:rPr>
      </w:pPr>
      <w:r>
        <w:rPr>
          <w:rFonts w:ascii="Times New Roman" w:hAnsi="Times New Roman"/>
          <w:bCs/>
          <w:snapToGrid/>
          <w:sz w:val="24"/>
          <w:szCs w:val="24"/>
        </w:rPr>
        <w:t>Prior to implementation in 2011, t</w:t>
      </w:r>
      <w:r w:rsidRPr="00603F5D">
        <w:rPr>
          <w:rFonts w:ascii="Times New Roman" w:hAnsi="Times New Roman"/>
          <w:bCs/>
          <w:snapToGrid/>
          <w:sz w:val="24"/>
          <w:szCs w:val="24"/>
        </w:rPr>
        <w:t xml:space="preserve">he PPR forms were reviewed and approved by Dr. Yolanda Butler, </w:t>
      </w:r>
      <w:r>
        <w:rPr>
          <w:rFonts w:ascii="Times New Roman" w:hAnsi="Times New Roman"/>
          <w:bCs/>
          <w:snapToGrid/>
          <w:sz w:val="24"/>
          <w:szCs w:val="24"/>
        </w:rPr>
        <w:t>Deputy</w:t>
      </w:r>
      <w:r w:rsidRPr="00603F5D">
        <w:rPr>
          <w:rFonts w:ascii="Times New Roman" w:hAnsi="Times New Roman"/>
          <w:bCs/>
          <w:snapToGrid/>
          <w:sz w:val="24"/>
          <w:szCs w:val="24"/>
        </w:rPr>
        <w:t xml:space="preserve"> Director of the Office of Community Services (OCS) and key OCS staff, including Lynda Pérez, Director of the Division of Community Discretionary Programs, and Rafael J. Elizalde, Team Leader of the Division of Community Discretionary Programs. </w:t>
      </w:r>
      <w:r>
        <w:rPr>
          <w:rFonts w:ascii="Times New Roman" w:hAnsi="Times New Roman"/>
          <w:bCs/>
          <w:snapToGrid/>
          <w:sz w:val="24"/>
          <w:szCs w:val="24"/>
        </w:rPr>
        <w:t xml:space="preserve">The PPR has been in use by OCS and CED grantees since 2011, and the data collection procedures and instruments (except for the addition of one question) are virtually identical to the previously approved PPR. </w:t>
      </w:r>
    </w:p>
    <w:p w:rsidR="00232768" w:rsidRPr="00AF5AF3" w:rsidRDefault="00232768" w:rsidP="00232768">
      <w:pPr>
        <w:pStyle w:val="Heading2"/>
        <w:keepLines w:val="0"/>
        <w:numPr>
          <w:ilvl w:val="0"/>
          <w:numId w:val="2"/>
        </w:numPr>
        <w:spacing w:before="240" w:after="60"/>
        <w:rPr>
          <w:snapToGrid/>
        </w:rPr>
      </w:pPr>
      <w:bookmarkStart w:id="17" w:name="_Toc190774692"/>
      <w:bookmarkStart w:id="18" w:name="_Toc274589562"/>
      <w:bookmarkStart w:id="19" w:name="_Toc276013773"/>
      <w:bookmarkStart w:id="20" w:name="_Toc276022065"/>
      <w:r w:rsidRPr="00AF5AF3">
        <w:rPr>
          <w:snapToGrid/>
        </w:rPr>
        <w:t>Individuals Consulted on Statistical Aspects and Individuals Collecting and/or Analyzing Data</w:t>
      </w:r>
      <w:bookmarkEnd w:id="17"/>
      <w:bookmarkEnd w:id="18"/>
      <w:bookmarkEnd w:id="19"/>
      <w:bookmarkEnd w:id="20"/>
    </w:p>
    <w:p w:rsidR="00232768" w:rsidRDefault="00232768" w:rsidP="00232768">
      <w:pPr>
        <w:rPr>
          <w:rFonts w:ascii="Times New Roman" w:hAnsi="Times New Roman"/>
          <w:bCs/>
          <w:snapToGrid/>
          <w:sz w:val="24"/>
          <w:szCs w:val="24"/>
        </w:rPr>
      </w:pPr>
      <w:r w:rsidRPr="00AF5AF3">
        <w:rPr>
          <w:rFonts w:ascii="Times New Roman" w:hAnsi="Times New Roman"/>
          <w:bCs/>
          <w:snapToGrid/>
          <w:sz w:val="24"/>
          <w:szCs w:val="24"/>
        </w:rPr>
        <w:t>This data collection does not employ statistical methods.</w:t>
      </w:r>
      <w:r>
        <w:rPr>
          <w:rFonts w:ascii="Times New Roman" w:hAnsi="Times New Roman"/>
          <w:bCs/>
          <w:snapToGrid/>
          <w:sz w:val="24"/>
          <w:szCs w:val="24"/>
        </w:rPr>
        <w:t xml:space="preserve">  As needed, the Office of Community </w:t>
      </w:r>
      <w:r>
        <w:rPr>
          <w:rFonts w:ascii="Times New Roman" w:hAnsi="Times New Roman"/>
          <w:bCs/>
          <w:snapToGrid/>
          <w:sz w:val="24"/>
          <w:szCs w:val="24"/>
        </w:rPr>
        <w:lastRenderedPageBreak/>
        <w:t>Services will enlist the help of its current contractors to collect and/or analyze data using existing contracts.</w:t>
      </w:r>
    </w:p>
    <w:p w:rsidR="00600549" w:rsidRDefault="00600549">
      <w:bookmarkStart w:id="21" w:name="_GoBack"/>
      <w:bookmarkEnd w:id="21"/>
    </w:p>
    <w:sectPr w:rsidR="00600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D19B2"/>
    <w:multiLevelType w:val="hybridMultilevel"/>
    <w:tmpl w:val="CE04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442A9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68"/>
    <w:rsid w:val="000A36CD"/>
    <w:rsid w:val="00232768"/>
    <w:rsid w:val="00600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68"/>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0A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A3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2768"/>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semiHidden/>
    <w:unhideWhenUsed/>
    <w:qFormat/>
    <w:rsid w:val="00232768"/>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32768"/>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32768"/>
    <w:pPr>
      <w:spacing w:before="240" w:after="60"/>
      <w:ind w:left="3600"/>
      <w:outlineLvl w:val="5"/>
    </w:pPr>
    <w:rPr>
      <w:rFonts w:ascii="Calibri" w:hAnsi="Calibri"/>
      <w:b/>
      <w:bCs/>
      <w:sz w:val="22"/>
      <w:szCs w:val="22"/>
    </w:rPr>
  </w:style>
  <w:style w:type="paragraph" w:styleId="Heading7">
    <w:name w:val="heading 7"/>
    <w:basedOn w:val="Normal"/>
    <w:next w:val="Normal"/>
    <w:link w:val="Heading7Char"/>
    <w:semiHidden/>
    <w:unhideWhenUsed/>
    <w:qFormat/>
    <w:rsid w:val="00232768"/>
    <w:pPr>
      <w:spacing w:before="240" w:after="60"/>
      <w:ind w:left="4320"/>
      <w:outlineLvl w:val="6"/>
    </w:pPr>
    <w:rPr>
      <w:rFonts w:ascii="Calibri" w:hAnsi="Calibri"/>
      <w:sz w:val="24"/>
      <w:szCs w:val="24"/>
    </w:rPr>
  </w:style>
  <w:style w:type="paragraph" w:styleId="Heading8">
    <w:name w:val="heading 8"/>
    <w:basedOn w:val="Normal"/>
    <w:next w:val="Normal"/>
    <w:link w:val="Heading8Char"/>
    <w:semiHidden/>
    <w:unhideWhenUsed/>
    <w:qFormat/>
    <w:rsid w:val="00232768"/>
    <w:pPr>
      <w:spacing w:before="240" w:after="60"/>
      <w:ind w:left="5040"/>
      <w:outlineLvl w:val="7"/>
    </w:pPr>
    <w:rPr>
      <w:rFonts w:ascii="Calibri" w:hAnsi="Calibri"/>
      <w:i/>
      <w:iCs/>
      <w:sz w:val="24"/>
      <w:szCs w:val="24"/>
    </w:rPr>
  </w:style>
  <w:style w:type="paragraph" w:styleId="Heading9">
    <w:name w:val="heading 9"/>
    <w:basedOn w:val="Normal"/>
    <w:next w:val="Normal"/>
    <w:link w:val="Heading9Char"/>
    <w:semiHidden/>
    <w:unhideWhenUsed/>
    <w:qFormat/>
    <w:rsid w:val="00232768"/>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A3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32768"/>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232768"/>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232768"/>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232768"/>
    <w:rPr>
      <w:rFonts w:ascii="Calibri" w:eastAsia="Times New Roman" w:hAnsi="Calibri" w:cs="Times New Roman"/>
      <w:b/>
      <w:bCs/>
      <w:snapToGrid w:val="0"/>
    </w:rPr>
  </w:style>
  <w:style w:type="character" w:customStyle="1" w:styleId="Heading7Char">
    <w:name w:val="Heading 7 Char"/>
    <w:basedOn w:val="DefaultParagraphFont"/>
    <w:link w:val="Heading7"/>
    <w:semiHidden/>
    <w:rsid w:val="00232768"/>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232768"/>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232768"/>
    <w:rPr>
      <w:rFonts w:ascii="Cambria" w:eastAsia="Times New Roman" w:hAnsi="Cambria"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768"/>
    <w:pPr>
      <w:widowControl w:val="0"/>
      <w:spacing w:after="0" w:line="240" w:lineRule="auto"/>
    </w:pPr>
    <w:rPr>
      <w:rFonts w:ascii="Courier New" w:eastAsia="Times New Roman" w:hAnsi="Courier New" w:cs="Times New Roman"/>
      <w:snapToGrid w:val="0"/>
      <w:sz w:val="20"/>
      <w:szCs w:val="20"/>
    </w:rPr>
  </w:style>
  <w:style w:type="paragraph" w:styleId="Heading1">
    <w:name w:val="heading 1"/>
    <w:basedOn w:val="Normal"/>
    <w:next w:val="Normal"/>
    <w:link w:val="Heading1Char"/>
    <w:qFormat/>
    <w:rsid w:val="000A36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A36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2768"/>
    <w:pPr>
      <w:keepNext/>
      <w:spacing w:before="240" w:after="60"/>
      <w:ind w:left="1440"/>
      <w:outlineLvl w:val="2"/>
    </w:pPr>
    <w:rPr>
      <w:rFonts w:ascii="Cambria" w:hAnsi="Cambria"/>
      <w:b/>
      <w:bCs/>
      <w:sz w:val="26"/>
      <w:szCs w:val="26"/>
    </w:rPr>
  </w:style>
  <w:style w:type="paragraph" w:styleId="Heading4">
    <w:name w:val="heading 4"/>
    <w:basedOn w:val="Normal"/>
    <w:next w:val="Normal"/>
    <w:link w:val="Heading4Char"/>
    <w:semiHidden/>
    <w:unhideWhenUsed/>
    <w:qFormat/>
    <w:rsid w:val="00232768"/>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32768"/>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32768"/>
    <w:pPr>
      <w:spacing w:before="240" w:after="60"/>
      <w:ind w:left="3600"/>
      <w:outlineLvl w:val="5"/>
    </w:pPr>
    <w:rPr>
      <w:rFonts w:ascii="Calibri" w:hAnsi="Calibri"/>
      <w:b/>
      <w:bCs/>
      <w:sz w:val="22"/>
      <w:szCs w:val="22"/>
    </w:rPr>
  </w:style>
  <w:style w:type="paragraph" w:styleId="Heading7">
    <w:name w:val="heading 7"/>
    <w:basedOn w:val="Normal"/>
    <w:next w:val="Normal"/>
    <w:link w:val="Heading7Char"/>
    <w:semiHidden/>
    <w:unhideWhenUsed/>
    <w:qFormat/>
    <w:rsid w:val="00232768"/>
    <w:pPr>
      <w:spacing w:before="240" w:after="60"/>
      <w:ind w:left="4320"/>
      <w:outlineLvl w:val="6"/>
    </w:pPr>
    <w:rPr>
      <w:rFonts w:ascii="Calibri" w:hAnsi="Calibri"/>
      <w:sz w:val="24"/>
      <w:szCs w:val="24"/>
    </w:rPr>
  </w:style>
  <w:style w:type="paragraph" w:styleId="Heading8">
    <w:name w:val="heading 8"/>
    <w:basedOn w:val="Normal"/>
    <w:next w:val="Normal"/>
    <w:link w:val="Heading8Char"/>
    <w:semiHidden/>
    <w:unhideWhenUsed/>
    <w:qFormat/>
    <w:rsid w:val="00232768"/>
    <w:pPr>
      <w:spacing w:before="240" w:after="60"/>
      <w:ind w:left="5040"/>
      <w:outlineLvl w:val="7"/>
    </w:pPr>
    <w:rPr>
      <w:rFonts w:ascii="Calibri" w:hAnsi="Calibri"/>
      <w:i/>
      <w:iCs/>
      <w:sz w:val="24"/>
      <w:szCs w:val="24"/>
    </w:rPr>
  </w:style>
  <w:style w:type="paragraph" w:styleId="Heading9">
    <w:name w:val="heading 9"/>
    <w:basedOn w:val="Normal"/>
    <w:next w:val="Normal"/>
    <w:link w:val="Heading9Char"/>
    <w:semiHidden/>
    <w:unhideWhenUsed/>
    <w:qFormat/>
    <w:rsid w:val="00232768"/>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6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A36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32768"/>
    <w:rPr>
      <w:rFonts w:ascii="Cambria" w:eastAsia="Times New Roman" w:hAnsi="Cambria" w:cs="Times New Roman"/>
      <w:b/>
      <w:bCs/>
      <w:snapToGrid w:val="0"/>
      <w:sz w:val="26"/>
      <w:szCs w:val="26"/>
    </w:rPr>
  </w:style>
  <w:style w:type="character" w:customStyle="1" w:styleId="Heading4Char">
    <w:name w:val="Heading 4 Char"/>
    <w:basedOn w:val="DefaultParagraphFont"/>
    <w:link w:val="Heading4"/>
    <w:semiHidden/>
    <w:rsid w:val="00232768"/>
    <w:rPr>
      <w:rFonts w:ascii="Calibri" w:eastAsia="Times New Roman" w:hAnsi="Calibri" w:cs="Times New Roman"/>
      <w:b/>
      <w:bCs/>
      <w:snapToGrid w:val="0"/>
      <w:sz w:val="28"/>
      <w:szCs w:val="28"/>
    </w:rPr>
  </w:style>
  <w:style w:type="character" w:customStyle="1" w:styleId="Heading5Char">
    <w:name w:val="Heading 5 Char"/>
    <w:basedOn w:val="DefaultParagraphFont"/>
    <w:link w:val="Heading5"/>
    <w:semiHidden/>
    <w:rsid w:val="00232768"/>
    <w:rPr>
      <w:rFonts w:ascii="Calibri" w:eastAsia="Times New Roman" w:hAnsi="Calibri" w:cs="Times New Roman"/>
      <w:b/>
      <w:bCs/>
      <w:i/>
      <w:iCs/>
      <w:snapToGrid w:val="0"/>
      <w:sz w:val="26"/>
      <w:szCs w:val="26"/>
    </w:rPr>
  </w:style>
  <w:style w:type="character" w:customStyle="1" w:styleId="Heading6Char">
    <w:name w:val="Heading 6 Char"/>
    <w:basedOn w:val="DefaultParagraphFont"/>
    <w:link w:val="Heading6"/>
    <w:semiHidden/>
    <w:rsid w:val="00232768"/>
    <w:rPr>
      <w:rFonts w:ascii="Calibri" w:eastAsia="Times New Roman" w:hAnsi="Calibri" w:cs="Times New Roman"/>
      <w:b/>
      <w:bCs/>
      <w:snapToGrid w:val="0"/>
    </w:rPr>
  </w:style>
  <w:style w:type="character" w:customStyle="1" w:styleId="Heading7Char">
    <w:name w:val="Heading 7 Char"/>
    <w:basedOn w:val="DefaultParagraphFont"/>
    <w:link w:val="Heading7"/>
    <w:semiHidden/>
    <w:rsid w:val="00232768"/>
    <w:rPr>
      <w:rFonts w:ascii="Calibri" w:eastAsia="Times New Roman" w:hAnsi="Calibri" w:cs="Times New Roman"/>
      <w:snapToGrid w:val="0"/>
      <w:sz w:val="24"/>
      <w:szCs w:val="24"/>
    </w:rPr>
  </w:style>
  <w:style w:type="character" w:customStyle="1" w:styleId="Heading8Char">
    <w:name w:val="Heading 8 Char"/>
    <w:basedOn w:val="DefaultParagraphFont"/>
    <w:link w:val="Heading8"/>
    <w:semiHidden/>
    <w:rsid w:val="00232768"/>
    <w:rPr>
      <w:rFonts w:ascii="Calibri" w:eastAsia="Times New Roman" w:hAnsi="Calibri" w:cs="Times New Roman"/>
      <w:i/>
      <w:iCs/>
      <w:snapToGrid w:val="0"/>
      <w:sz w:val="24"/>
      <w:szCs w:val="24"/>
    </w:rPr>
  </w:style>
  <w:style w:type="character" w:customStyle="1" w:styleId="Heading9Char">
    <w:name w:val="Heading 9 Char"/>
    <w:basedOn w:val="DefaultParagraphFont"/>
    <w:link w:val="Heading9"/>
    <w:semiHidden/>
    <w:rsid w:val="00232768"/>
    <w:rPr>
      <w:rFonts w:ascii="Cambria" w:eastAsia="Times New Roman" w:hAnsi="Cambria"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OCS-0149</ACF_x0020_Tracking_x0020_No_x002e_>
    <Description0 xmlns="e059a2d5-a4f8-4fd8-b836-4c9cf26100e7" xsi:nil="true"/>
  </documentManagement>
</p:properties>
</file>

<file path=customXml/itemProps1.xml><?xml version="1.0" encoding="utf-8"?>
<ds:datastoreItem xmlns:ds="http://schemas.openxmlformats.org/officeDocument/2006/customXml" ds:itemID="{603B28CF-44C6-4234-9717-4BC80A7DD842}"/>
</file>

<file path=customXml/itemProps2.xml><?xml version="1.0" encoding="utf-8"?>
<ds:datastoreItem xmlns:ds="http://schemas.openxmlformats.org/officeDocument/2006/customXml" ds:itemID="{10312DDA-01A2-4929-9670-2ADA5D475DF7}"/>
</file>

<file path=customXml/itemProps3.xml><?xml version="1.0" encoding="utf-8"?>
<ds:datastoreItem xmlns:ds="http://schemas.openxmlformats.org/officeDocument/2006/customXml" ds:itemID="{F8A8292D-E492-4C70-B6BB-1AF2D3DBA5E7}"/>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DHHS</cp:lastModifiedBy>
  <cp:revision>1</cp:revision>
  <dcterms:created xsi:type="dcterms:W3CDTF">2013-12-09T16:51:00Z</dcterms:created>
  <dcterms:modified xsi:type="dcterms:W3CDTF">2013-12-09T16:52:00Z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