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D2" w:rsidRDefault="005205D2">
      <w:pPr>
        <w:pStyle w:val="Title"/>
      </w:pPr>
      <w:bookmarkStart w:id="0" w:name="_GoBack"/>
      <w:bookmarkEnd w:id="0"/>
      <w:r>
        <w:t xml:space="preserve">SUPPORTING STATEMENT FOR REQUEST FOR OMB APPROVAL </w:t>
      </w:r>
    </w:p>
    <w:p w:rsidR="005205D2" w:rsidRDefault="005205D2">
      <w:pPr>
        <w:jc w:val="center"/>
        <w:rPr>
          <w:b/>
        </w:rPr>
      </w:pPr>
      <w:r>
        <w:rPr>
          <w:b/>
        </w:rPr>
        <w:t>UNDER THE PAPERWORK REDUCTION ACT</w:t>
      </w:r>
    </w:p>
    <w:p w:rsidR="00D14DCE" w:rsidRPr="00D14DCE" w:rsidRDefault="00D14DCE">
      <w:pPr>
        <w:jc w:val="center"/>
        <w:rPr>
          <w:b/>
        </w:rPr>
      </w:pPr>
      <w:r w:rsidRPr="00D14DCE">
        <w:rPr>
          <w:b/>
        </w:rPr>
        <w:t>Employment and Training Data Validation Requirement</w:t>
      </w:r>
    </w:p>
    <w:p w:rsidR="005205D2" w:rsidRDefault="00D14DCE">
      <w:pPr>
        <w:jc w:val="center"/>
        <w:rPr>
          <w:b/>
        </w:rPr>
      </w:pPr>
      <w:r>
        <w:rPr>
          <w:b/>
        </w:rPr>
        <w:t>OMB Control Number 1205-0448</w:t>
      </w:r>
    </w:p>
    <w:p w:rsidR="00D14DCE" w:rsidRDefault="00D14DCE">
      <w:pPr>
        <w:jc w:val="center"/>
        <w:rPr>
          <w:b/>
        </w:rPr>
      </w:pPr>
    </w:p>
    <w:p w:rsidR="005205D2" w:rsidRDefault="005205D2">
      <w:pPr>
        <w:jc w:val="center"/>
        <w:rPr>
          <w:b/>
        </w:rPr>
      </w:pPr>
      <w:r>
        <w:rPr>
          <w:b/>
        </w:rPr>
        <w:t xml:space="preserve">PART </w:t>
      </w:r>
      <w:proofErr w:type="gramStart"/>
      <w:r>
        <w:rPr>
          <w:b/>
        </w:rPr>
        <w:t>A</w:t>
      </w:r>
      <w:proofErr w:type="gramEnd"/>
      <w:r>
        <w:rPr>
          <w:b/>
        </w:rPr>
        <w:t xml:space="preserve"> – JUSTIFICATION </w:t>
      </w:r>
    </w:p>
    <w:p w:rsidR="005205D2" w:rsidRDefault="005205D2">
      <w:pPr>
        <w:pBdr>
          <w:bottom w:val="single" w:sz="4" w:space="1" w:color="auto"/>
        </w:pBdr>
        <w:jc w:val="center"/>
        <w:rPr>
          <w:b/>
        </w:rPr>
      </w:pPr>
    </w:p>
    <w:p w:rsidR="005205D2" w:rsidRDefault="005205D2">
      <w:pPr>
        <w:jc w:val="center"/>
        <w:rPr>
          <w:b/>
        </w:rPr>
      </w:pPr>
    </w:p>
    <w:p w:rsidR="005205D2" w:rsidRDefault="005205D2">
      <w:pPr>
        <w:jc w:val="center"/>
        <w:rPr>
          <w:b/>
        </w:rPr>
      </w:pPr>
    </w:p>
    <w:p w:rsidR="00C37CC1" w:rsidRDefault="005205D2" w:rsidP="004C17F2">
      <w:r>
        <w:t>This is a justification for the Department of Labor’s request for approval to extend a currently approved data validation requiremen</w:t>
      </w:r>
      <w:r w:rsidR="004A4757">
        <w:t>t for five</w:t>
      </w:r>
      <w:r>
        <w:t xml:space="preserve"> Employment and Training Administration (ETA) programs.  Data validation assesses the accuracy of data collected and reported to ETA on program activities and outcomes.  The accuracy and reliability of program reports submitted by states and grantees using federal funds are fundamental elements of good public administration, and are necessary tools for maintaining and demonstrating system integrity.  </w:t>
      </w:r>
      <w:r>
        <w:rPr>
          <w:bCs/>
        </w:rPr>
        <w:t>The data validation requirement for employment and training programs strengthens the workforce system by ensuring that accurate and reliable information on program activities and outcomes is available.</w:t>
      </w:r>
      <w:r>
        <w:rPr>
          <w:b/>
        </w:rPr>
        <w:t xml:space="preserve">  </w:t>
      </w:r>
      <w:r>
        <w:t>The following programs are subject to the data validation requirement:  Workforce Investment Act (WIA) Title IB, Wagner-Peyser Act, Trade Adjustment Ass</w:t>
      </w:r>
      <w:r w:rsidR="00A361F0">
        <w:t xml:space="preserve">istance (TAA) and </w:t>
      </w:r>
      <w:r>
        <w:t>National Farmworker Jobs Program (NFJP</w:t>
      </w:r>
      <w:r w:rsidR="00A361F0">
        <w:t>)</w:t>
      </w:r>
      <w:r w:rsidR="004C17F2">
        <w:t xml:space="preserve"> and </w:t>
      </w:r>
      <w:r w:rsidR="003D586E">
        <w:t xml:space="preserve">the </w:t>
      </w:r>
      <w:r w:rsidR="004C17F2">
        <w:t>Senior Community Service Employment Program (SCSEP)</w:t>
      </w:r>
      <w:r w:rsidR="00C4677F">
        <w:t xml:space="preserve">.  </w:t>
      </w:r>
      <w:r w:rsidR="005C5775">
        <w:t xml:space="preserve">All of these programs </w:t>
      </w:r>
      <w:r w:rsidR="00E95368">
        <w:t>must</w:t>
      </w:r>
      <w:r w:rsidR="005C5775">
        <w:t xml:space="preserve"> conduct both report and data element validation.  However, the specific processes and required data elements that must be validated are program specific.  All program specific information is discussed in the instructions for carrying out data validation for these programs.  </w:t>
      </w:r>
      <w:r w:rsidR="004C17F2">
        <w:t>The Indian and Native American Program (INAP) is no longer part of this supporting statement</w:t>
      </w:r>
      <w:r w:rsidR="007D726F">
        <w:t xml:space="preserve"> (removed during a previous clearance cycle)</w:t>
      </w:r>
      <w:r w:rsidR="00AD42E6">
        <w:t xml:space="preserve">; INAP </w:t>
      </w:r>
      <w:r w:rsidR="004C17F2">
        <w:t>has integrated data validation software</w:t>
      </w:r>
      <w:r w:rsidR="00AD42E6">
        <w:t xml:space="preserve"> into its electronic system, “</w:t>
      </w:r>
      <w:r w:rsidR="004C17F2">
        <w:t>Bear Tracks,</w:t>
      </w:r>
      <w:r w:rsidR="00AD42E6">
        <w:t xml:space="preserve">” accounted for in </w:t>
      </w:r>
      <w:r w:rsidR="004C17F2">
        <w:t>Office of Management and Budge</w:t>
      </w:r>
      <w:r w:rsidR="00AD42E6">
        <w:t>t (OMB) control number 1205-0</w:t>
      </w:r>
      <w:r w:rsidR="00AE7B25">
        <w:t>422</w:t>
      </w:r>
      <w:r w:rsidR="004C17F2">
        <w:t>.</w:t>
      </w:r>
    </w:p>
    <w:p w:rsidR="00C37CC1" w:rsidRDefault="00C37CC1" w:rsidP="004C17F2"/>
    <w:p w:rsidR="00792964" w:rsidRDefault="00C37CC1" w:rsidP="00792964">
      <w:r>
        <w:t xml:space="preserve">ETA is currently in the process of </w:t>
      </w:r>
      <w:r w:rsidR="00457660">
        <w:t>phasing in</w:t>
      </w:r>
      <w:r>
        <w:t xml:space="preserve"> the software states use to conduct data validation</w:t>
      </w:r>
      <w:r w:rsidR="00792964">
        <w:t xml:space="preserve">, </w:t>
      </w:r>
      <w:r w:rsidR="00792964" w:rsidRPr="00792964">
        <w:t xml:space="preserve">per the OMB Notice of Action </w:t>
      </w:r>
      <w:r w:rsidR="00792964">
        <w:t xml:space="preserve">on this collection </w:t>
      </w:r>
      <w:r w:rsidR="00792964" w:rsidRPr="00792964">
        <w:t>in 2012</w:t>
      </w:r>
      <w:r>
        <w:t xml:space="preserve">.  Prior to Program Year (PY) 2012, ETA </w:t>
      </w:r>
      <w:r w:rsidR="00A71DDA">
        <w:t>provided states</w:t>
      </w:r>
      <w:r>
        <w:t xml:space="preserve"> </w:t>
      </w:r>
      <w:r w:rsidR="00A71DDA">
        <w:t>with standalone distributed software, the Data Reporting and Validation S</w:t>
      </w:r>
      <w:r w:rsidR="00457660">
        <w:t>ystem</w:t>
      </w:r>
      <w:r w:rsidR="00A71DDA">
        <w:t xml:space="preserve"> (DRVS), which </w:t>
      </w:r>
      <w:r>
        <w:t>states had to download</w:t>
      </w:r>
      <w:r w:rsidR="00457660">
        <w:t>,</w:t>
      </w:r>
      <w:r w:rsidR="00A71DDA">
        <w:t xml:space="preserve"> install</w:t>
      </w:r>
      <w:r w:rsidR="00457660">
        <w:t xml:space="preserve"> and update</w:t>
      </w:r>
      <w:r w:rsidR="00A71DDA">
        <w:t xml:space="preserve"> on one or more of their own computers.  Data Validation results were then uploaded to ETA’s Enterprise Business Support System (EBSS) where they were stored.  After completing data validation, </w:t>
      </w:r>
      <w:r w:rsidR="00457660">
        <w:t>states were required to upload</w:t>
      </w:r>
      <w:r w:rsidR="00A71DDA">
        <w:t xml:space="preserve"> separate individual record file</w:t>
      </w:r>
      <w:r w:rsidR="00457660">
        <w:t>s</w:t>
      </w:r>
      <w:r w:rsidR="00A71DDA">
        <w:t xml:space="preserve"> to ETA for </w:t>
      </w:r>
      <w:r w:rsidR="006E7EC2">
        <w:t xml:space="preserve">WIA, </w:t>
      </w:r>
      <w:r w:rsidR="00457660">
        <w:t>TAA</w:t>
      </w:r>
      <w:r w:rsidR="006E7EC2">
        <w:t>, NFJP, and SCSEP</w:t>
      </w:r>
      <w:r w:rsidR="00457660">
        <w:t xml:space="preserve"> </w:t>
      </w:r>
      <w:r w:rsidR="00A71DDA">
        <w:t>reporting purposes</w:t>
      </w:r>
      <w:r w:rsidR="006E7EC2">
        <w:t xml:space="preserve"> covered </w:t>
      </w:r>
      <w:r w:rsidR="00792964">
        <w:t xml:space="preserve">under </w:t>
      </w:r>
      <w:r w:rsidR="006E7EC2">
        <w:t>separate OMB control numbers</w:t>
      </w:r>
      <w:r w:rsidR="00A71DDA">
        <w:t>.</w:t>
      </w:r>
      <w:r w:rsidR="00457660">
        <w:t xml:space="preserve">  Wagner-Peyser individual records were not previously stored by ETA.  As indicated in ETA’s most recent Data Validation collection </w:t>
      </w:r>
      <w:r w:rsidR="00792964">
        <w:t xml:space="preserve">renewal </w:t>
      </w:r>
      <w:r w:rsidR="00457660">
        <w:t xml:space="preserve">in 2012, ETA has begun to update the data validation software.  </w:t>
      </w:r>
      <w:r w:rsidR="00A71DDA">
        <w:t>Beginning in PY 2012 for Wagner-Peyser and in PY 2013 for WIA Title IB</w:t>
      </w:r>
      <w:r w:rsidR="00457660">
        <w:t xml:space="preserve"> and TAA</w:t>
      </w:r>
      <w:r w:rsidR="00A71DDA">
        <w:t xml:space="preserve">, ETA </w:t>
      </w:r>
      <w:r w:rsidR="00457660">
        <w:t xml:space="preserve">implemented an updated Enterprise Data Reporting and Validation System (EDRVS) that is </w:t>
      </w:r>
      <w:r w:rsidR="006E7EC2">
        <w:t>web</w:t>
      </w:r>
      <w:r w:rsidR="00457660">
        <w:t xml:space="preserve"> based and consolidates the reporting and data validation processes into one system.</w:t>
      </w:r>
      <w:r w:rsidR="006E7EC2">
        <w:t xml:space="preserve">  While the software states and grantees use for conducting data validation has changed, the methodology (described in Part B) used to draw the samples and produce error rates is unchanged.</w:t>
      </w:r>
      <w:r w:rsidR="00792964">
        <w:t xml:space="preserve">  As a result, the burden estimates (described in </w:t>
      </w:r>
      <w:r w:rsidR="001C35C0">
        <w:t>Item</w:t>
      </w:r>
      <w:r w:rsidR="00792964">
        <w:t xml:space="preserve"> A.12) associated with this collection renewal request are unchanged.  All changes in burden are associated with program reporting, covered under separate OMB control numbers (for example the WIA Reporting System, OMB control no. 1205-0240).</w:t>
      </w:r>
    </w:p>
    <w:p w:rsidR="00792964" w:rsidRPr="00792964" w:rsidRDefault="00792964" w:rsidP="00792964">
      <w:r>
        <w:lastRenderedPageBreak/>
        <w:t xml:space="preserve">Per </w:t>
      </w:r>
      <w:r w:rsidRPr="00792964">
        <w:t xml:space="preserve">the OMB Notice of Action in 2012 approving the implementation of the </w:t>
      </w:r>
      <w:r>
        <w:t>EDRVS software, ETA was asked to collect and provide state feedback data validation components of the software.  However, due to delays in the deployment of the software</w:t>
      </w:r>
      <w:r w:rsidR="007A4535">
        <w:t xml:space="preserve"> itself</w:t>
      </w:r>
      <w:r>
        <w:t xml:space="preserve"> and the time lag between the </w:t>
      </w:r>
      <w:proofErr w:type="gramStart"/>
      <w:r w:rsidR="007A4535">
        <w:t>completion</w:t>
      </w:r>
      <w:proofErr w:type="gramEnd"/>
      <w:r>
        <w:t xml:space="preserve"> of a program year and when states must have completed validating their records,</w:t>
      </w:r>
      <w:r w:rsidRPr="00792964">
        <w:t xml:space="preserve"> states have just begun to use the software</w:t>
      </w:r>
      <w:r w:rsidR="007A4535">
        <w:t xml:space="preserve">.  As a result, </w:t>
      </w:r>
      <w:r w:rsidRPr="00792964">
        <w:t xml:space="preserve">there has not been sufficient time </w:t>
      </w:r>
      <w:r w:rsidR="006A3DC5">
        <w:t xml:space="preserve">to </w:t>
      </w:r>
      <w:r w:rsidR="007A4535">
        <w:t>fully utilize EDRVS</w:t>
      </w:r>
      <w:r w:rsidRPr="00792964">
        <w:t xml:space="preserve"> by the current expiration date for this data collection (May 31, 2014).  ETA believes the software deployment can be successfully concluded by the end of 2015, and at that time will report to OMB on testing results, per the OMB Notice of Action in 2012 approving the implementation of the software.</w:t>
      </w:r>
    </w:p>
    <w:p w:rsidR="005205D2" w:rsidRDefault="005205D2">
      <w:pPr>
        <w:rPr>
          <w:b/>
        </w:rPr>
      </w:pPr>
    </w:p>
    <w:p w:rsidR="005205D2" w:rsidRDefault="005205D2">
      <w:pPr>
        <w:rPr>
          <w:b/>
        </w:rPr>
      </w:pPr>
      <w:r>
        <w:rPr>
          <w:b/>
        </w:rPr>
        <w:t>1. Reasons for Data Collection</w:t>
      </w:r>
    </w:p>
    <w:p w:rsidR="005205D2" w:rsidRDefault="005205D2">
      <w:pPr>
        <w:rPr>
          <w:b/>
        </w:rPr>
      </w:pPr>
    </w:p>
    <w:p w:rsidR="005205D2" w:rsidRDefault="004A4757">
      <w:pPr>
        <w:tabs>
          <w:tab w:val="left" w:pos="-1440"/>
          <w:tab w:val="left" w:pos="-720"/>
          <w:tab w:val="left" w:pos="1440"/>
          <w:tab w:val="left" w:pos="1843"/>
          <w:tab w:val="left" w:pos="2270"/>
          <w:tab w:val="left" w:pos="2880"/>
        </w:tabs>
      </w:pPr>
      <w:r>
        <w:t xml:space="preserve">States and grantees receiving funding under WIA Title IB, Wagner-Peyser Act, TAA, and the Older Americans Act are required to maintain and report accurate program and financial information (WIA section 185 (29 U.S.C. 2935) and WIA Regulations 20 CFR 667.300(e)(2); Wagner-Peyser Act section 10 (29 U.S.C. 49i), Older Americans Act section 503(f)(3) and (4) (42 U.S.C. 3056a(f)(3) and (4)), and TAA Regulations 20 CFR 617.57).  </w:t>
      </w:r>
      <w:r w:rsidR="005205D2">
        <w:t xml:space="preserve">Further, all states and grantees receiving funding from ETA and the Veterans’ Employment and Training Service are required to submit reports or participant records and attest to the accuracy of these reports and records.  </w:t>
      </w:r>
    </w:p>
    <w:p w:rsidR="005205D2" w:rsidRDefault="005205D2"/>
    <w:p w:rsidR="005205D2" w:rsidRDefault="005205D2">
      <w:r>
        <w:t xml:space="preserve">The Department’s Office of Inspector General (OIG) conducted an audit of WIA performance data oversight from July 2000 through October 2001.  The audit, released in September 2002, found that, “Because of insufficient local, state, and Federal oversight, the Employment and Training Administration (ETA) has little assurance that the state-reported WIA performance outcomes data are either accurate or verifiable.”  The OIG recommended that states should validate reported data </w:t>
      </w:r>
      <w:r w:rsidRPr="00E86D30">
        <w:t xml:space="preserve">using </w:t>
      </w:r>
      <w:r w:rsidR="00E86D30">
        <w:t>rigorous validation</w:t>
      </w:r>
      <w:r w:rsidRPr="00E86D30">
        <w:t xml:space="preserve"> method</w:t>
      </w:r>
      <w:r w:rsidR="00E86D30">
        <w:t>ology</w:t>
      </w:r>
      <w:r w:rsidRPr="00E86D30">
        <w:t>.</w:t>
      </w:r>
      <w:r>
        <w:t xml:space="preserve">  To address the concerns raised by the OIG and to meet the Agency’s goal for accurate and reliable data, ETA implemented a data validation requirement in order to ensure the accuracy of data collected and reported on program activities and outcomes.  </w:t>
      </w:r>
    </w:p>
    <w:p w:rsidR="005205D2" w:rsidRDefault="005205D2">
      <w:pPr>
        <w:rPr>
          <w:bCs/>
        </w:rPr>
      </w:pPr>
    </w:p>
    <w:p w:rsidR="005205D2" w:rsidRDefault="005205D2">
      <w:pPr>
        <w:rPr>
          <w:bCs/>
        </w:rPr>
      </w:pPr>
      <w:r>
        <w:rPr>
          <w:bCs/>
        </w:rPr>
        <w:t>ETA has developed a process for validating data submitted by states and grantees.  Data validation consists of two parts:</w:t>
      </w:r>
    </w:p>
    <w:p w:rsidR="005205D2" w:rsidRDefault="005205D2"/>
    <w:p w:rsidR="005205D2" w:rsidRDefault="005205D2" w:rsidP="007A4535">
      <w:pPr>
        <w:ind w:left="360" w:hanging="360"/>
        <w:rPr>
          <w:b/>
          <w:bCs/>
        </w:rPr>
      </w:pPr>
      <w:r>
        <w:rPr>
          <w:bCs/>
        </w:rPr>
        <w:t>1)</w:t>
      </w:r>
      <w:r>
        <w:rPr>
          <w:bCs/>
        </w:rPr>
        <w:tab/>
      </w:r>
      <w:r>
        <w:rPr>
          <w:b/>
          <w:bCs/>
        </w:rPr>
        <w:t>Report validation</w:t>
      </w:r>
      <w:r>
        <w:rPr>
          <w:bCs/>
        </w:rPr>
        <w:t xml:space="preserve"> evaluates the validity of aggregate reports submitted to ETA </w:t>
      </w:r>
      <w:r w:rsidR="007A4535">
        <w:rPr>
          <w:bCs/>
        </w:rPr>
        <w:t>by using EDRVS to automatically generate the state-level aggregate reports based on the state’s certified individual record files submitted to EDRVS and the performance reporting specifications for the quarterly and annual reports</w:t>
      </w:r>
      <w:r>
        <w:t xml:space="preserve">.  Report validation </w:t>
      </w:r>
      <w:r w:rsidR="007A4535">
        <w:t>under EDRVS is implicit as states no longer generate their own reports.  Rather, EDRVS does that automatically, based on state certified individual record file submissions</w:t>
      </w:r>
      <w:r>
        <w:t xml:space="preserve">.  </w:t>
      </w:r>
    </w:p>
    <w:p w:rsidR="005205D2" w:rsidRDefault="005205D2">
      <w:pPr>
        <w:rPr>
          <w:b/>
          <w:bCs/>
        </w:rPr>
      </w:pPr>
    </w:p>
    <w:p w:rsidR="005205D2" w:rsidRPr="00DB21CD" w:rsidRDefault="005205D2" w:rsidP="00DB21CD">
      <w:pPr>
        <w:numPr>
          <w:ilvl w:val="0"/>
          <w:numId w:val="4"/>
        </w:numPr>
        <w:tabs>
          <w:tab w:val="left" w:pos="432"/>
        </w:tabs>
        <w:rPr>
          <w:bCs/>
        </w:rPr>
      </w:pPr>
      <w:r>
        <w:rPr>
          <w:b/>
          <w:bCs/>
        </w:rPr>
        <w:t>Data element validation</w:t>
      </w:r>
      <w:r>
        <w:rPr>
          <w:bCs/>
        </w:rPr>
        <w:t xml:space="preserve"> </w:t>
      </w:r>
      <w:r w:rsidR="00DB21CD">
        <w:rPr>
          <w:bCs/>
        </w:rPr>
        <w:t xml:space="preserve">exists for use as a management tool such that it </w:t>
      </w:r>
      <w:r w:rsidR="00A769BA">
        <w:rPr>
          <w:bCs/>
        </w:rPr>
        <w:t>appraises</w:t>
      </w:r>
      <w:r>
        <w:rPr>
          <w:bCs/>
        </w:rPr>
        <w:t xml:space="preserve"> the accuracy of participant data records</w:t>
      </w:r>
      <w:r>
        <w:t>.  Data element validation is conducted by</w:t>
      </w:r>
      <w:r w:rsidR="007F3330">
        <w:t xml:space="preserve"> manually</w:t>
      </w:r>
      <w:r>
        <w:t xml:space="preserve"> reviewing samples of participant records </w:t>
      </w:r>
      <w:r w:rsidR="0012023D">
        <w:t xml:space="preserve">with respect to </w:t>
      </w:r>
      <w:r w:rsidR="00A769BA">
        <w:t>their underlying</w:t>
      </w:r>
      <w:r>
        <w:t xml:space="preserve"> source documentation </w:t>
      </w:r>
      <w:r w:rsidR="00A769BA">
        <w:t xml:space="preserve">in an effort to </w:t>
      </w:r>
      <w:r w:rsidR="00336FC1">
        <w:t xml:space="preserve">(1) </w:t>
      </w:r>
      <w:r w:rsidR="00A769BA">
        <w:t>underwrite the accuracy of the data contained in the states’ and grantees’ management information systems</w:t>
      </w:r>
      <w:r w:rsidR="00336FC1">
        <w:t xml:space="preserve"> and (2)</w:t>
      </w:r>
      <w:r w:rsidR="00A769BA">
        <w:t xml:space="preserve"> to affirm</w:t>
      </w:r>
      <w:r>
        <w:t xml:space="preserve"> compliance with </w:t>
      </w:r>
      <w:r w:rsidR="00A769BA">
        <w:t>program</w:t>
      </w:r>
      <w:r w:rsidR="00336FC1">
        <w:t>-</w:t>
      </w:r>
      <w:r w:rsidR="00A769BA">
        <w:lastRenderedPageBreak/>
        <w:t xml:space="preserve">specific </w:t>
      </w:r>
      <w:r>
        <w:t>Federal definitions.</w:t>
      </w:r>
      <w:r w:rsidR="00DB21CD">
        <w:t xml:space="preserve">  The results of data element validation are utilized to identify areas on which to focus system resources in order </w:t>
      </w:r>
      <w:r w:rsidR="006A3DC5">
        <w:t xml:space="preserve">to </w:t>
      </w:r>
      <w:r w:rsidR="00DB21CD">
        <w:t>systematically improve program management over time.</w:t>
      </w:r>
    </w:p>
    <w:p w:rsidR="00DB21CD" w:rsidRDefault="00DB21CD" w:rsidP="00DB21CD">
      <w:pPr>
        <w:tabs>
          <w:tab w:val="left" w:pos="432"/>
        </w:tabs>
        <w:rPr>
          <w:bCs/>
        </w:rPr>
      </w:pPr>
    </w:p>
    <w:p w:rsidR="005205D2" w:rsidRDefault="00A769BA">
      <w:r>
        <w:rPr>
          <w:bCs/>
        </w:rPr>
        <w:t>This approach addresses the</w:t>
      </w:r>
      <w:r w:rsidR="005205D2">
        <w:rPr>
          <w:bCs/>
        </w:rPr>
        <w:t xml:space="preserve"> two </w:t>
      </w:r>
      <w:r>
        <w:rPr>
          <w:bCs/>
        </w:rPr>
        <w:t xml:space="preserve">fundamental </w:t>
      </w:r>
      <w:r w:rsidR="004A4757">
        <w:rPr>
          <w:bCs/>
        </w:rPr>
        <w:t>sources</w:t>
      </w:r>
      <w:r>
        <w:rPr>
          <w:bCs/>
        </w:rPr>
        <w:t xml:space="preserve"> of reporting error</w:t>
      </w:r>
      <w:r w:rsidR="00336FC1">
        <w:rPr>
          <w:bCs/>
        </w:rPr>
        <w:t>s</w:t>
      </w:r>
      <w:r>
        <w:rPr>
          <w:bCs/>
        </w:rPr>
        <w:t xml:space="preserve"> </w:t>
      </w:r>
      <w:r w:rsidR="003E1421">
        <w:rPr>
          <w:bCs/>
        </w:rPr>
        <w:t xml:space="preserve">within ETA </w:t>
      </w:r>
      <w:r>
        <w:rPr>
          <w:bCs/>
        </w:rPr>
        <w:t>program data</w:t>
      </w:r>
      <w:r w:rsidR="00336FC1">
        <w:rPr>
          <w:bCs/>
        </w:rPr>
        <w:t>:</w:t>
      </w:r>
      <w:r>
        <w:rPr>
          <w:bCs/>
        </w:rPr>
        <w:t xml:space="preserve"> </w:t>
      </w:r>
      <w:r w:rsidR="006A3DC5">
        <w:rPr>
          <w:bCs/>
        </w:rPr>
        <w:t xml:space="preserve"> </w:t>
      </w:r>
      <w:r>
        <w:rPr>
          <w:bCs/>
        </w:rPr>
        <w:t xml:space="preserve">data entry error </w:t>
      </w:r>
      <w:r w:rsidR="003E1421">
        <w:rPr>
          <w:bCs/>
        </w:rPr>
        <w:t>and inaccurate computation of the required aggregate reports at the state and grantee level</w:t>
      </w:r>
      <w:r>
        <w:rPr>
          <w:bCs/>
        </w:rPr>
        <w:t xml:space="preserve">.  </w:t>
      </w:r>
      <w:r w:rsidR="003E1421">
        <w:rPr>
          <w:bCs/>
        </w:rPr>
        <w:t>I</w:t>
      </w:r>
      <w:r w:rsidR="005205D2">
        <w:t>f the data collected are</w:t>
      </w:r>
      <w:r w:rsidR="003E1421">
        <w:t xml:space="preserve"> systematically</w:t>
      </w:r>
      <w:r w:rsidR="005205D2">
        <w:t xml:space="preserve"> incorrect or data entry errors </w:t>
      </w:r>
      <w:r w:rsidR="003E1421">
        <w:t xml:space="preserve">routinely </w:t>
      </w:r>
      <w:r w:rsidR="005205D2">
        <w:t>occur, then the outcome</w:t>
      </w:r>
      <w:r w:rsidR="003E1421">
        <w:t>s</w:t>
      </w:r>
      <w:r w:rsidR="005205D2">
        <w:t xml:space="preserve"> information will not be accurate</w:t>
      </w:r>
      <w:r w:rsidR="003E1421">
        <w:t xml:space="preserve"> even </w:t>
      </w:r>
      <w:r w:rsidR="007A4535">
        <w:t>though EDRVS is used to produce the aggregate reports</w:t>
      </w:r>
      <w:r w:rsidR="005205D2">
        <w:t xml:space="preserve">.  </w:t>
      </w:r>
      <w:r w:rsidR="003E1421">
        <w:t>D</w:t>
      </w:r>
      <w:r w:rsidR="005205D2">
        <w:t xml:space="preserve">ata element validation addresses this issue by comparing performance-related data in each state’s participant record file to the original data in the source files and determining an error rate that indicates the degree of accuracy of each data element used in calculating the state’s performance results.  </w:t>
      </w:r>
      <w:r w:rsidR="007A4535">
        <w:t>As well, EDRVS uses the state’s individual record file submissions to automatically generate the aggregate quarterly and annual reports</w:t>
      </w:r>
      <w:r w:rsidR="005205D2">
        <w:t xml:space="preserve">.  </w:t>
      </w:r>
      <w:r w:rsidR="00B33EEB">
        <w:t>States must certify that the reports accurately reflect their program participants before the e</w:t>
      </w:r>
      <w:r w:rsidR="005205D2">
        <w:t>rror rates are determined for each performance outcome reported by the state.</w:t>
      </w:r>
      <w:r w:rsidR="00B33EEB">
        <w:t xml:space="preserve">  </w:t>
      </w:r>
      <w:r w:rsidR="005205D2">
        <w:t xml:space="preserve">  </w:t>
      </w:r>
    </w:p>
    <w:p w:rsidR="005205D2" w:rsidRDefault="005205D2">
      <w:pPr>
        <w:rPr>
          <w:b/>
          <w:bCs/>
        </w:rPr>
      </w:pPr>
    </w:p>
    <w:p w:rsidR="005205D2" w:rsidRDefault="005205D2">
      <w:r>
        <w:t xml:space="preserve">ETA </w:t>
      </w:r>
      <w:r w:rsidR="00F1193F">
        <w:t>maintains</w:t>
      </w:r>
      <w:r w:rsidR="00457DD5">
        <w:t xml:space="preserve"> </w:t>
      </w:r>
      <w:r w:rsidR="00B33EEB">
        <w:t>the software and requires that states use it for program reporting and validation</w:t>
      </w:r>
      <w:r>
        <w:t>.</w:t>
      </w:r>
      <w:r w:rsidR="00B24A69">
        <w:t xml:space="preserve">  While the software is upda</w:t>
      </w:r>
      <w:r w:rsidR="00B33EEB">
        <w:t xml:space="preserve">ted on a rolling basis, per any changes to the reporting requirements or </w:t>
      </w:r>
      <w:r w:rsidR="000232A7">
        <w:t>to fix software bugs</w:t>
      </w:r>
      <w:r w:rsidR="00B24A69">
        <w:t xml:space="preserve">, the mechanics of the system with regard to the </w:t>
      </w:r>
      <w:r w:rsidR="000232A7">
        <w:t xml:space="preserve">general </w:t>
      </w:r>
      <w:r w:rsidR="00B24A69">
        <w:t xml:space="preserve">data collection, instructions for using the software and required data elements remain exactly the same as they were </w:t>
      </w:r>
      <w:r w:rsidR="000232A7">
        <w:t>under</w:t>
      </w:r>
      <w:r w:rsidR="00B24A69">
        <w:t xml:space="preserve"> the previous collection</w:t>
      </w:r>
      <w:r w:rsidR="000232A7">
        <w:t xml:space="preserve"> authorization.</w:t>
      </w:r>
    </w:p>
    <w:p w:rsidR="005205D2" w:rsidRDefault="005205D2"/>
    <w:p w:rsidR="005205D2" w:rsidRDefault="005205D2">
      <w:pPr>
        <w:pStyle w:val="BodyText"/>
        <w:rPr>
          <w:bCs/>
          <w:color w:val="auto"/>
        </w:rPr>
      </w:pPr>
      <w:r>
        <w:rPr>
          <w:color w:val="auto"/>
        </w:rPr>
        <w:t>W</w:t>
      </w:r>
      <w:r w:rsidR="005C3919">
        <w:rPr>
          <w:color w:val="auto"/>
        </w:rPr>
        <w:t>IA Title I</w:t>
      </w:r>
      <w:r w:rsidR="004A4757">
        <w:rPr>
          <w:color w:val="auto"/>
        </w:rPr>
        <w:t xml:space="preserve">B, Wagner-Peyser, TAA, </w:t>
      </w:r>
      <w:r w:rsidR="005C3919">
        <w:rPr>
          <w:color w:val="auto"/>
        </w:rPr>
        <w:t xml:space="preserve">NFJP </w:t>
      </w:r>
      <w:r w:rsidR="004A4757">
        <w:rPr>
          <w:color w:val="auto"/>
        </w:rPr>
        <w:t xml:space="preserve">and SCSEP </w:t>
      </w:r>
      <w:r>
        <w:rPr>
          <w:color w:val="auto"/>
        </w:rPr>
        <w:t xml:space="preserve">program staff have been conducting data validation for </w:t>
      </w:r>
      <w:r w:rsidR="00457DD5">
        <w:rPr>
          <w:color w:val="auto"/>
        </w:rPr>
        <w:t>several years</w:t>
      </w:r>
      <w:r>
        <w:rPr>
          <w:color w:val="auto"/>
        </w:rPr>
        <w:t xml:space="preserve">.  </w:t>
      </w:r>
      <w:r w:rsidR="00457DD5">
        <w:rPr>
          <w:color w:val="auto"/>
        </w:rPr>
        <w:t xml:space="preserve">Program </w:t>
      </w:r>
      <w:proofErr w:type="gramStart"/>
      <w:r w:rsidR="00457DD5">
        <w:rPr>
          <w:color w:val="auto"/>
        </w:rPr>
        <w:t>staff</w:t>
      </w:r>
      <w:r>
        <w:rPr>
          <w:color w:val="auto"/>
        </w:rPr>
        <w:t xml:space="preserve"> </w:t>
      </w:r>
      <w:r w:rsidR="00457DD5">
        <w:rPr>
          <w:color w:val="auto"/>
        </w:rPr>
        <w:t>r</w:t>
      </w:r>
      <w:r>
        <w:rPr>
          <w:color w:val="auto"/>
        </w:rPr>
        <w:t xml:space="preserve">eceived training prior </w:t>
      </w:r>
      <w:r w:rsidR="00457DD5">
        <w:rPr>
          <w:color w:val="auto"/>
        </w:rPr>
        <w:t>to the implementation of data</w:t>
      </w:r>
      <w:r>
        <w:rPr>
          <w:color w:val="auto"/>
        </w:rPr>
        <w:t xml:space="preserve"> validation and </w:t>
      </w:r>
      <w:r w:rsidR="00457DD5">
        <w:rPr>
          <w:color w:val="auto"/>
        </w:rPr>
        <w:t>continue</w:t>
      </w:r>
      <w:proofErr w:type="gramEnd"/>
      <w:r w:rsidR="00457DD5">
        <w:rPr>
          <w:color w:val="auto"/>
        </w:rPr>
        <w:t xml:space="preserve"> to </w:t>
      </w:r>
      <w:r>
        <w:rPr>
          <w:color w:val="auto"/>
        </w:rPr>
        <w:t xml:space="preserve">receive ongoing training and technical assistance from ETA’s data validation contractor throughout the validation process.  </w:t>
      </w:r>
    </w:p>
    <w:p w:rsidR="005205D2" w:rsidRDefault="005205D2"/>
    <w:p w:rsidR="005205D2" w:rsidRDefault="0001430D">
      <w:r>
        <w:t>Previous</w:t>
      </w:r>
      <w:r w:rsidR="005C3919">
        <w:t xml:space="preserve"> experience with data validation has</w:t>
      </w:r>
      <w:r w:rsidR="005205D2">
        <w:t xml:space="preserve"> indicated the following:</w:t>
      </w:r>
    </w:p>
    <w:p w:rsidR="005205D2" w:rsidRDefault="005205D2">
      <w:pPr>
        <w:widowControl w:val="0"/>
        <w:numPr>
          <w:ilvl w:val="0"/>
          <w:numId w:val="5"/>
        </w:numPr>
        <w:autoSpaceDE w:val="0"/>
        <w:autoSpaceDN w:val="0"/>
        <w:adjustRightInd w:val="0"/>
      </w:pPr>
      <w:r>
        <w:t>States and grantees are able to conduct data validation with a reasonable, but sustained, level of effort</w:t>
      </w:r>
      <w:r>
        <w:rPr>
          <w:i/>
        </w:rPr>
        <w:t>.</w:t>
      </w:r>
    </w:p>
    <w:p w:rsidR="005205D2" w:rsidRDefault="005205D2">
      <w:pPr>
        <w:widowControl w:val="0"/>
        <w:numPr>
          <w:ilvl w:val="0"/>
          <w:numId w:val="5"/>
        </w:numPr>
        <w:autoSpaceDE w:val="0"/>
        <w:autoSpaceDN w:val="0"/>
        <w:adjustRightInd w:val="0"/>
      </w:pPr>
      <w:r>
        <w:t>The validation process allows states and grantees to identify and address reporting errors.</w:t>
      </w:r>
    </w:p>
    <w:p w:rsidR="005205D2" w:rsidRPr="004257D6" w:rsidRDefault="005205D2" w:rsidP="00C4677F">
      <w:pPr>
        <w:widowControl w:val="0"/>
        <w:numPr>
          <w:ilvl w:val="0"/>
          <w:numId w:val="5"/>
        </w:numPr>
        <w:autoSpaceDE w:val="0"/>
        <w:autoSpaceDN w:val="0"/>
        <w:adjustRightInd w:val="0"/>
        <w:rPr>
          <w:bCs/>
        </w:rPr>
      </w:pPr>
      <w:r>
        <w:t xml:space="preserve">The average staff requirements for a state to complete validation for the WIA Title IB, Wagner-Peyser, and TAA programs are about </w:t>
      </w:r>
      <w:r w:rsidRPr="00CC0089">
        <w:t>792 hours per year</w:t>
      </w:r>
      <w:r>
        <w:t xml:space="preserve"> (or less than 1/2 of a staff year).  Ther</w:t>
      </w:r>
      <w:r w:rsidR="00760370">
        <w:t xml:space="preserve">e is no startup burden </w:t>
      </w:r>
      <w:r>
        <w:t xml:space="preserve">for these programs because </w:t>
      </w:r>
      <w:r w:rsidR="0001430D">
        <w:t>it</w:t>
      </w:r>
      <w:r>
        <w:t xml:space="preserve"> was incurred </w:t>
      </w:r>
      <w:r w:rsidR="0001430D">
        <w:t>upon initial implementation</w:t>
      </w:r>
      <w:r>
        <w:t>.  The average annual time estimate for NFJP</w:t>
      </w:r>
      <w:r w:rsidR="001A6648">
        <w:t xml:space="preserve"> and SCSEP</w:t>
      </w:r>
      <w:r>
        <w:t xml:space="preserve"> grantees to complete validation is app</w:t>
      </w:r>
      <w:r w:rsidR="001A6648">
        <w:t>roximately 161</w:t>
      </w:r>
      <w:r w:rsidR="00C4677F">
        <w:t xml:space="preserve"> hours (approximately </w:t>
      </w:r>
      <w:r>
        <w:t xml:space="preserve">1/20 of a staff year).  </w:t>
      </w:r>
    </w:p>
    <w:p w:rsidR="004257D6" w:rsidRPr="00C4677F" w:rsidRDefault="000C0E5E" w:rsidP="00C4677F">
      <w:pPr>
        <w:widowControl w:val="0"/>
        <w:numPr>
          <w:ilvl w:val="0"/>
          <w:numId w:val="5"/>
        </w:numPr>
        <w:autoSpaceDE w:val="0"/>
        <w:autoSpaceDN w:val="0"/>
        <w:adjustRightInd w:val="0"/>
        <w:rPr>
          <w:bCs/>
        </w:rPr>
      </w:pPr>
      <w:r>
        <w:rPr>
          <w:bCs/>
        </w:rPr>
        <w:t xml:space="preserve">Changes to the </w:t>
      </w:r>
      <w:r w:rsidR="00B33EEB">
        <w:rPr>
          <w:bCs/>
        </w:rPr>
        <w:t>E</w:t>
      </w:r>
      <w:r>
        <w:rPr>
          <w:bCs/>
        </w:rPr>
        <w:t xml:space="preserve">DRVS software are </w:t>
      </w:r>
      <w:r w:rsidR="00B33EEB">
        <w:rPr>
          <w:bCs/>
        </w:rPr>
        <w:t>continuous</w:t>
      </w:r>
      <w:r>
        <w:rPr>
          <w:bCs/>
        </w:rPr>
        <w:t xml:space="preserve">.  This results from </w:t>
      </w:r>
      <w:r w:rsidR="00B33EEB">
        <w:rPr>
          <w:bCs/>
        </w:rPr>
        <w:t>changes in program legislation and required data elements, as well as,</w:t>
      </w:r>
      <w:r w:rsidR="005438C1">
        <w:rPr>
          <w:bCs/>
        </w:rPr>
        <w:t xml:space="preserve"> in the </w:t>
      </w:r>
      <w:r w:rsidR="00B33EEB">
        <w:rPr>
          <w:bCs/>
        </w:rPr>
        <w:t>E</w:t>
      </w:r>
      <w:r w:rsidR="005438C1">
        <w:rPr>
          <w:bCs/>
        </w:rPr>
        <w:t xml:space="preserve">DRVS itself.  </w:t>
      </w:r>
    </w:p>
    <w:p w:rsidR="00C4677F" w:rsidRDefault="00C4677F" w:rsidP="00C4677F">
      <w:pPr>
        <w:widowControl w:val="0"/>
        <w:autoSpaceDE w:val="0"/>
        <w:autoSpaceDN w:val="0"/>
        <w:adjustRightInd w:val="0"/>
        <w:rPr>
          <w:bCs/>
        </w:rPr>
      </w:pPr>
    </w:p>
    <w:p w:rsidR="005438C1" w:rsidRDefault="005205D2">
      <w:pPr>
        <w:widowControl w:val="0"/>
        <w:autoSpaceDE w:val="0"/>
        <w:autoSpaceDN w:val="0"/>
        <w:adjustRightInd w:val="0"/>
        <w:rPr>
          <w:bCs/>
        </w:rPr>
      </w:pPr>
      <w:r>
        <w:rPr>
          <w:bCs/>
        </w:rPr>
        <w:t xml:space="preserve">On the basis of </w:t>
      </w:r>
      <w:r w:rsidR="00C4677F">
        <w:rPr>
          <w:bCs/>
        </w:rPr>
        <w:t>the significant benefits of data validation along with its minimal burden going forward</w:t>
      </w:r>
      <w:r w:rsidR="005236AB">
        <w:rPr>
          <w:bCs/>
        </w:rPr>
        <w:t>, ETA seeks</w:t>
      </w:r>
      <w:r>
        <w:rPr>
          <w:bCs/>
        </w:rPr>
        <w:t xml:space="preserve"> to extend the </w:t>
      </w:r>
      <w:r w:rsidR="000232A7">
        <w:rPr>
          <w:bCs/>
        </w:rPr>
        <w:t xml:space="preserve">existing </w:t>
      </w:r>
      <w:r>
        <w:rPr>
          <w:bCs/>
        </w:rPr>
        <w:t xml:space="preserve">data validation requirement for employment and training programs.  </w:t>
      </w:r>
    </w:p>
    <w:p w:rsidR="000B50C2" w:rsidRDefault="000B50C2">
      <w:pPr>
        <w:widowControl w:val="0"/>
        <w:autoSpaceDE w:val="0"/>
        <w:autoSpaceDN w:val="0"/>
        <w:adjustRightInd w:val="0"/>
      </w:pPr>
    </w:p>
    <w:p w:rsidR="005205D2" w:rsidRDefault="00C4677F">
      <w:pPr>
        <w:widowControl w:val="0"/>
        <w:autoSpaceDE w:val="0"/>
        <w:autoSpaceDN w:val="0"/>
        <w:adjustRightInd w:val="0"/>
      </w:pPr>
      <w:r>
        <w:t>Currently, d</w:t>
      </w:r>
      <w:r w:rsidR="005205D2">
        <w:t>ata validation is required annually as follows:</w:t>
      </w:r>
    </w:p>
    <w:p w:rsidR="005205D2" w:rsidRDefault="005205D2">
      <w:pPr>
        <w:numPr>
          <w:ilvl w:val="0"/>
          <w:numId w:val="14"/>
        </w:numPr>
      </w:pPr>
      <w:r>
        <w:rPr>
          <w:b/>
        </w:rPr>
        <w:t>Report validation</w:t>
      </w:r>
      <w:r>
        <w:t xml:space="preserve"> </w:t>
      </w:r>
      <w:proofErr w:type="gramStart"/>
      <w:r w:rsidR="00B33EEB">
        <w:t>is conducted</w:t>
      </w:r>
      <w:proofErr w:type="gramEnd"/>
      <w:r w:rsidR="00B33EEB">
        <w:t xml:space="preserve"> by EDRVS automatically at every file upload via the use of the software to generate the quarterly and annual reports</w:t>
      </w:r>
      <w:r>
        <w:t xml:space="preserve">.   </w:t>
      </w:r>
    </w:p>
    <w:p w:rsidR="005205D2" w:rsidRDefault="005205D2">
      <w:pPr>
        <w:numPr>
          <w:ilvl w:val="0"/>
          <w:numId w:val="14"/>
        </w:numPr>
      </w:pPr>
      <w:r>
        <w:rPr>
          <w:b/>
        </w:rPr>
        <w:t>Data element validation</w:t>
      </w:r>
      <w:r>
        <w:t xml:space="preserve"> </w:t>
      </w:r>
      <w:proofErr w:type="gramStart"/>
      <w:r>
        <w:t>must be completed</w:t>
      </w:r>
      <w:proofErr w:type="gramEnd"/>
      <w:r>
        <w:t xml:space="preserve"> within 120 days after required annual reports o</w:t>
      </w:r>
      <w:r w:rsidR="00737D6A">
        <w:t>r participant records are due at</w:t>
      </w:r>
      <w:r>
        <w:t xml:space="preserve"> ETA.  Exact deadlines for the completion of data validation vary by program. </w:t>
      </w:r>
    </w:p>
    <w:p w:rsidR="005205D2" w:rsidRDefault="005205D2"/>
    <w:p w:rsidR="005205D2" w:rsidRDefault="005205D2">
      <w:pPr>
        <w:numPr>
          <w:ilvl w:val="0"/>
          <w:numId w:val="14"/>
        </w:numPr>
      </w:pPr>
      <w:r>
        <w:t xml:space="preserve">States and grantees are required to send data element validation output reports to ETA within 120 days after </w:t>
      </w:r>
      <w:r w:rsidR="001F047B">
        <w:t xml:space="preserve">they submit </w:t>
      </w:r>
      <w:r>
        <w:t xml:space="preserve">required annual reports or participant records.  </w:t>
      </w:r>
    </w:p>
    <w:p w:rsidR="00B974AC" w:rsidRDefault="00B974AC"/>
    <w:p w:rsidR="005205D2" w:rsidRDefault="00B974AC">
      <w:r>
        <w:t>S</w:t>
      </w:r>
      <w:r w:rsidR="005205D2">
        <w:t xml:space="preserve">tates and </w:t>
      </w:r>
      <w:r>
        <w:t xml:space="preserve">the following </w:t>
      </w:r>
      <w:r w:rsidR="005205D2">
        <w:t xml:space="preserve">grantees </w:t>
      </w:r>
      <w:r w:rsidR="001A6648">
        <w:t xml:space="preserve">use </w:t>
      </w:r>
      <w:r w:rsidR="00996419">
        <w:t>E</w:t>
      </w:r>
      <w:r w:rsidR="001A6648">
        <w:t xml:space="preserve">DRVS to </w:t>
      </w:r>
      <w:r w:rsidR="005205D2">
        <w:t>validate the reports and participant records shown in Table 1 below.</w:t>
      </w:r>
    </w:p>
    <w:p w:rsidR="00D14DCE" w:rsidRDefault="00D14DCE"/>
    <w:p w:rsidR="005205D2" w:rsidRPr="009A374D" w:rsidRDefault="005205D2">
      <w:pPr>
        <w:pStyle w:val="Heading4"/>
        <w:rPr>
          <w:sz w:val="22"/>
          <w:szCs w:val="22"/>
        </w:rPr>
      </w:pPr>
      <w:r w:rsidRPr="009A374D">
        <w:rPr>
          <w:sz w:val="22"/>
          <w:szCs w:val="22"/>
        </w:rPr>
        <w:t>Table 1 – Reports and Participant Record Files Validated</w:t>
      </w:r>
    </w:p>
    <w:p w:rsidR="005205D2" w:rsidRDefault="005205D2">
      <w:pPr>
        <w:jc w:val="center"/>
        <w:rPr>
          <w:b/>
          <w:bCs/>
        </w:rPr>
      </w:pP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2"/>
        <w:gridCol w:w="2700"/>
        <w:gridCol w:w="1656"/>
      </w:tblGrid>
      <w:tr w:rsidR="008A7A94" w:rsidTr="008A7A94">
        <w:trPr>
          <w:jc w:val="center"/>
        </w:trPr>
        <w:tc>
          <w:tcPr>
            <w:tcW w:w="3492" w:type="dxa"/>
            <w:shd w:val="clear" w:color="auto" w:fill="C0C0C0"/>
            <w:vAlign w:val="center"/>
          </w:tcPr>
          <w:p w:rsidR="008A7A94" w:rsidRDefault="008A7A94" w:rsidP="00E16A48">
            <w:pPr>
              <w:jc w:val="center"/>
              <w:rPr>
                <w:sz w:val="22"/>
                <w:szCs w:val="22"/>
              </w:rPr>
            </w:pPr>
            <w:r>
              <w:t xml:space="preserve">   </w:t>
            </w:r>
            <w:r>
              <w:rPr>
                <w:sz w:val="22"/>
                <w:szCs w:val="22"/>
              </w:rPr>
              <w:t>Program</w:t>
            </w:r>
          </w:p>
        </w:tc>
        <w:tc>
          <w:tcPr>
            <w:tcW w:w="2700" w:type="dxa"/>
            <w:shd w:val="clear" w:color="auto" w:fill="C0C0C0"/>
            <w:vAlign w:val="center"/>
          </w:tcPr>
          <w:p w:rsidR="008A7A94" w:rsidRDefault="008A7A94" w:rsidP="00E16A48">
            <w:pPr>
              <w:jc w:val="center"/>
              <w:rPr>
                <w:sz w:val="22"/>
                <w:szCs w:val="22"/>
              </w:rPr>
            </w:pPr>
            <w:r>
              <w:rPr>
                <w:sz w:val="22"/>
                <w:szCs w:val="22"/>
              </w:rPr>
              <w:t>Report/Records</w:t>
            </w:r>
          </w:p>
        </w:tc>
        <w:tc>
          <w:tcPr>
            <w:tcW w:w="1656" w:type="dxa"/>
            <w:shd w:val="clear" w:color="auto" w:fill="C0C0C0"/>
          </w:tcPr>
          <w:p w:rsidR="008A7A94" w:rsidRDefault="008A7A94" w:rsidP="00E16A48">
            <w:pPr>
              <w:jc w:val="center"/>
              <w:rPr>
                <w:sz w:val="22"/>
                <w:szCs w:val="22"/>
              </w:rPr>
            </w:pPr>
            <w:r>
              <w:rPr>
                <w:sz w:val="22"/>
                <w:szCs w:val="22"/>
              </w:rPr>
              <w:t>OMB Approval No.</w:t>
            </w:r>
          </w:p>
        </w:tc>
      </w:tr>
      <w:tr w:rsidR="008A7A94" w:rsidTr="008A7A94">
        <w:trPr>
          <w:trHeight w:val="360"/>
          <w:jc w:val="center"/>
        </w:trPr>
        <w:tc>
          <w:tcPr>
            <w:tcW w:w="3492" w:type="dxa"/>
            <w:vAlign w:val="center"/>
          </w:tcPr>
          <w:p w:rsidR="008A7A94" w:rsidRDefault="008A7A94" w:rsidP="00E16A48">
            <w:pPr>
              <w:rPr>
                <w:b/>
                <w:sz w:val="22"/>
                <w:szCs w:val="22"/>
              </w:rPr>
            </w:pPr>
            <w:r>
              <w:rPr>
                <w:b/>
                <w:sz w:val="22"/>
                <w:szCs w:val="22"/>
              </w:rPr>
              <w:t>Workforce Investment Act Title IB</w:t>
            </w:r>
          </w:p>
        </w:tc>
        <w:tc>
          <w:tcPr>
            <w:tcW w:w="2700" w:type="dxa"/>
            <w:vAlign w:val="center"/>
          </w:tcPr>
          <w:p w:rsidR="008A7A94" w:rsidRDefault="008A7A94" w:rsidP="00E16A48">
            <w:pPr>
              <w:jc w:val="center"/>
              <w:rPr>
                <w:sz w:val="22"/>
                <w:szCs w:val="22"/>
              </w:rPr>
            </w:pPr>
            <w:r>
              <w:rPr>
                <w:sz w:val="22"/>
                <w:szCs w:val="22"/>
              </w:rPr>
              <w:t>ETA 9091 (annual report)</w:t>
            </w:r>
          </w:p>
        </w:tc>
        <w:tc>
          <w:tcPr>
            <w:tcW w:w="1656" w:type="dxa"/>
            <w:vAlign w:val="center"/>
          </w:tcPr>
          <w:p w:rsidR="008A7A94" w:rsidRDefault="008A7A94" w:rsidP="00E16A48">
            <w:pPr>
              <w:jc w:val="center"/>
              <w:rPr>
                <w:sz w:val="22"/>
                <w:szCs w:val="22"/>
              </w:rPr>
            </w:pPr>
            <w:r>
              <w:rPr>
                <w:sz w:val="22"/>
                <w:szCs w:val="22"/>
              </w:rPr>
              <w:t>1205-0420</w:t>
            </w:r>
          </w:p>
        </w:tc>
      </w:tr>
      <w:tr w:rsidR="008A7A94" w:rsidTr="008A7A94">
        <w:trPr>
          <w:trHeight w:val="360"/>
          <w:jc w:val="center"/>
        </w:trPr>
        <w:tc>
          <w:tcPr>
            <w:tcW w:w="3492" w:type="dxa"/>
            <w:vAlign w:val="center"/>
          </w:tcPr>
          <w:p w:rsidR="008A7A94" w:rsidRDefault="008A7A94" w:rsidP="00E16A48">
            <w:pPr>
              <w:rPr>
                <w:b/>
                <w:sz w:val="22"/>
                <w:szCs w:val="22"/>
              </w:rPr>
            </w:pPr>
            <w:r>
              <w:rPr>
                <w:b/>
                <w:sz w:val="22"/>
                <w:szCs w:val="22"/>
              </w:rPr>
              <w:t>Wagner-Peyser</w:t>
            </w:r>
          </w:p>
        </w:tc>
        <w:tc>
          <w:tcPr>
            <w:tcW w:w="2700" w:type="dxa"/>
            <w:vAlign w:val="center"/>
          </w:tcPr>
          <w:p w:rsidR="008A7A94" w:rsidRDefault="008A7A94" w:rsidP="00E16A48">
            <w:pPr>
              <w:jc w:val="center"/>
              <w:rPr>
                <w:sz w:val="22"/>
                <w:szCs w:val="22"/>
              </w:rPr>
            </w:pPr>
            <w:r>
              <w:rPr>
                <w:sz w:val="22"/>
                <w:szCs w:val="22"/>
              </w:rPr>
              <w:t>ETA 9002, VETS 200</w:t>
            </w:r>
          </w:p>
        </w:tc>
        <w:tc>
          <w:tcPr>
            <w:tcW w:w="1656" w:type="dxa"/>
            <w:vAlign w:val="center"/>
          </w:tcPr>
          <w:p w:rsidR="008A7A94" w:rsidRDefault="008A7A94" w:rsidP="00E16A48">
            <w:pPr>
              <w:jc w:val="center"/>
              <w:rPr>
                <w:sz w:val="22"/>
                <w:szCs w:val="22"/>
              </w:rPr>
            </w:pPr>
            <w:r>
              <w:rPr>
                <w:sz w:val="22"/>
                <w:szCs w:val="22"/>
              </w:rPr>
              <w:t>1205-0240</w:t>
            </w:r>
          </w:p>
        </w:tc>
      </w:tr>
      <w:tr w:rsidR="008A7A94" w:rsidTr="008A7A94">
        <w:trPr>
          <w:trHeight w:val="360"/>
          <w:jc w:val="center"/>
        </w:trPr>
        <w:tc>
          <w:tcPr>
            <w:tcW w:w="3492" w:type="dxa"/>
            <w:vAlign w:val="center"/>
          </w:tcPr>
          <w:p w:rsidR="008A7A94" w:rsidRDefault="008A7A94" w:rsidP="00E16A48">
            <w:pPr>
              <w:rPr>
                <w:b/>
                <w:sz w:val="22"/>
                <w:szCs w:val="22"/>
              </w:rPr>
            </w:pPr>
            <w:r>
              <w:rPr>
                <w:b/>
                <w:sz w:val="22"/>
                <w:szCs w:val="22"/>
              </w:rPr>
              <w:t>Trade Adjustment Assistance</w:t>
            </w:r>
          </w:p>
        </w:tc>
        <w:tc>
          <w:tcPr>
            <w:tcW w:w="2700" w:type="dxa"/>
            <w:vAlign w:val="center"/>
          </w:tcPr>
          <w:p w:rsidR="008A7A94" w:rsidRDefault="008A7A94" w:rsidP="00E16A48">
            <w:pPr>
              <w:jc w:val="center"/>
              <w:rPr>
                <w:sz w:val="22"/>
                <w:szCs w:val="22"/>
              </w:rPr>
            </w:pPr>
            <w:r>
              <w:rPr>
                <w:sz w:val="22"/>
                <w:szCs w:val="22"/>
              </w:rPr>
              <w:t>TAPR</w:t>
            </w:r>
          </w:p>
        </w:tc>
        <w:tc>
          <w:tcPr>
            <w:tcW w:w="1656" w:type="dxa"/>
            <w:vAlign w:val="center"/>
          </w:tcPr>
          <w:p w:rsidR="008A7A94" w:rsidRDefault="008A7A94" w:rsidP="00E16A48">
            <w:pPr>
              <w:jc w:val="center"/>
              <w:rPr>
                <w:sz w:val="22"/>
                <w:szCs w:val="22"/>
              </w:rPr>
            </w:pPr>
            <w:r>
              <w:rPr>
                <w:sz w:val="22"/>
                <w:szCs w:val="22"/>
              </w:rPr>
              <w:t>1205-0392</w:t>
            </w:r>
          </w:p>
        </w:tc>
      </w:tr>
      <w:tr w:rsidR="008A7A94" w:rsidTr="008A7A94">
        <w:trPr>
          <w:trHeight w:val="360"/>
          <w:jc w:val="center"/>
        </w:trPr>
        <w:tc>
          <w:tcPr>
            <w:tcW w:w="3492" w:type="dxa"/>
            <w:vAlign w:val="center"/>
          </w:tcPr>
          <w:p w:rsidR="008A7A94" w:rsidRDefault="008A7A94" w:rsidP="00E16A48">
            <w:pPr>
              <w:rPr>
                <w:b/>
                <w:sz w:val="22"/>
                <w:szCs w:val="22"/>
              </w:rPr>
            </w:pPr>
            <w:r>
              <w:rPr>
                <w:b/>
                <w:sz w:val="22"/>
                <w:szCs w:val="22"/>
              </w:rPr>
              <w:t>National Farmworker Jobs Program</w:t>
            </w:r>
          </w:p>
        </w:tc>
        <w:tc>
          <w:tcPr>
            <w:tcW w:w="2700" w:type="dxa"/>
            <w:vAlign w:val="center"/>
          </w:tcPr>
          <w:p w:rsidR="008A7A94" w:rsidRDefault="008A7A94" w:rsidP="00E16A48">
            <w:pPr>
              <w:jc w:val="center"/>
              <w:rPr>
                <w:sz w:val="22"/>
                <w:szCs w:val="22"/>
              </w:rPr>
            </w:pPr>
            <w:r>
              <w:rPr>
                <w:sz w:val="22"/>
                <w:szCs w:val="22"/>
              </w:rPr>
              <w:t>WIASPR</w:t>
            </w:r>
          </w:p>
        </w:tc>
        <w:tc>
          <w:tcPr>
            <w:tcW w:w="1656" w:type="dxa"/>
            <w:vAlign w:val="center"/>
          </w:tcPr>
          <w:p w:rsidR="008A7A94" w:rsidRDefault="008A7A94" w:rsidP="00E16A48">
            <w:pPr>
              <w:jc w:val="center"/>
              <w:rPr>
                <w:sz w:val="22"/>
                <w:szCs w:val="22"/>
              </w:rPr>
            </w:pPr>
            <w:r>
              <w:rPr>
                <w:sz w:val="22"/>
                <w:szCs w:val="22"/>
              </w:rPr>
              <w:t>1205-0425</w:t>
            </w:r>
          </w:p>
        </w:tc>
      </w:tr>
      <w:tr w:rsidR="008A7A94" w:rsidTr="008A7A94">
        <w:trPr>
          <w:trHeight w:val="360"/>
          <w:jc w:val="center"/>
        </w:trPr>
        <w:tc>
          <w:tcPr>
            <w:tcW w:w="3492" w:type="dxa"/>
            <w:tcBorders>
              <w:top w:val="single" w:sz="4" w:space="0" w:color="auto"/>
              <w:left w:val="single" w:sz="4" w:space="0" w:color="auto"/>
              <w:bottom w:val="single" w:sz="4" w:space="0" w:color="auto"/>
              <w:right w:val="single" w:sz="4" w:space="0" w:color="auto"/>
            </w:tcBorders>
            <w:vAlign w:val="center"/>
          </w:tcPr>
          <w:p w:rsidR="008A7A94" w:rsidRDefault="008A7A94" w:rsidP="0096146B">
            <w:pPr>
              <w:rPr>
                <w:b/>
                <w:sz w:val="22"/>
                <w:szCs w:val="22"/>
              </w:rPr>
            </w:pPr>
            <w:r>
              <w:rPr>
                <w:b/>
                <w:sz w:val="22"/>
                <w:szCs w:val="22"/>
              </w:rPr>
              <w:t>Senior Community Service Employment Program</w:t>
            </w:r>
          </w:p>
        </w:tc>
        <w:tc>
          <w:tcPr>
            <w:tcW w:w="2700" w:type="dxa"/>
            <w:tcBorders>
              <w:top w:val="single" w:sz="4" w:space="0" w:color="auto"/>
              <w:left w:val="single" w:sz="4" w:space="0" w:color="auto"/>
              <w:bottom w:val="single" w:sz="4" w:space="0" w:color="auto"/>
              <w:right w:val="single" w:sz="4" w:space="0" w:color="auto"/>
            </w:tcBorders>
            <w:vAlign w:val="center"/>
          </w:tcPr>
          <w:p w:rsidR="008A7A94" w:rsidRDefault="008A7A94" w:rsidP="0096146B">
            <w:pPr>
              <w:jc w:val="center"/>
              <w:rPr>
                <w:sz w:val="22"/>
                <w:szCs w:val="22"/>
              </w:rPr>
            </w:pPr>
            <w:r>
              <w:rPr>
                <w:sz w:val="22"/>
                <w:szCs w:val="22"/>
              </w:rPr>
              <w:t>ETA 5140 (annual report)</w:t>
            </w:r>
          </w:p>
        </w:tc>
        <w:tc>
          <w:tcPr>
            <w:tcW w:w="1656" w:type="dxa"/>
            <w:tcBorders>
              <w:top w:val="single" w:sz="4" w:space="0" w:color="auto"/>
              <w:left w:val="single" w:sz="4" w:space="0" w:color="auto"/>
              <w:bottom w:val="single" w:sz="4" w:space="0" w:color="auto"/>
              <w:right w:val="single" w:sz="4" w:space="0" w:color="auto"/>
            </w:tcBorders>
            <w:vAlign w:val="center"/>
          </w:tcPr>
          <w:p w:rsidR="008A7A94" w:rsidRDefault="008A7A94" w:rsidP="0096146B">
            <w:pPr>
              <w:jc w:val="center"/>
              <w:rPr>
                <w:sz w:val="22"/>
                <w:szCs w:val="22"/>
              </w:rPr>
            </w:pPr>
            <w:r>
              <w:rPr>
                <w:sz w:val="22"/>
                <w:szCs w:val="22"/>
              </w:rPr>
              <w:t>1205-0040</w:t>
            </w:r>
          </w:p>
        </w:tc>
      </w:tr>
    </w:tbl>
    <w:p w:rsidR="00C4677F" w:rsidRDefault="00C4677F"/>
    <w:p w:rsidR="005205D2" w:rsidRDefault="005205D2">
      <w:r>
        <w:t>The user handbooks for each program provide a more detailed overview of the validation process.  These are</w:t>
      </w:r>
      <w:r w:rsidR="00BF0AAC">
        <w:t xml:space="preserve"> made</w:t>
      </w:r>
      <w:r>
        <w:t xml:space="preserve"> available</w:t>
      </w:r>
      <w:r w:rsidR="00BF0AAC">
        <w:t xml:space="preserve"> electronically within the EDRVS by click</w:t>
      </w:r>
      <w:r w:rsidR="009B1949">
        <w:t>ing</w:t>
      </w:r>
      <w:r w:rsidR="00BF0AAC">
        <w:t xml:space="preserve"> the help link.  </w:t>
      </w:r>
      <w:r>
        <w:t xml:space="preserve">Training and </w:t>
      </w:r>
      <w:r w:rsidR="00950824">
        <w:t xml:space="preserve">Employment Guidance Letter No. </w:t>
      </w:r>
      <w:r w:rsidR="00BF0AAC">
        <w:t>28-11</w:t>
      </w:r>
      <w:r w:rsidR="007F1BA0">
        <w:t xml:space="preserve"> </w:t>
      </w:r>
      <w:r w:rsidRPr="007F1BA0">
        <w:t xml:space="preserve">outlines ETA’s </w:t>
      </w:r>
      <w:r w:rsidR="00BF0AAC">
        <w:t xml:space="preserve">most recent </w:t>
      </w:r>
      <w:r w:rsidRPr="007F1BA0">
        <w:t>data validation policy</w:t>
      </w:r>
      <w:r w:rsidR="007F1BA0" w:rsidRPr="007F1BA0">
        <w:t>.</w:t>
      </w:r>
    </w:p>
    <w:p w:rsidR="005205D2" w:rsidRDefault="005205D2"/>
    <w:p w:rsidR="005205D2" w:rsidRDefault="005205D2">
      <w:pPr>
        <w:rPr>
          <w:b/>
        </w:rPr>
      </w:pPr>
      <w:r>
        <w:rPr>
          <w:b/>
        </w:rPr>
        <w:t>2. Purpose of Information Collection</w:t>
      </w:r>
    </w:p>
    <w:p w:rsidR="005205D2" w:rsidRDefault="005205D2">
      <w:pPr>
        <w:rPr>
          <w:b/>
        </w:rPr>
      </w:pPr>
    </w:p>
    <w:p w:rsidR="005205D2" w:rsidRDefault="005205D2">
      <w:r>
        <w:t xml:space="preserve">ETA uses data validation results to evaluate the accuracy of data collected and reported to ETA on program activities and outcomes.  This information collection enables ETA to assure its customers, partners, and stakeholders of the validity of performance data </w:t>
      </w:r>
      <w:r w:rsidR="00AA6E36">
        <w:t>underlying the respective programs</w:t>
      </w:r>
      <w:r>
        <w:t xml:space="preserve">.  Further, data validation ensures that performance information used </w:t>
      </w:r>
      <w:r w:rsidR="0015717D">
        <w:t>for WIA accountability purposes</w:t>
      </w:r>
      <w:r>
        <w:t xml:space="preserve"> and to meet Government Performance and Resu</w:t>
      </w:r>
      <w:r w:rsidR="0015717D">
        <w:t>lts Act (GPRA) responsibilities</w:t>
      </w:r>
      <w:r>
        <w:t xml:space="preserve"> are accurate.</w:t>
      </w:r>
    </w:p>
    <w:p w:rsidR="005205D2" w:rsidRDefault="005205D2"/>
    <w:p w:rsidR="005205D2" w:rsidRDefault="005205D2">
      <w:r>
        <w:t>Data validation was also developed with the goal of assisting states and grantees in providing more accurate data.  Validation allows states and grantees to detect and identify specific problems with their reporting processes, including software and data issues, and to enable them to correct the problems.  In addition, the tools developed by ETA help states and grantees analyze the causes of performance successes and failures by displaying participant data organized by performance outcomes.  These tools are available at n</w:t>
      </w:r>
      <w:r w:rsidR="00E73889">
        <w:t>o cost to states and grantees.</w:t>
      </w:r>
    </w:p>
    <w:p w:rsidR="00E73889" w:rsidRDefault="00E73889"/>
    <w:p w:rsidR="00E73889" w:rsidRDefault="00E73889"/>
    <w:p w:rsidR="00E73889" w:rsidRDefault="00E73889">
      <w:pPr>
        <w:rPr>
          <w:bCs/>
        </w:rPr>
      </w:pPr>
    </w:p>
    <w:p w:rsidR="005205D2" w:rsidRDefault="005205D2">
      <w:pPr>
        <w:rPr>
          <w:b/>
        </w:rPr>
      </w:pPr>
      <w:r>
        <w:rPr>
          <w:b/>
        </w:rPr>
        <w:t>3. Technology and Obstacles Affecting Reporting Burden</w:t>
      </w:r>
    </w:p>
    <w:p w:rsidR="005205D2" w:rsidRDefault="005205D2">
      <w:pPr>
        <w:rPr>
          <w:b/>
        </w:rPr>
      </w:pPr>
    </w:p>
    <w:p w:rsidR="005205D2" w:rsidRDefault="005205D2">
      <w:r>
        <w:t xml:space="preserve">ETA knows of no technical obstacles to implementing and continuing data validation.  ETA has developed </w:t>
      </w:r>
      <w:r w:rsidR="00BF0AAC">
        <w:t>new web based</w:t>
      </w:r>
      <w:r>
        <w:t xml:space="preserve"> software that states and grantees </w:t>
      </w:r>
      <w:r w:rsidR="00BF0AAC">
        <w:t>must</w:t>
      </w:r>
      <w:r>
        <w:t xml:space="preserve"> use to conduct data validation:</w:t>
      </w:r>
    </w:p>
    <w:p w:rsidR="005205D2" w:rsidRDefault="005205D2"/>
    <w:p w:rsidR="005205D2" w:rsidRDefault="005205D2">
      <w:pPr>
        <w:numPr>
          <w:ilvl w:val="0"/>
          <w:numId w:val="7"/>
        </w:numPr>
        <w:tabs>
          <w:tab w:val="left" w:pos="432"/>
        </w:tabs>
      </w:pPr>
      <w:r>
        <w:rPr>
          <w:b/>
        </w:rPr>
        <w:t>Software</w:t>
      </w:r>
      <w:r>
        <w:t xml:space="preserve"> developed by ETA generates samples, worksheets, and reports on data accuracy.  For report validation, the software </w:t>
      </w:r>
      <w:r w:rsidR="009B1949">
        <w:t xml:space="preserve">is </w:t>
      </w:r>
      <w:r w:rsidR="00B33EEB">
        <w:t>used to automatically</w:t>
      </w:r>
      <w:r>
        <w:t xml:space="preserve"> </w:t>
      </w:r>
      <w:r w:rsidR="00B33EEB">
        <w:t xml:space="preserve">generate the </w:t>
      </w:r>
      <w:r>
        <w:t xml:space="preserve">aggregate reports that </w:t>
      </w:r>
      <w:r w:rsidR="00B33EEB">
        <w:t>states or grantees must certify</w:t>
      </w:r>
      <w:r>
        <w:t xml:space="preserve">.  For data element validation, the software generates a </w:t>
      </w:r>
      <w:r w:rsidR="0015717D">
        <w:t xml:space="preserve">random </w:t>
      </w:r>
      <w:r>
        <w:t xml:space="preserve">sample of the participant records and data elements for the state or grantee to </w:t>
      </w:r>
      <w:r w:rsidR="0015717D">
        <w:t xml:space="preserve">manually </w:t>
      </w:r>
      <w:r>
        <w:t>validate.  The software produces worksheets on which the validator records information after checking the source documentation in the sampled case files.  The software calculates error rates for each data element, with confidence intervals of 3.5 percent for large states/grantees and 4 percent for small states/grantees.</w:t>
      </w:r>
    </w:p>
    <w:p w:rsidR="005205D2" w:rsidRDefault="005205D2">
      <w:pPr>
        <w:tabs>
          <w:tab w:val="left" w:pos="432"/>
        </w:tabs>
      </w:pPr>
    </w:p>
    <w:p w:rsidR="005205D2" w:rsidRPr="00975DA4" w:rsidRDefault="005205D2" w:rsidP="00BF0AAC">
      <w:pPr>
        <w:numPr>
          <w:ilvl w:val="0"/>
          <w:numId w:val="7"/>
        </w:numPr>
        <w:tabs>
          <w:tab w:val="left" w:pos="432"/>
        </w:tabs>
      </w:pPr>
      <w:r w:rsidRPr="00975DA4">
        <w:rPr>
          <w:b/>
          <w:bCs/>
        </w:rPr>
        <w:t>User handbooks</w:t>
      </w:r>
      <w:r w:rsidRPr="00975DA4">
        <w:t xml:space="preserve"> </w:t>
      </w:r>
      <w:r w:rsidR="00BF0AAC" w:rsidRPr="00975DA4">
        <w:t xml:space="preserve">are provided within the software under the help link and </w:t>
      </w:r>
      <w:r w:rsidRPr="00975DA4">
        <w:t>p</w:t>
      </w:r>
      <w:r w:rsidR="00BF0AAC" w:rsidRPr="00975DA4">
        <w:t xml:space="preserve">rovide detailed information on using the software and completing </w:t>
      </w:r>
      <w:r w:rsidRPr="00975DA4">
        <w:t>data element validation.  The handbooks also explain the validation methodology, including sampling specifications and data element validation instructions for each data element to be validated.</w:t>
      </w:r>
      <w:r w:rsidR="00BF0AAC" w:rsidRPr="00975DA4">
        <w:t xml:space="preserve">  The current handbooks will undergo </w:t>
      </w:r>
      <w:r w:rsidR="00975DA4" w:rsidRPr="00975DA4">
        <w:t>an</w:t>
      </w:r>
      <w:r w:rsidR="00BF0AAC" w:rsidRPr="00975DA4">
        <w:t xml:space="preserve"> iterative revision process as the software is deployed and as states begin to utilize all of the various components.</w:t>
      </w:r>
    </w:p>
    <w:p w:rsidR="00BF0AAC" w:rsidRDefault="00BF0AAC" w:rsidP="00BF0AAC">
      <w:pPr>
        <w:tabs>
          <w:tab w:val="left" w:pos="432"/>
        </w:tabs>
      </w:pPr>
    </w:p>
    <w:p w:rsidR="005205D2" w:rsidRDefault="005205D2">
      <w:r>
        <w:t>Currently, all states and grantees use the software provided by ETA to conduct validation for WIA Title IB, Wagner-Peyser, and TAA</w:t>
      </w:r>
      <w:r w:rsidR="00CE5934">
        <w:t>,</w:t>
      </w:r>
      <w:r>
        <w:t xml:space="preserve"> NFJP</w:t>
      </w:r>
      <w:r w:rsidR="00CE5934">
        <w:t xml:space="preserve"> and SCSEP</w:t>
      </w:r>
      <w:r>
        <w:t>.  States and grantees can obtain technical assistance on validation procedures and the use of the validation tools from ETA’s data validation contractor.</w:t>
      </w:r>
    </w:p>
    <w:p w:rsidR="005205D2" w:rsidRDefault="005205D2"/>
    <w:p w:rsidR="005205D2" w:rsidRDefault="00CE5934">
      <w:r>
        <w:t>The</w:t>
      </w:r>
      <w:r w:rsidR="005205D2">
        <w:t xml:space="preserve"> software can </w:t>
      </w:r>
      <w:r>
        <w:t xml:space="preserve">also </w:t>
      </w:r>
      <w:r w:rsidR="005205D2">
        <w:t xml:space="preserve">be used to generate the aggregate information required in reports submitted to ETA.  States and grantees that use the software provided by ETA to generate this aggregate information are not required to conduct report validation.  However, states still must demonstrate that they used the validation software to calculate their aggregate reports.  </w:t>
      </w:r>
    </w:p>
    <w:p w:rsidR="005205D2" w:rsidRDefault="005205D2"/>
    <w:p w:rsidR="005205D2" w:rsidRDefault="005205D2">
      <w:pPr>
        <w:pStyle w:val="BodyText2"/>
        <w:rPr>
          <w:color w:val="auto"/>
        </w:rPr>
      </w:pPr>
      <w:r>
        <w:rPr>
          <w:color w:val="auto"/>
        </w:rPr>
        <w:t>For both report validation and data element validation, the ETA software uses the validation data provided by the states or grantees to produce validation summary reports which, in compliance with the Government Paperwork Elimination Act, are submitted via the system now used for electronic transmission of reports to ETA.</w:t>
      </w:r>
    </w:p>
    <w:p w:rsidR="005205D2" w:rsidRDefault="005205D2">
      <w:pPr>
        <w:rPr>
          <w:i/>
          <w:highlight w:val="yellow"/>
        </w:rPr>
      </w:pPr>
    </w:p>
    <w:p w:rsidR="005205D2" w:rsidRDefault="005205D2">
      <w:pPr>
        <w:rPr>
          <w:b/>
        </w:rPr>
      </w:pPr>
      <w:r>
        <w:rPr>
          <w:b/>
        </w:rPr>
        <w:t>4. Duplication</w:t>
      </w:r>
    </w:p>
    <w:p w:rsidR="005205D2" w:rsidRDefault="005205D2">
      <w:pPr>
        <w:rPr>
          <w:b/>
        </w:rPr>
      </w:pPr>
    </w:p>
    <w:p w:rsidR="005205D2" w:rsidRDefault="005205D2">
      <w:pPr>
        <w:rPr>
          <w:b/>
        </w:rPr>
      </w:pPr>
      <w:r>
        <w:t>The data validation requirement does not duplicate any existing ETA program.</w:t>
      </w:r>
      <w:r>
        <w:rPr>
          <w:b/>
        </w:rPr>
        <w:t xml:space="preserve">    </w:t>
      </w:r>
    </w:p>
    <w:p w:rsidR="005205D2" w:rsidRDefault="005205D2">
      <w:pPr>
        <w:rPr>
          <w:b/>
        </w:rPr>
      </w:pPr>
    </w:p>
    <w:p w:rsidR="005205D2" w:rsidRDefault="005205D2">
      <w:pPr>
        <w:rPr>
          <w:b/>
        </w:rPr>
      </w:pPr>
      <w:r>
        <w:rPr>
          <w:b/>
        </w:rPr>
        <w:t>5. Burden on Small Business or Other Small Entities</w:t>
      </w:r>
    </w:p>
    <w:p w:rsidR="005205D2" w:rsidRDefault="005205D2">
      <w:pPr>
        <w:rPr>
          <w:b/>
        </w:rPr>
      </w:pPr>
    </w:p>
    <w:p w:rsidR="005205D2" w:rsidRDefault="005205D2">
      <w:r>
        <w:t xml:space="preserve">While data validation </w:t>
      </w:r>
      <w:r w:rsidR="00417802">
        <w:t xml:space="preserve">is </w:t>
      </w:r>
      <w:r>
        <w:t xml:space="preserve">conducted </w:t>
      </w:r>
      <w:r w:rsidR="00417802">
        <w:t xml:space="preserve">mostly </w:t>
      </w:r>
      <w:r>
        <w:t xml:space="preserve">by state governments and large, private, non-profit organizations, some small entities </w:t>
      </w:r>
      <w:r w:rsidR="00417802">
        <w:t xml:space="preserve">are </w:t>
      </w:r>
      <w:r>
        <w:t xml:space="preserve">required to conduct validation.  Some of the grantees operating NFJP </w:t>
      </w:r>
      <w:r w:rsidR="00CE5934">
        <w:t xml:space="preserve">and SCSEP </w:t>
      </w:r>
      <w:r>
        <w:t xml:space="preserve">are small, private, non-profit organizations providing services to a </w:t>
      </w:r>
      <w:r w:rsidR="009B1949">
        <w:t xml:space="preserve">small </w:t>
      </w:r>
      <w:r>
        <w:t xml:space="preserve">number of individuals.  However, because of the low burden estimates associated with data validation for </w:t>
      </w:r>
      <w:r w:rsidR="00CE5934">
        <w:t>these</w:t>
      </w:r>
      <w:r w:rsidR="00857D40">
        <w:t xml:space="preserve"> program</w:t>
      </w:r>
      <w:r w:rsidR="00CE5934">
        <w:t>s</w:t>
      </w:r>
      <w:r>
        <w:t xml:space="preserve">, this information collection </w:t>
      </w:r>
      <w:r w:rsidR="00417802">
        <w:t xml:space="preserve">does not significantly </w:t>
      </w:r>
      <w:r>
        <w:t xml:space="preserve">impact </w:t>
      </w:r>
      <w:r w:rsidR="00417802">
        <w:t>these</w:t>
      </w:r>
      <w:r>
        <w:t xml:space="preserve"> small entities</w:t>
      </w:r>
      <w:r w:rsidR="00417802">
        <w:t>.</w:t>
      </w:r>
      <w:r>
        <w:t xml:space="preserve">   </w:t>
      </w:r>
    </w:p>
    <w:p w:rsidR="005205D2" w:rsidRDefault="005205D2"/>
    <w:p w:rsidR="005205D2" w:rsidRDefault="005205D2">
      <w:r>
        <w:t xml:space="preserve">The data element validation process allows states and grantees to </w:t>
      </w:r>
      <w:r w:rsidR="00CE5934">
        <w:t>randomly select</w:t>
      </w:r>
      <w:r>
        <w:t xml:space="preserve"> validation samples</w:t>
      </w:r>
      <w:r w:rsidR="00CE5934">
        <w:t xml:space="preserve"> from the complete data file, in order </w:t>
      </w:r>
      <w:r w:rsidR="009B1949">
        <w:t xml:space="preserve">to </w:t>
      </w:r>
      <w:r>
        <w:t>compute statis</w:t>
      </w:r>
      <w:r w:rsidR="00CE5934">
        <w:t>tically significant error rates,</w:t>
      </w:r>
      <w:r>
        <w:t xml:space="preserve"> rather than requiring the validation of every participant case file.  To reduce the relative burden on smaller states and grantees as much as possible, the samp</w:t>
      </w:r>
      <w:r w:rsidR="00857D40">
        <w:t>le size for smaller entities is less</w:t>
      </w:r>
      <w:r>
        <w:t xml:space="preserve"> than for larger grantees and</w:t>
      </w:r>
      <w:r w:rsidR="00E41E5C">
        <w:t xml:space="preserve"> states.  </w:t>
      </w:r>
      <w:r w:rsidR="009B1949">
        <w:t xml:space="preserve">This </w:t>
      </w:r>
      <w:r w:rsidR="00E41E5C">
        <w:t>leads to the slightly larger acceptable error rate</w:t>
      </w:r>
      <w:r w:rsidR="00CE5934">
        <w:t>s</w:t>
      </w:r>
      <w:r w:rsidR="00E41E5C">
        <w:t xml:space="preserve"> of 4 percent for small states compared to 3.5 percent for large states.</w:t>
      </w:r>
    </w:p>
    <w:p w:rsidR="005205D2" w:rsidRDefault="005205D2">
      <w:pPr>
        <w:rPr>
          <w:b/>
        </w:rPr>
      </w:pPr>
    </w:p>
    <w:p w:rsidR="005205D2" w:rsidRDefault="005205D2">
      <w:pPr>
        <w:rPr>
          <w:b/>
        </w:rPr>
      </w:pPr>
      <w:r>
        <w:rPr>
          <w:b/>
        </w:rPr>
        <w:t>6. Consequences of Failure to Collect Data</w:t>
      </w:r>
    </w:p>
    <w:p w:rsidR="005205D2" w:rsidRDefault="005205D2">
      <w:pPr>
        <w:rPr>
          <w:b/>
        </w:rPr>
      </w:pPr>
    </w:p>
    <w:p w:rsidR="005205D2" w:rsidRDefault="005205D2">
      <w:r>
        <w:t xml:space="preserve">As mentioned in </w:t>
      </w:r>
      <w:r w:rsidR="002E4710">
        <w:t>Item</w:t>
      </w:r>
      <w:r>
        <w:t xml:space="preserve"> A.1, </w:t>
      </w:r>
      <w:r w:rsidR="002E4710">
        <w:t>a concern was raised</w:t>
      </w:r>
      <w:r>
        <w:t xml:space="preserve"> in the past </w:t>
      </w:r>
      <w:r w:rsidR="00DF4FBA">
        <w:t xml:space="preserve">related to the </w:t>
      </w:r>
      <w:r>
        <w:t>monitoring and inability to assure</w:t>
      </w:r>
      <w:r w:rsidR="00DF4FBA">
        <w:t>, consistently,</w:t>
      </w:r>
      <w:r>
        <w:t xml:space="preserve"> the validity of performance outcomes reported by states and grantees.  ETA regional </w:t>
      </w:r>
      <w:r w:rsidR="00CE5934">
        <w:t>staff continues</w:t>
      </w:r>
      <w:r w:rsidR="00857D40">
        <w:t xml:space="preserve"> to conduct</w:t>
      </w:r>
      <w:r>
        <w:t xml:space="preserve"> data quality reviews based on current data validation efforts to determine if states are in compliance with data validation guidelines.  The proposed continuation of the data validation requirement will allow ETA to continue to address these issues.  If data validation is discontinued, ETA will not be able to ensure that critical data used for performance reports and accountability purposes, to meet GPRA responsibilities, and for other management purposes</w:t>
      </w:r>
      <w:r w:rsidR="00760370">
        <w:t>,</w:t>
      </w:r>
      <w:r>
        <w:t xml:space="preserve"> are reliable.  </w:t>
      </w:r>
    </w:p>
    <w:p w:rsidR="005205D2" w:rsidRDefault="005205D2"/>
    <w:p w:rsidR="005205D2" w:rsidRDefault="005205D2">
      <w:pPr>
        <w:rPr>
          <w:b/>
        </w:rPr>
      </w:pPr>
      <w:r>
        <w:rPr>
          <w:b/>
        </w:rPr>
        <w:t xml:space="preserve">7. Special Circumstances Involved in Collection of Data Validation Information </w:t>
      </w:r>
    </w:p>
    <w:p w:rsidR="005205D2" w:rsidRDefault="005205D2">
      <w:pPr>
        <w:rPr>
          <w:b/>
        </w:rPr>
      </w:pPr>
    </w:p>
    <w:p w:rsidR="00052A64" w:rsidRDefault="005205D2">
      <w:r>
        <w:t>This request is consistent with 5 CFR 1320.5.</w:t>
      </w:r>
    </w:p>
    <w:p w:rsidR="00052A64" w:rsidRDefault="00052A64"/>
    <w:p w:rsidR="005205D2" w:rsidRDefault="005205D2">
      <w:pPr>
        <w:rPr>
          <w:b/>
        </w:rPr>
      </w:pPr>
      <w:r>
        <w:rPr>
          <w:b/>
        </w:rPr>
        <w:t>8. Pre-Clearance Notice and Responses</w:t>
      </w:r>
    </w:p>
    <w:p w:rsidR="005205D2" w:rsidRDefault="005205D2">
      <w:pPr>
        <w:rPr>
          <w:b/>
        </w:rPr>
      </w:pPr>
    </w:p>
    <w:p w:rsidR="00FE0A75" w:rsidRDefault="005205D2">
      <w:r>
        <w:t xml:space="preserve">A Pre-clearance </w:t>
      </w:r>
      <w:r w:rsidR="00A8528C">
        <w:t xml:space="preserve">Notice for sixty days’ public comment </w:t>
      </w:r>
      <w:r>
        <w:t xml:space="preserve">was published in the </w:t>
      </w:r>
      <w:r>
        <w:rPr>
          <w:u w:val="single"/>
        </w:rPr>
        <w:t>Federal</w:t>
      </w:r>
      <w:r>
        <w:t xml:space="preserve"> </w:t>
      </w:r>
      <w:r>
        <w:rPr>
          <w:u w:val="single"/>
        </w:rPr>
        <w:t>Register</w:t>
      </w:r>
      <w:r>
        <w:t xml:space="preserve"> on </w:t>
      </w:r>
      <w:r w:rsidR="00C9226E">
        <w:t xml:space="preserve">December 24, 2013 </w:t>
      </w:r>
      <w:r w:rsidRPr="004B5274">
        <w:t xml:space="preserve">(Vol. </w:t>
      </w:r>
      <w:r w:rsidR="00580705">
        <w:t>78</w:t>
      </w:r>
      <w:r w:rsidR="00A565F3">
        <w:t xml:space="preserve">, page </w:t>
      </w:r>
      <w:r w:rsidR="00580705">
        <w:t>7</w:t>
      </w:r>
      <w:r w:rsidR="00091355">
        <w:t>7718</w:t>
      </w:r>
      <w:r w:rsidR="00A565F3">
        <w:t>).</w:t>
      </w:r>
      <w:r w:rsidRPr="008944A2">
        <w:t xml:space="preserve">  </w:t>
      </w:r>
      <w:r w:rsidR="00C9226E">
        <w:t xml:space="preserve"> </w:t>
      </w:r>
      <w:r w:rsidR="00594B87">
        <w:t>Comments are summarized below and paired with ETA’s responses to the comments.</w:t>
      </w:r>
    </w:p>
    <w:p w:rsidR="00FE0A75" w:rsidRDefault="00FE0A75"/>
    <w:tbl>
      <w:tblPr>
        <w:tblStyle w:val="TableGrid"/>
        <w:tblW w:w="0" w:type="auto"/>
        <w:tblLook w:val="04A0" w:firstRow="1" w:lastRow="0" w:firstColumn="1" w:lastColumn="0" w:noHBand="0" w:noVBand="1"/>
      </w:tblPr>
      <w:tblGrid>
        <w:gridCol w:w="4788"/>
        <w:gridCol w:w="4788"/>
      </w:tblGrid>
      <w:tr w:rsidR="00251526" w:rsidTr="006B3297">
        <w:trPr>
          <w:tblHeader/>
        </w:trPr>
        <w:tc>
          <w:tcPr>
            <w:tcW w:w="4788" w:type="dxa"/>
          </w:tcPr>
          <w:p w:rsidR="00251526" w:rsidRPr="00251526" w:rsidRDefault="00FA62FC" w:rsidP="00251526">
            <w:pPr>
              <w:jc w:val="center"/>
              <w:rPr>
                <w:b/>
              </w:rPr>
            </w:pPr>
            <w:r>
              <w:rPr>
                <w:b/>
              </w:rPr>
              <w:t xml:space="preserve">SCSEP </w:t>
            </w:r>
            <w:r w:rsidR="007278BD">
              <w:rPr>
                <w:b/>
              </w:rPr>
              <w:t xml:space="preserve">grantee </w:t>
            </w:r>
            <w:r w:rsidR="00251526" w:rsidRPr="00251526">
              <w:rPr>
                <w:b/>
              </w:rPr>
              <w:t>Comments/Issues</w:t>
            </w:r>
          </w:p>
        </w:tc>
        <w:tc>
          <w:tcPr>
            <w:tcW w:w="4788" w:type="dxa"/>
          </w:tcPr>
          <w:p w:rsidR="00251526" w:rsidRPr="00251526" w:rsidRDefault="00251526" w:rsidP="00251526">
            <w:pPr>
              <w:jc w:val="center"/>
              <w:rPr>
                <w:b/>
              </w:rPr>
            </w:pPr>
            <w:r w:rsidRPr="00251526">
              <w:rPr>
                <w:b/>
              </w:rPr>
              <w:t>ETA Response</w:t>
            </w:r>
          </w:p>
        </w:tc>
      </w:tr>
      <w:tr w:rsidR="00251526" w:rsidTr="00251526">
        <w:tc>
          <w:tcPr>
            <w:tcW w:w="4788" w:type="dxa"/>
          </w:tcPr>
          <w:p w:rsidR="00251526" w:rsidRDefault="00A1478D" w:rsidP="00171B4F">
            <w:pPr>
              <w:pStyle w:val="ListParagraph"/>
              <w:numPr>
                <w:ilvl w:val="0"/>
                <w:numId w:val="29"/>
              </w:numPr>
            </w:pPr>
            <w:r>
              <w:t>The eligibility element, “e</w:t>
            </w:r>
            <w:r w:rsidR="00251526">
              <w:t>mployed prior to participation</w:t>
            </w:r>
            <w:r>
              <w:t xml:space="preserve">,” </w:t>
            </w:r>
            <w:r w:rsidR="00251526">
              <w:t>could be eliminated</w:t>
            </w:r>
            <w:r>
              <w:t>,</w:t>
            </w:r>
            <w:r w:rsidR="00251526">
              <w:t xml:space="preserve"> since only unemployed individuals are eligible to participate in the SCSEP program.  Furthermore, it is unclear what </w:t>
            </w:r>
            <w:r>
              <w:t xml:space="preserve">the element means because it </w:t>
            </w:r>
            <w:r w:rsidR="00251526">
              <w:t>does not specify any time frame.  Clearly, someone who is unemployed would have been employed at some point prior to applying for the services.</w:t>
            </w:r>
          </w:p>
          <w:p w:rsidR="00C202E1" w:rsidRDefault="00C202E1" w:rsidP="00C202E1"/>
          <w:p w:rsidR="00251526" w:rsidRDefault="006D4D33" w:rsidP="00171B4F">
            <w:pPr>
              <w:pStyle w:val="ListParagraph"/>
              <w:numPr>
                <w:ilvl w:val="0"/>
                <w:numId w:val="29"/>
              </w:numPr>
            </w:pPr>
            <w:r>
              <w:t>The commenter states that t</w:t>
            </w:r>
            <w:r w:rsidR="000B5EA7">
              <w:t>he element “r</w:t>
            </w:r>
            <w:r w:rsidR="00251526">
              <w:t>eason for approved break in participation</w:t>
            </w:r>
            <w:r w:rsidR="000B5EA7">
              <w:t>”</w:t>
            </w:r>
            <w:r w:rsidR="00736ACD">
              <w:t xml:space="preserve"> does not seem to be needed i</w:t>
            </w:r>
            <w:r w:rsidR="00251526">
              <w:t>f exit</w:t>
            </w:r>
            <w:r w:rsidR="00736ACD">
              <w:t xml:space="preserve"> the reason for exiting the program</w:t>
            </w:r>
            <w:r w:rsidR="00251526">
              <w:t xml:space="preserve"> is not due to unsubsidized employment, </w:t>
            </w:r>
            <w:r w:rsidR="00736ACD">
              <w:t xml:space="preserve">the </w:t>
            </w:r>
            <w:r w:rsidR="00251526">
              <w:t>other reason for exit</w:t>
            </w:r>
            <w:r w:rsidR="00736ACD">
              <w:t>ing</w:t>
            </w:r>
            <w:r w:rsidR="00251526">
              <w:t xml:space="preserve">.  With the exception of documenting </w:t>
            </w:r>
            <w:r w:rsidR="00736ACD">
              <w:t xml:space="preserve">the </w:t>
            </w:r>
            <w:r w:rsidR="005D6729">
              <w:t>exclusion</w:t>
            </w:r>
            <w:r w:rsidR="00251526">
              <w:t xml:space="preserve">, there is no </w:t>
            </w:r>
            <w:r w:rsidR="00736ACD">
              <w:t>reason</w:t>
            </w:r>
            <w:r w:rsidR="00251526">
              <w:t xml:space="preserve"> to validate a termination other than unsubsidized employment when the performance element is unsubsidized employment.  </w:t>
            </w:r>
            <w:r w:rsidR="00736ACD">
              <w:t>Therefore the commenter believes t</w:t>
            </w:r>
            <w:r w:rsidR="00251526">
              <w:t>his section could be eliminated.</w:t>
            </w:r>
          </w:p>
          <w:p w:rsidR="00C202E1" w:rsidRDefault="00C202E1" w:rsidP="00C202E1"/>
          <w:p w:rsidR="00251526" w:rsidRDefault="00441E56" w:rsidP="00171B4F">
            <w:pPr>
              <w:pStyle w:val="ListParagraph"/>
              <w:numPr>
                <w:ilvl w:val="0"/>
                <w:numId w:val="29"/>
              </w:numPr>
            </w:pPr>
            <w:r>
              <w:t>The commenter</w:t>
            </w:r>
            <w:r w:rsidR="00251526">
              <w:t xml:space="preserve"> recommend</w:t>
            </w:r>
            <w:r>
              <w:t>s</w:t>
            </w:r>
            <w:r w:rsidR="00251526">
              <w:t xml:space="preserve"> that a </w:t>
            </w:r>
            <w:r w:rsidR="00251526" w:rsidRPr="00251526">
              <w:t>maximum</w:t>
            </w:r>
            <w:r w:rsidR="00251526">
              <w:t xml:space="preserve"> sample size of 10 percent would be adequate for purposes of conducting a Data Validation Study.  This would reduce the burden on state programs as well as smaller or medium size grantees.</w:t>
            </w:r>
          </w:p>
          <w:p w:rsidR="00C202E1" w:rsidRDefault="00C202E1" w:rsidP="00C202E1"/>
          <w:p w:rsidR="00251526" w:rsidRDefault="00431CC9" w:rsidP="0074146B">
            <w:pPr>
              <w:pStyle w:val="ListParagraph"/>
              <w:numPr>
                <w:ilvl w:val="0"/>
                <w:numId w:val="29"/>
              </w:numPr>
            </w:pPr>
            <w:r>
              <w:t xml:space="preserve">Felony/Ex-offender </w:t>
            </w:r>
            <w:r w:rsidR="002D7899">
              <w:t>–</w:t>
            </w:r>
            <w:r>
              <w:t xml:space="preserve"> </w:t>
            </w:r>
            <w:r w:rsidR="002D7899">
              <w:t xml:space="preserve">The commenter believes </w:t>
            </w:r>
            <w:r w:rsidR="00251526">
              <w:t xml:space="preserve">this </w:t>
            </w:r>
            <w:r w:rsidR="002D7899">
              <w:t xml:space="preserve">element </w:t>
            </w:r>
            <w:r w:rsidR="00251526">
              <w:t xml:space="preserve">should be added to the list of elements.  While this may be an issue for reauthorization, it should be included in the hard-to-serve category.  If this omission could be remedied through an update in the Data Validation process, </w:t>
            </w:r>
            <w:r w:rsidR="0074146B">
              <w:t xml:space="preserve">the commenter </w:t>
            </w:r>
            <w:r w:rsidR="00251526">
              <w:t>urge</w:t>
            </w:r>
            <w:r w:rsidR="0074146B">
              <w:t>s</w:t>
            </w:r>
            <w:r w:rsidR="00251526">
              <w:t xml:space="preserve"> the Department of Labor to make </w:t>
            </w:r>
            <w:r w:rsidR="0074146B">
              <w:t>add this element.</w:t>
            </w:r>
          </w:p>
        </w:tc>
        <w:tc>
          <w:tcPr>
            <w:tcW w:w="4788" w:type="dxa"/>
          </w:tcPr>
          <w:p w:rsidR="00251526" w:rsidRDefault="00185109" w:rsidP="008063EC">
            <w:pPr>
              <w:pStyle w:val="ListParagraph"/>
              <w:numPr>
                <w:ilvl w:val="0"/>
                <w:numId w:val="30"/>
              </w:numPr>
            </w:pPr>
            <w:r>
              <w:t>Data Validation is a critical process for monitoring data collection, reporting and performance measurement.  DV seeks to validate the most critical data elements to ensure consistent compliance with federal definitions, legislation, and program outcome measures.</w:t>
            </w:r>
          </w:p>
          <w:p w:rsidR="00185109" w:rsidRDefault="00185109"/>
          <w:p w:rsidR="00185109" w:rsidRDefault="00185109" w:rsidP="008063EC">
            <w:pPr>
              <w:pStyle w:val="ListParagraph"/>
            </w:pPr>
            <w:r>
              <w:t>Employment status at participation is a critical data element.  This data element is used to record an individual’s employment status at the point of program participation.  This element is critical to program eligibility as well as the entered employment</w:t>
            </w:r>
            <w:r w:rsidR="005D6729">
              <w:t xml:space="preserve"> outcome</w:t>
            </w:r>
            <w:r>
              <w:t xml:space="preserve"> measure.  </w:t>
            </w:r>
          </w:p>
          <w:p w:rsidR="00185109" w:rsidRDefault="00185109" w:rsidP="00185109"/>
          <w:p w:rsidR="00185109" w:rsidRDefault="00431CC9" w:rsidP="00171B4F">
            <w:pPr>
              <w:pStyle w:val="ListParagraph"/>
              <w:numPr>
                <w:ilvl w:val="0"/>
                <w:numId w:val="30"/>
              </w:numPr>
            </w:pPr>
            <w:r>
              <w:t xml:space="preserve">The reason </w:t>
            </w:r>
            <w:r w:rsidR="00185109">
              <w:t>approved break</w:t>
            </w:r>
            <w:r>
              <w:t>s</w:t>
            </w:r>
            <w:r w:rsidR="00185109">
              <w:t xml:space="preserve"> in participation</w:t>
            </w:r>
            <w:r>
              <w:t xml:space="preserve"> and exit exclusions are</w:t>
            </w:r>
            <w:r w:rsidR="00185109">
              <w:t xml:space="preserve"> important </w:t>
            </w:r>
            <w:r>
              <w:t xml:space="preserve">is </w:t>
            </w:r>
            <w:r w:rsidR="00185109">
              <w:t xml:space="preserve">for justifying </w:t>
            </w:r>
            <w:r>
              <w:t>the</w:t>
            </w:r>
            <w:r w:rsidR="00185109">
              <w:t xml:space="preserve"> exclusion</w:t>
            </w:r>
            <w:r>
              <w:t xml:space="preserve"> from outcome measures</w:t>
            </w:r>
            <w:r w:rsidR="00185109">
              <w:t xml:space="preserve">.  A 90 day gap in services results in program exit and, hence, inclusion in program outcome measures.  If there is a gap in service receipt in excess of 90 days that is an approved exclusion, the individual is not </w:t>
            </w:r>
            <w:r w:rsidR="00171B4F">
              <w:t>included in program outcomes</w:t>
            </w:r>
            <w:r w:rsidR="00185109">
              <w:t>.  This element is validated to ensure that those exclusions were appropriate.</w:t>
            </w:r>
          </w:p>
          <w:p w:rsidR="00431CC9" w:rsidRDefault="00431CC9" w:rsidP="00185109"/>
          <w:p w:rsidR="00431CC9" w:rsidRDefault="00431CC9" w:rsidP="00171B4F">
            <w:pPr>
              <w:pStyle w:val="ListParagraph"/>
              <w:numPr>
                <w:ilvl w:val="0"/>
                <w:numId w:val="30"/>
              </w:numPr>
            </w:pPr>
            <w:r>
              <w:t xml:space="preserve">Sample sizes are determined according to the statistical methods underlying the data validation procedures.  </w:t>
            </w:r>
            <w:r w:rsidR="00FE476A">
              <w:t xml:space="preserve">Furthermore, in </w:t>
            </w:r>
            <w:r w:rsidR="005D6729">
              <w:t>several</w:t>
            </w:r>
            <w:r w:rsidR="00A341D2">
              <w:t xml:space="preserve"> s</w:t>
            </w:r>
            <w:r w:rsidR="00FE476A">
              <w:t xml:space="preserve">tates, 10% samples would be significantly larger than those </w:t>
            </w:r>
            <w:r w:rsidR="005D6729">
              <w:t xml:space="preserve">drawn under the existing method.  </w:t>
            </w:r>
            <w:r>
              <w:t xml:space="preserve">There is </w:t>
            </w:r>
            <w:r w:rsidR="005D6729">
              <w:t xml:space="preserve">also </w:t>
            </w:r>
            <w:r>
              <w:t>a tradeoff between decreased sample size and the level of precision associated with the error rate estimates.  Decreasing the sample sizes would</w:t>
            </w:r>
            <w:r w:rsidR="005D6729">
              <w:t xml:space="preserve"> generally</w:t>
            </w:r>
            <w:r>
              <w:t xml:space="preserve"> result in increasing the variance of the error rate estimates.  ETA continues to explore several methods to reduce the sample sizes for data validation while being cognizant of concerns regarding precision and travel cost minimization.  As of yet, ETA is not able to reduce sample sizes with</w:t>
            </w:r>
            <w:r w:rsidR="005D6729">
              <w:t>out decreasing precision below the established</w:t>
            </w:r>
            <w:r>
              <w:t xml:space="preserve"> threshold or increasing travel costs associated with validation of the documentation.</w:t>
            </w:r>
          </w:p>
          <w:p w:rsidR="00431CC9" w:rsidRDefault="00431CC9" w:rsidP="00185109"/>
          <w:p w:rsidR="00185109" w:rsidRDefault="00431CC9" w:rsidP="005D6729">
            <w:pPr>
              <w:pStyle w:val="ListParagraph"/>
              <w:numPr>
                <w:ilvl w:val="0"/>
                <w:numId w:val="30"/>
              </w:numPr>
            </w:pPr>
            <w:r>
              <w:t xml:space="preserve">While </w:t>
            </w:r>
            <w:r w:rsidR="00C202E1">
              <w:t xml:space="preserve">ex-offender status is an important data element for program management, it does not affect eligibility or the program outcome measures.  For these reasons, this data element is not included in the </w:t>
            </w:r>
            <w:r w:rsidR="005D6729">
              <w:t>data element validation</w:t>
            </w:r>
            <w:r w:rsidR="00C202E1">
              <w:t xml:space="preserve"> process.</w:t>
            </w:r>
          </w:p>
        </w:tc>
      </w:tr>
    </w:tbl>
    <w:p w:rsidR="00FE0A75" w:rsidRDefault="00FE0A75"/>
    <w:p w:rsidR="008063EC" w:rsidRDefault="008063EC"/>
    <w:p w:rsidR="008063EC" w:rsidRDefault="008063EC"/>
    <w:tbl>
      <w:tblPr>
        <w:tblStyle w:val="TableGrid"/>
        <w:tblW w:w="0" w:type="auto"/>
        <w:tblLook w:val="04A0" w:firstRow="1" w:lastRow="0" w:firstColumn="1" w:lastColumn="0" w:noHBand="0" w:noVBand="1"/>
      </w:tblPr>
      <w:tblGrid>
        <w:gridCol w:w="4788"/>
        <w:gridCol w:w="4788"/>
      </w:tblGrid>
      <w:tr w:rsidR="00EF201D" w:rsidRPr="00251526" w:rsidTr="006B3297">
        <w:trPr>
          <w:tblHeader/>
        </w:trPr>
        <w:tc>
          <w:tcPr>
            <w:tcW w:w="4788" w:type="dxa"/>
          </w:tcPr>
          <w:p w:rsidR="00EF201D" w:rsidRPr="00251526" w:rsidRDefault="00EF201D" w:rsidP="001F41D8">
            <w:pPr>
              <w:jc w:val="center"/>
              <w:rPr>
                <w:b/>
              </w:rPr>
            </w:pPr>
            <w:r>
              <w:rPr>
                <w:b/>
              </w:rPr>
              <w:t xml:space="preserve">NFJP </w:t>
            </w:r>
            <w:r w:rsidRPr="00251526">
              <w:rPr>
                <w:b/>
              </w:rPr>
              <w:t>Comments/Issues</w:t>
            </w:r>
          </w:p>
        </w:tc>
        <w:tc>
          <w:tcPr>
            <w:tcW w:w="4788" w:type="dxa"/>
          </w:tcPr>
          <w:p w:rsidR="00EF201D" w:rsidRPr="00251526" w:rsidRDefault="00EF201D" w:rsidP="001F41D8">
            <w:pPr>
              <w:jc w:val="center"/>
              <w:rPr>
                <w:b/>
              </w:rPr>
            </w:pPr>
            <w:r w:rsidRPr="00251526">
              <w:rPr>
                <w:b/>
              </w:rPr>
              <w:t>ETA Response</w:t>
            </w:r>
          </w:p>
        </w:tc>
      </w:tr>
      <w:tr w:rsidR="00EF201D" w:rsidTr="00EF201D">
        <w:tc>
          <w:tcPr>
            <w:tcW w:w="4788" w:type="dxa"/>
          </w:tcPr>
          <w:p w:rsidR="003E2260" w:rsidRDefault="005D6729" w:rsidP="00171B4F">
            <w:pPr>
              <w:pStyle w:val="ListParagraph"/>
              <w:numPr>
                <w:ilvl w:val="0"/>
                <w:numId w:val="31"/>
              </w:numPr>
              <w:autoSpaceDE w:val="0"/>
              <w:autoSpaceDN w:val="0"/>
            </w:pPr>
            <w:r>
              <w:t>One grantee commented that their</w:t>
            </w:r>
            <w:r w:rsidR="003E2260" w:rsidRPr="003E2260">
              <w:t xml:space="preserve"> cur</w:t>
            </w:r>
            <w:r w:rsidR="00834ABE">
              <w:t xml:space="preserve">rent Data Validation process is </w:t>
            </w:r>
            <w:r w:rsidR="003E2260" w:rsidRPr="003E2260">
              <w:t xml:space="preserve">smooth.  </w:t>
            </w:r>
            <w:r w:rsidR="00834ABE">
              <w:t>They</w:t>
            </w:r>
            <w:r w:rsidR="003E2260" w:rsidRPr="003E2260">
              <w:t xml:space="preserve"> implemented data validation at the beginning, at the intake level.  Once the field staff submits the eligibility docu</w:t>
            </w:r>
            <w:r w:rsidR="003E2260">
              <w:t xml:space="preserve">mentation to the Central Office, </w:t>
            </w:r>
            <w:r w:rsidR="003E2260" w:rsidRPr="003E2260">
              <w:t>the information is reviewed and validated and the participant is enroll</w:t>
            </w:r>
            <w:r>
              <w:t>ed</w:t>
            </w:r>
            <w:r w:rsidR="003E2260" w:rsidRPr="003E2260">
              <w:t xml:space="preserve"> in the NFJP program.  </w:t>
            </w:r>
          </w:p>
          <w:p w:rsidR="003E2260" w:rsidRDefault="003E2260" w:rsidP="003E2260">
            <w:pPr>
              <w:autoSpaceDE w:val="0"/>
              <w:autoSpaceDN w:val="0"/>
            </w:pPr>
            <w:r w:rsidRPr="003E2260">
              <w:t> </w:t>
            </w:r>
          </w:p>
          <w:p w:rsidR="00EF201D" w:rsidRDefault="003E2260" w:rsidP="00165A4F">
            <w:pPr>
              <w:pStyle w:val="ListParagraph"/>
              <w:autoSpaceDE w:val="0"/>
              <w:autoSpaceDN w:val="0"/>
            </w:pPr>
            <w:r w:rsidRPr="003E2260">
              <w:t xml:space="preserve">One of the burdens that </w:t>
            </w:r>
            <w:r w:rsidR="005D6729">
              <w:t>they</w:t>
            </w:r>
            <w:r w:rsidRPr="003E2260">
              <w:t xml:space="preserve"> encounter is </w:t>
            </w:r>
            <w:r w:rsidR="00165A4F">
              <w:t xml:space="preserve">obtaining </w:t>
            </w:r>
            <w:r w:rsidRPr="003E2260">
              <w:t xml:space="preserve">the wages for the participants that have been placed during the follow-up period.   One suggestion </w:t>
            </w:r>
            <w:r w:rsidR="005D6729">
              <w:t xml:space="preserve">they provided </w:t>
            </w:r>
            <w:r w:rsidRPr="003E2260">
              <w:t>is to have acces</w:t>
            </w:r>
            <w:r w:rsidR="00A341D2">
              <w:t>s to the Wages Records in each s</w:t>
            </w:r>
            <w:r w:rsidRPr="003E2260">
              <w:t xml:space="preserve">tate that we operate the NFJP program.  </w:t>
            </w:r>
            <w:r w:rsidR="005D6729">
              <w:t>They</w:t>
            </w:r>
            <w:r w:rsidRPr="003E2260">
              <w:t xml:space="preserve"> can have a Memora</w:t>
            </w:r>
            <w:r w:rsidR="00A341D2">
              <w:t>ndum of Understanding with the s</w:t>
            </w:r>
            <w:r w:rsidRPr="003E2260">
              <w:t>tate and be able to retrieve the wages for our participants during the placement follow-up period the way the Main WIA program does.</w:t>
            </w:r>
          </w:p>
        </w:tc>
        <w:tc>
          <w:tcPr>
            <w:tcW w:w="4788" w:type="dxa"/>
          </w:tcPr>
          <w:p w:rsidR="003E2260" w:rsidRDefault="003E2260" w:rsidP="005D6729">
            <w:pPr>
              <w:pStyle w:val="ListParagraph"/>
              <w:numPr>
                <w:ilvl w:val="0"/>
                <w:numId w:val="35"/>
              </w:numPr>
            </w:pPr>
            <w:r>
              <w:t xml:space="preserve">While ETA understands the efficiency of obtaining wage records through the Wage Record Interchange System (WRIS), the establishment of such a process is well beyond the scope of the data validation collection.  </w:t>
            </w:r>
          </w:p>
          <w:p w:rsidR="003E2260" w:rsidRDefault="003E2260" w:rsidP="003E2260"/>
          <w:p w:rsidR="00EF201D" w:rsidRDefault="003E2260" w:rsidP="00171B4F">
            <w:pPr>
              <w:pStyle w:val="ListParagraph"/>
            </w:pPr>
            <w:r>
              <w:t xml:space="preserve">  </w:t>
            </w:r>
          </w:p>
        </w:tc>
      </w:tr>
    </w:tbl>
    <w:p w:rsidR="00FA62FC" w:rsidRDefault="00FA62FC" w:rsidP="00A8528C"/>
    <w:p w:rsidR="00EF201D" w:rsidRDefault="00EF201D" w:rsidP="00A8528C"/>
    <w:tbl>
      <w:tblPr>
        <w:tblStyle w:val="TableGrid"/>
        <w:tblW w:w="0" w:type="auto"/>
        <w:tblLook w:val="04A0" w:firstRow="1" w:lastRow="0" w:firstColumn="1" w:lastColumn="0" w:noHBand="0" w:noVBand="1"/>
      </w:tblPr>
      <w:tblGrid>
        <w:gridCol w:w="4788"/>
        <w:gridCol w:w="4788"/>
      </w:tblGrid>
      <w:tr w:rsidR="00FA62FC" w:rsidRPr="00251526" w:rsidTr="002E25F9">
        <w:trPr>
          <w:tblHeader/>
        </w:trPr>
        <w:tc>
          <w:tcPr>
            <w:tcW w:w="4788" w:type="dxa"/>
          </w:tcPr>
          <w:p w:rsidR="00FA62FC" w:rsidRPr="00251526" w:rsidRDefault="00FA62FC" w:rsidP="001F41D8">
            <w:pPr>
              <w:jc w:val="center"/>
              <w:rPr>
                <w:b/>
              </w:rPr>
            </w:pPr>
            <w:r>
              <w:rPr>
                <w:b/>
              </w:rPr>
              <w:t>WIA</w:t>
            </w:r>
            <w:r w:rsidR="00171B4F">
              <w:rPr>
                <w:b/>
              </w:rPr>
              <w:t>/TAA/Wagner-Peyser</w:t>
            </w:r>
            <w:r>
              <w:rPr>
                <w:b/>
              </w:rPr>
              <w:t xml:space="preserve"> </w:t>
            </w:r>
            <w:r w:rsidRPr="00251526">
              <w:rPr>
                <w:b/>
              </w:rPr>
              <w:t>Comments/Issues</w:t>
            </w:r>
          </w:p>
        </w:tc>
        <w:tc>
          <w:tcPr>
            <w:tcW w:w="4788" w:type="dxa"/>
          </w:tcPr>
          <w:p w:rsidR="00FA62FC" w:rsidRPr="00251526" w:rsidRDefault="00FA62FC" w:rsidP="001F41D8">
            <w:pPr>
              <w:jc w:val="center"/>
              <w:rPr>
                <w:b/>
              </w:rPr>
            </w:pPr>
            <w:r w:rsidRPr="00251526">
              <w:rPr>
                <w:b/>
              </w:rPr>
              <w:t>ETA Response</w:t>
            </w:r>
          </w:p>
        </w:tc>
      </w:tr>
      <w:tr w:rsidR="00FA62FC" w:rsidTr="001F41D8">
        <w:tc>
          <w:tcPr>
            <w:tcW w:w="4788" w:type="dxa"/>
          </w:tcPr>
          <w:p w:rsidR="00FA62FC" w:rsidRDefault="005D6729" w:rsidP="00171B4F">
            <w:pPr>
              <w:pStyle w:val="ListParagraph"/>
              <w:numPr>
                <w:ilvl w:val="0"/>
                <w:numId w:val="33"/>
              </w:numPr>
            </w:pPr>
            <w:r>
              <w:t>One</w:t>
            </w:r>
            <w:r w:rsidR="00FA62FC">
              <w:t xml:space="preserve"> </w:t>
            </w:r>
            <w:r w:rsidR="00A341D2">
              <w:t>s</w:t>
            </w:r>
            <w:r w:rsidR="00FA62FC">
              <w:t>tate commented that their</w:t>
            </w:r>
            <w:r w:rsidR="00FA62FC" w:rsidRPr="00EB6DF7">
              <w:t xml:space="preserve"> only experience with using the new data collection software for data validation </w:t>
            </w:r>
            <w:r>
              <w:t>was</w:t>
            </w:r>
            <w:r w:rsidR="00FA62FC" w:rsidRPr="00EB6DF7">
              <w:t xml:space="preserve"> with the TAA program, which was recently completed.  With this limited experience in mind, it is </w:t>
            </w:r>
            <w:r w:rsidR="00B24506">
              <w:t>the commenter’s</w:t>
            </w:r>
            <w:r w:rsidR="00FA62FC" w:rsidRPr="00EB6DF7">
              <w:t xml:space="preserve"> opinion that the proposed data collection burden would be at least as great as or greater than the previous methodology.  Under the new system, blank fields are to be completed by researching participant files for specific data that has already been reported. In some cases the Data Validation monitor could have several data values to choose from to enter on a particular field; e.g., Date Entered Training. This element might have dates in case notes, school transcripts, certificates, or attendance reports. It is much easier to find an already reported date in one of these documents rather than guessing which date was reported in </w:t>
            </w:r>
            <w:r w:rsidR="00FA62FC">
              <w:t>the database</w:t>
            </w:r>
            <w:r w:rsidR="00FA62FC" w:rsidRPr="00EB6DF7">
              <w:t xml:space="preserve">. Also, since UI wage data would have to be looked up and entered, it will take considerably longer to look up eleven data items in the UI wage databank.  If the number of data elements to be verified remains the same as in the past, this new process will take longer. How much longer depends on several variables: experience of the reviewers, internet speed, size of sample, program knowledge, etc. One suggestion would be to eliminate verifying UI wage data from data validation because it is always 99.99% accurate in </w:t>
            </w:r>
            <w:r w:rsidR="00FA62FC">
              <w:t>this state</w:t>
            </w:r>
            <w:r w:rsidR="00FA62FC" w:rsidRPr="00EB6DF7">
              <w:t>.</w:t>
            </w:r>
            <w:r w:rsidR="006E61BF">
              <w:t xml:space="preserve">  Three additional comments were received on the issue of having to enter the data element validation values into the system </w:t>
            </w:r>
            <w:r w:rsidR="00DF09A8">
              <w:t xml:space="preserve">EDRVS </w:t>
            </w:r>
            <w:r w:rsidR="006E61BF">
              <w:t xml:space="preserve">for TAA and Wagner-Peyser.  </w:t>
            </w:r>
          </w:p>
          <w:p w:rsidR="00FA62FC" w:rsidRDefault="00FA62FC" w:rsidP="001F41D8"/>
          <w:p w:rsidR="00FA62FC" w:rsidRPr="00CC194D" w:rsidRDefault="00FA62FC" w:rsidP="00327666">
            <w:pPr>
              <w:pStyle w:val="ListParagraph"/>
              <w:numPr>
                <w:ilvl w:val="0"/>
                <w:numId w:val="33"/>
              </w:numPr>
            </w:pPr>
            <w:r w:rsidRPr="00CC194D">
              <w:t xml:space="preserve">Data validation is perceived as a laborious, monotonous task; only somewhat helpful; and states cannot always be sure of how well they are doing relative to other states.  </w:t>
            </w:r>
            <w:r w:rsidR="00A341D2">
              <w:t>Three s</w:t>
            </w:r>
            <w:r w:rsidR="00984DCB">
              <w:t xml:space="preserve">tates commented that they </w:t>
            </w:r>
            <w:r w:rsidRPr="00CC194D">
              <w:t>have nothing with which to compare their results (other than previous year’s performance), and receive no feedback from USDOL.  Is there an acceptable error rate? What elements have the highest failure rate? Is the clarity or understanding of data elements consistently a</w:t>
            </w:r>
            <w:r w:rsidR="00DF09A8">
              <w:t xml:space="preserve">pplied throughout the </w:t>
            </w:r>
            <w:r w:rsidR="00A341D2">
              <w:t>s</w:t>
            </w:r>
            <w:r w:rsidRPr="00CC194D">
              <w:t>tate let alone by 179 respondents nationwide? How consistent is the data validation process among all the various</w:t>
            </w:r>
            <w:r w:rsidR="00DF09A8">
              <w:t xml:space="preserve"> respondents? How independent are</w:t>
            </w:r>
            <w:r w:rsidR="00327666">
              <w:t xml:space="preserve"> </w:t>
            </w:r>
            <w:r w:rsidRPr="00CC194D">
              <w:t xml:space="preserve">the data reviewers from the program operators? How is this information used to improve program effectiveness? These are a few of the questions that are relevant to issues of quality, utility, and clarity of the data. The answers to these questions are unique to each respondent, and they probably will vary from state to state. At a minimum, </w:t>
            </w:r>
            <w:r>
              <w:t xml:space="preserve">this state </w:t>
            </w:r>
            <w:r w:rsidRPr="00CC194D">
              <w:t xml:space="preserve">does provide annual feedback to each individual region on the results of their data validation review, and we also do exit conferences to present preliminary results. Policy guidance letters are updated annually to provide instruction and policy on how to successfully pass data validation elements. </w:t>
            </w:r>
          </w:p>
          <w:p w:rsidR="00FA62FC" w:rsidRDefault="00FA62FC" w:rsidP="001F41D8"/>
          <w:p w:rsidR="00FA62FC" w:rsidRDefault="00FA62FC" w:rsidP="008063EC">
            <w:pPr>
              <w:pStyle w:val="ListParagraph"/>
              <w:numPr>
                <w:ilvl w:val="0"/>
                <w:numId w:val="33"/>
              </w:numPr>
            </w:pPr>
            <w:r w:rsidRPr="00EE0AFD">
              <w:t xml:space="preserve">Through this year (PY 12), the data validation process has been a manual process. With the new system going to an internet based system, it will eliminate some of the copying and collating that currently </w:t>
            </w:r>
            <w:r w:rsidR="008063EC">
              <w:t>exists</w:t>
            </w:r>
            <w:r w:rsidRPr="00EE0AFD">
              <w:t>. Additionally, it will not be necessary to do the end of project data entry which currently takes up to two days to complete.  Other than this, it does not appear that the new system will take any less time to complete. One area that could reduce the burden would be a smaller sample size. Over the years, our sample has ranged from 1100 to 1300 records, with gradually improving results. Also, for some data elements, the error rate is consistently low, e.g., Date of Birth.  If a state continues to show improvement in their overall error rate, or demonstrates a consistently low error rate for individual data elements, then the sample size should be reduced, and some data elements eliminated entirely.  This would be a step in the right direction to help minimize the burden of data validation.</w:t>
            </w:r>
          </w:p>
          <w:p w:rsidR="008063EC" w:rsidRDefault="008063EC" w:rsidP="008063EC">
            <w:pPr>
              <w:pStyle w:val="ListParagraph"/>
            </w:pPr>
          </w:p>
          <w:p w:rsidR="008063EC" w:rsidRDefault="008063EC" w:rsidP="008063EC">
            <w:pPr>
              <w:pStyle w:val="ListParagraph"/>
              <w:numPr>
                <w:ilvl w:val="0"/>
                <w:numId w:val="33"/>
              </w:numPr>
            </w:pPr>
            <w:r>
              <w:t>The new WIASRD in particular has 57 new elements and 17 new dates with edit checks and new rejects surrounding these items that previously were yes/no values.  This resulted in more work for states both in programming and the changes and challenges of date edit checks, research, analysis and correction to complete submissions.  This will add even greater difficulty with Data Element Validation (DEV) system, file review and submission.</w:t>
            </w:r>
          </w:p>
          <w:p w:rsidR="008B12DC" w:rsidRDefault="008B12DC" w:rsidP="008B12DC">
            <w:pPr>
              <w:pStyle w:val="ListParagraph"/>
            </w:pPr>
          </w:p>
          <w:p w:rsidR="008B12DC" w:rsidRDefault="008B12DC" w:rsidP="008063EC">
            <w:pPr>
              <w:pStyle w:val="ListParagraph"/>
              <w:numPr>
                <w:ilvl w:val="0"/>
                <w:numId w:val="33"/>
              </w:numPr>
            </w:pPr>
            <w:r>
              <w:t xml:space="preserve">One </w:t>
            </w:r>
            <w:r w:rsidR="00A341D2">
              <w:t>s</w:t>
            </w:r>
            <w:r>
              <w:t>tate commented that their experience with the new EDRVS (Wagner-Peyser and TAA programs) has pro</w:t>
            </w:r>
            <w:r w:rsidR="00A341D2">
              <w:t>ved more time consuming.  This s</w:t>
            </w:r>
            <w:r>
              <w:t>tate estimates the processes for Wagner-Peyser took 4 times long</w:t>
            </w:r>
            <w:r w:rsidR="00A341D2">
              <w:t>er due to</w:t>
            </w:r>
            <w:r w:rsidR="00BB1E44">
              <w:t xml:space="preserve"> the</w:t>
            </w:r>
            <w:r w:rsidR="00A341D2">
              <w:t xml:space="preserve"> requirement that the s</w:t>
            </w:r>
            <w:r>
              <w:t xml:space="preserve">tate enters in the data validation values manually rather than being shown the value and checking pass or fail with regard to whether or not it matches the paper trail.  </w:t>
            </w:r>
            <w:r w:rsidR="001F41D8">
              <w:t xml:space="preserve">The </w:t>
            </w:r>
            <w:r w:rsidR="00A341D2">
              <w:t>s</w:t>
            </w:r>
            <w:r w:rsidR="001F41D8">
              <w:t xml:space="preserve">tate reports that validating the 25 Wagner-Peyser records took 40 hours of staff time (10 hours for 4 staff).  The </w:t>
            </w:r>
            <w:r w:rsidR="00A341D2">
              <w:t>s</w:t>
            </w:r>
            <w:r w:rsidR="001F41D8">
              <w:t xml:space="preserve">tate stated that with the WIA DEV samplings being 25 times the sample size for Wagner-Peyser, they estimate the WIA process to take 1,000 hours.  The </w:t>
            </w:r>
            <w:proofErr w:type="gramStart"/>
            <w:r w:rsidR="001F41D8">
              <w:t>hands on file review is</w:t>
            </w:r>
            <w:proofErr w:type="gramEnd"/>
            <w:r w:rsidR="001F41D8">
              <w:t xml:space="preserve"> required on location at multiple providers and the </w:t>
            </w:r>
            <w:r w:rsidR="00A341D2">
              <w:t>s</w:t>
            </w:r>
            <w:r w:rsidR="001F41D8">
              <w:t>tate reports that it took 352 hours in the past under the old DRVS.</w:t>
            </w:r>
            <w:r w:rsidR="00446C5C">
              <w:t xml:space="preserve">  Two other related comments were received that suggested that the flexibility to conduct data element validation from a centralized location would reduce burden.</w:t>
            </w:r>
          </w:p>
          <w:p w:rsidR="00603D49" w:rsidRDefault="00603D49" w:rsidP="00603D49">
            <w:pPr>
              <w:pStyle w:val="ListParagraph"/>
            </w:pPr>
          </w:p>
          <w:p w:rsidR="00603D49" w:rsidRDefault="00603D49" w:rsidP="004545FE">
            <w:pPr>
              <w:pStyle w:val="ListParagraph"/>
            </w:pPr>
            <w:r>
              <w:t>In regards to enhancing the quality, utility and clarity of the information collected</w:t>
            </w:r>
            <w:r w:rsidR="00A341D2">
              <w:t>, DOL would have to advise the s</w:t>
            </w:r>
            <w:r>
              <w:t xml:space="preserve">tates how this new process enhances the quality, clarity and utility of collected information.  This state found the new EDRVS and the </w:t>
            </w:r>
            <w:r w:rsidR="004545FE">
              <w:t xml:space="preserve">new DOL DEV process to be a much greater burden then the previous software and processes.  Hopefully the new software will be better maintained, which should result in less technical issues than its predecessor.  The </w:t>
            </w:r>
            <w:r w:rsidR="00A341D2">
              <w:t>s</w:t>
            </w:r>
            <w:r w:rsidR="004545FE">
              <w:t>tate feels the extra time required for entering code values and review time outweighs the utility needs of the Department of Labor, particularly if the sample size is not going to be reduced in the new EDRVS system.  Should the Department of Labor consider reducing the sample sizes f</w:t>
            </w:r>
            <w:r w:rsidR="00A341D2">
              <w:t>or WIA DEV, the burden for the s</w:t>
            </w:r>
            <w:r w:rsidR="004545FE">
              <w:t xml:space="preserve">tates could be </w:t>
            </w:r>
            <w:proofErr w:type="gramStart"/>
            <w:r w:rsidR="004545FE">
              <w:t>reduced.</w:t>
            </w:r>
            <w:proofErr w:type="gramEnd"/>
            <w:r w:rsidR="006506E3">
              <w:t xml:space="preserve">  Two additional comments stated that they felt that the sample size should be reduced.</w:t>
            </w:r>
          </w:p>
          <w:p w:rsidR="00F60C4F" w:rsidRDefault="00F60C4F" w:rsidP="004545FE">
            <w:pPr>
              <w:pStyle w:val="ListParagraph"/>
            </w:pPr>
          </w:p>
          <w:p w:rsidR="00E14DDA" w:rsidRDefault="00F60C4F" w:rsidP="00E14DDA">
            <w:pPr>
              <w:pStyle w:val="ListParagraph"/>
              <w:numPr>
                <w:ilvl w:val="0"/>
                <w:numId w:val="33"/>
              </w:numPr>
            </w:pPr>
            <w:r>
              <w:t xml:space="preserve">One </w:t>
            </w:r>
            <w:r w:rsidR="00A341D2">
              <w:t>s</w:t>
            </w:r>
            <w:r>
              <w:t>tate commented that each element currently requiring data collec</w:t>
            </w:r>
            <w:r w:rsidR="007378B9">
              <w:t xml:space="preserve">tion has been reviewed and is believed to directly </w:t>
            </w:r>
            <w:proofErr w:type="gramStart"/>
            <w:r w:rsidR="007378B9">
              <w:t>related</w:t>
            </w:r>
            <w:proofErr w:type="gramEnd"/>
            <w:r w:rsidR="007378B9">
              <w:t xml:space="preserve"> to performance, eligibility, and/or outcomes for WIA.  For TAA, this </w:t>
            </w:r>
            <w:r w:rsidR="00A341D2">
              <w:t>s</w:t>
            </w:r>
            <w:r w:rsidR="007378B9">
              <w:t xml:space="preserve">tate commented that the source documentation options are unclear, particularly Petition Number and the Waiver from Training requirement.  This </w:t>
            </w:r>
            <w:r w:rsidR="00A341D2">
              <w:t>s</w:t>
            </w:r>
            <w:r w:rsidR="007378B9">
              <w:t>tate estimated that the staff time required for data validation exceeded the estimated average time per response given in the FRN for data validation (Average time pe</w:t>
            </w:r>
            <w:r w:rsidR="00A341D2">
              <w:t>r response = 218 hours).  This s</w:t>
            </w:r>
            <w:r w:rsidR="007378B9">
              <w:t>tate estimates that it takes 792 hours to conduct WIA data validation each year.  Additional burden costs for respondents total thousands of dollars due to staff travel required to conduct on-site reviews and technical assistance training.  However, t</w:t>
            </w:r>
            <w:r w:rsidR="00A341D2">
              <w:t>he s</w:t>
            </w:r>
            <w:r w:rsidR="007378B9">
              <w:t xml:space="preserve">tate reported no issues with TAA burden estimates.  </w:t>
            </w:r>
          </w:p>
          <w:p w:rsidR="00297370" w:rsidRDefault="00297370" w:rsidP="00297370">
            <w:pPr>
              <w:pStyle w:val="ListParagraph"/>
            </w:pPr>
          </w:p>
          <w:p w:rsidR="00E14DDA" w:rsidRPr="00446C5C" w:rsidRDefault="00297370" w:rsidP="00297370">
            <w:pPr>
              <w:pStyle w:val="ListParagraph"/>
            </w:pPr>
            <w:r>
              <w:t xml:space="preserve">Another </w:t>
            </w:r>
            <w:r w:rsidR="008C6B18">
              <w:t>s</w:t>
            </w:r>
            <w:r w:rsidR="00E14DDA">
              <w:t xml:space="preserve">tate commented that it did not concur with DOL’s statement that </w:t>
            </w:r>
            <w:r w:rsidR="00A341D2">
              <w:t>s</w:t>
            </w:r>
            <w:r w:rsidR="00E14DDA">
              <w:t xml:space="preserve">tates and grantees are able to conduct data validation annually with a reasonable but sustained level of effort.  The demands that are placed on staff to conduct the data element validation activities are not reasonable.  The </w:t>
            </w:r>
            <w:r w:rsidR="00446C5C">
              <w:t>exercise requires</w:t>
            </w:r>
            <w:r w:rsidR="00E14DDA">
              <w:t xml:space="preserve"> effort and resources that exceed the value of the benefits.  </w:t>
            </w:r>
            <w:r w:rsidR="00E14DDA" w:rsidRPr="00446C5C">
              <w:t xml:space="preserve">The </w:t>
            </w:r>
            <w:r w:rsidR="00A341D2">
              <w:t>s</w:t>
            </w:r>
            <w:r w:rsidR="00E14DDA" w:rsidRPr="00446C5C">
              <w:t xml:space="preserve">tate is enduring budget cuts for DOL funded programs while </w:t>
            </w:r>
            <w:r w:rsidR="00446C5C" w:rsidRPr="00446C5C">
              <w:t>travel</w:t>
            </w:r>
            <w:r w:rsidR="00E14DDA" w:rsidRPr="00446C5C">
              <w:t xml:space="preserve"> expenses are increasing. For the most recent </w:t>
            </w:r>
            <w:r w:rsidR="00446C5C">
              <w:t>Title 1 data element validation process (PY 2012), the estimated cost, including staff time, travel, and other expenses was $58,000.</w:t>
            </w:r>
            <w:r w:rsidR="00A341D2">
              <w:t xml:space="preserve">  The s</w:t>
            </w:r>
            <w:r w:rsidR="00446C5C">
              <w:t>tate suggested that DOL consider making data validation a biennial rather than annual activity.</w:t>
            </w:r>
          </w:p>
          <w:p w:rsidR="006062B4" w:rsidRDefault="006062B4" w:rsidP="006062B4">
            <w:pPr>
              <w:pStyle w:val="ListParagraph"/>
            </w:pPr>
          </w:p>
          <w:p w:rsidR="006062B4" w:rsidRDefault="005D38F2" w:rsidP="006062B4">
            <w:pPr>
              <w:pStyle w:val="ListParagraph"/>
              <w:numPr>
                <w:ilvl w:val="0"/>
                <w:numId w:val="33"/>
              </w:numPr>
            </w:pPr>
            <w:r>
              <w:t>Three</w:t>
            </w:r>
            <w:r w:rsidR="00A341D2">
              <w:t xml:space="preserve"> s</w:t>
            </w:r>
            <w:r w:rsidR="006506E3">
              <w:t xml:space="preserve">tates commented that </w:t>
            </w:r>
            <w:r>
              <w:t xml:space="preserve">requiring identical date matches for things like training and exit dates is not necessary and does not have practical utility.  For example, requiring identical date matches for dates of training does not relate to program performance.  In most cases, it matters little to not at all if the dates are only a day or two off.  </w:t>
            </w:r>
          </w:p>
          <w:p w:rsidR="007F51B2" w:rsidRDefault="007F51B2" w:rsidP="007F51B2">
            <w:pPr>
              <w:pStyle w:val="ListParagraph"/>
            </w:pPr>
          </w:p>
          <w:p w:rsidR="007F51B2" w:rsidRPr="00EE0AFD" w:rsidRDefault="00984DCB" w:rsidP="006062B4">
            <w:pPr>
              <w:pStyle w:val="ListParagraph"/>
              <w:numPr>
                <w:ilvl w:val="0"/>
                <w:numId w:val="33"/>
              </w:numPr>
            </w:pPr>
            <w:r>
              <w:t xml:space="preserve">One </w:t>
            </w:r>
            <w:r w:rsidR="008C6B18">
              <w:t>s</w:t>
            </w:r>
            <w:r>
              <w:t xml:space="preserve">tate commented that each year the software is released in numerous versions and patches.  This development and repair cycle is difficult to contend with due to the </w:t>
            </w:r>
            <w:r w:rsidR="00A341D2">
              <w:t>s</w:t>
            </w:r>
            <w:r>
              <w:t xml:space="preserve">tate’s own information technology security requirements and policies.  This </w:t>
            </w:r>
            <w:r w:rsidR="00A341D2">
              <w:t>s</w:t>
            </w:r>
            <w:r>
              <w:t>tate also commented that the data element validation worksheets do not contain identifying information on every page when printed out</w:t>
            </w:r>
            <w:r w:rsidR="00764EC0">
              <w:t xml:space="preserve"> and that for TAA the worksheets do not contain enough information to easily identify the individuals in their system.  The state suggest</w:t>
            </w:r>
            <w:r w:rsidR="00A341D2">
              <w:t>ed</w:t>
            </w:r>
            <w:r w:rsidR="00764EC0">
              <w:t xml:space="preserve"> that ETA include participant names on the worksheets for TAA.  </w:t>
            </w:r>
            <w:r w:rsidR="00A341D2">
              <w:t>This s</w:t>
            </w:r>
            <w:r w:rsidR="00764EC0">
              <w:t xml:space="preserve">tate also commented </w:t>
            </w:r>
            <w:r>
              <w:t xml:space="preserve">that the software does not provide the </w:t>
            </w:r>
            <w:r w:rsidR="00A341D2">
              <w:t>s</w:t>
            </w:r>
            <w:r>
              <w:t>tate with the ability to produce local-level or custom reports.</w:t>
            </w:r>
            <w:r w:rsidR="00A341D2">
              <w:t xml:space="preserve">  One other s</w:t>
            </w:r>
            <w:r w:rsidR="00FE476A">
              <w:t>tate also commented that local area reports should be made available.</w:t>
            </w:r>
          </w:p>
          <w:p w:rsidR="00FA62FC" w:rsidRPr="00EB6DF7" w:rsidRDefault="00FA62FC" w:rsidP="001F41D8"/>
        </w:tc>
        <w:tc>
          <w:tcPr>
            <w:tcW w:w="4788" w:type="dxa"/>
          </w:tcPr>
          <w:p w:rsidR="00BB1E44" w:rsidRDefault="00FA62FC" w:rsidP="00BB1E44">
            <w:pPr>
              <w:pStyle w:val="ListParagraph"/>
              <w:numPr>
                <w:ilvl w:val="0"/>
                <w:numId w:val="34"/>
              </w:numPr>
            </w:pPr>
            <w:r>
              <w:t xml:space="preserve">The first program built into the new data validation software (EDRVS) was Wagner-Peyser.  This portal required the state to manually enter the values into the software.  These values were then compared to those in the data </w:t>
            </w:r>
            <w:r w:rsidR="00DF09A8">
              <w:t xml:space="preserve">uploaded by </w:t>
            </w:r>
            <w:r w:rsidR="008C6B18">
              <w:t>s</w:t>
            </w:r>
            <w:r>
              <w:t>tates</w:t>
            </w:r>
            <w:r w:rsidR="00DF09A8">
              <w:t xml:space="preserve"> or grantees</w:t>
            </w:r>
            <w:r>
              <w:t xml:space="preserve"> when conducting data validation.  The thinking was that by having </w:t>
            </w:r>
            <w:r w:rsidR="008C6B18">
              <w:t>s</w:t>
            </w:r>
            <w:r w:rsidR="00DF09A8">
              <w:t>tates</w:t>
            </w:r>
            <w:r>
              <w:t xml:space="preserve"> enter the </w:t>
            </w:r>
            <w:r w:rsidR="00DF09A8">
              <w:t>values;</w:t>
            </w:r>
            <w:r>
              <w:t xml:space="preserve"> the system would provide a more robust check on the underlying data</w:t>
            </w:r>
            <w:r w:rsidR="00DF09A8">
              <w:t xml:space="preserve"> in that it required the validators to actively report the data rather than passively ensure what was reported was correct</w:t>
            </w:r>
            <w:r>
              <w:t xml:space="preserve">.  </w:t>
            </w:r>
            <w:r w:rsidR="00327666">
              <w:t xml:space="preserve">Since Wagner-Peyser validation is based on only 25 records, this process was not considered time consuming.  </w:t>
            </w:r>
            <w:r w:rsidR="00BB1E44">
              <w:t>ETA and the TAA</w:t>
            </w:r>
            <w:r w:rsidR="00327666">
              <w:t xml:space="preserve"> program office </w:t>
            </w:r>
            <w:r w:rsidR="00BB1E44">
              <w:t>believe that the methodology of entering values is a necessary method for validating whether the values entered by the state in reporting are valid or not</w:t>
            </w:r>
            <w:r>
              <w:t xml:space="preserve">.  </w:t>
            </w:r>
            <w:r w:rsidR="00BB1E44">
              <w:t xml:space="preserve">States should develop a consensus on “what” date (amongst available options) is entered for fields such as “Date Entered Training”. Full data entry thereby not only provides data “element” validation, but also provides states with an opportunity to validate whether the original date was the correct one to report amongst the available options. </w:t>
            </w:r>
          </w:p>
          <w:p w:rsidR="00BB1E44" w:rsidRDefault="00BB1E44" w:rsidP="00BB1E44">
            <w:pPr>
              <w:pStyle w:val="ListParagraph"/>
            </w:pPr>
          </w:p>
          <w:p w:rsidR="00FA62FC" w:rsidRDefault="00FA62FC" w:rsidP="00327666">
            <w:pPr>
              <w:pStyle w:val="ListParagraph"/>
            </w:pPr>
            <w:r>
              <w:t xml:space="preserve">ETA is considering alternative methods to verify UI wage record data.  One possibility is modifying the methodology to verify the accuracy of the wage database rather than each individual wage record.  However, ETA has not identified how that process could be integrated into the sampling procedures and error rate computations.  Since the wage records are the most critical variables for computing performance outcomes, this modification must be done with careful attention.  While </w:t>
            </w:r>
            <w:r w:rsidR="0079795C">
              <w:t>respondents</w:t>
            </w:r>
            <w:r>
              <w:t xml:space="preserve"> may consistently produce accurate data, ETA must ensure that every </w:t>
            </w:r>
            <w:r w:rsidR="00A341D2">
              <w:t>s</w:t>
            </w:r>
            <w:r>
              <w:t>tate</w:t>
            </w:r>
            <w:r w:rsidR="00DF09A8">
              <w:t xml:space="preserve"> and grantee</w:t>
            </w:r>
            <w:r>
              <w:t xml:space="preserve"> reports accurate wage information in a consistent manner.</w:t>
            </w:r>
          </w:p>
          <w:p w:rsidR="00FA62FC" w:rsidRDefault="00FA62FC" w:rsidP="001F41D8"/>
          <w:p w:rsidR="00FA62FC" w:rsidRDefault="00BB1E44" w:rsidP="001F41D8">
            <w:pPr>
              <w:pStyle w:val="ListParagraph"/>
              <w:numPr>
                <w:ilvl w:val="0"/>
                <w:numId w:val="34"/>
              </w:numPr>
            </w:pPr>
            <w:r>
              <w:t>D</w:t>
            </w:r>
            <w:r w:rsidR="00FA62FC">
              <w:t>ata validation is essential for ensuring consistent and properly calculated performance outcomes.  Report validation (</w:t>
            </w:r>
            <w:r w:rsidR="00327666">
              <w:t xml:space="preserve">now </w:t>
            </w:r>
            <w:r w:rsidR="00FA62FC">
              <w:t xml:space="preserve">done automatically under EDRVS) is necessary for ensuring the performance outcomes are calculated in a consistent </w:t>
            </w:r>
            <w:r w:rsidR="00DF09A8">
              <w:t xml:space="preserve">and accurate manner across the </w:t>
            </w:r>
            <w:r w:rsidR="00A341D2">
              <w:t>s</w:t>
            </w:r>
            <w:r w:rsidR="00FA62FC">
              <w:t xml:space="preserve">tates </w:t>
            </w:r>
            <w:r w:rsidR="0079795C">
              <w:t>and grantees</w:t>
            </w:r>
            <w:r w:rsidR="00FA62FC">
              <w:t>.  Data element validation (the focus of this comment) is necessary for ensuring that the underlying data are accurate and</w:t>
            </w:r>
            <w:r w:rsidR="00327666">
              <w:t xml:space="preserve"> that they are</w:t>
            </w:r>
            <w:r w:rsidR="00FA62FC">
              <w:t xml:space="preserve"> consistent with program eligibility requirements</w:t>
            </w:r>
            <w:r w:rsidR="0079795C">
              <w:t xml:space="preserve"> and outcome calculations</w:t>
            </w:r>
            <w:r w:rsidR="00FA62FC">
              <w:t xml:space="preserve">.  Data element validation is meant to be a management tool for </w:t>
            </w:r>
            <w:r w:rsidR="0079795C">
              <w:t>respondents</w:t>
            </w:r>
            <w:r w:rsidR="00FA62FC">
              <w:t>.  It informs them of</w:t>
            </w:r>
            <w:r w:rsidR="00327666">
              <w:t xml:space="preserve"> the underlying problems in their</w:t>
            </w:r>
            <w:r w:rsidR="00FA62FC">
              <w:t xml:space="preserve"> data and provides information </w:t>
            </w:r>
            <w:r w:rsidR="0079795C">
              <w:t>they</w:t>
            </w:r>
            <w:r w:rsidR="00FA62FC">
              <w:t xml:space="preserve"> can use to target and prioriti</w:t>
            </w:r>
            <w:r w:rsidR="0079795C">
              <w:t>ze issues with their systems,</w:t>
            </w:r>
            <w:r w:rsidR="00FA62FC">
              <w:t xml:space="preserve"> databases</w:t>
            </w:r>
            <w:r w:rsidR="0079795C">
              <w:t>, and documentation processes</w:t>
            </w:r>
            <w:r w:rsidR="00FA62FC">
              <w:t>.  There is no error rate threshold</w:t>
            </w:r>
            <w:r w:rsidR="00327666">
              <w:t xml:space="preserve"> for data element validation.  D</w:t>
            </w:r>
            <w:r w:rsidR="00FA62FC">
              <w:t>ata element validation</w:t>
            </w:r>
            <w:r w:rsidR="00327666">
              <w:t xml:space="preserve"> is a management tool for </w:t>
            </w:r>
            <w:r w:rsidR="00A341D2">
              <w:t>s</w:t>
            </w:r>
            <w:r w:rsidR="00327666">
              <w:t>tates</w:t>
            </w:r>
            <w:r w:rsidR="0079795C">
              <w:t xml:space="preserve"> and grantees</w:t>
            </w:r>
            <w:r w:rsidR="00327666">
              <w:t xml:space="preserve">.  Each </w:t>
            </w:r>
            <w:r w:rsidR="00A341D2">
              <w:t>s</w:t>
            </w:r>
            <w:r w:rsidR="00327666">
              <w:t>tate</w:t>
            </w:r>
            <w:r w:rsidR="0079795C">
              <w:t xml:space="preserve"> or grantee</w:t>
            </w:r>
            <w:r w:rsidR="00327666">
              <w:t xml:space="preserve"> generates their own DEV results and uploads them to ETA</w:t>
            </w:r>
            <w:r>
              <w:t xml:space="preserve"> through EDRVS</w:t>
            </w:r>
            <w:r w:rsidR="00327666">
              <w:t>.  The results should be used to identify reporting issues</w:t>
            </w:r>
            <w:r w:rsidR="00984DCB">
              <w:t xml:space="preserve"> within the </w:t>
            </w:r>
            <w:r w:rsidR="00A341D2">
              <w:t>s</w:t>
            </w:r>
            <w:r w:rsidR="00984DCB">
              <w:t>tate or grantee</w:t>
            </w:r>
            <w:r w:rsidR="00327666">
              <w:t>.</w:t>
            </w:r>
            <w:r w:rsidR="00FA62FC">
              <w:t xml:space="preserve"> </w:t>
            </w:r>
            <w:r w:rsidR="00327666">
              <w:t>The results are also</w:t>
            </w:r>
            <w:r w:rsidR="00FA62FC">
              <w:t xml:space="preserve"> </w:t>
            </w:r>
            <w:r w:rsidR="00327666">
              <w:t>used</w:t>
            </w:r>
            <w:r w:rsidR="00FA62FC">
              <w:t xml:space="preserve"> by the </w:t>
            </w:r>
            <w:r w:rsidR="0079795C">
              <w:t xml:space="preserve">Regional Offices </w:t>
            </w:r>
            <w:r w:rsidR="00984DCB">
              <w:t xml:space="preserve">for their </w:t>
            </w:r>
            <w:r w:rsidR="0079795C">
              <w:t>data validation reviews</w:t>
            </w:r>
            <w:r w:rsidR="00FA62FC">
              <w:t xml:space="preserve">.  Problems are identified and </w:t>
            </w:r>
            <w:r w:rsidR="00327666">
              <w:t>documented</w:t>
            </w:r>
            <w:r w:rsidR="00FA62FC">
              <w:t xml:space="preserve"> through these audits.  The D</w:t>
            </w:r>
            <w:r w:rsidR="008063EC">
              <w:t>E</w:t>
            </w:r>
            <w:r w:rsidR="00FA62FC">
              <w:t xml:space="preserve">V process helps improve program effectiveness indirectly via ensuring that program data is consistent and accurate across the </w:t>
            </w:r>
            <w:r w:rsidR="00A341D2">
              <w:t>s</w:t>
            </w:r>
            <w:r w:rsidR="0079795C">
              <w:t>tates and grantees</w:t>
            </w:r>
            <w:r w:rsidR="00FA62FC">
              <w:t xml:space="preserve">.  Consistent and accurate program reporting is necessary for effective program management and evaluation.  </w:t>
            </w:r>
            <w:r w:rsidR="008C6B18">
              <w:t>States</w:t>
            </w:r>
            <w:r w:rsidR="00FA62FC">
              <w:t xml:space="preserve"> </w:t>
            </w:r>
            <w:r w:rsidR="0079795C">
              <w:t xml:space="preserve">and grantees </w:t>
            </w:r>
            <w:r w:rsidR="00FA62FC">
              <w:t xml:space="preserve">receive the data validation results directly from the system.  </w:t>
            </w:r>
            <w:r w:rsidR="008063EC">
              <w:t xml:space="preserve">States then certify those results, which makes them available </w:t>
            </w:r>
            <w:r w:rsidR="00FA62FC">
              <w:t xml:space="preserve">to ETA.  As a result, </w:t>
            </w:r>
            <w:r w:rsidR="00A341D2">
              <w:t>s</w:t>
            </w:r>
            <w:r w:rsidR="0079795C">
              <w:t>tates and grantees</w:t>
            </w:r>
            <w:r w:rsidR="00FA62FC">
              <w:t xml:space="preserve"> are fully aware of the DEV results and, in fact, are the ones who report them to ETA.  The results include overall and reported error rates for each individual element.  ETA does not provide </w:t>
            </w:r>
            <w:r w:rsidR="00A341D2">
              <w:t>s</w:t>
            </w:r>
            <w:r w:rsidR="00FA62FC">
              <w:t xml:space="preserve">tates </w:t>
            </w:r>
            <w:r w:rsidR="0079795C">
              <w:t xml:space="preserve">and grantees </w:t>
            </w:r>
            <w:r w:rsidR="00FA62FC">
              <w:t xml:space="preserve">with the results from other </w:t>
            </w:r>
            <w:r w:rsidR="0079795C">
              <w:t>areas</w:t>
            </w:r>
            <w:r w:rsidR="00FA62FC">
              <w:t xml:space="preserve"> but addresses the problems</w:t>
            </w:r>
            <w:r w:rsidR="0079795C">
              <w:t xml:space="preserve"> within each state through the R</w:t>
            </w:r>
            <w:r w:rsidR="00FA62FC">
              <w:t xml:space="preserve">egional </w:t>
            </w:r>
            <w:r w:rsidR="0079795C">
              <w:t>O</w:t>
            </w:r>
            <w:r w:rsidR="00FA62FC">
              <w:t>ffices and the audit processes. Data validation is applied consistently using the sa</w:t>
            </w:r>
            <w:r w:rsidR="0079795C">
              <w:t>me methodology for each program.</w:t>
            </w:r>
          </w:p>
          <w:p w:rsidR="0079795C" w:rsidRDefault="0079795C" w:rsidP="0079795C">
            <w:pPr>
              <w:pStyle w:val="ListParagraph"/>
            </w:pPr>
          </w:p>
          <w:p w:rsidR="008063EC" w:rsidRDefault="00FA62FC" w:rsidP="001F41D8">
            <w:pPr>
              <w:pStyle w:val="ListParagraph"/>
              <w:numPr>
                <w:ilvl w:val="0"/>
                <w:numId w:val="34"/>
              </w:numPr>
            </w:pPr>
            <w:r>
              <w:t>The new data validation software (EDRVS) reduces burden in a number of way</w:t>
            </w:r>
            <w:r w:rsidR="008063EC">
              <w:t>s</w:t>
            </w:r>
            <w:r>
              <w:t>.  For one, quarterly program reporting and the data validation process</w:t>
            </w:r>
            <w:r w:rsidR="0079795C">
              <w:t>es</w:t>
            </w:r>
            <w:r>
              <w:t xml:space="preserve"> have been integrated.  Under EDRVS, </w:t>
            </w:r>
            <w:r w:rsidR="008C6B18">
              <w:t>s</w:t>
            </w:r>
            <w:r>
              <w:t xml:space="preserve">tates upload one individual record file rather than uploading multiple files to multiple data systems.  Two, the system also automatically generates the quarterly and annual reports for the state, freeing the state from that significant burden.  Three, states are no longer required to maintain the software on a desktop environment in their office.  </w:t>
            </w:r>
            <w:r w:rsidR="00BB1E44">
              <w:t>Using</w:t>
            </w:r>
            <w:r>
              <w:t xml:space="preserve"> the previous software, states were responsible for downloading and installing updates to the software on an annual basis in addition to maintaining a desktop environment capable of running the software.  </w:t>
            </w:r>
          </w:p>
          <w:p w:rsidR="008063EC" w:rsidRDefault="008063EC" w:rsidP="008063EC">
            <w:pPr>
              <w:pStyle w:val="ListParagraph"/>
            </w:pPr>
          </w:p>
          <w:p w:rsidR="008063EC" w:rsidRDefault="00FA62FC" w:rsidP="008063EC">
            <w:pPr>
              <w:pStyle w:val="ListParagraph"/>
            </w:pPr>
            <w:r>
              <w:t xml:space="preserve">While there have been several improvements, the data element validation procedure remains </w:t>
            </w:r>
            <w:r w:rsidR="007F51B2">
              <w:t xml:space="preserve">essentially </w:t>
            </w:r>
            <w:r>
              <w:t xml:space="preserve">the same.  This is due to the fact that the process </w:t>
            </w:r>
            <w:r w:rsidR="006506E3">
              <w:t>continues to rely</w:t>
            </w:r>
            <w:r>
              <w:t xml:space="preserve"> on drawing a sample and verifying that the underlying information matches what was submitted in the states individual record file submission.  There is little that the new software could do to reduce the burden associated with that process.  ETA is </w:t>
            </w:r>
            <w:r w:rsidR="008063EC">
              <w:t xml:space="preserve">actively </w:t>
            </w:r>
            <w:r>
              <w:t>working to reduce the sample sizes in a manner that would not compromise precision in the error rate estimates.</w:t>
            </w:r>
            <w:r w:rsidR="006506E3">
              <w:t xml:space="preserve">  </w:t>
            </w:r>
          </w:p>
          <w:p w:rsidR="008063EC" w:rsidRDefault="008063EC" w:rsidP="008063EC">
            <w:pPr>
              <w:pStyle w:val="ListParagraph"/>
            </w:pPr>
          </w:p>
          <w:p w:rsidR="001F41D8" w:rsidRDefault="008B12DC" w:rsidP="001F41D8">
            <w:pPr>
              <w:pStyle w:val="ListParagraph"/>
              <w:numPr>
                <w:ilvl w:val="0"/>
                <w:numId w:val="34"/>
              </w:numPr>
            </w:pPr>
            <w:r>
              <w:t xml:space="preserve">The new elements and updated edit checks were approved in May 2013 under OMB Control Number 1205-0420.  The burden associated with those modifications was accounted for in that collection.  In the past, </w:t>
            </w:r>
            <w:r w:rsidR="008C6B18">
              <w:t>s</w:t>
            </w:r>
            <w:r>
              <w:t>tates ha</w:t>
            </w:r>
            <w:r w:rsidR="006062B4">
              <w:t>d</w:t>
            </w:r>
            <w:r>
              <w:t xml:space="preserve"> to upload a separate dataset to the old DRVS for the purposes of conducting data validation.  The old DRVS was a separate system that was not integrated with the WIA reporting system.  The current WIASRD and data validation system (EDRVS</w:t>
            </w:r>
            <w:r w:rsidR="00A341D2">
              <w:t>) have been integrated so that s</w:t>
            </w:r>
            <w:r>
              <w:t>tate</w:t>
            </w:r>
            <w:r w:rsidR="00A341D2">
              <w:t>s and grantees</w:t>
            </w:r>
            <w:r>
              <w:t xml:space="preserve"> only have to upload the file once each quarter.  Data </w:t>
            </w:r>
            <w:proofErr w:type="gramStart"/>
            <w:r>
              <w:t>validation no longer requires its own upload and edit</w:t>
            </w:r>
            <w:proofErr w:type="gramEnd"/>
            <w:r>
              <w:t xml:space="preserve"> check processes.  This integration has resulted in less upload and edit check burden placed on </w:t>
            </w:r>
            <w:r w:rsidR="00A341D2">
              <w:t>s</w:t>
            </w:r>
            <w:r>
              <w:t>tates.</w:t>
            </w:r>
          </w:p>
          <w:p w:rsidR="001F41D8" w:rsidRDefault="001F41D8" w:rsidP="001F41D8">
            <w:pPr>
              <w:pStyle w:val="ListParagraph"/>
            </w:pPr>
          </w:p>
          <w:p w:rsidR="008063EC" w:rsidRDefault="001F41D8" w:rsidP="00603D49">
            <w:pPr>
              <w:pStyle w:val="ListParagraph"/>
              <w:numPr>
                <w:ilvl w:val="0"/>
                <w:numId w:val="34"/>
              </w:numPr>
            </w:pPr>
            <w:r>
              <w:t>The WIA DEV process u</w:t>
            </w:r>
            <w:r w:rsidR="007F51B2">
              <w:t>sing EDRVS will not require the</w:t>
            </w:r>
            <w:r w:rsidR="00BB1E44">
              <w:t xml:space="preserve"> states </w:t>
            </w:r>
            <w:r>
              <w:t xml:space="preserve">manually enter the data validation values.  The EDRVS for WIA will use the same process as the old DRVS and will generate those values automatically and only require the </w:t>
            </w:r>
            <w:r w:rsidR="00A341D2">
              <w:t>s</w:t>
            </w:r>
            <w:r>
              <w:t>tate to check pass or fail, depending on whether or not those values match their paper files.  As well, no additional data elements will be required for validation.  Due to the consolidation of the WIAS</w:t>
            </w:r>
            <w:r w:rsidR="006062B4">
              <w:t>R</w:t>
            </w:r>
            <w:r>
              <w:t>D upload and data validation procedures and the automation of the report validation process,</w:t>
            </w:r>
            <w:r w:rsidR="00603D49">
              <w:t xml:space="preserve"> the increases and decreases in burden will cancel out.  Per section 12.A. of this supporting statement, ETA estimates an annual burden of 402 hours for small states conducting WIA, TAA, and Wagner-Peyser data validation.  For medium and large </w:t>
            </w:r>
            <w:r w:rsidR="008C6B18">
              <w:t>s</w:t>
            </w:r>
            <w:r w:rsidR="00603D49">
              <w:t xml:space="preserve">tates, the estimates are 746 and 1,206 burden hours respectively.  The </w:t>
            </w:r>
            <w:r w:rsidR="008C6B18">
              <w:t>s</w:t>
            </w:r>
            <w:r w:rsidR="00603D49">
              <w:t xml:space="preserve">tates’ estimate of 352 hours for conducting data validation under the old system plus the additional time for entering the values manually into EDRVS for TAA and Wagner-Peyser is still well below ETA’s burden estimates.  Lastly, the file reviews for data validation are not required on location.  It is perfectly allowable for the </w:t>
            </w:r>
            <w:r w:rsidR="008C6B18">
              <w:t>s</w:t>
            </w:r>
            <w:r w:rsidR="00603D49">
              <w:t>tates to</w:t>
            </w:r>
            <w:r w:rsidR="004545FE">
              <w:t xml:space="preserve"> minimize travel expenditures by</w:t>
            </w:r>
            <w:r w:rsidR="00603D49">
              <w:t xml:space="preserve"> securely </w:t>
            </w:r>
            <w:r w:rsidR="004545FE">
              <w:t>transferring</w:t>
            </w:r>
            <w:r w:rsidR="00603D49">
              <w:t xml:space="preserve"> (physically or electronically) the paper documentation to a central location for review.  In fact, a couple of </w:t>
            </w:r>
            <w:r w:rsidR="008C6B18">
              <w:t>s</w:t>
            </w:r>
            <w:r w:rsidR="00603D49">
              <w:t xml:space="preserve">tates </w:t>
            </w:r>
            <w:r w:rsidR="00540E44">
              <w:t xml:space="preserve">are </w:t>
            </w:r>
            <w:r w:rsidR="00603D49">
              <w:t xml:space="preserve">currently working with the ETA Regional Offices to conduct data validation </w:t>
            </w:r>
            <w:r w:rsidR="00446C5C">
              <w:t xml:space="preserve">and data validation reviews </w:t>
            </w:r>
            <w:r w:rsidR="00603D49">
              <w:t>entirely remotely via electronic means.</w:t>
            </w:r>
            <w:r w:rsidR="00842F40">
              <w:t xml:space="preserve">  States and grantees may contact their ETA Regional Office</w:t>
            </w:r>
            <w:r w:rsidR="005D4FF6">
              <w:t>s</w:t>
            </w:r>
            <w:r w:rsidR="00842F40">
              <w:t xml:space="preserve"> for additional information.</w:t>
            </w:r>
          </w:p>
          <w:p w:rsidR="007378B9" w:rsidRDefault="007378B9" w:rsidP="007378B9">
            <w:pPr>
              <w:pStyle w:val="ListParagraph"/>
            </w:pPr>
          </w:p>
          <w:p w:rsidR="007378B9" w:rsidRDefault="007378B9" w:rsidP="006062B4">
            <w:pPr>
              <w:pStyle w:val="ListParagraph"/>
              <w:numPr>
                <w:ilvl w:val="0"/>
                <w:numId w:val="34"/>
              </w:numPr>
            </w:pPr>
            <w:r>
              <w:t xml:space="preserve">ETA will work to clarify the source documentation requirements for TAA, particularly the Petition Number and Training Waiver requirements. The </w:t>
            </w:r>
            <w:r w:rsidR="008C6B18">
              <w:t>s</w:t>
            </w:r>
            <w:r>
              <w:t>tate estimated that it took 792 hours t</w:t>
            </w:r>
            <w:r w:rsidR="00A1388A">
              <w:t>o conduct data v</w:t>
            </w:r>
            <w:r w:rsidR="00842F40">
              <w:t>alidation for WIA and that the estimate</w:t>
            </w:r>
            <w:r>
              <w:t xml:space="preserve"> for TAA data validation </w:t>
            </w:r>
            <w:r w:rsidR="00842F40">
              <w:t>was</w:t>
            </w:r>
            <w:r w:rsidR="00A1388A">
              <w:t xml:space="preserve"> </w:t>
            </w:r>
            <w:r>
              <w:t xml:space="preserve">correct.  The </w:t>
            </w:r>
            <w:r w:rsidR="008C6B18">
              <w:t>s</w:t>
            </w:r>
            <w:r>
              <w:t xml:space="preserve">tate interpreted the average time per response of 218 hours to mean that ETA estimates that it will take a </w:t>
            </w:r>
            <w:r w:rsidR="008C6B18">
              <w:t>s</w:t>
            </w:r>
            <w:r>
              <w:t>tate 218 to conduct data validation</w:t>
            </w:r>
            <w:r w:rsidR="008C6B18">
              <w:t>.  In fact, a s</w:t>
            </w:r>
            <w:r w:rsidR="00A1388A">
              <w:t>tate submits 5</w:t>
            </w:r>
            <w:r>
              <w:t xml:space="preserve"> responses for TAA</w:t>
            </w:r>
            <w:r w:rsidR="00A1388A">
              <w:t>, Wagner-Peyser</w:t>
            </w:r>
            <w:r>
              <w:t xml:space="preserve"> and WIA (WIA Adult, Dislocated Worker, and Youth).  </w:t>
            </w:r>
            <w:r w:rsidR="00A1388A">
              <w:t xml:space="preserve">The 218 hours cited by the state is an average time per response across all of the responses, including SCSEP and NFJP and abstracting from the differences in the sizes of </w:t>
            </w:r>
            <w:r w:rsidR="008C6B18">
              <w:t>s</w:t>
            </w:r>
            <w:r w:rsidR="00A1388A">
              <w:t>tates.  ETA estimates that large states (this state is one of the largest in terms of number of program participants and exiters) will take approximately 1,206 hours and $</w:t>
            </w:r>
            <w:r w:rsidR="00E14DDA">
              <w:t>49,217</w:t>
            </w:r>
            <w:r w:rsidR="00A1388A">
              <w:t xml:space="preserve"> to conduct data validation for these 5 programs.  The burden hours and costs estimated by </w:t>
            </w:r>
            <w:r w:rsidR="00297370">
              <w:t>both</w:t>
            </w:r>
            <w:r w:rsidR="00A1388A">
              <w:t xml:space="preserve"> </w:t>
            </w:r>
            <w:r w:rsidR="008C6B18">
              <w:t>s</w:t>
            </w:r>
            <w:r w:rsidR="00A1388A">
              <w:t>tate</w:t>
            </w:r>
            <w:r w:rsidR="00297370">
              <w:t>s</w:t>
            </w:r>
            <w:r w:rsidR="00A1388A">
              <w:t xml:space="preserve"> are in line </w:t>
            </w:r>
            <w:r w:rsidR="00E14DDA">
              <w:t xml:space="preserve">with </w:t>
            </w:r>
            <w:r w:rsidR="00A1388A">
              <w:t>ETA’s burden estimates</w:t>
            </w:r>
            <w:r w:rsidR="00297370">
              <w:t xml:space="preserve"> contained in 12.A</w:t>
            </w:r>
            <w:r w:rsidR="00A1388A">
              <w:t xml:space="preserve">.  </w:t>
            </w:r>
            <w:r w:rsidR="00297370">
              <w:t>Again</w:t>
            </w:r>
            <w:r w:rsidR="00A1388A">
              <w:t xml:space="preserve">, </w:t>
            </w:r>
            <w:r w:rsidR="008C6B18">
              <w:t>s</w:t>
            </w:r>
            <w:r w:rsidR="00A1388A">
              <w:t>tates are encouraged to conduct data validation from a central location.</w:t>
            </w:r>
            <w:r w:rsidR="00297370">
              <w:t xml:space="preserve">  ETA will consider the option of conducting data validation </w:t>
            </w:r>
            <w:r w:rsidR="00764EC0">
              <w:t>biennially</w:t>
            </w:r>
            <w:r w:rsidR="00F81800">
              <w:t>, as part of a possible future ICR</w:t>
            </w:r>
            <w:r w:rsidR="00764EC0">
              <w:t>;</w:t>
            </w:r>
            <w:r w:rsidR="00297370">
              <w:t xml:space="preserve"> however, the tradeoff associated with biennial reviews is that data problems will endure for twice as along.</w:t>
            </w:r>
          </w:p>
          <w:p w:rsidR="007F51B2" w:rsidRDefault="007F51B2" w:rsidP="00297370"/>
          <w:p w:rsidR="005D38F2" w:rsidRDefault="001707E3" w:rsidP="006E61BF">
            <w:pPr>
              <w:pStyle w:val="ListParagraph"/>
              <w:numPr>
                <w:ilvl w:val="0"/>
                <w:numId w:val="34"/>
              </w:numPr>
            </w:pPr>
            <w:r>
              <w:t xml:space="preserve">Exact date matching is </w:t>
            </w:r>
            <w:r w:rsidR="00146B4E">
              <w:t>difficult</w:t>
            </w:r>
            <w:r>
              <w:t>.</w:t>
            </w:r>
            <w:r w:rsidR="00146B4E">
              <w:t xml:space="preserve"> In general, the point of data validation is to ensure that the individual record data on participants is accurate and that the performance outcomes are calculated consistently.  If a training date does not match what’s reported in the individual record submission it is technically incorrect.  In the vast majority of cases, differences of a couple of days would not affect performance or eligibility.  However, it certainly could </w:t>
            </w:r>
            <w:r>
              <w:t xml:space="preserve">affect performance or eligibility, </w:t>
            </w:r>
            <w:r w:rsidR="00146B4E">
              <w:t xml:space="preserve">and the point of the process is to highlight cases where the data does not match.  Since data element validation is a management tool, it is designed to identify all discrepancies.  </w:t>
            </w:r>
          </w:p>
          <w:p w:rsidR="00764EC0" w:rsidRDefault="00764EC0" w:rsidP="00764EC0">
            <w:pPr>
              <w:pStyle w:val="ListParagraph"/>
            </w:pPr>
          </w:p>
          <w:p w:rsidR="00764EC0" w:rsidRDefault="00764EC0" w:rsidP="00764EC0">
            <w:pPr>
              <w:pStyle w:val="ListParagraph"/>
              <w:numPr>
                <w:ilvl w:val="0"/>
                <w:numId w:val="34"/>
              </w:numPr>
            </w:pPr>
            <w:r>
              <w:t>Prior t</w:t>
            </w:r>
            <w:r w:rsidR="008C6B18">
              <w:t>o EDRVS, the old DRVS required s</w:t>
            </w:r>
            <w:r>
              <w:t>tates and grantees to download the DRVS software and install it on a local machine.  As a result, annual installation patches and updates had to be incorpo</w:t>
            </w:r>
            <w:r w:rsidR="008C6B18">
              <w:t>rated every year in every s</w:t>
            </w:r>
            <w:r>
              <w:t xml:space="preserve">tate and grantee.  This was a considerable obstacle and one that caused ETA to expend considerable resources on technical assistance and training.  Migration to EDRVS has reduced this burden by moving the software to an online environment.  In that environment, EDRVS can be updated one time from a central location freeing </w:t>
            </w:r>
            <w:r w:rsidR="008C6B18">
              <w:t>s</w:t>
            </w:r>
            <w:r>
              <w:t xml:space="preserve">tates and grantees from the burden of having to maintain the software in house.  Substantial upgrades to EDRVS that make it easier to identify the records being validated have already been put into production.  While ETA does not use participant names or other personally identifiable information for security purposes, the identification of the records </w:t>
            </w:r>
            <w:r w:rsidR="00BB1E44">
              <w:t xml:space="preserve">for state management purposes </w:t>
            </w:r>
            <w:r>
              <w:t>has been made much more manageable in the most recent versions of the software.</w:t>
            </w:r>
          </w:p>
          <w:p w:rsidR="00FE476A" w:rsidRDefault="00FE476A" w:rsidP="00FE476A">
            <w:pPr>
              <w:pStyle w:val="ListParagraph"/>
            </w:pPr>
          </w:p>
          <w:p w:rsidR="00FE476A" w:rsidRDefault="00FE476A" w:rsidP="00FE476A">
            <w:pPr>
              <w:pStyle w:val="ListParagraph"/>
            </w:pPr>
            <w:r>
              <w:t>Local area reporting capability has not yet been automated within the EDRVS.  These reports will be built into the system in future versions.  ETA has implemented a workaround whereby the local area reports are produced and provided in excel format.  ETA will continue to provide local area reports in this manner until these reports are generated automatically by EDRVS.</w:t>
            </w:r>
          </w:p>
        </w:tc>
      </w:tr>
    </w:tbl>
    <w:p w:rsidR="00FA62FC" w:rsidRDefault="00FA62FC" w:rsidP="00A8528C"/>
    <w:p w:rsidR="005205D2" w:rsidRDefault="005205D2">
      <w:pPr>
        <w:rPr>
          <w:b/>
        </w:rPr>
      </w:pPr>
      <w:r>
        <w:rPr>
          <w:b/>
        </w:rPr>
        <w:t>9. Payments to Respondents</w:t>
      </w:r>
    </w:p>
    <w:p w:rsidR="005205D2" w:rsidRDefault="005205D2">
      <w:pPr>
        <w:rPr>
          <w:b/>
        </w:rPr>
      </w:pPr>
    </w:p>
    <w:p w:rsidR="00CE5934" w:rsidRDefault="00CE5934" w:rsidP="00CE5934">
      <w:r>
        <w:t xml:space="preserve">This information collection does not involve direct payments to respondents.  ETA does provide administrative funding to the participating states and grantees, which are listed as the respondents for purposes of the Paperwork Reduction Act.  The requirement to perform data validation derives from states’ and grantees’ responsibility to provide accurate information on program activities and outcomes to ETA.  States and grantees are expected to provide resources from their administrative funds for the data validation effort.  Validation of program performance is a basic responsibility of grantees, which are required to report program performance, under Department of Labor regulations (29 CFR 95.51 and 97.40).    </w:t>
      </w:r>
    </w:p>
    <w:p w:rsidR="005205D2" w:rsidRDefault="005205D2">
      <w:pPr>
        <w:rPr>
          <w:b/>
        </w:rPr>
      </w:pPr>
    </w:p>
    <w:p w:rsidR="005205D2" w:rsidRDefault="005205D2">
      <w:pPr>
        <w:rPr>
          <w:b/>
        </w:rPr>
      </w:pPr>
      <w:r>
        <w:rPr>
          <w:b/>
        </w:rPr>
        <w:t>10. Confidentiality</w:t>
      </w:r>
    </w:p>
    <w:p w:rsidR="005205D2" w:rsidRDefault="005205D2">
      <w:pPr>
        <w:rPr>
          <w:b/>
        </w:rPr>
      </w:pPr>
    </w:p>
    <w:p w:rsidR="00B3386B" w:rsidRDefault="005205D2">
      <w:r>
        <w:t xml:space="preserve">Participant record layouts used in data validation for the </w:t>
      </w:r>
      <w:r w:rsidR="00CE5934">
        <w:t xml:space="preserve">WIA Title IB, Wagner-Peyser, TAA, </w:t>
      </w:r>
      <w:r>
        <w:t xml:space="preserve">NFJP </w:t>
      </w:r>
      <w:r w:rsidR="00CE5934">
        <w:t xml:space="preserve">and SCSEP </w:t>
      </w:r>
      <w:r w:rsidR="006E7EC2">
        <w:t>utilize</w:t>
      </w:r>
      <w:r>
        <w:t xml:space="preserve"> state-assigned individual identifiers</w:t>
      </w:r>
      <w:r w:rsidR="006E7EC2">
        <w:t xml:space="preserve"> rather than Social Security Numbers</w:t>
      </w:r>
      <w:r w:rsidR="009B1949">
        <w:t xml:space="preserve"> (SSNs)</w:t>
      </w:r>
      <w:r w:rsidR="006E7EC2">
        <w:t xml:space="preserve">. </w:t>
      </w:r>
      <w:r w:rsidR="001B72D7">
        <w:t xml:space="preserve">This means that the data files that are uploaded to the </w:t>
      </w:r>
      <w:r w:rsidR="006E7EC2">
        <w:t>E</w:t>
      </w:r>
      <w:r w:rsidR="001B72D7">
        <w:t>DRVS software have had the social security numbers necessary for obtaining wage record information removed from the file</w:t>
      </w:r>
      <w:r w:rsidR="00B3386B">
        <w:t xml:space="preserve"> after the wage information was reported</w:t>
      </w:r>
      <w:r w:rsidR="001B72D7">
        <w:t xml:space="preserve">.  The social security fields </w:t>
      </w:r>
      <w:r w:rsidR="00B3386B">
        <w:t xml:space="preserve">are </w:t>
      </w:r>
      <w:r w:rsidR="001B72D7">
        <w:t>replaced with state-specific unique identifiers</w:t>
      </w:r>
      <w:r w:rsidR="00B3386B">
        <w:t xml:space="preserve"> before the file is uploaded to </w:t>
      </w:r>
      <w:r w:rsidR="006E7EC2">
        <w:t>EDRVS</w:t>
      </w:r>
      <w:r w:rsidR="001B72D7">
        <w:t>.  However, since d</w:t>
      </w:r>
      <w:r>
        <w:t xml:space="preserve">ata element validation </w:t>
      </w:r>
      <w:r w:rsidR="00B3386B">
        <w:t xml:space="preserve">necessarily </w:t>
      </w:r>
      <w:r>
        <w:t xml:space="preserve">involves </w:t>
      </w:r>
      <w:r w:rsidR="006E7EC2">
        <w:t xml:space="preserve">the state </w:t>
      </w:r>
      <w:r>
        <w:t xml:space="preserve">accessing </w:t>
      </w:r>
      <w:r w:rsidR="00B3386B">
        <w:t xml:space="preserve">the underlying </w:t>
      </w:r>
      <w:r>
        <w:t>wage record</w:t>
      </w:r>
      <w:r w:rsidR="00B3386B">
        <w:t xml:space="preserve"> information</w:t>
      </w:r>
      <w:r>
        <w:t xml:space="preserve"> by social security number in order to verify the accuracy of wage information contained in the participant records submitted to ETA</w:t>
      </w:r>
      <w:r w:rsidR="00B3386B">
        <w:t xml:space="preserve">, the records that end up in the data element validation sample must include </w:t>
      </w:r>
      <w:r w:rsidR="006E7EC2">
        <w:t>an identifier states can use to link back to</w:t>
      </w:r>
      <w:r w:rsidR="00B3386B">
        <w:t xml:space="preserve"> the actual wage data reported in the individual record file.  This is because validation works by comparing the information in the case file (or wage record file in this case) against that reported in the individual record file.  To do this, the state uses the unique identifier associated with the particular record to identify the relevant case file.  The case file information is then used to link to the wage information for the purposes of data element validation.</w:t>
      </w:r>
    </w:p>
    <w:p w:rsidR="00B3386B" w:rsidRDefault="00B3386B"/>
    <w:p w:rsidR="005205D2" w:rsidRDefault="005205D2">
      <w:r>
        <w:t xml:space="preserve">To protect the </w:t>
      </w:r>
      <w:r w:rsidR="00A42A1C">
        <w:t>privacy</w:t>
      </w:r>
      <w:r>
        <w:t xml:space="preserve"> of program participants, the validation software </w:t>
      </w:r>
      <w:r w:rsidR="0026081D">
        <w:t xml:space="preserve">does not ever receive an SSN and </w:t>
      </w:r>
      <w:r>
        <w:t xml:space="preserve">includes user functionality that allows program administrators to limit access to this information based on administrative clearance.  </w:t>
      </w:r>
      <w:r w:rsidR="00B3386B">
        <w:t xml:space="preserve">The program administrator is the only person with access to the password required to use the software, as one user name and password is issued to the state. No other means of access to </w:t>
      </w:r>
      <w:r w:rsidR="009B1949">
        <w:t xml:space="preserve">these </w:t>
      </w:r>
      <w:r w:rsidR="00B3386B">
        <w:t xml:space="preserve">data is permitted.  </w:t>
      </w:r>
      <w:r w:rsidR="00072147">
        <w:t xml:space="preserve">Keeping data private </w:t>
      </w:r>
      <w:r>
        <w:t>is not an issue with report validation</w:t>
      </w:r>
      <w:r w:rsidR="00574721">
        <w:t xml:space="preserve"> because this aspect of data validation </w:t>
      </w:r>
      <w:r>
        <w:t>simply involves verifying the accuracy of aggregate reports submitted to ETA</w:t>
      </w:r>
      <w:r w:rsidR="00574721">
        <w:t xml:space="preserve"> and so contains </w:t>
      </w:r>
      <w:r w:rsidR="00C67CE9">
        <w:t>no</w:t>
      </w:r>
      <w:r w:rsidR="00574721">
        <w:t xml:space="preserve"> </w:t>
      </w:r>
      <w:r w:rsidR="00072147">
        <w:t xml:space="preserve">private </w:t>
      </w:r>
      <w:r w:rsidR="00574721">
        <w:t>information</w:t>
      </w:r>
      <w:r>
        <w:t xml:space="preserve">.  </w:t>
      </w:r>
    </w:p>
    <w:p w:rsidR="005205D2" w:rsidRDefault="005205D2">
      <w:pPr>
        <w:rPr>
          <w:b/>
        </w:rPr>
      </w:pPr>
    </w:p>
    <w:p w:rsidR="005205D2" w:rsidRPr="00954790" w:rsidRDefault="005205D2">
      <w:pPr>
        <w:rPr>
          <w:b/>
        </w:rPr>
      </w:pPr>
      <w:r w:rsidRPr="00954790">
        <w:rPr>
          <w:b/>
        </w:rPr>
        <w:t>11. Questions of a Sensitive Nature</w:t>
      </w:r>
    </w:p>
    <w:p w:rsidR="005205D2" w:rsidRPr="00954790" w:rsidRDefault="005205D2">
      <w:pPr>
        <w:rPr>
          <w:b/>
        </w:rPr>
      </w:pPr>
    </w:p>
    <w:p w:rsidR="00950824" w:rsidRDefault="00950824" w:rsidP="00950824">
      <w:r>
        <w:t>The data collection includes no questions of a sensitive nature.</w:t>
      </w:r>
    </w:p>
    <w:p w:rsidR="00950824" w:rsidRDefault="00950824" w:rsidP="00950824"/>
    <w:p w:rsidR="005205D2" w:rsidRPr="00954790" w:rsidRDefault="005205D2">
      <w:pPr>
        <w:rPr>
          <w:b/>
        </w:rPr>
      </w:pPr>
      <w:r w:rsidRPr="00954790">
        <w:rPr>
          <w:b/>
        </w:rPr>
        <w:t>12. Respondent Annual Burden</w:t>
      </w:r>
    </w:p>
    <w:p w:rsidR="005205D2" w:rsidRPr="00954790" w:rsidRDefault="005205D2">
      <w:pPr>
        <w:rPr>
          <w:b/>
        </w:rPr>
      </w:pPr>
    </w:p>
    <w:p w:rsidR="005205D2" w:rsidRPr="00954790" w:rsidRDefault="005205D2">
      <w:pPr>
        <w:pStyle w:val="BodyText"/>
        <w:rPr>
          <w:color w:val="auto"/>
        </w:rPr>
      </w:pPr>
      <w:r w:rsidRPr="00954790">
        <w:rPr>
          <w:color w:val="auto"/>
        </w:rPr>
        <w:t xml:space="preserve">Data validation is estimated to require an annual burden of </w:t>
      </w:r>
      <w:r w:rsidR="000D76B8">
        <w:rPr>
          <w:color w:val="auto"/>
        </w:rPr>
        <w:t>62,174</w:t>
      </w:r>
      <w:r w:rsidRPr="00954790">
        <w:rPr>
          <w:color w:val="auto"/>
        </w:rPr>
        <w:t xml:space="preserve"> hours for all </w:t>
      </w:r>
      <w:proofErr w:type="gramStart"/>
      <w:r w:rsidR="00765186">
        <w:rPr>
          <w:color w:val="auto"/>
        </w:rPr>
        <w:t>5</w:t>
      </w:r>
      <w:proofErr w:type="gramEnd"/>
      <w:r w:rsidR="00765186">
        <w:rPr>
          <w:color w:val="auto"/>
        </w:rPr>
        <w:t xml:space="preserve"> </w:t>
      </w:r>
      <w:r w:rsidR="0089588C">
        <w:rPr>
          <w:color w:val="auto"/>
        </w:rPr>
        <w:t>programs subject to this</w:t>
      </w:r>
      <w:r w:rsidRPr="00954790">
        <w:rPr>
          <w:color w:val="auto"/>
        </w:rPr>
        <w:t xml:space="preserve"> validation requirement.</w:t>
      </w:r>
    </w:p>
    <w:p w:rsidR="005205D2" w:rsidRPr="00954790" w:rsidRDefault="005205D2">
      <w:pPr>
        <w:pStyle w:val="Header"/>
        <w:tabs>
          <w:tab w:val="clear" w:pos="4320"/>
          <w:tab w:val="clear" w:pos="8640"/>
        </w:tabs>
      </w:pPr>
    </w:p>
    <w:p w:rsidR="005205D2" w:rsidRPr="00173D68" w:rsidRDefault="005205D2">
      <w:pPr>
        <w:pStyle w:val="BodyText"/>
        <w:rPr>
          <w:color w:val="auto"/>
        </w:rPr>
      </w:pPr>
      <w:r w:rsidRPr="00173D68">
        <w:rPr>
          <w:color w:val="auto"/>
        </w:rPr>
        <w:t xml:space="preserve">Burden estimates for state programs – WIA Title IB, Wagner-Peyser, and TAA – are outlined in </w:t>
      </w:r>
      <w:r w:rsidR="00672FE1" w:rsidRPr="00173D68">
        <w:rPr>
          <w:color w:val="auto"/>
        </w:rPr>
        <w:t>Item</w:t>
      </w:r>
      <w:r w:rsidRPr="00173D68">
        <w:rPr>
          <w:color w:val="auto"/>
        </w:rPr>
        <w:t xml:space="preserve"> 12.A.  Data validation </w:t>
      </w:r>
      <w:proofErr w:type="gramStart"/>
      <w:r w:rsidRPr="00173D68">
        <w:rPr>
          <w:color w:val="auto"/>
        </w:rPr>
        <w:t>is estimated</w:t>
      </w:r>
      <w:proofErr w:type="gramEnd"/>
      <w:r w:rsidRPr="00173D68">
        <w:rPr>
          <w:color w:val="auto"/>
        </w:rPr>
        <w:t xml:space="preserve"> to require a total annual burden of 41,970 </w:t>
      </w:r>
      <w:r w:rsidR="009B1949" w:rsidRPr="00173D68">
        <w:rPr>
          <w:color w:val="auto"/>
        </w:rPr>
        <w:t xml:space="preserve">hours </w:t>
      </w:r>
      <w:r w:rsidR="009D539F" w:rsidRPr="00173D68">
        <w:rPr>
          <w:color w:val="auto"/>
        </w:rPr>
        <w:t>with an equivalent value of</w:t>
      </w:r>
      <w:r w:rsidRPr="00173D68">
        <w:rPr>
          <w:color w:val="auto"/>
        </w:rPr>
        <w:t xml:space="preserve"> </w:t>
      </w:r>
      <w:r w:rsidR="003C1F78" w:rsidRPr="00173D68">
        <w:rPr>
          <w:color w:val="auto"/>
        </w:rPr>
        <w:t>$</w:t>
      </w:r>
      <w:r w:rsidR="001F3554" w:rsidRPr="00173D68">
        <w:rPr>
          <w:color w:val="auto"/>
        </w:rPr>
        <w:t>1,079,888</w:t>
      </w:r>
      <w:r w:rsidR="003C1F78" w:rsidRPr="00173D68">
        <w:t xml:space="preserve"> </w:t>
      </w:r>
      <w:r w:rsidRPr="00173D68">
        <w:rPr>
          <w:color w:val="auto"/>
        </w:rPr>
        <w:t>for all state programs.  Burden estimates for grantee programs – NFJP</w:t>
      </w:r>
      <w:r w:rsidR="000D76B8" w:rsidRPr="00173D68">
        <w:rPr>
          <w:color w:val="auto"/>
        </w:rPr>
        <w:t xml:space="preserve"> and SCSEP</w:t>
      </w:r>
      <w:r w:rsidRPr="00173D68">
        <w:rPr>
          <w:color w:val="auto"/>
        </w:rPr>
        <w:t xml:space="preserve"> – are outlined in </w:t>
      </w:r>
      <w:r w:rsidR="009D539F" w:rsidRPr="00173D68">
        <w:rPr>
          <w:color w:val="auto"/>
        </w:rPr>
        <w:t>Item</w:t>
      </w:r>
      <w:r w:rsidRPr="00173D68">
        <w:rPr>
          <w:color w:val="auto"/>
        </w:rPr>
        <w:t xml:space="preserve"> 12.B.  Data validation is estimated to require a total annual burden of </w:t>
      </w:r>
      <w:r w:rsidR="000D76B8" w:rsidRPr="00173D68">
        <w:rPr>
          <w:color w:val="auto"/>
        </w:rPr>
        <w:t>20,204</w:t>
      </w:r>
      <w:r w:rsidRPr="00173D68">
        <w:rPr>
          <w:color w:val="auto"/>
        </w:rPr>
        <w:t xml:space="preserve"> hours </w:t>
      </w:r>
      <w:r w:rsidR="00B50CCF" w:rsidRPr="00173D68">
        <w:rPr>
          <w:color w:val="auto"/>
        </w:rPr>
        <w:t>with an equivalent value of</w:t>
      </w:r>
      <w:r w:rsidRPr="00173D68">
        <w:rPr>
          <w:color w:val="auto"/>
        </w:rPr>
        <w:t xml:space="preserve"> </w:t>
      </w:r>
      <w:r w:rsidR="001F3554" w:rsidRPr="004E6975">
        <w:rPr>
          <w:color w:val="000000" w:themeColor="text1"/>
        </w:rPr>
        <w:t xml:space="preserve">$354,580 for private non-profit grantees and </w:t>
      </w:r>
      <w:proofErr w:type="gramStart"/>
      <w:r w:rsidR="001F3554" w:rsidRPr="004E6975">
        <w:rPr>
          <w:color w:val="000000" w:themeColor="text1"/>
        </w:rPr>
        <w:t>Federally-recognized</w:t>
      </w:r>
      <w:proofErr w:type="gramEnd"/>
      <w:r w:rsidR="001F3554" w:rsidRPr="004E6975">
        <w:rPr>
          <w:color w:val="000000" w:themeColor="text1"/>
        </w:rPr>
        <w:t xml:space="preserve"> tribes/$519,849</w:t>
      </w:r>
      <w:r w:rsidR="000D76B8" w:rsidRPr="004E6975">
        <w:rPr>
          <w:color w:val="000000" w:themeColor="text1"/>
        </w:rPr>
        <w:t xml:space="preserve"> </w:t>
      </w:r>
      <w:r w:rsidR="001F3554" w:rsidRPr="004E6975">
        <w:rPr>
          <w:color w:val="000000" w:themeColor="text1"/>
        </w:rPr>
        <w:t xml:space="preserve">for state, county, and U.S. territory government </w:t>
      </w:r>
      <w:r w:rsidRPr="00173D68">
        <w:rPr>
          <w:color w:val="auto"/>
        </w:rPr>
        <w:t xml:space="preserve">grantee programs.  </w:t>
      </w:r>
    </w:p>
    <w:p w:rsidR="005205D2" w:rsidRPr="00954790" w:rsidRDefault="005205D2">
      <w:pPr>
        <w:rPr>
          <w:b/>
        </w:rPr>
      </w:pPr>
    </w:p>
    <w:p w:rsidR="005205D2" w:rsidRPr="00954790" w:rsidRDefault="005205D2">
      <w:pPr>
        <w:pStyle w:val="Heading5"/>
        <w:rPr>
          <w:bCs w:val="0"/>
        </w:rPr>
      </w:pPr>
      <w:r w:rsidRPr="00954790">
        <w:rPr>
          <w:bCs w:val="0"/>
        </w:rPr>
        <w:t>A. State Programs: WIA Title IB, Wagner-Peyser, and TAA</w:t>
      </w:r>
    </w:p>
    <w:p w:rsidR="005205D2" w:rsidRPr="00954790" w:rsidRDefault="005205D2">
      <w:pPr>
        <w:pStyle w:val="Header"/>
        <w:tabs>
          <w:tab w:val="clear" w:pos="4320"/>
          <w:tab w:val="clear" w:pos="8640"/>
        </w:tabs>
      </w:pPr>
    </w:p>
    <w:p w:rsidR="005205D2" w:rsidRPr="00954790" w:rsidRDefault="005205D2">
      <w:pPr>
        <w:rPr>
          <w:sz w:val="23"/>
          <w:szCs w:val="23"/>
        </w:rPr>
      </w:pPr>
      <w:r w:rsidRPr="00954790">
        <w:t xml:space="preserve">Table 2 provides an overview of the annual burden for the </w:t>
      </w:r>
      <w:r w:rsidRPr="00954790">
        <w:rPr>
          <w:sz w:val="23"/>
          <w:szCs w:val="23"/>
        </w:rPr>
        <w:t>WIA Title IB, Wagner-Peyser, and TAA</w:t>
      </w:r>
      <w:r w:rsidRPr="00954790">
        <w:t xml:space="preserve"> programs, including average hours and costs across states in all three programs.  The estimated annual hours needed to conduct validation for these </w:t>
      </w:r>
      <w:r w:rsidRPr="00954790">
        <w:rPr>
          <w:sz w:val="23"/>
          <w:szCs w:val="23"/>
        </w:rPr>
        <w:t>programs</w:t>
      </w:r>
      <w:r w:rsidRPr="00954790">
        <w:t xml:space="preserve"> is 792 hours (rounded) on average per state and 41,970 hours for all states.  The estimated annual cost of performing </w:t>
      </w:r>
      <w:r w:rsidR="00E24F0E">
        <w:t>validation is $</w:t>
      </w:r>
      <w:r w:rsidR="00765186">
        <w:t>20,378</w:t>
      </w:r>
      <w:r w:rsidRPr="00954790">
        <w:t xml:space="preserve"> on average per state </w:t>
      </w:r>
      <w:r w:rsidR="00B81C40">
        <w:t>with an equivalent value of</w:t>
      </w:r>
      <w:r w:rsidRPr="00954790">
        <w:t xml:space="preserve"> </w:t>
      </w:r>
      <w:r w:rsidRPr="00954790">
        <w:rPr>
          <w:sz w:val="23"/>
          <w:szCs w:val="23"/>
        </w:rPr>
        <w:t>$</w:t>
      </w:r>
      <w:r w:rsidR="00765186">
        <w:rPr>
          <w:sz w:val="23"/>
          <w:szCs w:val="23"/>
        </w:rPr>
        <w:t>1,079,888</w:t>
      </w:r>
      <w:r w:rsidRPr="00954790">
        <w:rPr>
          <w:sz w:val="23"/>
          <w:szCs w:val="23"/>
        </w:rPr>
        <w:t xml:space="preserve"> for all states.</w:t>
      </w:r>
    </w:p>
    <w:p w:rsidR="004E3934" w:rsidRDefault="004E3934" w:rsidP="00FA5699">
      <w:pPr>
        <w:rPr>
          <w:b/>
          <w:sz w:val="22"/>
          <w:szCs w:val="22"/>
        </w:rPr>
      </w:pPr>
    </w:p>
    <w:p w:rsidR="005205D2" w:rsidRDefault="005205D2" w:rsidP="00FA5699">
      <w:pPr>
        <w:rPr>
          <w:b/>
          <w:sz w:val="22"/>
          <w:szCs w:val="22"/>
        </w:rPr>
      </w:pPr>
      <w:r w:rsidRPr="00954790">
        <w:rPr>
          <w:b/>
          <w:sz w:val="22"/>
          <w:szCs w:val="22"/>
        </w:rPr>
        <w:t xml:space="preserve">Table 2 - Calculation of Combined Annual Burden for WIA Title IB, Wagner-Peyser, and TAA Programs </w:t>
      </w:r>
    </w:p>
    <w:p w:rsidR="00D90743" w:rsidRPr="00954790" w:rsidRDefault="00D90743">
      <w:pPr>
        <w:jc w:val="center"/>
        <w:rPr>
          <w:b/>
          <w:sz w:val="22"/>
          <w:szCs w:val="22"/>
        </w:rPr>
      </w:pPr>
    </w:p>
    <w:tbl>
      <w:tblPr>
        <w:tblStyle w:val="TableGrid"/>
        <w:tblW w:w="10170" w:type="dxa"/>
        <w:tblInd w:w="-162" w:type="dxa"/>
        <w:tblLayout w:type="fixed"/>
        <w:tblLook w:val="04A0" w:firstRow="1" w:lastRow="0" w:firstColumn="1" w:lastColumn="0" w:noHBand="0" w:noVBand="1"/>
      </w:tblPr>
      <w:tblGrid>
        <w:gridCol w:w="1080"/>
        <w:gridCol w:w="1530"/>
        <w:gridCol w:w="990"/>
        <w:gridCol w:w="990"/>
        <w:gridCol w:w="1170"/>
        <w:gridCol w:w="900"/>
        <w:gridCol w:w="1170"/>
        <w:gridCol w:w="900"/>
        <w:gridCol w:w="1440"/>
      </w:tblGrid>
      <w:tr w:rsidR="00407962" w:rsidRPr="004E709D" w:rsidTr="00984FE8">
        <w:tc>
          <w:tcPr>
            <w:tcW w:w="1080" w:type="dxa"/>
          </w:tcPr>
          <w:p w:rsidR="00255CA1" w:rsidRPr="00995B07" w:rsidRDefault="00984FE8">
            <w:pPr>
              <w:rPr>
                <w:b/>
                <w:i/>
                <w:sz w:val="22"/>
                <w:szCs w:val="22"/>
              </w:rPr>
            </w:pPr>
            <w:r w:rsidRPr="00995B07">
              <w:rPr>
                <w:b/>
                <w:i/>
                <w:sz w:val="22"/>
                <w:szCs w:val="22"/>
              </w:rPr>
              <w:t>State Size</w:t>
            </w:r>
          </w:p>
        </w:tc>
        <w:tc>
          <w:tcPr>
            <w:tcW w:w="1530" w:type="dxa"/>
          </w:tcPr>
          <w:p w:rsidR="00255CA1" w:rsidRPr="004E709D" w:rsidRDefault="00EB6717">
            <w:pPr>
              <w:rPr>
                <w:b/>
                <w:i/>
                <w:sz w:val="22"/>
                <w:szCs w:val="22"/>
              </w:rPr>
            </w:pPr>
            <w:r w:rsidRPr="004E709D">
              <w:rPr>
                <w:b/>
                <w:i/>
                <w:sz w:val="22"/>
                <w:szCs w:val="22"/>
              </w:rPr>
              <w:t>No. of States (Respondents)</w:t>
            </w:r>
          </w:p>
        </w:tc>
        <w:tc>
          <w:tcPr>
            <w:tcW w:w="990" w:type="dxa"/>
          </w:tcPr>
          <w:p w:rsidR="00255CA1" w:rsidRPr="004E709D" w:rsidRDefault="00EB6717">
            <w:pPr>
              <w:rPr>
                <w:b/>
                <w:i/>
                <w:sz w:val="22"/>
                <w:szCs w:val="22"/>
              </w:rPr>
            </w:pPr>
            <w:r w:rsidRPr="004E709D">
              <w:rPr>
                <w:b/>
                <w:i/>
                <w:sz w:val="22"/>
                <w:szCs w:val="22"/>
              </w:rPr>
              <w:t>Reports per year per State</w:t>
            </w:r>
          </w:p>
        </w:tc>
        <w:tc>
          <w:tcPr>
            <w:tcW w:w="990" w:type="dxa"/>
          </w:tcPr>
          <w:p w:rsidR="00255CA1" w:rsidRPr="004E709D" w:rsidRDefault="00EB6717">
            <w:pPr>
              <w:rPr>
                <w:b/>
                <w:i/>
                <w:sz w:val="22"/>
                <w:szCs w:val="22"/>
              </w:rPr>
            </w:pPr>
            <w:r w:rsidRPr="004E709D">
              <w:rPr>
                <w:b/>
                <w:i/>
                <w:sz w:val="22"/>
                <w:szCs w:val="22"/>
              </w:rPr>
              <w:t>Total Annual Reports</w:t>
            </w:r>
          </w:p>
        </w:tc>
        <w:tc>
          <w:tcPr>
            <w:tcW w:w="1170" w:type="dxa"/>
          </w:tcPr>
          <w:p w:rsidR="00255CA1" w:rsidRPr="004E709D" w:rsidRDefault="00EB6717">
            <w:pPr>
              <w:rPr>
                <w:b/>
                <w:i/>
                <w:sz w:val="22"/>
                <w:szCs w:val="22"/>
              </w:rPr>
            </w:pPr>
            <w:r w:rsidRPr="004E709D">
              <w:rPr>
                <w:b/>
                <w:i/>
                <w:sz w:val="22"/>
                <w:szCs w:val="22"/>
              </w:rPr>
              <w:t>Hours per Report</w:t>
            </w:r>
          </w:p>
        </w:tc>
        <w:tc>
          <w:tcPr>
            <w:tcW w:w="900" w:type="dxa"/>
          </w:tcPr>
          <w:p w:rsidR="00255CA1" w:rsidRPr="004E709D" w:rsidRDefault="00EB6717">
            <w:pPr>
              <w:rPr>
                <w:b/>
                <w:i/>
                <w:sz w:val="22"/>
                <w:szCs w:val="22"/>
              </w:rPr>
            </w:pPr>
            <w:r w:rsidRPr="004E709D">
              <w:rPr>
                <w:b/>
                <w:i/>
                <w:sz w:val="22"/>
                <w:szCs w:val="22"/>
              </w:rPr>
              <w:t>Hours per State</w:t>
            </w:r>
          </w:p>
        </w:tc>
        <w:tc>
          <w:tcPr>
            <w:tcW w:w="1170" w:type="dxa"/>
          </w:tcPr>
          <w:p w:rsidR="00255CA1" w:rsidRPr="004E709D" w:rsidRDefault="00EB6717">
            <w:pPr>
              <w:rPr>
                <w:b/>
                <w:i/>
                <w:sz w:val="22"/>
                <w:szCs w:val="22"/>
              </w:rPr>
            </w:pPr>
            <w:r w:rsidRPr="004E709D">
              <w:rPr>
                <w:b/>
                <w:i/>
              </w:rPr>
              <w:t>Total Hours</w:t>
            </w:r>
          </w:p>
        </w:tc>
        <w:tc>
          <w:tcPr>
            <w:tcW w:w="900" w:type="dxa"/>
          </w:tcPr>
          <w:p w:rsidR="00255CA1" w:rsidRPr="004E709D" w:rsidRDefault="0098725D">
            <w:pPr>
              <w:rPr>
                <w:b/>
                <w:i/>
                <w:sz w:val="22"/>
                <w:szCs w:val="22"/>
              </w:rPr>
            </w:pPr>
            <w:r w:rsidRPr="004E709D">
              <w:rPr>
                <w:b/>
                <w:i/>
              </w:rPr>
              <w:t>Rate in $/</w:t>
            </w:r>
            <w:proofErr w:type="spellStart"/>
            <w:r w:rsidRPr="004E709D">
              <w:rPr>
                <w:b/>
                <w:i/>
              </w:rPr>
              <w:t>hr</w:t>
            </w:r>
            <w:proofErr w:type="spellEnd"/>
          </w:p>
        </w:tc>
        <w:tc>
          <w:tcPr>
            <w:tcW w:w="1440" w:type="dxa"/>
          </w:tcPr>
          <w:p w:rsidR="00255CA1" w:rsidRPr="004E709D" w:rsidRDefault="003F0547" w:rsidP="00DA7C39">
            <w:pPr>
              <w:rPr>
                <w:b/>
                <w:i/>
                <w:sz w:val="22"/>
                <w:szCs w:val="22"/>
              </w:rPr>
            </w:pPr>
            <w:r>
              <w:rPr>
                <w:b/>
                <w:i/>
                <w:sz w:val="22"/>
                <w:szCs w:val="22"/>
              </w:rPr>
              <w:t>Monetized Value</w:t>
            </w:r>
          </w:p>
        </w:tc>
      </w:tr>
      <w:tr w:rsidR="00407962" w:rsidTr="00984FE8">
        <w:tc>
          <w:tcPr>
            <w:tcW w:w="1080" w:type="dxa"/>
          </w:tcPr>
          <w:p w:rsidR="00255CA1" w:rsidRDefault="00AE3BAA">
            <w:pPr>
              <w:rPr>
                <w:sz w:val="22"/>
                <w:szCs w:val="22"/>
              </w:rPr>
            </w:pPr>
            <w:r w:rsidRPr="00954790">
              <w:rPr>
                <w:b/>
                <w:sz w:val="22"/>
                <w:szCs w:val="22"/>
              </w:rPr>
              <w:t>Large State</w:t>
            </w:r>
          </w:p>
        </w:tc>
        <w:tc>
          <w:tcPr>
            <w:tcW w:w="1530" w:type="dxa"/>
            <w:vAlign w:val="bottom"/>
          </w:tcPr>
          <w:p w:rsidR="00255CA1" w:rsidRDefault="00205B7C" w:rsidP="00205B7C">
            <w:pPr>
              <w:jc w:val="right"/>
              <w:rPr>
                <w:sz w:val="22"/>
                <w:szCs w:val="22"/>
              </w:rPr>
            </w:pPr>
            <w:r>
              <w:rPr>
                <w:sz w:val="22"/>
                <w:szCs w:val="22"/>
              </w:rPr>
              <w:t>18</w:t>
            </w:r>
          </w:p>
        </w:tc>
        <w:tc>
          <w:tcPr>
            <w:tcW w:w="990" w:type="dxa"/>
            <w:vAlign w:val="bottom"/>
          </w:tcPr>
          <w:p w:rsidR="00255CA1" w:rsidRDefault="0055606E" w:rsidP="00205B7C">
            <w:pPr>
              <w:jc w:val="right"/>
              <w:rPr>
                <w:sz w:val="22"/>
                <w:szCs w:val="22"/>
              </w:rPr>
            </w:pPr>
            <w:r>
              <w:rPr>
                <w:sz w:val="22"/>
                <w:szCs w:val="22"/>
              </w:rPr>
              <w:t>4</w:t>
            </w:r>
          </w:p>
        </w:tc>
        <w:tc>
          <w:tcPr>
            <w:tcW w:w="990" w:type="dxa"/>
            <w:vAlign w:val="bottom"/>
          </w:tcPr>
          <w:p w:rsidR="00255CA1" w:rsidRDefault="00984091" w:rsidP="00205B7C">
            <w:pPr>
              <w:jc w:val="right"/>
              <w:rPr>
                <w:sz w:val="22"/>
                <w:szCs w:val="22"/>
              </w:rPr>
            </w:pPr>
            <w:r>
              <w:rPr>
                <w:sz w:val="22"/>
                <w:szCs w:val="22"/>
              </w:rPr>
              <w:t>72</w:t>
            </w:r>
          </w:p>
        </w:tc>
        <w:tc>
          <w:tcPr>
            <w:tcW w:w="1170" w:type="dxa"/>
            <w:vAlign w:val="bottom"/>
          </w:tcPr>
          <w:p w:rsidR="00255CA1" w:rsidRDefault="00AE76DC" w:rsidP="00205B7C">
            <w:pPr>
              <w:jc w:val="right"/>
              <w:rPr>
                <w:sz w:val="22"/>
                <w:szCs w:val="22"/>
              </w:rPr>
            </w:pPr>
            <w:r>
              <w:rPr>
                <w:sz w:val="22"/>
                <w:szCs w:val="22"/>
              </w:rPr>
              <w:t>301.5</w:t>
            </w:r>
          </w:p>
        </w:tc>
        <w:tc>
          <w:tcPr>
            <w:tcW w:w="900" w:type="dxa"/>
            <w:vAlign w:val="bottom"/>
          </w:tcPr>
          <w:p w:rsidR="00255CA1" w:rsidRDefault="00F25E89" w:rsidP="00205B7C">
            <w:pPr>
              <w:jc w:val="right"/>
              <w:rPr>
                <w:sz w:val="22"/>
                <w:szCs w:val="22"/>
              </w:rPr>
            </w:pPr>
            <w:r>
              <w:rPr>
                <w:sz w:val="22"/>
                <w:szCs w:val="22"/>
              </w:rPr>
              <w:t>1,206</w:t>
            </w:r>
          </w:p>
        </w:tc>
        <w:tc>
          <w:tcPr>
            <w:tcW w:w="1170" w:type="dxa"/>
            <w:vAlign w:val="bottom"/>
          </w:tcPr>
          <w:p w:rsidR="00255CA1" w:rsidRDefault="00990FB9" w:rsidP="00205B7C">
            <w:pPr>
              <w:jc w:val="right"/>
              <w:rPr>
                <w:sz w:val="22"/>
                <w:szCs w:val="22"/>
              </w:rPr>
            </w:pPr>
            <w:r>
              <w:rPr>
                <w:sz w:val="22"/>
                <w:szCs w:val="22"/>
              </w:rPr>
              <w:t>21,708</w:t>
            </w:r>
          </w:p>
        </w:tc>
        <w:tc>
          <w:tcPr>
            <w:tcW w:w="900" w:type="dxa"/>
            <w:vAlign w:val="bottom"/>
          </w:tcPr>
          <w:p w:rsidR="00255CA1" w:rsidRDefault="002B04AF" w:rsidP="00205B7C">
            <w:pPr>
              <w:jc w:val="right"/>
              <w:rPr>
                <w:sz w:val="22"/>
                <w:szCs w:val="22"/>
              </w:rPr>
            </w:pPr>
            <w:r>
              <w:rPr>
                <w:sz w:val="22"/>
                <w:szCs w:val="22"/>
              </w:rPr>
              <w:t>$</w:t>
            </w:r>
            <w:r w:rsidR="00B357BE">
              <w:rPr>
                <w:sz w:val="22"/>
                <w:szCs w:val="22"/>
              </w:rPr>
              <w:t>25.73</w:t>
            </w:r>
          </w:p>
        </w:tc>
        <w:tc>
          <w:tcPr>
            <w:tcW w:w="1440" w:type="dxa"/>
            <w:vAlign w:val="bottom"/>
          </w:tcPr>
          <w:p w:rsidR="00255CA1" w:rsidRDefault="004E709D" w:rsidP="00205B7C">
            <w:pPr>
              <w:jc w:val="right"/>
              <w:rPr>
                <w:sz w:val="22"/>
                <w:szCs w:val="22"/>
              </w:rPr>
            </w:pPr>
            <w:r>
              <w:rPr>
                <w:sz w:val="22"/>
                <w:szCs w:val="22"/>
              </w:rPr>
              <w:t>$</w:t>
            </w:r>
            <w:r w:rsidR="00B357BE">
              <w:rPr>
                <w:sz w:val="22"/>
                <w:szCs w:val="22"/>
              </w:rPr>
              <w:t>558,547</w:t>
            </w:r>
          </w:p>
        </w:tc>
      </w:tr>
      <w:tr w:rsidR="00407962" w:rsidTr="00984FE8">
        <w:tc>
          <w:tcPr>
            <w:tcW w:w="1080" w:type="dxa"/>
          </w:tcPr>
          <w:p w:rsidR="00255CA1" w:rsidRDefault="00AE3BAA">
            <w:pPr>
              <w:rPr>
                <w:sz w:val="22"/>
                <w:szCs w:val="22"/>
              </w:rPr>
            </w:pPr>
            <w:r w:rsidRPr="00954790">
              <w:rPr>
                <w:b/>
                <w:sz w:val="22"/>
                <w:szCs w:val="22"/>
              </w:rPr>
              <w:t>Medium State</w:t>
            </w:r>
          </w:p>
        </w:tc>
        <w:tc>
          <w:tcPr>
            <w:tcW w:w="1530" w:type="dxa"/>
            <w:vAlign w:val="bottom"/>
          </w:tcPr>
          <w:p w:rsidR="00255CA1" w:rsidRDefault="00205B7C" w:rsidP="00205B7C">
            <w:pPr>
              <w:jc w:val="right"/>
              <w:rPr>
                <w:sz w:val="22"/>
                <w:szCs w:val="22"/>
              </w:rPr>
            </w:pPr>
            <w:r>
              <w:rPr>
                <w:sz w:val="22"/>
                <w:szCs w:val="22"/>
              </w:rPr>
              <w:t>18</w:t>
            </w:r>
          </w:p>
        </w:tc>
        <w:tc>
          <w:tcPr>
            <w:tcW w:w="990" w:type="dxa"/>
            <w:vAlign w:val="bottom"/>
          </w:tcPr>
          <w:p w:rsidR="00255CA1" w:rsidRDefault="0055606E" w:rsidP="00205B7C">
            <w:pPr>
              <w:jc w:val="right"/>
              <w:rPr>
                <w:sz w:val="22"/>
                <w:szCs w:val="22"/>
              </w:rPr>
            </w:pPr>
            <w:r>
              <w:rPr>
                <w:sz w:val="22"/>
                <w:szCs w:val="22"/>
              </w:rPr>
              <w:t>4</w:t>
            </w:r>
          </w:p>
        </w:tc>
        <w:tc>
          <w:tcPr>
            <w:tcW w:w="990" w:type="dxa"/>
            <w:vAlign w:val="bottom"/>
          </w:tcPr>
          <w:p w:rsidR="00255CA1" w:rsidRDefault="00984091" w:rsidP="00205B7C">
            <w:pPr>
              <w:jc w:val="right"/>
              <w:rPr>
                <w:sz w:val="22"/>
                <w:szCs w:val="22"/>
              </w:rPr>
            </w:pPr>
            <w:r>
              <w:rPr>
                <w:sz w:val="22"/>
                <w:szCs w:val="22"/>
              </w:rPr>
              <w:t>72</w:t>
            </w:r>
          </w:p>
        </w:tc>
        <w:tc>
          <w:tcPr>
            <w:tcW w:w="1170" w:type="dxa"/>
            <w:vAlign w:val="bottom"/>
          </w:tcPr>
          <w:p w:rsidR="00255CA1" w:rsidRDefault="00AE76DC" w:rsidP="00205B7C">
            <w:pPr>
              <w:jc w:val="right"/>
              <w:rPr>
                <w:sz w:val="22"/>
                <w:szCs w:val="22"/>
              </w:rPr>
            </w:pPr>
            <w:r>
              <w:rPr>
                <w:sz w:val="22"/>
                <w:szCs w:val="22"/>
              </w:rPr>
              <w:t>186.5</w:t>
            </w:r>
          </w:p>
        </w:tc>
        <w:tc>
          <w:tcPr>
            <w:tcW w:w="900" w:type="dxa"/>
            <w:vAlign w:val="bottom"/>
          </w:tcPr>
          <w:p w:rsidR="00255CA1" w:rsidRDefault="00F25E89" w:rsidP="00205B7C">
            <w:pPr>
              <w:jc w:val="right"/>
              <w:rPr>
                <w:sz w:val="22"/>
                <w:szCs w:val="22"/>
              </w:rPr>
            </w:pPr>
            <w:r>
              <w:rPr>
                <w:sz w:val="22"/>
                <w:szCs w:val="22"/>
              </w:rPr>
              <w:t>746</w:t>
            </w:r>
          </w:p>
        </w:tc>
        <w:tc>
          <w:tcPr>
            <w:tcW w:w="1170" w:type="dxa"/>
            <w:vAlign w:val="bottom"/>
          </w:tcPr>
          <w:p w:rsidR="00255CA1" w:rsidRDefault="00990FB9" w:rsidP="00205B7C">
            <w:pPr>
              <w:jc w:val="right"/>
              <w:rPr>
                <w:sz w:val="22"/>
                <w:szCs w:val="22"/>
              </w:rPr>
            </w:pPr>
            <w:r>
              <w:rPr>
                <w:sz w:val="22"/>
                <w:szCs w:val="22"/>
              </w:rPr>
              <w:t>13,428</w:t>
            </w:r>
          </w:p>
        </w:tc>
        <w:tc>
          <w:tcPr>
            <w:tcW w:w="900" w:type="dxa"/>
            <w:vAlign w:val="bottom"/>
          </w:tcPr>
          <w:p w:rsidR="00255CA1" w:rsidRDefault="002B04AF" w:rsidP="00205B7C">
            <w:pPr>
              <w:jc w:val="right"/>
              <w:rPr>
                <w:sz w:val="22"/>
                <w:szCs w:val="22"/>
              </w:rPr>
            </w:pPr>
            <w:r>
              <w:rPr>
                <w:sz w:val="22"/>
                <w:szCs w:val="22"/>
              </w:rPr>
              <w:t>$</w:t>
            </w:r>
            <w:r w:rsidR="00B357BE">
              <w:rPr>
                <w:sz w:val="22"/>
                <w:szCs w:val="22"/>
              </w:rPr>
              <w:t>25.73</w:t>
            </w:r>
          </w:p>
        </w:tc>
        <w:tc>
          <w:tcPr>
            <w:tcW w:w="1440" w:type="dxa"/>
            <w:vAlign w:val="bottom"/>
          </w:tcPr>
          <w:p w:rsidR="00255CA1" w:rsidRDefault="004E709D" w:rsidP="00205B7C">
            <w:pPr>
              <w:jc w:val="right"/>
              <w:rPr>
                <w:sz w:val="22"/>
                <w:szCs w:val="22"/>
              </w:rPr>
            </w:pPr>
            <w:r>
              <w:rPr>
                <w:sz w:val="22"/>
                <w:szCs w:val="22"/>
              </w:rPr>
              <w:t>$</w:t>
            </w:r>
            <w:r w:rsidR="00B357BE">
              <w:rPr>
                <w:sz w:val="22"/>
                <w:szCs w:val="22"/>
              </w:rPr>
              <w:t>345,502</w:t>
            </w:r>
          </w:p>
        </w:tc>
      </w:tr>
      <w:tr w:rsidR="00407962" w:rsidTr="00984FE8">
        <w:tc>
          <w:tcPr>
            <w:tcW w:w="1080" w:type="dxa"/>
          </w:tcPr>
          <w:p w:rsidR="00255CA1" w:rsidRDefault="00AE3BAA">
            <w:pPr>
              <w:rPr>
                <w:sz w:val="22"/>
                <w:szCs w:val="22"/>
              </w:rPr>
            </w:pPr>
            <w:r>
              <w:rPr>
                <w:b/>
                <w:sz w:val="22"/>
                <w:szCs w:val="22"/>
              </w:rPr>
              <w:t>Small State</w:t>
            </w:r>
          </w:p>
        </w:tc>
        <w:tc>
          <w:tcPr>
            <w:tcW w:w="1530" w:type="dxa"/>
            <w:vAlign w:val="bottom"/>
          </w:tcPr>
          <w:p w:rsidR="00255CA1" w:rsidRDefault="00205B7C" w:rsidP="00205B7C">
            <w:pPr>
              <w:jc w:val="right"/>
              <w:rPr>
                <w:sz w:val="22"/>
                <w:szCs w:val="22"/>
              </w:rPr>
            </w:pPr>
            <w:r>
              <w:rPr>
                <w:sz w:val="22"/>
                <w:szCs w:val="22"/>
              </w:rPr>
              <w:t>17</w:t>
            </w:r>
          </w:p>
        </w:tc>
        <w:tc>
          <w:tcPr>
            <w:tcW w:w="990" w:type="dxa"/>
            <w:vAlign w:val="bottom"/>
          </w:tcPr>
          <w:p w:rsidR="00255CA1" w:rsidRDefault="0055606E" w:rsidP="00205B7C">
            <w:pPr>
              <w:jc w:val="right"/>
              <w:rPr>
                <w:sz w:val="22"/>
                <w:szCs w:val="22"/>
              </w:rPr>
            </w:pPr>
            <w:r>
              <w:rPr>
                <w:sz w:val="22"/>
                <w:szCs w:val="22"/>
              </w:rPr>
              <w:t>4</w:t>
            </w:r>
          </w:p>
        </w:tc>
        <w:tc>
          <w:tcPr>
            <w:tcW w:w="990" w:type="dxa"/>
            <w:vAlign w:val="bottom"/>
          </w:tcPr>
          <w:p w:rsidR="00255CA1" w:rsidRDefault="00984091" w:rsidP="00205B7C">
            <w:pPr>
              <w:jc w:val="right"/>
              <w:rPr>
                <w:sz w:val="22"/>
                <w:szCs w:val="22"/>
              </w:rPr>
            </w:pPr>
            <w:r>
              <w:rPr>
                <w:sz w:val="22"/>
                <w:szCs w:val="22"/>
              </w:rPr>
              <w:t>68</w:t>
            </w:r>
          </w:p>
        </w:tc>
        <w:tc>
          <w:tcPr>
            <w:tcW w:w="1170" w:type="dxa"/>
            <w:vAlign w:val="bottom"/>
          </w:tcPr>
          <w:p w:rsidR="00255CA1" w:rsidRDefault="00AE76DC" w:rsidP="00205B7C">
            <w:pPr>
              <w:jc w:val="right"/>
              <w:rPr>
                <w:sz w:val="22"/>
                <w:szCs w:val="22"/>
              </w:rPr>
            </w:pPr>
            <w:r>
              <w:rPr>
                <w:sz w:val="22"/>
                <w:szCs w:val="22"/>
              </w:rPr>
              <w:t>100.5</w:t>
            </w:r>
          </w:p>
        </w:tc>
        <w:tc>
          <w:tcPr>
            <w:tcW w:w="900" w:type="dxa"/>
            <w:vAlign w:val="bottom"/>
          </w:tcPr>
          <w:p w:rsidR="00255CA1" w:rsidRDefault="00F25E89" w:rsidP="00205B7C">
            <w:pPr>
              <w:jc w:val="right"/>
              <w:rPr>
                <w:sz w:val="22"/>
                <w:szCs w:val="22"/>
              </w:rPr>
            </w:pPr>
            <w:r>
              <w:rPr>
                <w:sz w:val="22"/>
                <w:szCs w:val="22"/>
              </w:rPr>
              <w:t>402</w:t>
            </w:r>
          </w:p>
        </w:tc>
        <w:tc>
          <w:tcPr>
            <w:tcW w:w="1170" w:type="dxa"/>
            <w:vAlign w:val="bottom"/>
          </w:tcPr>
          <w:p w:rsidR="00255CA1" w:rsidRDefault="00990FB9" w:rsidP="00205B7C">
            <w:pPr>
              <w:jc w:val="right"/>
              <w:rPr>
                <w:sz w:val="22"/>
                <w:szCs w:val="22"/>
              </w:rPr>
            </w:pPr>
            <w:r>
              <w:rPr>
                <w:sz w:val="22"/>
                <w:szCs w:val="22"/>
              </w:rPr>
              <w:t>6,834</w:t>
            </w:r>
          </w:p>
        </w:tc>
        <w:tc>
          <w:tcPr>
            <w:tcW w:w="900" w:type="dxa"/>
            <w:vAlign w:val="bottom"/>
          </w:tcPr>
          <w:p w:rsidR="00255CA1" w:rsidRDefault="002B04AF" w:rsidP="00205B7C">
            <w:pPr>
              <w:jc w:val="right"/>
              <w:rPr>
                <w:sz w:val="22"/>
                <w:szCs w:val="22"/>
              </w:rPr>
            </w:pPr>
            <w:r>
              <w:rPr>
                <w:sz w:val="22"/>
                <w:szCs w:val="22"/>
              </w:rPr>
              <w:t>$</w:t>
            </w:r>
            <w:r w:rsidR="00B357BE">
              <w:rPr>
                <w:sz w:val="22"/>
                <w:szCs w:val="22"/>
              </w:rPr>
              <w:t>25.73</w:t>
            </w:r>
          </w:p>
        </w:tc>
        <w:tc>
          <w:tcPr>
            <w:tcW w:w="1440" w:type="dxa"/>
            <w:vAlign w:val="bottom"/>
          </w:tcPr>
          <w:p w:rsidR="00255CA1" w:rsidRDefault="004E709D" w:rsidP="00205B7C">
            <w:pPr>
              <w:jc w:val="right"/>
              <w:rPr>
                <w:sz w:val="22"/>
                <w:szCs w:val="22"/>
              </w:rPr>
            </w:pPr>
            <w:r>
              <w:rPr>
                <w:sz w:val="22"/>
                <w:szCs w:val="22"/>
              </w:rPr>
              <w:t>$</w:t>
            </w:r>
            <w:r w:rsidR="00B357BE">
              <w:rPr>
                <w:sz w:val="22"/>
                <w:szCs w:val="22"/>
              </w:rPr>
              <w:t>175,839</w:t>
            </w:r>
          </w:p>
        </w:tc>
      </w:tr>
      <w:tr w:rsidR="00407962" w:rsidTr="00984FE8">
        <w:tc>
          <w:tcPr>
            <w:tcW w:w="1080" w:type="dxa"/>
          </w:tcPr>
          <w:p w:rsidR="00255CA1" w:rsidRDefault="00AE3BAA">
            <w:pPr>
              <w:rPr>
                <w:sz w:val="22"/>
                <w:szCs w:val="22"/>
              </w:rPr>
            </w:pPr>
            <w:r>
              <w:rPr>
                <w:b/>
                <w:sz w:val="22"/>
                <w:szCs w:val="22"/>
              </w:rPr>
              <w:t>All States Total</w:t>
            </w:r>
          </w:p>
        </w:tc>
        <w:tc>
          <w:tcPr>
            <w:tcW w:w="1530" w:type="dxa"/>
            <w:vAlign w:val="bottom"/>
          </w:tcPr>
          <w:p w:rsidR="00255CA1" w:rsidRDefault="00205B7C" w:rsidP="00205B7C">
            <w:pPr>
              <w:jc w:val="right"/>
              <w:rPr>
                <w:sz w:val="22"/>
                <w:szCs w:val="22"/>
              </w:rPr>
            </w:pPr>
            <w:r>
              <w:rPr>
                <w:sz w:val="22"/>
                <w:szCs w:val="22"/>
              </w:rPr>
              <w:t>53</w:t>
            </w:r>
          </w:p>
        </w:tc>
        <w:tc>
          <w:tcPr>
            <w:tcW w:w="990" w:type="dxa"/>
            <w:vAlign w:val="bottom"/>
          </w:tcPr>
          <w:p w:rsidR="00255CA1" w:rsidRDefault="005E34DC" w:rsidP="00205B7C">
            <w:pPr>
              <w:jc w:val="right"/>
              <w:rPr>
                <w:sz w:val="22"/>
                <w:szCs w:val="22"/>
              </w:rPr>
            </w:pPr>
            <w:r>
              <w:rPr>
                <w:sz w:val="22"/>
                <w:szCs w:val="22"/>
              </w:rPr>
              <w:t>4</w:t>
            </w:r>
          </w:p>
        </w:tc>
        <w:tc>
          <w:tcPr>
            <w:tcW w:w="990" w:type="dxa"/>
            <w:vAlign w:val="bottom"/>
          </w:tcPr>
          <w:p w:rsidR="00255CA1" w:rsidRDefault="00984091" w:rsidP="00205B7C">
            <w:pPr>
              <w:jc w:val="right"/>
              <w:rPr>
                <w:sz w:val="22"/>
                <w:szCs w:val="22"/>
              </w:rPr>
            </w:pPr>
            <w:r>
              <w:rPr>
                <w:sz w:val="22"/>
                <w:szCs w:val="22"/>
              </w:rPr>
              <w:t>212</w:t>
            </w:r>
          </w:p>
        </w:tc>
        <w:tc>
          <w:tcPr>
            <w:tcW w:w="1170" w:type="dxa"/>
            <w:vAlign w:val="bottom"/>
          </w:tcPr>
          <w:p w:rsidR="00255CA1" w:rsidRDefault="00B70FAE" w:rsidP="00B70FAE">
            <w:pPr>
              <w:jc w:val="right"/>
              <w:rPr>
                <w:sz w:val="22"/>
                <w:szCs w:val="22"/>
              </w:rPr>
            </w:pPr>
            <w:r>
              <w:rPr>
                <w:sz w:val="22"/>
                <w:szCs w:val="22"/>
              </w:rPr>
              <w:t>Varies</w:t>
            </w:r>
          </w:p>
        </w:tc>
        <w:tc>
          <w:tcPr>
            <w:tcW w:w="900" w:type="dxa"/>
            <w:vAlign w:val="bottom"/>
          </w:tcPr>
          <w:p w:rsidR="00255CA1" w:rsidRDefault="00B70FAE" w:rsidP="00B70FAE">
            <w:pPr>
              <w:jc w:val="right"/>
              <w:rPr>
                <w:sz w:val="22"/>
                <w:szCs w:val="22"/>
              </w:rPr>
            </w:pPr>
            <w:r>
              <w:rPr>
                <w:sz w:val="22"/>
                <w:szCs w:val="22"/>
              </w:rPr>
              <w:t>Varies</w:t>
            </w:r>
          </w:p>
        </w:tc>
        <w:tc>
          <w:tcPr>
            <w:tcW w:w="1170" w:type="dxa"/>
            <w:vAlign w:val="bottom"/>
          </w:tcPr>
          <w:p w:rsidR="00255CA1" w:rsidRDefault="00990FB9" w:rsidP="00205B7C">
            <w:pPr>
              <w:jc w:val="right"/>
              <w:rPr>
                <w:sz w:val="22"/>
                <w:szCs w:val="22"/>
              </w:rPr>
            </w:pPr>
            <w:r>
              <w:rPr>
                <w:sz w:val="22"/>
                <w:szCs w:val="22"/>
              </w:rPr>
              <w:t>41,970</w:t>
            </w:r>
          </w:p>
        </w:tc>
        <w:tc>
          <w:tcPr>
            <w:tcW w:w="900" w:type="dxa"/>
            <w:vAlign w:val="bottom"/>
          </w:tcPr>
          <w:p w:rsidR="00255CA1" w:rsidRDefault="002B04AF" w:rsidP="00205B7C">
            <w:pPr>
              <w:jc w:val="right"/>
              <w:rPr>
                <w:sz w:val="22"/>
                <w:szCs w:val="22"/>
              </w:rPr>
            </w:pPr>
            <w:r>
              <w:rPr>
                <w:sz w:val="22"/>
                <w:szCs w:val="22"/>
              </w:rPr>
              <w:t>$</w:t>
            </w:r>
            <w:r w:rsidR="00B357BE">
              <w:rPr>
                <w:sz w:val="22"/>
                <w:szCs w:val="22"/>
              </w:rPr>
              <w:t>25.73</w:t>
            </w:r>
          </w:p>
        </w:tc>
        <w:tc>
          <w:tcPr>
            <w:tcW w:w="1440" w:type="dxa"/>
            <w:vAlign w:val="bottom"/>
          </w:tcPr>
          <w:p w:rsidR="00255CA1" w:rsidRDefault="004E709D" w:rsidP="00127CF9">
            <w:pPr>
              <w:jc w:val="right"/>
              <w:rPr>
                <w:sz w:val="22"/>
                <w:szCs w:val="22"/>
              </w:rPr>
            </w:pPr>
            <w:r>
              <w:rPr>
                <w:sz w:val="22"/>
                <w:szCs w:val="22"/>
              </w:rPr>
              <w:t>$</w:t>
            </w:r>
            <w:r w:rsidR="00B357BE">
              <w:rPr>
                <w:sz w:val="22"/>
                <w:szCs w:val="22"/>
              </w:rPr>
              <w:t>1,079,888</w:t>
            </w:r>
          </w:p>
        </w:tc>
      </w:tr>
      <w:tr w:rsidR="00407962" w:rsidTr="00984FE8">
        <w:tc>
          <w:tcPr>
            <w:tcW w:w="1080" w:type="dxa"/>
          </w:tcPr>
          <w:p w:rsidR="00255CA1" w:rsidRDefault="00AE3BAA">
            <w:pPr>
              <w:rPr>
                <w:sz w:val="22"/>
                <w:szCs w:val="22"/>
              </w:rPr>
            </w:pPr>
            <w:r>
              <w:rPr>
                <w:b/>
                <w:sz w:val="22"/>
                <w:szCs w:val="22"/>
              </w:rPr>
              <w:t>Average per State</w:t>
            </w:r>
          </w:p>
        </w:tc>
        <w:tc>
          <w:tcPr>
            <w:tcW w:w="1530" w:type="dxa"/>
            <w:vAlign w:val="bottom"/>
          </w:tcPr>
          <w:p w:rsidR="00255CA1" w:rsidRDefault="005E34DC" w:rsidP="00205B7C">
            <w:pPr>
              <w:jc w:val="right"/>
              <w:rPr>
                <w:sz w:val="22"/>
                <w:szCs w:val="22"/>
              </w:rPr>
            </w:pPr>
            <w:r>
              <w:rPr>
                <w:sz w:val="22"/>
                <w:szCs w:val="22"/>
              </w:rPr>
              <w:t>1</w:t>
            </w:r>
          </w:p>
        </w:tc>
        <w:tc>
          <w:tcPr>
            <w:tcW w:w="990" w:type="dxa"/>
            <w:vAlign w:val="bottom"/>
          </w:tcPr>
          <w:p w:rsidR="00255CA1" w:rsidRDefault="0055606E" w:rsidP="00205B7C">
            <w:pPr>
              <w:jc w:val="right"/>
              <w:rPr>
                <w:sz w:val="22"/>
                <w:szCs w:val="22"/>
              </w:rPr>
            </w:pPr>
            <w:r>
              <w:rPr>
                <w:sz w:val="22"/>
                <w:szCs w:val="22"/>
              </w:rPr>
              <w:t>4</w:t>
            </w:r>
          </w:p>
        </w:tc>
        <w:tc>
          <w:tcPr>
            <w:tcW w:w="990" w:type="dxa"/>
            <w:vAlign w:val="bottom"/>
          </w:tcPr>
          <w:p w:rsidR="00255CA1" w:rsidRDefault="00AE76DC" w:rsidP="00205B7C">
            <w:pPr>
              <w:jc w:val="right"/>
              <w:rPr>
                <w:sz w:val="22"/>
                <w:szCs w:val="22"/>
              </w:rPr>
            </w:pPr>
            <w:r>
              <w:rPr>
                <w:sz w:val="22"/>
                <w:szCs w:val="22"/>
              </w:rPr>
              <w:t>4</w:t>
            </w:r>
          </w:p>
        </w:tc>
        <w:tc>
          <w:tcPr>
            <w:tcW w:w="1170" w:type="dxa"/>
            <w:vAlign w:val="bottom"/>
          </w:tcPr>
          <w:p w:rsidR="00255CA1" w:rsidRDefault="00D36DCC" w:rsidP="00D36DCC">
            <w:pPr>
              <w:jc w:val="right"/>
              <w:rPr>
                <w:sz w:val="22"/>
                <w:szCs w:val="22"/>
              </w:rPr>
            </w:pPr>
            <w:r>
              <w:rPr>
                <w:sz w:val="22"/>
                <w:szCs w:val="22"/>
              </w:rPr>
              <w:t>19</w:t>
            </w:r>
            <w:r w:rsidR="00310781">
              <w:rPr>
                <w:sz w:val="22"/>
                <w:szCs w:val="22"/>
              </w:rPr>
              <w:t>8 (rounded)</w:t>
            </w:r>
          </w:p>
        </w:tc>
        <w:tc>
          <w:tcPr>
            <w:tcW w:w="900" w:type="dxa"/>
            <w:vAlign w:val="bottom"/>
          </w:tcPr>
          <w:p w:rsidR="00255CA1" w:rsidRDefault="00F25E89" w:rsidP="00205B7C">
            <w:pPr>
              <w:jc w:val="right"/>
              <w:rPr>
                <w:sz w:val="22"/>
                <w:szCs w:val="22"/>
              </w:rPr>
            </w:pPr>
            <w:r>
              <w:rPr>
                <w:sz w:val="22"/>
                <w:szCs w:val="22"/>
              </w:rPr>
              <w:t>792</w:t>
            </w:r>
          </w:p>
        </w:tc>
        <w:tc>
          <w:tcPr>
            <w:tcW w:w="1170" w:type="dxa"/>
            <w:vAlign w:val="bottom"/>
          </w:tcPr>
          <w:p w:rsidR="00255CA1" w:rsidRDefault="00D730FA" w:rsidP="00205B7C">
            <w:pPr>
              <w:jc w:val="right"/>
              <w:rPr>
                <w:sz w:val="22"/>
                <w:szCs w:val="22"/>
              </w:rPr>
            </w:pPr>
            <w:r>
              <w:rPr>
                <w:sz w:val="22"/>
                <w:szCs w:val="22"/>
              </w:rPr>
              <w:t>792</w:t>
            </w:r>
          </w:p>
          <w:p w:rsidR="00FA69A8" w:rsidRDefault="00FA69A8" w:rsidP="00205B7C">
            <w:pPr>
              <w:jc w:val="right"/>
              <w:rPr>
                <w:sz w:val="22"/>
                <w:szCs w:val="22"/>
              </w:rPr>
            </w:pPr>
            <w:r>
              <w:rPr>
                <w:sz w:val="22"/>
                <w:szCs w:val="22"/>
              </w:rPr>
              <w:t>(rounded)</w:t>
            </w:r>
          </w:p>
        </w:tc>
        <w:tc>
          <w:tcPr>
            <w:tcW w:w="900" w:type="dxa"/>
            <w:vAlign w:val="bottom"/>
          </w:tcPr>
          <w:p w:rsidR="00255CA1" w:rsidRDefault="002B04AF" w:rsidP="00205B7C">
            <w:pPr>
              <w:jc w:val="right"/>
              <w:rPr>
                <w:sz w:val="22"/>
                <w:szCs w:val="22"/>
              </w:rPr>
            </w:pPr>
            <w:r>
              <w:rPr>
                <w:sz w:val="22"/>
                <w:szCs w:val="22"/>
              </w:rPr>
              <w:t>$</w:t>
            </w:r>
            <w:r w:rsidR="00B357BE">
              <w:rPr>
                <w:sz w:val="22"/>
                <w:szCs w:val="22"/>
              </w:rPr>
              <w:t>25.73</w:t>
            </w:r>
          </w:p>
        </w:tc>
        <w:tc>
          <w:tcPr>
            <w:tcW w:w="1440" w:type="dxa"/>
            <w:vAlign w:val="bottom"/>
          </w:tcPr>
          <w:p w:rsidR="00255CA1" w:rsidRDefault="000668C6" w:rsidP="000346A2">
            <w:pPr>
              <w:jc w:val="right"/>
              <w:rPr>
                <w:sz w:val="22"/>
                <w:szCs w:val="22"/>
              </w:rPr>
            </w:pPr>
            <w:r>
              <w:rPr>
                <w:sz w:val="22"/>
                <w:szCs w:val="22"/>
              </w:rPr>
              <w:t>$</w:t>
            </w:r>
            <w:r w:rsidR="00B357BE">
              <w:rPr>
                <w:sz w:val="22"/>
                <w:szCs w:val="22"/>
              </w:rPr>
              <w:t>20,378</w:t>
            </w:r>
          </w:p>
        </w:tc>
      </w:tr>
    </w:tbl>
    <w:p w:rsidR="005205D2" w:rsidRDefault="005205D2">
      <w:pPr>
        <w:rPr>
          <w:highlight w:val="yellow"/>
        </w:rPr>
      </w:pPr>
    </w:p>
    <w:p w:rsidR="005205D2" w:rsidRDefault="005205D2">
      <w:pPr>
        <w:numPr>
          <w:ilvl w:val="0"/>
          <w:numId w:val="21"/>
        </w:numPr>
      </w:pPr>
      <w:r>
        <w:t>The calculation of the hours required to conduct validation includes sample size, the time for validators to review sampled case files (34 minutes per file), the travel time to local offices to review the files, and 15</w:t>
      </w:r>
      <w:r w:rsidR="00765186">
        <w:t xml:space="preserve"> percent </w:t>
      </w:r>
      <w:r>
        <w:t xml:space="preserve">of a supervisor’s time. </w:t>
      </w:r>
    </w:p>
    <w:p w:rsidR="005205D2" w:rsidRDefault="005205D2">
      <w:pPr>
        <w:numPr>
          <w:ilvl w:val="0"/>
          <w:numId w:val="21"/>
        </w:numPr>
      </w:pPr>
      <w:r>
        <w:t xml:space="preserve">States have been divided into three categories – large, medium, and small – based on the number of participants that exit a state’s program in a year.  </w:t>
      </w:r>
      <w:r w:rsidR="0089588C">
        <w:t>T</w:t>
      </w:r>
      <w:r>
        <w:t>he size of the state impacts the number of sampled case files that must be reviewed and the travel time to local offices.</w:t>
      </w:r>
    </w:p>
    <w:p w:rsidR="005205D2" w:rsidRDefault="005205D2">
      <w:pPr>
        <w:numPr>
          <w:ilvl w:val="0"/>
          <w:numId w:val="21"/>
        </w:numPr>
      </w:pPr>
      <w:r>
        <w:t xml:space="preserve">The annual travel time per office is estimated as 8 hours for large states, 6 hours for medium states, and 3 hours for small states.  This estimate is based on the assumption that states will conduct data element validation separately for the WIA Title IB and TAA programs.  If states conduct data element validation for both programs at the same time, the travel time required to perform validation will decrease.  </w:t>
      </w:r>
    </w:p>
    <w:p w:rsidR="005205D2" w:rsidRDefault="005205D2" w:rsidP="00EC6459">
      <w:pPr>
        <w:numPr>
          <w:ilvl w:val="0"/>
          <w:numId w:val="21"/>
        </w:numPr>
      </w:pPr>
      <w:r>
        <w:t xml:space="preserve">The hourly rate is the estimated average hourly earnings </w:t>
      </w:r>
      <w:r w:rsidR="00B357BE">
        <w:t xml:space="preserve">in the </w:t>
      </w:r>
      <w:r w:rsidR="00D314C5">
        <w:t>“</w:t>
      </w:r>
      <w:r w:rsidR="00B357BE">
        <w:t>administration of economic programs</w:t>
      </w:r>
      <w:r w:rsidR="00C00790">
        <w:t>”</w:t>
      </w:r>
      <w:r w:rsidR="00B357BE">
        <w:t xml:space="preserve"> industry, North American Industry Classification System (NAICS) code 926110</w:t>
      </w:r>
      <w:r w:rsidR="00EC6459">
        <w:t xml:space="preserve"> (Calendar Year </w:t>
      </w:r>
      <w:r w:rsidR="0062338D">
        <w:t xml:space="preserve">(CY) </w:t>
      </w:r>
      <w:r w:rsidR="00EC6459">
        <w:t xml:space="preserve">2013, Quarterly Census of Employment and Wages, Bureau of Labor Statistics, </w:t>
      </w:r>
      <w:hyperlink r:id="rId9" w:history="1">
        <w:r w:rsidR="00EC6459" w:rsidRPr="00EC6459">
          <w:rPr>
            <w:rStyle w:val="Hyperlink"/>
          </w:rPr>
          <w:t>http://data.bls.gov/pdq/querytool.jsp?survey=en</w:t>
        </w:r>
      </w:hyperlink>
      <w:r w:rsidR="00EC6459">
        <w:t>)</w:t>
      </w:r>
      <w:r>
        <w:t>.</w:t>
      </w:r>
    </w:p>
    <w:p w:rsidR="005205D2" w:rsidRDefault="005205D2">
      <w:pPr>
        <w:rPr>
          <w:b/>
          <w:u w:val="single"/>
        </w:rPr>
      </w:pPr>
    </w:p>
    <w:p w:rsidR="00C00790" w:rsidRDefault="00C00790">
      <w:pPr>
        <w:rPr>
          <w:b/>
          <w:u w:val="single"/>
        </w:rPr>
      </w:pPr>
    </w:p>
    <w:p w:rsidR="005205D2" w:rsidRDefault="00950824">
      <w:pPr>
        <w:pStyle w:val="Heading5"/>
        <w:rPr>
          <w:bCs w:val="0"/>
        </w:rPr>
      </w:pPr>
      <w:r>
        <w:rPr>
          <w:bCs w:val="0"/>
        </w:rPr>
        <w:t>B. Grantee Programs:  NFJP</w:t>
      </w:r>
      <w:r w:rsidR="004D2142">
        <w:rPr>
          <w:bCs w:val="0"/>
        </w:rPr>
        <w:t xml:space="preserve"> and SCSEP</w:t>
      </w:r>
    </w:p>
    <w:p w:rsidR="005205D2" w:rsidRDefault="005205D2"/>
    <w:p w:rsidR="005205D2" w:rsidRDefault="005205D2">
      <w:pPr>
        <w:rPr>
          <w:sz w:val="23"/>
          <w:szCs w:val="23"/>
        </w:rPr>
      </w:pPr>
      <w:r w:rsidRPr="004D2142">
        <w:t>Table 3 provides an overview of</w:t>
      </w:r>
      <w:r w:rsidR="00C30FD0" w:rsidRPr="004D2142">
        <w:t xml:space="preserve"> the annual burden for the NFJP and SCSEP</w:t>
      </w:r>
      <w:r w:rsidRPr="004D2142">
        <w:t xml:space="preserve"> including average hours and cost across grantees in </w:t>
      </w:r>
      <w:r w:rsidR="00950824" w:rsidRPr="004D2142">
        <w:t>this</w:t>
      </w:r>
      <w:r w:rsidRPr="004D2142">
        <w:t xml:space="preserve"> program.  The estimated annual hours needed to conduct validation </w:t>
      </w:r>
      <w:r w:rsidR="00950824" w:rsidRPr="004D2142">
        <w:t>for this program</w:t>
      </w:r>
      <w:r w:rsidRPr="004D2142">
        <w:t xml:space="preserve"> is </w:t>
      </w:r>
      <w:r w:rsidR="001A6648">
        <w:t>161</w:t>
      </w:r>
      <w:r w:rsidRPr="004D2142">
        <w:t xml:space="preserve"> hours (rounded) on average per grantee and </w:t>
      </w:r>
      <w:r w:rsidR="001A6648">
        <w:t>20,204</w:t>
      </w:r>
      <w:r w:rsidRPr="004D2142">
        <w:t xml:space="preserve"> hours for all g</w:t>
      </w:r>
      <w:r w:rsidRPr="001A6648">
        <w:t xml:space="preserve">rantees.  The estimated </w:t>
      </w:r>
      <w:r w:rsidR="00E86D48">
        <w:t xml:space="preserve">monetary </w:t>
      </w:r>
      <w:r w:rsidR="0062338D">
        <w:t>e</w:t>
      </w:r>
      <w:r w:rsidR="00E86D48">
        <w:t>quivalency of the burden hours to conduct</w:t>
      </w:r>
      <w:r w:rsidR="00950824" w:rsidRPr="001A6648">
        <w:t xml:space="preserve"> validation is </w:t>
      </w:r>
      <w:r w:rsidR="001A6648" w:rsidRPr="00765186">
        <w:t>$</w:t>
      </w:r>
      <w:r w:rsidR="008515C2">
        <w:t xml:space="preserve">2,814 (for </w:t>
      </w:r>
      <w:r w:rsidR="008515C2">
        <w:rPr>
          <w:sz w:val="23"/>
          <w:szCs w:val="23"/>
        </w:rPr>
        <w:t xml:space="preserve">private non-profit grantees and </w:t>
      </w:r>
      <w:proofErr w:type="gramStart"/>
      <w:r w:rsidR="008515C2">
        <w:rPr>
          <w:sz w:val="23"/>
          <w:szCs w:val="23"/>
        </w:rPr>
        <w:t>Federally-recognized</w:t>
      </w:r>
      <w:proofErr w:type="gramEnd"/>
      <w:r w:rsidR="008515C2">
        <w:rPr>
          <w:sz w:val="23"/>
          <w:szCs w:val="23"/>
        </w:rPr>
        <w:t xml:space="preserve"> tribes</w:t>
      </w:r>
      <w:r w:rsidR="008515C2">
        <w:t xml:space="preserve">)/$4,126 (for </w:t>
      </w:r>
      <w:r w:rsidR="008515C2">
        <w:rPr>
          <w:sz w:val="23"/>
          <w:szCs w:val="23"/>
        </w:rPr>
        <w:t>state, county, and U.S. territory government grantees</w:t>
      </w:r>
      <w:r w:rsidR="008515C2">
        <w:t>)</w:t>
      </w:r>
      <w:r w:rsidR="004B5274" w:rsidRPr="00765186">
        <w:t xml:space="preserve"> </w:t>
      </w:r>
      <w:r w:rsidRPr="00765186">
        <w:t xml:space="preserve">on average per grantee and </w:t>
      </w:r>
      <w:r w:rsidRPr="00765186">
        <w:rPr>
          <w:sz w:val="23"/>
          <w:szCs w:val="23"/>
        </w:rPr>
        <w:t>$</w:t>
      </w:r>
      <w:r w:rsidR="008515C2">
        <w:rPr>
          <w:sz w:val="23"/>
          <w:szCs w:val="23"/>
        </w:rPr>
        <w:t>354,580/$519,849, respectively,</w:t>
      </w:r>
      <w:r w:rsidR="001A6648" w:rsidRPr="00765186">
        <w:rPr>
          <w:sz w:val="23"/>
          <w:szCs w:val="23"/>
        </w:rPr>
        <w:t xml:space="preserve"> </w:t>
      </w:r>
      <w:r w:rsidRPr="00765186">
        <w:rPr>
          <w:sz w:val="23"/>
          <w:szCs w:val="23"/>
        </w:rPr>
        <w:t>for all grantees</w:t>
      </w:r>
      <w:r w:rsidRPr="004D2142">
        <w:rPr>
          <w:sz w:val="23"/>
          <w:szCs w:val="23"/>
        </w:rPr>
        <w:t>.</w:t>
      </w:r>
    </w:p>
    <w:p w:rsidR="004053D3" w:rsidRDefault="004053D3" w:rsidP="00EC3DF9"/>
    <w:p w:rsidR="005205D2" w:rsidRDefault="005205D2">
      <w:pPr>
        <w:jc w:val="center"/>
        <w:rPr>
          <w:b/>
          <w:sz w:val="22"/>
          <w:szCs w:val="22"/>
        </w:rPr>
      </w:pPr>
      <w:r>
        <w:rPr>
          <w:b/>
          <w:sz w:val="22"/>
          <w:szCs w:val="22"/>
        </w:rPr>
        <w:t xml:space="preserve">Table 3 </w:t>
      </w:r>
      <w:r w:rsidR="0084429D">
        <w:rPr>
          <w:b/>
          <w:sz w:val="22"/>
          <w:szCs w:val="22"/>
        </w:rPr>
        <w:t>–</w:t>
      </w:r>
      <w:r>
        <w:rPr>
          <w:b/>
          <w:sz w:val="22"/>
          <w:szCs w:val="22"/>
        </w:rPr>
        <w:t xml:space="preserve"> </w:t>
      </w:r>
      <w:r w:rsidR="0084429D">
        <w:rPr>
          <w:b/>
          <w:sz w:val="22"/>
          <w:szCs w:val="22"/>
        </w:rPr>
        <w:t xml:space="preserve">Summary </w:t>
      </w:r>
      <w:r>
        <w:rPr>
          <w:b/>
          <w:sz w:val="22"/>
          <w:szCs w:val="22"/>
        </w:rPr>
        <w:t>Calculation of Annual Burden for NFJP and SCSEP Grantees</w:t>
      </w:r>
    </w:p>
    <w:p w:rsidR="00950824" w:rsidRDefault="00950824">
      <w:pPr>
        <w:jc w:val="center"/>
        <w:rPr>
          <w:b/>
          <w:sz w:val="22"/>
          <w:szCs w:val="22"/>
        </w:rPr>
      </w:pPr>
    </w:p>
    <w:tbl>
      <w:tblPr>
        <w:tblStyle w:val="TableGrid"/>
        <w:tblW w:w="9990" w:type="dxa"/>
        <w:tblInd w:w="-162" w:type="dxa"/>
        <w:tblLayout w:type="fixed"/>
        <w:tblLook w:val="04A0" w:firstRow="1" w:lastRow="0" w:firstColumn="1" w:lastColumn="0" w:noHBand="0" w:noVBand="1"/>
      </w:tblPr>
      <w:tblGrid>
        <w:gridCol w:w="1080"/>
        <w:gridCol w:w="1530"/>
        <w:gridCol w:w="990"/>
        <w:gridCol w:w="990"/>
        <w:gridCol w:w="1170"/>
        <w:gridCol w:w="990"/>
        <w:gridCol w:w="1080"/>
        <w:gridCol w:w="900"/>
        <w:gridCol w:w="1260"/>
      </w:tblGrid>
      <w:tr w:rsidR="001C68BA" w:rsidRPr="001C68BA" w:rsidTr="00372A47">
        <w:tc>
          <w:tcPr>
            <w:tcW w:w="1080" w:type="dxa"/>
          </w:tcPr>
          <w:p w:rsidR="00984FE8" w:rsidRPr="00691A19" w:rsidRDefault="00995B07" w:rsidP="00CD1A38">
            <w:pPr>
              <w:rPr>
                <w:b/>
                <w:i/>
                <w:sz w:val="22"/>
                <w:szCs w:val="22"/>
              </w:rPr>
            </w:pPr>
            <w:r w:rsidRPr="00691A19">
              <w:rPr>
                <w:b/>
                <w:i/>
                <w:sz w:val="22"/>
                <w:szCs w:val="22"/>
              </w:rPr>
              <w:t>Grant Program</w:t>
            </w:r>
          </w:p>
        </w:tc>
        <w:tc>
          <w:tcPr>
            <w:tcW w:w="1530" w:type="dxa"/>
          </w:tcPr>
          <w:p w:rsidR="00984FE8" w:rsidRPr="00691A19" w:rsidRDefault="00984FE8" w:rsidP="00C90FFC">
            <w:pPr>
              <w:rPr>
                <w:b/>
                <w:i/>
                <w:sz w:val="22"/>
                <w:szCs w:val="22"/>
              </w:rPr>
            </w:pPr>
            <w:r w:rsidRPr="00691A19">
              <w:rPr>
                <w:b/>
                <w:i/>
                <w:sz w:val="22"/>
                <w:szCs w:val="22"/>
              </w:rPr>
              <w:t xml:space="preserve">No. of </w:t>
            </w:r>
            <w:r w:rsidR="00C90FFC" w:rsidRPr="00691A19">
              <w:rPr>
                <w:b/>
                <w:i/>
                <w:sz w:val="22"/>
                <w:szCs w:val="22"/>
              </w:rPr>
              <w:t>Grantees</w:t>
            </w:r>
            <w:r w:rsidRPr="00691A19">
              <w:rPr>
                <w:b/>
                <w:i/>
                <w:sz w:val="22"/>
                <w:szCs w:val="22"/>
              </w:rPr>
              <w:t xml:space="preserve"> (Respondents)</w:t>
            </w:r>
          </w:p>
        </w:tc>
        <w:tc>
          <w:tcPr>
            <w:tcW w:w="990" w:type="dxa"/>
          </w:tcPr>
          <w:p w:rsidR="00984FE8" w:rsidRPr="00691A19" w:rsidRDefault="00984FE8" w:rsidP="00C90FFC">
            <w:pPr>
              <w:rPr>
                <w:b/>
                <w:i/>
                <w:sz w:val="22"/>
                <w:szCs w:val="22"/>
              </w:rPr>
            </w:pPr>
            <w:r w:rsidRPr="00691A19">
              <w:rPr>
                <w:b/>
                <w:i/>
                <w:sz w:val="22"/>
                <w:szCs w:val="22"/>
              </w:rPr>
              <w:t xml:space="preserve">Reports per year per </w:t>
            </w:r>
            <w:r w:rsidR="00C90FFC" w:rsidRPr="00691A19">
              <w:rPr>
                <w:b/>
                <w:i/>
                <w:sz w:val="22"/>
                <w:szCs w:val="22"/>
              </w:rPr>
              <w:t>Grantee</w:t>
            </w:r>
          </w:p>
        </w:tc>
        <w:tc>
          <w:tcPr>
            <w:tcW w:w="990" w:type="dxa"/>
          </w:tcPr>
          <w:p w:rsidR="00984FE8" w:rsidRPr="00691A19" w:rsidRDefault="00984FE8" w:rsidP="00CD1A38">
            <w:pPr>
              <w:rPr>
                <w:b/>
                <w:i/>
                <w:sz w:val="22"/>
                <w:szCs w:val="22"/>
              </w:rPr>
            </w:pPr>
            <w:r w:rsidRPr="00691A19">
              <w:rPr>
                <w:b/>
                <w:i/>
                <w:sz w:val="22"/>
                <w:szCs w:val="22"/>
              </w:rPr>
              <w:t>Total Annual Reports</w:t>
            </w:r>
          </w:p>
        </w:tc>
        <w:tc>
          <w:tcPr>
            <w:tcW w:w="1170" w:type="dxa"/>
          </w:tcPr>
          <w:p w:rsidR="00984FE8" w:rsidRPr="00691A19" w:rsidRDefault="00984FE8" w:rsidP="00CD1A38">
            <w:pPr>
              <w:rPr>
                <w:b/>
                <w:i/>
                <w:sz w:val="22"/>
                <w:szCs w:val="22"/>
              </w:rPr>
            </w:pPr>
            <w:r w:rsidRPr="00691A19">
              <w:rPr>
                <w:b/>
                <w:i/>
                <w:sz w:val="22"/>
                <w:szCs w:val="22"/>
              </w:rPr>
              <w:t>Hours per Report</w:t>
            </w:r>
          </w:p>
        </w:tc>
        <w:tc>
          <w:tcPr>
            <w:tcW w:w="990" w:type="dxa"/>
          </w:tcPr>
          <w:p w:rsidR="00984FE8" w:rsidRPr="00691A19" w:rsidRDefault="00984FE8" w:rsidP="00D6799F">
            <w:pPr>
              <w:rPr>
                <w:b/>
                <w:i/>
                <w:sz w:val="22"/>
                <w:szCs w:val="22"/>
              </w:rPr>
            </w:pPr>
            <w:r w:rsidRPr="00691A19">
              <w:rPr>
                <w:b/>
                <w:i/>
                <w:sz w:val="22"/>
                <w:szCs w:val="22"/>
              </w:rPr>
              <w:t xml:space="preserve">Hours per </w:t>
            </w:r>
            <w:r w:rsidR="00D6799F" w:rsidRPr="00691A19">
              <w:rPr>
                <w:b/>
                <w:i/>
                <w:sz w:val="22"/>
                <w:szCs w:val="22"/>
              </w:rPr>
              <w:t>Grantee</w:t>
            </w:r>
          </w:p>
        </w:tc>
        <w:tc>
          <w:tcPr>
            <w:tcW w:w="1080" w:type="dxa"/>
          </w:tcPr>
          <w:p w:rsidR="00984FE8" w:rsidRPr="00691A19" w:rsidRDefault="00984FE8" w:rsidP="00CD1A38">
            <w:pPr>
              <w:rPr>
                <w:b/>
                <w:i/>
                <w:sz w:val="22"/>
                <w:szCs w:val="22"/>
              </w:rPr>
            </w:pPr>
            <w:r w:rsidRPr="00691A19">
              <w:rPr>
                <w:b/>
                <w:i/>
                <w:sz w:val="22"/>
                <w:szCs w:val="22"/>
              </w:rPr>
              <w:t>Total Hours</w:t>
            </w:r>
          </w:p>
        </w:tc>
        <w:tc>
          <w:tcPr>
            <w:tcW w:w="900" w:type="dxa"/>
          </w:tcPr>
          <w:p w:rsidR="00984FE8" w:rsidRPr="00691A19" w:rsidRDefault="00984FE8" w:rsidP="00CD1A38">
            <w:pPr>
              <w:rPr>
                <w:b/>
                <w:i/>
                <w:sz w:val="22"/>
                <w:szCs w:val="22"/>
              </w:rPr>
            </w:pPr>
            <w:r w:rsidRPr="00691A19">
              <w:rPr>
                <w:b/>
                <w:i/>
                <w:sz w:val="22"/>
                <w:szCs w:val="22"/>
              </w:rPr>
              <w:t>Rate in $/</w:t>
            </w:r>
            <w:proofErr w:type="spellStart"/>
            <w:r w:rsidRPr="00691A19">
              <w:rPr>
                <w:b/>
                <w:i/>
                <w:sz w:val="22"/>
                <w:szCs w:val="22"/>
              </w:rPr>
              <w:t>hr</w:t>
            </w:r>
            <w:proofErr w:type="spellEnd"/>
          </w:p>
        </w:tc>
        <w:tc>
          <w:tcPr>
            <w:tcW w:w="1260" w:type="dxa"/>
          </w:tcPr>
          <w:p w:rsidR="00984FE8" w:rsidRPr="00E86D48" w:rsidRDefault="003F0547" w:rsidP="003F0547">
            <w:pPr>
              <w:rPr>
                <w:b/>
                <w:i/>
                <w:sz w:val="22"/>
                <w:szCs w:val="22"/>
              </w:rPr>
            </w:pPr>
            <w:r>
              <w:rPr>
                <w:b/>
                <w:i/>
                <w:sz w:val="22"/>
                <w:szCs w:val="22"/>
              </w:rPr>
              <w:t>Monetized Value</w:t>
            </w:r>
          </w:p>
        </w:tc>
      </w:tr>
      <w:tr w:rsidR="009209EF" w:rsidRPr="001C68BA" w:rsidTr="00372A47">
        <w:tc>
          <w:tcPr>
            <w:tcW w:w="1080" w:type="dxa"/>
            <w:vAlign w:val="bottom"/>
          </w:tcPr>
          <w:p w:rsidR="009209EF" w:rsidRPr="009D6886" w:rsidRDefault="009209EF" w:rsidP="00781C8E">
            <w:pPr>
              <w:rPr>
                <w:b/>
                <w:i/>
                <w:sz w:val="22"/>
                <w:szCs w:val="22"/>
              </w:rPr>
            </w:pPr>
            <w:r w:rsidRPr="009D6886">
              <w:rPr>
                <w:b/>
                <w:sz w:val="22"/>
                <w:szCs w:val="22"/>
              </w:rPr>
              <w:t>NFJP</w:t>
            </w:r>
          </w:p>
        </w:tc>
        <w:tc>
          <w:tcPr>
            <w:tcW w:w="1530" w:type="dxa"/>
            <w:vAlign w:val="bottom"/>
          </w:tcPr>
          <w:p w:rsidR="009209EF" w:rsidRPr="009D6886" w:rsidRDefault="009209EF" w:rsidP="009209EF">
            <w:pPr>
              <w:jc w:val="right"/>
              <w:rPr>
                <w:sz w:val="22"/>
                <w:szCs w:val="22"/>
              </w:rPr>
            </w:pPr>
            <w:r w:rsidRPr="009D6886">
              <w:rPr>
                <w:sz w:val="22"/>
                <w:szCs w:val="22"/>
              </w:rPr>
              <w:t>52</w:t>
            </w:r>
          </w:p>
        </w:tc>
        <w:tc>
          <w:tcPr>
            <w:tcW w:w="990" w:type="dxa"/>
            <w:vAlign w:val="bottom"/>
          </w:tcPr>
          <w:p w:rsidR="009209EF" w:rsidRPr="009D6886" w:rsidRDefault="00AB3098" w:rsidP="009209EF">
            <w:pPr>
              <w:jc w:val="right"/>
              <w:rPr>
                <w:sz w:val="22"/>
                <w:szCs w:val="22"/>
              </w:rPr>
            </w:pPr>
            <w:r w:rsidRPr="009D6886">
              <w:rPr>
                <w:sz w:val="22"/>
                <w:szCs w:val="22"/>
              </w:rPr>
              <w:t>4</w:t>
            </w:r>
          </w:p>
        </w:tc>
        <w:tc>
          <w:tcPr>
            <w:tcW w:w="990" w:type="dxa"/>
            <w:vAlign w:val="bottom"/>
          </w:tcPr>
          <w:p w:rsidR="009209EF" w:rsidRPr="009D6886" w:rsidRDefault="00065C16" w:rsidP="00AA4CEF">
            <w:pPr>
              <w:jc w:val="right"/>
              <w:rPr>
                <w:sz w:val="22"/>
                <w:szCs w:val="22"/>
              </w:rPr>
            </w:pPr>
            <w:r w:rsidRPr="009D6886">
              <w:rPr>
                <w:sz w:val="22"/>
                <w:szCs w:val="22"/>
              </w:rPr>
              <w:t>2</w:t>
            </w:r>
            <w:r w:rsidR="00AA4CEF" w:rsidRPr="009D6886">
              <w:rPr>
                <w:sz w:val="22"/>
                <w:szCs w:val="22"/>
              </w:rPr>
              <w:t>08</w:t>
            </w:r>
          </w:p>
        </w:tc>
        <w:tc>
          <w:tcPr>
            <w:tcW w:w="1170" w:type="dxa"/>
            <w:vAlign w:val="bottom"/>
          </w:tcPr>
          <w:p w:rsidR="009209EF" w:rsidRPr="009D6886" w:rsidRDefault="00373449" w:rsidP="009209EF">
            <w:pPr>
              <w:jc w:val="right"/>
              <w:rPr>
                <w:sz w:val="22"/>
                <w:szCs w:val="22"/>
              </w:rPr>
            </w:pPr>
            <w:r w:rsidRPr="009D6886">
              <w:rPr>
                <w:sz w:val="22"/>
                <w:szCs w:val="22"/>
              </w:rPr>
              <w:t>39.5</w:t>
            </w:r>
          </w:p>
        </w:tc>
        <w:tc>
          <w:tcPr>
            <w:tcW w:w="990" w:type="dxa"/>
            <w:vAlign w:val="bottom"/>
          </w:tcPr>
          <w:p w:rsidR="009209EF" w:rsidRPr="009D6886" w:rsidRDefault="00F56151" w:rsidP="009209EF">
            <w:pPr>
              <w:jc w:val="right"/>
              <w:rPr>
                <w:sz w:val="22"/>
                <w:szCs w:val="22"/>
              </w:rPr>
            </w:pPr>
            <w:r w:rsidRPr="009D6886">
              <w:rPr>
                <w:sz w:val="22"/>
                <w:szCs w:val="22"/>
              </w:rPr>
              <w:t>158</w:t>
            </w:r>
          </w:p>
        </w:tc>
        <w:tc>
          <w:tcPr>
            <w:tcW w:w="1080" w:type="dxa"/>
            <w:vAlign w:val="bottom"/>
          </w:tcPr>
          <w:p w:rsidR="009209EF" w:rsidRPr="009D6886" w:rsidRDefault="00AA4CEF" w:rsidP="009209EF">
            <w:pPr>
              <w:jc w:val="right"/>
              <w:rPr>
                <w:sz w:val="22"/>
                <w:szCs w:val="22"/>
              </w:rPr>
            </w:pPr>
            <w:r w:rsidRPr="009D6886">
              <w:rPr>
                <w:sz w:val="22"/>
                <w:szCs w:val="22"/>
              </w:rPr>
              <w:t>8,216</w:t>
            </w:r>
          </w:p>
        </w:tc>
        <w:tc>
          <w:tcPr>
            <w:tcW w:w="900" w:type="dxa"/>
            <w:vAlign w:val="bottom"/>
          </w:tcPr>
          <w:p w:rsidR="009209EF" w:rsidRPr="009D6886" w:rsidRDefault="003B0E45" w:rsidP="00033200">
            <w:pPr>
              <w:jc w:val="right"/>
              <w:rPr>
                <w:sz w:val="22"/>
                <w:szCs w:val="22"/>
              </w:rPr>
            </w:pPr>
            <w:r w:rsidRPr="009D6886">
              <w:rPr>
                <w:sz w:val="22"/>
                <w:szCs w:val="22"/>
              </w:rPr>
              <w:t>$</w:t>
            </w:r>
            <w:r w:rsidR="00033200">
              <w:rPr>
                <w:sz w:val="22"/>
                <w:szCs w:val="22"/>
              </w:rPr>
              <w:t>17.55</w:t>
            </w:r>
            <w:r w:rsidRPr="009D6886">
              <w:rPr>
                <w:sz w:val="22"/>
                <w:szCs w:val="22"/>
              </w:rPr>
              <w:t>/$</w:t>
            </w:r>
            <w:r w:rsidR="00E069B3">
              <w:rPr>
                <w:sz w:val="22"/>
                <w:szCs w:val="22"/>
              </w:rPr>
              <w:t>25.73</w:t>
            </w:r>
          </w:p>
        </w:tc>
        <w:tc>
          <w:tcPr>
            <w:tcW w:w="1260" w:type="dxa"/>
            <w:vAlign w:val="bottom"/>
          </w:tcPr>
          <w:p w:rsidR="009209EF" w:rsidRPr="009D6886" w:rsidRDefault="00DF763F" w:rsidP="009209EF">
            <w:pPr>
              <w:jc w:val="right"/>
              <w:rPr>
                <w:sz w:val="22"/>
                <w:szCs w:val="22"/>
              </w:rPr>
            </w:pPr>
            <w:r>
              <w:rPr>
                <w:sz w:val="22"/>
                <w:szCs w:val="22"/>
              </w:rPr>
              <w:t>$</w:t>
            </w:r>
            <w:r w:rsidR="005D254E">
              <w:rPr>
                <w:sz w:val="22"/>
                <w:szCs w:val="22"/>
              </w:rPr>
              <w:t>144,191/ $211,398</w:t>
            </w:r>
          </w:p>
        </w:tc>
      </w:tr>
      <w:tr w:rsidR="009209EF" w:rsidRPr="008C1756" w:rsidTr="00372A47">
        <w:tc>
          <w:tcPr>
            <w:tcW w:w="1080" w:type="dxa"/>
            <w:vAlign w:val="bottom"/>
          </w:tcPr>
          <w:p w:rsidR="009209EF" w:rsidRPr="009D6886" w:rsidRDefault="009209EF" w:rsidP="00781C8E">
            <w:pPr>
              <w:rPr>
                <w:b/>
                <w:i/>
                <w:sz w:val="22"/>
                <w:szCs w:val="22"/>
              </w:rPr>
            </w:pPr>
            <w:r w:rsidRPr="009D6886">
              <w:rPr>
                <w:b/>
                <w:sz w:val="22"/>
                <w:szCs w:val="22"/>
              </w:rPr>
              <w:t>SCSEP</w:t>
            </w:r>
          </w:p>
        </w:tc>
        <w:tc>
          <w:tcPr>
            <w:tcW w:w="1530" w:type="dxa"/>
            <w:vAlign w:val="bottom"/>
          </w:tcPr>
          <w:p w:rsidR="009209EF" w:rsidRPr="009D6886" w:rsidRDefault="009209EF" w:rsidP="009209EF">
            <w:pPr>
              <w:jc w:val="right"/>
              <w:rPr>
                <w:sz w:val="22"/>
                <w:szCs w:val="22"/>
              </w:rPr>
            </w:pPr>
            <w:r w:rsidRPr="009D6886">
              <w:rPr>
                <w:sz w:val="22"/>
                <w:szCs w:val="22"/>
              </w:rPr>
              <w:t>74</w:t>
            </w:r>
          </w:p>
        </w:tc>
        <w:tc>
          <w:tcPr>
            <w:tcW w:w="990" w:type="dxa"/>
            <w:vAlign w:val="bottom"/>
          </w:tcPr>
          <w:p w:rsidR="009209EF" w:rsidRPr="009D6886" w:rsidRDefault="00AB3098" w:rsidP="009209EF">
            <w:pPr>
              <w:jc w:val="right"/>
              <w:rPr>
                <w:sz w:val="22"/>
                <w:szCs w:val="22"/>
              </w:rPr>
            </w:pPr>
            <w:r w:rsidRPr="009D6886">
              <w:rPr>
                <w:sz w:val="22"/>
                <w:szCs w:val="22"/>
              </w:rPr>
              <w:t>4</w:t>
            </w:r>
          </w:p>
        </w:tc>
        <w:tc>
          <w:tcPr>
            <w:tcW w:w="990" w:type="dxa"/>
            <w:vAlign w:val="bottom"/>
          </w:tcPr>
          <w:p w:rsidR="009209EF" w:rsidRPr="009D6886" w:rsidRDefault="00065C16" w:rsidP="009209EF">
            <w:pPr>
              <w:jc w:val="right"/>
              <w:rPr>
                <w:sz w:val="22"/>
                <w:szCs w:val="22"/>
              </w:rPr>
            </w:pPr>
            <w:r w:rsidRPr="009D6886">
              <w:rPr>
                <w:sz w:val="22"/>
                <w:szCs w:val="22"/>
              </w:rPr>
              <w:t>296</w:t>
            </w:r>
          </w:p>
        </w:tc>
        <w:tc>
          <w:tcPr>
            <w:tcW w:w="1170" w:type="dxa"/>
            <w:vAlign w:val="bottom"/>
          </w:tcPr>
          <w:p w:rsidR="009209EF" w:rsidRPr="009D6886" w:rsidRDefault="00373449" w:rsidP="009209EF">
            <w:pPr>
              <w:jc w:val="right"/>
              <w:rPr>
                <w:sz w:val="22"/>
                <w:szCs w:val="22"/>
              </w:rPr>
            </w:pPr>
            <w:r w:rsidRPr="009D6886">
              <w:rPr>
                <w:sz w:val="22"/>
                <w:szCs w:val="22"/>
              </w:rPr>
              <w:t>40.5</w:t>
            </w:r>
          </w:p>
        </w:tc>
        <w:tc>
          <w:tcPr>
            <w:tcW w:w="990" w:type="dxa"/>
            <w:vAlign w:val="bottom"/>
          </w:tcPr>
          <w:p w:rsidR="009209EF" w:rsidRPr="009D6886" w:rsidRDefault="00F56151" w:rsidP="009209EF">
            <w:pPr>
              <w:jc w:val="right"/>
              <w:rPr>
                <w:sz w:val="22"/>
                <w:szCs w:val="22"/>
              </w:rPr>
            </w:pPr>
            <w:r w:rsidRPr="009D6886">
              <w:rPr>
                <w:sz w:val="22"/>
                <w:szCs w:val="22"/>
              </w:rPr>
              <w:t>162</w:t>
            </w:r>
          </w:p>
        </w:tc>
        <w:tc>
          <w:tcPr>
            <w:tcW w:w="1080" w:type="dxa"/>
            <w:vAlign w:val="bottom"/>
          </w:tcPr>
          <w:p w:rsidR="009209EF" w:rsidRPr="009D6886" w:rsidRDefault="00AA4CEF" w:rsidP="009209EF">
            <w:pPr>
              <w:jc w:val="right"/>
              <w:rPr>
                <w:sz w:val="22"/>
                <w:szCs w:val="22"/>
              </w:rPr>
            </w:pPr>
            <w:r w:rsidRPr="009D6886">
              <w:rPr>
                <w:sz w:val="22"/>
                <w:szCs w:val="22"/>
              </w:rPr>
              <w:t>11,988</w:t>
            </w:r>
          </w:p>
        </w:tc>
        <w:tc>
          <w:tcPr>
            <w:tcW w:w="900" w:type="dxa"/>
            <w:vAlign w:val="bottom"/>
          </w:tcPr>
          <w:p w:rsidR="009209EF" w:rsidRPr="009D6886" w:rsidRDefault="003B0E45" w:rsidP="009209EF">
            <w:pPr>
              <w:jc w:val="right"/>
              <w:rPr>
                <w:sz w:val="22"/>
                <w:szCs w:val="22"/>
              </w:rPr>
            </w:pPr>
            <w:r w:rsidRPr="009D6886">
              <w:rPr>
                <w:sz w:val="22"/>
                <w:szCs w:val="22"/>
              </w:rPr>
              <w:t>$</w:t>
            </w:r>
            <w:r w:rsidR="00033200">
              <w:rPr>
                <w:sz w:val="22"/>
                <w:szCs w:val="22"/>
              </w:rPr>
              <w:t>17.55</w:t>
            </w:r>
            <w:r w:rsidRPr="009D6886">
              <w:rPr>
                <w:sz w:val="22"/>
                <w:szCs w:val="22"/>
              </w:rPr>
              <w:t>/$</w:t>
            </w:r>
            <w:r w:rsidR="00E069B3">
              <w:rPr>
                <w:sz w:val="22"/>
                <w:szCs w:val="22"/>
              </w:rPr>
              <w:t>25.73</w:t>
            </w:r>
          </w:p>
        </w:tc>
        <w:tc>
          <w:tcPr>
            <w:tcW w:w="1260" w:type="dxa"/>
            <w:vAlign w:val="bottom"/>
          </w:tcPr>
          <w:p w:rsidR="009209EF" w:rsidRPr="009D6886" w:rsidRDefault="00DF763F" w:rsidP="009209EF">
            <w:pPr>
              <w:jc w:val="right"/>
              <w:rPr>
                <w:sz w:val="22"/>
                <w:szCs w:val="22"/>
              </w:rPr>
            </w:pPr>
            <w:r>
              <w:rPr>
                <w:sz w:val="22"/>
                <w:szCs w:val="22"/>
              </w:rPr>
              <w:t>$</w:t>
            </w:r>
            <w:r w:rsidR="005D254E">
              <w:rPr>
                <w:sz w:val="22"/>
                <w:szCs w:val="22"/>
              </w:rPr>
              <w:t>210,389/ $308,451</w:t>
            </w:r>
          </w:p>
        </w:tc>
      </w:tr>
      <w:tr w:rsidR="009209EF" w:rsidRPr="008C1756" w:rsidTr="00372A47">
        <w:tc>
          <w:tcPr>
            <w:tcW w:w="1080" w:type="dxa"/>
            <w:vAlign w:val="center"/>
          </w:tcPr>
          <w:p w:rsidR="009209EF" w:rsidRPr="00781C8E" w:rsidRDefault="009209EF" w:rsidP="00CD1A38">
            <w:pPr>
              <w:rPr>
                <w:b/>
                <w:sz w:val="22"/>
                <w:szCs w:val="22"/>
              </w:rPr>
            </w:pPr>
            <w:r w:rsidRPr="009D6886">
              <w:rPr>
                <w:b/>
                <w:sz w:val="22"/>
                <w:szCs w:val="22"/>
              </w:rPr>
              <w:t>All Grantees</w:t>
            </w:r>
          </w:p>
          <w:p w:rsidR="00AA4CEF" w:rsidRPr="009D6886" w:rsidRDefault="00AA4CEF" w:rsidP="00CD1A38">
            <w:pPr>
              <w:rPr>
                <w:b/>
                <w:i/>
                <w:sz w:val="22"/>
                <w:szCs w:val="22"/>
              </w:rPr>
            </w:pPr>
            <w:r w:rsidRPr="009D6886">
              <w:rPr>
                <w:b/>
                <w:sz w:val="22"/>
                <w:szCs w:val="22"/>
              </w:rPr>
              <w:t>Total</w:t>
            </w:r>
          </w:p>
        </w:tc>
        <w:tc>
          <w:tcPr>
            <w:tcW w:w="1530" w:type="dxa"/>
            <w:vAlign w:val="bottom"/>
          </w:tcPr>
          <w:p w:rsidR="009209EF" w:rsidRPr="009D6886" w:rsidRDefault="009209EF" w:rsidP="009209EF">
            <w:pPr>
              <w:jc w:val="right"/>
              <w:rPr>
                <w:sz w:val="22"/>
                <w:szCs w:val="22"/>
              </w:rPr>
            </w:pPr>
            <w:r w:rsidRPr="009D6886">
              <w:rPr>
                <w:sz w:val="22"/>
                <w:szCs w:val="22"/>
              </w:rPr>
              <w:t>126</w:t>
            </w:r>
          </w:p>
        </w:tc>
        <w:tc>
          <w:tcPr>
            <w:tcW w:w="990" w:type="dxa"/>
            <w:vAlign w:val="bottom"/>
          </w:tcPr>
          <w:p w:rsidR="009209EF" w:rsidRPr="009D6886" w:rsidRDefault="00AB3098" w:rsidP="009209EF">
            <w:pPr>
              <w:jc w:val="right"/>
              <w:rPr>
                <w:sz w:val="22"/>
                <w:szCs w:val="22"/>
              </w:rPr>
            </w:pPr>
            <w:r w:rsidRPr="009D6886">
              <w:rPr>
                <w:sz w:val="22"/>
                <w:szCs w:val="22"/>
              </w:rPr>
              <w:t>4</w:t>
            </w:r>
          </w:p>
        </w:tc>
        <w:tc>
          <w:tcPr>
            <w:tcW w:w="990" w:type="dxa"/>
            <w:vAlign w:val="bottom"/>
          </w:tcPr>
          <w:p w:rsidR="009209EF" w:rsidRPr="009D6886" w:rsidRDefault="00065C16" w:rsidP="009209EF">
            <w:pPr>
              <w:jc w:val="right"/>
              <w:rPr>
                <w:sz w:val="22"/>
                <w:szCs w:val="22"/>
              </w:rPr>
            </w:pPr>
            <w:r w:rsidRPr="009D6886">
              <w:rPr>
                <w:sz w:val="22"/>
                <w:szCs w:val="22"/>
              </w:rPr>
              <w:t>504</w:t>
            </w:r>
          </w:p>
        </w:tc>
        <w:tc>
          <w:tcPr>
            <w:tcW w:w="1170" w:type="dxa"/>
            <w:vAlign w:val="bottom"/>
          </w:tcPr>
          <w:p w:rsidR="009209EF" w:rsidRPr="009D6886" w:rsidRDefault="006C4315" w:rsidP="009209EF">
            <w:pPr>
              <w:jc w:val="right"/>
              <w:rPr>
                <w:sz w:val="22"/>
                <w:szCs w:val="22"/>
              </w:rPr>
            </w:pPr>
            <w:r>
              <w:rPr>
                <w:sz w:val="22"/>
                <w:szCs w:val="22"/>
              </w:rPr>
              <w:t>Varies</w:t>
            </w:r>
          </w:p>
        </w:tc>
        <w:tc>
          <w:tcPr>
            <w:tcW w:w="990" w:type="dxa"/>
            <w:vAlign w:val="bottom"/>
          </w:tcPr>
          <w:p w:rsidR="009209EF" w:rsidRPr="009D6886" w:rsidRDefault="006C4315" w:rsidP="00254DD8">
            <w:pPr>
              <w:jc w:val="right"/>
              <w:rPr>
                <w:sz w:val="22"/>
                <w:szCs w:val="22"/>
              </w:rPr>
            </w:pPr>
            <w:r>
              <w:rPr>
                <w:sz w:val="22"/>
                <w:szCs w:val="22"/>
              </w:rPr>
              <w:t>Varies</w:t>
            </w:r>
          </w:p>
        </w:tc>
        <w:tc>
          <w:tcPr>
            <w:tcW w:w="1080" w:type="dxa"/>
            <w:vAlign w:val="bottom"/>
          </w:tcPr>
          <w:p w:rsidR="009209EF" w:rsidRPr="009D6886" w:rsidRDefault="00AA4CEF" w:rsidP="009209EF">
            <w:pPr>
              <w:jc w:val="right"/>
              <w:rPr>
                <w:sz w:val="22"/>
                <w:szCs w:val="22"/>
              </w:rPr>
            </w:pPr>
            <w:r w:rsidRPr="009D6886">
              <w:rPr>
                <w:sz w:val="22"/>
                <w:szCs w:val="22"/>
              </w:rPr>
              <w:t>20,204</w:t>
            </w:r>
          </w:p>
        </w:tc>
        <w:tc>
          <w:tcPr>
            <w:tcW w:w="900" w:type="dxa"/>
            <w:vAlign w:val="bottom"/>
          </w:tcPr>
          <w:p w:rsidR="009209EF" w:rsidRPr="009D6886" w:rsidRDefault="003B0E45" w:rsidP="009209EF">
            <w:pPr>
              <w:jc w:val="right"/>
              <w:rPr>
                <w:sz w:val="22"/>
                <w:szCs w:val="22"/>
              </w:rPr>
            </w:pPr>
            <w:r w:rsidRPr="009D6886">
              <w:rPr>
                <w:sz w:val="22"/>
                <w:szCs w:val="22"/>
              </w:rPr>
              <w:t>$</w:t>
            </w:r>
            <w:r w:rsidR="00033200">
              <w:rPr>
                <w:sz w:val="22"/>
                <w:szCs w:val="22"/>
              </w:rPr>
              <w:t>17.55</w:t>
            </w:r>
            <w:r w:rsidRPr="009D6886">
              <w:rPr>
                <w:sz w:val="22"/>
                <w:szCs w:val="22"/>
              </w:rPr>
              <w:t>/$</w:t>
            </w:r>
            <w:r w:rsidR="00E069B3">
              <w:rPr>
                <w:sz w:val="22"/>
                <w:szCs w:val="22"/>
              </w:rPr>
              <w:t>25.73</w:t>
            </w:r>
          </w:p>
        </w:tc>
        <w:tc>
          <w:tcPr>
            <w:tcW w:w="1260" w:type="dxa"/>
            <w:vAlign w:val="bottom"/>
          </w:tcPr>
          <w:p w:rsidR="009209EF" w:rsidRPr="009D6886" w:rsidRDefault="00DF763F" w:rsidP="009209EF">
            <w:pPr>
              <w:jc w:val="right"/>
              <w:rPr>
                <w:sz w:val="22"/>
                <w:szCs w:val="22"/>
              </w:rPr>
            </w:pPr>
            <w:r>
              <w:rPr>
                <w:sz w:val="22"/>
                <w:szCs w:val="22"/>
              </w:rPr>
              <w:t>$</w:t>
            </w:r>
            <w:r w:rsidR="005D254E">
              <w:rPr>
                <w:sz w:val="22"/>
                <w:szCs w:val="22"/>
              </w:rPr>
              <w:t>354,580/ $519,849</w:t>
            </w:r>
          </w:p>
        </w:tc>
      </w:tr>
      <w:tr w:rsidR="009209EF" w:rsidRPr="008C1756" w:rsidTr="00372A47">
        <w:tc>
          <w:tcPr>
            <w:tcW w:w="1080" w:type="dxa"/>
            <w:vAlign w:val="center"/>
          </w:tcPr>
          <w:p w:rsidR="009209EF" w:rsidRPr="009D6886" w:rsidRDefault="009209EF" w:rsidP="00CD1A38">
            <w:pPr>
              <w:rPr>
                <w:b/>
                <w:i/>
                <w:sz w:val="22"/>
                <w:szCs w:val="22"/>
              </w:rPr>
            </w:pPr>
            <w:r w:rsidRPr="009D6886">
              <w:rPr>
                <w:b/>
                <w:sz w:val="22"/>
                <w:szCs w:val="22"/>
              </w:rPr>
              <w:t>Average per Grantee</w:t>
            </w:r>
          </w:p>
        </w:tc>
        <w:tc>
          <w:tcPr>
            <w:tcW w:w="1530" w:type="dxa"/>
            <w:vAlign w:val="bottom"/>
          </w:tcPr>
          <w:p w:rsidR="009209EF" w:rsidRPr="009D6886" w:rsidRDefault="009209EF" w:rsidP="009209EF">
            <w:pPr>
              <w:jc w:val="right"/>
              <w:rPr>
                <w:sz w:val="22"/>
                <w:szCs w:val="22"/>
              </w:rPr>
            </w:pPr>
            <w:r w:rsidRPr="009D6886">
              <w:rPr>
                <w:sz w:val="22"/>
                <w:szCs w:val="22"/>
              </w:rPr>
              <w:t>NA</w:t>
            </w:r>
          </w:p>
        </w:tc>
        <w:tc>
          <w:tcPr>
            <w:tcW w:w="990" w:type="dxa"/>
            <w:vAlign w:val="bottom"/>
          </w:tcPr>
          <w:p w:rsidR="009209EF" w:rsidRPr="009D6886" w:rsidRDefault="00AB3098" w:rsidP="009209EF">
            <w:pPr>
              <w:jc w:val="right"/>
              <w:rPr>
                <w:sz w:val="22"/>
                <w:szCs w:val="22"/>
              </w:rPr>
            </w:pPr>
            <w:r w:rsidRPr="009D6886">
              <w:rPr>
                <w:sz w:val="22"/>
                <w:szCs w:val="22"/>
              </w:rPr>
              <w:t>4</w:t>
            </w:r>
          </w:p>
        </w:tc>
        <w:tc>
          <w:tcPr>
            <w:tcW w:w="990" w:type="dxa"/>
            <w:vAlign w:val="bottom"/>
          </w:tcPr>
          <w:p w:rsidR="009209EF" w:rsidRPr="009D6886" w:rsidRDefault="00065C16" w:rsidP="009209EF">
            <w:pPr>
              <w:jc w:val="right"/>
              <w:rPr>
                <w:sz w:val="22"/>
                <w:szCs w:val="22"/>
              </w:rPr>
            </w:pPr>
            <w:r w:rsidRPr="009D6886">
              <w:rPr>
                <w:sz w:val="22"/>
                <w:szCs w:val="22"/>
              </w:rPr>
              <w:t>4</w:t>
            </w:r>
          </w:p>
        </w:tc>
        <w:tc>
          <w:tcPr>
            <w:tcW w:w="1170" w:type="dxa"/>
            <w:vAlign w:val="bottom"/>
          </w:tcPr>
          <w:p w:rsidR="009209EF" w:rsidRPr="009D6886" w:rsidRDefault="00691A19" w:rsidP="009209EF">
            <w:pPr>
              <w:jc w:val="right"/>
              <w:rPr>
                <w:sz w:val="22"/>
                <w:szCs w:val="22"/>
              </w:rPr>
            </w:pPr>
            <w:r w:rsidRPr="009D6886">
              <w:rPr>
                <w:sz w:val="22"/>
                <w:szCs w:val="22"/>
              </w:rPr>
              <w:t>40 (rounded)</w:t>
            </w:r>
          </w:p>
        </w:tc>
        <w:tc>
          <w:tcPr>
            <w:tcW w:w="990" w:type="dxa"/>
            <w:vAlign w:val="bottom"/>
          </w:tcPr>
          <w:p w:rsidR="009209EF" w:rsidRPr="009D6886" w:rsidRDefault="004B4490" w:rsidP="009209EF">
            <w:pPr>
              <w:jc w:val="right"/>
              <w:rPr>
                <w:sz w:val="22"/>
                <w:szCs w:val="22"/>
              </w:rPr>
            </w:pPr>
            <w:r w:rsidRPr="009D6886">
              <w:rPr>
                <w:sz w:val="22"/>
                <w:szCs w:val="22"/>
              </w:rPr>
              <w:t>160.35</w:t>
            </w:r>
          </w:p>
        </w:tc>
        <w:tc>
          <w:tcPr>
            <w:tcW w:w="1080" w:type="dxa"/>
            <w:vAlign w:val="bottom"/>
          </w:tcPr>
          <w:p w:rsidR="009209EF" w:rsidRPr="009D6886" w:rsidRDefault="004B4490" w:rsidP="009209EF">
            <w:pPr>
              <w:jc w:val="right"/>
              <w:rPr>
                <w:sz w:val="22"/>
                <w:szCs w:val="22"/>
              </w:rPr>
            </w:pPr>
            <w:r w:rsidRPr="009D6886">
              <w:rPr>
                <w:sz w:val="22"/>
                <w:szCs w:val="22"/>
              </w:rPr>
              <w:t>160.35</w:t>
            </w:r>
          </w:p>
        </w:tc>
        <w:tc>
          <w:tcPr>
            <w:tcW w:w="900" w:type="dxa"/>
            <w:vAlign w:val="bottom"/>
          </w:tcPr>
          <w:p w:rsidR="009209EF" w:rsidRPr="009D6886" w:rsidRDefault="003B0E45" w:rsidP="00115EB4">
            <w:pPr>
              <w:jc w:val="right"/>
              <w:rPr>
                <w:sz w:val="22"/>
                <w:szCs w:val="22"/>
              </w:rPr>
            </w:pPr>
            <w:r w:rsidRPr="009D6886">
              <w:rPr>
                <w:sz w:val="22"/>
                <w:szCs w:val="22"/>
              </w:rPr>
              <w:t>$</w:t>
            </w:r>
            <w:r w:rsidR="00115EB4">
              <w:rPr>
                <w:sz w:val="22"/>
                <w:szCs w:val="22"/>
              </w:rPr>
              <w:t>17.55</w:t>
            </w:r>
            <w:r w:rsidRPr="009D6886">
              <w:rPr>
                <w:sz w:val="22"/>
                <w:szCs w:val="22"/>
              </w:rPr>
              <w:t>/$</w:t>
            </w:r>
            <w:r w:rsidR="00E069B3">
              <w:rPr>
                <w:sz w:val="22"/>
                <w:szCs w:val="22"/>
              </w:rPr>
              <w:t>25.73</w:t>
            </w:r>
          </w:p>
        </w:tc>
        <w:tc>
          <w:tcPr>
            <w:tcW w:w="1260" w:type="dxa"/>
            <w:vAlign w:val="bottom"/>
          </w:tcPr>
          <w:p w:rsidR="009209EF" w:rsidRPr="009D6886" w:rsidRDefault="00DF763F" w:rsidP="009209EF">
            <w:pPr>
              <w:jc w:val="right"/>
              <w:rPr>
                <w:sz w:val="22"/>
                <w:szCs w:val="22"/>
              </w:rPr>
            </w:pPr>
            <w:r>
              <w:rPr>
                <w:sz w:val="22"/>
                <w:szCs w:val="22"/>
              </w:rPr>
              <w:t>$</w:t>
            </w:r>
            <w:r w:rsidR="005D254E">
              <w:rPr>
                <w:sz w:val="22"/>
                <w:szCs w:val="22"/>
              </w:rPr>
              <w:t>2,814/ $4,126</w:t>
            </w:r>
          </w:p>
        </w:tc>
      </w:tr>
    </w:tbl>
    <w:p w:rsidR="00C30FD0" w:rsidRDefault="00C30FD0">
      <w:pPr>
        <w:jc w:val="center"/>
        <w:rPr>
          <w:b/>
          <w:sz w:val="22"/>
          <w:szCs w:val="22"/>
        </w:rPr>
      </w:pPr>
    </w:p>
    <w:p w:rsidR="005205D2" w:rsidRDefault="005205D2">
      <w:pPr>
        <w:numPr>
          <w:ilvl w:val="0"/>
          <w:numId w:val="24"/>
        </w:numPr>
      </w:pPr>
      <w:r>
        <w:t>The calculation of the hours required to conduct validation includes the time for validators to review sampled case files (40 minutes per file) and 15</w:t>
      </w:r>
      <w:r w:rsidR="0062338D">
        <w:t xml:space="preserve"> percent </w:t>
      </w:r>
      <w:r>
        <w:t>of a supervisor’s time</w:t>
      </w:r>
      <w:proofErr w:type="gramStart"/>
      <w:r>
        <w:t xml:space="preserve">. </w:t>
      </w:r>
      <w:proofErr w:type="gramEnd"/>
      <w:r>
        <w:t>(Travel is not required for grantees to conduct validation).</w:t>
      </w:r>
    </w:p>
    <w:p w:rsidR="005205D2" w:rsidRDefault="005205D2" w:rsidP="0062338D">
      <w:pPr>
        <w:numPr>
          <w:ilvl w:val="0"/>
          <w:numId w:val="24"/>
        </w:numPr>
      </w:pPr>
      <w:r>
        <w:rPr>
          <w:sz w:val="23"/>
          <w:szCs w:val="23"/>
        </w:rPr>
        <w:t xml:space="preserve">The hourly rate used to calculate cost depends upon the type of organization receiving the grant.  </w:t>
      </w:r>
      <w:r w:rsidR="008515C2">
        <w:rPr>
          <w:sz w:val="23"/>
          <w:szCs w:val="23"/>
        </w:rPr>
        <w:t xml:space="preserve">For private non-profit grantees and </w:t>
      </w:r>
      <w:proofErr w:type="gramStart"/>
      <w:r w:rsidR="008515C2">
        <w:rPr>
          <w:sz w:val="23"/>
          <w:szCs w:val="23"/>
        </w:rPr>
        <w:t>Federally-recognized</w:t>
      </w:r>
      <w:proofErr w:type="gramEnd"/>
      <w:r w:rsidR="008515C2">
        <w:rPr>
          <w:sz w:val="23"/>
          <w:szCs w:val="23"/>
        </w:rPr>
        <w:t xml:space="preserve"> tribes, the hourly rate is the average hourly earnings in the civic and social organizations industry</w:t>
      </w:r>
      <w:r w:rsidR="008515C2">
        <w:rPr>
          <w:sz w:val="23"/>
          <w:szCs w:val="23"/>
        </w:rPr>
        <w:t>, Current Employment Statistics (CES) code 80313400</w:t>
      </w:r>
      <w:r w:rsidR="008515C2">
        <w:rPr>
          <w:sz w:val="23"/>
          <w:szCs w:val="23"/>
        </w:rPr>
        <w:t xml:space="preserve"> (</w:t>
      </w:r>
      <w:r w:rsidR="008515C2">
        <w:rPr>
          <w:sz w:val="23"/>
          <w:szCs w:val="23"/>
        </w:rPr>
        <w:t>March 2014</w:t>
      </w:r>
      <w:r w:rsidR="008515C2">
        <w:rPr>
          <w:sz w:val="23"/>
          <w:szCs w:val="23"/>
        </w:rPr>
        <w:t xml:space="preserve">, CES survey, U.S. Census Bureau, </w:t>
      </w:r>
      <w:hyperlink r:id="rId10" w:history="1">
        <w:r w:rsidR="008515C2" w:rsidRPr="0062338D">
          <w:rPr>
            <w:rStyle w:val="Hyperlink"/>
            <w:sz w:val="23"/>
            <w:szCs w:val="23"/>
          </w:rPr>
          <w:t>http://data.bls.gov/PDQ/outside.jsp?survey=ce</w:t>
        </w:r>
      </w:hyperlink>
      <w:r w:rsidR="008515C2">
        <w:rPr>
          <w:sz w:val="23"/>
          <w:szCs w:val="23"/>
        </w:rPr>
        <w:t xml:space="preserve">.)  </w:t>
      </w:r>
      <w:r>
        <w:rPr>
          <w:sz w:val="23"/>
          <w:szCs w:val="23"/>
        </w:rPr>
        <w:t xml:space="preserve">For state, county, and U.S. territory government grantees, the hourly rate is the estimated average hourly earnings for employees </w:t>
      </w:r>
      <w:r w:rsidR="0062338D" w:rsidRPr="0062338D">
        <w:rPr>
          <w:sz w:val="23"/>
          <w:szCs w:val="23"/>
        </w:rPr>
        <w:t>in the administration of economic programs</w:t>
      </w:r>
      <w:r w:rsidR="0062338D">
        <w:rPr>
          <w:sz w:val="23"/>
          <w:szCs w:val="23"/>
        </w:rPr>
        <w:t xml:space="preserve"> industry, NAICS</w:t>
      </w:r>
      <w:r w:rsidR="0062338D" w:rsidRPr="0062338D">
        <w:rPr>
          <w:sz w:val="23"/>
          <w:szCs w:val="23"/>
        </w:rPr>
        <w:t xml:space="preserve"> code 926110 (CY 2013, Quarterly Census of Employment and Wages, Bureau of Labor Statistics, http://data.bls.gov/pdq/querytool.jsp?survey=en)</w:t>
      </w:r>
      <w:r>
        <w:rPr>
          <w:sz w:val="23"/>
          <w:szCs w:val="23"/>
        </w:rPr>
        <w:t xml:space="preserve">.  </w:t>
      </w:r>
    </w:p>
    <w:p w:rsidR="006F5EAD" w:rsidRDefault="006F5EAD"/>
    <w:p w:rsidR="005205D2" w:rsidRDefault="0089588C">
      <w:r w:rsidRPr="004D2142">
        <w:t>Table</w:t>
      </w:r>
      <w:r w:rsidR="00C9130A">
        <w:t>s</w:t>
      </w:r>
      <w:r w:rsidRPr="004D2142">
        <w:t xml:space="preserve"> 4</w:t>
      </w:r>
      <w:r>
        <w:t xml:space="preserve"> </w:t>
      </w:r>
      <w:r w:rsidR="00D40ACD">
        <w:t>through</w:t>
      </w:r>
      <w:r w:rsidR="004053D3">
        <w:t xml:space="preserve"> </w:t>
      </w:r>
      <w:r w:rsidR="00D40ACD">
        <w:t>6</w:t>
      </w:r>
      <w:r w:rsidR="004D2142">
        <w:t xml:space="preserve"> </w:t>
      </w:r>
      <w:r w:rsidR="005205D2">
        <w:t>provide a more detailed account of the annual burden estimates for each grantee program.</w:t>
      </w:r>
    </w:p>
    <w:p w:rsidR="00E73889" w:rsidRDefault="00E73889"/>
    <w:p w:rsidR="00E73889" w:rsidRDefault="00E73889"/>
    <w:p w:rsidR="00E73889" w:rsidRDefault="00E73889"/>
    <w:p w:rsidR="00E73889" w:rsidRDefault="00E73889"/>
    <w:p w:rsidR="00E73889" w:rsidRDefault="00E73889"/>
    <w:p w:rsidR="00E73889" w:rsidRDefault="00E73889"/>
    <w:p w:rsidR="008B0FAA" w:rsidRPr="009A374D" w:rsidRDefault="008B0FAA" w:rsidP="008B0FAA">
      <w:pPr>
        <w:jc w:val="center"/>
        <w:rPr>
          <w:sz w:val="22"/>
          <w:szCs w:val="22"/>
        </w:rPr>
      </w:pPr>
      <w:r w:rsidRPr="00221A03">
        <w:rPr>
          <w:b/>
          <w:sz w:val="22"/>
          <w:szCs w:val="22"/>
        </w:rPr>
        <w:t>Table 4 – Disaggregated Summary Calculation of Annual Burden for NFJP and SCSEP Grantees</w:t>
      </w:r>
    </w:p>
    <w:p w:rsidR="008B0FAA" w:rsidRDefault="008B0FAA" w:rsidP="008B0FAA"/>
    <w:tbl>
      <w:tblPr>
        <w:tblStyle w:val="TableGrid"/>
        <w:tblW w:w="9990" w:type="dxa"/>
        <w:tblInd w:w="-162" w:type="dxa"/>
        <w:tblLayout w:type="fixed"/>
        <w:tblLook w:val="04A0" w:firstRow="1" w:lastRow="0" w:firstColumn="1" w:lastColumn="0" w:noHBand="0" w:noVBand="1"/>
      </w:tblPr>
      <w:tblGrid>
        <w:gridCol w:w="1530"/>
        <w:gridCol w:w="1530"/>
        <w:gridCol w:w="990"/>
        <w:gridCol w:w="990"/>
        <w:gridCol w:w="900"/>
        <w:gridCol w:w="990"/>
        <w:gridCol w:w="900"/>
        <w:gridCol w:w="900"/>
        <w:gridCol w:w="1260"/>
      </w:tblGrid>
      <w:tr w:rsidR="008B0FAA" w:rsidRPr="00E86D48" w:rsidTr="00033200">
        <w:tc>
          <w:tcPr>
            <w:tcW w:w="1530" w:type="dxa"/>
          </w:tcPr>
          <w:p w:rsidR="008B0FAA" w:rsidRPr="00691A19" w:rsidRDefault="008B0FAA" w:rsidP="00A50B00">
            <w:pPr>
              <w:rPr>
                <w:b/>
                <w:i/>
                <w:sz w:val="22"/>
                <w:szCs w:val="22"/>
              </w:rPr>
            </w:pPr>
            <w:r w:rsidRPr="00691A19">
              <w:rPr>
                <w:b/>
                <w:i/>
                <w:sz w:val="22"/>
                <w:szCs w:val="22"/>
              </w:rPr>
              <w:t>Grant Program</w:t>
            </w:r>
          </w:p>
        </w:tc>
        <w:tc>
          <w:tcPr>
            <w:tcW w:w="1530" w:type="dxa"/>
          </w:tcPr>
          <w:p w:rsidR="008B0FAA" w:rsidRPr="00691A19" w:rsidRDefault="008B0FAA" w:rsidP="00A50B00">
            <w:pPr>
              <w:rPr>
                <w:b/>
                <w:i/>
                <w:sz w:val="22"/>
                <w:szCs w:val="22"/>
              </w:rPr>
            </w:pPr>
            <w:r w:rsidRPr="00691A19">
              <w:rPr>
                <w:b/>
                <w:i/>
                <w:sz w:val="22"/>
                <w:szCs w:val="22"/>
              </w:rPr>
              <w:t>No. of Grantees (Respondents)</w:t>
            </w:r>
          </w:p>
        </w:tc>
        <w:tc>
          <w:tcPr>
            <w:tcW w:w="990" w:type="dxa"/>
          </w:tcPr>
          <w:p w:rsidR="008B0FAA" w:rsidRPr="00691A19" w:rsidRDefault="008B0FAA" w:rsidP="00A50B00">
            <w:pPr>
              <w:rPr>
                <w:b/>
                <w:i/>
                <w:sz w:val="22"/>
                <w:szCs w:val="22"/>
              </w:rPr>
            </w:pPr>
            <w:r w:rsidRPr="00691A19">
              <w:rPr>
                <w:b/>
                <w:i/>
                <w:sz w:val="22"/>
                <w:szCs w:val="22"/>
              </w:rPr>
              <w:t>Reports per year per Grantee</w:t>
            </w:r>
          </w:p>
        </w:tc>
        <w:tc>
          <w:tcPr>
            <w:tcW w:w="990" w:type="dxa"/>
          </w:tcPr>
          <w:p w:rsidR="008B0FAA" w:rsidRPr="00691A19" w:rsidRDefault="008B0FAA" w:rsidP="00A50B00">
            <w:pPr>
              <w:rPr>
                <w:b/>
                <w:i/>
                <w:sz w:val="22"/>
                <w:szCs w:val="22"/>
              </w:rPr>
            </w:pPr>
            <w:r w:rsidRPr="00691A19">
              <w:rPr>
                <w:b/>
                <w:i/>
                <w:sz w:val="22"/>
                <w:szCs w:val="22"/>
              </w:rPr>
              <w:t>Total Annual Reports</w:t>
            </w:r>
          </w:p>
        </w:tc>
        <w:tc>
          <w:tcPr>
            <w:tcW w:w="900" w:type="dxa"/>
          </w:tcPr>
          <w:p w:rsidR="008B0FAA" w:rsidRPr="00691A19" w:rsidRDefault="008B0FAA" w:rsidP="00A50B00">
            <w:pPr>
              <w:rPr>
                <w:b/>
                <w:i/>
                <w:sz w:val="22"/>
                <w:szCs w:val="22"/>
              </w:rPr>
            </w:pPr>
            <w:r w:rsidRPr="00691A19">
              <w:rPr>
                <w:b/>
                <w:i/>
                <w:sz w:val="22"/>
                <w:szCs w:val="22"/>
              </w:rPr>
              <w:t>Hours per Report</w:t>
            </w:r>
          </w:p>
        </w:tc>
        <w:tc>
          <w:tcPr>
            <w:tcW w:w="990" w:type="dxa"/>
          </w:tcPr>
          <w:p w:rsidR="008B0FAA" w:rsidRPr="00691A19" w:rsidRDefault="008B0FAA" w:rsidP="00A50B00">
            <w:pPr>
              <w:rPr>
                <w:b/>
                <w:i/>
                <w:sz w:val="22"/>
                <w:szCs w:val="22"/>
              </w:rPr>
            </w:pPr>
            <w:r w:rsidRPr="00691A19">
              <w:rPr>
                <w:b/>
                <w:i/>
                <w:sz w:val="22"/>
                <w:szCs w:val="22"/>
              </w:rPr>
              <w:t>Hours per Grantee</w:t>
            </w:r>
          </w:p>
        </w:tc>
        <w:tc>
          <w:tcPr>
            <w:tcW w:w="900" w:type="dxa"/>
          </w:tcPr>
          <w:p w:rsidR="008B0FAA" w:rsidRPr="00691A19" w:rsidRDefault="008B0FAA" w:rsidP="00A50B00">
            <w:pPr>
              <w:rPr>
                <w:b/>
                <w:i/>
                <w:sz w:val="22"/>
                <w:szCs w:val="22"/>
              </w:rPr>
            </w:pPr>
            <w:r w:rsidRPr="00691A19">
              <w:rPr>
                <w:b/>
                <w:i/>
                <w:sz w:val="22"/>
                <w:szCs w:val="22"/>
              </w:rPr>
              <w:t>Total Hours</w:t>
            </w:r>
          </w:p>
        </w:tc>
        <w:tc>
          <w:tcPr>
            <w:tcW w:w="900" w:type="dxa"/>
          </w:tcPr>
          <w:p w:rsidR="008B0FAA" w:rsidRPr="00691A19" w:rsidRDefault="008B0FAA" w:rsidP="00A50B00">
            <w:pPr>
              <w:rPr>
                <w:b/>
                <w:i/>
                <w:sz w:val="22"/>
                <w:szCs w:val="22"/>
              </w:rPr>
            </w:pPr>
            <w:r w:rsidRPr="00691A19">
              <w:rPr>
                <w:b/>
                <w:i/>
                <w:sz w:val="22"/>
                <w:szCs w:val="22"/>
              </w:rPr>
              <w:t>Rate in $/</w:t>
            </w:r>
            <w:proofErr w:type="spellStart"/>
            <w:r w:rsidRPr="00691A19">
              <w:rPr>
                <w:b/>
                <w:i/>
                <w:sz w:val="22"/>
                <w:szCs w:val="22"/>
              </w:rPr>
              <w:t>hr</w:t>
            </w:r>
            <w:proofErr w:type="spellEnd"/>
          </w:p>
        </w:tc>
        <w:tc>
          <w:tcPr>
            <w:tcW w:w="1260" w:type="dxa"/>
          </w:tcPr>
          <w:p w:rsidR="008B0FAA" w:rsidRPr="00E86D48" w:rsidRDefault="008B0FAA" w:rsidP="00A50B00">
            <w:pPr>
              <w:rPr>
                <w:b/>
                <w:i/>
                <w:sz w:val="22"/>
                <w:szCs w:val="22"/>
              </w:rPr>
            </w:pPr>
            <w:r>
              <w:rPr>
                <w:b/>
                <w:i/>
                <w:sz w:val="22"/>
                <w:szCs w:val="22"/>
              </w:rPr>
              <w:t>Monetized Value</w:t>
            </w:r>
          </w:p>
        </w:tc>
      </w:tr>
      <w:tr w:rsidR="008B0FAA" w:rsidRPr="00800615" w:rsidTr="00033200">
        <w:tc>
          <w:tcPr>
            <w:tcW w:w="1530" w:type="dxa"/>
            <w:vAlign w:val="bottom"/>
          </w:tcPr>
          <w:p w:rsidR="008B0FAA" w:rsidRPr="009D6886" w:rsidRDefault="008B0FAA" w:rsidP="00A50B00">
            <w:pPr>
              <w:rPr>
                <w:b/>
                <w:i/>
                <w:sz w:val="22"/>
                <w:szCs w:val="22"/>
              </w:rPr>
            </w:pPr>
            <w:r w:rsidRPr="009D6886">
              <w:rPr>
                <w:b/>
                <w:sz w:val="22"/>
                <w:szCs w:val="22"/>
              </w:rPr>
              <w:t>NFJP</w:t>
            </w:r>
            <w:r>
              <w:rPr>
                <w:b/>
                <w:sz w:val="22"/>
                <w:szCs w:val="22"/>
              </w:rPr>
              <w:t xml:space="preserve"> Total</w:t>
            </w:r>
          </w:p>
        </w:tc>
        <w:tc>
          <w:tcPr>
            <w:tcW w:w="1530" w:type="dxa"/>
            <w:vAlign w:val="bottom"/>
          </w:tcPr>
          <w:p w:rsidR="008B0FAA" w:rsidRPr="00800615" w:rsidRDefault="008B0FAA" w:rsidP="00A50B00">
            <w:pPr>
              <w:jc w:val="right"/>
              <w:rPr>
                <w:b/>
                <w:sz w:val="22"/>
                <w:szCs w:val="22"/>
              </w:rPr>
            </w:pPr>
            <w:r w:rsidRPr="00800615">
              <w:rPr>
                <w:b/>
                <w:sz w:val="22"/>
                <w:szCs w:val="22"/>
              </w:rPr>
              <w:t>52</w:t>
            </w:r>
          </w:p>
        </w:tc>
        <w:tc>
          <w:tcPr>
            <w:tcW w:w="990" w:type="dxa"/>
            <w:vAlign w:val="bottom"/>
          </w:tcPr>
          <w:p w:rsidR="008B0FAA" w:rsidRPr="00800615" w:rsidRDefault="008B0FAA" w:rsidP="00A50B00">
            <w:pPr>
              <w:jc w:val="right"/>
              <w:rPr>
                <w:b/>
                <w:sz w:val="22"/>
                <w:szCs w:val="22"/>
              </w:rPr>
            </w:pPr>
            <w:r w:rsidRPr="00800615">
              <w:rPr>
                <w:b/>
                <w:sz w:val="22"/>
                <w:szCs w:val="22"/>
              </w:rPr>
              <w:t>4</w:t>
            </w:r>
          </w:p>
        </w:tc>
        <w:tc>
          <w:tcPr>
            <w:tcW w:w="990" w:type="dxa"/>
            <w:vAlign w:val="bottom"/>
          </w:tcPr>
          <w:p w:rsidR="008B0FAA" w:rsidRPr="00800615" w:rsidRDefault="008B0FAA" w:rsidP="00A50B00">
            <w:pPr>
              <w:jc w:val="right"/>
              <w:rPr>
                <w:b/>
                <w:sz w:val="22"/>
                <w:szCs w:val="22"/>
              </w:rPr>
            </w:pPr>
            <w:r w:rsidRPr="00800615">
              <w:rPr>
                <w:b/>
                <w:sz w:val="22"/>
                <w:szCs w:val="22"/>
              </w:rPr>
              <w:t>208</w:t>
            </w:r>
          </w:p>
        </w:tc>
        <w:tc>
          <w:tcPr>
            <w:tcW w:w="900" w:type="dxa"/>
            <w:vAlign w:val="bottom"/>
          </w:tcPr>
          <w:p w:rsidR="008B0FAA" w:rsidRPr="00800615" w:rsidRDefault="008B0FAA" w:rsidP="00A50B00">
            <w:pPr>
              <w:jc w:val="right"/>
              <w:rPr>
                <w:b/>
                <w:sz w:val="22"/>
                <w:szCs w:val="22"/>
              </w:rPr>
            </w:pPr>
            <w:r w:rsidRPr="00800615">
              <w:rPr>
                <w:b/>
                <w:sz w:val="22"/>
                <w:szCs w:val="22"/>
              </w:rPr>
              <w:t>39.5</w:t>
            </w:r>
          </w:p>
        </w:tc>
        <w:tc>
          <w:tcPr>
            <w:tcW w:w="990" w:type="dxa"/>
            <w:vAlign w:val="bottom"/>
          </w:tcPr>
          <w:p w:rsidR="008B0FAA" w:rsidRPr="00800615" w:rsidRDefault="008B0FAA" w:rsidP="00A50B00">
            <w:pPr>
              <w:jc w:val="right"/>
              <w:rPr>
                <w:b/>
                <w:sz w:val="22"/>
                <w:szCs w:val="22"/>
              </w:rPr>
            </w:pPr>
            <w:r w:rsidRPr="00800615">
              <w:rPr>
                <w:b/>
                <w:sz w:val="22"/>
                <w:szCs w:val="22"/>
              </w:rPr>
              <w:t>158</w:t>
            </w:r>
          </w:p>
        </w:tc>
        <w:tc>
          <w:tcPr>
            <w:tcW w:w="900" w:type="dxa"/>
            <w:vAlign w:val="bottom"/>
          </w:tcPr>
          <w:p w:rsidR="008B0FAA" w:rsidRPr="00800615" w:rsidRDefault="008B0FAA" w:rsidP="00A50B00">
            <w:pPr>
              <w:jc w:val="right"/>
              <w:rPr>
                <w:b/>
                <w:sz w:val="22"/>
                <w:szCs w:val="22"/>
              </w:rPr>
            </w:pPr>
            <w:r w:rsidRPr="00800615">
              <w:rPr>
                <w:b/>
                <w:sz w:val="22"/>
                <w:szCs w:val="22"/>
              </w:rPr>
              <w:t>8,216</w:t>
            </w:r>
          </w:p>
        </w:tc>
        <w:tc>
          <w:tcPr>
            <w:tcW w:w="900" w:type="dxa"/>
            <w:vAlign w:val="bottom"/>
          </w:tcPr>
          <w:p w:rsidR="008B0FAA" w:rsidRPr="00800615" w:rsidRDefault="008B0FAA" w:rsidP="00033200">
            <w:pPr>
              <w:jc w:val="right"/>
              <w:rPr>
                <w:b/>
                <w:sz w:val="22"/>
                <w:szCs w:val="22"/>
              </w:rPr>
            </w:pPr>
            <w:r w:rsidRPr="00800615">
              <w:rPr>
                <w:b/>
                <w:sz w:val="22"/>
                <w:szCs w:val="22"/>
              </w:rPr>
              <w:t>$</w:t>
            </w:r>
            <w:r w:rsidR="00033200">
              <w:rPr>
                <w:b/>
                <w:sz w:val="22"/>
                <w:szCs w:val="22"/>
              </w:rPr>
              <w:t>17.55</w:t>
            </w:r>
            <w:r w:rsidRPr="00800615">
              <w:rPr>
                <w:b/>
                <w:sz w:val="22"/>
                <w:szCs w:val="22"/>
              </w:rPr>
              <w:t>/$</w:t>
            </w:r>
            <w:r w:rsidR="0062338D">
              <w:rPr>
                <w:b/>
                <w:sz w:val="22"/>
                <w:szCs w:val="22"/>
              </w:rPr>
              <w:t>25.73</w:t>
            </w:r>
          </w:p>
        </w:tc>
        <w:tc>
          <w:tcPr>
            <w:tcW w:w="1260" w:type="dxa"/>
            <w:vAlign w:val="bottom"/>
          </w:tcPr>
          <w:p w:rsidR="008B0FAA" w:rsidRPr="00800615" w:rsidRDefault="008B0FAA" w:rsidP="00A50B00">
            <w:pPr>
              <w:jc w:val="right"/>
              <w:rPr>
                <w:b/>
                <w:sz w:val="22"/>
                <w:szCs w:val="22"/>
              </w:rPr>
            </w:pPr>
            <w:r w:rsidRPr="00800615">
              <w:rPr>
                <w:b/>
                <w:sz w:val="22"/>
                <w:szCs w:val="22"/>
              </w:rPr>
              <w:t>$</w:t>
            </w:r>
            <w:r w:rsidR="0062338D">
              <w:rPr>
                <w:b/>
                <w:sz w:val="22"/>
                <w:szCs w:val="22"/>
              </w:rPr>
              <w:t>144,191/ $211,398</w:t>
            </w:r>
          </w:p>
        </w:tc>
      </w:tr>
      <w:tr w:rsidR="008B0FAA" w:rsidRPr="009D6886" w:rsidTr="00033200">
        <w:tc>
          <w:tcPr>
            <w:tcW w:w="1530" w:type="dxa"/>
          </w:tcPr>
          <w:p w:rsidR="008B0FAA" w:rsidRPr="009D6886" w:rsidRDefault="008B0FAA" w:rsidP="00A50B00">
            <w:pPr>
              <w:ind w:left="162"/>
              <w:rPr>
                <w:b/>
                <w:sz w:val="22"/>
                <w:szCs w:val="22"/>
              </w:rPr>
            </w:pPr>
            <w:r w:rsidRPr="00506475">
              <w:rPr>
                <w:sz w:val="22"/>
                <w:szCs w:val="22"/>
              </w:rPr>
              <w:t>Private Sector</w:t>
            </w:r>
          </w:p>
        </w:tc>
        <w:tc>
          <w:tcPr>
            <w:tcW w:w="1530" w:type="dxa"/>
            <w:vAlign w:val="bottom"/>
          </w:tcPr>
          <w:p w:rsidR="008B0FAA" w:rsidRPr="009D6886" w:rsidRDefault="008B0FAA" w:rsidP="00A50B00">
            <w:pPr>
              <w:jc w:val="right"/>
              <w:rPr>
                <w:sz w:val="22"/>
                <w:szCs w:val="22"/>
              </w:rPr>
            </w:pPr>
            <w:r>
              <w:rPr>
                <w:sz w:val="22"/>
                <w:szCs w:val="22"/>
              </w:rPr>
              <w:t>50</w:t>
            </w:r>
          </w:p>
        </w:tc>
        <w:tc>
          <w:tcPr>
            <w:tcW w:w="990" w:type="dxa"/>
            <w:vAlign w:val="bottom"/>
          </w:tcPr>
          <w:p w:rsidR="008B0FAA" w:rsidRPr="009D6886" w:rsidRDefault="008B0FAA" w:rsidP="00A50B00">
            <w:pPr>
              <w:jc w:val="right"/>
              <w:rPr>
                <w:sz w:val="22"/>
                <w:szCs w:val="22"/>
              </w:rPr>
            </w:pPr>
            <w:r>
              <w:rPr>
                <w:sz w:val="22"/>
                <w:szCs w:val="22"/>
              </w:rPr>
              <w:t>4</w:t>
            </w:r>
          </w:p>
        </w:tc>
        <w:tc>
          <w:tcPr>
            <w:tcW w:w="990" w:type="dxa"/>
            <w:vAlign w:val="bottom"/>
          </w:tcPr>
          <w:p w:rsidR="008B0FAA" w:rsidRPr="009D6886" w:rsidRDefault="008B0FAA" w:rsidP="00A50B00">
            <w:pPr>
              <w:jc w:val="right"/>
              <w:rPr>
                <w:sz w:val="22"/>
                <w:szCs w:val="22"/>
              </w:rPr>
            </w:pPr>
            <w:r>
              <w:rPr>
                <w:sz w:val="22"/>
                <w:szCs w:val="22"/>
              </w:rPr>
              <w:t>200</w:t>
            </w:r>
          </w:p>
        </w:tc>
        <w:tc>
          <w:tcPr>
            <w:tcW w:w="900" w:type="dxa"/>
            <w:vAlign w:val="bottom"/>
          </w:tcPr>
          <w:p w:rsidR="008B0FAA" w:rsidRPr="009D6886" w:rsidRDefault="008B0FAA" w:rsidP="00A50B00">
            <w:pPr>
              <w:jc w:val="right"/>
              <w:rPr>
                <w:sz w:val="22"/>
                <w:szCs w:val="22"/>
              </w:rPr>
            </w:pPr>
            <w:r>
              <w:rPr>
                <w:sz w:val="22"/>
                <w:szCs w:val="22"/>
              </w:rPr>
              <w:t>39.5</w:t>
            </w:r>
          </w:p>
        </w:tc>
        <w:tc>
          <w:tcPr>
            <w:tcW w:w="990" w:type="dxa"/>
            <w:vAlign w:val="bottom"/>
          </w:tcPr>
          <w:p w:rsidR="008B0FAA" w:rsidRPr="009D6886" w:rsidRDefault="008B0FAA" w:rsidP="00A50B00">
            <w:pPr>
              <w:jc w:val="right"/>
              <w:rPr>
                <w:sz w:val="22"/>
                <w:szCs w:val="22"/>
              </w:rPr>
            </w:pPr>
            <w:r>
              <w:rPr>
                <w:sz w:val="22"/>
                <w:szCs w:val="22"/>
              </w:rPr>
              <w:t>158</w:t>
            </w:r>
          </w:p>
        </w:tc>
        <w:tc>
          <w:tcPr>
            <w:tcW w:w="900" w:type="dxa"/>
            <w:vAlign w:val="bottom"/>
          </w:tcPr>
          <w:p w:rsidR="008B0FAA" w:rsidRPr="009D6886" w:rsidRDefault="008B0FAA" w:rsidP="00A50B00">
            <w:pPr>
              <w:jc w:val="right"/>
              <w:rPr>
                <w:sz w:val="22"/>
                <w:szCs w:val="22"/>
              </w:rPr>
            </w:pPr>
            <w:r>
              <w:rPr>
                <w:sz w:val="22"/>
                <w:szCs w:val="22"/>
              </w:rPr>
              <w:t>7,900</w:t>
            </w:r>
          </w:p>
        </w:tc>
        <w:tc>
          <w:tcPr>
            <w:tcW w:w="900" w:type="dxa"/>
            <w:vAlign w:val="bottom"/>
          </w:tcPr>
          <w:p w:rsidR="008B0FAA" w:rsidRPr="009D6886" w:rsidRDefault="008B0FAA" w:rsidP="00A50B00">
            <w:pPr>
              <w:jc w:val="right"/>
              <w:rPr>
                <w:sz w:val="22"/>
                <w:szCs w:val="22"/>
              </w:rPr>
            </w:pPr>
            <w:r>
              <w:rPr>
                <w:sz w:val="22"/>
                <w:szCs w:val="22"/>
              </w:rPr>
              <w:t>$</w:t>
            </w:r>
            <w:r w:rsidR="00033200">
              <w:rPr>
                <w:sz w:val="22"/>
                <w:szCs w:val="22"/>
              </w:rPr>
              <w:t>17.55</w:t>
            </w:r>
          </w:p>
        </w:tc>
        <w:tc>
          <w:tcPr>
            <w:tcW w:w="1260" w:type="dxa"/>
            <w:vAlign w:val="bottom"/>
          </w:tcPr>
          <w:p w:rsidR="008B0FAA" w:rsidRDefault="008B0FAA" w:rsidP="00A50B00">
            <w:pPr>
              <w:jc w:val="right"/>
              <w:rPr>
                <w:sz w:val="22"/>
                <w:szCs w:val="22"/>
              </w:rPr>
            </w:pPr>
            <w:r>
              <w:rPr>
                <w:sz w:val="22"/>
                <w:szCs w:val="22"/>
              </w:rPr>
              <w:t>$</w:t>
            </w:r>
            <w:r w:rsidR="00033200">
              <w:rPr>
                <w:sz w:val="22"/>
                <w:szCs w:val="22"/>
              </w:rPr>
              <w:t>138,645</w:t>
            </w:r>
          </w:p>
        </w:tc>
      </w:tr>
      <w:tr w:rsidR="008B0FAA" w:rsidRPr="009D6886" w:rsidTr="00033200">
        <w:tc>
          <w:tcPr>
            <w:tcW w:w="1530" w:type="dxa"/>
          </w:tcPr>
          <w:p w:rsidR="008B0FAA" w:rsidRPr="009D6886" w:rsidRDefault="008B0FAA" w:rsidP="00A50B00">
            <w:pPr>
              <w:ind w:left="162"/>
              <w:rPr>
                <w:b/>
                <w:sz w:val="22"/>
                <w:szCs w:val="22"/>
              </w:rPr>
            </w:pPr>
            <w:r w:rsidRPr="00506475">
              <w:rPr>
                <w:sz w:val="22"/>
                <w:szCs w:val="22"/>
              </w:rPr>
              <w:t>State</w:t>
            </w:r>
            <w:r>
              <w:rPr>
                <w:sz w:val="22"/>
                <w:szCs w:val="22"/>
              </w:rPr>
              <w:t>,</w:t>
            </w:r>
            <w:r w:rsidRPr="00506475">
              <w:rPr>
                <w:sz w:val="22"/>
                <w:szCs w:val="22"/>
              </w:rPr>
              <w:t xml:space="preserve"> Local, or Tribal Government</w:t>
            </w:r>
          </w:p>
        </w:tc>
        <w:tc>
          <w:tcPr>
            <w:tcW w:w="1530" w:type="dxa"/>
            <w:vAlign w:val="bottom"/>
          </w:tcPr>
          <w:p w:rsidR="008B0FAA" w:rsidRPr="009D6886" w:rsidRDefault="008B0FAA" w:rsidP="00A50B00">
            <w:pPr>
              <w:jc w:val="right"/>
              <w:rPr>
                <w:sz w:val="22"/>
                <w:szCs w:val="22"/>
              </w:rPr>
            </w:pPr>
            <w:r>
              <w:rPr>
                <w:sz w:val="22"/>
                <w:szCs w:val="22"/>
              </w:rPr>
              <w:t>2</w:t>
            </w:r>
          </w:p>
        </w:tc>
        <w:tc>
          <w:tcPr>
            <w:tcW w:w="990" w:type="dxa"/>
            <w:vAlign w:val="bottom"/>
          </w:tcPr>
          <w:p w:rsidR="008B0FAA" w:rsidRPr="009D6886" w:rsidRDefault="008B0FAA" w:rsidP="00A50B00">
            <w:pPr>
              <w:jc w:val="right"/>
              <w:rPr>
                <w:sz w:val="22"/>
                <w:szCs w:val="22"/>
              </w:rPr>
            </w:pPr>
            <w:r>
              <w:rPr>
                <w:sz w:val="22"/>
                <w:szCs w:val="22"/>
              </w:rPr>
              <w:t>4</w:t>
            </w:r>
          </w:p>
        </w:tc>
        <w:tc>
          <w:tcPr>
            <w:tcW w:w="990" w:type="dxa"/>
            <w:vAlign w:val="bottom"/>
          </w:tcPr>
          <w:p w:rsidR="008B0FAA" w:rsidRPr="009D6886" w:rsidRDefault="008B0FAA" w:rsidP="00A50B00">
            <w:pPr>
              <w:jc w:val="right"/>
              <w:rPr>
                <w:sz w:val="22"/>
                <w:szCs w:val="22"/>
              </w:rPr>
            </w:pPr>
            <w:r>
              <w:rPr>
                <w:sz w:val="22"/>
                <w:szCs w:val="22"/>
              </w:rPr>
              <w:t>8</w:t>
            </w:r>
          </w:p>
        </w:tc>
        <w:tc>
          <w:tcPr>
            <w:tcW w:w="900" w:type="dxa"/>
            <w:vAlign w:val="bottom"/>
          </w:tcPr>
          <w:p w:rsidR="008B0FAA" w:rsidRPr="009D6886" w:rsidRDefault="008B0FAA" w:rsidP="00A50B00">
            <w:pPr>
              <w:jc w:val="right"/>
              <w:rPr>
                <w:sz w:val="22"/>
                <w:szCs w:val="22"/>
              </w:rPr>
            </w:pPr>
            <w:r>
              <w:rPr>
                <w:sz w:val="22"/>
                <w:szCs w:val="22"/>
              </w:rPr>
              <w:t>39.5</w:t>
            </w:r>
          </w:p>
        </w:tc>
        <w:tc>
          <w:tcPr>
            <w:tcW w:w="990" w:type="dxa"/>
            <w:vAlign w:val="bottom"/>
          </w:tcPr>
          <w:p w:rsidR="008B0FAA" w:rsidRPr="009D6886" w:rsidRDefault="008B0FAA" w:rsidP="00A50B00">
            <w:pPr>
              <w:jc w:val="right"/>
              <w:rPr>
                <w:sz w:val="22"/>
                <w:szCs w:val="22"/>
              </w:rPr>
            </w:pPr>
            <w:r>
              <w:rPr>
                <w:sz w:val="22"/>
                <w:szCs w:val="22"/>
              </w:rPr>
              <w:t>158</w:t>
            </w:r>
          </w:p>
        </w:tc>
        <w:tc>
          <w:tcPr>
            <w:tcW w:w="900" w:type="dxa"/>
            <w:vAlign w:val="bottom"/>
          </w:tcPr>
          <w:p w:rsidR="008B0FAA" w:rsidRPr="009D6886" w:rsidRDefault="008B0FAA" w:rsidP="00A50B00">
            <w:pPr>
              <w:jc w:val="right"/>
              <w:rPr>
                <w:sz w:val="22"/>
                <w:szCs w:val="22"/>
              </w:rPr>
            </w:pPr>
            <w:r>
              <w:rPr>
                <w:sz w:val="22"/>
                <w:szCs w:val="22"/>
              </w:rPr>
              <w:t>316</w:t>
            </w:r>
          </w:p>
        </w:tc>
        <w:tc>
          <w:tcPr>
            <w:tcW w:w="900" w:type="dxa"/>
            <w:vAlign w:val="bottom"/>
          </w:tcPr>
          <w:p w:rsidR="008B0FAA" w:rsidRPr="009D6886" w:rsidRDefault="008B0FAA" w:rsidP="00A50B00">
            <w:pPr>
              <w:jc w:val="right"/>
              <w:rPr>
                <w:sz w:val="22"/>
                <w:szCs w:val="22"/>
              </w:rPr>
            </w:pPr>
            <w:r>
              <w:rPr>
                <w:sz w:val="22"/>
                <w:szCs w:val="22"/>
              </w:rPr>
              <w:t>$</w:t>
            </w:r>
            <w:r w:rsidR="0062338D">
              <w:rPr>
                <w:sz w:val="22"/>
                <w:szCs w:val="22"/>
              </w:rPr>
              <w:t>25.73</w:t>
            </w:r>
          </w:p>
        </w:tc>
        <w:tc>
          <w:tcPr>
            <w:tcW w:w="1260" w:type="dxa"/>
            <w:vAlign w:val="bottom"/>
          </w:tcPr>
          <w:p w:rsidR="008B0FAA" w:rsidRDefault="008B0FAA" w:rsidP="00A50B00">
            <w:pPr>
              <w:jc w:val="right"/>
              <w:rPr>
                <w:sz w:val="22"/>
                <w:szCs w:val="22"/>
              </w:rPr>
            </w:pPr>
            <w:r>
              <w:rPr>
                <w:sz w:val="22"/>
                <w:szCs w:val="22"/>
              </w:rPr>
              <w:t>$</w:t>
            </w:r>
            <w:r w:rsidR="0062338D">
              <w:rPr>
                <w:sz w:val="22"/>
                <w:szCs w:val="22"/>
              </w:rPr>
              <w:t>8,131</w:t>
            </w:r>
          </w:p>
        </w:tc>
      </w:tr>
      <w:tr w:rsidR="008B0FAA" w:rsidRPr="009D6886" w:rsidTr="00033200">
        <w:tc>
          <w:tcPr>
            <w:tcW w:w="1530" w:type="dxa"/>
            <w:vAlign w:val="bottom"/>
          </w:tcPr>
          <w:p w:rsidR="008B0FAA" w:rsidRPr="009D6886" w:rsidRDefault="008B0FAA" w:rsidP="00A50B00">
            <w:pPr>
              <w:rPr>
                <w:b/>
                <w:i/>
                <w:sz w:val="22"/>
                <w:szCs w:val="22"/>
              </w:rPr>
            </w:pPr>
            <w:r w:rsidRPr="009D6886">
              <w:rPr>
                <w:b/>
                <w:sz w:val="22"/>
                <w:szCs w:val="22"/>
              </w:rPr>
              <w:t>SCSEP</w:t>
            </w:r>
            <w:r>
              <w:rPr>
                <w:b/>
                <w:sz w:val="22"/>
                <w:szCs w:val="22"/>
              </w:rPr>
              <w:t xml:space="preserve"> Total</w:t>
            </w:r>
          </w:p>
        </w:tc>
        <w:tc>
          <w:tcPr>
            <w:tcW w:w="1530" w:type="dxa"/>
            <w:vAlign w:val="bottom"/>
          </w:tcPr>
          <w:p w:rsidR="008B0FAA" w:rsidRPr="00800615" w:rsidRDefault="008B0FAA" w:rsidP="00A50B00">
            <w:pPr>
              <w:jc w:val="right"/>
              <w:rPr>
                <w:b/>
                <w:sz w:val="22"/>
                <w:szCs w:val="22"/>
              </w:rPr>
            </w:pPr>
            <w:r>
              <w:rPr>
                <w:b/>
                <w:sz w:val="22"/>
                <w:szCs w:val="22"/>
              </w:rPr>
              <w:t>7</w:t>
            </w:r>
            <w:r w:rsidRPr="00800615">
              <w:rPr>
                <w:b/>
                <w:sz w:val="22"/>
                <w:szCs w:val="22"/>
              </w:rPr>
              <w:t>4</w:t>
            </w:r>
          </w:p>
        </w:tc>
        <w:tc>
          <w:tcPr>
            <w:tcW w:w="990" w:type="dxa"/>
            <w:vAlign w:val="bottom"/>
          </w:tcPr>
          <w:p w:rsidR="008B0FAA" w:rsidRPr="00800615" w:rsidRDefault="008B0FAA" w:rsidP="00A50B00">
            <w:pPr>
              <w:jc w:val="right"/>
              <w:rPr>
                <w:b/>
                <w:sz w:val="22"/>
                <w:szCs w:val="22"/>
              </w:rPr>
            </w:pPr>
            <w:r w:rsidRPr="00800615">
              <w:rPr>
                <w:b/>
                <w:sz w:val="22"/>
                <w:szCs w:val="22"/>
              </w:rPr>
              <w:t>4</w:t>
            </w:r>
          </w:p>
        </w:tc>
        <w:tc>
          <w:tcPr>
            <w:tcW w:w="990" w:type="dxa"/>
            <w:vAlign w:val="bottom"/>
          </w:tcPr>
          <w:p w:rsidR="008B0FAA" w:rsidRPr="00800615" w:rsidRDefault="008B0FAA" w:rsidP="00A50B00">
            <w:pPr>
              <w:jc w:val="right"/>
              <w:rPr>
                <w:b/>
                <w:sz w:val="22"/>
                <w:szCs w:val="22"/>
              </w:rPr>
            </w:pPr>
            <w:r w:rsidRPr="00800615">
              <w:rPr>
                <w:b/>
                <w:sz w:val="22"/>
                <w:szCs w:val="22"/>
              </w:rPr>
              <w:t>296</w:t>
            </w:r>
          </w:p>
        </w:tc>
        <w:tc>
          <w:tcPr>
            <w:tcW w:w="900" w:type="dxa"/>
            <w:vAlign w:val="bottom"/>
          </w:tcPr>
          <w:p w:rsidR="008B0FAA" w:rsidRPr="00800615" w:rsidRDefault="008B0FAA" w:rsidP="00A50B00">
            <w:pPr>
              <w:jc w:val="right"/>
              <w:rPr>
                <w:b/>
                <w:sz w:val="22"/>
                <w:szCs w:val="22"/>
              </w:rPr>
            </w:pPr>
            <w:r w:rsidRPr="00800615">
              <w:rPr>
                <w:b/>
                <w:sz w:val="22"/>
                <w:szCs w:val="22"/>
              </w:rPr>
              <w:t>40.5</w:t>
            </w:r>
          </w:p>
        </w:tc>
        <w:tc>
          <w:tcPr>
            <w:tcW w:w="990" w:type="dxa"/>
            <w:vAlign w:val="bottom"/>
          </w:tcPr>
          <w:p w:rsidR="008B0FAA" w:rsidRPr="00800615" w:rsidRDefault="008B0FAA" w:rsidP="00A50B00">
            <w:pPr>
              <w:jc w:val="right"/>
              <w:rPr>
                <w:b/>
                <w:sz w:val="22"/>
                <w:szCs w:val="22"/>
              </w:rPr>
            </w:pPr>
            <w:r w:rsidRPr="00800615">
              <w:rPr>
                <w:b/>
                <w:sz w:val="22"/>
                <w:szCs w:val="22"/>
              </w:rPr>
              <w:t>162</w:t>
            </w:r>
          </w:p>
        </w:tc>
        <w:tc>
          <w:tcPr>
            <w:tcW w:w="900" w:type="dxa"/>
            <w:vAlign w:val="bottom"/>
          </w:tcPr>
          <w:p w:rsidR="008B0FAA" w:rsidRPr="00800615" w:rsidRDefault="008B0FAA" w:rsidP="00A50B00">
            <w:pPr>
              <w:jc w:val="right"/>
              <w:rPr>
                <w:b/>
                <w:sz w:val="22"/>
                <w:szCs w:val="22"/>
              </w:rPr>
            </w:pPr>
            <w:r w:rsidRPr="00800615">
              <w:rPr>
                <w:b/>
                <w:sz w:val="22"/>
                <w:szCs w:val="22"/>
              </w:rPr>
              <w:t>11,988</w:t>
            </w:r>
          </w:p>
        </w:tc>
        <w:tc>
          <w:tcPr>
            <w:tcW w:w="900" w:type="dxa"/>
            <w:vAlign w:val="bottom"/>
          </w:tcPr>
          <w:p w:rsidR="008B0FAA" w:rsidRPr="00800615" w:rsidRDefault="008B0FAA" w:rsidP="00A50B00">
            <w:pPr>
              <w:jc w:val="right"/>
              <w:rPr>
                <w:b/>
                <w:sz w:val="22"/>
                <w:szCs w:val="22"/>
              </w:rPr>
            </w:pPr>
            <w:r w:rsidRPr="00800615">
              <w:rPr>
                <w:b/>
                <w:sz w:val="22"/>
                <w:szCs w:val="22"/>
              </w:rPr>
              <w:t>$</w:t>
            </w:r>
            <w:r w:rsidR="00033200">
              <w:rPr>
                <w:b/>
                <w:sz w:val="22"/>
                <w:szCs w:val="22"/>
              </w:rPr>
              <w:t>17.55</w:t>
            </w:r>
            <w:r w:rsidRPr="00800615">
              <w:rPr>
                <w:b/>
                <w:sz w:val="22"/>
                <w:szCs w:val="22"/>
              </w:rPr>
              <w:t>/$</w:t>
            </w:r>
            <w:r w:rsidR="0062338D">
              <w:rPr>
                <w:b/>
                <w:sz w:val="22"/>
                <w:szCs w:val="22"/>
              </w:rPr>
              <w:t>25.73</w:t>
            </w:r>
          </w:p>
        </w:tc>
        <w:tc>
          <w:tcPr>
            <w:tcW w:w="1260" w:type="dxa"/>
            <w:vAlign w:val="bottom"/>
          </w:tcPr>
          <w:p w:rsidR="008B0FAA" w:rsidRPr="00800615" w:rsidRDefault="008B0FAA" w:rsidP="00A50B00">
            <w:pPr>
              <w:jc w:val="right"/>
              <w:rPr>
                <w:b/>
                <w:sz w:val="22"/>
                <w:szCs w:val="22"/>
              </w:rPr>
            </w:pPr>
            <w:r w:rsidRPr="00800615">
              <w:rPr>
                <w:b/>
                <w:sz w:val="22"/>
                <w:szCs w:val="22"/>
              </w:rPr>
              <w:t>$</w:t>
            </w:r>
            <w:r w:rsidR="005D254E">
              <w:rPr>
                <w:b/>
                <w:sz w:val="22"/>
                <w:szCs w:val="22"/>
              </w:rPr>
              <w:t>210,389/ $308,451</w:t>
            </w:r>
          </w:p>
        </w:tc>
      </w:tr>
      <w:tr w:rsidR="008B0FAA" w:rsidRPr="009D6886" w:rsidTr="00033200">
        <w:tc>
          <w:tcPr>
            <w:tcW w:w="1530" w:type="dxa"/>
          </w:tcPr>
          <w:p w:rsidR="008B0FAA" w:rsidRPr="009D6886" w:rsidRDefault="008B0FAA" w:rsidP="00A50B00">
            <w:pPr>
              <w:ind w:left="162"/>
              <w:rPr>
                <w:b/>
                <w:sz w:val="22"/>
                <w:szCs w:val="22"/>
              </w:rPr>
            </w:pPr>
            <w:r w:rsidRPr="00506475">
              <w:rPr>
                <w:sz w:val="22"/>
                <w:szCs w:val="22"/>
              </w:rPr>
              <w:t>Private Sector</w:t>
            </w:r>
          </w:p>
        </w:tc>
        <w:tc>
          <w:tcPr>
            <w:tcW w:w="1530" w:type="dxa"/>
            <w:vAlign w:val="bottom"/>
          </w:tcPr>
          <w:p w:rsidR="008B0FAA" w:rsidRPr="009D6886" w:rsidRDefault="008B0FAA" w:rsidP="00A50B00">
            <w:pPr>
              <w:jc w:val="right"/>
              <w:rPr>
                <w:sz w:val="22"/>
                <w:szCs w:val="22"/>
              </w:rPr>
            </w:pPr>
            <w:r>
              <w:rPr>
                <w:sz w:val="22"/>
                <w:szCs w:val="22"/>
              </w:rPr>
              <w:t>18</w:t>
            </w:r>
          </w:p>
        </w:tc>
        <w:tc>
          <w:tcPr>
            <w:tcW w:w="990" w:type="dxa"/>
            <w:vAlign w:val="bottom"/>
          </w:tcPr>
          <w:p w:rsidR="008B0FAA" w:rsidRPr="009D6886" w:rsidRDefault="008B0FAA" w:rsidP="00A50B00">
            <w:pPr>
              <w:jc w:val="right"/>
              <w:rPr>
                <w:sz w:val="22"/>
                <w:szCs w:val="22"/>
              </w:rPr>
            </w:pPr>
            <w:r>
              <w:rPr>
                <w:sz w:val="22"/>
                <w:szCs w:val="22"/>
              </w:rPr>
              <w:t>4</w:t>
            </w:r>
          </w:p>
        </w:tc>
        <w:tc>
          <w:tcPr>
            <w:tcW w:w="990" w:type="dxa"/>
            <w:vAlign w:val="bottom"/>
          </w:tcPr>
          <w:p w:rsidR="008B0FAA" w:rsidRPr="009D6886" w:rsidRDefault="008B0FAA" w:rsidP="00A50B00">
            <w:pPr>
              <w:jc w:val="right"/>
              <w:rPr>
                <w:sz w:val="22"/>
                <w:szCs w:val="22"/>
              </w:rPr>
            </w:pPr>
            <w:r>
              <w:rPr>
                <w:sz w:val="22"/>
                <w:szCs w:val="22"/>
              </w:rPr>
              <w:t>72</w:t>
            </w:r>
          </w:p>
        </w:tc>
        <w:tc>
          <w:tcPr>
            <w:tcW w:w="900" w:type="dxa"/>
            <w:vAlign w:val="bottom"/>
          </w:tcPr>
          <w:p w:rsidR="008B0FAA" w:rsidRPr="009D6886" w:rsidRDefault="008B0FAA" w:rsidP="00A50B00">
            <w:pPr>
              <w:jc w:val="right"/>
              <w:rPr>
                <w:sz w:val="22"/>
                <w:szCs w:val="22"/>
              </w:rPr>
            </w:pPr>
            <w:r>
              <w:rPr>
                <w:sz w:val="22"/>
                <w:szCs w:val="22"/>
              </w:rPr>
              <w:t>40.5</w:t>
            </w:r>
          </w:p>
        </w:tc>
        <w:tc>
          <w:tcPr>
            <w:tcW w:w="990" w:type="dxa"/>
            <w:vAlign w:val="bottom"/>
          </w:tcPr>
          <w:p w:rsidR="008B0FAA" w:rsidRPr="009D6886" w:rsidRDefault="008B0FAA" w:rsidP="00A50B00">
            <w:pPr>
              <w:jc w:val="right"/>
              <w:rPr>
                <w:sz w:val="22"/>
                <w:szCs w:val="22"/>
              </w:rPr>
            </w:pPr>
            <w:r>
              <w:rPr>
                <w:sz w:val="22"/>
                <w:szCs w:val="22"/>
              </w:rPr>
              <w:t>162</w:t>
            </w:r>
          </w:p>
        </w:tc>
        <w:tc>
          <w:tcPr>
            <w:tcW w:w="900" w:type="dxa"/>
            <w:vAlign w:val="bottom"/>
          </w:tcPr>
          <w:p w:rsidR="008B0FAA" w:rsidRPr="009D6886" w:rsidRDefault="008B0FAA" w:rsidP="00A50B00">
            <w:pPr>
              <w:jc w:val="right"/>
              <w:rPr>
                <w:sz w:val="22"/>
                <w:szCs w:val="22"/>
              </w:rPr>
            </w:pPr>
            <w:r>
              <w:rPr>
                <w:sz w:val="22"/>
                <w:szCs w:val="22"/>
              </w:rPr>
              <w:t>2,916</w:t>
            </w:r>
          </w:p>
        </w:tc>
        <w:tc>
          <w:tcPr>
            <w:tcW w:w="900" w:type="dxa"/>
            <w:vAlign w:val="bottom"/>
          </w:tcPr>
          <w:p w:rsidR="008B0FAA" w:rsidRPr="009D6886" w:rsidRDefault="008B0FAA" w:rsidP="00A50B00">
            <w:pPr>
              <w:jc w:val="right"/>
              <w:rPr>
                <w:sz w:val="22"/>
                <w:szCs w:val="22"/>
              </w:rPr>
            </w:pPr>
            <w:r>
              <w:rPr>
                <w:sz w:val="22"/>
                <w:szCs w:val="22"/>
              </w:rPr>
              <w:t>$</w:t>
            </w:r>
            <w:r w:rsidR="00033200">
              <w:rPr>
                <w:sz w:val="22"/>
                <w:szCs w:val="22"/>
              </w:rPr>
              <w:t>17.55</w:t>
            </w:r>
          </w:p>
        </w:tc>
        <w:tc>
          <w:tcPr>
            <w:tcW w:w="1260" w:type="dxa"/>
            <w:vAlign w:val="bottom"/>
          </w:tcPr>
          <w:p w:rsidR="008B0FAA" w:rsidRDefault="008B0FAA" w:rsidP="00033200">
            <w:pPr>
              <w:jc w:val="right"/>
              <w:rPr>
                <w:sz w:val="22"/>
                <w:szCs w:val="22"/>
              </w:rPr>
            </w:pPr>
            <w:r>
              <w:rPr>
                <w:sz w:val="22"/>
                <w:szCs w:val="22"/>
              </w:rPr>
              <w:t>$</w:t>
            </w:r>
            <w:r w:rsidR="00033200">
              <w:rPr>
                <w:sz w:val="22"/>
                <w:szCs w:val="22"/>
              </w:rPr>
              <w:t>51,175</w:t>
            </w:r>
          </w:p>
        </w:tc>
      </w:tr>
      <w:tr w:rsidR="008B0FAA" w:rsidRPr="009D6886" w:rsidTr="00033200">
        <w:tc>
          <w:tcPr>
            <w:tcW w:w="1530" w:type="dxa"/>
          </w:tcPr>
          <w:p w:rsidR="008B0FAA" w:rsidRPr="009D6886" w:rsidRDefault="008B0FAA" w:rsidP="00A50B00">
            <w:pPr>
              <w:ind w:left="162"/>
              <w:rPr>
                <w:b/>
                <w:sz w:val="22"/>
                <w:szCs w:val="22"/>
              </w:rPr>
            </w:pPr>
            <w:r w:rsidRPr="00506475">
              <w:rPr>
                <w:sz w:val="22"/>
                <w:szCs w:val="22"/>
              </w:rPr>
              <w:t>State</w:t>
            </w:r>
            <w:r>
              <w:rPr>
                <w:sz w:val="22"/>
                <w:szCs w:val="22"/>
              </w:rPr>
              <w:t>,</w:t>
            </w:r>
            <w:r w:rsidRPr="00506475">
              <w:rPr>
                <w:sz w:val="22"/>
                <w:szCs w:val="22"/>
              </w:rPr>
              <w:t xml:space="preserve"> Local, or Tribal Government</w:t>
            </w:r>
          </w:p>
        </w:tc>
        <w:tc>
          <w:tcPr>
            <w:tcW w:w="1530" w:type="dxa"/>
            <w:vAlign w:val="bottom"/>
          </w:tcPr>
          <w:p w:rsidR="008B0FAA" w:rsidRPr="009D6886" w:rsidRDefault="008B0FAA" w:rsidP="00A50B00">
            <w:pPr>
              <w:jc w:val="right"/>
              <w:rPr>
                <w:sz w:val="22"/>
                <w:szCs w:val="22"/>
              </w:rPr>
            </w:pPr>
            <w:r>
              <w:rPr>
                <w:sz w:val="22"/>
                <w:szCs w:val="22"/>
              </w:rPr>
              <w:t>56</w:t>
            </w:r>
          </w:p>
        </w:tc>
        <w:tc>
          <w:tcPr>
            <w:tcW w:w="990" w:type="dxa"/>
            <w:vAlign w:val="bottom"/>
          </w:tcPr>
          <w:p w:rsidR="008B0FAA" w:rsidRPr="009D6886" w:rsidRDefault="008B0FAA" w:rsidP="00A50B00">
            <w:pPr>
              <w:jc w:val="right"/>
              <w:rPr>
                <w:sz w:val="22"/>
                <w:szCs w:val="22"/>
              </w:rPr>
            </w:pPr>
            <w:r>
              <w:rPr>
                <w:sz w:val="22"/>
                <w:szCs w:val="22"/>
              </w:rPr>
              <w:t>4</w:t>
            </w:r>
          </w:p>
        </w:tc>
        <w:tc>
          <w:tcPr>
            <w:tcW w:w="990" w:type="dxa"/>
            <w:vAlign w:val="bottom"/>
          </w:tcPr>
          <w:p w:rsidR="008B0FAA" w:rsidRPr="009D6886" w:rsidRDefault="008B0FAA" w:rsidP="00A50B00">
            <w:pPr>
              <w:jc w:val="right"/>
              <w:rPr>
                <w:sz w:val="22"/>
                <w:szCs w:val="22"/>
              </w:rPr>
            </w:pPr>
            <w:r>
              <w:rPr>
                <w:sz w:val="22"/>
                <w:szCs w:val="22"/>
              </w:rPr>
              <w:t>224</w:t>
            </w:r>
          </w:p>
        </w:tc>
        <w:tc>
          <w:tcPr>
            <w:tcW w:w="900" w:type="dxa"/>
            <w:vAlign w:val="bottom"/>
          </w:tcPr>
          <w:p w:rsidR="008B0FAA" w:rsidRPr="009D6886" w:rsidRDefault="008B0FAA" w:rsidP="00A50B00">
            <w:pPr>
              <w:jc w:val="right"/>
              <w:rPr>
                <w:sz w:val="22"/>
                <w:szCs w:val="22"/>
              </w:rPr>
            </w:pPr>
            <w:r>
              <w:rPr>
                <w:sz w:val="22"/>
                <w:szCs w:val="22"/>
              </w:rPr>
              <w:t>40.5</w:t>
            </w:r>
          </w:p>
        </w:tc>
        <w:tc>
          <w:tcPr>
            <w:tcW w:w="990" w:type="dxa"/>
            <w:vAlign w:val="bottom"/>
          </w:tcPr>
          <w:p w:rsidR="008B0FAA" w:rsidRPr="009D6886" w:rsidRDefault="008B0FAA" w:rsidP="00A50B00">
            <w:pPr>
              <w:jc w:val="right"/>
              <w:rPr>
                <w:sz w:val="22"/>
                <w:szCs w:val="22"/>
              </w:rPr>
            </w:pPr>
            <w:r>
              <w:rPr>
                <w:sz w:val="22"/>
                <w:szCs w:val="22"/>
              </w:rPr>
              <w:t>162</w:t>
            </w:r>
          </w:p>
        </w:tc>
        <w:tc>
          <w:tcPr>
            <w:tcW w:w="900" w:type="dxa"/>
            <w:vAlign w:val="bottom"/>
          </w:tcPr>
          <w:p w:rsidR="008B0FAA" w:rsidRPr="009D6886" w:rsidRDefault="008B0FAA" w:rsidP="00A50B00">
            <w:pPr>
              <w:jc w:val="right"/>
              <w:rPr>
                <w:sz w:val="22"/>
                <w:szCs w:val="22"/>
              </w:rPr>
            </w:pPr>
            <w:r>
              <w:rPr>
                <w:sz w:val="22"/>
                <w:szCs w:val="22"/>
              </w:rPr>
              <w:t>9,072</w:t>
            </w:r>
          </w:p>
        </w:tc>
        <w:tc>
          <w:tcPr>
            <w:tcW w:w="900" w:type="dxa"/>
            <w:vAlign w:val="bottom"/>
          </w:tcPr>
          <w:p w:rsidR="008B0FAA" w:rsidRPr="009D6886" w:rsidRDefault="008B0FAA" w:rsidP="00A50B00">
            <w:pPr>
              <w:jc w:val="right"/>
              <w:rPr>
                <w:sz w:val="22"/>
                <w:szCs w:val="22"/>
              </w:rPr>
            </w:pPr>
            <w:r>
              <w:rPr>
                <w:sz w:val="22"/>
                <w:szCs w:val="22"/>
              </w:rPr>
              <w:t>$</w:t>
            </w:r>
            <w:r w:rsidR="0062338D">
              <w:rPr>
                <w:sz w:val="22"/>
                <w:szCs w:val="22"/>
              </w:rPr>
              <w:t>25.73</w:t>
            </w:r>
          </w:p>
        </w:tc>
        <w:tc>
          <w:tcPr>
            <w:tcW w:w="1260" w:type="dxa"/>
            <w:vAlign w:val="bottom"/>
          </w:tcPr>
          <w:p w:rsidR="008B0FAA" w:rsidRDefault="008B0FAA" w:rsidP="00A50B00">
            <w:pPr>
              <w:jc w:val="right"/>
              <w:rPr>
                <w:sz w:val="22"/>
                <w:szCs w:val="22"/>
              </w:rPr>
            </w:pPr>
            <w:r>
              <w:rPr>
                <w:sz w:val="22"/>
                <w:szCs w:val="22"/>
              </w:rPr>
              <w:t>$</w:t>
            </w:r>
            <w:r w:rsidR="0062338D">
              <w:rPr>
                <w:sz w:val="22"/>
                <w:szCs w:val="22"/>
              </w:rPr>
              <w:t>233,423</w:t>
            </w:r>
          </w:p>
        </w:tc>
      </w:tr>
      <w:tr w:rsidR="008B0FAA" w:rsidRPr="009D6886" w:rsidTr="00033200">
        <w:tc>
          <w:tcPr>
            <w:tcW w:w="1530" w:type="dxa"/>
            <w:vAlign w:val="center"/>
          </w:tcPr>
          <w:p w:rsidR="008B0FAA" w:rsidRPr="00781C8E" w:rsidRDefault="008B0FAA" w:rsidP="00A50B00">
            <w:pPr>
              <w:rPr>
                <w:b/>
                <w:sz w:val="22"/>
                <w:szCs w:val="22"/>
              </w:rPr>
            </w:pPr>
            <w:r w:rsidRPr="009D6886">
              <w:rPr>
                <w:b/>
                <w:sz w:val="22"/>
                <w:szCs w:val="22"/>
              </w:rPr>
              <w:t>All Grantees</w:t>
            </w:r>
          </w:p>
          <w:p w:rsidR="008B0FAA" w:rsidRPr="009D6886" w:rsidRDefault="008B0FAA" w:rsidP="00A50B00">
            <w:pPr>
              <w:rPr>
                <w:b/>
                <w:i/>
                <w:sz w:val="22"/>
                <w:szCs w:val="22"/>
              </w:rPr>
            </w:pPr>
            <w:r w:rsidRPr="009D6886">
              <w:rPr>
                <w:b/>
                <w:sz w:val="22"/>
                <w:szCs w:val="22"/>
              </w:rPr>
              <w:t>Total</w:t>
            </w:r>
          </w:p>
        </w:tc>
        <w:tc>
          <w:tcPr>
            <w:tcW w:w="1530" w:type="dxa"/>
            <w:vAlign w:val="bottom"/>
          </w:tcPr>
          <w:p w:rsidR="008B0FAA" w:rsidRPr="00800615" w:rsidRDefault="008B0FAA" w:rsidP="00A50B00">
            <w:pPr>
              <w:jc w:val="right"/>
              <w:rPr>
                <w:b/>
                <w:sz w:val="22"/>
                <w:szCs w:val="22"/>
              </w:rPr>
            </w:pPr>
            <w:r w:rsidRPr="00800615">
              <w:rPr>
                <w:b/>
                <w:sz w:val="22"/>
                <w:szCs w:val="22"/>
              </w:rPr>
              <w:t>126</w:t>
            </w:r>
          </w:p>
        </w:tc>
        <w:tc>
          <w:tcPr>
            <w:tcW w:w="990" w:type="dxa"/>
            <w:vAlign w:val="bottom"/>
          </w:tcPr>
          <w:p w:rsidR="008B0FAA" w:rsidRPr="00800615" w:rsidRDefault="008B0FAA" w:rsidP="00A50B00">
            <w:pPr>
              <w:jc w:val="right"/>
              <w:rPr>
                <w:b/>
                <w:sz w:val="22"/>
                <w:szCs w:val="22"/>
              </w:rPr>
            </w:pPr>
            <w:r w:rsidRPr="00800615">
              <w:rPr>
                <w:b/>
                <w:sz w:val="22"/>
                <w:szCs w:val="22"/>
              </w:rPr>
              <w:t>4</w:t>
            </w:r>
          </w:p>
        </w:tc>
        <w:tc>
          <w:tcPr>
            <w:tcW w:w="990" w:type="dxa"/>
            <w:vAlign w:val="bottom"/>
          </w:tcPr>
          <w:p w:rsidR="008B0FAA" w:rsidRPr="00800615" w:rsidRDefault="008B0FAA" w:rsidP="00A50B00">
            <w:pPr>
              <w:jc w:val="right"/>
              <w:rPr>
                <w:b/>
                <w:sz w:val="22"/>
                <w:szCs w:val="22"/>
              </w:rPr>
            </w:pPr>
            <w:r w:rsidRPr="00800615">
              <w:rPr>
                <w:b/>
                <w:sz w:val="22"/>
                <w:szCs w:val="22"/>
              </w:rPr>
              <w:t>504</w:t>
            </w:r>
          </w:p>
        </w:tc>
        <w:tc>
          <w:tcPr>
            <w:tcW w:w="900" w:type="dxa"/>
            <w:vAlign w:val="bottom"/>
          </w:tcPr>
          <w:p w:rsidR="008B0FAA" w:rsidRPr="00800615" w:rsidRDefault="008B0FAA" w:rsidP="00A50B00">
            <w:pPr>
              <w:jc w:val="right"/>
              <w:rPr>
                <w:b/>
                <w:sz w:val="22"/>
                <w:szCs w:val="22"/>
              </w:rPr>
            </w:pPr>
            <w:r w:rsidRPr="00800615">
              <w:rPr>
                <w:b/>
                <w:sz w:val="22"/>
                <w:szCs w:val="22"/>
              </w:rPr>
              <w:t>NA</w:t>
            </w:r>
          </w:p>
        </w:tc>
        <w:tc>
          <w:tcPr>
            <w:tcW w:w="990" w:type="dxa"/>
            <w:vAlign w:val="bottom"/>
          </w:tcPr>
          <w:p w:rsidR="008B0FAA" w:rsidRPr="00800615" w:rsidRDefault="008B0FAA" w:rsidP="00A50B00">
            <w:pPr>
              <w:jc w:val="right"/>
              <w:rPr>
                <w:b/>
                <w:sz w:val="22"/>
                <w:szCs w:val="22"/>
              </w:rPr>
            </w:pPr>
            <w:r w:rsidRPr="00800615">
              <w:rPr>
                <w:b/>
                <w:sz w:val="22"/>
                <w:szCs w:val="22"/>
              </w:rPr>
              <w:t>NA</w:t>
            </w:r>
          </w:p>
        </w:tc>
        <w:tc>
          <w:tcPr>
            <w:tcW w:w="900" w:type="dxa"/>
            <w:vAlign w:val="bottom"/>
          </w:tcPr>
          <w:p w:rsidR="008B0FAA" w:rsidRPr="00800615" w:rsidRDefault="008B0FAA" w:rsidP="00A50B00">
            <w:pPr>
              <w:jc w:val="right"/>
              <w:rPr>
                <w:b/>
                <w:sz w:val="22"/>
                <w:szCs w:val="22"/>
              </w:rPr>
            </w:pPr>
            <w:r w:rsidRPr="00800615">
              <w:rPr>
                <w:b/>
                <w:sz w:val="22"/>
                <w:szCs w:val="22"/>
              </w:rPr>
              <w:t>20,204</w:t>
            </w:r>
          </w:p>
        </w:tc>
        <w:tc>
          <w:tcPr>
            <w:tcW w:w="900" w:type="dxa"/>
            <w:vAlign w:val="bottom"/>
          </w:tcPr>
          <w:p w:rsidR="008B0FAA" w:rsidRPr="00800615" w:rsidRDefault="008B0FAA" w:rsidP="00A50B00">
            <w:pPr>
              <w:jc w:val="right"/>
              <w:rPr>
                <w:b/>
                <w:sz w:val="22"/>
                <w:szCs w:val="22"/>
              </w:rPr>
            </w:pPr>
            <w:r w:rsidRPr="00800615">
              <w:rPr>
                <w:b/>
                <w:sz w:val="22"/>
                <w:szCs w:val="22"/>
              </w:rPr>
              <w:t>$</w:t>
            </w:r>
            <w:r w:rsidR="00033200">
              <w:rPr>
                <w:b/>
                <w:sz w:val="22"/>
                <w:szCs w:val="22"/>
              </w:rPr>
              <w:t>17.55</w:t>
            </w:r>
            <w:r w:rsidRPr="00800615">
              <w:rPr>
                <w:b/>
                <w:sz w:val="22"/>
                <w:szCs w:val="22"/>
              </w:rPr>
              <w:t>/$</w:t>
            </w:r>
            <w:r w:rsidR="0062338D">
              <w:rPr>
                <w:b/>
                <w:sz w:val="22"/>
                <w:szCs w:val="22"/>
              </w:rPr>
              <w:t>25.73</w:t>
            </w:r>
          </w:p>
        </w:tc>
        <w:tc>
          <w:tcPr>
            <w:tcW w:w="1260" w:type="dxa"/>
            <w:vAlign w:val="bottom"/>
          </w:tcPr>
          <w:p w:rsidR="008B0FAA" w:rsidRPr="00800615" w:rsidRDefault="008B0FAA" w:rsidP="00A50B00">
            <w:pPr>
              <w:jc w:val="right"/>
              <w:rPr>
                <w:b/>
                <w:sz w:val="22"/>
                <w:szCs w:val="22"/>
              </w:rPr>
            </w:pPr>
            <w:r w:rsidRPr="00800615">
              <w:rPr>
                <w:b/>
                <w:sz w:val="22"/>
                <w:szCs w:val="22"/>
              </w:rPr>
              <w:t>$</w:t>
            </w:r>
            <w:r w:rsidR="005D254E">
              <w:rPr>
                <w:b/>
                <w:sz w:val="22"/>
                <w:szCs w:val="22"/>
              </w:rPr>
              <w:t>354,580/ $519,849</w:t>
            </w:r>
          </w:p>
        </w:tc>
      </w:tr>
    </w:tbl>
    <w:p w:rsidR="008B0FAA" w:rsidRDefault="008B0FAA">
      <w:pPr>
        <w:jc w:val="center"/>
        <w:rPr>
          <w:b/>
          <w:sz w:val="22"/>
          <w:szCs w:val="22"/>
        </w:rPr>
      </w:pPr>
    </w:p>
    <w:p w:rsidR="005205D2" w:rsidRPr="00F44BA4" w:rsidRDefault="005205D2">
      <w:pPr>
        <w:jc w:val="center"/>
        <w:rPr>
          <w:b/>
          <w:sz w:val="22"/>
          <w:szCs w:val="22"/>
        </w:rPr>
      </w:pPr>
      <w:r w:rsidRPr="00F44BA4">
        <w:rPr>
          <w:b/>
          <w:sz w:val="22"/>
          <w:szCs w:val="22"/>
        </w:rPr>
        <w:t xml:space="preserve">Table </w:t>
      </w:r>
      <w:r w:rsidR="00AF1BE2" w:rsidRPr="00F44BA4">
        <w:rPr>
          <w:b/>
          <w:sz w:val="22"/>
          <w:szCs w:val="22"/>
        </w:rPr>
        <w:t>5</w:t>
      </w:r>
      <w:r w:rsidRPr="00F44BA4">
        <w:rPr>
          <w:b/>
          <w:sz w:val="22"/>
          <w:szCs w:val="22"/>
        </w:rPr>
        <w:t xml:space="preserve"> - Calculation of Annual Burden for NFJP </w:t>
      </w:r>
    </w:p>
    <w:p w:rsidR="005205D2" w:rsidRPr="00F44BA4" w:rsidRDefault="005205D2">
      <w:pPr>
        <w:rPr>
          <w:sz w:val="22"/>
          <w:szCs w:val="22"/>
          <w:highlight w:val="cyan"/>
          <w:vertAlign w:val="superscript"/>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2"/>
        <w:gridCol w:w="1600"/>
        <w:gridCol w:w="1901"/>
        <w:gridCol w:w="1260"/>
        <w:gridCol w:w="2500"/>
      </w:tblGrid>
      <w:tr w:rsidR="005205D2" w:rsidTr="003C1F78">
        <w:trPr>
          <w:trHeight w:val="638"/>
          <w:jc w:val="center"/>
        </w:trPr>
        <w:tc>
          <w:tcPr>
            <w:tcW w:w="2052" w:type="dxa"/>
            <w:shd w:val="clear" w:color="auto" w:fill="C0C0C0"/>
            <w:noWrap/>
            <w:vAlign w:val="center"/>
          </w:tcPr>
          <w:p w:rsidR="005205D2" w:rsidRDefault="005205D2">
            <w:pPr>
              <w:rPr>
                <w:b/>
                <w:sz w:val="22"/>
                <w:szCs w:val="22"/>
              </w:rPr>
            </w:pPr>
            <w:r>
              <w:rPr>
                <w:b/>
                <w:sz w:val="22"/>
                <w:szCs w:val="22"/>
              </w:rPr>
              <w:t xml:space="preserve">Type of grantee </w:t>
            </w:r>
          </w:p>
        </w:tc>
        <w:tc>
          <w:tcPr>
            <w:tcW w:w="1600" w:type="dxa"/>
            <w:shd w:val="clear" w:color="auto" w:fill="C0C0C0"/>
            <w:vAlign w:val="center"/>
          </w:tcPr>
          <w:p w:rsidR="005205D2" w:rsidRDefault="005205D2">
            <w:pPr>
              <w:jc w:val="center"/>
              <w:rPr>
                <w:b/>
                <w:sz w:val="22"/>
                <w:szCs w:val="22"/>
              </w:rPr>
            </w:pPr>
            <w:r>
              <w:rPr>
                <w:b/>
                <w:sz w:val="22"/>
                <w:szCs w:val="22"/>
              </w:rPr>
              <w:t>No.  of Grantees</w:t>
            </w:r>
          </w:p>
        </w:tc>
        <w:tc>
          <w:tcPr>
            <w:tcW w:w="1901" w:type="dxa"/>
            <w:shd w:val="clear" w:color="auto" w:fill="C0C0C0"/>
            <w:vAlign w:val="center"/>
          </w:tcPr>
          <w:p w:rsidR="005205D2" w:rsidRDefault="005205D2">
            <w:pPr>
              <w:jc w:val="center"/>
              <w:rPr>
                <w:b/>
                <w:bCs/>
                <w:sz w:val="22"/>
                <w:szCs w:val="22"/>
              </w:rPr>
            </w:pPr>
            <w:r>
              <w:rPr>
                <w:b/>
                <w:bCs/>
                <w:sz w:val="22"/>
                <w:szCs w:val="22"/>
              </w:rPr>
              <w:t xml:space="preserve">Hours </w:t>
            </w:r>
          </w:p>
        </w:tc>
        <w:tc>
          <w:tcPr>
            <w:tcW w:w="1260" w:type="dxa"/>
            <w:shd w:val="clear" w:color="auto" w:fill="C0C0C0"/>
            <w:noWrap/>
            <w:vAlign w:val="center"/>
          </w:tcPr>
          <w:p w:rsidR="005205D2" w:rsidRDefault="005205D2">
            <w:pPr>
              <w:jc w:val="center"/>
              <w:rPr>
                <w:b/>
                <w:sz w:val="22"/>
                <w:szCs w:val="22"/>
              </w:rPr>
            </w:pPr>
            <w:r>
              <w:rPr>
                <w:b/>
                <w:sz w:val="22"/>
                <w:szCs w:val="22"/>
              </w:rPr>
              <w:t>Rate in $/</w:t>
            </w:r>
            <w:proofErr w:type="spellStart"/>
            <w:r>
              <w:rPr>
                <w:b/>
                <w:sz w:val="22"/>
                <w:szCs w:val="22"/>
              </w:rPr>
              <w:t>hr</w:t>
            </w:r>
            <w:proofErr w:type="spellEnd"/>
          </w:p>
        </w:tc>
        <w:tc>
          <w:tcPr>
            <w:tcW w:w="2500" w:type="dxa"/>
            <w:shd w:val="clear" w:color="auto" w:fill="C0C0C0"/>
            <w:vAlign w:val="center"/>
          </w:tcPr>
          <w:p w:rsidR="005205D2" w:rsidRDefault="00DD2E5C">
            <w:pPr>
              <w:jc w:val="center"/>
              <w:rPr>
                <w:b/>
                <w:bCs/>
                <w:sz w:val="22"/>
                <w:szCs w:val="22"/>
              </w:rPr>
            </w:pPr>
            <w:r>
              <w:rPr>
                <w:b/>
                <w:i/>
                <w:sz w:val="22"/>
                <w:szCs w:val="22"/>
              </w:rPr>
              <w:t>Monetized Value</w:t>
            </w:r>
          </w:p>
        </w:tc>
      </w:tr>
      <w:tr w:rsidR="005205D2" w:rsidTr="003C1F78">
        <w:trPr>
          <w:trHeight w:val="360"/>
          <w:jc w:val="center"/>
        </w:trPr>
        <w:tc>
          <w:tcPr>
            <w:tcW w:w="2052" w:type="dxa"/>
            <w:noWrap/>
            <w:vAlign w:val="center"/>
          </w:tcPr>
          <w:p w:rsidR="005205D2" w:rsidRDefault="005205D2" w:rsidP="00FD51BD">
            <w:pPr>
              <w:rPr>
                <w:b/>
                <w:sz w:val="22"/>
                <w:szCs w:val="22"/>
              </w:rPr>
            </w:pPr>
            <w:r>
              <w:rPr>
                <w:b/>
                <w:sz w:val="22"/>
                <w:szCs w:val="22"/>
              </w:rPr>
              <w:t xml:space="preserve">Private </w:t>
            </w:r>
            <w:r w:rsidR="00FD51BD">
              <w:rPr>
                <w:b/>
                <w:sz w:val="22"/>
                <w:szCs w:val="22"/>
              </w:rPr>
              <w:t xml:space="preserve">Sector </w:t>
            </w:r>
            <w:r w:rsidR="008515C2">
              <w:rPr>
                <w:b/>
                <w:sz w:val="22"/>
                <w:szCs w:val="22"/>
              </w:rPr>
              <w:t>(</w:t>
            </w:r>
            <w:r>
              <w:rPr>
                <w:b/>
                <w:sz w:val="22"/>
                <w:szCs w:val="22"/>
              </w:rPr>
              <w:t>Non-Profit</w:t>
            </w:r>
            <w:r w:rsidR="00FD51BD">
              <w:rPr>
                <w:b/>
                <w:sz w:val="22"/>
                <w:szCs w:val="22"/>
              </w:rPr>
              <w:t>s)</w:t>
            </w:r>
          </w:p>
        </w:tc>
        <w:tc>
          <w:tcPr>
            <w:tcW w:w="1600" w:type="dxa"/>
            <w:noWrap/>
            <w:vAlign w:val="center"/>
          </w:tcPr>
          <w:p w:rsidR="005205D2" w:rsidRPr="003C1F78" w:rsidRDefault="003C1F78">
            <w:pPr>
              <w:jc w:val="center"/>
              <w:rPr>
                <w:sz w:val="22"/>
                <w:szCs w:val="22"/>
              </w:rPr>
            </w:pPr>
            <w:r w:rsidRPr="003C1F78">
              <w:rPr>
                <w:sz w:val="22"/>
                <w:szCs w:val="22"/>
              </w:rPr>
              <w:t>50</w:t>
            </w:r>
          </w:p>
        </w:tc>
        <w:tc>
          <w:tcPr>
            <w:tcW w:w="1901" w:type="dxa"/>
            <w:noWrap/>
            <w:vAlign w:val="center"/>
          </w:tcPr>
          <w:p w:rsidR="005205D2" w:rsidRDefault="005205D2">
            <w:pPr>
              <w:jc w:val="center"/>
              <w:rPr>
                <w:sz w:val="22"/>
                <w:szCs w:val="22"/>
              </w:rPr>
            </w:pPr>
            <w:r>
              <w:rPr>
                <w:sz w:val="22"/>
                <w:szCs w:val="22"/>
              </w:rPr>
              <w:t>158</w:t>
            </w:r>
            <w:r w:rsidR="00362417">
              <w:rPr>
                <w:sz w:val="22"/>
                <w:szCs w:val="22"/>
              </w:rPr>
              <w:t xml:space="preserve"> (per grantee</w:t>
            </w:r>
            <w:r w:rsidR="004B5274">
              <w:rPr>
                <w:sz w:val="22"/>
                <w:szCs w:val="22"/>
              </w:rPr>
              <w:t>)</w:t>
            </w:r>
          </w:p>
        </w:tc>
        <w:tc>
          <w:tcPr>
            <w:tcW w:w="1260" w:type="dxa"/>
            <w:noWrap/>
            <w:vAlign w:val="center"/>
          </w:tcPr>
          <w:p w:rsidR="005205D2" w:rsidRDefault="003C1F78">
            <w:pPr>
              <w:jc w:val="center"/>
              <w:rPr>
                <w:sz w:val="22"/>
                <w:szCs w:val="22"/>
              </w:rPr>
            </w:pPr>
            <w:r>
              <w:rPr>
                <w:sz w:val="22"/>
                <w:szCs w:val="22"/>
              </w:rPr>
              <w:t>$</w:t>
            </w:r>
            <w:r w:rsidR="00033200">
              <w:rPr>
                <w:sz w:val="22"/>
                <w:szCs w:val="22"/>
              </w:rPr>
              <w:t>17.55</w:t>
            </w:r>
          </w:p>
        </w:tc>
        <w:tc>
          <w:tcPr>
            <w:tcW w:w="2500" w:type="dxa"/>
            <w:noWrap/>
            <w:vAlign w:val="center"/>
          </w:tcPr>
          <w:p w:rsidR="005205D2" w:rsidRPr="003C1F78" w:rsidRDefault="005205D2">
            <w:pPr>
              <w:jc w:val="center"/>
              <w:rPr>
                <w:sz w:val="22"/>
                <w:szCs w:val="22"/>
                <w:highlight w:val="yellow"/>
              </w:rPr>
            </w:pPr>
            <w:r w:rsidRPr="005F2B9A">
              <w:rPr>
                <w:sz w:val="22"/>
                <w:szCs w:val="22"/>
              </w:rPr>
              <w:t>$</w:t>
            </w:r>
            <w:r w:rsidR="00033200">
              <w:rPr>
                <w:sz w:val="22"/>
                <w:szCs w:val="22"/>
              </w:rPr>
              <w:t>2,773</w:t>
            </w:r>
            <w:r w:rsidR="00362417" w:rsidRPr="005F2B9A">
              <w:rPr>
                <w:sz w:val="22"/>
                <w:szCs w:val="22"/>
              </w:rPr>
              <w:t xml:space="preserve"> (per grantee)</w:t>
            </w:r>
          </w:p>
        </w:tc>
      </w:tr>
      <w:tr w:rsidR="005205D2" w:rsidTr="003C1F78">
        <w:trPr>
          <w:trHeight w:val="634"/>
          <w:jc w:val="center"/>
        </w:trPr>
        <w:tc>
          <w:tcPr>
            <w:tcW w:w="2052" w:type="dxa"/>
            <w:vAlign w:val="center"/>
          </w:tcPr>
          <w:p w:rsidR="005205D2" w:rsidRDefault="005205D2" w:rsidP="00FD51BD">
            <w:pPr>
              <w:rPr>
                <w:b/>
                <w:sz w:val="22"/>
                <w:szCs w:val="22"/>
              </w:rPr>
            </w:pPr>
            <w:r>
              <w:rPr>
                <w:b/>
                <w:sz w:val="22"/>
                <w:szCs w:val="22"/>
              </w:rPr>
              <w:t>State</w:t>
            </w:r>
            <w:r w:rsidR="00FD51BD">
              <w:rPr>
                <w:b/>
                <w:sz w:val="22"/>
                <w:szCs w:val="22"/>
              </w:rPr>
              <w:t>, Local or Tribal</w:t>
            </w:r>
            <w:r>
              <w:rPr>
                <w:b/>
                <w:sz w:val="22"/>
                <w:szCs w:val="22"/>
              </w:rPr>
              <w:t xml:space="preserve"> Government </w:t>
            </w:r>
          </w:p>
        </w:tc>
        <w:tc>
          <w:tcPr>
            <w:tcW w:w="1600" w:type="dxa"/>
            <w:noWrap/>
            <w:vAlign w:val="center"/>
          </w:tcPr>
          <w:p w:rsidR="005205D2" w:rsidRPr="003C1F78" w:rsidRDefault="003C1F78">
            <w:pPr>
              <w:jc w:val="center"/>
              <w:rPr>
                <w:sz w:val="22"/>
                <w:szCs w:val="22"/>
              </w:rPr>
            </w:pPr>
            <w:r w:rsidRPr="003C1F78">
              <w:rPr>
                <w:sz w:val="22"/>
                <w:szCs w:val="22"/>
              </w:rPr>
              <w:t>2</w:t>
            </w:r>
          </w:p>
        </w:tc>
        <w:tc>
          <w:tcPr>
            <w:tcW w:w="1901" w:type="dxa"/>
            <w:noWrap/>
            <w:vAlign w:val="center"/>
          </w:tcPr>
          <w:p w:rsidR="005205D2" w:rsidRDefault="005205D2">
            <w:pPr>
              <w:jc w:val="center"/>
              <w:rPr>
                <w:sz w:val="22"/>
                <w:szCs w:val="22"/>
              </w:rPr>
            </w:pPr>
            <w:r>
              <w:rPr>
                <w:sz w:val="22"/>
                <w:szCs w:val="22"/>
              </w:rPr>
              <w:t>158</w:t>
            </w:r>
            <w:r w:rsidR="00362417">
              <w:rPr>
                <w:sz w:val="22"/>
                <w:szCs w:val="22"/>
              </w:rPr>
              <w:t xml:space="preserve"> (per grantee)</w:t>
            </w:r>
          </w:p>
        </w:tc>
        <w:tc>
          <w:tcPr>
            <w:tcW w:w="1260" w:type="dxa"/>
            <w:noWrap/>
            <w:vAlign w:val="center"/>
          </w:tcPr>
          <w:p w:rsidR="005205D2" w:rsidRDefault="003C1F78">
            <w:pPr>
              <w:jc w:val="center"/>
              <w:rPr>
                <w:sz w:val="22"/>
                <w:szCs w:val="22"/>
              </w:rPr>
            </w:pPr>
            <w:r>
              <w:rPr>
                <w:sz w:val="22"/>
                <w:szCs w:val="22"/>
              </w:rPr>
              <w:t>$</w:t>
            </w:r>
            <w:r w:rsidR="0062338D">
              <w:rPr>
                <w:sz w:val="22"/>
                <w:szCs w:val="22"/>
              </w:rPr>
              <w:t>25.73</w:t>
            </w:r>
          </w:p>
        </w:tc>
        <w:tc>
          <w:tcPr>
            <w:tcW w:w="2500" w:type="dxa"/>
            <w:noWrap/>
            <w:vAlign w:val="center"/>
          </w:tcPr>
          <w:p w:rsidR="005205D2" w:rsidRPr="003C1F78" w:rsidRDefault="005205D2">
            <w:pPr>
              <w:jc w:val="center"/>
              <w:rPr>
                <w:sz w:val="22"/>
                <w:szCs w:val="22"/>
                <w:highlight w:val="yellow"/>
              </w:rPr>
            </w:pPr>
            <w:r w:rsidRPr="005F2B9A">
              <w:rPr>
                <w:sz w:val="22"/>
                <w:szCs w:val="22"/>
              </w:rPr>
              <w:t>$</w:t>
            </w:r>
            <w:r w:rsidR="0062338D">
              <w:rPr>
                <w:sz w:val="22"/>
                <w:szCs w:val="22"/>
              </w:rPr>
              <w:t>4,065</w:t>
            </w:r>
            <w:r w:rsidR="00362417" w:rsidRPr="005F2B9A">
              <w:rPr>
                <w:sz w:val="22"/>
                <w:szCs w:val="22"/>
              </w:rPr>
              <w:t xml:space="preserve"> (per grantee)</w:t>
            </w:r>
          </w:p>
        </w:tc>
      </w:tr>
      <w:tr w:rsidR="005205D2" w:rsidTr="003C1F78">
        <w:trPr>
          <w:trHeight w:val="360"/>
          <w:jc w:val="center"/>
        </w:trPr>
        <w:tc>
          <w:tcPr>
            <w:tcW w:w="2052" w:type="dxa"/>
            <w:noWrap/>
            <w:vAlign w:val="center"/>
          </w:tcPr>
          <w:p w:rsidR="005205D2" w:rsidRDefault="005205D2">
            <w:pPr>
              <w:rPr>
                <w:b/>
                <w:sz w:val="22"/>
                <w:szCs w:val="22"/>
              </w:rPr>
            </w:pPr>
            <w:r>
              <w:rPr>
                <w:b/>
                <w:sz w:val="22"/>
                <w:szCs w:val="22"/>
              </w:rPr>
              <w:t>All Grantees</w:t>
            </w:r>
          </w:p>
        </w:tc>
        <w:tc>
          <w:tcPr>
            <w:tcW w:w="1600" w:type="dxa"/>
            <w:noWrap/>
            <w:vAlign w:val="center"/>
          </w:tcPr>
          <w:p w:rsidR="005205D2" w:rsidRPr="003C1F78" w:rsidRDefault="003C1F78">
            <w:pPr>
              <w:jc w:val="center"/>
              <w:rPr>
                <w:sz w:val="22"/>
                <w:szCs w:val="22"/>
              </w:rPr>
            </w:pPr>
            <w:r w:rsidRPr="003C1F78">
              <w:rPr>
                <w:sz w:val="22"/>
                <w:szCs w:val="22"/>
              </w:rPr>
              <w:t>52</w:t>
            </w:r>
          </w:p>
        </w:tc>
        <w:tc>
          <w:tcPr>
            <w:tcW w:w="1901" w:type="dxa"/>
            <w:noWrap/>
            <w:vAlign w:val="center"/>
          </w:tcPr>
          <w:p w:rsidR="005205D2" w:rsidRDefault="004B5274">
            <w:pPr>
              <w:jc w:val="center"/>
              <w:rPr>
                <w:bCs/>
                <w:sz w:val="22"/>
                <w:szCs w:val="22"/>
              </w:rPr>
            </w:pPr>
            <w:r>
              <w:rPr>
                <w:bCs/>
                <w:sz w:val="22"/>
                <w:szCs w:val="22"/>
              </w:rPr>
              <w:t>8,216</w:t>
            </w:r>
          </w:p>
        </w:tc>
        <w:tc>
          <w:tcPr>
            <w:tcW w:w="1260" w:type="dxa"/>
            <w:noWrap/>
            <w:vAlign w:val="center"/>
          </w:tcPr>
          <w:p w:rsidR="005205D2" w:rsidRDefault="005205D2">
            <w:pPr>
              <w:jc w:val="center"/>
              <w:rPr>
                <w:sz w:val="22"/>
                <w:szCs w:val="22"/>
              </w:rPr>
            </w:pPr>
            <w:r>
              <w:rPr>
                <w:sz w:val="22"/>
                <w:szCs w:val="22"/>
              </w:rPr>
              <w:t>--</w:t>
            </w:r>
          </w:p>
        </w:tc>
        <w:tc>
          <w:tcPr>
            <w:tcW w:w="2500" w:type="dxa"/>
            <w:noWrap/>
            <w:vAlign w:val="center"/>
          </w:tcPr>
          <w:p w:rsidR="005205D2" w:rsidRPr="003C1F78" w:rsidRDefault="005F2B9A">
            <w:pPr>
              <w:jc w:val="center"/>
              <w:rPr>
                <w:bCs/>
                <w:sz w:val="22"/>
                <w:szCs w:val="22"/>
                <w:highlight w:val="yellow"/>
              </w:rPr>
            </w:pPr>
            <w:r w:rsidRPr="005F2B9A">
              <w:rPr>
                <w:bCs/>
                <w:sz w:val="22"/>
                <w:szCs w:val="22"/>
              </w:rPr>
              <w:t>$132,660</w:t>
            </w:r>
          </w:p>
        </w:tc>
      </w:tr>
      <w:tr w:rsidR="005205D2" w:rsidTr="003C1F78">
        <w:trPr>
          <w:trHeight w:val="360"/>
          <w:jc w:val="center"/>
        </w:trPr>
        <w:tc>
          <w:tcPr>
            <w:tcW w:w="2052" w:type="dxa"/>
            <w:noWrap/>
            <w:vAlign w:val="center"/>
          </w:tcPr>
          <w:p w:rsidR="005205D2" w:rsidRDefault="005205D2">
            <w:pPr>
              <w:rPr>
                <w:b/>
                <w:sz w:val="22"/>
                <w:szCs w:val="22"/>
              </w:rPr>
            </w:pPr>
            <w:r>
              <w:rPr>
                <w:b/>
                <w:sz w:val="22"/>
                <w:szCs w:val="22"/>
              </w:rPr>
              <w:t>Avg. per Grantee</w:t>
            </w:r>
          </w:p>
        </w:tc>
        <w:tc>
          <w:tcPr>
            <w:tcW w:w="1600" w:type="dxa"/>
            <w:noWrap/>
            <w:vAlign w:val="center"/>
          </w:tcPr>
          <w:p w:rsidR="005205D2" w:rsidRDefault="005205D2">
            <w:pPr>
              <w:jc w:val="center"/>
              <w:rPr>
                <w:sz w:val="22"/>
                <w:szCs w:val="22"/>
              </w:rPr>
            </w:pPr>
            <w:r>
              <w:rPr>
                <w:sz w:val="22"/>
                <w:szCs w:val="22"/>
              </w:rPr>
              <w:t>--</w:t>
            </w:r>
          </w:p>
        </w:tc>
        <w:tc>
          <w:tcPr>
            <w:tcW w:w="1901" w:type="dxa"/>
            <w:noWrap/>
            <w:vAlign w:val="center"/>
          </w:tcPr>
          <w:p w:rsidR="005205D2" w:rsidRDefault="005205D2">
            <w:pPr>
              <w:jc w:val="center"/>
              <w:rPr>
                <w:bCs/>
                <w:sz w:val="22"/>
                <w:szCs w:val="22"/>
              </w:rPr>
            </w:pPr>
            <w:r>
              <w:rPr>
                <w:bCs/>
                <w:sz w:val="22"/>
                <w:szCs w:val="22"/>
              </w:rPr>
              <w:t>158</w:t>
            </w:r>
          </w:p>
        </w:tc>
        <w:tc>
          <w:tcPr>
            <w:tcW w:w="1260" w:type="dxa"/>
            <w:noWrap/>
            <w:vAlign w:val="center"/>
          </w:tcPr>
          <w:p w:rsidR="005205D2" w:rsidRDefault="005205D2">
            <w:pPr>
              <w:jc w:val="center"/>
              <w:rPr>
                <w:sz w:val="22"/>
                <w:szCs w:val="22"/>
              </w:rPr>
            </w:pPr>
            <w:r>
              <w:rPr>
                <w:sz w:val="22"/>
                <w:szCs w:val="22"/>
              </w:rPr>
              <w:t>--</w:t>
            </w:r>
          </w:p>
        </w:tc>
        <w:tc>
          <w:tcPr>
            <w:tcW w:w="2500" w:type="dxa"/>
            <w:noWrap/>
            <w:vAlign w:val="center"/>
          </w:tcPr>
          <w:p w:rsidR="005205D2" w:rsidRPr="003C1F78" w:rsidRDefault="005F2B9A">
            <w:pPr>
              <w:jc w:val="center"/>
              <w:rPr>
                <w:bCs/>
                <w:sz w:val="22"/>
                <w:szCs w:val="22"/>
                <w:highlight w:val="yellow"/>
              </w:rPr>
            </w:pPr>
            <w:r w:rsidRPr="005F2B9A">
              <w:rPr>
                <w:bCs/>
                <w:sz w:val="22"/>
                <w:szCs w:val="22"/>
              </w:rPr>
              <w:t>$2,551</w:t>
            </w:r>
          </w:p>
        </w:tc>
      </w:tr>
    </w:tbl>
    <w:p w:rsidR="005205D2" w:rsidRDefault="005205D2">
      <w:pPr>
        <w:rPr>
          <w:sz w:val="23"/>
          <w:szCs w:val="23"/>
          <w:highlight w:val="cyan"/>
          <w:vertAlign w:val="superscript"/>
        </w:rPr>
      </w:pPr>
    </w:p>
    <w:p w:rsidR="005205D2" w:rsidRDefault="005205D2">
      <w:pPr>
        <w:rPr>
          <w:sz w:val="22"/>
          <w:szCs w:val="22"/>
        </w:rPr>
      </w:pPr>
      <w:r>
        <w:rPr>
          <w:sz w:val="22"/>
          <w:szCs w:val="22"/>
        </w:rPr>
        <w:t xml:space="preserve">Note:  The hourly rate used to calculate cost depends upon the type of organization receiving the grant.  </w:t>
      </w:r>
      <w:r w:rsidR="008515C2" w:rsidRPr="008515C2">
        <w:rPr>
          <w:sz w:val="22"/>
          <w:szCs w:val="22"/>
        </w:rPr>
        <w:t xml:space="preserve">For private non-profit grantees and </w:t>
      </w:r>
      <w:proofErr w:type="gramStart"/>
      <w:r w:rsidR="008515C2" w:rsidRPr="008515C2">
        <w:rPr>
          <w:sz w:val="22"/>
          <w:szCs w:val="22"/>
        </w:rPr>
        <w:t>Federally-recognized</w:t>
      </w:r>
      <w:proofErr w:type="gramEnd"/>
      <w:r w:rsidR="008515C2" w:rsidRPr="008515C2">
        <w:rPr>
          <w:sz w:val="22"/>
          <w:szCs w:val="22"/>
        </w:rPr>
        <w:t xml:space="preserve"> tribes, the hourly rate is the average hourly earnings in the civic and social organizations industry, CES code 80313400 (March 2014, CES survey, U.S. Census Bureau, </w:t>
      </w:r>
      <w:hyperlink r:id="rId11" w:history="1">
        <w:r w:rsidR="008515C2" w:rsidRPr="008515C2">
          <w:rPr>
            <w:rStyle w:val="Hyperlink"/>
            <w:sz w:val="22"/>
            <w:szCs w:val="22"/>
          </w:rPr>
          <w:t>http://data.bls.gov/PDQ/outside.jsp?survey=ce</w:t>
        </w:r>
      </w:hyperlink>
      <w:r w:rsidR="008515C2" w:rsidRPr="008515C2">
        <w:rPr>
          <w:sz w:val="22"/>
          <w:szCs w:val="22"/>
        </w:rPr>
        <w:t>)</w:t>
      </w:r>
      <w:r w:rsidR="008515C2">
        <w:rPr>
          <w:sz w:val="22"/>
          <w:szCs w:val="22"/>
        </w:rPr>
        <w:t>.</w:t>
      </w:r>
      <w:r w:rsidR="008515C2" w:rsidRPr="008515C2">
        <w:rPr>
          <w:sz w:val="22"/>
          <w:szCs w:val="22"/>
        </w:rPr>
        <w:t xml:space="preserve">  For state, county, and U.S. territory government grantees, the hourly rate is the estimated average hourly earnings for employees in the administration of economic programs industry, NAICS code 926110 (CY 2013, Quarterly Census of Employment and Wages, Bureau of Labor Statistics, </w:t>
      </w:r>
      <w:hyperlink r:id="rId12" w:history="1">
        <w:r w:rsidR="008515C2" w:rsidRPr="008515C2">
          <w:rPr>
            <w:rStyle w:val="Hyperlink"/>
            <w:sz w:val="22"/>
            <w:szCs w:val="22"/>
          </w:rPr>
          <w:t>http://data.bls.gov/pdq/querytool.jsp?survey=en</w:t>
        </w:r>
      </w:hyperlink>
      <w:r w:rsidR="008515C2" w:rsidRPr="008515C2">
        <w:rPr>
          <w:sz w:val="22"/>
          <w:szCs w:val="22"/>
        </w:rPr>
        <w:t>).</w:t>
      </w:r>
    </w:p>
    <w:p w:rsidR="0005788B" w:rsidRDefault="0005788B">
      <w:pPr>
        <w:rPr>
          <w:sz w:val="22"/>
          <w:szCs w:val="22"/>
        </w:rPr>
      </w:pPr>
    </w:p>
    <w:p w:rsidR="004053D3" w:rsidRDefault="004053D3" w:rsidP="004D2142">
      <w:pPr>
        <w:jc w:val="center"/>
        <w:rPr>
          <w:b/>
          <w:sz w:val="22"/>
          <w:szCs w:val="22"/>
        </w:rPr>
      </w:pPr>
    </w:p>
    <w:p w:rsidR="004053D3" w:rsidRDefault="004053D3" w:rsidP="004D2142">
      <w:pPr>
        <w:jc w:val="center"/>
        <w:rPr>
          <w:b/>
          <w:sz w:val="22"/>
          <w:szCs w:val="22"/>
        </w:rPr>
      </w:pPr>
    </w:p>
    <w:p w:rsidR="004053D3" w:rsidRDefault="004053D3" w:rsidP="004D2142">
      <w:pPr>
        <w:jc w:val="center"/>
        <w:rPr>
          <w:b/>
          <w:sz w:val="22"/>
          <w:szCs w:val="22"/>
        </w:rPr>
      </w:pPr>
    </w:p>
    <w:p w:rsidR="004053D3" w:rsidRDefault="004053D3" w:rsidP="004D2142">
      <w:pPr>
        <w:jc w:val="center"/>
        <w:rPr>
          <w:b/>
          <w:sz w:val="22"/>
          <w:szCs w:val="22"/>
        </w:rPr>
      </w:pPr>
    </w:p>
    <w:p w:rsidR="004053D3" w:rsidRDefault="004053D3" w:rsidP="004D2142">
      <w:pPr>
        <w:jc w:val="center"/>
        <w:rPr>
          <w:b/>
          <w:sz w:val="22"/>
          <w:szCs w:val="22"/>
        </w:rPr>
      </w:pPr>
    </w:p>
    <w:p w:rsidR="004053D3" w:rsidRDefault="004053D3" w:rsidP="004D2142">
      <w:pPr>
        <w:jc w:val="center"/>
        <w:rPr>
          <w:b/>
          <w:sz w:val="22"/>
          <w:szCs w:val="22"/>
        </w:rPr>
      </w:pPr>
    </w:p>
    <w:p w:rsidR="004D2142" w:rsidRPr="00F44BA4" w:rsidRDefault="004D2142" w:rsidP="004D2142">
      <w:pPr>
        <w:jc w:val="center"/>
        <w:rPr>
          <w:sz w:val="22"/>
          <w:szCs w:val="22"/>
          <w:highlight w:val="cyan"/>
          <w:vertAlign w:val="superscript"/>
        </w:rPr>
      </w:pPr>
      <w:r w:rsidRPr="00F44BA4">
        <w:rPr>
          <w:b/>
          <w:sz w:val="22"/>
          <w:szCs w:val="22"/>
        </w:rPr>
        <w:t xml:space="preserve">Table </w:t>
      </w:r>
      <w:r w:rsidR="00CF459D" w:rsidRPr="00F44BA4">
        <w:rPr>
          <w:b/>
          <w:sz w:val="22"/>
          <w:szCs w:val="22"/>
        </w:rPr>
        <w:t>6</w:t>
      </w:r>
      <w:r w:rsidRPr="00F44BA4">
        <w:rPr>
          <w:b/>
          <w:sz w:val="22"/>
          <w:szCs w:val="22"/>
        </w:rPr>
        <w:t xml:space="preserve"> - Calculation of Annual Burden for SCSEP</w:t>
      </w:r>
    </w:p>
    <w:p w:rsidR="004D2142" w:rsidRDefault="004D2142" w:rsidP="004D2142">
      <w:pPr>
        <w:rPr>
          <w:sz w:val="22"/>
          <w:szCs w:val="22"/>
          <w:highlight w:val="cyan"/>
          <w:vertAlign w:val="superscript"/>
        </w:rPr>
      </w:pPr>
    </w:p>
    <w:tbl>
      <w:tblPr>
        <w:tblW w:w="9302" w:type="dxa"/>
        <w:jc w:val="center"/>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1263"/>
        <w:gridCol w:w="1977"/>
        <w:gridCol w:w="1263"/>
        <w:gridCol w:w="2039"/>
      </w:tblGrid>
      <w:tr w:rsidR="004D2142" w:rsidTr="007352E7">
        <w:trPr>
          <w:trHeight w:val="634"/>
          <w:jc w:val="center"/>
        </w:trPr>
        <w:tc>
          <w:tcPr>
            <w:tcW w:w="2760" w:type="dxa"/>
            <w:shd w:val="clear" w:color="auto" w:fill="C0C0C0"/>
            <w:noWrap/>
            <w:vAlign w:val="center"/>
          </w:tcPr>
          <w:p w:rsidR="004D2142" w:rsidRDefault="004D2142" w:rsidP="0096146B">
            <w:pPr>
              <w:rPr>
                <w:b/>
                <w:sz w:val="22"/>
                <w:szCs w:val="22"/>
              </w:rPr>
            </w:pPr>
            <w:r>
              <w:rPr>
                <w:b/>
                <w:sz w:val="22"/>
                <w:szCs w:val="22"/>
              </w:rPr>
              <w:t>Type of Grantee</w:t>
            </w:r>
          </w:p>
        </w:tc>
        <w:tc>
          <w:tcPr>
            <w:tcW w:w="1263" w:type="dxa"/>
            <w:shd w:val="clear" w:color="auto" w:fill="C0C0C0"/>
            <w:vAlign w:val="center"/>
          </w:tcPr>
          <w:p w:rsidR="004D2142" w:rsidRDefault="004D2142" w:rsidP="0096146B">
            <w:pPr>
              <w:jc w:val="center"/>
              <w:rPr>
                <w:b/>
                <w:sz w:val="22"/>
                <w:szCs w:val="22"/>
              </w:rPr>
            </w:pPr>
            <w:r>
              <w:rPr>
                <w:b/>
                <w:sz w:val="22"/>
                <w:szCs w:val="22"/>
              </w:rPr>
              <w:t>No. of Grantees</w:t>
            </w:r>
          </w:p>
        </w:tc>
        <w:tc>
          <w:tcPr>
            <w:tcW w:w="1977" w:type="dxa"/>
            <w:shd w:val="clear" w:color="auto" w:fill="C0C0C0"/>
            <w:vAlign w:val="center"/>
          </w:tcPr>
          <w:p w:rsidR="004D2142" w:rsidRDefault="004D2142" w:rsidP="0096146B">
            <w:pPr>
              <w:jc w:val="center"/>
              <w:rPr>
                <w:b/>
                <w:bCs/>
                <w:sz w:val="22"/>
                <w:szCs w:val="22"/>
              </w:rPr>
            </w:pPr>
            <w:r>
              <w:rPr>
                <w:b/>
                <w:bCs/>
                <w:sz w:val="22"/>
                <w:szCs w:val="22"/>
              </w:rPr>
              <w:t xml:space="preserve">Hours </w:t>
            </w:r>
          </w:p>
        </w:tc>
        <w:tc>
          <w:tcPr>
            <w:tcW w:w="1263" w:type="dxa"/>
            <w:shd w:val="clear" w:color="auto" w:fill="C0C0C0"/>
            <w:noWrap/>
            <w:vAlign w:val="center"/>
          </w:tcPr>
          <w:p w:rsidR="004D2142" w:rsidRDefault="004D2142" w:rsidP="0096146B">
            <w:pPr>
              <w:jc w:val="center"/>
              <w:rPr>
                <w:b/>
                <w:sz w:val="22"/>
                <w:szCs w:val="22"/>
              </w:rPr>
            </w:pPr>
            <w:r>
              <w:rPr>
                <w:b/>
                <w:sz w:val="22"/>
                <w:szCs w:val="22"/>
              </w:rPr>
              <w:t>Rate in $/</w:t>
            </w:r>
            <w:proofErr w:type="spellStart"/>
            <w:r>
              <w:rPr>
                <w:b/>
                <w:sz w:val="22"/>
                <w:szCs w:val="22"/>
              </w:rPr>
              <w:t>hr</w:t>
            </w:r>
            <w:proofErr w:type="spellEnd"/>
          </w:p>
        </w:tc>
        <w:tc>
          <w:tcPr>
            <w:tcW w:w="2039" w:type="dxa"/>
            <w:shd w:val="clear" w:color="auto" w:fill="C0C0C0"/>
            <w:vAlign w:val="center"/>
          </w:tcPr>
          <w:p w:rsidR="004D2142" w:rsidRDefault="004D2142" w:rsidP="0096146B">
            <w:pPr>
              <w:jc w:val="center"/>
              <w:rPr>
                <w:b/>
                <w:bCs/>
                <w:sz w:val="22"/>
                <w:szCs w:val="22"/>
              </w:rPr>
            </w:pPr>
            <w:r>
              <w:rPr>
                <w:b/>
                <w:bCs/>
                <w:sz w:val="22"/>
                <w:szCs w:val="22"/>
              </w:rPr>
              <w:t>Cost</w:t>
            </w:r>
          </w:p>
        </w:tc>
      </w:tr>
      <w:tr w:rsidR="004D2142" w:rsidTr="007352E7">
        <w:trPr>
          <w:trHeight w:val="206"/>
          <w:jc w:val="center"/>
        </w:trPr>
        <w:tc>
          <w:tcPr>
            <w:tcW w:w="2760" w:type="dxa"/>
            <w:noWrap/>
            <w:vAlign w:val="center"/>
          </w:tcPr>
          <w:p w:rsidR="004D2142" w:rsidRDefault="004D2142" w:rsidP="0096146B">
            <w:pPr>
              <w:rPr>
                <w:b/>
                <w:sz w:val="22"/>
                <w:szCs w:val="22"/>
              </w:rPr>
            </w:pPr>
            <w:r>
              <w:rPr>
                <w:b/>
                <w:sz w:val="22"/>
                <w:szCs w:val="22"/>
              </w:rPr>
              <w:t xml:space="preserve">Private </w:t>
            </w:r>
            <w:r w:rsidR="007333C1">
              <w:rPr>
                <w:b/>
                <w:sz w:val="22"/>
                <w:szCs w:val="22"/>
              </w:rPr>
              <w:t xml:space="preserve">Sector </w:t>
            </w:r>
            <w:r w:rsidR="00FD51BD">
              <w:rPr>
                <w:b/>
                <w:sz w:val="22"/>
                <w:szCs w:val="22"/>
              </w:rPr>
              <w:t>(</w:t>
            </w:r>
            <w:r>
              <w:rPr>
                <w:b/>
                <w:sz w:val="22"/>
                <w:szCs w:val="22"/>
              </w:rPr>
              <w:t>Non-Profit</w:t>
            </w:r>
            <w:r w:rsidR="00FD51BD">
              <w:rPr>
                <w:b/>
                <w:sz w:val="22"/>
                <w:szCs w:val="22"/>
              </w:rPr>
              <w:t>s)</w:t>
            </w:r>
          </w:p>
        </w:tc>
        <w:tc>
          <w:tcPr>
            <w:tcW w:w="1263" w:type="dxa"/>
            <w:noWrap/>
            <w:vAlign w:val="center"/>
          </w:tcPr>
          <w:p w:rsidR="004D2142" w:rsidRDefault="004D2142" w:rsidP="0096146B">
            <w:pPr>
              <w:jc w:val="center"/>
              <w:rPr>
                <w:sz w:val="22"/>
                <w:szCs w:val="22"/>
              </w:rPr>
            </w:pPr>
            <w:r>
              <w:rPr>
                <w:sz w:val="22"/>
                <w:szCs w:val="22"/>
              </w:rPr>
              <w:t>18</w:t>
            </w:r>
          </w:p>
        </w:tc>
        <w:tc>
          <w:tcPr>
            <w:tcW w:w="1977" w:type="dxa"/>
            <w:noWrap/>
            <w:vAlign w:val="center"/>
          </w:tcPr>
          <w:p w:rsidR="004D2142" w:rsidRDefault="004D2142" w:rsidP="0096146B">
            <w:pPr>
              <w:jc w:val="center"/>
              <w:rPr>
                <w:sz w:val="22"/>
                <w:szCs w:val="22"/>
              </w:rPr>
            </w:pPr>
            <w:r>
              <w:rPr>
                <w:sz w:val="22"/>
                <w:szCs w:val="22"/>
              </w:rPr>
              <w:t>162 (per grantee)</w:t>
            </w:r>
          </w:p>
        </w:tc>
        <w:tc>
          <w:tcPr>
            <w:tcW w:w="1263" w:type="dxa"/>
            <w:noWrap/>
            <w:vAlign w:val="center"/>
          </w:tcPr>
          <w:p w:rsidR="004D2142" w:rsidRDefault="004D2142" w:rsidP="0096146B">
            <w:pPr>
              <w:jc w:val="center"/>
              <w:rPr>
                <w:sz w:val="22"/>
                <w:szCs w:val="22"/>
              </w:rPr>
            </w:pPr>
            <w:r>
              <w:rPr>
                <w:sz w:val="22"/>
                <w:szCs w:val="22"/>
              </w:rPr>
              <w:t>$</w:t>
            </w:r>
            <w:r w:rsidR="00CB131B">
              <w:rPr>
                <w:sz w:val="22"/>
                <w:szCs w:val="22"/>
              </w:rPr>
              <w:t>17.55</w:t>
            </w:r>
          </w:p>
        </w:tc>
        <w:tc>
          <w:tcPr>
            <w:tcW w:w="2039" w:type="dxa"/>
            <w:noWrap/>
            <w:vAlign w:val="center"/>
          </w:tcPr>
          <w:p w:rsidR="004D2142" w:rsidRDefault="004D2142" w:rsidP="0096146B">
            <w:pPr>
              <w:jc w:val="center"/>
              <w:rPr>
                <w:sz w:val="22"/>
                <w:szCs w:val="22"/>
              </w:rPr>
            </w:pPr>
            <w:r>
              <w:rPr>
                <w:sz w:val="22"/>
                <w:szCs w:val="22"/>
              </w:rPr>
              <w:t>$</w:t>
            </w:r>
            <w:r w:rsidR="00CB131B">
              <w:rPr>
                <w:sz w:val="22"/>
                <w:szCs w:val="22"/>
              </w:rPr>
              <w:t>2,843</w:t>
            </w:r>
            <w:r>
              <w:rPr>
                <w:sz w:val="22"/>
                <w:szCs w:val="22"/>
              </w:rPr>
              <w:t xml:space="preserve"> (per grantee)</w:t>
            </w:r>
          </w:p>
        </w:tc>
      </w:tr>
      <w:tr w:rsidR="004D2142" w:rsidTr="007352E7">
        <w:trPr>
          <w:trHeight w:val="634"/>
          <w:jc w:val="center"/>
        </w:trPr>
        <w:tc>
          <w:tcPr>
            <w:tcW w:w="2760" w:type="dxa"/>
            <w:vAlign w:val="center"/>
          </w:tcPr>
          <w:p w:rsidR="004D2142" w:rsidRDefault="004D2142" w:rsidP="007333C1">
            <w:pPr>
              <w:rPr>
                <w:b/>
                <w:sz w:val="22"/>
                <w:szCs w:val="22"/>
              </w:rPr>
            </w:pPr>
            <w:r>
              <w:rPr>
                <w:b/>
                <w:sz w:val="22"/>
                <w:szCs w:val="22"/>
              </w:rPr>
              <w:t>State</w:t>
            </w:r>
            <w:r w:rsidR="007333C1">
              <w:rPr>
                <w:b/>
                <w:sz w:val="22"/>
                <w:szCs w:val="22"/>
              </w:rPr>
              <w:t>, Local, or Tribal Government</w:t>
            </w:r>
            <w:r>
              <w:rPr>
                <w:b/>
                <w:sz w:val="22"/>
                <w:szCs w:val="22"/>
              </w:rPr>
              <w:t xml:space="preserve"> </w:t>
            </w:r>
          </w:p>
        </w:tc>
        <w:tc>
          <w:tcPr>
            <w:tcW w:w="1263" w:type="dxa"/>
            <w:noWrap/>
            <w:vAlign w:val="center"/>
          </w:tcPr>
          <w:p w:rsidR="004D2142" w:rsidRDefault="004D2142" w:rsidP="0096146B">
            <w:pPr>
              <w:jc w:val="center"/>
              <w:rPr>
                <w:sz w:val="22"/>
                <w:szCs w:val="22"/>
              </w:rPr>
            </w:pPr>
            <w:r>
              <w:rPr>
                <w:sz w:val="22"/>
                <w:szCs w:val="22"/>
              </w:rPr>
              <w:t>56</w:t>
            </w:r>
          </w:p>
        </w:tc>
        <w:tc>
          <w:tcPr>
            <w:tcW w:w="1977" w:type="dxa"/>
            <w:noWrap/>
            <w:vAlign w:val="center"/>
          </w:tcPr>
          <w:p w:rsidR="004D2142" w:rsidRDefault="004D2142" w:rsidP="0096146B">
            <w:pPr>
              <w:jc w:val="center"/>
              <w:rPr>
                <w:sz w:val="22"/>
                <w:szCs w:val="22"/>
              </w:rPr>
            </w:pPr>
            <w:r>
              <w:rPr>
                <w:sz w:val="22"/>
                <w:szCs w:val="22"/>
              </w:rPr>
              <w:t>162 (per grantee)</w:t>
            </w:r>
          </w:p>
        </w:tc>
        <w:tc>
          <w:tcPr>
            <w:tcW w:w="1263" w:type="dxa"/>
            <w:noWrap/>
            <w:vAlign w:val="center"/>
          </w:tcPr>
          <w:p w:rsidR="004D2142" w:rsidRDefault="004D2142" w:rsidP="0096146B">
            <w:pPr>
              <w:jc w:val="center"/>
              <w:rPr>
                <w:sz w:val="22"/>
                <w:szCs w:val="22"/>
              </w:rPr>
            </w:pPr>
            <w:r>
              <w:rPr>
                <w:sz w:val="22"/>
                <w:szCs w:val="22"/>
              </w:rPr>
              <w:t>$</w:t>
            </w:r>
            <w:r w:rsidR="00CB131B">
              <w:rPr>
                <w:sz w:val="22"/>
                <w:szCs w:val="22"/>
              </w:rPr>
              <w:t>25.73</w:t>
            </w:r>
          </w:p>
        </w:tc>
        <w:tc>
          <w:tcPr>
            <w:tcW w:w="2039" w:type="dxa"/>
            <w:noWrap/>
            <w:vAlign w:val="center"/>
          </w:tcPr>
          <w:p w:rsidR="004D2142" w:rsidRDefault="004D2142" w:rsidP="00CB131B">
            <w:pPr>
              <w:jc w:val="center"/>
              <w:rPr>
                <w:sz w:val="22"/>
                <w:szCs w:val="22"/>
              </w:rPr>
            </w:pPr>
            <w:r>
              <w:rPr>
                <w:sz w:val="22"/>
                <w:szCs w:val="22"/>
              </w:rPr>
              <w:t>$</w:t>
            </w:r>
            <w:r w:rsidR="00CB131B">
              <w:rPr>
                <w:sz w:val="22"/>
                <w:szCs w:val="22"/>
              </w:rPr>
              <w:t>4,168</w:t>
            </w:r>
            <w:r>
              <w:rPr>
                <w:sz w:val="22"/>
                <w:szCs w:val="22"/>
              </w:rPr>
              <w:t>(per grantee)</w:t>
            </w:r>
          </w:p>
        </w:tc>
      </w:tr>
      <w:tr w:rsidR="004D2142" w:rsidTr="007352E7">
        <w:trPr>
          <w:trHeight w:val="360"/>
          <w:jc w:val="center"/>
        </w:trPr>
        <w:tc>
          <w:tcPr>
            <w:tcW w:w="2760" w:type="dxa"/>
            <w:noWrap/>
            <w:vAlign w:val="center"/>
          </w:tcPr>
          <w:p w:rsidR="004D2142" w:rsidRDefault="004D2142" w:rsidP="0096146B">
            <w:pPr>
              <w:rPr>
                <w:b/>
                <w:sz w:val="22"/>
                <w:szCs w:val="22"/>
              </w:rPr>
            </w:pPr>
            <w:r>
              <w:rPr>
                <w:b/>
                <w:sz w:val="22"/>
                <w:szCs w:val="22"/>
              </w:rPr>
              <w:t>All Grantees</w:t>
            </w:r>
          </w:p>
        </w:tc>
        <w:tc>
          <w:tcPr>
            <w:tcW w:w="1263" w:type="dxa"/>
            <w:noWrap/>
            <w:vAlign w:val="center"/>
          </w:tcPr>
          <w:p w:rsidR="004D2142" w:rsidRDefault="004D2142" w:rsidP="0096146B">
            <w:pPr>
              <w:jc w:val="center"/>
              <w:rPr>
                <w:sz w:val="22"/>
                <w:szCs w:val="22"/>
              </w:rPr>
            </w:pPr>
            <w:r>
              <w:rPr>
                <w:sz w:val="22"/>
                <w:szCs w:val="22"/>
              </w:rPr>
              <w:t>74</w:t>
            </w:r>
          </w:p>
        </w:tc>
        <w:tc>
          <w:tcPr>
            <w:tcW w:w="1977" w:type="dxa"/>
            <w:noWrap/>
            <w:vAlign w:val="center"/>
          </w:tcPr>
          <w:p w:rsidR="004D2142" w:rsidRDefault="004D2142" w:rsidP="0096146B">
            <w:pPr>
              <w:jc w:val="center"/>
              <w:rPr>
                <w:bCs/>
                <w:sz w:val="22"/>
                <w:szCs w:val="22"/>
              </w:rPr>
            </w:pPr>
            <w:r>
              <w:rPr>
                <w:bCs/>
                <w:sz w:val="22"/>
                <w:szCs w:val="22"/>
              </w:rPr>
              <w:t>11,988</w:t>
            </w:r>
          </w:p>
        </w:tc>
        <w:tc>
          <w:tcPr>
            <w:tcW w:w="1263" w:type="dxa"/>
            <w:noWrap/>
            <w:vAlign w:val="center"/>
          </w:tcPr>
          <w:p w:rsidR="004D2142" w:rsidRDefault="004D2142" w:rsidP="0096146B">
            <w:pPr>
              <w:jc w:val="center"/>
              <w:rPr>
                <w:sz w:val="22"/>
                <w:szCs w:val="22"/>
              </w:rPr>
            </w:pPr>
            <w:r>
              <w:rPr>
                <w:sz w:val="22"/>
                <w:szCs w:val="22"/>
              </w:rPr>
              <w:t>--</w:t>
            </w:r>
          </w:p>
        </w:tc>
        <w:tc>
          <w:tcPr>
            <w:tcW w:w="2039" w:type="dxa"/>
            <w:noWrap/>
            <w:vAlign w:val="center"/>
          </w:tcPr>
          <w:p w:rsidR="004D2142" w:rsidRDefault="004D2142" w:rsidP="0096146B">
            <w:pPr>
              <w:jc w:val="center"/>
              <w:rPr>
                <w:bCs/>
                <w:sz w:val="22"/>
                <w:szCs w:val="22"/>
              </w:rPr>
            </w:pPr>
            <w:r>
              <w:rPr>
                <w:bCs/>
                <w:sz w:val="22"/>
                <w:szCs w:val="22"/>
              </w:rPr>
              <w:t>$414,435</w:t>
            </w:r>
          </w:p>
        </w:tc>
      </w:tr>
      <w:tr w:rsidR="004D2142" w:rsidTr="007352E7">
        <w:trPr>
          <w:trHeight w:val="360"/>
          <w:jc w:val="center"/>
        </w:trPr>
        <w:tc>
          <w:tcPr>
            <w:tcW w:w="2760" w:type="dxa"/>
            <w:noWrap/>
            <w:vAlign w:val="center"/>
          </w:tcPr>
          <w:p w:rsidR="004D2142" w:rsidRDefault="004D2142" w:rsidP="0096146B">
            <w:pPr>
              <w:rPr>
                <w:b/>
                <w:sz w:val="22"/>
                <w:szCs w:val="22"/>
              </w:rPr>
            </w:pPr>
            <w:r>
              <w:rPr>
                <w:b/>
                <w:sz w:val="22"/>
                <w:szCs w:val="22"/>
              </w:rPr>
              <w:t>Avg. per Grantee</w:t>
            </w:r>
          </w:p>
        </w:tc>
        <w:tc>
          <w:tcPr>
            <w:tcW w:w="1263" w:type="dxa"/>
            <w:noWrap/>
            <w:vAlign w:val="center"/>
          </w:tcPr>
          <w:p w:rsidR="004D2142" w:rsidRDefault="004D2142" w:rsidP="0096146B">
            <w:pPr>
              <w:jc w:val="center"/>
              <w:rPr>
                <w:sz w:val="22"/>
                <w:szCs w:val="22"/>
              </w:rPr>
            </w:pPr>
            <w:r>
              <w:rPr>
                <w:sz w:val="22"/>
                <w:szCs w:val="22"/>
              </w:rPr>
              <w:t>--</w:t>
            </w:r>
          </w:p>
        </w:tc>
        <w:tc>
          <w:tcPr>
            <w:tcW w:w="1977" w:type="dxa"/>
            <w:noWrap/>
            <w:vAlign w:val="center"/>
          </w:tcPr>
          <w:p w:rsidR="004D2142" w:rsidRDefault="004D2142" w:rsidP="0096146B">
            <w:pPr>
              <w:jc w:val="center"/>
              <w:rPr>
                <w:bCs/>
                <w:sz w:val="22"/>
                <w:szCs w:val="22"/>
              </w:rPr>
            </w:pPr>
            <w:r>
              <w:rPr>
                <w:bCs/>
                <w:sz w:val="22"/>
                <w:szCs w:val="22"/>
              </w:rPr>
              <w:t>162</w:t>
            </w:r>
          </w:p>
        </w:tc>
        <w:tc>
          <w:tcPr>
            <w:tcW w:w="1263" w:type="dxa"/>
            <w:noWrap/>
            <w:vAlign w:val="center"/>
          </w:tcPr>
          <w:p w:rsidR="004D2142" w:rsidRDefault="004D2142" w:rsidP="0096146B">
            <w:pPr>
              <w:jc w:val="center"/>
              <w:rPr>
                <w:sz w:val="22"/>
                <w:szCs w:val="22"/>
              </w:rPr>
            </w:pPr>
            <w:r>
              <w:rPr>
                <w:sz w:val="22"/>
                <w:szCs w:val="22"/>
              </w:rPr>
              <w:t>--</w:t>
            </w:r>
          </w:p>
        </w:tc>
        <w:tc>
          <w:tcPr>
            <w:tcW w:w="2039" w:type="dxa"/>
            <w:noWrap/>
            <w:vAlign w:val="center"/>
          </w:tcPr>
          <w:p w:rsidR="004D2142" w:rsidRDefault="004D2142" w:rsidP="0096146B">
            <w:pPr>
              <w:jc w:val="center"/>
              <w:rPr>
                <w:bCs/>
                <w:sz w:val="22"/>
                <w:szCs w:val="22"/>
              </w:rPr>
            </w:pPr>
            <w:r>
              <w:rPr>
                <w:bCs/>
                <w:sz w:val="22"/>
                <w:szCs w:val="22"/>
              </w:rPr>
              <w:t>$5,600</w:t>
            </w:r>
          </w:p>
        </w:tc>
      </w:tr>
    </w:tbl>
    <w:p w:rsidR="004D2142" w:rsidRDefault="004D2142" w:rsidP="004D2142">
      <w:pPr>
        <w:rPr>
          <w:sz w:val="23"/>
          <w:szCs w:val="23"/>
          <w:vertAlign w:val="superscript"/>
        </w:rPr>
      </w:pPr>
    </w:p>
    <w:p w:rsidR="000D76B8" w:rsidRDefault="000D76B8" w:rsidP="000D76B8">
      <w:pPr>
        <w:rPr>
          <w:sz w:val="22"/>
          <w:szCs w:val="22"/>
        </w:rPr>
      </w:pPr>
      <w:r>
        <w:rPr>
          <w:sz w:val="22"/>
          <w:szCs w:val="22"/>
        </w:rPr>
        <w:t xml:space="preserve">Note:  </w:t>
      </w:r>
      <w:r w:rsidR="00793E32" w:rsidRPr="008515C2">
        <w:rPr>
          <w:sz w:val="22"/>
          <w:szCs w:val="22"/>
        </w:rPr>
        <w:t xml:space="preserve">For private non-profit grantees and </w:t>
      </w:r>
      <w:proofErr w:type="gramStart"/>
      <w:r w:rsidR="00793E32" w:rsidRPr="008515C2">
        <w:rPr>
          <w:sz w:val="22"/>
          <w:szCs w:val="22"/>
        </w:rPr>
        <w:t>Federally-recognized</w:t>
      </w:r>
      <w:proofErr w:type="gramEnd"/>
      <w:r w:rsidR="00793E32" w:rsidRPr="008515C2">
        <w:rPr>
          <w:sz w:val="22"/>
          <w:szCs w:val="22"/>
        </w:rPr>
        <w:t xml:space="preserve"> tribes, the hourly rate is the average hourly earnings in the civic and social organizations industry, CES code 80313400 (March 2014, CES survey, U.S. Census Bureau, </w:t>
      </w:r>
      <w:hyperlink r:id="rId13" w:history="1">
        <w:r w:rsidR="00793E32" w:rsidRPr="008515C2">
          <w:rPr>
            <w:rStyle w:val="Hyperlink"/>
            <w:sz w:val="22"/>
            <w:szCs w:val="22"/>
          </w:rPr>
          <w:t>http://data.bls.gov/PDQ/outside.jsp?survey=ce</w:t>
        </w:r>
      </w:hyperlink>
      <w:r w:rsidR="00793E32" w:rsidRPr="008515C2">
        <w:rPr>
          <w:sz w:val="22"/>
          <w:szCs w:val="22"/>
        </w:rPr>
        <w:t>)</w:t>
      </w:r>
      <w:r w:rsidR="00793E32">
        <w:rPr>
          <w:sz w:val="22"/>
          <w:szCs w:val="22"/>
        </w:rPr>
        <w:t>.</w:t>
      </w:r>
      <w:r w:rsidR="00793E32" w:rsidRPr="008515C2">
        <w:rPr>
          <w:sz w:val="22"/>
          <w:szCs w:val="22"/>
        </w:rPr>
        <w:t xml:space="preserve">  For state, county, and U.S. territory government grantees, the hourly rate is the estimated average hourly earnings for employees in the administration of economic programs industry, NAICS code 926110 (CY 2013, Quarterly Census of Employment and Wages, Bureau of Labor Statistics, </w:t>
      </w:r>
      <w:hyperlink r:id="rId14" w:history="1">
        <w:r w:rsidR="00793E32" w:rsidRPr="008515C2">
          <w:rPr>
            <w:rStyle w:val="Hyperlink"/>
            <w:sz w:val="22"/>
            <w:szCs w:val="22"/>
          </w:rPr>
          <w:t>http://data.bls.gov/pdq/querytool.jsp?survey=en</w:t>
        </w:r>
      </w:hyperlink>
      <w:r w:rsidR="00793E32" w:rsidRPr="008515C2">
        <w:rPr>
          <w:sz w:val="22"/>
          <w:szCs w:val="22"/>
        </w:rPr>
        <w:t>).</w:t>
      </w:r>
    </w:p>
    <w:p w:rsidR="00A40CB5" w:rsidRDefault="00A40CB5" w:rsidP="000D76B8">
      <w:pPr>
        <w:rPr>
          <w:sz w:val="22"/>
          <w:szCs w:val="22"/>
        </w:rPr>
      </w:pPr>
    </w:p>
    <w:p w:rsidR="00A40CB5" w:rsidRDefault="00A40CB5" w:rsidP="000D76B8">
      <w:pPr>
        <w:rPr>
          <w:sz w:val="22"/>
          <w:szCs w:val="22"/>
        </w:rPr>
      </w:pPr>
      <w:r>
        <w:rPr>
          <w:sz w:val="22"/>
          <w:szCs w:val="22"/>
        </w:rPr>
        <w:t>Table 7 provides the total burden for this information collection, broken out by type of respondent.</w:t>
      </w:r>
    </w:p>
    <w:p w:rsidR="00B228CA" w:rsidRDefault="00B228CA" w:rsidP="00B401EB">
      <w:pPr>
        <w:jc w:val="center"/>
        <w:rPr>
          <w:b/>
          <w:sz w:val="22"/>
          <w:szCs w:val="22"/>
        </w:rPr>
      </w:pPr>
    </w:p>
    <w:p w:rsidR="00B401EB" w:rsidRPr="00426339" w:rsidRDefault="00B401EB" w:rsidP="00B401EB">
      <w:pPr>
        <w:jc w:val="center"/>
        <w:rPr>
          <w:sz w:val="22"/>
          <w:szCs w:val="22"/>
        </w:rPr>
      </w:pPr>
      <w:r w:rsidRPr="00F44BA4">
        <w:rPr>
          <w:b/>
          <w:sz w:val="22"/>
          <w:szCs w:val="22"/>
        </w:rPr>
        <w:t xml:space="preserve">Table </w:t>
      </w:r>
      <w:r w:rsidR="00A62CB2" w:rsidRPr="00F44BA4">
        <w:rPr>
          <w:b/>
          <w:sz w:val="22"/>
          <w:szCs w:val="22"/>
        </w:rPr>
        <w:t>7</w:t>
      </w:r>
      <w:r w:rsidRPr="00F44BA4">
        <w:rPr>
          <w:b/>
          <w:sz w:val="22"/>
          <w:szCs w:val="22"/>
        </w:rPr>
        <w:t xml:space="preserve"> – Disaggregated Summary Calculation of Annual Burden for NFJP and SCSEP Grantees</w:t>
      </w:r>
    </w:p>
    <w:p w:rsidR="00B401EB" w:rsidRPr="00426339" w:rsidRDefault="00B401EB" w:rsidP="00B401EB">
      <w:pPr>
        <w:rPr>
          <w:sz w:val="22"/>
          <w:szCs w:val="22"/>
        </w:rPr>
      </w:pPr>
    </w:p>
    <w:tbl>
      <w:tblPr>
        <w:tblStyle w:val="TableGrid"/>
        <w:tblW w:w="10260" w:type="dxa"/>
        <w:tblInd w:w="-342" w:type="dxa"/>
        <w:tblLayout w:type="fixed"/>
        <w:tblLook w:val="04A0" w:firstRow="1" w:lastRow="0" w:firstColumn="1" w:lastColumn="0" w:noHBand="0" w:noVBand="1"/>
      </w:tblPr>
      <w:tblGrid>
        <w:gridCol w:w="1800"/>
        <w:gridCol w:w="1530"/>
        <w:gridCol w:w="990"/>
        <w:gridCol w:w="990"/>
        <w:gridCol w:w="900"/>
        <w:gridCol w:w="990"/>
        <w:gridCol w:w="900"/>
        <w:gridCol w:w="900"/>
        <w:gridCol w:w="1260"/>
      </w:tblGrid>
      <w:tr w:rsidR="00DB79D4" w:rsidRPr="00E86D48" w:rsidTr="00FD4172">
        <w:tc>
          <w:tcPr>
            <w:tcW w:w="1800" w:type="dxa"/>
          </w:tcPr>
          <w:p w:rsidR="00B401EB" w:rsidRPr="00691A19" w:rsidRDefault="00B401EB" w:rsidP="00A50B00">
            <w:pPr>
              <w:rPr>
                <w:b/>
                <w:i/>
                <w:sz w:val="22"/>
                <w:szCs w:val="22"/>
              </w:rPr>
            </w:pPr>
            <w:proofErr w:type="spellStart"/>
            <w:r>
              <w:rPr>
                <w:b/>
                <w:i/>
                <w:sz w:val="22"/>
                <w:szCs w:val="22"/>
              </w:rPr>
              <w:t>Respont</w:t>
            </w:r>
            <w:proofErr w:type="spellEnd"/>
            <w:r>
              <w:rPr>
                <w:b/>
                <w:i/>
                <w:sz w:val="22"/>
                <w:szCs w:val="22"/>
              </w:rPr>
              <w:t xml:space="preserve"> Type</w:t>
            </w:r>
            <w:r w:rsidR="00DF7F2E">
              <w:rPr>
                <w:b/>
                <w:i/>
                <w:sz w:val="22"/>
                <w:szCs w:val="22"/>
              </w:rPr>
              <w:t xml:space="preserve"> and </w:t>
            </w:r>
            <w:r w:rsidR="00DF7F2E" w:rsidRPr="00691A19">
              <w:rPr>
                <w:b/>
                <w:i/>
                <w:sz w:val="22"/>
                <w:szCs w:val="22"/>
              </w:rPr>
              <w:t>Grant Program</w:t>
            </w:r>
          </w:p>
        </w:tc>
        <w:tc>
          <w:tcPr>
            <w:tcW w:w="1530" w:type="dxa"/>
          </w:tcPr>
          <w:p w:rsidR="00B401EB" w:rsidRPr="00691A19" w:rsidRDefault="00B401EB" w:rsidP="00A50B00">
            <w:pPr>
              <w:rPr>
                <w:b/>
                <w:i/>
                <w:sz w:val="22"/>
                <w:szCs w:val="22"/>
              </w:rPr>
            </w:pPr>
            <w:r w:rsidRPr="00691A19">
              <w:rPr>
                <w:b/>
                <w:i/>
                <w:sz w:val="22"/>
                <w:szCs w:val="22"/>
              </w:rPr>
              <w:t>No. of Grantees (Respondents)</w:t>
            </w:r>
          </w:p>
        </w:tc>
        <w:tc>
          <w:tcPr>
            <w:tcW w:w="990" w:type="dxa"/>
          </w:tcPr>
          <w:p w:rsidR="00B401EB" w:rsidRPr="00691A19" w:rsidRDefault="00B401EB" w:rsidP="00A50B00">
            <w:pPr>
              <w:rPr>
                <w:b/>
                <w:i/>
                <w:sz w:val="22"/>
                <w:szCs w:val="22"/>
              </w:rPr>
            </w:pPr>
            <w:r w:rsidRPr="00691A19">
              <w:rPr>
                <w:b/>
                <w:i/>
                <w:sz w:val="22"/>
                <w:szCs w:val="22"/>
              </w:rPr>
              <w:t>Reports per year per Grantee</w:t>
            </w:r>
          </w:p>
        </w:tc>
        <w:tc>
          <w:tcPr>
            <w:tcW w:w="990" w:type="dxa"/>
          </w:tcPr>
          <w:p w:rsidR="00B401EB" w:rsidRPr="00691A19" w:rsidRDefault="00B401EB" w:rsidP="00A50B00">
            <w:pPr>
              <w:rPr>
                <w:b/>
                <w:i/>
                <w:sz w:val="22"/>
                <w:szCs w:val="22"/>
              </w:rPr>
            </w:pPr>
            <w:r w:rsidRPr="00691A19">
              <w:rPr>
                <w:b/>
                <w:i/>
                <w:sz w:val="22"/>
                <w:szCs w:val="22"/>
              </w:rPr>
              <w:t>Total Annual Reports</w:t>
            </w:r>
          </w:p>
        </w:tc>
        <w:tc>
          <w:tcPr>
            <w:tcW w:w="900" w:type="dxa"/>
          </w:tcPr>
          <w:p w:rsidR="00B401EB" w:rsidRPr="00691A19" w:rsidRDefault="00B401EB" w:rsidP="00A50B00">
            <w:pPr>
              <w:rPr>
                <w:b/>
                <w:i/>
                <w:sz w:val="22"/>
                <w:szCs w:val="22"/>
              </w:rPr>
            </w:pPr>
            <w:r w:rsidRPr="00691A19">
              <w:rPr>
                <w:b/>
                <w:i/>
                <w:sz w:val="22"/>
                <w:szCs w:val="22"/>
              </w:rPr>
              <w:t>Hours per Report</w:t>
            </w:r>
          </w:p>
        </w:tc>
        <w:tc>
          <w:tcPr>
            <w:tcW w:w="990" w:type="dxa"/>
          </w:tcPr>
          <w:p w:rsidR="00B401EB" w:rsidRPr="00691A19" w:rsidRDefault="00B401EB" w:rsidP="00A50B00">
            <w:pPr>
              <w:rPr>
                <w:b/>
                <w:i/>
                <w:sz w:val="22"/>
                <w:szCs w:val="22"/>
              </w:rPr>
            </w:pPr>
            <w:r w:rsidRPr="00691A19">
              <w:rPr>
                <w:b/>
                <w:i/>
                <w:sz w:val="22"/>
                <w:szCs w:val="22"/>
              </w:rPr>
              <w:t>Hours per Grantee</w:t>
            </w:r>
          </w:p>
        </w:tc>
        <w:tc>
          <w:tcPr>
            <w:tcW w:w="900" w:type="dxa"/>
          </w:tcPr>
          <w:p w:rsidR="00B401EB" w:rsidRPr="00691A19" w:rsidRDefault="00B401EB" w:rsidP="00A50B00">
            <w:pPr>
              <w:rPr>
                <w:b/>
                <w:i/>
                <w:sz w:val="22"/>
                <w:szCs w:val="22"/>
              </w:rPr>
            </w:pPr>
            <w:r w:rsidRPr="00691A19">
              <w:rPr>
                <w:b/>
                <w:i/>
                <w:sz w:val="22"/>
                <w:szCs w:val="22"/>
              </w:rPr>
              <w:t>Total Hours</w:t>
            </w:r>
          </w:p>
        </w:tc>
        <w:tc>
          <w:tcPr>
            <w:tcW w:w="900" w:type="dxa"/>
          </w:tcPr>
          <w:p w:rsidR="00B401EB" w:rsidRPr="00691A19" w:rsidRDefault="00B401EB" w:rsidP="00A50B00">
            <w:pPr>
              <w:rPr>
                <w:b/>
                <w:i/>
                <w:sz w:val="22"/>
                <w:szCs w:val="22"/>
              </w:rPr>
            </w:pPr>
            <w:r w:rsidRPr="00691A19">
              <w:rPr>
                <w:b/>
                <w:i/>
                <w:sz w:val="22"/>
                <w:szCs w:val="22"/>
              </w:rPr>
              <w:t>Rate in $/hr</w:t>
            </w:r>
            <w:r w:rsidR="00F760F5">
              <w:rPr>
                <w:b/>
                <w:i/>
                <w:sz w:val="22"/>
                <w:szCs w:val="22"/>
              </w:rPr>
              <w:t>.</w:t>
            </w:r>
          </w:p>
        </w:tc>
        <w:tc>
          <w:tcPr>
            <w:tcW w:w="1260" w:type="dxa"/>
          </w:tcPr>
          <w:p w:rsidR="00B401EB" w:rsidRPr="00E86D48" w:rsidRDefault="00B401EB" w:rsidP="00A50B00">
            <w:pPr>
              <w:rPr>
                <w:b/>
                <w:i/>
                <w:sz w:val="22"/>
                <w:szCs w:val="22"/>
              </w:rPr>
            </w:pPr>
            <w:r>
              <w:rPr>
                <w:b/>
                <w:i/>
                <w:sz w:val="22"/>
                <w:szCs w:val="22"/>
              </w:rPr>
              <w:t>Monetized Value</w:t>
            </w:r>
          </w:p>
        </w:tc>
      </w:tr>
      <w:tr w:rsidR="00FD4172" w:rsidRPr="00800615" w:rsidTr="00FD4172">
        <w:tc>
          <w:tcPr>
            <w:tcW w:w="1800" w:type="dxa"/>
          </w:tcPr>
          <w:p w:rsidR="0097594B" w:rsidRPr="00C3005F" w:rsidRDefault="00A038C5" w:rsidP="00A50B00">
            <w:pPr>
              <w:rPr>
                <w:b/>
                <w:sz w:val="22"/>
                <w:szCs w:val="22"/>
              </w:rPr>
            </w:pPr>
            <w:r>
              <w:rPr>
                <w:sz w:val="22"/>
                <w:szCs w:val="22"/>
              </w:rPr>
              <w:t>State, Local, and Tribal Governments</w:t>
            </w:r>
          </w:p>
        </w:tc>
        <w:tc>
          <w:tcPr>
            <w:tcW w:w="1530" w:type="dxa"/>
            <w:vAlign w:val="bottom"/>
          </w:tcPr>
          <w:p w:rsidR="0097594B" w:rsidRPr="00C3005F" w:rsidRDefault="0097594B" w:rsidP="00A038C5">
            <w:pPr>
              <w:jc w:val="right"/>
              <w:rPr>
                <w:b/>
                <w:sz w:val="22"/>
                <w:szCs w:val="22"/>
              </w:rPr>
            </w:pPr>
            <w:r>
              <w:rPr>
                <w:sz w:val="22"/>
                <w:szCs w:val="22"/>
              </w:rPr>
              <w:t>5</w:t>
            </w:r>
            <w:r w:rsidR="00A038C5">
              <w:rPr>
                <w:sz w:val="22"/>
                <w:szCs w:val="22"/>
              </w:rPr>
              <w:t>6</w:t>
            </w:r>
          </w:p>
        </w:tc>
        <w:tc>
          <w:tcPr>
            <w:tcW w:w="990" w:type="dxa"/>
            <w:vAlign w:val="bottom"/>
          </w:tcPr>
          <w:p w:rsidR="0097594B" w:rsidRPr="00C3005F" w:rsidRDefault="0097594B" w:rsidP="00A50B00">
            <w:pPr>
              <w:jc w:val="right"/>
              <w:rPr>
                <w:b/>
                <w:sz w:val="22"/>
                <w:szCs w:val="22"/>
              </w:rPr>
            </w:pPr>
            <w:r>
              <w:rPr>
                <w:sz w:val="22"/>
                <w:szCs w:val="22"/>
              </w:rPr>
              <w:t>4</w:t>
            </w:r>
          </w:p>
        </w:tc>
        <w:tc>
          <w:tcPr>
            <w:tcW w:w="990" w:type="dxa"/>
            <w:vAlign w:val="bottom"/>
          </w:tcPr>
          <w:p w:rsidR="0097594B" w:rsidRPr="00A038C5" w:rsidRDefault="00A038C5" w:rsidP="00127CF9">
            <w:pPr>
              <w:jc w:val="right"/>
              <w:rPr>
                <w:sz w:val="22"/>
                <w:szCs w:val="22"/>
              </w:rPr>
            </w:pPr>
            <w:r w:rsidRPr="00A038C5">
              <w:rPr>
                <w:sz w:val="22"/>
                <w:szCs w:val="22"/>
              </w:rPr>
              <w:t>444</w:t>
            </w:r>
          </w:p>
        </w:tc>
        <w:tc>
          <w:tcPr>
            <w:tcW w:w="900" w:type="dxa"/>
            <w:vAlign w:val="bottom"/>
          </w:tcPr>
          <w:p w:rsidR="0097594B" w:rsidRPr="00C3005F" w:rsidRDefault="0097594B" w:rsidP="00A50B00">
            <w:pPr>
              <w:jc w:val="right"/>
              <w:rPr>
                <w:b/>
                <w:sz w:val="22"/>
                <w:szCs w:val="22"/>
              </w:rPr>
            </w:pPr>
            <w:r>
              <w:rPr>
                <w:sz w:val="22"/>
                <w:szCs w:val="22"/>
              </w:rPr>
              <w:t>Varies</w:t>
            </w:r>
          </w:p>
        </w:tc>
        <w:tc>
          <w:tcPr>
            <w:tcW w:w="990" w:type="dxa"/>
            <w:vAlign w:val="bottom"/>
          </w:tcPr>
          <w:p w:rsidR="0097594B" w:rsidRPr="00C3005F" w:rsidRDefault="0097594B" w:rsidP="00A50B00">
            <w:pPr>
              <w:jc w:val="right"/>
              <w:rPr>
                <w:b/>
                <w:sz w:val="22"/>
                <w:szCs w:val="22"/>
              </w:rPr>
            </w:pPr>
            <w:r>
              <w:rPr>
                <w:sz w:val="22"/>
                <w:szCs w:val="22"/>
              </w:rPr>
              <w:t>Varies</w:t>
            </w:r>
          </w:p>
        </w:tc>
        <w:tc>
          <w:tcPr>
            <w:tcW w:w="900" w:type="dxa"/>
            <w:vAlign w:val="bottom"/>
          </w:tcPr>
          <w:p w:rsidR="0097594B" w:rsidRPr="002B0577" w:rsidRDefault="002B0577" w:rsidP="00A50B00">
            <w:pPr>
              <w:jc w:val="right"/>
              <w:rPr>
                <w:sz w:val="22"/>
                <w:szCs w:val="22"/>
              </w:rPr>
            </w:pPr>
            <w:r w:rsidRPr="002B0577">
              <w:rPr>
                <w:sz w:val="22"/>
                <w:szCs w:val="22"/>
              </w:rPr>
              <w:t>51,358</w:t>
            </w:r>
          </w:p>
        </w:tc>
        <w:tc>
          <w:tcPr>
            <w:tcW w:w="900" w:type="dxa"/>
            <w:vAlign w:val="bottom"/>
          </w:tcPr>
          <w:p w:rsidR="0097594B" w:rsidRPr="00C3005F" w:rsidRDefault="0097594B" w:rsidP="00A50B00">
            <w:pPr>
              <w:jc w:val="right"/>
              <w:rPr>
                <w:b/>
                <w:sz w:val="22"/>
                <w:szCs w:val="22"/>
              </w:rPr>
            </w:pPr>
            <w:r>
              <w:rPr>
                <w:sz w:val="22"/>
                <w:szCs w:val="22"/>
              </w:rPr>
              <w:t>$</w:t>
            </w:r>
            <w:r w:rsidR="00793E32">
              <w:rPr>
                <w:sz w:val="22"/>
                <w:szCs w:val="22"/>
              </w:rPr>
              <w:t>25.73</w:t>
            </w:r>
          </w:p>
        </w:tc>
        <w:tc>
          <w:tcPr>
            <w:tcW w:w="1260" w:type="dxa"/>
            <w:vAlign w:val="bottom"/>
          </w:tcPr>
          <w:p w:rsidR="0097594B" w:rsidRPr="00C3005F" w:rsidRDefault="0097594B" w:rsidP="0023274A">
            <w:pPr>
              <w:jc w:val="right"/>
              <w:rPr>
                <w:b/>
                <w:sz w:val="22"/>
                <w:szCs w:val="22"/>
              </w:rPr>
            </w:pPr>
            <w:r>
              <w:rPr>
                <w:sz w:val="22"/>
                <w:szCs w:val="22"/>
              </w:rPr>
              <w:t>$</w:t>
            </w:r>
            <w:r w:rsidR="00793E32">
              <w:rPr>
                <w:sz w:val="22"/>
                <w:szCs w:val="22"/>
              </w:rPr>
              <w:t>1,321,441</w:t>
            </w:r>
          </w:p>
        </w:tc>
      </w:tr>
      <w:tr w:rsidR="009D438C" w:rsidRPr="009D6886" w:rsidTr="00FD4172">
        <w:tc>
          <w:tcPr>
            <w:tcW w:w="1800" w:type="dxa"/>
          </w:tcPr>
          <w:p w:rsidR="008E069B" w:rsidRPr="00494398" w:rsidRDefault="008E069B" w:rsidP="008E069B">
            <w:pPr>
              <w:rPr>
                <w:i/>
                <w:sz w:val="20"/>
                <w:szCs w:val="20"/>
              </w:rPr>
            </w:pPr>
            <w:r w:rsidRPr="00494398">
              <w:rPr>
                <w:i/>
                <w:sz w:val="20"/>
                <w:szCs w:val="20"/>
              </w:rPr>
              <w:t xml:space="preserve">WIA Title IB, </w:t>
            </w:r>
          </w:p>
          <w:p w:rsidR="008E069B" w:rsidRPr="00494398" w:rsidRDefault="008E069B" w:rsidP="008E069B">
            <w:pPr>
              <w:rPr>
                <w:i/>
                <w:sz w:val="20"/>
                <w:szCs w:val="20"/>
              </w:rPr>
            </w:pPr>
            <w:r w:rsidRPr="00494398">
              <w:rPr>
                <w:i/>
                <w:sz w:val="20"/>
                <w:szCs w:val="20"/>
              </w:rPr>
              <w:t>Wagner-Peyser, and TAA</w:t>
            </w:r>
          </w:p>
        </w:tc>
        <w:tc>
          <w:tcPr>
            <w:tcW w:w="1530" w:type="dxa"/>
            <w:vAlign w:val="bottom"/>
          </w:tcPr>
          <w:p w:rsidR="008E069B" w:rsidRPr="00494398" w:rsidRDefault="00AB3E0C" w:rsidP="00A50B00">
            <w:pPr>
              <w:jc w:val="right"/>
              <w:rPr>
                <w:i/>
                <w:sz w:val="20"/>
                <w:szCs w:val="20"/>
              </w:rPr>
            </w:pPr>
            <w:r w:rsidRPr="00494398">
              <w:rPr>
                <w:i/>
                <w:sz w:val="20"/>
                <w:szCs w:val="20"/>
              </w:rPr>
              <w:t>53</w:t>
            </w:r>
          </w:p>
        </w:tc>
        <w:tc>
          <w:tcPr>
            <w:tcW w:w="990" w:type="dxa"/>
            <w:vAlign w:val="bottom"/>
          </w:tcPr>
          <w:p w:rsidR="008E069B" w:rsidRPr="00494398" w:rsidRDefault="00F40B31" w:rsidP="00A50B00">
            <w:pPr>
              <w:jc w:val="right"/>
              <w:rPr>
                <w:i/>
                <w:sz w:val="20"/>
                <w:szCs w:val="20"/>
              </w:rPr>
            </w:pPr>
            <w:r w:rsidRPr="00494398">
              <w:rPr>
                <w:i/>
                <w:sz w:val="20"/>
                <w:szCs w:val="20"/>
              </w:rPr>
              <w:t>4</w:t>
            </w:r>
          </w:p>
        </w:tc>
        <w:tc>
          <w:tcPr>
            <w:tcW w:w="990" w:type="dxa"/>
            <w:vAlign w:val="bottom"/>
          </w:tcPr>
          <w:p w:rsidR="008E069B" w:rsidRPr="00494398" w:rsidRDefault="00DB79D4" w:rsidP="00A50B00">
            <w:pPr>
              <w:jc w:val="right"/>
              <w:rPr>
                <w:i/>
                <w:sz w:val="20"/>
                <w:szCs w:val="20"/>
              </w:rPr>
            </w:pPr>
            <w:r w:rsidRPr="00494398">
              <w:rPr>
                <w:i/>
                <w:sz w:val="20"/>
                <w:szCs w:val="20"/>
              </w:rPr>
              <w:t>212</w:t>
            </w:r>
          </w:p>
        </w:tc>
        <w:tc>
          <w:tcPr>
            <w:tcW w:w="900" w:type="dxa"/>
            <w:vAlign w:val="bottom"/>
          </w:tcPr>
          <w:p w:rsidR="008E069B" w:rsidRPr="00494398" w:rsidRDefault="00C565C6" w:rsidP="00A50B00">
            <w:pPr>
              <w:jc w:val="right"/>
              <w:rPr>
                <w:i/>
                <w:sz w:val="20"/>
                <w:szCs w:val="20"/>
              </w:rPr>
            </w:pPr>
            <w:r w:rsidRPr="00494398">
              <w:rPr>
                <w:i/>
                <w:sz w:val="20"/>
                <w:szCs w:val="20"/>
              </w:rPr>
              <w:t>Varies</w:t>
            </w:r>
          </w:p>
        </w:tc>
        <w:tc>
          <w:tcPr>
            <w:tcW w:w="990" w:type="dxa"/>
            <w:vAlign w:val="bottom"/>
          </w:tcPr>
          <w:p w:rsidR="008E069B" w:rsidRPr="00494398" w:rsidRDefault="00F760F5" w:rsidP="00A50B00">
            <w:pPr>
              <w:jc w:val="right"/>
              <w:rPr>
                <w:i/>
                <w:sz w:val="20"/>
                <w:szCs w:val="20"/>
              </w:rPr>
            </w:pPr>
            <w:r w:rsidRPr="00494398">
              <w:rPr>
                <w:i/>
                <w:sz w:val="20"/>
                <w:szCs w:val="20"/>
              </w:rPr>
              <w:t>Varies</w:t>
            </w:r>
          </w:p>
        </w:tc>
        <w:tc>
          <w:tcPr>
            <w:tcW w:w="900" w:type="dxa"/>
            <w:vAlign w:val="bottom"/>
          </w:tcPr>
          <w:p w:rsidR="008E069B" w:rsidRPr="00494398" w:rsidRDefault="00DB79D4" w:rsidP="00A50B00">
            <w:pPr>
              <w:jc w:val="right"/>
              <w:rPr>
                <w:i/>
                <w:sz w:val="20"/>
                <w:szCs w:val="20"/>
              </w:rPr>
            </w:pPr>
            <w:r w:rsidRPr="00494398">
              <w:rPr>
                <w:i/>
                <w:sz w:val="20"/>
                <w:szCs w:val="20"/>
              </w:rPr>
              <w:t>41,970</w:t>
            </w:r>
          </w:p>
        </w:tc>
        <w:tc>
          <w:tcPr>
            <w:tcW w:w="900" w:type="dxa"/>
            <w:vAlign w:val="bottom"/>
          </w:tcPr>
          <w:p w:rsidR="008E069B" w:rsidRPr="00494398" w:rsidRDefault="00F760F5" w:rsidP="00A50B00">
            <w:pPr>
              <w:jc w:val="right"/>
              <w:rPr>
                <w:i/>
                <w:sz w:val="20"/>
                <w:szCs w:val="20"/>
              </w:rPr>
            </w:pPr>
            <w:r w:rsidRPr="00494398">
              <w:rPr>
                <w:i/>
                <w:sz w:val="20"/>
                <w:szCs w:val="20"/>
              </w:rPr>
              <w:t>$</w:t>
            </w:r>
            <w:r w:rsidR="00793E32">
              <w:rPr>
                <w:i/>
                <w:sz w:val="20"/>
                <w:szCs w:val="20"/>
              </w:rPr>
              <w:t>25.73</w:t>
            </w:r>
          </w:p>
        </w:tc>
        <w:tc>
          <w:tcPr>
            <w:tcW w:w="1260" w:type="dxa"/>
            <w:vAlign w:val="bottom"/>
          </w:tcPr>
          <w:p w:rsidR="008E069B" w:rsidRPr="00494398" w:rsidRDefault="009D438C" w:rsidP="00FD4172">
            <w:pPr>
              <w:jc w:val="right"/>
              <w:rPr>
                <w:i/>
                <w:sz w:val="20"/>
                <w:szCs w:val="20"/>
              </w:rPr>
            </w:pPr>
            <w:r w:rsidRPr="00494398">
              <w:rPr>
                <w:i/>
                <w:sz w:val="20"/>
                <w:szCs w:val="20"/>
              </w:rPr>
              <w:t>$</w:t>
            </w:r>
            <w:r w:rsidR="00793E32">
              <w:rPr>
                <w:i/>
                <w:sz w:val="20"/>
                <w:szCs w:val="20"/>
              </w:rPr>
              <w:t>1,079,888</w:t>
            </w:r>
          </w:p>
        </w:tc>
      </w:tr>
      <w:tr w:rsidR="00CA0B23" w:rsidRPr="009D6886" w:rsidTr="00FD4172">
        <w:tc>
          <w:tcPr>
            <w:tcW w:w="1800" w:type="dxa"/>
          </w:tcPr>
          <w:p w:rsidR="00B401EB" w:rsidRPr="00494398" w:rsidRDefault="005A618C" w:rsidP="005A618C">
            <w:pPr>
              <w:rPr>
                <w:b/>
                <w:i/>
                <w:sz w:val="20"/>
                <w:szCs w:val="20"/>
              </w:rPr>
            </w:pPr>
            <w:r w:rsidRPr="00494398">
              <w:rPr>
                <w:i/>
                <w:sz w:val="20"/>
                <w:szCs w:val="20"/>
              </w:rPr>
              <w:t>NJFP</w:t>
            </w:r>
          </w:p>
        </w:tc>
        <w:tc>
          <w:tcPr>
            <w:tcW w:w="1530" w:type="dxa"/>
            <w:vAlign w:val="bottom"/>
          </w:tcPr>
          <w:p w:rsidR="00B401EB" w:rsidRPr="00494398" w:rsidRDefault="006F53F3" w:rsidP="00A50B00">
            <w:pPr>
              <w:jc w:val="right"/>
              <w:rPr>
                <w:i/>
                <w:sz w:val="20"/>
                <w:szCs w:val="20"/>
              </w:rPr>
            </w:pPr>
            <w:r w:rsidRPr="00494398">
              <w:rPr>
                <w:i/>
                <w:sz w:val="20"/>
                <w:szCs w:val="20"/>
              </w:rPr>
              <w:t>2</w:t>
            </w:r>
          </w:p>
        </w:tc>
        <w:tc>
          <w:tcPr>
            <w:tcW w:w="990" w:type="dxa"/>
            <w:vAlign w:val="bottom"/>
          </w:tcPr>
          <w:p w:rsidR="00B401EB" w:rsidRPr="00494398" w:rsidRDefault="006F53F3" w:rsidP="00A50B00">
            <w:pPr>
              <w:jc w:val="right"/>
              <w:rPr>
                <w:i/>
                <w:sz w:val="20"/>
                <w:szCs w:val="20"/>
              </w:rPr>
            </w:pPr>
            <w:r w:rsidRPr="00494398">
              <w:rPr>
                <w:i/>
                <w:sz w:val="20"/>
                <w:szCs w:val="20"/>
              </w:rPr>
              <w:t>4</w:t>
            </w:r>
          </w:p>
        </w:tc>
        <w:tc>
          <w:tcPr>
            <w:tcW w:w="990" w:type="dxa"/>
            <w:vAlign w:val="bottom"/>
          </w:tcPr>
          <w:p w:rsidR="00B401EB" w:rsidRPr="00494398" w:rsidRDefault="006F53F3" w:rsidP="00A50B00">
            <w:pPr>
              <w:jc w:val="right"/>
              <w:rPr>
                <w:i/>
                <w:sz w:val="20"/>
                <w:szCs w:val="20"/>
              </w:rPr>
            </w:pPr>
            <w:r w:rsidRPr="00494398">
              <w:rPr>
                <w:i/>
                <w:sz w:val="20"/>
                <w:szCs w:val="20"/>
              </w:rPr>
              <w:t>8</w:t>
            </w:r>
          </w:p>
        </w:tc>
        <w:tc>
          <w:tcPr>
            <w:tcW w:w="900" w:type="dxa"/>
            <w:vAlign w:val="bottom"/>
          </w:tcPr>
          <w:p w:rsidR="00B401EB" w:rsidRPr="00494398" w:rsidRDefault="006F53F3" w:rsidP="00A14ED1">
            <w:pPr>
              <w:jc w:val="right"/>
              <w:rPr>
                <w:i/>
                <w:sz w:val="20"/>
                <w:szCs w:val="20"/>
              </w:rPr>
            </w:pPr>
            <w:r w:rsidRPr="00494398">
              <w:rPr>
                <w:i/>
                <w:sz w:val="20"/>
                <w:szCs w:val="20"/>
              </w:rPr>
              <w:t>39.</w:t>
            </w:r>
            <w:r w:rsidR="00A14ED1" w:rsidRPr="00494398">
              <w:rPr>
                <w:i/>
                <w:sz w:val="20"/>
                <w:szCs w:val="20"/>
              </w:rPr>
              <w:t>5</w:t>
            </w:r>
          </w:p>
        </w:tc>
        <w:tc>
          <w:tcPr>
            <w:tcW w:w="990" w:type="dxa"/>
            <w:vAlign w:val="bottom"/>
          </w:tcPr>
          <w:p w:rsidR="00B401EB" w:rsidRPr="00494398" w:rsidRDefault="006F53F3" w:rsidP="00A50B00">
            <w:pPr>
              <w:jc w:val="right"/>
              <w:rPr>
                <w:i/>
                <w:sz w:val="20"/>
                <w:szCs w:val="20"/>
              </w:rPr>
            </w:pPr>
            <w:r w:rsidRPr="00494398">
              <w:rPr>
                <w:i/>
                <w:sz w:val="20"/>
                <w:szCs w:val="20"/>
              </w:rPr>
              <w:t>158</w:t>
            </w:r>
          </w:p>
        </w:tc>
        <w:tc>
          <w:tcPr>
            <w:tcW w:w="900" w:type="dxa"/>
            <w:vAlign w:val="bottom"/>
          </w:tcPr>
          <w:p w:rsidR="00B401EB" w:rsidRPr="00494398" w:rsidRDefault="006F53F3" w:rsidP="00A50B00">
            <w:pPr>
              <w:jc w:val="right"/>
              <w:rPr>
                <w:i/>
                <w:sz w:val="20"/>
                <w:szCs w:val="20"/>
              </w:rPr>
            </w:pPr>
            <w:r w:rsidRPr="00494398">
              <w:rPr>
                <w:i/>
                <w:sz w:val="20"/>
                <w:szCs w:val="20"/>
              </w:rPr>
              <w:t>316</w:t>
            </w:r>
          </w:p>
        </w:tc>
        <w:tc>
          <w:tcPr>
            <w:tcW w:w="900" w:type="dxa"/>
            <w:vAlign w:val="bottom"/>
          </w:tcPr>
          <w:p w:rsidR="00B401EB" w:rsidRPr="00494398" w:rsidRDefault="0071473C" w:rsidP="00A14ED1">
            <w:pPr>
              <w:jc w:val="right"/>
              <w:rPr>
                <w:i/>
                <w:sz w:val="20"/>
                <w:szCs w:val="20"/>
              </w:rPr>
            </w:pPr>
            <w:r w:rsidRPr="00494398">
              <w:rPr>
                <w:i/>
                <w:sz w:val="20"/>
                <w:szCs w:val="20"/>
              </w:rPr>
              <w:t>$</w:t>
            </w:r>
            <w:r w:rsidR="00793E32">
              <w:rPr>
                <w:i/>
                <w:sz w:val="20"/>
                <w:szCs w:val="20"/>
              </w:rPr>
              <w:t>25.73</w:t>
            </w:r>
          </w:p>
        </w:tc>
        <w:tc>
          <w:tcPr>
            <w:tcW w:w="1260" w:type="dxa"/>
            <w:vAlign w:val="bottom"/>
          </w:tcPr>
          <w:p w:rsidR="00B401EB" w:rsidRPr="00494398" w:rsidRDefault="00A14ED1" w:rsidP="00A50B00">
            <w:pPr>
              <w:jc w:val="right"/>
              <w:rPr>
                <w:i/>
                <w:sz w:val="20"/>
                <w:szCs w:val="20"/>
              </w:rPr>
            </w:pPr>
            <w:r w:rsidRPr="00494398">
              <w:rPr>
                <w:i/>
                <w:sz w:val="20"/>
                <w:szCs w:val="20"/>
              </w:rPr>
              <w:t>$</w:t>
            </w:r>
            <w:r w:rsidR="00793E32">
              <w:rPr>
                <w:i/>
                <w:sz w:val="20"/>
                <w:szCs w:val="20"/>
              </w:rPr>
              <w:t>8.131</w:t>
            </w:r>
          </w:p>
        </w:tc>
      </w:tr>
      <w:tr w:rsidR="00CA0B23" w:rsidRPr="009D6886" w:rsidTr="00FD4172">
        <w:tc>
          <w:tcPr>
            <w:tcW w:w="1800" w:type="dxa"/>
          </w:tcPr>
          <w:p w:rsidR="00B401EB" w:rsidRPr="00494398" w:rsidRDefault="0086561C" w:rsidP="0086561C">
            <w:pPr>
              <w:rPr>
                <w:i/>
                <w:sz w:val="20"/>
                <w:szCs w:val="20"/>
              </w:rPr>
            </w:pPr>
            <w:r w:rsidRPr="00494398">
              <w:rPr>
                <w:i/>
                <w:sz w:val="20"/>
                <w:szCs w:val="20"/>
              </w:rPr>
              <w:t>SCSEP</w:t>
            </w:r>
          </w:p>
        </w:tc>
        <w:tc>
          <w:tcPr>
            <w:tcW w:w="1530" w:type="dxa"/>
            <w:vAlign w:val="bottom"/>
          </w:tcPr>
          <w:p w:rsidR="00B401EB" w:rsidRPr="00494398" w:rsidRDefault="00A14ED1" w:rsidP="00A50B00">
            <w:pPr>
              <w:jc w:val="right"/>
              <w:rPr>
                <w:i/>
                <w:sz w:val="20"/>
                <w:szCs w:val="20"/>
              </w:rPr>
            </w:pPr>
            <w:r w:rsidRPr="00494398">
              <w:rPr>
                <w:i/>
                <w:sz w:val="20"/>
                <w:szCs w:val="20"/>
              </w:rPr>
              <w:t>56</w:t>
            </w:r>
          </w:p>
        </w:tc>
        <w:tc>
          <w:tcPr>
            <w:tcW w:w="990" w:type="dxa"/>
            <w:vAlign w:val="bottom"/>
          </w:tcPr>
          <w:p w:rsidR="00B401EB" w:rsidRPr="00494398" w:rsidRDefault="00A14ED1" w:rsidP="00A50B00">
            <w:pPr>
              <w:jc w:val="right"/>
              <w:rPr>
                <w:i/>
                <w:sz w:val="20"/>
                <w:szCs w:val="20"/>
              </w:rPr>
            </w:pPr>
            <w:r w:rsidRPr="00494398">
              <w:rPr>
                <w:i/>
                <w:sz w:val="20"/>
                <w:szCs w:val="20"/>
              </w:rPr>
              <w:t>4</w:t>
            </w:r>
          </w:p>
        </w:tc>
        <w:tc>
          <w:tcPr>
            <w:tcW w:w="990" w:type="dxa"/>
            <w:vAlign w:val="bottom"/>
          </w:tcPr>
          <w:p w:rsidR="00B401EB" w:rsidRPr="00494398" w:rsidRDefault="00A14ED1" w:rsidP="00A50B00">
            <w:pPr>
              <w:jc w:val="right"/>
              <w:rPr>
                <w:i/>
                <w:sz w:val="20"/>
                <w:szCs w:val="20"/>
              </w:rPr>
            </w:pPr>
            <w:r w:rsidRPr="00494398">
              <w:rPr>
                <w:i/>
                <w:sz w:val="20"/>
                <w:szCs w:val="20"/>
              </w:rPr>
              <w:t>224</w:t>
            </w:r>
          </w:p>
        </w:tc>
        <w:tc>
          <w:tcPr>
            <w:tcW w:w="900" w:type="dxa"/>
            <w:vAlign w:val="bottom"/>
          </w:tcPr>
          <w:p w:rsidR="00B401EB" w:rsidRPr="00494398" w:rsidRDefault="00A14ED1" w:rsidP="00A50B00">
            <w:pPr>
              <w:jc w:val="right"/>
              <w:rPr>
                <w:i/>
                <w:sz w:val="20"/>
                <w:szCs w:val="20"/>
              </w:rPr>
            </w:pPr>
            <w:r w:rsidRPr="00494398">
              <w:rPr>
                <w:i/>
                <w:sz w:val="20"/>
                <w:szCs w:val="20"/>
              </w:rPr>
              <w:t>40.5</w:t>
            </w:r>
          </w:p>
        </w:tc>
        <w:tc>
          <w:tcPr>
            <w:tcW w:w="990" w:type="dxa"/>
            <w:vAlign w:val="bottom"/>
          </w:tcPr>
          <w:p w:rsidR="00B401EB" w:rsidRPr="00494398" w:rsidRDefault="00E615C9" w:rsidP="00A50B00">
            <w:pPr>
              <w:jc w:val="right"/>
              <w:rPr>
                <w:i/>
                <w:sz w:val="20"/>
                <w:szCs w:val="20"/>
              </w:rPr>
            </w:pPr>
            <w:r w:rsidRPr="00494398">
              <w:rPr>
                <w:i/>
                <w:sz w:val="20"/>
                <w:szCs w:val="20"/>
              </w:rPr>
              <w:t>162</w:t>
            </w:r>
          </w:p>
        </w:tc>
        <w:tc>
          <w:tcPr>
            <w:tcW w:w="900" w:type="dxa"/>
            <w:vAlign w:val="bottom"/>
          </w:tcPr>
          <w:p w:rsidR="00B401EB" w:rsidRPr="00494398" w:rsidRDefault="00E615C9" w:rsidP="00A50B00">
            <w:pPr>
              <w:jc w:val="right"/>
              <w:rPr>
                <w:i/>
                <w:sz w:val="20"/>
                <w:szCs w:val="20"/>
              </w:rPr>
            </w:pPr>
            <w:r w:rsidRPr="00494398">
              <w:rPr>
                <w:i/>
                <w:sz w:val="20"/>
                <w:szCs w:val="20"/>
              </w:rPr>
              <w:t>9,072</w:t>
            </w:r>
          </w:p>
        </w:tc>
        <w:tc>
          <w:tcPr>
            <w:tcW w:w="900" w:type="dxa"/>
            <w:vAlign w:val="bottom"/>
          </w:tcPr>
          <w:p w:rsidR="00B401EB" w:rsidRPr="00494398" w:rsidRDefault="0071473C" w:rsidP="00A50B00">
            <w:pPr>
              <w:jc w:val="right"/>
              <w:rPr>
                <w:i/>
                <w:sz w:val="20"/>
                <w:szCs w:val="20"/>
              </w:rPr>
            </w:pPr>
            <w:r w:rsidRPr="00494398">
              <w:rPr>
                <w:i/>
                <w:sz w:val="20"/>
                <w:szCs w:val="20"/>
              </w:rPr>
              <w:t>$</w:t>
            </w:r>
            <w:r w:rsidR="00793E32">
              <w:rPr>
                <w:i/>
                <w:sz w:val="20"/>
                <w:szCs w:val="20"/>
              </w:rPr>
              <w:t>25.73</w:t>
            </w:r>
          </w:p>
        </w:tc>
        <w:tc>
          <w:tcPr>
            <w:tcW w:w="1260" w:type="dxa"/>
            <w:vAlign w:val="bottom"/>
          </w:tcPr>
          <w:p w:rsidR="00B401EB" w:rsidRPr="00494398" w:rsidRDefault="00E615C9" w:rsidP="00A50B00">
            <w:pPr>
              <w:jc w:val="right"/>
              <w:rPr>
                <w:i/>
                <w:sz w:val="20"/>
                <w:szCs w:val="20"/>
              </w:rPr>
            </w:pPr>
            <w:r w:rsidRPr="00494398">
              <w:rPr>
                <w:i/>
                <w:sz w:val="20"/>
                <w:szCs w:val="20"/>
              </w:rPr>
              <w:t>$</w:t>
            </w:r>
            <w:r w:rsidR="00793E32">
              <w:rPr>
                <w:i/>
                <w:sz w:val="20"/>
                <w:szCs w:val="20"/>
              </w:rPr>
              <w:t>233,423</w:t>
            </w:r>
          </w:p>
        </w:tc>
      </w:tr>
      <w:tr w:rsidR="009D438C" w:rsidRPr="00800615" w:rsidTr="00FD4172">
        <w:tc>
          <w:tcPr>
            <w:tcW w:w="1800" w:type="dxa"/>
          </w:tcPr>
          <w:p w:rsidR="00B401EB" w:rsidRPr="00494398" w:rsidRDefault="0071473C" w:rsidP="0071473C">
            <w:pPr>
              <w:rPr>
                <w:i/>
                <w:sz w:val="22"/>
                <w:szCs w:val="22"/>
              </w:rPr>
            </w:pPr>
            <w:r w:rsidRPr="00494398">
              <w:rPr>
                <w:sz w:val="22"/>
                <w:szCs w:val="22"/>
              </w:rPr>
              <w:t>Private Sector (Non-Profits)</w:t>
            </w:r>
          </w:p>
        </w:tc>
        <w:tc>
          <w:tcPr>
            <w:tcW w:w="1530" w:type="dxa"/>
            <w:vAlign w:val="bottom"/>
          </w:tcPr>
          <w:p w:rsidR="00B401EB" w:rsidRPr="00494398" w:rsidRDefault="00966F9B" w:rsidP="00674C62">
            <w:pPr>
              <w:jc w:val="right"/>
              <w:rPr>
                <w:sz w:val="22"/>
                <w:szCs w:val="22"/>
              </w:rPr>
            </w:pPr>
            <w:r>
              <w:rPr>
                <w:sz w:val="22"/>
                <w:szCs w:val="22"/>
              </w:rPr>
              <w:t>68</w:t>
            </w:r>
          </w:p>
        </w:tc>
        <w:tc>
          <w:tcPr>
            <w:tcW w:w="990" w:type="dxa"/>
            <w:vAlign w:val="bottom"/>
          </w:tcPr>
          <w:p w:rsidR="00B401EB" w:rsidRPr="00494398" w:rsidRDefault="00B401EB" w:rsidP="00494398">
            <w:pPr>
              <w:jc w:val="right"/>
              <w:rPr>
                <w:sz w:val="22"/>
                <w:szCs w:val="22"/>
              </w:rPr>
            </w:pPr>
          </w:p>
        </w:tc>
        <w:tc>
          <w:tcPr>
            <w:tcW w:w="990" w:type="dxa"/>
            <w:vAlign w:val="bottom"/>
          </w:tcPr>
          <w:p w:rsidR="00B401EB" w:rsidRPr="00494398" w:rsidRDefault="00966F9B" w:rsidP="00494398">
            <w:pPr>
              <w:jc w:val="right"/>
              <w:rPr>
                <w:sz w:val="22"/>
                <w:szCs w:val="22"/>
              </w:rPr>
            </w:pPr>
            <w:r>
              <w:rPr>
                <w:sz w:val="22"/>
                <w:szCs w:val="22"/>
              </w:rPr>
              <w:t>272</w:t>
            </w:r>
          </w:p>
        </w:tc>
        <w:tc>
          <w:tcPr>
            <w:tcW w:w="900" w:type="dxa"/>
            <w:vAlign w:val="bottom"/>
          </w:tcPr>
          <w:p w:rsidR="00B401EB" w:rsidRPr="00494398" w:rsidRDefault="0082451F" w:rsidP="00966F9B">
            <w:pPr>
              <w:jc w:val="right"/>
              <w:rPr>
                <w:sz w:val="22"/>
                <w:szCs w:val="22"/>
              </w:rPr>
            </w:pPr>
            <w:r>
              <w:rPr>
                <w:sz w:val="22"/>
                <w:szCs w:val="22"/>
              </w:rPr>
              <w:t>Varies</w:t>
            </w:r>
          </w:p>
        </w:tc>
        <w:tc>
          <w:tcPr>
            <w:tcW w:w="990" w:type="dxa"/>
            <w:vAlign w:val="bottom"/>
          </w:tcPr>
          <w:p w:rsidR="00B401EB" w:rsidRPr="00494398" w:rsidRDefault="0082451F" w:rsidP="0082451F">
            <w:pPr>
              <w:jc w:val="right"/>
              <w:rPr>
                <w:sz w:val="22"/>
                <w:szCs w:val="22"/>
              </w:rPr>
            </w:pPr>
            <w:r>
              <w:rPr>
                <w:sz w:val="22"/>
                <w:szCs w:val="22"/>
              </w:rPr>
              <w:t>Varies</w:t>
            </w:r>
          </w:p>
        </w:tc>
        <w:tc>
          <w:tcPr>
            <w:tcW w:w="900" w:type="dxa"/>
            <w:vAlign w:val="bottom"/>
          </w:tcPr>
          <w:p w:rsidR="00B401EB" w:rsidRPr="00494398" w:rsidRDefault="0082451F" w:rsidP="00CB4358">
            <w:pPr>
              <w:jc w:val="right"/>
              <w:rPr>
                <w:sz w:val="22"/>
                <w:szCs w:val="22"/>
              </w:rPr>
            </w:pPr>
            <w:r>
              <w:rPr>
                <w:sz w:val="22"/>
                <w:szCs w:val="22"/>
              </w:rPr>
              <w:t>1</w:t>
            </w:r>
            <w:r w:rsidR="00CB4358">
              <w:rPr>
                <w:sz w:val="22"/>
                <w:szCs w:val="22"/>
              </w:rPr>
              <w:t>0,816</w:t>
            </w:r>
          </w:p>
        </w:tc>
        <w:tc>
          <w:tcPr>
            <w:tcW w:w="900" w:type="dxa"/>
            <w:vAlign w:val="bottom"/>
          </w:tcPr>
          <w:p w:rsidR="00B401EB" w:rsidRPr="00494398" w:rsidRDefault="0082451F" w:rsidP="0082451F">
            <w:pPr>
              <w:jc w:val="right"/>
              <w:rPr>
                <w:sz w:val="22"/>
                <w:szCs w:val="22"/>
              </w:rPr>
            </w:pPr>
            <w:r>
              <w:rPr>
                <w:sz w:val="22"/>
                <w:szCs w:val="22"/>
              </w:rPr>
              <w:t>$</w:t>
            </w:r>
            <w:r w:rsidR="00793E32">
              <w:rPr>
                <w:sz w:val="22"/>
                <w:szCs w:val="22"/>
              </w:rPr>
              <w:t>17.55</w:t>
            </w:r>
          </w:p>
        </w:tc>
        <w:tc>
          <w:tcPr>
            <w:tcW w:w="1260" w:type="dxa"/>
            <w:vAlign w:val="bottom"/>
          </w:tcPr>
          <w:p w:rsidR="00B401EB" w:rsidRPr="00494398" w:rsidRDefault="0082451F" w:rsidP="00CB4358">
            <w:pPr>
              <w:jc w:val="right"/>
              <w:rPr>
                <w:sz w:val="22"/>
                <w:szCs w:val="22"/>
              </w:rPr>
            </w:pPr>
            <w:r>
              <w:rPr>
                <w:sz w:val="22"/>
                <w:szCs w:val="22"/>
              </w:rPr>
              <w:t>$</w:t>
            </w:r>
            <w:r w:rsidR="00793E32">
              <w:rPr>
                <w:sz w:val="22"/>
                <w:szCs w:val="22"/>
              </w:rPr>
              <w:t>189,821</w:t>
            </w:r>
          </w:p>
        </w:tc>
      </w:tr>
      <w:tr w:rsidR="00D90079" w:rsidRPr="009D6886" w:rsidTr="00A50B00">
        <w:tc>
          <w:tcPr>
            <w:tcW w:w="1800" w:type="dxa"/>
          </w:tcPr>
          <w:p w:rsidR="00D90079" w:rsidRPr="00494398" w:rsidRDefault="00D90079" w:rsidP="00A50B00">
            <w:pPr>
              <w:rPr>
                <w:b/>
                <w:i/>
                <w:sz w:val="18"/>
                <w:szCs w:val="18"/>
              </w:rPr>
            </w:pPr>
            <w:r w:rsidRPr="00494398">
              <w:rPr>
                <w:i/>
                <w:sz w:val="18"/>
                <w:szCs w:val="18"/>
              </w:rPr>
              <w:t>NJFP</w:t>
            </w:r>
          </w:p>
        </w:tc>
        <w:tc>
          <w:tcPr>
            <w:tcW w:w="1530" w:type="dxa"/>
            <w:vAlign w:val="bottom"/>
          </w:tcPr>
          <w:p w:rsidR="00D90079" w:rsidRPr="00494398" w:rsidRDefault="00D90079" w:rsidP="00A50B00">
            <w:pPr>
              <w:jc w:val="right"/>
              <w:rPr>
                <w:i/>
                <w:sz w:val="18"/>
                <w:szCs w:val="18"/>
              </w:rPr>
            </w:pPr>
            <w:r w:rsidRPr="00494398">
              <w:rPr>
                <w:i/>
                <w:sz w:val="18"/>
                <w:szCs w:val="18"/>
              </w:rPr>
              <w:t>50</w:t>
            </w:r>
          </w:p>
        </w:tc>
        <w:tc>
          <w:tcPr>
            <w:tcW w:w="990" w:type="dxa"/>
            <w:vAlign w:val="bottom"/>
          </w:tcPr>
          <w:p w:rsidR="00D90079" w:rsidRPr="00494398" w:rsidRDefault="00D90079" w:rsidP="00A50B00">
            <w:pPr>
              <w:jc w:val="right"/>
              <w:rPr>
                <w:i/>
                <w:sz w:val="18"/>
                <w:szCs w:val="18"/>
              </w:rPr>
            </w:pPr>
            <w:r w:rsidRPr="00494398">
              <w:rPr>
                <w:i/>
                <w:sz w:val="18"/>
                <w:szCs w:val="18"/>
              </w:rPr>
              <w:t>4</w:t>
            </w:r>
          </w:p>
        </w:tc>
        <w:tc>
          <w:tcPr>
            <w:tcW w:w="990" w:type="dxa"/>
            <w:vAlign w:val="bottom"/>
          </w:tcPr>
          <w:p w:rsidR="00D90079" w:rsidRPr="00494398" w:rsidRDefault="00D90079" w:rsidP="00A50B00">
            <w:pPr>
              <w:jc w:val="right"/>
              <w:rPr>
                <w:i/>
                <w:sz w:val="18"/>
                <w:szCs w:val="18"/>
              </w:rPr>
            </w:pPr>
            <w:r w:rsidRPr="00494398">
              <w:rPr>
                <w:i/>
                <w:sz w:val="18"/>
                <w:szCs w:val="18"/>
              </w:rPr>
              <w:t>200</w:t>
            </w:r>
          </w:p>
        </w:tc>
        <w:tc>
          <w:tcPr>
            <w:tcW w:w="900" w:type="dxa"/>
            <w:vAlign w:val="bottom"/>
          </w:tcPr>
          <w:p w:rsidR="00D90079" w:rsidRPr="00494398" w:rsidRDefault="00D90079" w:rsidP="00A50B00">
            <w:pPr>
              <w:jc w:val="right"/>
              <w:rPr>
                <w:i/>
                <w:sz w:val="18"/>
                <w:szCs w:val="18"/>
              </w:rPr>
            </w:pPr>
            <w:r w:rsidRPr="00494398">
              <w:rPr>
                <w:i/>
                <w:sz w:val="18"/>
                <w:szCs w:val="18"/>
              </w:rPr>
              <w:t>39.5</w:t>
            </w:r>
          </w:p>
        </w:tc>
        <w:tc>
          <w:tcPr>
            <w:tcW w:w="990" w:type="dxa"/>
            <w:vAlign w:val="bottom"/>
          </w:tcPr>
          <w:p w:rsidR="00D90079" w:rsidRPr="00494398" w:rsidRDefault="00D90079" w:rsidP="00A50B00">
            <w:pPr>
              <w:jc w:val="right"/>
              <w:rPr>
                <w:i/>
                <w:sz w:val="18"/>
                <w:szCs w:val="18"/>
              </w:rPr>
            </w:pPr>
            <w:r w:rsidRPr="00494398">
              <w:rPr>
                <w:i/>
                <w:sz w:val="18"/>
                <w:szCs w:val="18"/>
              </w:rPr>
              <w:t>158</w:t>
            </w:r>
          </w:p>
        </w:tc>
        <w:tc>
          <w:tcPr>
            <w:tcW w:w="900" w:type="dxa"/>
            <w:vAlign w:val="bottom"/>
          </w:tcPr>
          <w:p w:rsidR="00D90079" w:rsidRPr="00494398" w:rsidRDefault="00B61A63" w:rsidP="00A50B00">
            <w:pPr>
              <w:jc w:val="right"/>
              <w:rPr>
                <w:i/>
                <w:sz w:val="18"/>
                <w:szCs w:val="18"/>
              </w:rPr>
            </w:pPr>
            <w:r>
              <w:rPr>
                <w:i/>
                <w:sz w:val="18"/>
                <w:szCs w:val="18"/>
              </w:rPr>
              <w:t>7,900</w:t>
            </w:r>
          </w:p>
        </w:tc>
        <w:tc>
          <w:tcPr>
            <w:tcW w:w="900" w:type="dxa"/>
            <w:vAlign w:val="bottom"/>
          </w:tcPr>
          <w:p w:rsidR="00D90079" w:rsidRPr="00494398" w:rsidRDefault="00D90079" w:rsidP="00B67C77">
            <w:pPr>
              <w:jc w:val="right"/>
              <w:rPr>
                <w:i/>
                <w:sz w:val="18"/>
                <w:szCs w:val="18"/>
              </w:rPr>
            </w:pPr>
            <w:r w:rsidRPr="00494398">
              <w:rPr>
                <w:i/>
                <w:sz w:val="18"/>
                <w:szCs w:val="18"/>
              </w:rPr>
              <w:t>$</w:t>
            </w:r>
            <w:r w:rsidR="00793E32">
              <w:rPr>
                <w:i/>
                <w:sz w:val="18"/>
                <w:szCs w:val="18"/>
              </w:rPr>
              <w:t>17.55</w:t>
            </w:r>
          </w:p>
        </w:tc>
        <w:tc>
          <w:tcPr>
            <w:tcW w:w="1260" w:type="dxa"/>
            <w:vAlign w:val="bottom"/>
          </w:tcPr>
          <w:p w:rsidR="00D90079" w:rsidRPr="00494398" w:rsidRDefault="00674C62" w:rsidP="00B61A63">
            <w:pPr>
              <w:jc w:val="right"/>
              <w:rPr>
                <w:i/>
                <w:sz w:val="18"/>
                <w:szCs w:val="18"/>
              </w:rPr>
            </w:pPr>
            <w:r w:rsidRPr="00494398">
              <w:rPr>
                <w:i/>
                <w:sz w:val="18"/>
                <w:szCs w:val="18"/>
              </w:rPr>
              <w:t>$</w:t>
            </w:r>
            <w:r w:rsidR="00793E32">
              <w:rPr>
                <w:i/>
                <w:sz w:val="18"/>
                <w:szCs w:val="18"/>
              </w:rPr>
              <w:t>138,645</w:t>
            </w:r>
          </w:p>
        </w:tc>
      </w:tr>
      <w:tr w:rsidR="00D90079" w:rsidRPr="009D6886" w:rsidTr="00A50B00">
        <w:tc>
          <w:tcPr>
            <w:tcW w:w="1800" w:type="dxa"/>
          </w:tcPr>
          <w:p w:rsidR="00D90079" w:rsidRPr="00494398" w:rsidRDefault="00D90079" w:rsidP="00A50B00">
            <w:pPr>
              <w:rPr>
                <w:i/>
                <w:sz w:val="18"/>
                <w:szCs w:val="18"/>
              </w:rPr>
            </w:pPr>
            <w:r w:rsidRPr="00494398">
              <w:rPr>
                <w:i/>
                <w:sz w:val="18"/>
                <w:szCs w:val="18"/>
              </w:rPr>
              <w:t>SCSEP</w:t>
            </w:r>
          </w:p>
        </w:tc>
        <w:tc>
          <w:tcPr>
            <w:tcW w:w="1530" w:type="dxa"/>
            <w:vAlign w:val="bottom"/>
          </w:tcPr>
          <w:p w:rsidR="00D90079" w:rsidRPr="00494398" w:rsidRDefault="00674C62" w:rsidP="00A50B00">
            <w:pPr>
              <w:jc w:val="right"/>
              <w:rPr>
                <w:i/>
                <w:sz w:val="18"/>
                <w:szCs w:val="18"/>
              </w:rPr>
            </w:pPr>
            <w:r w:rsidRPr="00494398">
              <w:rPr>
                <w:i/>
                <w:sz w:val="18"/>
                <w:szCs w:val="18"/>
              </w:rPr>
              <w:t>18</w:t>
            </w:r>
          </w:p>
        </w:tc>
        <w:tc>
          <w:tcPr>
            <w:tcW w:w="990" w:type="dxa"/>
            <w:vAlign w:val="bottom"/>
          </w:tcPr>
          <w:p w:rsidR="00D90079" w:rsidRPr="00494398" w:rsidRDefault="00674C62" w:rsidP="00A50B00">
            <w:pPr>
              <w:jc w:val="right"/>
              <w:rPr>
                <w:i/>
                <w:sz w:val="18"/>
                <w:szCs w:val="18"/>
              </w:rPr>
            </w:pPr>
            <w:r w:rsidRPr="00494398">
              <w:rPr>
                <w:i/>
                <w:sz w:val="18"/>
                <w:szCs w:val="18"/>
              </w:rPr>
              <w:t>4</w:t>
            </w:r>
          </w:p>
        </w:tc>
        <w:tc>
          <w:tcPr>
            <w:tcW w:w="990" w:type="dxa"/>
            <w:vAlign w:val="bottom"/>
          </w:tcPr>
          <w:p w:rsidR="00D90079" w:rsidRPr="00494398" w:rsidRDefault="00B67C77" w:rsidP="00A50B00">
            <w:pPr>
              <w:jc w:val="right"/>
              <w:rPr>
                <w:i/>
                <w:sz w:val="18"/>
                <w:szCs w:val="18"/>
              </w:rPr>
            </w:pPr>
            <w:r w:rsidRPr="00494398">
              <w:rPr>
                <w:i/>
                <w:sz w:val="18"/>
                <w:szCs w:val="18"/>
              </w:rPr>
              <w:t>72</w:t>
            </w:r>
          </w:p>
        </w:tc>
        <w:tc>
          <w:tcPr>
            <w:tcW w:w="900" w:type="dxa"/>
            <w:vAlign w:val="bottom"/>
          </w:tcPr>
          <w:p w:rsidR="00D90079" w:rsidRPr="00494398" w:rsidRDefault="00B67C77" w:rsidP="00A50B00">
            <w:pPr>
              <w:jc w:val="right"/>
              <w:rPr>
                <w:i/>
                <w:sz w:val="18"/>
                <w:szCs w:val="18"/>
              </w:rPr>
            </w:pPr>
            <w:r w:rsidRPr="00494398">
              <w:rPr>
                <w:i/>
                <w:sz w:val="18"/>
                <w:szCs w:val="18"/>
              </w:rPr>
              <w:t>40.5</w:t>
            </w:r>
          </w:p>
        </w:tc>
        <w:tc>
          <w:tcPr>
            <w:tcW w:w="990" w:type="dxa"/>
            <w:vAlign w:val="bottom"/>
          </w:tcPr>
          <w:p w:rsidR="00D90079" w:rsidRPr="00494398" w:rsidRDefault="00B67C77" w:rsidP="00A50B00">
            <w:pPr>
              <w:jc w:val="right"/>
              <w:rPr>
                <w:i/>
                <w:sz w:val="18"/>
                <w:szCs w:val="18"/>
              </w:rPr>
            </w:pPr>
            <w:r w:rsidRPr="00494398">
              <w:rPr>
                <w:i/>
                <w:sz w:val="18"/>
                <w:szCs w:val="18"/>
              </w:rPr>
              <w:t>162</w:t>
            </w:r>
          </w:p>
        </w:tc>
        <w:tc>
          <w:tcPr>
            <w:tcW w:w="900" w:type="dxa"/>
            <w:vAlign w:val="bottom"/>
          </w:tcPr>
          <w:p w:rsidR="00D90079" w:rsidRPr="00494398" w:rsidRDefault="00B67C77" w:rsidP="00A50B00">
            <w:pPr>
              <w:jc w:val="right"/>
              <w:rPr>
                <w:i/>
                <w:sz w:val="18"/>
                <w:szCs w:val="18"/>
              </w:rPr>
            </w:pPr>
            <w:r w:rsidRPr="00494398">
              <w:rPr>
                <w:i/>
                <w:sz w:val="18"/>
                <w:szCs w:val="18"/>
              </w:rPr>
              <w:t>2,916</w:t>
            </w:r>
          </w:p>
        </w:tc>
        <w:tc>
          <w:tcPr>
            <w:tcW w:w="900" w:type="dxa"/>
            <w:vAlign w:val="bottom"/>
          </w:tcPr>
          <w:p w:rsidR="00D90079" w:rsidRPr="00494398" w:rsidRDefault="00D90079" w:rsidP="00A50B00">
            <w:pPr>
              <w:jc w:val="right"/>
              <w:rPr>
                <w:i/>
                <w:sz w:val="18"/>
                <w:szCs w:val="18"/>
              </w:rPr>
            </w:pPr>
            <w:r w:rsidRPr="00494398">
              <w:rPr>
                <w:i/>
                <w:sz w:val="18"/>
                <w:szCs w:val="18"/>
              </w:rPr>
              <w:t>$</w:t>
            </w:r>
            <w:r w:rsidR="00793E32">
              <w:rPr>
                <w:i/>
                <w:sz w:val="18"/>
                <w:szCs w:val="18"/>
              </w:rPr>
              <w:t>17.55</w:t>
            </w:r>
          </w:p>
        </w:tc>
        <w:tc>
          <w:tcPr>
            <w:tcW w:w="1260" w:type="dxa"/>
            <w:vAlign w:val="bottom"/>
          </w:tcPr>
          <w:p w:rsidR="00D90079" w:rsidRPr="00494398" w:rsidRDefault="0097594B" w:rsidP="00A50B00">
            <w:pPr>
              <w:jc w:val="right"/>
              <w:rPr>
                <w:i/>
                <w:sz w:val="18"/>
                <w:szCs w:val="18"/>
              </w:rPr>
            </w:pPr>
            <w:r w:rsidRPr="00494398">
              <w:rPr>
                <w:i/>
                <w:sz w:val="18"/>
                <w:szCs w:val="18"/>
              </w:rPr>
              <w:t>$</w:t>
            </w:r>
            <w:r w:rsidR="00793E32">
              <w:rPr>
                <w:i/>
                <w:sz w:val="18"/>
                <w:szCs w:val="18"/>
              </w:rPr>
              <w:t>51,176</w:t>
            </w:r>
          </w:p>
        </w:tc>
      </w:tr>
      <w:tr w:rsidR="009D438C" w:rsidTr="00251612">
        <w:tc>
          <w:tcPr>
            <w:tcW w:w="1800" w:type="dxa"/>
          </w:tcPr>
          <w:p w:rsidR="00B401EB" w:rsidRPr="00251612" w:rsidRDefault="00747E7B" w:rsidP="00D90079">
            <w:pPr>
              <w:rPr>
                <w:b/>
                <w:sz w:val="22"/>
                <w:szCs w:val="22"/>
              </w:rPr>
            </w:pPr>
            <w:r w:rsidRPr="00251612">
              <w:rPr>
                <w:b/>
                <w:sz w:val="22"/>
                <w:szCs w:val="22"/>
              </w:rPr>
              <w:t>Unduplicated Totals</w:t>
            </w:r>
          </w:p>
        </w:tc>
        <w:tc>
          <w:tcPr>
            <w:tcW w:w="1530" w:type="dxa"/>
            <w:vAlign w:val="bottom"/>
          </w:tcPr>
          <w:p w:rsidR="00B401EB" w:rsidRPr="00251612" w:rsidRDefault="00251612" w:rsidP="00966F9B">
            <w:pPr>
              <w:jc w:val="right"/>
              <w:rPr>
                <w:b/>
                <w:sz w:val="22"/>
                <w:szCs w:val="22"/>
              </w:rPr>
            </w:pPr>
            <w:r>
              <w:rPr>
                <w:b/>
                <w:sz w:val="22"/>
                <w:szCs w:val="22"/>
              </w:rPr>
              <w:t>1</w:t>
            </w:r>
            <w:r w:rsidR="00966F9B">
              <w:rPr>
                <w:b/>
                <w:sz w:val="22"/>
                <w:szCs w:val="22"/>
              </w:rPr>
              <w:t>21</w:t>
            </w:r>
          </w:p>
        </w:tc>
        <w:tc>
          <w:tcPr>
            <w:tcW w:w="990" w:type="dxa"/>
            <w:vAlign w:val="bottom"/>
          </w:tcPr>
          <w:p w:rsidR="00B401EB" w:rsidRPr="00251612" w:rsidRDefault="00966F9B" w:rsidP="00251612">
            <w:pPr>
              <w:jc w:val="right"/>
              <w:rPr>
                <w:b/>
                <w:sz w:val="22"/>
                <w:szCs w:val="22"/>
              </w:rPr>
            </w:pPr>
            <w:r>
              <w:rPr>
                <w:b/>
                <w:sz w:val="22"/>
                <w:szCs w:val="22"/>
              </w:rPr>
              <w:t>4</w:t>
            </w:r>
          </w:p>
        </w:tc>
        <w:tc>
          <w:tcPr>
            <w:tcW w:w="990" w:type="dxa"/>
            <w:vAlign w:val="bottom"/>
          </w:tcPr>
          <w:p w:rsidR="00B401EB" w:rsidRPr="00251612" w:rsidRDefault="00930857" w:rsidP="00BB4C30">
            <w:pPr>
              <w:jc w:val="right"/>
              <w:rPr>
                <w:b/>
                <w:sz w:val="22"/>
                <w:szCs w:val="22"/>
              </w:rPr>
            </w:pPr>
            <w:r>
              <w:rPr>
                <w:b/>
                <w:sz w:val="22"/>
                <w:szCs w:val="22"/>
              </w:rPr>
              <w:t>716</w:t>
            </w:r>
          </w:p>
        </w:tc>
        <w:tc>
          <w:tcPr>
            <w:tcW w:w="900" w:type="dxa"/>
            <w:vAlign w:val="bottom"/>
          </w:tcPr>
          <w:p w:rsidR="00B401EB" w:rsidRPr="00251612" w:rsidRDefault="00BB4C30" w:rsidP="00BB4C30">
            <w:pPr>
              <w:jc w:val="right"/>
              <w:rPr>
                <w:b/>
                <w:sz w:val="22"/>
                <w:szCs w:val="22"/>
              </w:rPr>
            </w:pPr>
            <w:r>
              <w:rPr>
                <w:b/>
                <w:sz w:val="22"/>
                <w:szCs w:val="22"/>
              </w:rPr>
              <w:t>Varies</w:t>
            </w:r>
          </w:p>
        </w:tc>
        <w:tc>
          <w:tcPr>
            <w:tcW w:w="990" w:type="dxa"/>
            <w:vAlign w:val="bottom"/>
          </w:tcPr>
          <w:p w:rsidR="00B401EB" w:rsidRPr="00251612" w:rsidRDefault="00BB4C30" w:rsidP="00BB4C30">
            <w:pPr>
              <w:jc w:val="right"/>
              <w:rPr>
                <w:b/>
                <w:sz w:val="22"/>
                <w:szCs w:val="22"/>
              </w:rPr>
            </w:pPr>
            <w:r>
              <w:rPr>
                <w:b/>
                <w:sz w:val="22"/>
                <w:szCs w:val="22"/>
              </w:rPr>
              <w:t>Varies</w:t>
            </w:r>
          </w:p>
        </w:tc>
        <w:tc>
          <w:tcPr>
            <w:tcW w:w="900" w:type="dxa"/>
            <w:vAlign w:val="bottom"/>
          </w:tcPr>
          <w:p w:rsidR="00B401EB" w:rsidRPr="00251612" w:rsidRDefault="00C37E41" w:rsidP="00CB4358">
            <w:pPr>
              <w:jc w:val="right"/>
              <w:rPr>
                <w:b/>
                <w:sz w:val="22"/>
                <w:szCs w:val="22"/>
              </w:rPr>
            </w:pPr>
            <w:r>
              <w:rPr>
                <w:b/>
                <w:sz w:val="22"/>
                <w:szCs w:val="22"/>
              </w:rPr>
              <w:t>62,</w:t>
            </w:r>
            <w:r w:rsidR="00CB4358">
              <w:rPr>
                <w:b/>
                <w:sz w:val="22"/>
                <w:szCs w:val="22"/>
              </w:rPr>
              <w:t>174</w:t>
            </w:r>
          </w:p>
        </w:tc>
        <w:tc>
          <w:tcPr>
            <w:tcW w:w="900" w:type="dxa"/>
            <w:vAlign w:val="bottom"/>
          </w:tcPr>
          <w:p w:rsidR="00B401EB" w:rsidRPr="00251612" w:rsidRDefault="00C37E41" w:rsidP="00FD4172">
            <w:pPr>
              <w:jc w:val="right"/>
              <w:rPr>
                <w:b/>
                <w:sz w:val="22"/>
                <w:szCs w:val="22"/>
              </w:rPr>
            </w:pPr>
            <w:r>
              <w:rPr>
                <w:b/>
                <w:sz w:val="22"/>
                <w:szCs w:val="22"/>
              </w:rPr>
              <w:t>Varies</w:t>
            </w:r>
          </w:p>
        </w:tc>
        <w:tc>
          <w:tcPr>
            <w:tcW w:w="1260" w:type="dxa"/>
            <w:vAlign w:val="bottom"/>
          </w:tcPr>
          <w:p w:rsidR="00B401EB" w:rsidRPr="00251612" w:rsidRDefault="00C37E41" w:rsidP="00803BE3">
            <w:pPr>
              <w:jc w:val="right"/>
              <w:rPr>
                <w:b/>
                <w:sz w:val="22"/>
                <w:szCs w:val="22"/>
              </w:rPr>
            </w:pPr>
            <w:r>
              <w:rPr>
                <w:b/>
                <w:sz w:val="22"/>
                <w:szCs w:val="22"/>
              </w:rPr>
              <w:t>$</w:t>
            </w:r>
            <w:r w:rsidR="00793E32">
              <w:rPr>
                <w:b/>
                <w:sz w:val="22"/>
                <w:szCs w:val="22"/>
              </w:rPr>
              <w:t>1,511,262</w:t>
            </w:r>
          </w:p>
        </w:tc>
      </w:tr>
    </w:tbl>
    <w:p w:rsidR="00793E32" w:rsidRDefault="00793E32" w:rsidP="00DF7F2E">
      <w:pPr>
        <w:rPr>
          <w:b/>
        </w:rPr>
      </w:pPr>
    </w:p>
    <w:p w:rsidR="005205D2" w:rsidRDefault="005205D2">
      <w:pPr>
        <w:rPr>
          <w:b/>
        </w:rPr>
      </w:pPr>
      <w:r>
        <w:rPr>
          <w:b/>
        </w:rPr>
        <w:t xml:space="preserve">13. Estimated Cost to Respondents </w:t>
      </w:r>
    </w:p>
    <w:p w:rsidR="005205D2" w:rsidRDefault="005205D2">
      <w:pPr>
        <w:rPr>
          <w:bCs/>
        </w:rPr>
      </w:pPr>
    </w:p>
    <w:p w:rsidR="005205D2" w:rsidRDefault="00CF459D">
      <w:r>
        <w:t xml:space="preserve">The Agency associates no </w:t>
      </w:r>
      <w:r w:rsidR="004F5809">
        <w:t>burden with this collection beyond the value of respondent time</w:t>
      </w:r>
      <w:r w:rsidR="005205D2" w:rsidRPr="004E035C">
        <w:t xml:space="preserve">.  </w:t>
      </w:r>
    </w:p>
    <w:p w:rsidR="00E73889" w:rsidRDefault="00E73889">
      <w:pPr>
        <w:rPr>
          <w:bCs/>
        </w:rPr>
      </w:pPr>
    </w:p>
    <w:p w:rsidR="009465B7" w:rsidRDefault="009465B7">
      <w:pPr>
        <w:rPr>
          <w:bCs/>
        </w:rPr>
      </w:pPr>
    </w:p>
    <w:p w:rsidR="009465B7" w:rsidRDefault="009465B7">
      <w:pPr>
        <w:rPr>
          <w:bCs/>
        </w:rPr>
      </w:pPr>
    </w:p>
    <w:p w:rsidR="009465B7" w:rsidRDefault="009465B7">
      <w:pPr>
        <w:rPr>
          <w:bCs/>
        </w:rPr>
      </w:pPr>
    </w:p>
    <w:p w:rsidR="005205D2" w:rsidRDefault="005205D2">
      <w:pPr>
        <w:rPr>
          <w:b/>
        </w:rPr>
      </w:pPr>
      <w:r>
        <w:rPr>
          <w:b/>
        </w:rPr>
        <w:t>14. Cost to Federal Government</w:t>
      </w:r>
    </w:p>
    <w:p w:rsidR="005205D2" w:rsidRDefault="005205D2">
      <w:pPr>
        <w:rPr>
          <w:b/>
        </w:rPr>
      </w:pPr>
    </w:p>
    <w:p w:rsidR="000D76B8" w:rsidRDefault="005205D2">
      <w:r>
        <w:t xml:space="preserve">Federal costs are the staff and contractor costs required to </w:t>
      </w:r>
      <w:r w:rsidR="003763E6">
        <w:t>maintain</w:t>
      </w:r>
      <w:r>
        <w:t xml:space="preserve"> and manage data </w:t>
      </w:r>
      <w:r w:rsidR="003763E6">
        <w:t>validation as outlined in Table</w:t>
      </w:r>
      <w:r w:rsidR="001A6648">
        <w:t xml:space="preserve"> </w:t>
      </w:r>
      <w:r w:rsidR="00A50B00">
        <w:t>8</w:t>
      </w:r>
      <w:r>
        <w:t xml:space="preserve"> below.  The annual cost of contractor support to provide continual technical support to grantees and states and any needed updates to validation tools for W</w:t>
      </w:r>
      <w:r w:rsidR="000D76B8">
        <w:t>IA Title IB, Wagner-Peyser, TAA,</w:t>
      </w:r>
      <w:r>
        <w:t xml:space="preserve"> NFJP </w:t>
      </w:r>
      <w:r w:rsidR="000D76B8">
        <w:t xml:space="preserve">and SCSEP </w:t>
      </w:r>
      <w:r>
        <w:t>will total approximately $</w:t>
      </w:r>
      <w:r w:rsidR="00A50B00">
        <w:t>77</w:t>
      </w:r>
      <w:r w:rsidR="006C43D9">
        <w:t xml:space="preserve">5,000 </w:t>
      </w:r>
      <w:r w:rsidR="00A91598">
        <w:t>per</w:t>
      </w:r>
      <w:r w:rsidR="006C43D9">
        <w:t xml:space="preserve"> PY</w:t>
      </w:r>
      <w:r>
        <w:t xml:space="preserve">.  Costs for ETA staff to manage the data validation program will be </w:t>
      </w:r>
      <w:r w:rsidR="003763E6">
        <w:t>$</w:t>
      </w:r>
      <w:r w:rsidR="00936E0E">
        <w:t>7</w:t>
      </w:r>
      <w:r w:rsidR="00A50B00">
        <w:t>2,164</w:t>
      </w:r>
      <w:r>
        <w:t xml:space="preserve"> for continuing operations.</w:t>
      </w:r>
    </w:p>
    <w:p w:rsidR="000A7A45" w:rsidRDefault="000A7A45" w:rsidP="001E041B">
      <w:pPr>
        <w:pStyle w:val="Header"/>
        <w:tabs>
          <w:tab w:val="clear" w:pos="4320"/>
          <w:tab w:val="clear" w:pos="8640"/>
        </w:tabs>
      </w:pPr>
    </w:p>
    <w:p w:rsidR="005205D2" w:rsidRDefault="001A6648" w:rsidP="001E041B">
      <w:pPr>
        <w:pStyle w:val="Header"/>
        <w:tabs>
          <w:tab w:val="clear" w:pos="4320"/>
          <w:tab w:val="clear" w:pos="8640"/>
        </w:tabs>
        <w:rPr>
          <w:b/>
          <w:bCs/>
        </w:rPr>
      </w:pPr>
      <w:r>
        <w:rPr>
          <w:b/>
          <w:bCs/>
        </w:rPr>
        <w:t xml:space="preserve">Table </w:t>
      </w:r>
      <w:r w:rsidR="00B56804">
        <w:rPr>
          <w:b/>
          <w:bCs/>
        </w:rPr>
        <w:t>8</w:t>
      </w:r>
      <w:r w:rsidR="005205D2">
        <w:rPr>
          <w:b/>
          <w:bCs/>
        </w:rPr>
        <w:t xml:space="preserve"> - Cost of Data Validation to Federal Government</w:t>
      </w:r>
    </w:p>
    <w:p w:rsidR="006C43D9" w:rsidRPr="009A374D" w:rsidRDefault="006C43D9" w:rsidP="00641406">
      <w:pPr>
        <w:pStyle w:val="Header"/>
        <w:tabs>
          <w:tab w:val="clear" w:pos="4320"/>
          <w:tab w:val="clear" w:pos="8640"/>
        </w:tabs>
        <w:jc w:val="center"/>
        <w:rPr>
          <w:b/>
          <w:bCs/>
          <w:sz w:val="22"/>
          <w:szCs w:val="22"/>
        </w:rPr>
      </w:pPr>
    </w:p>
    <w:p w:rsidR="00641406" w:rsidRPr="009A374D" w:rsidRDefault="00641406" w:rsidP="00641406">
      <w:pPr>
        <w:pStyle w:val="Header"/>
        <w:tabs>
          <w:tab w:val="clear" w:pos="4320"/>
          <w:tab w:val="clear" w:pos="8640"/>
        </w:tabs>
        <w:jc w:val="center"/>
        <w:rPr>
          <w:b/>
          <w:bCs/>
          <w:sz w:val="22"/>
          <w:szCs w:val="22"/>
        </w:rPr>
      </w:pPr>
      <w:r w:rsidRPr="009A374D">
        <w:rPr>
          <w:b/>
          <w:bCs/>
          <w:sz w:val="22"/>
          <w:szCs w:val="22"/>
        </w:rPr>
        <w:t>Table 8 – Federal Cost</w:t>
      </w:r>
    </w:p>
    <w:p w:rsidR="00641406" w:rsidRPr="009A374D" w:rsidRDefault="00641406" w:rsidP="00641406">
      <w:pPr>
        <w:pStyle w:val="Header"/>
        <w:tabs>
          <w:tab w:val="clear" w:pos="4320"/>
          <w:tab w:val="clear" w:pos="8640"/>
        </w:tabs>
        <w:jc w:val="center"/>
        <w:rPr>
          <w:b/>
          <w:bCs/>
          <w:sz w:val="22"/>
          <w:szCs w:val="22"/>
        </w:rPr>
      </w:pPr>
    </w:p>
    <w:tbl>
      <w:tblPr>
        <w:tblW w:w="4984" w:type="dxa"/>
        <w:jc w:val="center"/>
        <w:tblInd w:w="92" w:type="dxa"/>
        <w:tblLook w:val="0000" w:firstRow="0" w:lastRow="0" w:firstColumn="0" w:lastColumn="0" w:noHBand="0" w:noVBand="0"/>
      </w:tblPr>
      <w:tblGrid>
        <w:gridCol w:w="2907"/>
        <w:gridCol w:w="2077"/>
      </w:tblGrid>
      <w:tr w:rsidR="006C43D9" w:rsidTr="00F847C6">
        <w:trPr>
          <w:cantSplit/>
          <w:trHeight w:val="1096"/>
          <w:jc w:val="center"/>
        </w:trPr>
        <w:tc>
          <w:tcPr>
            <w:tcW w:w="4984" w:type="dxa"/>
            <w:gridSpan w:val="2"/>
            <w:tcBorders>
              <w:top w:val="single" w:sz="8" w:space="0" w:color="auto"/>
              <w:left w:val="single" w:sz="8" w:space="0" w:color="auto"/>
              <w:bottom w:val="single" w:sz="8" w:space="0" w:color="auto"/>
              <w:right w:val="single" w:sz="8" w:space="0" w:color="auto"/>
            </w:tcBorders>
            <w:shd w:val="clear" w:color="auto" w:fill="C0C0C0"/>
            <w:vAlign w:val="center"/>
          </w:tcPr>
          <w:p w:rsidR="006C43D9" w:rsidRDefault="006C43D9" w:rsidP="00F847C6">
            <w:pPr>
              <w:jc w:val="center"/>
              <w:rPr>
                <w:b/>
                <w:bCs/>
                <w:sz w:val="22"/>
                <w:szCs w:val="22"/>
              </w:rPr>
            </w:pPr>
            <w:r>
              <w:rPr>
                <w:b/>
                <w:bCs/>
                <w:sz w:val="22"/>
                <w:szCs w:val="22"/>
              </w:rPr>
              <w:t xml:space="preserve">Continuing Operations                   </w:t>
            </w:r>
          </w:p>
          <w:p w:rsidR="006C43D9" w:rsidRDefault="006C43D9" w:rsidP="00F847C6">
            <w:pPr>
              <w:jc w:val="center"/>
              <w:rPr>
                <w:b/>
                <w:bCs/>
                <w:sz w:val="22"/>
                <w:szCs w:val="22"/>
              </w:rPr>
            </w:pPr>
            <w:r>
              <w:rPr>
                <w:b/>
                <w:bCs/>
                <w:sz w:val="22"/>
                <w:szCs w:val="22"/>
              </w:rPr>
              <w:t>(WIA Title IB, Wagner-Peyser,</w:t>
            </w:r>
          </w:p>
          <w:p w:rsidR="006C43D9" w:rsidRDefault="006C43D9" w:rsidP="00F847C6">
            <w:pPr>
              <w:jc w:val="center"/>
              <w:rPr>
                <w:b/>
                <w:bCs/>
                <w:sz w:val="22"/>
                <w:szCs w:val="22"/>
              </w:rPr>
            </w:pPr>
            <w:r>
              <w:rPr>
                <w:b/>
                <w:bCs/>
                <w:sz w:val="22"/>
                <w:szCs w:val="22"/>
              </w:rPr>
              <w:t>TAA, and NFJP</w:t>
            </w:r>
            <w:r w:rsidR="006E1304">
              <w:rPr>
                <w:b/>
                <w:bCs/>
                <w:sz w:val="22"/>
                <w:szCs w:val="22"/>
              </w:rPr>
              <w:t xml:space="preserve"> – per year</w:t>
            </w:r>
            <w:r>
              <w:rPr>
                <w:b/>
                <w:bCs/>
                <w:sz w:val="22"/>
                <w:szCs w:val="22"/>
              </w:rPr>
              <w:t>)</w:t>
            </w:r>
          </w:p>
        </w:tc>
      </w:tr>
      <w:tr w:rsidR="006C43D9" w:rsidTr="009A374D">
        <w:trPr>
          <w:cantSplit/>
          <w:trHeight w:val="268"/>
          <w:jc w:val="center"/>
        </w:trPr>
        <w:tc>
          <w:tcPr>
            <w:tcW w:w="2907" w:type="dxa"/>
            <w:tcBorders>
              <w:top w:val="nil"/>
              <w:left w:val="single" w:sz="8" w:space="0" w:color="auto"/>
              <w:bottom w:val="single" w:sz="8" w:space="0" w:color="auto"/>
              <w:right w:val="single" w:sz="8" w:space="0" w:color="auto"/>
            </w:tcBorders>
            <w:vAlign w:val="center"/>
          </w:tcPr>
          <w:p w:rsidR="006C43D9" w:rsidRDefault="006C43D9" w:rsidP="00EC3DF9">
            <w:pPr>
              <w:rPr>
                <w:b/>
                <w:sz w:val="22"/>
                <w:szCs w:val="22"/>
              </w:rPr>
            </w:pPr>
            <w:r>
              <w:rPr>
                <w:b/>
                <w:bCs/>
                <w:sz w:val="22"/>
                <w:szCs w:val="22"/>
              </w:rPr>
              <w:t>Contractor Support</w:t>
            </w:r>
          </w:p>
        </w:tc>
        <w:tc>
          <w:tcPr>
            <w:tcW w:w="2077" w:type="dxa"/>
            <w:tcBorders>
              <w:top w:val="nil"/>
              <w:left w:val="nil"/>
              <w:bottom w:val="single" w:sz="8" w:space="0" w:color="auto"/>
              <w:right w:val="single" w:sz="8" w:space="0" w:color="auto"/>
            </w:tcBorders>
            <w:vAlign w:val="center"/>
          </w:tcPr>
          <w:p w:rsidR="006C43D9" w:rsidRDefault="006C43D9" w:rsidP="000A7A45">
            <w:pPr>
              <w:jc w:val="right"/>
              <w:rPr>
                <w:b/>
                <w:sz w:val="22"/>
                <w:szCs w:val="22"/>
              </w:rPr>
            </w:pPr>
            <w:r>
              <w:rPr>
                <w:b/>
                <w:sz w:val="22"/>
                <w:szCs w:val="22"/>
              </w:rPr>
              <w:t>$</w:t>
            </w:r>
            <w:r w:rsidR="000A7A45">
              <w:rPr>
                <w:b/>
                <w:sz w:val="22"/>
                <w:szCs w:val="22"/>
              </w:rPr>
              <w:t>775</w:t>
            </w:r>
            <w:r>
              <w:rPr>
                <w:b/>
                <w:sz w:val="22"/>
                <w:szCs w:val="22"/>
              </w:rPr>
              <w:t>,000</w:t>
            </w:r>
          </w:p>
        </w:tc>
      </w:tr>
      <w:tr w:rsidR="006E1304" w:rsidTr="009A374D">
        <w:trPr>
          <w:cantSplit/>
          <w:trHeight w:val="268"/>
          <w:jc w:val="center"/>
        </w:trPr>
        <w:tc>
          <w:tcPr>
            <w:tcW w:w="2907" w:type="dxa"/>
            <w:tcBorders>
              <w:top w:val="nil"/>
              <w:left w:val="single" w:sz="8" w:space="0" w:color="auto"/>
              <w:bottom w:val="single" w:sz="8" w:space="0" w:color="auto"/>
              <w:right w:val="single" w:sz="8" w:space="0" w:color="auto"/>
            </w:tcBorders>
            <w:vAlign w:val="center"/>
          </w:tcPr>
          <w:p w:rsidR="006E1304" w:rsidRPr="006E1304" w:rsidRDefault="006E1304" w:rsidP="006E1304">
            <w:pPr>
              <w:ind w:left="314"/>
              <w:rPr>
                <w:bCs/>
                <w:sz w:val="22"/>
                <w:szCs w:val="22"/>
              </w:rPr>
            </w:pPr>
            <w:r w:rsidRPr="006E1304">
              <w:rPr>
                <w:bCs/>
                <w:sz w:val="22"/>
                <w:szCs w:val="22"/>
              </w:rPr>
              <w:t xml:space="preserve">Maintenance and   Upgrades </w:t>
            </w:r>
          </w:p>
        </w:tc>
        <w:tc>
          <w:tcPr>
            <w:tcW w:w="2077" w:type="dxa"/>
            <w:tcBorders>
              <w:top w:val="nil"/>
              <w:left w:val="nil"/>
              <w:bottom w:val="single" w:sz="8" w:space="0" w:color="auto"/>
              <w:right w:val="single" w:sz="8" w:space="0" w:color="auto"/>
            </w:tcBorders>
            <w:vAlign w:val="center"/>
          </w:tcPr>
          <w:p w:rsidR="006E1304" w:rsidRPr="006E1304" w:rsidRDefault="006E1304" w:rsidP="000A7A45">
            <w:pPr>
              <w:jc w:val="right"/>
              <w:rPr>
                <w:sz w:val="22"/>
                <w:szCs w:val="22"/>
              </w:rPr>
            </w:pPr>
            <w:r w:rsidRPr="006E1304">
              <w:rPr>
                <w:sz w:val="22"/>
                <w:szCs w:val="22"/>
              </w:rPr>
              <w:t>$500,000</w:t>
            </w:r>
          </w:p>
        </w:tc>
      </w:tr>
      <w:tr w:rsidR="006E1304" w:rsidTr="009A374D">
        <w:trPr>
          <w:cantSplit/>
          <w:trHeight w:val="268"/>
          <w:jc w:val="center"/>
        </w:trPr>
        <w:tc>
          <w:tcPr>
            <w:tcW w:w="2907" w:type="dxa"/>
            <w:tcBorders>
              <w:top w:val="nil"/>
              <w:left w:val="single" w:sz="8" w:space="0" w:color="auto"/>
              <w:bottom w:val="single" w:sz="8" w:space="0" w:color="auto"/>
              <w:right w:val="single" w:sz="8" w:space="0" w:color="auto"/>
            </w:tcBorders>
            <w:vAlign w:val="center"/>
          </w:tcPr>
          <w:p w:rsidR="006E1304" w:rsidRPr="006E1304" w:rsidRDefault="006E1304" w:rsidP="006E1304">
            <w:pPr>
              <w:ind w:left="314"/>
              <w:rPr>
                <w:bCs/>
                <w:sz w:val="22"/>
                <w:szCs w:val="22"/>
              </w:rPr>
            </w:pPr>
            <w:r w:rsidRPr="006E1304">
              <w:rPr>
                <w:bCs/>
                <w:sz w:val="22"/>
                <w:szCs w:val="22"/>
              </w:rPr>
              <w:t>Technical Assistance</w:t>
            </w:r>
          </w:p>
        </w:tc>
        <w:tc>
          <w:tcPr>
            <w:tcW w:w="2077" w:type="dxa"/>
            <w:tcBorders>
              <w:top w:val="nil"/>
              <w:left w:val="nil"/>
              <w:bottom w:val="single" w:sz="8" w:space="0" w:color="auto"/>
              <w:right w:val="single" w:sz="8" w:space="0" w:color="auto"/>
            </w:tcBorders>
            <w:vAlign w:val="center"/>
          </w:tcPr>
          <w:p w:rsidR="006E1304" w:rsidRPr="006E1304" w:rsidRDefault="006E1304" w:rsidP="000A7A45">
            <w:pPr>
              <w:jc w:val="right"/>
              <w:rPr>
                <w:sz w:val="22"/>
                <w:szCs w:val="22"/>
              </w:rPr>
            </w:pPr>
            <w:r w:rsidRPr="006E1304">
              <w:rPr>
                <w:sz w:val="22"/>
                <w:szCs w:val="22"/>
              </w:rPr>
              <w:t>$275,000</w:t>
            </w:r>
          </w:p>
        </w:tc>
      </w:tr>
      <w:tr w:rsidR="006C43D9" w:rsidTr="009A374D">
        <w:trPr>
          <w:cantSplit/>
          <w:trHeight w:val="250"/>
          <w:jc w:val="center"/>
        </w:trPr>
        <w:tc>
          <w:tcPr>
            <w:tcW w:w="2907" w:type="dxa"/>
            <w:tcBorders>
              <w:top w:val="nil"/>
              <w:left w:val="single" w:sz="8" w:space="0" w:color="auto"/>
              <w:bottom w:val="single" w:sz="8" w:space="0" w:color="auto"/>
              <w:right w:val="single" w:sz="8" w:space="0" w:color="auto"/>
            </w:tcBorders>
            <w:vAlign w:val="center"/>
          </w:tcPr>
          <w:p w:rsidR="006C43D9" w:rsidRDefault="006C43D9" w:rsidP="00EC3DF9">
            <w:pPr>
              <w:rPr>
                <w:b/>
                <w:bCs/>
                <w:sz w:val="22"/>
                <w:szCs w:val="22"/>
              </w:rPr>
            </w:pPr>
            <w:r>
              <w:rPr>
                <w:b/>
                <w:bCs/>
                <w:sz w:val="22"/>
                <w:szCs w:val="22"/>
              </w:rPr>
              <w:t>ETA Staff Total</w:t>
            </w:r>
          </w:p>
        </w:tc>
        <w:tc>
          <w:tcPr>
            <w:tcW w:w="2077" w:type="dxa"/>
            <w:tcBorders>
              <w:top w:val="nil"/>
              <w:left w:val="nil"/>
              <w:bottom w:val="single" w:sz="8" w:space="0" w:color="auto"/>
              <w:right w:val="single" w:sz="8" w:space="0" w:color="auto"/>
            </w:tcBorders>
            <w:vAlign w:val="center"/>
          </w:tcPr>
          <w:p w:rsidR="006C43D9" w:rsidRDefault="006C43D9" w:rsidP="000A7A45">
            <w:pPr>
              <w:jc w:val="right"/>
              <w:rPr>
                <w:b/>
                <w:sz w:val="22"/>
                <w:szCs w:val="22"/>
              </w:rPr>
            </w:pPr>
            <w:r>
              <w:rPr>
                <w:b/>
                <w:sz w:val="22"/>
                <w:szCs w:val="22"/>
              </w:rPr>
              <w:t>$</w:t>
            </w:r>
            <w:r w:rsidR="000A7A45">
              <w:rPr>
                <w:b/>
                <w:sz w:val="22"/>
                <w:szCs w:val="22"/>
              </w:rPr>
              <w:t>72,164</w:t>
            </w:r>
          </w:p>
        </w:tc>
      </w:tr>
      <w:tr w:rsidR="006C43D9" w:rsidTr="009A374D">
        <w:trPr>
          <w:cantSplit/>
          <w:trHeight w:val="250"/>
          <w:jc w:val="center"/>
        </w:trPr>
        <w:tc>
          <w:tcPr>
            <w:tcW w:w="2907" w:type="dxa"/>
            <w:tcBorders>
              <w:top w:val="nil"/>
              <w:left w:val="single" w:sz="8" w:space="0" w:color="auto"/>
              <w:bottom w:val="single" w:sz="8" w:space="0" w:color="auto"/>
              <w:right w:val="single" w:sz="8" w:space="0" w:color="auto"/>
            </w:tcBorders>
            <w:vAlign w:val="center"/>
          </w:tcPr>
          <w:p w:rsidR="006C43D9" w:rsidRDefault="006C43D9" w:rsidP="00EC3DF9">
            <w:pPr>
              <w:ind w:left="252"/>
              <w:rPr>
                <w:sz w:val="22"/>
                <w:szCs w:val="22"/>
              </w:rPr>
            </w:pPr>
            <w:r>
              <w:rPr>
                <w:sz w:val="22"/>
                <w:szCs w:val="22"/>
              </w:rPr>
              <w:t>1 GS-15 (1/8 time)</w:t>
            </w:r>
          </w:p>
        </w:tc>
        <w:tc>
          <w:tcPr>
            <w:tcW w:w="2077" w:type="dxa"/>
            <w:tcBorders>
              <w:top w:val="nil"/>
              <w:left w:val="nil"/>
              <w:bottom w:val="single" w:sz="8" w:space="0" w:color="auto"/>
              <w:right w:val="single" w:sz="8" w:space="0" w:color="auto"/>
            </w:tcBorders>
            <w:vAlign w:val="center"/>
          </w:tcPr>
          <w:p w:rsidR="006C43D9" w:rsidRDefault="00936E0E" w:rsidP="000A7A45">
            <w:pPr>
              <w:jc w:val="right"/>
              <w:rPr>
                <w:sz w:val="22"/>
                <w:szCs w:val="22"/>
              </w:rPr>
            </w:pPr>
            <w:r>
              <w:rPr>
                <w:sz w:val="22"/>
                <w:szCs w:val="22"/>
              </w:rPr>
              <w:t>$15</w:t>
            </w:r>
            <w:r w:rsidR="006C43D9">
              <w:rPr>
                <w:sz w:val="22"/>
                <w:szCs w:val="22"/>
              </w:rPr>
              <w:t>,</w:t>
            </w:r>
            <w:r w:rsidR="000A7A45">
              <w:rPr>
                <w:sz w:val="22"/>
                <w:szCs w:val="22"/>
              </w:rPr>
              <w:t>624</w:t>
            </w:r>
          </w:p>
        </w:tc>
      </w:tr>
      <w:tr w:rsidR="006C43D9" w:rsidTr="009A374D">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6C43D9" w:rsidRDefault="006C43D9" w:rsidP="00EC3DF9">
            <w:pPr>
              <w:ind w:left="252"/>
              <w:rPr>
                <w:sz w:val="22"/>
                <w:szCs w:val="22"/>
              </w:rPr>
            </w:pPr>
            <w:r>
              <w:rPr>
                <w:sz w:val="22"/>
                <w:szCs w:val="22"/>
              </w:rPr>
              <w:t>1 GS-14 (1/4 time)</w:t>
            </w:r>
          </w:p>
        </w:tc>
        <w:tc>
          <w:tcPr>
            <w:tcW w:w="2077" w:type="dxa"/>
            <w:tcBorders>
              <w:top w:val="nil"/>
              <w:left w:val="nil"/>
              <w:bottom w:val="single" w:sz="8" w:space="0" w:color="auto"/>
              <w:right w:val="single" w:sz="8" w:space="0" w:color="auto"/>
            </w:tcBorders>
            <w:vAlign w:val="center"/>
          </w:tcPr>
          <w:p w:rsidR="006C43D9" w:rsidRDefault="00936E0E" w:rsidP="000A7A45">
            <w:pPr>
              <w:jc w:val="right"/>
              <w:rPr>
                <w:sz w:val="22"/>
                <w:szCs w:val="22"/>
              </w:rPr>
            </w:pPr>
            <w:r>
              <w:rPr>
                <w:sz w:val="22"/>
                <w:szCs w:val="22"/>
              </w:rPr>
              <w:t>$26</w:t>
            </w:r>
            <w:r w:rsidR="006C43D9">
              <w:rPr>
                <w:sz w:val="22"/>
                <w:szCs w:val="22"/>
              </w:rPr>
              <w:t>,</w:t>
            </w:r>
            <w:r w:rsidR="000A7A45">
              <w:rPr>
                <w:sz w:val="22"/>
                <w:szCs w:val="22"/>
              </w:rPr>
              <w:t>566</w:t>
            </w:r>
          </w:p>
        </w:tc>
      </w:tr>
      <w:tr w:rsidR="006C43D9" w:rsidTr="009A374D">
        <w:trPr>
          <w:cantSplit/>
          <w:trHeight w:val="241"/>
          <w:jc w:val="center"/>
        </w:trPr>
        <w:tc>
          <w:tcPr>
            <w:tcW w:w="2907" w:type="dxa"/>
            <w:tcBorders>
              <w:top w:val="nil"/>
              <w:left w:val="single" w:sz="8" w:space="0" w:color="auto"/>
              <w:bottom w:val="single" w:sz="8" w:space="0" w:color="auto"/>
              <w:right w:val="single" w:sz="8" w:space="0" w:color="auto"/>
            </w:tcBorders>
            <w:vAlign w:val="center"/>
          </w:tcPr>
          <w:p w:rsidR="006C43D9" w:rsidRDefault="006C43D9" w:rsidP="000A7A45">
            <w:pPr>
              <w:ind w:left="252"/>
              <w:rPr>
                <w:sz w:val="22"/>
                <w:szCs w:val="22"/>
              </w:rPr>
            </w:pPr>
            <w:r>
              <w:rPr>
                <w:sz w:val="22"/>
                <w:szCs w:val="22"/>
              </w:rPr>
              <w:t>1 GS-</w:t>
            </w:r>
            <w:r w:rsidR="000A7A45">
              <w:rPr>
                <w:sz w:val="22"/>
                <w:szCs w:val="22"/>
              </w:rPr>
              <w:t xml:space="preserve">13 </w:t>
            </w:r>
            <w:r>
              <w:rPr>
                <w:sz w:val="22"/>
                <w:szCs w:val="22"/>
              </w:rPr>
              <w:t>(1/</w:t>
            </w:r>
            <w:r w:rsidR="000A7A45">
              <w:rPr>
                <w:sz w:val="22"/>
                <w:szCs w:val="22"/>
              </w:rPr>
              <w:t xml:space="preserve">3 </w:t>
            </w:r>
            <w:r>
              <w:rPr>
                <w:sz w:val="22"/>
                <w:szCs w:val="22"/>
              </w:rPr>
              <w:t>time)</w:t>
            </w:r>
          </w:p>
        </w:tc>
        <w:tc>
          <w:tcPr>
            <w:tcW w:w="2077" w:type="dxa"/>
            <w:tcBorders>
              <w:top w:val="nil"/>
              <w:left w:val="nil"/>
              <w:bottom w:val="single" w:sz="8" w:space="0" w:color="auto"/>
              <w:right w:val="single" w:sz="8" w:space="0" w:color="auto"/>
            </w:tcBorders>
            <w:vAlign w:val="center"/>
          </w:tcPr>
          <w:p w:rsidR="006C43D9" w:rsidRDefault="006C43D9" w:rsidP="000A7A45">
            <w:pPr>
              <w:jc w:val="right"/>
              <w:rPr>
                <w:sz w:val="22"/>
                <w:szCs w:val="22"/>
              </w:rPr>
            </w:pPr>
            <w:r>
              <w:rPr>
                <w:sz w:val="22"/>
                <w:szCs w:val="22"/>
              </w:rPr>
              <w:t>$</w:t>
            </w:r>
            <w:r w:rsidR="000A7A45">
              <w:rPr>
                <w:sz w:val="22"/>
                <w:szCs w:val="22"/>
              </w:rPr>
              <w:t>29,974</w:t>
            </w:r>
          </w:p>
        </w:tc>
      </w:tr>
      <w:tr w:rsidR="006C43D9" w:rsidTr="009A374D">
        <w:trPr>
          <w:cantSplit/>
          <w:trHeight w:val="232"/>
          <w:jc w:val="center"/>
        </w:trPr>
        <w:tc>
          <w:tcPr>
            <w:tcW w:w="2907" w:type="dxa"/>
            <w:tcBorders>
              <w:top w:val="nil"/>
              <w:left w:val="single" w:sz="8" w:space="0" w:color="auto"/>
              <w:bottom w:val="single" w:sz="8" w:space="0" w:color="auto"/>
              <w:right w:val="single" w:sz="8" w:space="0" w:color="auto"/>
            </w:tcBorders>
            <w:vAlign w:val="center"/>
          </w:tcPr>
          <w:p w:rsidR="006C43D9" w:rsidRDefault="006C43D9" w:rsidP="00EC3DF9">
            <w:pPr>
              <w:rPr>
                <w:b/>
                <w:bCs/>
                <w:sz w:val="22"/>
                <w:szCs w:val="22"/>
              </w:rPr>
            </w:pPr>
            <w:r>
              <w:rPr>
                <w:b/>
                <w:bCs/>
                <w:sz w:val="22"/>
                <w:szCs w:val="22"/>
              </w:rPr>
              <w:t>Total Cost</w:t>
            </w:r>
          </w:p>
        </w:tc>
        <w:tc>
          <w:tcPr>
            <w:tcW w:w="2077" w:type="dxa"/>
            <w:tcBorders>
              <w:top w:val="nil"/>
              <w:left w:val="nil"/>
              <w:bottom w:val="single" w:sz="8" w:space="0" w:color="auto"/>
              <w:right w:val="single" w:sz="8" w:space="0" w:color="auto"/>
            </w:tcBorders>
            <w:vAlign w:val="center"/>
          </w:tcPr>
          <w:p w:rsidR="006C43D9" w:rsidRDefault="006C43D9" w:rsidP="000A7A45">
            <w:pPr>
              <w:jc w:val="right"/>
              <w:rPr>
                <w:b/>
                <w:bCs/>
                <w:sz w:val="22"/>
                <w:szCs w:val="22"/>
              </w:rPr>
            </w:pPr>
            <w:r>
              <w:rPr>
                <w:b/>
                <w:bCs/>
                <w:sz w:val="22"/>
                <w:szCs w:val="22"/>
              </w:rPr>
              <w:t>$</w:t>
            </w:r>
            <w:r w:rsidR="000A7A45">
              <w:rPr>
                <w:b/>
                <w:bCs/>
                <w:sz w:val="22"/>
                <w:szCs w:val="22"/>
              </w:rPr>
              <w:t>847,164</w:t>
            </w:r>
          </w:p>
        </w:tc>
      </w:tr>
    </w:tbl>
    <w:p w:rsidR="006C43D9" w:rsidRDefault="006C43D9">
      <w:pPr>
        <w:pStyle w:val="Header"/>
        <w:tabs>
          <w:tab w:val="clear" w:pos="4320"/>
          <w:tab w:val="clear" w:pos="8640"/>
        </w:tabs>
        <w:jc w:val="center"/>
        <w:rPr>
          <w:b/>
          <w:bCs/>
        </w:rPr>
      </w:pPr>
    </w:p>
    <w:p w:rsidR="005205D2" w:rsidRDefault="005205D2">
      <w:pPr>
        <w:rPr>
          <w:sz w:val="22"/>
          <w:szCs w:val="22"/>
        </w:rPr>
      </w:pPr>
      <w:r>
        <w:rPr>
          <w:sz w:val="22"/>
          <w:szCs w:val="22"/>
        </w:rPr>
        <w:t>Not</w:t>
      </w:r>
      <w:r w:rsidR="006C43D9">
        <w:rPr>
          <w:sz w:val="22"/>
          <w:szCs w:val="22"/>
        </w:rPr>
        <w:t xml:space="preserve">e: Staff costs are based on Salary Table </w:t>
      </w:r>
      <w:r w:rsidR="000A7A45">
        <w:rPr>
          <w:sz w:val="22"/>
          <w:szCs w:val="22"/>
        </w:rPr>
        <w:t>2014</w:t>
      </w:r>
      <w:r w:rsidR="006C43D9">
        <w:rPr>
          <w:sz w:val="22"/>
          <w:szCs w:val="22"/>
        </w:rPr>
        <w:t>-DCB</w:t>
      </w:r>
      <w:r>
        <w:rPr>
          <w:sz w:val="22"/>
          <w:szCs w:val="22"/>
        </w:rPr>
        <w:t xml:space="preserve"> </w:t>
      </w:r>
      <w:r w:rsidR="006C43D9">
        <w:rPr>
          <w:sz w:val="22"/>
          <w:szCs w:val="22"/>
        </w:rPr>
        <w:t>(</w:t>
      </w:r>
      <w:r w:rsidR="00936E0E">
        <w:rPr>
          <w:sz w:val="22"/>
          <w:szCs w:val="22"/>
        </w:rPr>
        <w:t xml:space="preserve">Step 1, </w:t>
      </w:r>
      <w:r w:rsidR="006C43D9">
        <w:rPr>
          <w:sz w:val="22"/>
          <w:szCs w:val="22"/>
        </w:rPr>
        <w:t>and a locality payment of 24.22% for the locality pay area of Washington-Baltimore-Northern Virginia, DC-VA-WV-PA)</w:t>
      </w:r>
      <w:r w:rsidR="00936E0E">
        <w:rPr>
          <w:sz w:val="22"/>
          <w:szCs w:val="22"/>
        </w:rPr>
        <w:t>,</w:t>
      </w:r>
      <w:r>
        <w:rPr>
          <w:sz w:val="22"/>
          <w:szCs w:val="22"/>
        </w:rPr>
        <w:t xml:space="preserve"> Department of Labor grade ra</w:t>
      </w:r>
      <w:r w:rsidR="006C43D9">
        <w:rPr>
          <w:sz w:val="22"/>
          <w:szCs w:val="22"/>
        </w:rPr>
        <w:t xml:space="preserve">nges </w:t>
      </w:r>
      <w:r w:rsidR="006E2917">
        <w:rPr>
          <w:sz w:val="22"/>
          <w:szCs w:val="22"/>
        </w:rPr>
        <w:t xml:space="preserve">are </w:t>
      </w:r>
      <w:r w:rsidR="006C43D9">
        <w:rPr>
          <w:sz w:val="22"/>
          <w:szCs w:val="22"/>
        </w:rPr>
        <w:t xml:space="preserve">as of January </w:t>
      </w:r>
      <w:r w:rsidR="000A7A45">
        <w:rPr>
          <w:sz w:val="22"/>
          <w:szCs w:val="22"/>
        </w:rPr>
        <w:t>2014</w:t>
      </w:r>
      <w:r>
        <w:rPr>
          <w:sz w:val="22"/>
          <w:szCs w:val="22"/>
        </w:rPr>
        <w:t>.</w:t>
      </w:r>
      <w:r w:rsidR="00753FD2">
        <w:rPr>
          <w:sz w:val="22"/>
          <w:szCs w:val="22"/>
        </w:rPr>
        <w:t xml:space="preserve">  </w:t>
      </w:r>
      <w:r w:rsidR="00753FD2" w:rsidRPr="00753FD2">
        <w:rPr>
          <w:i/>
          <w:sz w:val="22"/>
          <w:szCs w:val="22"/>
        </w:rPr>
        <w:t>See</w:t>
      </w:r>
      <w:r w:rsidR="00753FD2">
        <w:rPr>
          <w:sz w:val="22"/>
          <w:szCs w:val="22"/>
        </w:rPr>
        <w:t xml:space="preserve"> </w:t>
      </w:r>
      <w:hyperlink r:id="rId15" w:history="1">
        <w:r w:rsidR="00A41591" w:rsidRPr="006F0F1E">
          <w:rPr>
            <w:rStyle w:val="Hyperlink"/>
            <w:sz w:val="22"/>
            <w:szCs w:val="22"/>
          </w:rPr>
          <w:t>http://www.opm.gov/policy-data-oversight/pay-leave/salaries-wages/salary-tables/pdf/2014/DCB.pdf</w:t>
        </w:r>
      </w:hyperlink>
      <w:r w:rsidR="00753FD2">
        <w:rPr>
          <w:sz w:val="22"/>
          <w:szCs w:val="22"/>
        </w:rPr>
        <w:t>.</w:t>
      </w:r>
    </w:p>
    <w:p w:rsidR="005205D2" w:rsidRDefault="005205D2">
      <w:pPr>
        <w:rPr>
          <w:b/>
        </w:rPr>
      </w:pPr>
    </w:p>
    <w:p w:rsidR="005205D2" w:rsidRDefault="005205D2">
      <w:pPr>
        <w:rPr>
          <w:b/>
        </w:rPr>
      </w:pPr>
      <w:r>
        <w:rPr>
          <w:b/>
        </w:rPr>
        <w:t>15. Reasons for Program Change and Change in Burden</w:t>
      </w:r>
    </w:p>
    <w:p w:rsidR="005205D2" w:rsidRDefault="005205D2">
      <w:pPr>
        <w:rPr>
          <w:b/>
        </w:rPr>
      </w:pPr>
    </w:p>
    <w:p w:rsidR="009763DE" w:rsidRPr="009D64C3" w:rsidRDefault="000D0799" w:rsidP="00CF1847">
      <w:pPr>
        <w:rPr>
          <w:b/>
        </w:rPr>
      </w:pPr>
      <w:r>
        <w:t xml:space="preserve">There are no program changes from </w:t>
      </w:r>
      <w:r w:rsidR="00221D6D">
        <w:t>the previously</w:t>
      </w:r>
      <w:r w:rsidR="009F15D0">
        <w:t xml:space="preserve"> </w:t>
      </w:r>
      <w:r w:rsidR="00221D6D">
        <w:t>approved submission</w:t>
      </w:r>
      <w:r w:rsidR="009F15D0">
        <w:t>.</w:t>
      </w:r>
      <w:r w:rsidR="00A800BE">
        <w:t xml:space="preserve">  The Department has </w:t>
      </w:r>
      <w:r w:rsidR="00AC0252">
        <w:t xml:space="preserve">disaggregated burden according to respondent type, in accordance with OMB </w:t>
      </w:r>
      <w:r w:rsidR="00372A47">
        <w:t>guidance.</w:t>
      </w:r>
      <w:r w:rsidR="00221D6D">
        <w:t xml:space="preserve"> </w:t>
      </w:r>
      <w:r w:rsidR="001B12CF">
        <w:t xml:space="preserve"> </w:t>
      </w:r>
      <w:r w:rsidR="007263F8">
        <w:t>Correcting an earlier inadvertent error of reporting some repo</w:t>
      </w:r>
      <w:r w:rsidR="002B0294">
        <w:t>rting frequency in the reginfo.gov database (from annual to quarterly)</w:t>
      </w:r>
      <w:r w:rsidR="007263F8">
        <w:t xml:space="preserve"> </w:t>
      </w:r>
      <w:r w:rsidR="002B0294">
        <w:t xml:space="preserve">has resulted in </w:t>
      </w:r>
      <w:r w:rsidR="00EB4B16">
        <w:t xml:space="preserve">an adjustment of 398 responses.  Other summary burden information was correct.  </w:t>
      </w:r>
      <w:r w:rsidR="0026081D">
        <w:rPr>
          <w:b/>
        </w:rPr>
        <w:t>Note</w:t>
      </w:r>
      <w:r w:rsidR="001B12CF" w:rsidRPr="009D64C3">
        <w:rPr>
          <w:b/>
        </w:rPr>
        <w:t xml:space="preserve">, </w:t>
      </w:r>
      <w:r w:rsidR="0026081D">
        <w:rPr>
          <w:b/>
        </w:rPr>
        <w:t>states have just begun to use the software so there has not been</w:t>
      </w:r>
      <w:r w:rsidR="001B12CF" w:rsidRPr="009D64C3">
        <w:rPr>
          <w:b/>
        </w:rPr>
        <w:t xml:space="preserve"> sufficient </w:t>
      </w:r>
      <w:r w:rsidR="0026081D">
        <w:rPr>
          <w:b/>
        </w:rPr>
        <w:t xml:space="preserve">time to </w:t>
      </w:r>
      <w:r w:rsidR="001B12CF" w:rsidRPr="009D64C3">
        <w:rPr>
          <w:b/>
        </w:rPr>
        <w:t xml:space="preserve">conclude </w:t>
      </w:r>
      <w:r w:rsidR="0026081D">
        <w:rPr>
          <w:b/>
        </w:rPr>
        <w:t>evaluating it</w:t>
      </w:r>
      <w:r w:rsidR="001B12CF" w:rsidRPr="009D64C3">
        <w:rPr>
          <w:b/>
        </w:rPr>
        <w:t xml:space="preserve"> by the current expiration date for this data collection (May 31, 2014).  ETA believes the software </w:t>
      </w:r>
      <w:r w:rsidR="0026081D">
        <w:rPr>
          <w:b/>
        </w:rPr>
        <w:t>deployment</w:t>
      </w:r>
      <w:r w:rsidR="001B12CF" w:rsidRPr="009D64C3">
        <w:rPr>
          <w:b/>
        </w:rPr>
        <w:t xml:space="preserve"> can be successfu</w:t>
      </w:r>
      <w:r w:rsidR="0026081D">
        <w:rPr>
          <w:b/>
        </w:rPr>
        <w:t>lly concluded by the end of 2015</w:t>
      </w:r>
      <w:r w:rsidR="001B12CF" w:rsidRPr="009D64C3">
        <w:rPr>
          <w:b/>
        </w:rPr>
        <w:t>, and at that time will report to OMB on testing results, per the OMB Notice of Action in 2012 approving the implementation of the software.</w:t>
      </w:r>
    </w:p>
    <w:p w:rsidR="007350F1" w:rsidRDefault="007350F1" w:rsidP="00CF1847"/>
    <w:p w:rsidR="005205D2" w:rsidRDefault="005205D2">
      <w:pPr>
        <w:rPr>
          <w:b/>
        </w:rPr>
      </w:pPr>
      <w:r>
        <w:rPr>
          <w:b/>
        </w:rPr>
        <w:t>16. Publication Information</w:t>
      </w:r>
    </w:p>
    <w:p w:rsidR="005205D2" w:rsidRDefault="005205D2"/>
    <w:p w:rsidR="005205D2" w:rsidRDefault="005205D2">
      <w:pPr>
        <w:rPr>
          <w:b/>
        </w:rPr>
      </w:pPr>
      <w:r>
        <w:t>ETA publish</w:t>
      </w:r>
      <w:r w:rsidR="00C1278F">
        <w:t>es the</w:t>
      </w:r>
      <w:r>
        <w:t xml:space="preserve"> results of data validation in an annual validation report.</w:t>
      </w:r>
    </w:p>
    <w:p w:rsidR="005205D2" w:rsidRDefault="005205D2">
      <w:pPr>
        <w:rPr>
          <w:b/>
        </w:rPr>
      </w:pPr>
      <w:r>
        <w:rPr>
          <w:b/>
        </w:rPr>
        <w:t>17. Reasons for Not Displaying Date OMB Approval Expires</w:t>
      </w:r>
    </w:p>
    <w:p w:rsidR="005205D2" w:rsidRDefault="005205D2">
      <w:pPr>
        <w:rPr>
          <w:b/>
        </w:rPr>
      </w:pPr>
    </w:p>
    <w:p w:rsidR="005205D2" w:rsidRDefault="00BD44A7">
      <w:r>
        <w:t>ETA</w:t>
      </w:r>
      <w:r w:rsidR="00B944B7">
        <w:t xml:space="preserve">, as part of building its system, will </w:t>
      </w:r>
      <w:r w:rsidR="005205D2">
        <w:t xml:space="preserve">display </w:t>
      </w:r>
      <w:r w:rsidR="00EE0A8D">
        <w:t xml:space="preserve">OMB </w:t>
      </w:r>
      <w:r w:rsidR="005205D2">
        <w:t xml:space="preserve">approval </w:t>
      </w:r>
      <w:r w:rsidR="00EE0A8D">
        <w:t xml:space="preserve">and expiration </w:t>
      </w:r>
      <w:r w:rsidR="005205D2">
        <w:t>information on the validation reports.</w:t>
      </w:r>
      <w:r w:rsidR="00B944B7">
        <w:t xml:space="preserve">  Currently that information is aligned with the </w:t>
      </w:r>
      <w:r w:rsidR="007F7E1E">
        <w:t xml:space="preserve">approved </w:t>
      </w:r>
      <w:r w:rsidR="00B944B7">
        <w:t>WIA reports</w:t>
      </w:r>
      <w:r w:rsidR="00796283">
        <w:t xml:space="preserve"> with which the data validation occurs</w:t>
      </w:r>
      <w:r w:rsidR="00B944B7">
        <w:t>.</w:t>
      </w:r>
    </w:p>
    <w:p w:rsidR="005205D2" w:rsidRDefault="005205D2"/>
    <w:p w:rsidR="005205D2" w:rsidRDefault="005205D2">
      <w:pPr>
        <w:rPr>
          <w:b/>
        </w:rPr>
      </w:pPr>
      <w:r>
        <w:rPr>
          <w:b/>
        </w:rPr>
        <w:t>18. Exceptions to Certification</w:t>
      </w:r>
    </w:p>
    <w:p w:rsidR="000C0E5E" w:rsidRDefault="000C0E5E"/>
    <w:p w:rsidR="005205D2" w:rsidRDefault="005205D2">
      <w:r>
        <w:t>There are no exceptions</w:t>
      </w:r>
      <w:r w:rsidR="00EE0A8D">
        <w:t xml:space="preserve"> to the certification statement.</w:t>
      </w:r>
    </w:p>
    <w:sectPr w:rsidR="005205D2" w:rsidSect="00EF1E6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97" w:rsidRDefault="006B3297">
      <w:r>
        <w:separator/>
      </w:r>
    </w:p>
  </w:endnote>
  <w:endnote w:type="continuationSeparator" w:id="0">
    <w:p w:rsidR="006B3297" w:rsidRDefault="006B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97" w:rsidRDefault="006B32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6B3297" w:rsidRDefault="006B32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97" w:rsidRDefault="006B32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1F4">
      <w:rPr>
        <w:rStyle w:val="PageNumber"/>
        <w:noProof/>
      </w:rPr>
      <w:t>1</w:t>
    </w:r>
    <w:r>
      <w:rPr>
        <w:rStyle w:val="PageNumber"/>
      </w:rPr>
      <w:fldChar w:fldCharType="end"/>
    </w:r>
  </w:p>
  <w:p w:rsidR="006B3297" w:rsidRDefault="006B32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D" w:rsidRDefault="00A11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97" w:rsidRDefault="006B3297">
      <w:r>
        <w:separator/>
      </w:r>
    </w:p>
  </w:footnote>
  <w:footnote w:type="continuationSeparator" w:id="0">
    <w:p w:rsidR="006B3297" w:rsidRDefault="006B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D" w:rsidRDefault="00A11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97" w:rsidRDefault="006B3297">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4D" w:rsidRDefault="00A11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7A5"/>
    <w:multiLevelType w:val="hybridMultilevel"/>
    <w:tmpl w:val="6FA46C40"/>
    <w:lvl w:ilvl="0" w:tplc="E26284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nsid w:val="036F6E9F"/>
    <w:multiLevelType w:val="hybridMultilevel"/>
    <w:tmpl w:val="C34E375C"/>
    <w:lvl w:ilvl="0" w:tplc="E26284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nsid w:val="040E3226"/>
    <w:multiLevelType w:val="hybridMultilevel"/>
    <w:tmpl w:val="8F9A7024"/>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E5AE1"/>
    <w:multiLevelType w:val="hybridMultilevel"/>
    <w:tmpl w:val="A10AADF8"/>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8311C"/>
    <w:multiLevelType w:val="hybridMultilevel"/>
    <w:tmpl w:val="E91801EA"/>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2D37D8"/>
    <w:multiLevelType w:val="hybridMultilevel"/>
    <w:tmpl w:val="6D74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67AF5"/>
    <w:multiLevelType w:val="hybridMultilevel"/>
    <w:tmpl w:val="A120DD30"/>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0C4AF8"/>
    <w:multiLevelType w:val="hybridMultilevel"/>
    <w:tmpl w:val="C688FBEA"/>
    <w:lvl w:ilvl="0" w:tplc="B5864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1B7477"/>
    <w:multiLevelType w:val="hybridMultilevel"/>
    <w:tmpl w:val="FB90490A"/>
    <w:lvl w:ilvl="0" w:tplc="B5864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505540"/>
    <w:multiLevelType w:val="multilevel"/>
    <w:tmpl w:val="87DEE2E6"/>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6E74599"/>
    <w:multiLevelType w:val="hybridMultilevel"/>
    <w:tmpl w:val="92C06E5E"/>
    <w:lvl w:ilvl="0" w:tplc="65BE85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7FA1825"/>
    <w:multiLevelType w:val="hybridMultilevel"/>
    <w:tmpl w:val="74E2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0E0EE0"/>
    <w:multiLevelType w:val="hybridMultilevel"/>
    <w:tmpl w:val="EE1C5D36"/>
    <w:lvl w:ilvl="0" w:tplc="B5864262">
      <w:start w:val="1"/>
      <w:numFmt w:val="bullet"/>
      <w:lvlText w:val=""/>
      <w:lvlJc w:val="left"/>
      <w:pPr>
        <w:tabs>
          <w:tab w:val="num" w:pos="360"/>
        </w:tabs>
        <w:ind w:left="360" w:hanging="360"/>
      </w:pPr>
      <w:rPr>
        <w:rFonts w:ascii="Symbol" w:hAnsi="Symbol" w:hint="default"/>
      </w:rPr>
    </w:lvl>
    <w:lvl w:ilvl="1" w:tplc="65BE85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716A4C"/>
    <w:multiLevelType w:val="hybridMultilevel"/>
    <w:tmpl w:val="6D10872C"/>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A75EFA"/>
    <w:multiLevelType w:val="multilevel"/>
    <w:tmpl w:val="D408D92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1CD83493"/>
    <w:multiLevelType w:val="hybridMultilevel"/>
    <w:tmpl w:val="6A1AF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62943"/>
    <w:multiLevelType w:val="hybridMultilevel"/>
    <w:tmpl w:val="4948B928"/>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DC1D89"/>
    <w:multiLevelType w:val="hybridMultilevel"/>
    <w:tmpl w:val="87124862"/>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E51F4A"/>
    <w:multiLevelType w:val="hybridMultilevel"/>
    <w:tmpl w:val="D0EA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10491"/>
    <w:multiLevelType w:val="hybridMultilevel"/>
    <w:tmpl w:val="B3FC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25F10"/>
    <w:multiLevelType w:val="hybridMultilevel"/>
    <w:tmpl w:val="EBE8A6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B6693A"/>
    <w:multiLevelType w:val="hybridMultilevel"/>
    <w:tmpl w:val="C5142E5C"/>
    <w:lvl w:ilvl="0" w:tplc="04090011">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D261B41"/>
    <w:multiLevelType w:val="hybridMultilevel"/>
    <w:tmpl w:val="4FA8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07825"/>
    <w:multiLevelType w:val="hybridMultilevel"/>
    <w:tmpl w:val="DC068786"/>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2B16FC"/>
    <w:multiLevelType w:val="singleLevel"/>
    <w:tmpl w:val="2BF6F346"/>
    <w:lvl w:ilvl="0">
      <w:start w:val="1"/>
      <w:numFmt w:val="bullet"/>
      <w:pStyle w:val="bullet0"/>
      <w:lvlText w:val=""/>
      <w:lvlJc w:val="left"/>
      <w:pPr>
        <w:tabs>
          <w:tab w:val="num" w:pos="360"/>
        </w:tabs>
        <w:ind w:left="360" w:hanging="360"/>
      </w:pPr>
      <w:rPr>
        <w:rFonts w:ascii="Symbol" w:hAnsi="Symbol" w:hint="default"/>
      </w:rPr>
    </w:lvl>
  </w:abstractNum>
  <w:abstractNum w:abstractNumId="25">
    <w:nsid w:val="4A8053F7"/>
    <w:multiLevelType w:val="hybridMultilevel"/>
    <w:tmpl w:val="87DEE2E6"/>
    <w:lvl w:ilvl="0" w:tplc="04090011">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C6E4E61"/>
    <w:multiLevelType w:val="hybridMultilevel"/>
    <w:tmpl w:val="2EF4AAE2"/>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AB460D"/>
    <w:multiLevelType w:val="hybridMultilevel"/>
    <w:tmpl w:val="1754715A"/>
    <w:lvl w:ilvl="0" w:tplc="B5864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C61DD7"/>
    <w:multiLevelType w:val="hybridMultilevel"/>
    <w:tmpl w:val="857E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E205F"/>
    <w:multiLevelType w:val="hybridMultilevel"/>
    <w:tmpl w:val="3B4C4FFE"/>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5E537F"/>
    <w:multiLevelType w:val="hybridMultilevel"/>
    <w:tmpl w:val="2EA49E88"/>
    <w:lvl w:ilvl="0" w:tplc="2F867C5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C760F27"/>
    <w:multiLevelType w:val="hybridMultilevel"/>
    <w:tmpl w:val="E1AE6E04"/>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CD4603"/>
    <w:multiLevelType w:val="hybridMultilevel"/>
    <w:tmpl w:val="1918ECE8"/>
    <w:lvl w:ilvl="0" w:tplc="E26284B8">
      <w:start w:val="1"/>
      <w:numFmt w:val="bullet"/>
      <w:lvlText w:val=""/>
      <w:lvlJc w:val="left"/>
      <w:pPr>
        <w:tabs>
          <w:tab w:val="num" w:pos="360"/>
        </w:tabs>
        <w:ind w:left="360" w:hanging="360"/>
      </w:pPr>
      <w:rPr>
        <w:rFonts w:ascii="Symbol" w:hAnsi="Symbol" w:hint="default"/>
        <w:color w:val="auto"/>
      </w:rPr>
    </w:lvl>
    <w:lvl w:ilvl="1" w:tplc="65BE85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3742FB"/>
    <w:multiLevelType w:val="hybridMultilevel"/>
    <w:tmpl w:val="8AB6D7AA"/>
    <w:lvl w:ilvl="0" w:tplc="A8F8A82E">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1"/>
  </w:num>
  <w:num w:numId="2">
    <w:abstractNumId w:val="8"/>
  </w:num>
  <w:num w:numId="3">
    <w:abstractNumId w:val="0"/>
  </w:num>
  <w:num w:numId="4">
    <w:abstractNumId w:val="25"/>
  </w:num>
  <w:num w:numId="5">
    <w:abstractNumId w:val="1"/>
  </w:num>
  <w:num w:numId="6">
    <w:abstractNumId w:val="32"/>
  </w:num>
  <w:num w:numId="7">
    <w:abstractNumId w:val="7"/>
  </w:num>
  <w:num w:numId="8">
    <w:abstractNumId w:val="4"/>
  </w:num>
  <w:num w:numId="9">
    <w:abstractNumId w:val="12"/>
  </w:num>
  <w:num w:numId="10">
    <w:abstractNumId w:val="27"/>
  </w:num>
  <w:num w:numId="11">
    <w:abstractNumId w:val="24"/>
  </w:num>
  <w:num w:numId="12">
    <w:abstractNumId w:val="6"/>
  </w:num>
  <w:num w:numId="13">
    <w:abstractNumId w:val="33"/>
  </w:num>
  <w:num w:numId="14">
    <w:abstractNumId w:val="2"/>
  </w:num>
  <w:num w:numId="15">
    <w:abstractNumId w:val="16"/>
  </w:num>
  <w:num w:numId="16">
    <w:abstractNumId w:val="10"/>
  </w:num>
  <w:num w:numId="17">
    <w:abstractNumId w:val="30"/>
  </w:num>
  <w:num w:numId="18">
    <w:abstractNumId w:val="17"/>
  </w:num>
  <w:num w:numId="19">
    <w:abstractNumId w:val="23"/>
  </w:num>
  <w:num w:numId="20">
    <w:abstractNumId w:val="9"/>
  </w:num>
  <w:num w:numId="21">
    <w:abstractNumId w:val="13"/>
  </w:num>
  <w:num w:numId="22">
    <w:abstractNumId w:val="29"/>
  </w:num>
  <w:num w:numId="23">
    <w:abstractNumId w:val="3"/>
  </w:num>
  <w:num w:numId="24">
    <w:abstractNumId w:val="31"/>
  </w:num>
  <w:num w:numId="25">
    <w:abstractNumId w:val="26"/>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9"/>
  </w:num>
  <w:num w:numId="30">
    <w:abstractNumId w:val="15"/>
  </w:num>
  <w:num w:numId="31">
    <w:abstractNumId w:val="5"/>
  </w:num>
  <w:num w:numId="32">
    <w:abstractNumId w:val="20"/>
  </w:num>
  <w:num w:numId="33">
    <w:abstractNumId w:val="11"/>
  </w:num>
  <w:num w:numId="34">
    <w:abstractNumId w:val="1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70"/>
    <w:rsid w:val="000028C4"/>
    <w:rsid w:val="0001430D"/>
    <w:rsid w:val="00022385"/>
    <w:rsid w:val="000232A7"/>
    <w:rsid w:val="00033200"/>
    <w:rsid w:val="000346A2"/>
    <w:rsid w:val="0004016E"/>
    <w:rsid w:val="00045898"/>
    <w:rsid w:val="00052A64"/>
    <w:rsid w:val="0005788B"/>
    <w:rsid w:val="0006041B"/>
    <w:rsid w:val="00065C16"/>
    <w:rsid w:val="000668C6"/>
    <w:rsid w:val="00072147"/>
    <w:rsid w:val="000725C5"/>
    <w:rsid w:val="00091355"/>
    <w:rsid w:val="000930B2"/>
    <w:rsid w:val="00093FAD"/>
    <w:rsid w:val="000A7A45"/>
    <w:rsid w:val="000B4578"/>
    <w:rsid w:val="000B4C59"/>
    <w:rsid w:val="000B50C2"/>
    <w:rsid w:val="000B5EA7"/>
    <w:rsid w:val="000C0E5E"/>
    <w:rsid w:val="000D0799"/>
    <w:rsid w:val="000D440F"/>
    <w:rsid w:val="000D76B8"/>
    <w:rsid w:val="000E091A"/>
    <w:rsid w:val="000F17BC"/>
    <w:rsid w:val="00104D85"/>
    <w:rsid w:val="001079F7"/>
    <w:rsid w:val="00115EB4"/>
    <w:rsid w:val="00117B05"/>
    <w:rsid w:val="0012023D"/>
    <w:rsid w:val="00125C51"/>
    <w:rsid w:val="001277F3"/>
    <w:rsid w:val="00127CF9"/>
    <w:rsid w:val="001351FF"/>
    <w:rsid w:val="00146446"/>
    <w:rsid w:val="00146B4E"/>
    <w:rsid w:val="0015325C"/>
    <w:rsid w:val="0015717D"/>
    <w:rsid w:val="00160971"/>
    <w:rsid w:val="00165292"/>
    <w:rsid w:val="00165A4F"/>
    <w:rsid w:val="001707E3"/>
    <w:rsid w:val="00170EC9"/>
    <w:rsid w:val="00171B4F"/>
    <w:rsid w:val="00173D68"/>
    <w:rsid w:val="00185109"/>
    <w:rsid w:val="00197147"/>
    <w:rsid w:val="001A2AF6"/>
    <w:rsid w:val="001A6648"/>
    <w:rsid w:val="001B12CF"/>
    <w:rsid w:val="001B72D7"/>
    <w:rsid w:val="001C35C0"/>
    <w:rsid w:val="001C68BA"/>
    <w:rsid w:val="001D132F"/>
    <w:rsid w:val="001D5973"/>
    <w:rsid w:val="001D65E3"/>
    <w:rsid w:val="001E041B"/>
    <w:rsid w:val="001F047B"/>
    <w:rsid w:val="001F3554"/>
    <w:rsid w:val="001F41D8"/>
    <w:rsid w:val="002006B4"/>
    <w:rsid w:val="002031C4"/>
    <w:rsid w:val="00205B7C"/>
    <w:rsid w:val="00210A39"/>
    <w:rsid w:val="00210E4B"/>
    <w:rsid w:val="0021466A"/>
    <w:rsid w:val="00221A03"/>
    <w:rsid w:val="00221D6D"/>
    <w:rsid w:val="0023274A"/>
    <w:rsid w:val="00236B24"/>
    <w:rsid w:val="00237627"/>
    <w:rsid w:val="00240129"/>
    <w:rsid w:val="00246551"/>
    <w:rsid w:val="00250C96"/>
    <w:rsid w:val="00251526"/>
    <w:rsid w:val="00251612"/>
    <w:rsid w:val="00252072"/>
    <w:rsid w:val="00254DD8"/>
    <w:rsid w:val="00255CA1"/>
    <w:rsid w:val="0026081D"/>
    <w:rsid w:val="00266AF2"/>
    <w:rsid w:val="00276BCC"/>
    <w:rsid w:val="00295963"/>
    <w:rsid w:val="00297370"/>
    <w:rsid w:val="002B0294"/>
    <w:rsid w:val="002B037B"/>
    <w:rsid w:val="002B04AF"/>
    <w:rsid w:val="002B0577"/>
    <w:rsid w:val="002D2969"/>
    <w:rsid w:val="002D5BC1"/>
    <w:rsid w:val="002D7899"/>
    <w:rsid w:val="002E25F9"/>
    <w:rsid w:val="002E4710"/>
    <w:rsid w:val="002E515C"/>
    <w:rsid w:val="0030300B"/>
    <w:rsid w:val="00310781"/>
    <w:rsid w:val="003232D9"/>
    <w:rsid w:val="0032529C"/>
    <w:rsid w:val="00327666"/>
    <w:rsid w:val="00332B4D"/>
    <w:rsid w:val="00334A09"/>
    <w:rsid w:val="00336FC1"/>
    <w:rsid w:val="00343CD4"/>
    <w:rsid w:val="003443C3"/>
    <w:rsid w:val="003449C5"/>
    <w:rsid w:val="00362417"/>
    <w:rsid w:val="00365D3F"/>
    <w:rsid w:val="0036626D"/>
    <w:rsid w:val="00372A47"/>
    <w:rsid w:val="00373449"/>
    <w:rsid w:val="003763E6"/>
    <w:rsid w:val="00384B3F"/>
    <w:rsid w:val="00393F89"/>
    <w:rsid w:val="003A250E"/>
    <w:rsid w:val="003B0E45"/>
    <w:rsid w:val="003B438D"/>
    <w:rsid w:val="003B5BFF"/>
    <w:rsid w:val="003B7B87"/>
    <w:rsid w:val="003C1F78"/>
    <w:rsid w:val="003D586E"/>
    <w:rsid w:val="003D6A6D"/>
    <w:rsid w:val="003E1421"/>
    <w:rsid w:val="003E2260"/>
    <w:rsid w:val="003E514E"/>
    <w:rsid w:val="003F02FD"/>
    <w:rsid w:val="003F0547"/>
    <w:rsid w:val="004022E4"/>
    <w:rsid w:val="004053D3"/>
    <w:rsid w:val="00407962"/>
    <w:rsid w:val="004168FF"/>
    <w:rsid w:val="00417802"/>
    <w:rsid w:val="004257D6"/>
    <w:rsid w:val="00426339"/>
    <w:rsid w:val="00431CC9"/>
    <w:rsid w:val="004330BD"/>
    <w:rsid w:val="00441E56"/>
    <w:rsid w:val="00446C5C"/>
    <w:rsid w:val="004545FE"/>
    <w:rsid w:val="00457660"/>
    <w:rsid w:val="00457DD5"/>
    <w:rsid w:val="004626E3"/>
    <w:rsid w:val="00484D0B"/>
    <w:rsid w:val="00487FB4"/>
    <w:rsid w:val="00494398"/>
    <w:rsid w:val="00497D8F"/>
    <w:rsid w:val="004A22A6"/>
    <w:rsid w:val="004A4757"/>
    <w:rsid w:val="004B09D7"/>
    <w:rsid w:val="004B4490"/>
    <w:rsid w:val="004B5274"/>
    <w:rsid w:val="004C17F2"/>
    <w:rsid w:val="004D0117"/>
    <w:rsid w:val="004D2142"/>
    <w:rsid w:val="004E035C"/>
    <w:rsid w:val="004E3934"/>
    <w:rsid w:val="004E6975"/>
    <w:rsid w:val="004E709D"/>
    <w:rsid w:val="004F1E58"/>
    <w:rsid w:val="004F5809"/>
    <w:rsid w:val="005053BF"/>
    <w:rsid w:val="00506475"/>
    <w:rsid w:val="005120F1"/>
    <w:rsid w:val="005131DC"/>
    <w:rsid w:val="005205D2"/>
    <w:rsid w:val="00521644"/>
    <w:rsid w:val="005236AB"/>
    <w:rsid w:val="00527F70"/>
    <w:rsid w:val="00540E44"/>
    <w:rsid w:val="005438C1"/>
    <w:rsid w:val="005449DC"/>
    <w:rsid w:val="00547BCA"/>
    <w:rsid w:val="00547FE9"/>
    <w:rsid w:val="0055606E"/>
    <w:rsid w:val="005614A8"/>
    <w:rsid w:val="0056767C"/>
    <w:rsid w:val="00574721"/>
    <w:rsid w:val="00576682"/>
    <w:rsid w:val="00580705"/>
    <w:rsid w:val="00592554"/>
    <w:rsid w:val="00594B87"/>
    <w:rsid w:val="00595AFB"/>
    <w:rsid w:val="005A618C"/>
    <w:rsid w:val="005C21F4"/>
    <w:rsid w:val="005C3919"/>
    <w:rsid w:val="005C5775"/>
    <w:rsid w:val="005C63E2"/>
    <w:rsid w:val="005D0765"/>
    <w:rsid w:val="005D254E"/>
    <w:rsid w:val="005D38F2"/>
    <w:rsid w:val="005D391E"/>
    <w:rsid w:val="005D4FF6"/>
    <w:rsid w:val="005D6729"/>
    <w:rsid w:val="005E34DC"/>
    <w:rsid w:val="005E3677"/>
    <w:rsid w:val="005E4082"/>
    <w:rsid w:val="005F2B9A"/>
    <w:rsid w:val="00603D49"/>
    <w:rsid w:val="006062B4"/>
    <w:rsid w:val="0062338D"/>
    <w:rsid w:val="00641406"/>
    <w:rsid w:val="0064564B"/>
    <w:rsid w:val="006506E3"/>
    <w:rsid w:val="00651AE2"/>
    <w:rsid w:val="0065295D"/>
    <w:rsid w:val="0065307C"/>
    <w:rsid w:val="006545C0"/>
    <w:rsid w:val="00661F6E"/>
    <w:rsid w:val="0066313F"/>
    <w:rsid w:val="00670634"/>
    <w:rsid w:val="00672FE1"/>
    <w:rsid w:val="00674C62"/>
    <w:rsid w:val="006773DB"/>
    <w:rsid w:val="00680ADF"/>
    <w:rsid w:val="00681108"/>
    <w:rsid w:val="00690D4B"/>
    <w:rsid w:val="00691A19"/>
    <w:rsid w:val="006920CF"/>
    <w:rsid w:val="006A19B4"/>
    <w:rsid w:val="006A3DC5"/>
    <w:rsid w:val="006B3297"/>
    <w:rsid w:val="006B66C7"/>
    <w:rsid w:val="006C4315"/>
    <w:rsid w:val="006C43D9"/>
    <w:rsid w:val="006C7E79"/>
    <w:rsid w:val="006D2B7C"/>
    <w:rsid w:val="006D4D33"/>
    <w:rsid w:val="006D631A"/>
    <w:rsid w:val="006E1304"/>
    <w:rsid w:val="006E2917"/>
    <w:rsid w:val="006E61BF"/>
    <w:rsid w:val="006E7EC2"/>
    <w:rsid w:val="006F4E29"/>
    <w:rsid w:val="006F53F3"/>
    <w:rsid w:val="006F5EAD"/>
    <w:rsid w:val="0070204A"/>
    <w:rsid w:val="007027EE"/>
    <w:rsid w:val="0071473C"/>
    <w:rsid w:val="007263F8"/>
    <w:rsid w:val="007278BD"/>
    <w:rsid w:val="007333C1"/>
    <w:rsid w:val="007350F1"/>
    <w:rsid w:val="007352E7"/>
    <w:rsid w:val="00736ACD"/>
    <w:rsid w:val="007378B9"/>
    <w:rsid w:val="00737D6A"/>
    <w:rsid w:val="0074146B"/>
    <w:rsid w:val="00747E7B"/>
    <w:rsid w:val="00751946"/>
    <w:rsid w:val="00753FD2"/>
    <w:rsid w:val="00760370"/>
    <w:rsid w:val="00760D39"/>
    <w:rsid w:val="00764EC0"/>
    <w:rsid w:val="00765186"/>
    <w:rsid w:val="007705CF"/>
    <w:rsid w:val="00781C8E"/>
    <w:rsid w:val="00785E1B"/>
    <w:rsid w:val="00792964"/>
    <w:rsid w:val="00793E32"/>
    <w:rsid w:val="00796283"/>
    <w:rsid w:val="0079795C"/>
    <w:rsid w:val="00797AAF"/>
    <w:rsid w:val="007A4535"/>
    <w:rsid w:val="007A6F1A"/>
    <w:rsid w:val="007B3D78"/>
    <w:rsid w:val="007C29B6"/>
    <w:rsid w:val="007D726F"/>
    <w:rsid w:val="007E4045"/>
    <w:rsid w:val="007E460C"/>
    <w:rsid w:val="007E5845"/>
    <w:rsid w:val="007F1BA0"/>
    <w:rsid w:val="007F3330"/>
    <w:rsid w:val="007F3B2C"/>
    <w:rsid w:val="007F51B2"/>
    <w:rsid w:val="007F7E1E"/>
    <w:rsid w:val="00800615"/>
    <w:rsid w:val="00803BE3"/>
    <w:rsid w:val="008063EC"/>
    <w:rsid w:val="008146F1"/>
    <w:rsid w:val="0082230B"/>
    <w:rsid w:val="0082451F"/>
    <w:rsid w:val="00832FB4"/>
    <w:rsid w:val="00834ABE"/>
    <w:rsid w:val="008419B9"/>
    <w:rsid w:val="00842F40"/>
    <w:rsid w:val="0084429D"/>
    <w:rsid w:val="008515C2"/>
    <w:rsid w:val="00857D40"/>
    <w:rsid w:val="00857E00"/>
    <w:rsid w:val="00863F9B"/>
    <w:rsid w:val="0086561C"/>
    <w:rsid w:val="008714A9"/>
    <w:rsid w:val="00891273"/>
    <w:rsid w:val="008944A2"/>
    <w:rsid w:val="0089588C"/>
    <w:rsid w:val="008A25B0"/>
    <w:rsid w:val="008A7A94"/>
    <w:rsid w:val="008B0FAA"/>
    <w:rsid w:val="008B12DC"/>
    <w:rsid w:val="008B1E3F"/>
    <w:rsid w:val="008B52C1"/>
    <w:rsid w:val="008B7280"/>
    <w:rsid w:val="008C6B18"/>
    <w:rsid w:val="008E069B"/>
    <w:rsid w:val="008E19EB"/>
    <w:rsid w:val="008F25E3"/>
    <w:rsid w:val="0090528E"/>
    <w:rsid w:val="00906E29"/>
    <w:rsid w:val="0091760E"/>
    <w:rsid w:val="009209EF"/>
    <w:rsid w:val="00920AEF"/>
    <w:rsid w:val="00923311"/>
    <w:rsid w:val="0092672F"/>
    <w:rsid w:val="00930857"/>
    <w:rsid w:val="00936E0E"/>
    <w:rsid w:val="0094272A"/>
    <w:rsid w:val="009465B7"/>
    <w:rsid w:val="0094772B"/>
    <w:rsid w:val="00950824"/>
    <w:rsid w:val="00954790"/>
    <w:rsid w:val="00960EA0"/>
    <w:rsid w:val="0096146B"/>
    <w:rsid w:val="00966F9B"/>
    <w:rsid w:val="0097594B"/>
    <w:rsid w:val="00975DA4"/>
    <w:rsid w:val="009763DE"/>
    <w:rsid w:val="00977E91"/>
    <w:rsid w:val="00984091"/>
    <w:rsid w:val="00984DCB"/>
    <w:rsid w:val="00984E5F"/>
    <w:rsid w:val="00984FE8"/>
    <w:rsid w:val="00986721"/>
    <w:rsid w:val="0098725D"/>
    <w:rsid w:val="00990FB9"/>
    <w:rsid w:val="00995B07"/>
    <w:rsid w:val="00996419"/>
    <w:rsid w:val="00996AB7"/>
    <w:rsid w:val="009A1815"/>
    <w:rsid w:val="009A374D"/>
    <w:rsid w:val="009B1949"/>
    <w:rsid w:val="009C16FF"/>
    <w:rsid w:val="009C4ED6"/>
    <w:rsid w:val="009D2F5B"/>
    <w:rsid w:val="009D438C"/>
    <w:rsid w:val="009D539F"/>
    <w:rsid w:val="009D64C3"/>
    <w:rsid w:val="009D6886"/>
    <w:rsid w:val="009F15D0"/>
    <w:rsid w:val="009F272A"/>
    <w:rsid w:val="00A038C5"/>
    <w:rsid w:val="00A05590"/>
    <w:rsid w:val="00A059CB"/>
    <w:rsid w:val="00A06A3A"/>
    <w:rsid w:val="00A11B4D"/>
    <w:rsid w:val="00A1388A"/>
    <w:rsid w:val="00A1478D"/>
    <w:rsid w:val="00A14ED1"/>
    <w:rsid w:val="00A16927"/>
    <w:rsid w:val="00A3098A"/>
    <w:rsid w:val="00A341D2"/>
    <w:rsid w:val="00A361F0"/>
    <w:rsid w:val="00A40CB5"/>
    <w:rsid w:val="00A41591"/>
    <w:rsid w:val="00A42A1C"/>
    <w:rsid w:val="00A50B00"/>
    <w:rsid w:val="00A565F3"/>
    <w:rsid w:val="00A61CF9"/>
    <w:rsid w:val="00A62CB2"/>
    <w:rsid w:val="00A71DDA"/>
    <w:rsid w:val="00A769BA"/>
    <w:rsid w:val="00A800BE"/>
    <w:rsid w:val="00A8528C"/>
    <w:rsid w:val="00A91598"/>
    <w:rsid w:val="00AA1342"/>
    <w:rsid w:val="00AA4CEF"/>
    <w:rsid w:val="00AA6E36"/>
    <w:rsid w:val="00AA79E6"/>
    <w:rsid w:val="00AB3098"/>
    <w:rsid w:val="00AB3E0C"/>
    <w:rsid w:val="00AC0252"/>
    <w:rsid w:val="00AD42E6"/>
    <w:rsid w:val="00AE3BAA"/>
    <w:rsid w:val="00AE76DC"/>
    <w:rsid w:val="00AE7B25"/>
    <w:rsid w:val="00AF0246"/>
    <w:rsid w:val="00AF0549"/>
    <w:rsid w:val="00AF095B"/>
    <w:rsid w:val="00AF1BE2"/>
    <w:rsid w:val="00B048B7"/>
    <w:rsid w:val="00B15E63"/>
    <w:rsid w:val="00B17248"/>
    <w:rsid w:val="00B228CA"/>
    <w:rsid w:val="00B24506"/>
    <w:rsid w:val="00B24A69"/>
    <w:rsid w:val="00B3386B"/>
    <w:rsid w:val="00B33EEB"/>
    <w:rsid w:val="00B357BE"/>
    <w:rsid w:val="00B401EB"/>
    <w:rsid w:val="00B46909"/>
    <w:rsid w:val="00B50CCF"/>
    <w:rsid w:val="00B55CC6"/>
    <w:rsid w:val="00B56804"/>
    <w:rsid w:val="00B61A63"/>
    <w:rsid w:val="00B63E8B"/>
    <w:rsid w:val="00B67C77"/>
    <w:rsid w:val="00B70FAE"/>
    <w:rsid w:val="00B72508"/>
    <w:rsid w:val="00B81C40"/>
    <w:rsid w:val="00B93420"/>
    <w:rsid w:val="00B944B7"/>
    <w:rsid w:val="00B974AC"/>
    <w:rsid w:val="00BB1E44"/>
    <w:rsid w:val="00BB4C30"/>
    <w:rsid w:val="00BD0CEA"/>
    <w:rsid w:val="00BD1C4F"/>
    <w:rsid w:val="00BD28B1"/>
    <w:rsid w:val="00BD44A7"/>
    <w:rsid w:val="00BD6D92"/>
    <w:rsid w:val="00BD7C91"/>
    <w:rsid w:val="00BE1C07"/>
    <w:rsid w:val="00BE4D91"/>
    <w:rsid w:val="00BF0AAC"/>
    <w:rsid w:val="00C00790"/>
    <w:rsid w:val="00C01C4B"/>
    <w:rsid w:val="00C04F83"/>
    <w:rsid w:val="00C10D89"/>
    <w:rsid w:val="00C1278F"/>
    <w:rsid w:val="00C202E1"/>
    <w:rsid w:val="00C3005F"/>
    <w:rsid w:val="00C30FD0"/>
    <w:rsid w:val="00C37CC1"/>
    <w:rsid w:val="00C37E41"/>
    <w:rsid w:val="00C4677F"/>
    <w:rsid w:val="00C565C6"/>
    <w:rsid w:val="00C62F17"/>
    <w:rsid w:val="00C67CE9"/>
    <w:rsid w:val="00C736F3"/>
    <w:rsid w:val="00C77E23"/>
    <w:rsid w:val="00C90FFC"/>
    <w:rsid w:val="00C9130A"/>
    <w:rsid w:val="00C9226E"/>
    <w:rsid w:val="00C974B0"/>
    <w:rsid w:val="00CA0B23"/>
    <w:rsid w:val="00CA274C"/>
    <w:rsid w:val="00CA4FFC"/>
    <w:rsid w:val="00CB131B"/>
    <w:rsid w:val="00CB4358"/>
    <w:rsid w:val="00CC0089"/>
    <w:rsid w:val="00CC0216"/>
    <w:rsid w:val="00CC0252"/>
    <w:rsid w:val="00CC0E0F"/>
    <w:rsid w:val="00CC194D"/>
    <w:rsid w:val="00CD1A38"/>
    <w:rsid w:val="00CD3C86"/>
    <w:rsid w:val="00CD453D"/>
    <w:rsid w:val="00CE35B1"/>
    <w:rsid w:val="00CE5934"/>
    <w:rsid w:val="00CE5AD9"/>
    <w:rsid w:val="00CF1847"/>
    <w:rsid w:val="00CF459D"/>
    <w:rsid w:val="00D105BC"/>
    <w:rsid w:val="00D148B0"/>
    <w:rsid w:val="00D14DCE"/>
    <w:rsid w:val="00D314C5"/>
    <w:rsid w:val="00D31E7C"/>
    <w:rsid w:val="00D36DCC"/>
    <w:rsid w:val="00D40ACD"/>
    <w:rsid w:val="00D43CCA"/>
    <w:rsid w:val="00D63FDB"/>
    <w:rsid w:val="00D661C2"/>
    <w:rsid w:val="00D67945"/>
    <w:rsid w:val="00D6799F"/>
    <w:rsid w:val="00D730FA"/>
    <w:rsid w:val="00D8186C"/>
    <w:rsid w:val="00D84376"/>
    <w:rsid w:val="00D849D9"/>
    <w:rsid w:val="00D90079"/>
    <w:rsid w:val="00D90743"/>
    <w:rsid w:val="00DA1A90"/>
    <w:rsid w:val="00DA7C39"/>
    <w:rsid w:val="00DB21CD"/>
    <w:rsid w:val="00DB79D4"/>
    <w:rsid w:val="00DC010D"/>
    <w:rsid w:val="00DC2D67"/>
    <w:rsid w:val="00DD2E5C"/>
    <w:rsid w:val="00DE2FB3"/>
    <w:rsid w:val="00DE33C0"/>
    <w:rsid w:val="00DF09A8"/>
    <w:rsid w:val="00DF4FBA"/>
    <w:rsid w:val="00DF763F"/>
    <w:rsid w:val="00DF7F2E"/>
    <w:rsid w:val="00E069B3"/>
    <w:rsid w:val="00E14DDA"/>
    <w:rsid w:val="00E16A48"/>
    <w:rsid w:val="00E24F0E"/>
    <w:rsid w:val="00E3699A"/>
    <w:rsid w:val="00E41E5C"/>
    <w:rsid w:val="00E5192D"/>
    <w:rsid w:val="00E55FF5"/>
    <w:rsid w:val="00E615C9"/>
    <w:rsid w:val="00E656AE"/>
    <w:rsid w:val="00E67761"/>
    <w:rsid w:val="00E7001F"/>
    <w:rsid w:val="00E73889"/>
    <w:rsid w:val="00E86D30"/>
    <w:rsid w:val="00E86D48"/>
    <w:rsid w:val="00E95368"/>
    <w:rsid w:val="00E97284"/>
    <w:rsid w:val="00EA2369"/>
    <w:rsid w:val="00EA3FEE"/>
    <w:rsid w:val="00EA60D0"/>
    <w:rsid w:val="00EB4B16"/>
    <w:rsid w:val="00EB6717"/>
    <w:rsid w:val="00EB6DF7"/>
    <w:rsid w:val="00EC3DF9"/>
    <w:rsid w:val="00EC6459"/>
    <w:rsid w:val="00EE0A8D"/>
    <w:rsid w:val="00EE0AFD"/>
    <w:rsid w:val="00EE1290"/>
    <w:rsid w:val="00EF1E61"/>
    <w:rsid w:val="00EF201D"/>
    <w:rsid w:val="00F005EF"/>
    <w:rsid w:val="00F04AA0"/>
    <w:rsid w:val="00F117D5"/>
    <w:rsid w:val="00F1193F"/>
    <w:rsid w:val="00F25E89"/>
    <w:rsid w:val="00F40B31"/>
    <w:rsid w:val="00F44BA4"/>
    <w:rsid w:val="00F56151"/>
    <w:rsid w:val="00F60C4F"/>
    <w:rsid w:val="00F62D9C"/>
    <w:rsid w:val="00F758C3"/>
    <w:rsid w:val="00F760F5"/>
    <w:rsid w:val="00F81800"/>
    <w:rsid w:val="00F847C6"/>
    <w:rsid w:val="00F9247C"/>
    <w:rsid w:val="00FA5699"/>
    <w:rsid w:val="00FA62FC"/>
    <w:rsid w:val="00FA69A8"/>
    <w:rsid w:val="00FB217A"/>
    <w:rsid w:val="00FB74AD"/>
    <w:rsid w:val="00FD215B"/>
    <w:rsid w:val="00FD4172"/>
    <w:rsid w:val="00FD51BD"/>
    <w:rsid w:val="00FD76B1"/>
    <w:rsid w:val="00FE058F"/>
    <w:rsid w:val="00FE0A75"/>
    <w:rsid w:val="00FE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E61"/>
    <w:rPr>
      <w:sz w:val="24"/>
      <w:szCs w:val="24"/>
    </w:rPr>
  </w:style>
  <w:style w:type="paragraph" w:styleId="Heading1">
    <w:name w:val="heading 1"/>
    <w:basedOn w:val="Normal"/>
    <w:next w:val="Normal"/>
    <w:qFormat/>
    <w:rsid w:val="00EF1E61"/>
    <w:pPr>
      <w:keepNext/>
      <w:jc w:val="center"/>
      <w:outlineLvl w:val="0"/>
    </w:pPr>
    <w:rPr>
      <w:b/>
      <w:sz w:val="22"/>
      <w:szCs w:val="22"/>
    </w:rPr>
  </w:style>
  <w:style w:type="paragraph" w:styleId="Heading2">
    <w:name w:val="heading 2"/>
    <w:basedOn w:val="Normal"/>
    <w:next w:val="Normal"/>
    <w:qFormat/>
    <w:rsid w:val="00EF1E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1E61"/>
    <w:pPr>
      <w:tabs>
        <w:tab w:val="left" w:pos="432"/>
      </w:tabs>
      <w:spacing w:after="240"/>
      <w:ind w:left="432" w:hanging="432"/>
      <w:jc w:val="both"/>
      <w:outlineLvl w:val="2"/>
    </w:pPr>
    <w:rPr>
      <w:b/>
      <w:szCs w:val="20"/>
    </w:rPr>
  </w:style>
  <w:style w:type="paragraph" w:styleId="Heading4">
    <w:name w:val="heading 4"/>
    <w:basedOn w:val="Normal"/>
    <w:next w:val="Normal"/>
    <w:qFormat/>
    <w:rsid w:val="00EF1E61"/>
    <w:pPr>
      <w:keepNext/>
      <w:jc w:val="center"/>
      <w:outlineLvl w:val="3"/>
    </w:pPr>
    <w:rPr>
      <w:b/>
      <w:bCs/>
    </w:rPr>
  </w:style>
  <w:style w:type="paragraph" w:styleId="Heading5">
    <w:name w:val="heading 5"/>
    <w:basedOn w:val="Normal"/>
    <w:next w:val="Normal"/>
    <w:qFormat/>
    <w:rsid w:val="00EF1E61"/>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EF1E61"/>
    <w:pPr>
      <w:numPr>
        <w:numId w:val="26"/>
      </w:numPr>
      <w:spacing w:after="180"/>
      <w:ind w:right="360" w:hanging="288"/>
      <w:jc w:val="both"/>
    </w:pPr>
    <w:rPr>
      <w:sz w:val="24"/>
    </w:rPr>
  </w:style>
  <w:style w:type="character" w:styleId="Hyperlink">
    <w:name w:val="Hyperlink"/>
    <w:rsid w:val="00EF1E61"/>
    <w:rPr>
      <w:color w:val="0000FF"/>
      <w:u w:val="single"/>
    </w:rPr>
  </w:style>
  <w:style w:type="paragraph" w:styleId="Header">
    <w:name w:val="header"/>
    <w:basedOn w:val="Normal"/>
    <w:rsid w:val="00EF1E61"/>
    <w:pPr>
      <w:tabs>
        <w:tab w:val="center" w:pos="4320"/>
        <w:tab w:val="right" w:pos="8640"/>
      </w:tabs>
    </w:pPr>
  </w:style>
  <w:style w:type="paragraph" w:styleId="Footer">
    <w:name w:val="footer"/>
    <w:basedOn w:val="Normal"/>
    <w:rsid w:val="00EF1E61"/>
    <w:pPr>
      <w:tabs>
        <w:tab w:val="center" w:pos="4320"/>
        <w:tab w:val="right" w:pos="8640"/>
      </w:tabs>
    </w:pPr>
  </w:style>
  <w:style w:type="character" w:styleId="PageNumber">
    <w:name w:val="page number"/>
    <w:basedOn w:val="DefaultParagraphFont"/>
    <w:rsid w:val="00EF1E61"/>
  </w:style>
  <w:style w:type="paragraph" w:customStyle="1" w:styleId="NormalSS">
    <w:name w:val="NormalSS"/>
    <w:basedOn w:val="Normal"/>
    <w:rsid w:val="00EF1E61"/>
    <w:pPr>
      <w:tabs>
        <w:tab w:val="left" w:pos="432"/>
      </w:tabs>
      <w:ind w:firstLine="432"/>
      <w:jc w:val="both"/>
    </w:pPr>
    <w:rPr>
      <w:szCs w:val="20"/>
    </w:rPr>
  </w:style>
  <w:style w:type="paragraph" w:styleId="BodyTextIndent">
    <w:name w:val="Body Text Indent"/>
    <w:basedOn w:val="Normal"/>
    <w:rsid w:val="00EF1E61"/>
    <w:pPr>
      <w:tabs>
        <w:tab w:val="left" w:pos="432"/>
      </w:tabs>
      <w:ind w:left="2160"/>
      <w:jc w:val="both"/>
    </w:pPr>
    <w:rPr>
      <w:szCs w:val="20"/>
    </w:rPr>
  </w:style>
  <w:style w:type="paragraph" w:styleId="FootnoteText">
    <w:name w:val="footnote text"/>
    <w:basedOn w:val="Normal"/>
    <w:semiHidden/>
    <w:rsid w:val="00EF1E61"/>
    <w:rPr>
      <w:sz w:val="20"/>
      <w:szCs w:val="20"/>
    </w:rPr>
  </w:style>
  <w:style w:type="character" w:styleId="FootnoteReference">
    <w:name w:val="footnote reference"/>
    <w:semiHidden/>
    <w:rsid w:val="00EF1E61"/>
    <w:rPr>
      <w:vertAlign w:val="superscript"/>
    </w:rPr>
  </w:style>
  <w:style w:type="paragraph" w:styleId="BodyTextIndent2">
    <w:name w:val="Body Text Indent 2"/>
    <w:basedOn w:val="Normal"/>
    <w:rsid w:val="00EF1E61"/>
    <w:pPr>
      <w:spacing w:after="120" w:line="480" w:lineRule="auto"/>
      <w:ind w:left="360"/>
    </w:pPr>
  </w:style>
  <w:style w:type="paragraph" w:customStyle="1" w:styleId="bullet0">
    <w:name w:val="bullet"/>
    <w:rsid w:val="00EF1E61"/>
    <w:pPr>
      <w:numPr>
        <w:numId w:val="11"/>
      </w:numPr>
      <w:spacing w:after="180"/>
      <w:ind w:right="360"/>
      <w:jc w:val="both"/>
    </w:pPr>
    <w:rPr>
      <w:sz w:val="24"/>
    </w:rPr>
  </w:style>
  <w:style w:type="paragraph" w:customStyle="1" w:styleId="LastBullet">
    <w:name w:val="Last Bullet"/>
    <w:next w:val="Normal"/>
    <w:rsid w:val="00EF1E61"/>
    <w:pPr>
      <w:tabs>
        <w:tab w:val="num" w:pos="360"/>
      </w:tabs>
      <w:spacing w:after="480"/>
      <w:ind w:left="720" w:right="360" w:hanging="288"/>
      <w:jc w:val="both"/>
    </w:pPr>
    <w:rPr>
      <w:sz w:val="24"/>
    </w:rPr>
  </w:style>
  <w:style w:type="character" w:styleId="FollowedHyperlink">
    <w:name w:val="FollowedHyperlink"/>
    <w:rsid w:val="00EF1E61"/>
    <w:rPr>
      <w:color w:val="800080"/>
      <w:u w:val="single"/>
    </w:rPr>
  </w:style>
  <w:style w:type="paragraph" w:styleId="HTMLPreformatted">
    <w:name w:val="HTML Preformatted"/>
    <w:basedOn w:val="Normal"/>
    <w:rsid w:val="00EF1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EF1E61"/>
    <w:pPr>
      <w:spacing w:before="100" w:beforeAutospacing="1" w:after="100" w:afterAutospacing="1"/>
    </w:pPr>
    <w:rPr>
      <w:color w:val="000000"/>
    </w:rPr>
  </w:style>
  <w:style w:type="character" w:styleId="Strong">
    <w:name w:val="Strong"/>
    <w:qFormat/>
    <w:rsid w:val="00EF1E61"/>
    <w:rPr>
      <w:b/>
      <w:bCs/>
    </w:rPr>
  </w:style>
  <w:style w:type="paragraph" w:styleId="BodyTextIndent3">
    <w:name w:val="Body Text Indent 3"/>
    <w:basedOn w:val="Normal"/>
    <w:rsid w:val="00EF1E61"/>
    <w:pPr>
      <w:spacing w:after="120"/>
      <w:ind w:left="360"/>
    </w:pPr>
    <w:rPr>
      <w:sz w:val="16"/>
      <w:szCs w:val="16"/>
    </w:rPr>
  </w:style>
  <w:style w:type="character" w:customStyle="1" w:styleId="footnoteref">
    <w:name w:val="footnote ref"/>
    <w:rsid w:val="00EF1E61"/>
  </w:style>
  <w:style w:type="character" w:customStyle="1" w:styleId="aeyoung">
    <w:name w:val="aeyoung"/>
    <w:semiHidden/>
    <w:rsid w:val="00EF1E61"/>
    <w:rPr>
      <w:rFonts w:ascii="Arial" w:hAnsi="Arial" w:cs="Arial"/>
      <w:color w:val="auto"/>
      <w:sz w:val="20"/>
      <w:szCs w:val="20"/>
    </w:rPr>
  </w:style>
  <w:style w:type="paragraph" w:styleId="BodyText">
    <w:name w:val="Body Text"/>
    <w:basedOn w:val="Normal"/>
    <w:rsid w:val="00EF1E61"/>
    <w:rPr>
      <w:color w:val="FF00FF"/>
    </w:rPr>
  </w:style>
  <w:style w:type="paragraph" w:styleId="BodyText2">
    <w:name w:val="Body Text 2"/>
    <w:basedOn w:val="Normal"/>
    <w:rsid w:val="00EF1E61"/>
    <w:rPr>
      <w:color w:val="0000FF"/>
    </w:rPr>
  </w:style>
  <w:style w:type="paragraph" w:styleId="BodyText3">
    <w:name w:val="Body Text 3"/>
    <w:basedOn w:val="Normal"/>
    <w:rsid w:val="00EF1E61"/>
    <w:rPr>
      <w:b/>
      <w:u w:val="single"/>
    </w:rPr>
  </w:style>
  <w:style w:type="paragraph" w:styleId="Title">
    <w:name w:val="Title"/>
    <w:basedOn w:val="Normal"/>
    <w:qFormat/>
    <w:rsid w:val="00EF1E61"/>
    <w:pPr>
      <w:jc w:val="center"/>
    </w:pPr>
    <w:rPr>
      <w:b/>
    </w:rPr>
  </w:style>
  <w:style w:type="paragraph" w:customStyle="1" w:styleId="BulletLAST">
    <w:name w:val="Bullet (LAST)"/>
    <w:next w:val="Normal"/>
    <w:rsid w:val="00EF1E61"/>
    <w:pPr>
      <w:tabs>
        <w:tab w:val="num" w:pos="720"/>
      </w:tabs>
      <w:spacing w:after="480"/>
      <w:ind w:left="720" w:right="360" w:hanging="288"/>
      <w:jc w:val="both"/>
    </w:pPr>
    <w:rPr>
      <w:sz w:val="24"/>
    </w:rPr>
  </w:style>
  <w:style w:type="paragraph" w:styleId="BalloonText">
    <w:name w:val="Balloon Text"/>
    <w:basedOn w:val="Normal"/>
    <w:semiHidden/>
    <w:rsid w:val="00EF1E61"/>
    <w:rPr>
      <w:rFonts w:ascii="Tahoma" w:hAnsi="Tahoma" w:cs="Tahoma"/>
      <w:sz w:val="16"/>
      <w:szCs w:val="16"/>
    </w:rPr>
  </w:style>
  <w:style w:type="character" w:customStyle="1" w:styleId="MTEquationSection">
    <w:name w:val="MTEquationSection"/>
    <w:rsid w:val="00EF1E61"/>
    <w:rPr>
      <w:vanish/>
      <w:color w:val="FF0000"/>
    </w:rPr>
  </w:style>
  <w:style w:type="character" w:styleId="CommentReference">
    <w:name w:val="annotation reference"/>
    <w:semiHidden/>
    <w:rsid w:val="00362417"/>
    <w:rPr>
      <w:sz w:val="16"/>
      <w:szCs w:val="16"/>
    </w:rPr>
  </w:style>
  <w:style w:type="paragraph" w:styleId="CommentText">
    <w:name w:val="annotation text"/>
    <w:basedOn w:val="Normal"/>
    <w:semiHidden/>
    <w:rsid w:val="00362417"/>
    <w:rPr>
      <w:sz w:val="20"/>
      <w:szCs w:val="20"/>
    </w:rPr>
  </w:style>
  <w:style w:type="paragraph" w:styleId="CommentSubject">
    <w:name w:val="annotation subject"/>
    <w:basedOn w:val="CommentText"/>
    <w:next w:val="CommentText"/>
    <w:semiHidden/>
    <w:rsid w:val="00362417"/>
    <w:rPr>
      <w:b/>
      <w:bCs/>
    </w:rPr>
  </w:style>
  <w:style w:type="paragraph" w:styleId="ListParagraph">
    <w:name w:val="List Paragraph"/>
    <w:basedOn w:val="Normal"/>
    <w:uiPriority w:val="34"/>
    <w:qFormat/>
    <w:rsid w:val="00BF0AAC"/>
    <w:pPr>
      <w:ind w:left="720"/>
      <w:contextualSpacing/>
    </w:pPr>
  </w:style>
  <w:style w:type="table" w:styleId="TableGrid">
    <w:name w:val="Table Grid"/>
    <w:basedOn w:val="TableNormal"/>
    <w:rsid w:val="0025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3D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1E61"/>
    <w:rPr>
      <w:sz w:val="24"/>
      <w:szCs w:val="24"/>
    </w:rPr>
  </w:style>
  <w:style w:type="paragraph" w:styleId="Heading1">
    <w:name w:val="heading 1"/>
    <w:basedOn w:val="Normal"/>
    <w:next w:val="Normal"/>
    <w:qFormat/>
    <w:rsid w:val="00EF1E61"/>
    <w:pPr>
      <w:keepNext/>
      <w:jc w:val="center"/>
      <w:outlineLvl w:val="0"/>
    </w:pPr>
    <w:rPr>
      <w:b/>
      <w:sz w:val="22"/>
      <w:szCs w:val="22"/>
    </w:rPr>
  </w:style>
  <w:style w:type="paragraph" w:styleId="Heading2">
    <w:name w:val="heading 2"/>
    <w:basedOn w:val="Normal"/>
    <w:next w:val="Normal"/>
    <w:qFormat/>
    <w:rsid w:val="00EF1E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1E61"/>
    <w:pPr>
      <w:tabs>
        <w:tab w:val="left" w:pos="432"/>
      </w:tabs>
      <w:spacing w:after="240"/>
      <w:ind w:left="432" w:hanging="432"/>
      <w:jc w:val="both"/>
      <w:outlineLvl w:val="2"/>
    </w:pPr>
    <w:rPr>
      <w:b/>
      <w:szCs w:val="20"/>
    </w:rPr>
  </w:style>
  <w:style w:type="paragraph" w:styleId="Heading4">
    <w:name w:val="heading 4"/>
    <w:basedOn w:val="Normal"/>
    <w:next w:val="Normal"/>
    <w:qFormat/>
    <w:rsid w:val="00EF1E61"/>
    <w:pPr>
      <w:keepNext/>
      <w:jc w:val="center"/>
      <w:outlineLvl w:val="3"/>
    </w:pPr>
    <w:rPr>
      <w:b/>
      <w:bCs/>
    </w:rPr>
  </w:style>
  <w:style w:type="paragraph" w:styleId="Heading5">
    <w:name w:val="heading 5"/>
    <w:basedOn w:val="Normal"/>
    <w:next w:val="Normal"/>
    <w:qFormat/>
    <w:rsid w:val="00EF1E61"/>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EF1E61"/>
    <w:pPr>
      <w:numPr>
        <w:numId w:val="26"/>
      </w:numPr>
      <w:spacing w:after="180"/>
      <w:ind w:right="360" w:hanging="288"/>
      <w:jc w:val="both"/>
    </w:pPr>
    <w:rPr>
      <w:sz w:val="24"/>
    </w:rPr>
  </w:style>
  <w:style w:type="character" w:styleId="Hyperlink">
    <w:name w:val="Hyperlink"/>
    <w:rsid w:val="00EF1E61"/>
    <w:rPr>
      <w:color w:val="0000FF"/>
      <w:u w:val="single"/>
    </w:rPr>
  </w:style>
  <w:style w:type="paragraph" w:styleId="Header">
    <w:name w:val="header"/>
    <w:basedOn w:val="Normal"/>
    <w:rsid w:val="00EF1E61"/>
    <w:pPr>
      <w:tabs>
        <w:tab w:val="center" w:pos="4320"/>
        <w:tab w:val="right" w:pos="8640"/>
      </w:tabs>
    </w:pPr>
  </w:style>
  <w:style w:type="paragraph" w:styleId="Footer">
    <w:name w:val="footer"/>
    <w:basedOn w:val="Normal"/>
    <w:rsid w:val="00EF1E61"/>
    <w:pPr>
      <w:tabs>
        <w:tab w:val="center" w:pos="4320"/>
        <w:tab w:val="right" w:pos="8640"/>
      </w:tabs>
    </w:pPr>
  </w:style>
  <w:style w:type="character" w:styleId="PageNumber">
    <w:name w:val="page number"/>
    <w:basedOn w:val="DefaultParagraphFont"/>
    <w:rsid w:val="00EF1E61"/>
  </w:style>
  <w:style w:type="paragraph" w:customStyle="1" w:styleId="NormalSS">
    <w:name w:val="NormalSS"/>
    <w:basedOn w:val="Normal"/>
    <w:rsid w:val="00EF1E61"/>
    <w:pPr>
      <w:tabs>
        <w:tab w:val="left" w:pos="432"/>
      </w:tabs>
      <w:ind w:firstLine="432"/>
      <w:jc w:val="both"/>
    </w:pPr>
    <w:rPr>
      <w:szCs w:val="20"/>
    </w:rPr>
  </w:style>
  <w:style w:type="paragraph" w:styleId="BodyTextIndent">
    <w:name w:val="Body Text Indent"/>
    <w:basedOn w:val="Normal"/>
    <w:rsid w:val="00EF1E61"/>
    <w:pPr>
      <w:tabs>
        <w:tab w:val="left" w:pos="432"/>
      </w:tabs>
      <w:ind w:left="2160"/>
      <w:jc w:val="both"/>
    </w:pPr>
    <w:rPr>
      <w:szCs w:val="20"/>
    </w:rPr>
  </w:style>
  <w:style w:type="paragraph" w:styleId="FootnoteText">
    <w:name w:val="footnote text"/>
    <w:basedOn w:val="Normal"/>
    <w:semiHidden/>
    <w:rsid w:val="00EF1E61"/>
    <w:rPr>
      <w:sz w:val="20"/>
      <w:szCs w:val="20"/>
    </w:rPr>
  </w:style>
  <w:style w:type="character" w:styleId="FootnoteReference">
    <w:name w:val="footnote reference"/>
    <w:semiHidden/>
    <w:rsid w:val="00EF1E61"/>
    <w:rPr>
      <w:vertAlign w:val="superscript"/>
    </w:rPr>
  </w:style>
  <w:style w:type="paragraph" w:styleId="BodyTextIndent2">
    <w:name w:val="Body Text Indent 2"/>
    <w:basedOn w:val="Normal"/>
    <w:rsid w:val="00EF1E61"/>
    <w:pPr>
      <w:spacing w:after="120" w:line="480" w:lineRule="auto"/>
      <w:ind w:left="360"/>
    </w:pPr>
  </w:style>
  <w:style w:type="paragraph" w:customStyle="1" w:styleId="bullet0">
    <w:name w:val="bullet"/>
    <w:rsid w:val="00EF1E61"/>
    <w:pPr>
      <w:numPr>
        <w:numId w:val="11"/>
      </w:numPr>
      <w:spacing w:after="180"/>
      <w:ind w:right="360"/>
      <w:jc w:val="both"/>
    </w:pPr>
    <w:rPr>
      <w:sz w:val="24"/>
    </w:rPr>
  </w:style>
  <w:style w:type="paragraph" w:customStyle="1" w:styleId="LastBullet">
    <w:name w:val="Last Bullet"/>
    <w:next w:val="Normal"/>
    <w:rsid w:val="00EF1E61"/>
    <w:pPr>
      <w:tabs>
        <w:tab w:val="num" w:pos="360"/>
      </w:tabs>
      <w:spacing w:after="480"/>
      <w:ind w:left="720" w:right="360" w:hanging="288"/>
      <w:jc w:val="both"/>
    </w:pPr>
    <w:rPr>
      <w:sz w:val="24"/>
    </w:rPr>
  </w:style>
  <w:style w:type="character" w:styleId="FollowedHyperlink">
    <w:name w:val="FollowedHyperlink"/>
    <w:rsid w:val="00EF1E61"/>
    <w:rPr>
      <w:color w:val="800080"/>
      <w:u w:val="single"/>
    </w:rPr>
  </w:style>
  <w:style w:type="paragraph" w:styleId="HTMLPreformatted">
    <w:name w:val="HTML Preformatted"/>
    <w:basedOn w:val="Normal"/>
    <w:rsid w:val="00EF1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EF1E61"/>
    <w:pPr>
      <w:spacing w:before="100" w:beforeAutospacing="1" w:after="100" w:afterAutospacing="1"/>
    </w:pPr>
    <w:rPr>
      <w:color w:val="000000"/>
    </w:rPr>
  </w:style>
  <w:style w:type="character" w:styleId="Strong">
    <w:name w:val="Strong"/>
    <w:qFormat/>
    <w:rsid w:val="00EF1E61"/>
    <w:rPr>
      <w:b/>
      <w:bCs/>
    </w:rPr>
  </w:style>
  <w:style w:type="paragraph" w:styleId="BodyTextIndent3">
    <w:name w:val="Body Text Indent 3"/>
    <w:basedOn w:val="Normal"/>
    <w:rsid w:val="00EF1E61"/>
    <w:pPr>
      <w:spacing w:after="120"/>
      <w:ind w:left="360"/>
    </w:pPr>
    <w:rPr>
      <w:sz w:val="16"/>
      <w:szCs w:val="16"/>
    </w:rPr>
  </w:style>
  <w:style w:type="character" w:customStyle="1" w:styleId="footnoteref">
    <w:name w:val="footnote ref"/>
    <w:rsid w:val="00EF1E61"/>
  </w:style>
  <w:style w:type="character" w:customStyle="1" w:styleId="aeyoung">
    <w:name w:val="aeyoung"/>
    <w:semiHidden/>
    <w:rsid w:val="00EF1E61"/>
    <w:rPr>
      <w:rFonts w:ascii="Arial" w:hAnsi="Arial" w:cs="Arial"/>
      <w:color w:val="auto"/>
      <w:sz w:val="20"/>
      <w:szCs w:val="20"/>
    </w:rPr>
  </w:style>
  <w:style w:type="paragraph" w:styleId="BodyText">
    <w:name w:val="Body Text"/>
    <w:basedOn w:val="Normal"/>
    <w:rsid w:val="00EF1E61"/>
    <w:rPr>
      <w:color w:val="FF00FF"/>
    </w:rPr>
  </w:style>
  <w:style w:type="paragraph" w:styleId="BodyText2">
    <w:name w:val="Body Text 2"/>
    <w:basedOn w:val="Normal"/>
    <w:rsid w:val="00EF1E61"/>
    <w:rPr>
      <w:color w:val="0000FF"/>
    </w:rPr>
  </w:style>
  <w:style w:type="paragraph" w:styleId="BodyText3">
    <w:name w:val="Body Text 3"/>
    <w:basedOn w:val="Normal"/>
    <w:rsid w:val="00EF1E61"/>
    <w:rPr>
      <w:b/>
      <w:u w:val="single"/>
    </w:rPr>
  </w:style>
  <w:style w:type="paragraph" w:styleId="Title">
    <w:name w:val="Title"/>
    <w:basedOn w:val="Normal"/>
    <w:qFormat/>
    <w:rsid w:val="00EF1E61"/>
    <w:pPr>
      <w:jc w:val="center"/>
    </w:pPr>
    <w:rPr>
      <w:b/>
    </w:rPr>
  </w:style>
  <w:style w:type="paragraph" w:customStyle="1" w:styleId="BulletLAST">
    <w:name w:val="Bullet (LAST)"/>
    <w:next w:val="Normal"/>
    <w:rsid w:val="00EF1E61"/>
    <w:pPr>
      <w:tabs>
        <w:tab w:val="num" w:pos="720"/>
      </w:tabs>
      <w:spacing w:after="480"/>
      <w:ind w:left="720" w:right="360" w:hanging="288"/>
      <w:jc w:val="both"/>
    </w:pPr>
    <w:rPr>
      <w:sz w:val="24"/>
    </w:rPr>
  </w:style>
  <w:style w:type="paragraph" w:styleId="BalloonText">
    <w:name w:val="Balloon Text"/>
    <w:basedOn w:val="Normal"/>
    <w:semiHidden/>
    <w:rsid w:val="00EF1E61"/>
    <w:rPr>
      <w:rFonts w:ascii="Tahoma" w:hAnsi="Tahoma" w:cs="Tahoma"/>
      <w:sz w:val="16"/>
      <w:szCs w:val="16"/>
    </w:rPr>
  </w:style>
  <w:style w:type="character" w:customStyle="1" w:styleId="MTEquationSection">
    <w:name w:val="MTEquationSection"/>
    <w:rsid w:val="00EF1E61"/>
    <w:rPr>
      <w:vanish/>
      <w:color w:val="FF0000"/>
    </w:rPr>
  </w:style>
  <w:style w:type="character" w:styleId="CommentReference">
    <w:name w:val="annotation reference"/>
    <w:semiHidden/>
    <w:rsid w:val="00362417"/>
    <w:rPr>
      <w:sz w:val="16"/>
      <w:szCs w:val="16"/>
    </w:rPr>
  </w:style>
  <w:style w:type="paragraph" w:styleId="CommentText">
    <w:name w:val="annotation text"/>
    <w:basedOn w:val="Normal"/>
    <w:semiHidden/>
    <w:rsid w:val="00362417"/>
    <w:rPr>
      <w:sz w:val="20"/>
      <w:szCs w:val="20"/>
    </w:rPr>
  </w:style>
  <w:style w:type="paragraph" w:styleId="CommentSubject">
    <w:name w:val="annotation subject"/>
    <w:basedOn w:val="CommentText"/>
    <w:next w:val="CommentText"/>
    <w:semiHidden/>
    <w:rsid w:val="00362417"/>
    <w:rPr>
      <w:b/>
      <w:bCs/>
    </w:rPr>
  </w:style>
  <w:style w:type="paragraph" w:styleId="ListParagraph">
    <w:name w:val="List Paragraph"/>
    <w:basedOn w:val="Normal"/>
    <w:uiPriority w:val="34"/>
    <w:qFormat/>
    <w:rsid w:val="00BF0AAC"/>
    <w:pPr>
      <w:ind w:left="720"/>
      <w:contextualSpacing/>
    </w:pPr>
  </w:style>
  <w:style w:type="table" w:styleId="TableGrid">
    <w:name w:val="Table Grid"/>
    <w:basedOn w:val="TableNormal"/>
    <w:rsid w:val="0025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3D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bls.gov/PDQ/outside.jsp?survey=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data.bls.gov/pdq/querytool.jsp?survey=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bls.gov/PDQ/outside.jsp?survey=ce" TargetMode="External"/><Relationship Id="rId5" Type="http://schemas.openxmlformats.org/officeDocument/2006/relationships/settings" Target="settings.xml"/><Relationship Id="rId15" Type="http://schemas.openxmlformats.org/officeDocument/2006/relationships/hyperlink" Target="http://www.opm.gov/policy-data-oversight/pay-leave/salaries-wages/salary-tables/pdf/2014/DCB.pdf" TargetMode="External"/><Relationship Id="rId23" Type="http://schemas.openxmlformats.org/officeDocument/2006/relationships/theme" Target="theme/theme1.xml"/><Relationship Id="rId10" Type="http://schemas.openxmlformats.org/officeDocument/2006/relationships/hyperlink" Target="http://data.bls.gov/PDQ/outside.jsp?survey=c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data.bls.gov/pdq/querytool.jsp?survey=en" TargetMode="External"/><Relationship Id="rId14" Type="http://schemas.openxmlformats.org/officeDocument/2006/relationships/hyperlink" Target="http://data.bls.gov/pdq/querytool.jsp?survey=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45A-4033-46A9-80DA-2B336982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8618</Words>
  <Characters>48126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56631</CharactersWithSpaces>
  <SharedDoc>false</SharedDoc>
  <HLinks>
    <vt:vector size="6" baseType="variant">
      <vt:variant>
        <vt:i4>6684682</vt:i4>
      </vt:variant>
      <vt:variant>
        <vt:i4>0</vt:i4>
      </vt:variant>
      <vt:variant>
        <vt:i4>0</vt:i4>
      </vt:variant>
      <vt:variant>
        <vt:i4>5</vt:i4>
      </vt:variant>
      <vt:variant>
        <vt:lpwstr>http://www.doleta.gov/performance/reporting/tools_datavalidation.cfm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2014-06-23T20:37:00Z</dcterms:created>
  <dcterms:modified xsi:type="dcterms:W3CDTF">2014-06-23T20:37:00Z</dcterms:modified>
</cp:coreProperties>
</file>