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020"/>
        <w:gridCol w:w="720"/>
        <w:gridCol w:w="630"/>
        <w:gridCol w:w="630"/>
        <w:gridCol w:w="630"/>
        <w:gridCol w:w="810"/>
      </w:tblGrid>
      <w:tr w:rsidR="001E443E" w:rsidRPr="00674990" w:rsidTr="003673C7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5F07C7" w:rsidRDefault="001E443E" w:rsidP="00B513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F07C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Schedule </w:t>
            </w:r>
            <w:r w:rsidR="0031289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="00F8474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—</w:t>
            </w:r>
            <w:r w:rsidR="00B5131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Advanced Risk-Based Capital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E" w:rsidRPr="00674990" w:rsidRDefault="001E443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E" w:rsidRPr="00674990" w:rsidRDefault="001E443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E443E" w:rsidRPr="00674990" w:rsidTr="003673C7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This schedule is to be submitted on a consolidated basis</w:t>
            </w:r>
            <w:r w:rsidR="008C01FC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43E" w:rsidRPr="00674990" w:rsidRDefault="001E443E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E" w:rsidRPr="00674990" w:rsidRDefault="001E443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43E" w:rsidRPr="00674990" w:rsidRDefault="001E443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74990" w:rsidRPr="00674990" w:rsidTr="003673C7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Dollar Amounts in Thousands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E034B4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AAAB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Mil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Thou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74990" w:rsidRPr="00674990" w:rsidTr="003673C7">
        <w:trPr>
          <w:cantSplit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Common equity tier 1 capital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74990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CF00F7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" w:name="_Ref331676123"/>
          </w:p>
        </w:tc>
        <w:bookmarkEnd w:id="1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790E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Common stock plus related surplus, net of treasury stoc</w:t>
            </w:r>
            <w:r w:rsidR="00790E81">
              <w:rPr>
                <w:rFonts w:eastAsia="Times New Roman"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4990" w:rsidRPr="00674990" w:rsidRDefault="00674990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</w:tr>
      <w:tr w:rsidR="00674990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790E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Retained earnings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4990" w:rsidRPr="00674990" w:rsidRDefault="00674990" w:rsidP="003B54E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sz w:val="20"/>
                <w:szCs w:val="20"/>
              </w:rPr>
              <w:t> </w:t>
            </w:r>
            <w:r w:rsidR="00A83386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</w:tr>
      <w:tr w:rsidR="00674990" w:rsidRPr="00674990" w:rsidTr="008426F6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90" w:rsidRPr="00312890" w:rsidRDefault="00674990" w:rsidP="00790E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>Accumulated other comprehensive income (AOCI)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4990" w:rsidRPr="00674990" w:rsidRDefault="00674990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0F37B8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674990" w:rsidRPr="00674990" w:rsidTr="00312890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990" w:rsidRPr="00312890" w:rsidRDefault="00674990" w:rsidP="00790E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>Directly issued capital subject to phase out from common equity tier 1 capital (not applicable)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74990" w:rsidRPr="00674990" w:rsidRDefault="00674990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0F37B8">
              <w:rPr>
                <w:rFonts w:eastAsia="Times New Roman" w:cstheme="minorHAnsi"/>
                <w:color w:val="000000"/>
                <w:sz w:val="20"/>
                <w:szCs w:val="20"/>
              </w:rPr>
              <w:t>4.</w:t>
            </w:r>
          </w:p>
        </w:tc>
      </w:tr>
      <w:tr w:rsidR="00674990" w:rsidRPr="00674990" w:rsidTr="008426F6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" w:name="_Ref331676130"/>
          </w:p>
        </w:tc>
        <w:bookmarkEnd w:id="2"/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4990" w:rsidRPr="00312890" w:rsidRDefault="00674990" w:rsidP="003128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>Common equity tier 1 minority interest includable in common equity tier 1 capital</w:t>
            </w:r>
            <w:r w:rsidR="00C6183F"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5.</w:t>
            </w:r>
          </w:p>
        </w:tc>
      </w:tr>
      <w:tr w:rsidR="00674990" w:rsidRPr="00674990" w:rsidTr="00D7192E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674990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3" w:name="_Ref331676167"/>
          </w:p>
        </w:tc>
        <w:bookmarkEnd w:id="3"/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4990" w:rsidRPr="00312890" w:rsidRDefault="00674990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Common equity tier 1 capital before regulatory </w:t>
            </w:r>
            <w:r w:rsidR="00F26A65"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>deductions and adjustments</w:t>
            </w: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 of items 1, 2, 3, and 5)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4990" w:rsidRPr="00674990" w:rsidRDefault="00674990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990" w:rsidRPr="00674990" w:rsidRDefault="00674990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74990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6.</w:t>
            </w:r>
          </w:p>
        </w:tc>
      </w:tr>
      <w:tr w:rsidR="00D7192E" w:rsidRPr="00674990" w:rsidTr="00476C09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92E" w:rsidRPr="00312890" w:rsidRDefault="00D7192E" w:rsidP="00E62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92E" w:rsidRPr="00674990" w:rsidRDefault="00D7192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192E" w:rsidRPr="00674990" w:rsidRDefault="00D7192E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7192E" w:rsidRPr="00674990" w:rsidTr="00476C09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192E" w:rsidRPr="00312890" w:rsidRDefault="00D7192E" w:rsidP="00FC50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Common equity tier 1 capital: adjustments</w:t>
            </w:r>
            <w:r w:rsidR="00FC50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and deductions</w:t>
            </w:r>
          </w:p>
        </w:tc>
        <w:tc>
          <w:tcPr>
            <w:tcW w:w="26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192E" w:rsidRPr="00674990" w:rsidRDefault="00D7192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192E" w:rsidRPr="00674990" w:rsidRDefault="00D7192E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7192E" w:rsidRPr="00674990" w:rsidTr="00476C09">
        <w:trPr>
          <w:cantSplit/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192E" w:rsidRPr="00674990" w:rsidRDefault="00D7192E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4" w:name="_Ref331676151"/>
          </w:p>
        </w:tc>
        <w:bookmarkEnd w:id="4"/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192E" w:rsidRPr="00312890" w:rsidRDefault="00D7192E" w:rsidP="003128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12890">
              <w:rPr>
                <w:rFonts w:eastAsia="Times New Roman" w:cstheme="minorHAnsi"/>
                <w:color w:val="000000"/>
                <w:sz w:val="20"/>
                <w:szCs w:val="20"/>
              </w:rPr>
              <w:t>Prudential valuation adjustments (not applicable)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192E" w:rsidRPr="00674990" w:rsidRDefault="00D7192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192E" w:rsidRPr="00674990" w:rsidRDefault="00D7192E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7.</w:t>
            </w:r>
          </w:p>
        </w:tc>
      </w:tr>
      <w:tr w:rsidR="00917A4B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17A4B" w:rsidRPr="00674990" w:rsidRDefault="00917A4B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4B" w:rsidRPr="00674990" w:rsidRDefault="00917A4B" w:rsidP="003128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Goodwill net of associated def</w:t>
            </w:r>
            <w:r w:rsidR="006C0C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erred tax liabilities (DTLs)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A4B" w:rsidRPr="00917A4B" w:rsidRDefault="00917A4B" w:rsidP="0067499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A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4B" w:rsidRPr="00917A4B" w:rsidRDefault="00917A4B" w:rsidP="0067499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A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4B" w:rsidRPr="00917A4B" w:rsidRDefault="00917A4B" w:rsidP="0067499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A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4B" w:rsidRPr="00917A4B" w:rsidRDefault="00917A4B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17A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17A4B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312890" w:rsidP="00FC50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Other i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ntangible assets net of associated DTLs, other than </w:t>
            </w:r>
            <w:r w:rsidR="006C0C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goodwill and </w:t>
            </w:r>
            <w:r w:rsidR="00FC5061">
              <w:rPr>
                <w:rFonts w:eastAsia="Times New Roman" w:cstheme="minorHAnsi"/>
                <w:color w:val="000000"/>
                <w:sz w:val="20"/>
                <w:szCs w:val="20"/>
              </w:rPr>
              <w:t>mortgage s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ervicing </w:t>
            </w:r>
            <w:r w:rsidR="00FC5061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ssets (MSAs)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F37B8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9.</w:t>
            </w:r>
          </w:p>
        </w:tc>
      </w:tr>
      <w:tr w:rsidR="008D10EB" w:rsidRPr="00674990" w:rsidTr="003B54E4">
        <w:trPr>
          <w:cantSplit/>
          <w:trHeight w:val="498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D10EB" w:rsidRPr="00674990" w:rsidRDefault="008D10EB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0EB" w:rsidRPr="00674990" w:rsidRDefault="008D10EB" w:rsidP="00C020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Deferred tax assets (DTAs) that arise from </w:t>
            </w:r>
            <w:r w:rsidR="006C07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net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operating loss and tax credit carryforwards, net of 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any related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valuation allowances and net of DTLs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EB" w:rsidRPr="00674990" w:rsidRDefault="008D10EB" w:rsidP="00A833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EB" w:rsidRPr="00674990" w:rsidRDefault="008D10EB" w:rsidP="00A833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EB" w:rsidRPr="00674990" w:rsidRDefault="008D10EB" w:rsidP="00A833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D10EB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101C03" w:rsidP="00C020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Accumulated net 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gain or loss on cash-flow hedges included in AOCI, net of 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applicable income 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tax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>es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, that relate to the hedging of items that are n</w:t>
            </w:r>
            <w:r w:rsidR="006C0C25">
              <w:rPr>
                <w:rFonts w:eastAsia="Times New Roman" w:cstheme="minorHAnsi"/>
                <w:color w:val="000000"/>
                <w:sz w:val="20"/>
                <w:szCs w:val="20"/>
              </w:rPr>
              <w:t>ot recognized at fair value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on the balance sheet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3128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Expected credit loss that exceeds eligible credit reserves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Gain-on-sale associated with a securitization exposure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Unrealized gain or loss related to changes in the fair value of liabilities that are due to changes in own credit risk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D91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Defined-benefit pension fund assets, net of </w:t>
            </w:r>
            <w:r w:rsidR="00B215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associated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DTLs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Investments in own shares to the extent not excluded above as part of treasury stock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Reciprocal cross-holdings in the common </w:t>
            </w:r>
            <w:r w:rsidR="00917A4B">
              <w:rPr>
                <w:rFonts w:eastAsia="Times New Roman" w:cstheme="minorHAnsi"/>
                <w:color w:val="000000"/>
                <w:sz w:val="20"/>
                <w:szCs w:val="20"/>
              </w:rPr>
              <w:t>equity of financial institutions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101C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Non-significant investments in the capital of unconsolidated financial institutions in the form of common stock </w:t>
            </w:r>
            <w:r w:rsidR="00101C0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that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exceed the 10 percent threshold</w:t>
            </w:r>
            <w:r w:rsidR="00917A4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for non-significant investments</w:t>
            </w:r>
            <w:r w:rsidR="003128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5B01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Significant investments in the capital of unconsolidated financial institutions in the form of common stock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>, net of associated DTLs,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5B01F6">
              <w:rPr>
                <w:rFonts w:eastAsia="Times New Roman" w:cstheme="minorHAnsi"/>
                <w:color w:val="000000"/>
                <w:sz w:val="20"/>
                <w:szCs w:val="20"/>
              </w:rPr>
              <w:t>that exceed</w:t>
            </w:r>
            <w:r w:rsidR="005B01F6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the 10 percent common equity ti</w:t>
            </w:r>
            <w:r w:rsidR="00917A4B">
              <w:rPr>
                <w:rFonts w:eastAsia="Times New Roman" w:cstheme="minorHAnsi"/>
                <w:color w:val="000000"/>
                <w:sz w:val="20"/>
                <w:szCs w:val="20"/>
              </w:rPr>
              <w:t>er 1 capital deduction threshold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19.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5B01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MSAs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net of associated DTLs</w:t>
            </w:r>
            <w:r w:rsidR="00C020F3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5B01F6">
              <w:rPr>
                <w:rFonts w:eastAsia="Times New Roman" w:cstheme="minorHAnsi"/>
                <w:color w:val="000000"/>
                <w:sz w:val="20"/>
                <w:szCs w:val="20"/>
              </w:rPr>
              <w:t>that exceed</w:t>
            </w:r>
            <w:r w:rsidR="005B01F6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10 percent common equity tier 1 capital deduction threshold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5B01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DTAs arising from temporary differences that could not be realized through net operating loss carrybacks, net of related valuation allowances and net of DTLs, </w:t>
            </w:r>
            <w:r w:rsidR="005B01F6">
              <w:rPr>
                <w:rFonts w:eastAsia="Times New Roman" w:cstheme="minorHAnsi"/>
                <w:color w:val="000000"/>
                <w:sz w:val="20"/>
                <w:szCs w:val="20"/>
              </w:rPr>
              <w:t>that exceed</w:t>
            </w:r>
            <w:r w:rsidR="005B01F6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the 10 percent common equity tier 1 capital deduction threshold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462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Amount of significant investments in the capital of unconsolidated financial institutions in the form of common stock</w:t>
            </w:r>
            <w:r w:rsidR="00026A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net </w:t>
            </w:r>
            <w:r w:rsidR="00646282">
              <w:rPr>
                <w:rFonts w:eastAsia="Times New Roman" w:cstheme="minorHAnsi"/>
                <w:color w:val="000000"/>
                <w:sz w:val="20"/>
                <w:szCs w:val="20"/>
              </w:rPr>
              <w:t>of</w:t>
            </w:r>
            <w:r w:rsidR="00026A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B215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associated </w:t>
            </w:r>
            <w:r w:rsidR="00026A83">
              <w:rPr>
                <w:rFonts w:eastAsia="Times New Roman" w:cstheme="minorHAnsi"/>
                <w:color w:val="000000"/>
                <w:sz w:val="20"/>
                <w:szCs w:val="20"/>
              </w:rPr>
              <w:t>DTLs</w:t>
            </w:r>
            <w:r w:rsidR="00D91012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MSAs</w:t>
            </w:r>
            <w:r w:rsidR="005B01F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net of associated DTLs</w:t>
            </w:r>
            <w:r w:rsidR="00D91012">
              <w:rPr>
                <w:rFonts w:eastAsia="Times New Roman" w:cstheme="minorHAnsi"/>
                <w:color w:val="000000"/>
                <w:sz w:val="20"/>
                <w:szCs w:val="20"/>
              </w:rPr>
              <w:t>;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DTAs arising from temporary differences that could not be realized through net operating loss carrybacks, </w:t>
            </w:r>
            <w:r w:rsidR="00B3094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net of related valuation allowances and net of </w:t>
            </w:r>
            <w:r w:rsidR="00B215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associated </w:t>
            </w:r>
            <w:r w:rsidR="00B3094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DTLs, </w:t>
            </w:r>
            <w:r w:rsidR="005B01F6">
              <w:rPr>
                <w:rFonts w:eastAsia="Times New Roman" w:cstheme="minorHAnsi"/>
                <w:color w:val="000000"/>
                <w:sz w:val="20"/>
                <w:szCs w:val="20"/>
              </w:rPr>
              <w:t>that exceeds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the 15 percent common equity tier 1 capital deduction threshold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FC5061">
            <w:pPr>
              <w:spacing w:after="0" w:line="240" w:lineRule="auto"/>
              <w:ind w:left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 which: </w:t>
            </w:r>
            <w:r w:rsidR="00312890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ignificant investments in the capital of unconsolidated financial institutions in the form of common stock</w:t>
            </w:r>
            <w:r w:rsidR="008F7C4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net of </w:t>
            </w:r>
            <w:r w:rsidR="00B215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associated </w:t>
            </w:r>
            <w:r w:rsidR="008F7C48">
              <w:rPr>
                <w:rFonts w:eastAsia="Times New Roman" w:cstheme="minorHAnsi"/>
                <w:color w:val="000000"/>
                <w:sz w:val="20"/>
                <w:szCs w:val="20"/>
              </w:rPr>
              <w:t>DTLs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8F7C48">
            <w:pPr>
              <w:spacing w:after="0" w:line="240" w:lineRule="auto"/>
              <w:ind w:left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of which: MSAs</w:t>
            </w:r>
            <w:r w:rsidR="008F7C48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net of associated DTLs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FC5061">
            <w:pPr>
              <w:spacing w:after="0" w:line="240" w:lineRule="auto"/>
              <w:ind w:left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of which: DTAs arising from temporary differences that could not be realized through net operating loss carrybacks, net of related valuation allowances and net of DTLs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192E" w:rsidRPr="00674990" w:rsidTr="00476C09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192E" w:rsidRPr="00674990" w:rsidRDefault="00D7192E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7192E" w:rsidRPr="00674990" w:rsidRDefault="00FC5061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National specific regulatory adjustments</w:t>
            </w:r>
            <w:r w:rsid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(not applicable)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192E" w:rsidRPr="00D7192E" w:rsidRDefault="00D7192E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7192E" w:rsidRPr="00674990" w:rsidRDefault="00D7192E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26.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E7582" w:rsidRPr="00674990" w:rsidTr="00427F9B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5" w:name="_Ref331676158"/>
          </w:p>
        </w:tc>
        <w:bookmarkEnd w:id="5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FC5061" w:rsidP="00FC50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Deductions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applied to common equity tier 1 capital due to insufficient </w:t>
            </w:r>
            <w:r w:rsidR="002C73B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amount of </w:t>
            </w:r>
            <w:r w:rsidR="00CE7582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additional tier 1 capital and tier 2 capital to cover deductions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27.</w:t>
            </w:r>
          </w:p>
        </w:tc>
      </w:tr>
      <w:tr w:rsidR="00CE7582" w:rsidRPr="00674990" w:rsidTr="00427F9B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6" w:name="_Ref331676173"/>
          </w:p>
        </w:tc>
        <w:bookmarkEnd w:id="6"/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82" w:rsidRPr="00674990" w:rsidRDefault="00CE7582" w:rsidP="001824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Total </w:t>
            </w:r>
            <w:r w:rsidR="00FC5061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>djustments</w:t>
            </w:r>
            <w:r w:rsidR="00FC5061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deductions</w:t>
            </w:r>
            <w:r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476C09">
              <w:rPr>
                <w:rFonts w:eastAsia="Times New Roman" w:cstheme="minorHAnsi"/>
                <w:color w:val="000000"/>
                <w:sz w:val="20"/>
                <w:szCs w:val="20"/>
              </w:rPr>
              <w:t>for</w:t>
            </w:r>
            <w:r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common equity tier 1 capital</w:t>
            </w:r>
            <w:r w:rsidR="00C6183F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 of items </w:t>
            </w:r>
            <w:r w:rsidR="0018242B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D7192E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through </w:t>
            </w:r>
            <w:r w:rsidR="00C6183F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D7192E" w:rsidRPr="00476C09">
              <w:rPr>
                <w:rFonts w:eastAsia="Times New Roman" w:cstheme="minorHAnsi"/>
                <w:color w:val="000000"/>
                <w:sz w:val="20"/>
                <w:szCs w:val="20"/>
              </w:rPr>
              <w:t>2, plus item 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28.</w:t>
            </w:r>
          </w:p>
        </w:tc>
      </w:tr>
      <w:tr w:rsidR="00CE7582" w:rsidRPr="00674990" w:rsidTr="00427F9B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CE7582" w:rsidRPr="00674990" w:rsidRDefault="00CE7582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7" w:name="_Ref331676247"/>
          </w:p>
        </w:tc>
        <w:bookmarkEnd w:id="7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E7582" w:rsidRPr="00674990" w:rsidRDefault="00CE7582" w:rsidP="000666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Common equity tier 1 capital</w:t>
            </w:r>
            <w:r w:rsid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066631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tem 6 less 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>item 28)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29.</w:t>
            </w:r>
          </w:p>
        </w:tc>
      </w:tr>
      <w:tr w:rsidR="003673C7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73C7" w:rsidRPr="00CE7582" w:rsidRDefault="003673C7" w:rsidP="00E620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3673C7" w:rsidRPr="00674990" w:rsidRDefault="003673C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:rsidR="003673C7" w:rsidRPr="00674990" w:rsidRDefault="003673C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:rsidR="003673C7" w:rsidRPr="00674990" w:rsidRDefault="003673C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3C7" w:rsidRPr="00674990" w:rsidRDefault="003673C7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73C7" w:rsidRPr="00674990" w:rsidRDefault="003673C7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E7582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7582" w:rsidRPr="00CE7582" w:rsidRDefault="006C0C25" w:rsidP="00ED7E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Additional tier 1 capital</w:t>
            </w:r>
            <w:r w:rsidR="00CE7582" w:rsidRPr="00CE758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7582" w:rsidRPr="00674990" w:rsidRDefault="00CE7582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8" w:name="_Ref331676190"/>
          </w:p>
        </w:tc>
        <w:bookmarkEnd w:id="8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Additional tier 1 capital instruments plus related surplus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30.</w:t>
            </w:r>
          </w:p>
        </w:tc>
      </w:tr>
      <w:tr w:rsidR="000F37B8" w:rsidRPr="00674990" w:rsidTr="00D7192E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37B8" w:rsidRPr="00D7192E" w:rsidRDefault="000F37B8" w:rsidP="00476C09">
            <w:pPr>
              <w:spacing w:after="0" w:line="240" w:lineRule="auto"/>
              <w:ind w:firstLine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>of which: classified as equity under GAAP (not applicable)</w:t>
            </w:r>
            <w:r w:rsidR="00F64FC5"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37B8" w:rsidRPr="00674990" w:rsidRDefault="000F37B8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31.</w:t>
            </w:r>
          </w:p>
        </w:tc>
      </w:tr>
      <w:tr w:rsidR="000F37B8" w:rsidRPr="00674990" w:rsidTr="00D7192E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37B8" w:rsidRPr="00D7192E" w:rsidRDefault="000F37B8" w:rsidP="00476C09">
            <w:pPr>
              <w:spacing w:after="0" w:line="240" w:lineRule="auto"/>
              <w:ind w:firstLine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>of which: classified as liabilities under GAAP (not applicable)</w:t>
            </w:r>
            <w:r w:rsidR="00F64FC5"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CE7582">
              <w:rPr>
                <w:rFonts w:eastAsia="Times New Roman" w:cstheme="minorHAnsi"/>
                <w:color w:val="000000"/>
                <w:sz w:val="20"/>
                <w:szCs w:val="20"/>
              </w:rPr>
              <w:t>32.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9" w:name="_Ref331676194"/>
          </w:p>
        </w:tc>
        <w:bookmarkEnd w:id="9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Non-qualifying capital instruments subject to phase out from additional tier 1 capital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CE7582">
              <w:rPr>
                <w:rFonts w:eastAsia="Times New Roman" w:cstheme="minorHAnsi"/>
                <w:color w:val="000000"/>
                <w:sz w:val="20"/>
                <w:szCs w:val="20"/>
              </w:rPr>
              <w:t>33.</w:t>
            </w:r>
          </w:p>
        </w:tc>
      </w:tr>
      <w:tr w:rsidR="000F37B8" w:rsidRPr="00674990" w:rsidTr="00476C09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0" w:name="_Ref331676199"/>
          </w:p>
        </w:tc>
        <w:bookmarkEnd w:id="10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D71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Tier 1 minority interest not included in common equity tier 1 capital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CE7582">
              <w:rPr>
                <w:rFonts w:eastAsia="Times New Roman" w:cstheme="minorHAnsi"/>
                <w:color w:val="000000"/>
                <w:sz w:val="20"/>
                <w:szCs w:val="20"/>
              </w:rPr>
              <w:t>34.</w:t>
            </w:r>
          </w:p>
        </w:tc>
      </w:tr>
      <w:tr w:rsidR="000F37B8" w:rsidRPr="00674990" w:rsidTr="00476C09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34738E">
            <w:pPr>
              <w:spacing w:after="0" w:line="240" w:lineRule="auto"/>
              <w:ind w:left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 which: </w:t>
            </w:r>
            <w:r w:rsidR="0034738E">
              <w:rPr>
                <w:rFonts w:eastAsia="Times New Roman" w:cstheme="minorHAnsi"/>
                <w:color w:val="000000"/>
                <w:sz w:val="20"/>
                <w:szCs w:val="20"/>
              </w:rPr>
              <w:t>amount</w:t>
            </w:r>
            <w:r w:rsidR="0034738E"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subject to phase out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CE7582">
              <w:rPr>
                <w:rFonts w:eastAsia="Times New Roman" w:cstheme="minorHAnsi"/>
                <w:color w:val="000000"/>
                <w:sz w:val="20"/>
                <w:szCs w:val="20"/>
              </w:rPr>
              <w:t>35.</w:t>
            </w:r>
          </w:p>
        </w:tc>
      </w:tr>
      <w:tr w:rsidR="000F37B8" w:rsidRPr="00674990" w:rsidTr="006C0C2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1" w:name="_Ref331676230"/>
          </w:p>
        </w:tc>
        <w:bookmarkEnd w:id="11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ED7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Additional tier 1 capital before </w:t>
            </w:r>
            <w:r w:rsidR="00ED7EAF">
              <w:rPr>
                <w:rFonts w:eastAsia="Times New Roman" w:cstheme="minorHAnsi"/>
                <w:color w:val="000000"/>
                <w:sz w:val="20"/>
                <w:szCs w:val="20"/>
              </w:rPr>
              <w:t>deductions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 of items 30, 33</w:t>
            </w:r>
            <w:r w:rsidR="00352B7B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34)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CE7582">
              <w:rPr>
                <w:rFonts w:eastAsia="Times New Roman" w:cstheme="minorHAnsi"/>
                <w:color w:val="000000"/>
                <w:sz w:val="20"/>
                <w:szCs w:val="20"/>
              </w:rPr>
              <w:t>36.</w:t>
            </w:r>
          </w:p>
        </w:tc>
      </w:tr>
      <w:tr w:rsidR="008D10EB" w:rsidRPr="00674990" w:rsidTr="003673C7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0EB" w:rsidRPr="00CF00F7" w:rsidRDefault="008D10EB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D10EB" w:rsidRPr="00674990" w:rsidRDefault="008D10EB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0EB" w:rsidRPr="00674990" w:rsidRDefault="008D10EB" w:rsidP="006D0B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F00F7" w:rsidRPr="00674990" w:rsidTr="003673C7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0F7" w:rsidRPr="00CF00F7" w:rsidRDefault="00CF00F7" w:rsidP="00ED7E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Additional tier 1 capital</w:t>
            </w:r>
            <w:r w:rsidR="00ED7EAF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deductions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00F7" w:rsidRPr="00674990" w:rsidRDefault="00CF00F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00F7" w:rsidRPr="00674990" w:rsidRDefault="00CF00F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0F7" w:rsidRPr="00674990" w:rsidRDefault="00CF00F7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F00F7" w:rsidRPr="00674990" w:rsidRDefault="00CF00F7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0F7" w:rsidRPr="00674990" w:rsidRDefault="00CF00F7" w:rsidP="006D0B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2" w:name="_Ref331676220"/>
          </w:p>
        </w:tc>
        <w:bookmarkEnd w:id="12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Investments in own additional tier 1 capital instruments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37.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Reciprocal cross-holdings in the additional tier 1 capital of financial institutions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5666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Non-significant investments in additional tier 1 capital of unconsolidated financial institutions </w:t>
            </w:r>
            <w:r w:rsidR="0056666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that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exceed the 10 percent threshold for non-significant investments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39.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D71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Significant investments in financial institutions not in the form of common stock to be deducted from additional </w:t>
            </w:r>
            <w:r w:rsidR="00D7192E"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ier 1 capital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427F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Other </w:t>
            </w:r>
            <w:r w:rsidR="00427F9B">
              <w:rPr>
                <w:rFonts w:eastAsia="Times New Roman" w:cstheme="minorHAnsi"/>
                <w:color w:val="000000"/>
                <w:sz w:val="20"/>
                <w:szCs w:val="20"/>
              </w:rPr>
              <w:t>deductions from additional tier 1 capital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3" w:name="_Ref331676225"/>
          </w:p>
        </w:tc>
        <w:bookmarkEnd w:id="13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427F9B" w:rsidP="00427F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="00F26A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eductions 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applied to additional tier 1 capital due to insufficient tier 2 capital to cover deductions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8D10EB" w:rsidP="003B54E4">
            <w:pPr>
              <w:spacing w:after="0" w:line="240" w:lineRule="auto"/>
              <w:ind w:right="-108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42.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4" w:name="_Ref331676234"/>
          </w:p>
        </w:tc>
        <w:bookmarkEnd w:id="14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427F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Total additional tier 1 capital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427F9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deductions 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>(sum of items 37</w:t>
            </w:r>
            <w:r w:rsidR="00D7192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through 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>42)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43.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5" w:name="_Ref331676255"/>
          </w:p>
        </w:tc>
        <w:bookmarkEnd w:id="15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37B8" w:rsidRPr="00674990" w:rsidRDefault="000F37B8" w:rsidP="004F3F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Additional tier 1 capital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4F3F2D">
              <w:rPr>
                <w:rFonts w:eastAsia="Times New Roman" w:cstheme="minorHAnsi"/>
                <w:color w:val="000000"/>
                <w:sz w:val="20"/>
                <w:szCs w:val="20"/>
              </w:rPr>
              <w:t>greater of</w:t>
            </w:r>
            <w:r w:rsidR="00CE4B4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item 36 </w:t>
            </w:r>
            <w:r w:rsidR="00964221">
              <w:rPr>
                <w:rFonts w:eastAsia="Times New Roman" w:cstheme="minorHAnsi"/>
                <w:color w:val="000000"/>
                <w:sz w:val="20"/>
                <w:szCs w:val="20"/>
              </w:rPr>
              <w:t>less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item 43</w:t>
            </w:r>
            <w:r w:rsidR="004F3F2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zero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  <w:r w:rsidR="00C6183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44.</w:t>
            </w:r>
          </w:p>
        </w:tc>
      </w:tr>
      <w:tr w:rsidR="00F433F5" w:rsidRPr="00674990" w:rsidTr="007F45ED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5" w:rsidRPr="00CF00F7" w:rsidRDefault="00F433F5" w:rsidP="007F45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433F5" w:rsidRPr="00674990" w:rsidRDefault="00F433F5" w:rsidP="007F45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433F5" w:rsidRPr="00674990" w:rsidTr="007F45ED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F5" w:rsidRPr="00CF00F7" w:rsidRDefault="00F433F5" w:rsidP="00F433F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</w:t>
            </w: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ier 1 capital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33F5" w:rsidRPr="00674990" w:rsidRDefault="00F433F5" w:rsidP="007F45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6" w:name="_Ref331676353"/>
          </w:p>
        </w:tc>
        <w:bookmarkEnd w:id="16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F37B8" w:rsidRPr="00674990" w:rsidRDefault="000F37B8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Tier 1 capital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 of items 29 and 44)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45.</w:t>
            </w:r>
            <w:r w:rsidR="003673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D10EB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0EB" w:rsidRPr="00CE7582" w:rsidRDefault="008D10EB" w:rsidP="00674990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10EB" w:rsidRPr="00674990" w:rsidRDefault="008D10EB" w:rsidP="00D71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8D10EB" w:rsidRPr="00674990" w:rsidRDefault="008D10EB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D10EB" w:rsidRPr="00674990" w:rsidRDefault="008D10EB" w:rsidP="00CE7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D10EB" w:rsidRPr="00674990" w:rsidRDefault="008D10EB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E7582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82" w:rsidRPr="00CE7582" w:rsidRDefault="006C0C25" w:rsidP="00427F9B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  <w:t xml:space="preserve">Tier 2 capital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7582" w:rsidRPr="00674990" w:rsidRDefault="00CE7582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7582" w:rsidRPr="00674990" w:rsidRDefault="00CE7582" w:rsidP="00CE7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7582" w:rsidRPr="00674990" w:rsidRDefault="00CE7582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7" w:name="_Ref331676294"/>
          </w:p>
        </w:tc>
        <w:bookmarkEnd w:id="17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Tier 2 capital instruments plus related surplus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46.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8" w:name="_Ref331676299"/>
          </w:p>
        </w:tc>
        <w:bookmarkEnd w:id="18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411D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Non-qualifying capital instruments subject to phase out from tier 2 capital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47.</w:t>
            </w:r>
          </w:p>
        </w:tc>
      </w:tr>
      <w:tr w:rsidR="000F37B8" w:rsidRPr="00674990" w:rsidTr="00427F9B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19" w:name="_Ref331676305"/>
          </w:p>
        </w:tc>
        <w:bookmarkEnd w:id="19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964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Total capital minority interest that is not included in tier 1 capital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48.</w:t>
            </w:r>
          </w:p>
        </w:tc>
      </w:tr>
      <w:tr w:rsidR="000F37B8" w:rsidRPr="00674990" w:rsidTr="00427F9B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F26A65" w:rsidRDefault="000F37B8" w:rsidP="00F12990">
            <w:pPr>
              <w:spacing w:after="0" w:line="240" w:lineRule="auto"/>
              <w:ind w:firstLine="252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964221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 xml:space="preserve">of which: </w:t>
            </w:r>
            <w:r w:rsidR="00411D44" w:rsidRPr="00964221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instruments subject to phase out</w:t>
            </w:r>
            <w:r w:rsidR="00F26A65" w:rsidRPr="00964221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49.</w:t>
            </w:r>
          </w:p>
        </w:tc>
      </w:tr>
      <w:tr w:rsidR="000F37B8" w:rsidRPr="00674990" w:rsidTr="00F26A6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0" w:name="_Ref331676310"/>
          </w:p>
        </w:tc>
        <w:bookmarkEnd w:id="20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427F9B" w:rsidP="00427F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0E1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Eligible credit reserves includable in tier 2 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capital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50.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1" w:name="_Ref331676338"/>
          </w:p>
        </w:tc>
        <w:bookmarkEnd w:id="21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427F9B" w:rsidP="00427F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Tier 2 capital before </w:t>
            </w:r>
            <w:r w:rsidR="00F26A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deductions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(sum of items 46, 47, 48</w:t>
            </w:r>
            <w:r w:rsidR="00352B7B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50)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51.</w:t>
            </w:r>
          </w:p>
        </w:tc>
      </w:tr>
      <w:tr w:rsidR="00367228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67228" w:rsidRPr="00F64FC5" w:rsidRDefault="00367228" w:rsidP="00E620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7228" w:rsidRPr="00674990" w:rsidRDefault="0036722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7228" w:rsidRPr="00674990" w:rsidRDefault="0036722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228" w:rsidRPr="00674990" w:rsidRDefault="0036722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67228" w:rsidRPr="00674990" w:rsidRDefault="0036722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67228" w:rsidRPr="00674990" w:rsidRDefault="0036722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64FC5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C5" w:rsidRPr="00F64FC5" w:rsidRDefault="00F64FC5" w:rsidP="00427F9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64FC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Tier 2 capital </w:t>
            </w:r>
            <w:r w:rsidR="00F26A6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deductions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4FC5" w:rsidRPr="00674990" w:rsidRDefault="00F64FC5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4FC5" w:rsidRPr="00674990" w:rsidRDefault="00F64FC5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4FC5" w:rsidRPr="00674990" w:rsidRDefault="00F64FC5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4FC5" w:rsidRPr="00674990" w:rsidRDefault="00F64FC5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4FC5" w:rsidRPr="00674990" w:rsidRDefault="00F64FC5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2" w:name="_Ref331676326"/>
          </w:p>
        </w:tc>
        <w:bookmarkEnd w:id="22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411D4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Investments in own tier 2 capital instruments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52.</w:t>
            </w:r>
          </w:p>
        </w:tc>
      </w:tr>
      <w:tr w:rsidR="000F37B8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Reciprocal cross-holdings in the tier 2 capital of unconsolidated financial institutions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53.</w:t>
            </w:r>
          </w:p>
        </w:tc>
      </w:tr>
      <w:tr w:rsidR="000F37B8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5666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Non-significant investments in the tier 2 capital of unconsolidated financial institutions </w:t>
            </w:r>
            <w:r w:rsidR="0056666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that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exceed the 10 percent threshold for non-significant investments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54.</w:t>
            </w:r>
          </w:p>
        </w:tc>
      </w:tr>
      <w:tr w:rsidR="000F37B8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F26A65" w:rsidP="00964221">
            <w:pPr>
              <w:tabs>
                <w:tab w:val="left" w:leader="dot" w:pos="6912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ignificant investments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 financial institutions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not in the form of common stock 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 be deducted from </w:t>
            </w:r>
            <w:r w:rsidR="00964221"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 w:rsidR="000F37B8"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ier 2 capital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55.</w:t>
            </w:r>
          </w:p>
        </w:tc>
      </w:tr>
      <w:tr w:rsidR="000F37B8" w:rsidRPr="00674990" w:rsidTr="00F8474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3" w:name="_Ref331676333"/>
          </w:p>
        </w:tc>
        <w:bookmarkEnd w:id="23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724307">
            <w:pPr>
              <w:tabs>
                <w:tab w:val="left" w:leader="dot" w:pos="6807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Other </w:t>
            </w:r>
            <w:r w:rsidR="00724307">
              <w:rPr>
                <w:rFonts w:eastAsia="Times New Roman" w:cstheme="minorHAnsi"/>
                <w:color w:val="000000"/>
                <w:sz w:val="20"/>
                <w:szCs w:val="20"/>
              </w:rPr>
              <w:t>deductions from tier 2 capital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56.</w:t>
            </w: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4" w:name="_Ref331676344"/>
          </w:p>
        </w:tc>
        <w:bookmarkEnd w:id="24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724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Total </w:t>
            </w:r>
            <w:r w:rsidR="0072430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tier 2 capital </w:t>
            </w:r>
            <w:r w:rsidR="00F26A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deductions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(sum of items 52</w:t>
            </w:r>
            <w:r w:rsidR="00DF619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through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56)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57.</w:t>
            </w:r>
          </w:p>
        </w:tc>
      </w:tr>
      <w:tr w:rsidR="00E83C93" w:rsidRPr="00674990" w:rsidTr="00E83C93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3C93" w:rsidRPr="00E83C93" w:rsidRDefault="00E83C93" w:rsidP="00E83C93">
            <w:pPr>
              <w:spacing w:after="0" w:line="240" w:lineRule="auto"/>
              <w:ind w:left="27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C93" w:rsidRPr="00674990" w:rsidRDefault="00E83C93" w:rsidP="00724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3C93" w:rsidRPr="00674990" w:rsidRDefault="00E83C93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3C93" w:rsidRPr="00674990" w:rsidRDefault="00E83C93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F37B8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5" w:name="_Ref331676362"/>
          </w:p>
        </w:tc>
        <w:bookmarkEnd w:id="25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4F3F2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Tier 2 capital</w:t>
            </w:r>
            <w:r w:rsidR="009D0D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4F3F2D">
              <w:rPr>
                <w:rFonts w:eastAsia="Times New Roman" w:cstheme="minorHAnsi"/>
                <w:color w:val="000000"/>
                <w:sz w:val="20"/>
                <w:szCs w:val="20"/>
              </w:rPr>
              <w:t>greater</w:t>
            </w:r>
            <w:r w:rsidR="00CE4B4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of </w:t>
            </w:r>
            <w:r w:rsidR="00964221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9D0D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tem 51 </w:t>
            </w:r>
            <w:r w:rsidR="00964221">
              <w:rPr>
                <w:rFonts w:eastAsia="Times New Roman" w:cstheme="minorHAnsi"/>
                <w:color w:val="000000"/>
                <w:sz w:val="20"/>
                <w:szCs w:val="20"/>
              </w:rPr>
              <w:t>less</w:t>
            </w:r>
            <w:r w:rsidR="009D0D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item 57</w:t>
            </w:r>
            <w:r w:rsidR="004F3F2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 zero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58.</w:t>
            </w:r>
          </w:p>
        </w:tc>
      </w:tr>
      <w:tr w:rsidR="00F433F5" w:rsidRPr="00674990" w:rsidTr="007F45ED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3F5" w:rsidRPr="00CF00F7" w:rsidRDefault="00F433F5" w:rsidP="007F45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433F5" w:rsidRPr="00674990" w:rsidRDefault="00F433F5" w:rsidP="007F45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3F5" w:rsidRPr="00674990" w:rsidRDefault="00F433F5" w:rsidP="007F4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433F5" w:rsidRPr="00674990" w:rsidTr="00625335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F5" w:rsidRPr="00CF00F7" w:rsidRDefault="00F433F5" w:rsidP="00F433F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Total </w:t>
            </w: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33F5" w:rsidRPr="00674990" w:rsidRDefault="00F433F5" w:rsidP="007F45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3F5" w:rsidRPr="00674990" w:rsidRDefault="00F433F5" w:rsidP="007F4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F37B8" w:rsidRPr="00674990" w:rsidTr="0062533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6" w:name="_Ref331676413"/>
          </w:p>
        </w:tc>
        <w:bookmarkEnd w:id="26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Total capital 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>(sum</w:t>
            </w:r>
            <w:r w:rsidR="009D0D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of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item</w:t>
            </w:r>
            <w:r w:rsidR="009D0D23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45 </w:t>
            </w:r>
            <w:r w:rsidR="00DF6191">
              <w:rPr>
                <w:rFonts w:eastAsia="Times New Roman" w:cstheme="minorHAnsi"/>
                <w:color w:val="000000"/>
                <w:sz w:val="20"/>
                <w:szCs w:val="20"/>
              </w:rPr>
              <w:t>and</w:t>
            </w:r>
            <w:r w:rsidR="00867DE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7B8" w:rsidRPr="00674990" w:rsidRDefault="000F37B8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7B8" w:rsidRPr="00674990" w:rsidRDefault="000F37B8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7B8" w:rsidRPr="00674990" w:rsidRDefault="000F37B8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8D10EB">
              <w:rPr>
                <w:rFonts w:eastAsia="Times New Roman" w:cstheme="minorHAnsi"/>
                <w:color w:val="000000"/>
                <w:sz w:val="20"/>
                <w:szCs w:val="20"/>
              </w:rPr>
              <w:t>59.</w:t>
            </w:r>
          </w:p>
        </w:tc>
      </w:tr>
      <w:tr w:rsidR="0017139F" w:rsidRPr="00674990" w:rsidTr="00625335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7139F" w:rsidRPr="00674990" w:rsidRDefault="0017139F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lastRenderedPageBreak/>
              <w:t>Total risk-weighted assets</w:t>
            </w:r>
          </w:p>
        </w:tc>
        <w:tc>
          <w:tcPr>
            <w:tcW w:w="2610" w:type="dxa"/>
            <w:gridSpan w:val="4"/>
            <w:shd w:val="clear" w:color="auto" w:fill="auto"/>
            <w:noWrap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625335">
        <w:trPr>
          <w:cantSplit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7" w:name="_Ref331676374"/>
          </w:p>
        </w:tc>
        <w:bookmarkEnd w:id="27"/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2C73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Total risk-weighted assets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(RWAs)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60.</w:t>
            </w: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139F" w:rsidRPr="00CE7582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39F" w:rsidRPr="00CE7582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7F45ED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AAAB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17139F" w:rsidP="008D10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16364F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25335" w:rsidRDefault="0017139F" w:rsidP="002C73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E758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Capital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</w:t>
            </w:r>
            <w:r w:rsidRPr="00CE758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atios and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b</w:t>
            </w:r>
            <w:r w:rsidRPr="00CE758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uffers</w:t>
            </w:r>
            <w:r w:rsidR="0062533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25335" w:rsidRPr="0062533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(items 64 through 68 are effective January 1, 2016)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7139F" w:rsidRPr="00674990" w:rsidTr="006E039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8" w:name="_Ref331762186"/>
          </w:p>
        </w:tc>
        <w:bookmarkEnd w:id="28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E0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Com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mon equity tier 1 capital ratio (item 29 divided by item 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61.</w:t>
            </w:r>
          </w:p>
        </w:tc>
      </w:tr>
      <w:tr w:rsidR="0017139F" w:rsidRPr="00674990" w:rsidTr="00D945C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29" w:name="_Ref331762192"/>
          </w:p>
        </w:tc>
        <w:bookmarkEnd w:id="29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E0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Tier 1 capital ratio (item 45 divided by item 60)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62.</w:t>
            </w:r>
          </w:p>
        </w:tc>
      </w:tr>
      <w:tr w:rsidR="0017139F" w:rsidRPr="00674990" w:rsidTr="006E0395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30" w:name="_Ref331762197"/>
          </w:p>
        </w:tc>
        <w:bookmarkEnd w:id="30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E0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Total capital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ratio (item 59 divided by item 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9F" w:rsidRPr="00674990" w:rsidRDefault="0017139F" w:rsidP="006E0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63.</w:t>
            </w:r>
          </w:p>
        </w:tc>
      </w:tr>
      <w:tr w:rsidR="0017139F" w:rsidRPr="00674990" w:rsidTr="00B1154A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2533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Institution-specific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buffer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as a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percent of RWA)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necessary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 avoid limitations on capital distributions and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discretionary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bonus payments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139F" w:rsidRPr="00674990" w:rsidRDefault="0017139F" w:rsidP="006E0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64.</w:t>
            </w:r>
          </w:p>
        </w:tc>
      </w:tr>
      <w:tr w:rsidR="0017139F" w:rsidRPr="00674990" w:rsidTr="00B1154A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25335">
            <w:pPr>
              <w:spacing w:after="0" w:line="240" w:lineRule="auto"/>
              <w:ind w:firstLine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of which: capital conservation buffer</w:t>
            </w:r>
            <w:r w:rsidR="00026A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65.</w:t>
            </w:r>
          </w:p>
        </w:tc>
      </w:tr>
      <w:tr w:rsidR="0017139F" w:rsidRPr="00674990" w:rsidTr="00B1154A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625335">
            <w:pPr>
              <w:spacing w:after="0" w:line="240" w:lineRule="auto"/>
              <w:ind w:firstLine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of which: countercyclical capital buffer (if applicable)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66.</w:t>
            </w:r>
          </w:p>
        </w:tc>
      </w:tr>
      <w:tr w:rsidR="0017139F" w:rsidRPr="00674990" w:rsidTr="00B1154A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6E0395">
            <w:pPr>
              <w:spacing w:after="0" w:line="240" w:lineRule="auto"/>
              <w:ind w:firstLine="252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of which: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G-SIB buffer requirement (if applicable)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7139F" w:rsidRPr="00674990" w:rsidRDefault="0017139F" w:rsidP="00D945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67.</w:t>
            </w:r>
          </w:p>
        </w:tc>
      </w:tr>
      <w:tr w:rsidR="0017139F" w:rsidRPr="00674990" w:rsidTr="00B1154A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91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Common equity tier 1 capital available to meet the buffer in item 64 (as a percentage of RWA)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7139F" w:rsidRPr="00674990" w:rsidRDefault="0017139F" w:rsidP="004E42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</w:t>
            </w:r>
            <w:r w:rsidRPr="0016363F">
              <w:rPr>
                <w:rFonts w:eastAsia="Times New Roman" w:cstheme="minorHAnsi"/>
                <w:color w:val="000000"/>
                <w:sz w:val="20"/>
                <w:szCs w:val="20"/>
              </w:rPr>
              <w:t>--.--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68.</w:t>
            </w: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39F" w:rsidRPr="00CF00F7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422FB7" w:rsidRDefault="0017139F" w:rsidP="002C73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Regulatory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m</w:t>
            </w: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inimums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if different from Basel III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(not applicable)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7139F" w:rsidRPr="00674990" w:rsidTr="00CA4236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39F" w:rsidRPr="00DF6191" w:rsidRDefault="0017139F" w:rsidP="00724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Minimum common equity tier 1 capital ratio: 4.5%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DF6191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69.</w:t>
            </w:r>
          </w:p>
        </w:tc>
      </w:tr>
      <w:tr w:rsidR="0017139F" w:rsidRPr="00674990" w:rsidTr="00CA4236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39F" w:rsidRPr="00DF6191" w:rsidRDefault="0017139F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Minimum tier 1 capital ratio: 6.0%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DF6191" w:rsidRDefault="0017139F" w:rsidP="00724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70.</w:t>
            </w:r>
          </w:p>
        </w:tc>
      </w:tr>
      <w:tr w:rsidR="0017139F" w:rsidRPr="00674990" w:rsidTr="00CA4236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139F" w:rsidRPr="00DF6191" w:rsidRDefault="0017139F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Minimum total capital ratio: 8.0%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DF6191" w:rsidRDefault="0017139F" w:rsidP="007243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F619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71.</w:t>
            </w: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39F" w:rsidRPr="00CF00F7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CF00F7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CF00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Amounts not deducted as a result of applicable thresholds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(before risk-weighting)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Non-significant investments in the capital of uncons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olidated financial institutions that are not deducted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72.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Significant investments in the capital of unconsolidated financial institutions in the form of common stock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that are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not deducted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39F" w:rsidRPr="00674990" w:rsidRDefault="0017139F" w:rsidP="00CF00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73.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MSAs net of associated DTLs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that are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not deducted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74.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F61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DTAs arising from temporary differences that could not be realized through net operating loss carrybacks, net of related valuation allowances and net of DTLs,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that are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not deducted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75.</w:t>
            </w: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39F" w:rsidRPr="00F64FC5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F64FC5" w:rsidRDefault="0017139F" w:rsidP="00422FB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64FC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Limitations on the amount of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provisions</w:t>
            </w:r>
            <w:r w:rsidRPr="00F64FC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included in tier 2 capital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D71A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Total allowance for loan and lease losses (ALLL) under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the standar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dized approach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76.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31" w:name="_Ref331676286"/>
          </w:p>
        </w:tc>
        <w:bookmarkEnd w:id="31"/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DC32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Amount of ALLL includable in tier 2 capital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 the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standardized approach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RWA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multiplied by 1.25 percent)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77.</w:t>
            </w:r>
          </w:p>
        </w:tc>
      </w:tr>
      <w:tr w:rsidR="0017139F" w:rsidRPr="00674990" w:rsidTr="003B54E4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E034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Total eligible credit reserves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calculated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using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adv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anced approaches)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78.</w:t>
            </w:r>
          </w:p>
        </w:tc>
      </w:tr>
      <w:tr w:rsidR="0017139F" w:rsidRPr="00674990" w:rsidTr="0056666C">
        <w:trPr>
          <w:cantSplit/>
          <w:trHeight w:val="37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055D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Amount of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eligible credit reserves includable in tier 2 capital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advanced approaches credit RWA 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multiplied by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.6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percent)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79.</w:t>
            </w: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39F" w:rsidRPr="00CF00F7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7139F" w:rsidRPr="00674990" w:rsidTr="003B54E4">
        <w:trPr>
          <w:cantSplit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CF00F7" w:rsidRDefault="0017139F" w:rsidP="00674990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</w:pPr>
            <w:r w:rsidRPr="00CF00F7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</w:rPr>
              <w:t>Non-qualifying capital instruments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E7AB1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AB1" w:rsidRPr="00674990" w:rsidRDefault="003E7AB1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B1" w:rsidRPr="00674990" w:rsidRDefault="003E7AB1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Cap on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common equity tier 1 non-qualifying capital instruments subject to phase-out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7AB1" w:rsidRPr="00674990" w:rsidRDefault="003E7AB1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80.</w:t>
            </w:r>
          </w:p>
        </w:tc>
      </w:tr>
      <w:tr w:rsidR="0017139F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Amount of common equity tier 1 non-qualifying capital instruments excluded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81.</w:t>
            </w:r>
          </w:p>
        </w:tc>
      </w:tr>
      <w:tr w:rsidR="003E7AB1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AB1" w:rsidRPr="00674990" w:rsidRDefault="003E7AB1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B1" w:rsidRPr="00674990" w:rsidRDefault="003E7AB1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Cap on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additional tier 1 non-qualifying capital instruments subject to phase-out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7AB1" w:rsidRPr="00674990" w:rsidRDefault="003E7AB1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82.</w:t>
            </w:r>
          </w:p>
        </w:tc>
      </w:tr>
      <w:tr w:rsidR="0017139F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9F" w:rsidRPr="00674990" w:rsidRDefault="0017139F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Amount of additional tier 1 non-qualifying capital instruments excluded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83.</w:t>
            </w:r>
          </w:p>
        </w:tc>
      </w:tr>
      <w:tr w:rsidR="003E7AB1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AB1" w:rsidRPr="00674990" w:rsidRDefault="003E7AB1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7AB1" w:rsidRPr="00674990" w:rsidRDefault="003E7AB1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Cap on</w:t>
            </w: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tier 2 non-qualifying capital instruments subject to phase-out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B1" w:rsidRPr="00674990" w:rsidRDefault="003E7AB1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7AB1" w:rsidRPr="00674990" w:rsidRDefault="003E7AB1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84.</w:t>
            </w:r>
          </w:p>
        </w:tc>
      </w:tr>
      <w:tr w:rsidR="0017139F" w:rsidRPr="00674990" w:rsidTr="003E7AB1"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39F" w:rsidRPr="00674990" w:rsidRDefault="0017139F" w:rsidP="00E6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6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9F" w:rsidRPr="00674990" w:rsidRDefault="0017139F" w:rsidP="00917A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Amount of tier 2 non-qualifying capital instruments excluded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3E7A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F" w:rsidRPr="00674990" w:rsidRDefault="0017139F" w:rsidP="003B54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85.</w:t>
            </w:r>
          </w:p>
        </w:tc>
      </w:tr>
      <w:tr w:rsidR="0017139F" w:rsidRPr="00674990" w:rsidTr="003673C7">
        <w:trPr>
          <w:cantSplit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39F" w:rsidRPr="00674990" w:rsidRDefault="0017139F" w:rsidP="006749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7139F" w:rsidRPr="00674990" w:rsidRDefault="0017139F" w:rsidP="006749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422FB7" w:rsidRPr="00422FB7" w:rsidRDefault="00422FB7">
      <w:pPr>
        <w:rPr>
          <w:sz w:val="20"/>
          <w:szCs w:val="20"/>
        </w:rPr>
      </w:pPr>
      <w:r w:rsidRPr="00422FB7">
        <w:rPr>
          <w:b/>
          <w:sz w:val="20"/>
          <w:szCs w:val="20"/>
        </w:rPr>
        <w:t>Memoranda</w:t>
      </w:r>
      <w:r w:rsidRPr="00422FB7">
        <w:rPr>
          <w:sz w:val="20"/>
          <w:szCs w:val="20"/>
        </w:rPr>
        <w:t xml:space="preserve"> (</w:t>
      </w:r>
      <w:r w:rsidR="00996A5E">
        <w:rPr>
          <w:sz w:val="20"/>
          <w:szCs w:val="20"/>
        </w:rPr>
        <w:t xml:space="preserve">these </w:t>
      </w:r>
      <w:r w:rsidRPr="00422FB7">
        <w:rPr>
          <w:sz w:val="20"/>
          <w:szCs w:val="20"/>
        </w:rPr>
        <w:t xml:space="preserve">items are kept confidential </w:t>
      </w:r>
      <w:r w:rsidR="00066416">
        <w:rPr>
          <w:sz w:val="20"/>
          <w:szCs w:val="20"/>
        </w:rPr>
        <w:t>on reports filed during</w:t>
      </w:r>
      <w:r w:rsidRPr="00422FB7">
        <w:rPr>
          <w:sz w:val="20"/>
          <w:szCs w:val="20"/>
        </w:rPr>
        <w:t xml:space="preserve"> an institution</w:t>
      </w:r>
      <w:r w:rsidR="00066416">
        <w:rPr>
          <w:sz w:val="20"/>
          <w:szCs w:val="20"/>
        </w:rPr>
        <w:t>’s</w:t>
      </w:r>
      <w:r w:rsidRPr="00422FB7">
        <w:rPr>
          <w:sz w:val="20"/>
          <w:szCs w:val="20"/>
        </w:rPr>
        <w:t xml:space="preserve"> parallel run </w:t>
      </w:r>
      <w:r w:rsidR="00DC325C">
        <w:rPr>
          <w:sz w:val="20"/>
          <w:szCs w:val="20"/>
        </w:rPr>
        <w:t>process</w:t>
      </w:r>
      <w:r w:rsidRPr="00422FB7">
        <w:rPr>
          <w:sz w:val="20"/>
          <w:szCs w:val="20"/>
        </w:rPr>
        <w:t>)</w:t>
      </w:r>
    </w:p>
    <w:tbl>
      <w:tblPr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7020"/>
        <w:gridCol w:w="720"/>
        <w:gridCol w:w="630"/>
        <w:gridCol w:w="630"/>
        <w:gridCol w:w="630"/>
        <w:gridCol w:w="810"/>
      </w:tblGrid>
      <w:tr w:rsidR="00A2391A" w:rsidRPr="00674990" w:rsidTr="00A239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91A" w:rsidRPr="00422FB7" w:rsidRDefault="00A2391A" w:rsidP="00422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Expected credit loss </w:t>
            </w:r>
            <w:r w:rsidRPr="003C0E16">
              <w:rPr>
                <w:rFonts w:eastAsia="Times New Roman" w:cstheme="minorHAnsi"/>
                <w:color w:val="000000"/>
                <w:sz w:val="20"/>
                <w:szCs w:val="20"/>
              </w:rPr>
              <w:t>that exceeds eligible credit reserves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391A" w:rsidRPr="00674990" w:rsidRDefault="00A2391A" w:rsidP="009D50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74990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9D505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2391A" w:rsidRPr="00674990" w:rsidTr="00A239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91A" w:rsidRPr="00422FB7" w:rsidRDefault="00A2391A" w:rsidP="00422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4B2A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Advanced approaches RWA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40458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from 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FFIEC 101, Schedule B, </w:t>
            </w:r>
            <w:r w:rsidR="004B2A5E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>tem 33)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391A" w:rsidRPr="00674990" w:rsidRDefault="00A2391A" w:rsidP="004E0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4E0D81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2391A" w:rsidRPr="00674990" w:rsidTr="00A239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91A" w:rsidRPr="00422FB7" w:rsidRDefault="00A2391A" w:rsidP="00422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Common equity tier 1 capital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ratio 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>calculated using advanced approaches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391A" w:rsidRPr="00674990" w:rsidRDefault="009D5058" w:rsidP="004E0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4E0D81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A2391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2391A" w:rsidRPr="00674990" w:rsidTr="00A239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91A" w:rsidRPr="00422FB7" w:rsidRDefault="00A2391A" w:rsidP="00422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1A" w:rsidRDefault="0040458E" w:rsidP="004045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 w:rsidR="00A2391A">
              <w:rPr>
                <w:rFonts w:eastAsia="Times New Roman" w:cstheme="minorHAnsi"/>
                <w:color w:val="000000"/>
                <w:sz w:val="20"/>
                <w:szCs w:val="20"/>
              </w:rPr>
              <w:t>ier 1 capital ratio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>calculated using advanced approaches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391A" w:rsidRPr="00674990" w:rsidRDefault="004E0D81" w:rsidP="009D505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  <w:r w:rsidR="00A2391A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2391A" w:rsidRPr="00674990" w:rsidTr="00A2391A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91A" w:rsidRPr="00422FB7" w:rsidRDefault="00A2391A" w:rsidP="00422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1A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Total capital ratio 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9755D3">
              <w:rPr>
                <w:rFonts w:eastAsia="Times New Roman" w:cstheme="minorHAnsi"/>
                <w:color w:val="000000"/>
                <w:sz w:val="20"/>
                <w:szCs w:val="20"/>
              </w:rPr>
              <w:t>calculated using advanced approaches</w:t>
            </w:r>
            <w:r w:rsidR="00E034B4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91A" w:rsidRPr="00674990" w:rsidRDefault="00A2391A" w:rsidP="00CA42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391A" w:rsidRPr="00674990" w:rsidRDefault="00A2391A" w:rsidP="004E0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r w:rsidR="004E0D81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DF6191" w:rsidRPr="004A3506" w:rsidRDefault="007276B0" w:rsidP="00DF6191">
      <w:pPr>
        <w:rPr>
          <w:rFonts w:cstheme="minorHAnsi"/>
          <w:b/>
          <w:sz w:val="20"/>
          <w:szCs w:val="20"/>
        </w:rPr>
      </w:pPr>
      <w:r w:rsidRPr="004A3506">
        <w:rPr>
          <w:rFonts w:cstheme="minorHAnsi"/>
          <w:b/>
          <w:sz w:val="20"/>
          <w:szCs w:val="20"/>
        </w:rPr>
        <w:lastRenderedPageBreak/>
        <w:t>S</w:t>
      </w:r>
      <w:r w:rsidR="00DF6191" w:rsidRPr="004A3506">
        <w:rPr>
          <w:rFonts w:cstheme="minorHAnsi"/>
          <w:b/>
          <w:sz w:val="20"/>
          <w:szCs w:val="20"/>
        </w:rPr>
        <w:t>upplementar</w:t>
      </w:r>
      <w:r w:rsidRPr="004A3506">
        <w:rPr>
          <w:rFonts w:cstheme="minorHAnsi"/>
          <w:b/>
          <w:sz w:val="20"/>
          <w:szCs w:val="20"/>
        </w:rPr>
        <w:t>y l</w:t>
      </w:r>
      <w:r w:rsidR="00DF6191" w:rsidRPr="004A3506">
        <w:rPr>
          <w:rFonts w:cstheme="minorHAnsi"/>
          <w:b/>
          <w:sz w:val="20"/>
          <w:szCs w:val="20"/>
        </w:rPr>
        <w:t xml:space="preserve">everage </w:t>
      </w:r>
      <w:r w:rsidRPr="004A3506">
        <w:rPr>
          <w:rFonts w:cstheme="minorHAnsi"/>
          <w:b/>
          <w:sz w:val="20"/>
          <w:szCs w:val="20"/>
        </w:rPr>
        <w:t>r</w:t>
      </w:r>
      <w:r w:rsidR="00DF6191" w:rsidRPr="004A3506">
        <w:rPr>
          <w:rFonts w:cstheme="minorHAnsi"/>
          <w:b/>
          <w:sz w:val="20"/>
          <w:szCs w:val="20"/>
        </w:rPr>
        <w:t>atio</w:t>
      </w:r>
      <w:r w:rsidR="00932495">
        <w:rPr>
          <w:rFonts w:cstheme="minorHAnsi"/>
          <w:b/>
          <w:sz w:val="20"/>
          <w:szCs w:val="20"/>
        </w:rPr>
        <w:t xml:space="preserve"> (</w:t>
      </w:r>
      <w:r w:rsidR="00625335">
        <w:rPr>
          <w:rFonts w:cstheme="minorHAnsi"/>
          <w:b/>
          <w:sz w:val="20"/>
          <w:szCs w:val="20"/>
        </w:rPr>
        <w:t xml:space="preserve">items 91 through 98 are </w:t>
      </w:r>
      <w:r w:rsidR="00026A83">
        <w:rPr>
          <w:rFonts w:cstheme="minorHAnsi"/>
          <w:b/>
          <w:sz w:val="20"/>
          <w:szCs w:val="20"/>
        </w:rPr>
        <w:t>effective</w:t>
      </w:r>
      <w:r w:rsidR="00932495">
        <w:rPr>
          <w:rFonts w:cstheme="minorHAnsi"/>
          <w:b/>
          <w:sz w:val="20"/>
          <w:szCs w:val="20"/>
        </w:rPr>
        <w:t xml:space="preserve"> January 1, 2015):</w:t>
      </w:r>
    </w:p>
    <w:tbl>
      <w:tblPr>
        <w:tblStyle w:val="TableGrid1"/>
        <w:tblW w:w="20088" w:type="dxa"/>
        <w:tblLayout w:type="fixed"/>
        <w:tblLook w:val="01E0" w:firstRow="1" w:lastRow="1" w:firstColumn="1" w:lastColumn="1" w:noHBand="0" w:noVBand="0"/>
      </w:tblPr>
      <w:tblGrid>
        <w:gridCol w:w="532"/>
        <w:gridCol w:w="3176"/>
        <w:gridCol w:w="630"/>
        <w:gridCol w:w="360"/>
        <w:gridCol w:w="450"/>
        <w:gridCol w:w="450"/>
        <w:gridCol w:w="630"/>
        <w:gridCol w:w="360"/>
        <w:gridCol w:w="450"/>
        <w:gridCol w:w="450"/>
        <w:gridCol w:w="630"/>
        <w:gridCol w:w="360"/>
        <w:gridCol w:w="450"/>
        <w:gridCol w:w="450"/>
        <w:gridCol w:w="6390"/>
        <w:gridCol w:w="4320"/>
      </w:tblGrid>
      <w:tr w:rsidR="00835117" w:rsidRPr="004A3506" w:rsidTr="00B1154A">
        <w:trPr>
          <w:gridAfter w:val="1"/>
          <w:wAfter w:w="4320" w:type="dxa"/>
          <w:trHeight w:val="521"/>
        </w:trPr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6" w:type="dxa"/>
            <w:tcBorders>
              <w:top w:val="nil"/>
              <w:left w:val="nil"/>
            </w:tcBorders>
            <w:vAlign w:val="bottom"/>
          </w:tcPr>
          <w:p w:rsidR="00835117" w:rsidRPr="004A3506" w:rsidRDefault="00835117" w:rsidP="00B0787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835117" w:rsidRPr="004A3506" w:rsidRDefault="00835117" w:rsidP="00B0787D">
            <w:pPr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Dollar Amounts in Thousands</w:t>
            </w:r>
          </w:p>
        </w:tc>
        <w:tc>
          <w:tcPr>
            <w:tcW w:w="1890" w:type="dxa"/>
            <w:gridSpan w:val="4"/>
          </w:tcPr>
          <w:p w:rsidR="00835117" w:rsidRPr="004A3506" w:rsidRDefault="00835117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A35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Column </w:t>
            </w:r>
            <w:r w:rsidRPr="004A3506">
              <w:rPr>
                <w:rFonts w:asciiTheme="minorHAnsi" w:hAnsiTheme="minorHAnsi" w:cstheme="minorHAnsi"/>
              </w:rPr>
              <w:t>A) The 1</w:t>
            </w:r>
            <w:r w:rsidRPr="004A3506">
              <w:rPr>
                <w:rFonts w:asciiTheme="minorHAnsi" w:hAnsiTheme="minorHAnsi" w:cstheme="minorHAnsi"/>
                <w:vertAlign w:val="superscript"/>
              </w:rPr>
              <w:t>st</w:t>
            </w:r>
            <w:r w:rsidRPr="004A3506">
              <w:rPr>
                <w:rFonts w:asciiTheme="minorHAnsi" w:hAnsiTheme="minorHAnsi" w:cstheme="minorHAnsi"/>
              </w:rPr>
              <w:t xml:space="preserve"> month of the quarter</w:t>
            </w:r>
          </w:p>
        </w:tc>
        <w:tc>
          <w:tcPr>
            <w:tcW w:w="1890" w:type="dxa"/>
            <w:gridSpan w:val="4"/>
          </w:tcPr>
          <w:p w:rsidR="00835117" w:rsidRPr="004A3506" w:rsidRDefault="00835117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A35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Column </w:t>
            </w:r>
            <w:r w:rsidRPr="004A3506">
              <w:rPr>
                <w:rFonts w:asciiTheme="minorHAnsi" w:hAnsiTheme="minorHAnsi" w:cstheme="minorHAnsi"/>
              </w:rPr>
              <w:t>B)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3506">
              <w:rPr>
                <w:rFonts w:asciiTheme="minorHAnsi" w:hAnsiTheme="minorHAnsi" w:cstheme="minorHAnsi"/>
              </w:rPr>
              <w:t>The 2</w:t>
            </w:r>
            <w:r w:rsidRPr="004A3506">
              <w:rPr>
                <w:rFonts w:asciiTheme="minorHAnsi" w:hAnsiTheme="minorHAnsi" w:cstheme="minorHAnsi"/>
                <w:vertAlign w:val="superscript"/>
              </w:rPr>
              <w:t>nd</w:t>
            </w:r>
            <w:r w:rsidRPr="004A3506">
              <w:rPr>
                <w:rFonts w:asciiTheme="minorHAnsi" w:hAnsiTheme="minorHAnsi" w:cstheme="minorHAnsi"/>
              </w:rPr>
              <w:t xml:space="preserve"> month of the quarter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</w:tcPr>
          <w:p w:rsidR="00835117" w:rsidRPr="004A3506" w:rsidRDefault="00835117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A35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Column </w:t>
            </w:r>
            <w:r w:rsidRPr="004A3506">
              <w:rPr>
                <w:rFonts w:asciiTheme="minorHAnsi" w:hAnsiTheme="minorHAnsi" w:cstheme="minorHAnsi"/>
              </w:rPr>
              <w:t>C)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3506">
              <w:rPr>
                <w:rFonts w:asciiTheme="minorHAnsi" w:hAnsiTheme="minorHAnsi" w:cstheme="minorHAnsi"/>
              </w:rPr>
              <w:t>The 3</w:t>
            </w:r>
            <w:r w:rsidRPr="004A3506">
              <w:rPr>
                <w:rFonts w:asciiTheme="minorHAnsi" w:hAnsiTheme="minorHAnsi" w:cstheme="minorHAnsi"/>
                <w:vertAlign w:val="superscript"/>
              </w:rPr>
              <w:t>rd</w:t>
            </w:r>
            <w:r w:rsidRPr="004A3506">
              <w:rPr>
                <w:rFonts w:asciiTheme="minorHAnsi" w:hAnsiTheme="minorHAnsi" w:cstheme="minorHAnsi"/>
              </w:rPr>
              <w:t xml:space="preserve"> month of the quarter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4A350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3506">
              <w:rPr>
                <w:rFonts w:asciiTheme="minorHAnsi" w:hAnsiTheme="minorHAnsi" w:cstheme="minorHAnsi"/>
                <w:color w:val="000000"/>
              </w:rPr>
              <w:t> .</w:t>
            </w:r>
          </w:p>
        </w:tc>
      </w:tr>
      <w:tr w:rsidR="0009304E" w:rsidRPr="004A3506" w:rsidTr="00B1154A">
        <w:trPr>
          <w:gridAfter w:val="1"/>
          <w:wAfter w:w="4320" w:type="dxa"/>
          <w:trHeight w:val="449"/>
        </w:trPr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cstheme="minorHAnsi"/>
              </w:rPr>
            </w:pPr>
          </w:p>
        </w:tc>
        <w:tc>
          <w:tcPr>
            <w:tcW w:w="3176" w:type="dxa"/>
            <w:tcBorders>
              <w:left w:val="nil"/>
              <w:bottom w:val="nil"/>
            </w:tcBorders>
          </w:tcPr>
          <w:p w:rsidR="00835117" w:rsidRPr="004A3506" w:rsidRDefault="00835117" w:rsidP="000E3598">
            <w:pPr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:rsidR="00835117" w:rsidRPr="00B0787D" w:rsidRDefault="00835117" w:rsidP="00476C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787D">
              <w:rPr>
                <w:rFonts w:asciiTheme="minorHAnsi" w:hAnsiTheme="minorHAnsi" w:cstheme="minorHAnsi"/>
                <w:sz w:val="18"/>
                <w:szCs w:val="18"/>
              </w:rPr>
              <w:t>AAAx</w:t>
            </w:r>
          </w:p>
        </w:tc>
        <w:tc>
          <w:tcPr>
            <w:tcW w:w="360" w:type="dxa"/>
            <w:shd w:val="clear" w:color="auto" w:fill="auto"/>
          </w:tcPr>
          <w:p w:rsidR="00835117" w:rsidRPr="00042B51" w:rsidRDefault="00835117" w:rsidP="00476C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Bil</w:t>
            </w:r>
          </w:p>
        </w:tc>
        <w:tc>
          <w:tcPr>
            <w:tcW w:w="450" w:type="dxa"/>
            <w:shd w:val="clear" w:color="auto" w:fill="auto"/>
          </w:tcPr>
          <w:p w:rsidR="00835117" w:rsidRPr="00042B51" w:rsidRDefault="00835117" w:rsidP="00C020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</w:p>
        </w:tc>
        <w:tc>
          <w:tcPr>
            <w:tcW w:w="450" w:type="dxa"/>
            <w:shd w:val="clear" w:color="auto" w:fill="auto"/>
          </w:tcPr>
          <w:p w:rsidR="00835117" w:rsidRPr="004A3506" w:rsidRDefault="00835117" w:rsidP="00042B5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Thou</w:t>
            </w:r>
          </w:p>
        </w:tc>
        <w:tc>
          <w:tcPr>
            <w:tcW w:w="630" w:type="dxa"/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 w:rsidRPr="00B0787D">
              <w:rPr>
                <w:rFonts w:asciiTheme="minorHAnsi" w:hAnsiTheme="minorHAnsi" w:cstheme="minorHAnsi"/>
                <w:sz w:val="18"/>
                <w:szCs w:val="18"/>
              </w:rPr>
              <w:t>AAAx</w:t>
            </w:r>
          </w:p>
        </w:tc>
        <w:tc>
          <w:tcPr>
            <w:tcW w:w="360" w:type="dxa"/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Bil</w:t>
            </w:r>
          </w:p>
        </w:tc>
        <w:tc>
          <w:tcPr>
            <w:tcW w:w="450" w:type="dxa"/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</w:p>
        </w:tc>
        <w:tc>
          <w:tcPr>
            <w:tcW w:w="450" w:type="dxa"/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Thou</w:t>
            </w:r>
          </w:p>
        </w:tc>
        <w:tc>
          <w:tcPr>
            <w:tcW w:w="630" w:type="dxa"/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 w:rsidRPr="00B0787D">
              <w:rPr>
                <w:rFonts w:asciiTheme="minorHAnsi" w:hAnsiTheme="minorHAnsi" w:cstheme="minorHAnsi"/>
                <w:sz w:val="18"/>
                <w:szCs w:val="18"/>
              </w:rPr>
              <w:t>AAAx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Bil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042B51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35117" w:rsidRPr="004A3506" w:rsidRDefault="00835117" w:rsidP="00476C09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Thou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E73BD2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835117" w:rsidRPr="004A3506" w:rsidTr="00B1154A">
        <w:trPr>
          <w:gridAfter w:val="1"/>
          <w:wAfter w:w="4320" w:type="dxa"/>
          <w:trHeight w:val="449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91.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0E359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Carrying value of all on-balance sheet assets minus amounts deducted from tier 1 capital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E73B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3506">
              <w:rPr>
                <w:rFonts w:asciiTheme="minorHAnsi" w:hAnsiTheme="minorHAnsi" w:cstheme="minorHAnsi"/>
                <w:color w:val="000000"/>
              </w:rPr>
              <w:t>91.</w:t>
            </w:r>
          </w:p>
        </w:tc>
      </w:tr>
      <w:tr w:rsidR="00835117" w:rsidRPr="004A3506" w:rsidTr="00B1154A">
        <w:trPr>
          <w:gridAfter w:val="1"/>
          <w:wAfter w:w="4320" w:type="dxa"/>
          <w:trHeight w:val="48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92.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3E0FBA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Total potential future exposure amount for each derivative contract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E73B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3506">
              <w:rPr>
                <w:rFonts w:asciiTheme="minorHAnsi" w:hAnsiTheme="minorHAnsi" w:cstheme="minorHAnsi"/>
                <w:color w:val="000000"/>
              </w:rPr>
              <w:t>92.</w:t>
            </w:r>
          </w:p>
        </w:tc>
      </w:tr>
      <w:tr w:rsidR="00835117" w:rsidRPr="004A3506" w:rsidTr="00B1154A">
        <w:trPr>
          <w:gridAfter w:val="1"/>
          <w:wAfter w:w="4320" w:type="dxa"/>
          <w:trHeight w:val="49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93.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10 percent of the notional amount of unconditionally cancellable commitments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E73B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3506">
              <w:rPr>
                <w:rFonts w:asciiTheme="minorHAnsi" w:hAnsiTheme="minorHAnsi" w:cstheme="minorHAnsi"/>
                <w:color w:val="000000"/>
              </w:rPr>
              <w:t>93.</w:t>
            </w:r>
          </w:p>
        </w:tc>
      </w:tr>
      <w:tr w:rsidR="00835117" w:rsidRPr="004A3506" w:rsidTr="00B1154A">
        <w:trPr>
          <w:gridAfter w:val="1"/>
          <w:wAfter w:w="4320" w:type="dxa"/>
          <w:trHeight w:val="48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94.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3E0FBA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Total notional amounts of all other off-balance sheet exposures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4A350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A3506">
              <w:rPr>
                <w:rFonts w:asciiTheme="minorHAnsi" w:hAnsiTheme="minorHAnsi" w:cstheme="minorHAnsi"/>
                <w:color w:val="000000"/>
              </w:rPr>
              <w:t>94.</w:t>
            </w:r>
          </w:p>
        </w:tc>
      </w:tr>
      <w:tr w:rsidR="00835117" w:rsidRPr="004A3506" w:rsidTr="00B1154A">
        <w:trPr>
          <w:gridAfter w:val="1"/>
          <w:wAfter w:w="4320" w:type="dxa"/>
          <w:trHeight w:val="34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95.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Month-end total leverage exposure for the supplementary leverage ratio (sum of items 91 through 94)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B0787D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 xml:space="preserve">   95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35117" w:rsidRPr="004A3506" w:rsidTr="00B1154A">
        <w:trPr>
          <w:gridAfter w:val="1"/>
          <w:wAfter w:w="4320" w:type="dxa"/>
          <w:trHeight w:val="49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96.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Month-end tier 1 capital  for the supplementary leverage ratio calculation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B0787D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 xml:space="preserve">   96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9304E" w:rsidRPr="004A3506" w:rsidTr="00B1154A">
        <w:trPr>
          <w:gridAfter w:val="1"/>
          <w:wAfter w:w="4320" w:type="dxa"/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cstheme="minorHAn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</w:tr>
      <w:tr w:rsidR="00835117" w:rsidRPr="004A3506" w:rsidTr="00B1154A">
        <w:trPr>
          <w:gridAfter w:val="1"/>
          <w:wAfter w:w="4320" w:type="dxa"/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cstheme="minorHAn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055DB8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835117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Percentage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09304E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Percentage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09304E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Percentage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</w:tr>
      <w:tr w:rsidR="00835117" w:rsidRPr="004A3506" w:rsidTr="00B1154A">
        <w:trPr>
          <w:gridAfter w:val="1"/>
          <w:wAfter w:w="4320" w:type="dxa"/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97.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835117" w:rsidRPr="004A3506" w:rsidRDefault="00835117" w:rsidP="00055DB8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Monthly supplementary leverage ratio (item 96 divided by item 95)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835117" w:rsidP="00835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--.--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835117" w:rsidP="00835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--.--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117" w:rsidRPr="004A3506" w:rsidRDefault="00835117" w:rsidP="00835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--.--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117" w:rsidRPr="004A3506" w:rsidRDefault="00835117" w:rsidP="00B078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4A3506">
              <w:rPr>
                <w:rFonts w:asciiTheme="minorHAnsi" w:hAnsiTheme="minorHAnsi" w:cstheme="minorHAnsi"/>
              </w:rPr>
              <w:t xml:space="preserve"> 97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9304E" w:rsidRPr="004A3506" w:rsidTr="0009304E">
        <w:trPr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9A60A3" w:rsidRDefault="00835117" w:rsidP="00055DB8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35117" w:rsidRPr="009A60A3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35117" w:rsidRPr="009A60A3" w:rsidRDefault="00835117" w:rsidP="00476C09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35117" w:rsidRPr="009A60A3" w:rsidRDefault="00835117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35117" w:rsidRPr="009A60A3" w:rsidRDefault="00835117" w:rsidP="00476C09">
            <w:pPr>
              <w:rPr>
                <w:rFonts w:cstheme="minorHAnsi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35117" w:rsidRPr="004A3506" w:rsidRDefault="00835117" w:rsidP="00476C09">
            <w:pPr>
              <w:rPr>
                <w:rFonts w:cstheme="minorHAnsi"/>
              </w:rPr>
            </w:pPr>
          </w:p>
        </w:tc>
      </w:tr>
      <w:tr w:rsidR="00A937F5" w:rsidRPr="004A3506" w:rsidTr="00B1154A">
        <w:trPr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937F5" w:rsidRPr="004A3506" w:rsidRDefault="00A937F5" w:rsidP="00476C09">
            <w:pPr>
              <w:rPr>
                <w:rFonts w:cstheme="minorHAn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937F5" w:rsidRPr="009A60A3" w:rsidRDefault="00A937F5" w:rsidP="00055DB8">
            <w:pPr>
              <w:rPr>
                <w:rFonts w:cstheme="minorHAnsi"/>
              </w:rPr>
            </w:pPr>
          </w:p>
        </w:tc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937F5" w:rsidRPr="009A60A3" w:rsidRDefault="00A937F5" w:rsidP="00476C09">
            <w:pPr>
              <w:rPr>
                <w:rFonts w:cstheme="minorHAnsi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7F5" w:rsidRPr="009A60A3" w:rsidRDefault="00A937F5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Percentage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7F5" w:rsidRPr="004A3506" w:rsidRDefault="00A937F5" w:rsidP="00476C09">
            <w:pPr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937F5" w:rsidRPr="004A3506" w:rsidRDefault="00A937F5" w:rsidP="00476C09">
            <w:pPr>
              <w:rPr>
                <w:rFonts w:cstheme="minorHAnsi"/>
              </w:rPr>
            </w:pPr>
          </w:p>
        </w:tc>
      </w:tr>
      <w:tr w:rsidR="00A937F5" w:rsidRPr="004A3506" w:rsidTr="00B1154A">
        <w:trPr>
          <w:trHeight w:val="2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937F5" w:rsidRPr="004A3506" w:rsidRDefault="00A937F5" w:rsidP="00476C09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>98.</w:t>
            </w:r>
          </w:p>
        </w:tc>
        <w:tc>
          <w:tcPr>
            <w:tcW w:w="75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7F5" w:rsidRPr="009A60A3" w:rsidRDefault="00A937F5" w:rsidP="00476C09">
            <w:pPr>
              <w:rPr>
                <w:rFonts w:cstheme="minorHAnsi"/>
              </w:rPr>
            </w:pPr>
            <w:r w:rsidRPr="009A60A3">
              <w:rPr>
                <w:rFonts w:asciiTheme="minorHAnsi" w:hAnsiTheme="minorHAnsi" w:cstheme="minorHAnsi"/>
              </w:rPr>
              <w:t>Supplementary leverage ratio: mean of the 3 monthly ratios reported in item 97 columns A, B, and C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7F5" w:rsidRPr="009A60A3" w:rsidRDefault="00A937F5" w:rsidP="00B1154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--.--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7F5" w:rsidRPr="004A3506" w:rsidRDefault="00A937F5" w:rsidP="00B0787D">
            <w:pPr>
              <w:rPr>
                <w:rFonts w:asciiTheme="minorHAnsi" w:hAnsiTheme="minorHAnsi" w:cstheme="minorHAnsi"/>
              </w:rPr>
            </w:pPr>
            <w:r w:rsidRPr="004A3506">
              <w:rPr>
                <w:rFonts w:asciiTheme="minorHAnsi" w:hAnsiTheme="minorHAnsi" w:cstheme="minorHAnsi"/>
              </w:rPr>
              <w:t xml:space="preserve">  98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937F5" w:rsidRPr="004A3506" w:rsidRDefault="00A937F5" w:rsidP="00476C09">
            <w:pPr>
              <w:rPr>
                <w:rFonts w:cstheme="minorHAnsi"/>
              </w:rPr>
            </w:pPr>
          </w:p>
        </w:tc>
      </w:tr>
    </w:tbl>
    <w:p w:rsidR="00DF6191" w:rsidRPr="003C0E16" w:rsidRDefault="00DF6191" w:rsidP="00DF6191">
      <w:pPr>
        <w:rPr>
          <w:rFonts w:cstheme="minorHAnsi"/>
          <w:sz w:val="20"/>
          <w:szCs w:val="20"/>
        </w:rPr>
      </w:pPr>
    </w:p>
    <w:sectPr w:rsidR="00DF6191" w:rsidRPr="003C0E16" w:rsidSect="00B1154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5" w:rsidRDefault="00471475" w:rsidP="007A536C">
      <w:pPr>
        <w:spacing w:after="0" w:line="240" w:lineRule="auto"/>
      </w:pPr>
      <w:r>
        <w:separator/>
      </w:r>
    </w:p>
  </w:endnote>
  <w:endnote w:type="continuationSeparator" w:id="0">
    <w:p w:rsidR="00471475" w:rsidRDefault="00471475" w:rsidP="007A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26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475" w:rsidRDefault="004714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475" w:rsidRDefault="00471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5" w:rsidRDefault="00471475" w:rsidP="007A536C">
      <w:pPr>
        <w:spacing w:after="0" w:line="240" w:lineRule="auto"/>
      </w:pPr>
      <w:r>
        <w:separator/>
      </w:r>
    </w:p>
  </w:footnote>
  <w:footnote w:type="continuationSeparator" w:id="0">
    <w:p w:rsidR="00471475" w:rsidRDefault="00471475" w:rsidP="007A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DFA"/>
    <w:multiLevelType w:val="hybridMultilevel"/>
    <w:tmpl w:val="185CC244"/>
    <w:lvl w:ilvl="0" w:tplc="52ACF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ADB"/>
    <w:multiLevelType w:val="hybridMultilevel"/>
    <w:tmpl w:val="C580554E"/>
    <w:lvl w:ilvl="0" w:tplc="8BB65B40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82FAE"/>
    <w:multiLevelType w:val="hybridMultilevel"/>
    <w:tmpl w:val="46FCBAC8"/>
    <w:lvl w:ilvl="0" w:tplc="8BB65B40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0"/>
    <w:rsid w:val="00026A83"/>
    <w:rsid w:val="0003079A"/>
    <w:rsid w:val="00042B51"/>
    <w:rsid w:val="000435E3"/>
    <w:rsid w:val="00055DB8"/>
    <w:rsid w:val="00066416"/>
    <w:rsid w:val="00066631"/>
    <w:rsid w:val="0009304E"/>
    <w:rsid w:val="000D0D7B"/>
    <w:rsid w:val="000D6088"/>
    <w:rsid w:val="000E2AC9"/>
    <w:rsid w:val="000E3598"/>
    <w:rsid w:val="000F37B8"/>
    <w:rsid w:val="00101C03"/>
    <w:rsid w:val="0012421F"/>
    <w:rsid w:val="0016364F"/>
    <w:rsid w:val="0017139F"/>
    <w:rsid w:val="0018242B"/>
    <w:rsid w:val="001862B3"/>
    <w:rsid w:val="001A0185"/>
    <w:rsid w:val="001C5305"/>
    <w:rsid w:val="001D75F3"/>
    <w:rsid w:val="001E1A86"/>
    <w:rsid w:val="001E443E"/>
    <w:rsid w:val="002446CD"/>
    <w:rsid w:val="002617A5"/>
    <w:rsid w:val="002C73B2"/>
    <w:rsid w:val="00312890"/>
    <w:rsid w:val="0034738E"/>
    <w:rsid w:val="00352B7B"/>
    <w:rsid w:val="00367228"/>
    <w:rsid w:val="003673C7"/>
    <w:rsid w:val="003B54E4"/>
    <w:rsid w:val="003E0FBA"/>
    <w:rsid w:val="003E7AB1"/>
    <w:rsid w:val="003F5F16"/>
    <w:rsid w:val="0040458E"/>
    <w:rsid w:val="00407095"/>
    <w:rsid w:val="00411D44"/>
    <w:rsid w:val="00422FB7"/>
    <w:rsid w:val="00427F9B"/>
    <w:rsid w:val="00451153"/>
    <w:rsid w:val="00465A16"/>
    <w:rsid w:val="00471475"/>
    <w:rsid w:val="00476C09"/>
    <w:rsid w:val="004A3506"/>
    <w:rsid w:val="004A7DF4"/>
    <w:rsid w:val="004B2A5E"/>
    <w:rsid w:val="004D0641"/>
    <w:rsid w:val="004E0D81"/>
    <w:rsid w:val="004E42F1"/>
    <w:rsid w:val="004F3F2D"/>
    <w:rsid w:val="00542B7F"/>
    <w:rsid w:val="0056666C"/>
    <w:rsid w:val="005673F7"/>
    <w:rsid w:val="005820A3"/>
    <w:rsid w:val="00595543"/>
    <w:rsid w:val="005B01F6"/>
    <w:rsid w:val="005F07C7"/>
    <w:rsid w:val="005F7C3A"/>
    <w:rsid w:val="00625335"/>
    <w:rsid w:val="00625922"/>
    <w:rsid w:val="00646282"/>
    <w:rsid w:val="00667004"/>
    <w:rsid w:val="00674990"/>
    <w:rsid w:val="00682F53"/>
    <w:rsid w:val="00687A5F"/>
    <w:rsid w:val="006C0738"/>
    <w:rsid w:val="006C0C25"/>
    <w:rsid w:val="006D0BFF"/>
    <w:rsid w:val="006E0395"/>
    <w:rsid w:val="006E3A3A"/>
    <w:rsid w:val="00724307"/>
    <w:rsid w:val="007276B0"/>
    <w:rsid w:val="007466B2"/>
    <w:rsid w:val="00756EED"/>
    <w:rsid w:val="00766E29"/>
    <w:rsid w:val="00790E81"/>
    <w:rsid w:val="007A536C"/>
    <w:rsid w:val="007C2969"/>
    <w:rsid w:val="007E4FB5"/>
    <w:rsid w:val="007E79A3"/>
    <w:rsid w:val="007F45ED"/>
    <w:rsid w:val="007F6156"/>
    <w:rsid w:val="00807A53"/>
    <w:rsid w:val="00835117"/>
    <w:rsid w:val="008426F6"/>
    <w:rsid w:val="00867DE1"/>
    <w:rsid w:val="00871121"/>
    <w:rsid w:val="00872CF8"/>
    <w:rsid w:val="00875C8F"/>
    <w:rsid w:val="008A13CE"/>
    <w:rsid w:val="008A3112"/>
    <w:rsid w:val="008C01FC"/>
    <w:rsid w:val="008D10EB"/>
    <w:rsid w:val="008D371E"/>
    <w:rsid w:val="008E165A"/>
    <w:rsid w:val="008F7C48"/>
    <w:rsid w:val="00917A4B"/>
    <w:rsid w:val="00920D4D"/>
    <w:rsid w:val="009241FE"/>
    <w:rsid w:val="00932495"/>
    <w:rsid w:val="00960F8F"/>
    <w:rsid w:val="00964221"/>
    <w:rsid w:val="009755D3"/>
    <w:rsid w:val="00996A5E"/>
    <w:rsid w:val="009A60A3"/>
    <w:rsid w:val="009B37B5"/>
    <w:rsid w:val="009C0A88"/>
    <w:rsid w:val="009D0D23"/>
    <w:rsid w:val="009D5058"/>
    <w:rsid w:val="00A2391A"/>
    <w:rsid w:val="00A34412"/>
    <w:rsid w:val="00A51319"/>
    <w:rsid w:val="00A83386"/>
    <w:rsid w:val="00A937F5"/>
    <w:rsid w:val="00AE78FD"/>
    <w:rsid w:val="00B0787D"/>
    <w:rsid w:val="00B07A63"/>
    <w:rsid w:val="00B110B4"/>
    <w:rsid w:val="00B1154A"/>
    <w:rsid w:val="00B123D1"/>
    <w:rsid w:val="00B17D85"/>
    <w:rsid w:val="00B215AB"/>
    <w:rsid w:val="00B30948"/>
    <w:rsid w:val="00B51318"/>
    <w:rsid w:val="00B70B21"/>
    <w:rsid w:val="00BE5545"/>
    <w:rsid w:val="00BF675E"/>
    <w:rsid w:val="00C020F3"/>
    <w:rsid w:val="00C078A3"/>
    <w:rsid w:val="00C6183F"/>
    <w:rsid w:val="00C63321"/>
    <w:rsid w:val="00C772FE"/>
    <w:rsid w:val="00C83BD4"/>
    <w:rsid w:val="00CA4236"/>
    <w:rsid w:val="00CA614C"/>
    <w:rsid w:val="00CE4B40"/>
    <w:rsid w:val="00CE7582"/>
    <w:rsid w:val="00CF00F7"/>
    <w:rsid w:val="00CF0CE0"/>
    <w:rsid w:val="00CF45A8"/>
    <w:rsid w:val="00D7192E"/>
    <w:rsid w:val="00D71A0C"/>
    <w:rsid w:val="00D91012"/>
    <w:rsid w:val="00D945C1"/>
    <w:rsid w:val="00DA1E54"/>
    <w:rsid w:val="00DB7E04"/>
    <w:rsid w:val="00DC08D1"/>
    <w:rsid w:val="00DC325C"/>
    <w:rsid w:val="00DC4321"/>
    <w:rsid w:val="00DC58E7"/>
    <w:rsid w:val="00DD21D8"/>
    <w:rsid w:val="00DE6BEB"/>
    <w:rsid w:val="00DF6191"/>
    <w:rsid w:val="00E034B4"/>
    <w:rsid w:val="00E17109"/>
    <w:rsid w:val="00E179E1"/>
    <w:rsid w:val="00E51806"/>
    <w:rsid w:val="00E62085"/>
    <w:rsid w:val="00E73BD2"/>
    <w:rsid w:val="00E743B1"/>
    <w:rsid w:val="00E83C93"/>
    <w:rsid w:val="00E97D74"/>
    <w:rsid w:val="00ED7EAF"/>
    <w:rsid w:val="00EE6E1D"/>
    <w:rsid w:val="00F12990"/>
    <w:rsid w:val="00F26A65"/>
    <w:rsid w:val="00F30CBD"/>
    <w:rsid w:val="00F433F5"/>
    <w:rsid w:val="00F64FC5"/>
    <w:rsid w:val="00F84745"/>
    <w:rsid w:val="00FA1B70"/>
    <w:rsid w:val="00FC5061"/>
    <w:rsid w:val="00FD2DB1"/>
    <w:rsid w:val="00FD6E60"/>
    <w:rsid w:val="00FE20CE"/>
    <w:rsid w:val="00FE37E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7B8"/>
    <w:pPr>
      <w:ind w:left="720"/>
      <w:contextualSpacing/>
    </w:pPr>
  </w:style>
  <w:style w:type="table" w:styleId="TableGrid">
    <w:name w:val="Table Grid"/>
    <w:basedOn w:val="TableNormal"/>
    <w:uiPriority w:val="59"/>
    <w:rsid w:val="000D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1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2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DF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6C"/>
  </w:style>
  <w:style w:type="paragraph" w:styleId="Footer">
    <w:name w:val="footer"/>
    <w:basedOn w:val="Normal"/>
    <w:link w:val="FooterChar"/>
    <w:uiPriority w:val="99"/>
    <w:unhideWhenUsed/>
    <w:rsid w:val="007A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7B8"/>
    <w:pPr>
      <w:ind w:left="720"/>
      <w:contextualSpacing/>
    </w:pPr>
  </w:style>
  <w:style w:type="table" w:styleId="TableGrid">
    <w:name w:val="Table Grid"/>
    <w:basedOn w:val="TableNormal"/>
    <w:uiPriority w:val="59"/>
    <w:rsid w:val="000D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1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2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DF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6C"/>
  </w:style>
  <w:style w:type="paragraph" w:styleId="Footer">
    <w:name w:val="footer"/>
    <w:basedOn w:val="Normal"/>
    <w:link w:val="FooterChar"/>
    <w:uiPriority w:val="99"/>
    <w:unhideWhenUsed/>
    <w:rsid w:val="007A5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FDA9-8052-44D3-9238-DAEB27D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9588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Board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MacDonald</dc:creator>
  <cp:lastModifiedBy>mary.gottlieb</cp:lastModifiedBy>
  <cp:revision>2</cp:revision>
  <cp:lastPrinted>2013-06-12T14:50:00Z</cp:lastPrinted>
  <dcterms:created xsi:type="dcterms:W3CDTF">2013-12-30T20:58:00Z</dcterms:created>
  <dcterms:modified xsi:type="dcterms:W3CDTF">2013-12-30T20:58:00Z</dcterms:modified>
</cp:coreProperties>
</file>