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46D" w:rsidRDefault="00455896" w:rsidP="00A41008">
      <w:pPr>
        <w:spacing w:line="240" w:lineRule="auto"/>
        <w:rPr>
          <w:rFonts w:ascii="Times New Roman" w:hAnsi="Times New Roman"/>
          <w:sz w:val="24"/>
        </w:rPr>
      </w:pPr>
      <w:r>
        <w:rPr>
          <w:rFonts w:ascii="Times New Roman" w:hAnsi="Times New Roman"/>
          <w:noProof/>
          <w:sz w:val="24"/>
        </w:rPr>
        <w:drawing>
          <wp:inline distT="0" distB="0" distL="0" distR="0">
            <wp:extent cx="2178685" cy="787400"/>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178685" cy="787400"/>
                    </a:xfrm>
                    <a:prstGeom prst="rect">
                      <a:avLst/>
                    </a:prstGeom>
                    <a:noFill/>
                    <a:ln w="9525">
                      <a:noFill/>
                      <a:miter lim="800000"/>
                      <a:headEnd/>
                      <a:tailEnd/>
                    </a:ln>
                  </pic:spPr>
                </pic:pic>
              </a:graphicData>
            </a:graphic>
          </wp:inline>
        </w:drawing>
      </w:r>
    </w:p>
    <w:p w:rsidR="0079646D" w:rsidRPr="00274A54" w:rsidRDefault="0079646D" w:rsidP="00A41008">
      <w:pPr>
        <w:spacing w:line="240" w:lineRule="auto"/>
        <w:rPr>
          <w:rFonts w:ascii="Times New Roman" w:hAnsi="Times New Roman"/>
          <w:sz w:val="24"/>
        </w:rPr>
      </w:pPr>
      <w:r w:rsidRPr="00274A54">
        <w:rPr>
          <w:rFonts w:ascii="Times New Roman" w:hAnsi="Times New Roman"/>
          <w:sz w:val="24"/>
        </w:rPr>
        <w:t>U.S. Department of Homeland Security</w:t>
      </w:r>
    </w:p>
    <w:p w:rsidR="0079646D" w:rsidRPr="00274A54" w:rsidRDefault="0079646D" w:rsidP="00A41008">
      <w:pPr>
        <w:spacing w:line="240" w:lineRule="auto"/>
        <w:rPr>
          <w:rFonts w:ascii="Times New Roman" w:hAnsi="Times New Roman"/>
          <w:sz w:val="24"/>
        </w:rPr>
      </w:pPr>
    </w:p>
    <w:p w:rsidR="0079646D" w:rsidRPr="00274A54" w:rsidRDefault="0079646D" w:rsidP="00A41008">
      <w:pPr>
        <w:spacing w:line="240" w:lineRule="auto"/>
        <w:rPr>
          <w:rFonts w:ascii="Times New Roman" w:hAnsi="Times New Roman"/>
          <w:sz w:val="24"/>
        </w:rPr>
      </w:pPr>
      <w:r w:rsidRPr="00274A54">
        <w:rPr>
          <w:rFonts w:ascii="Times New Roman" w:hAnsi="Times New Roman"/>
          <w:sz w:val="24"/>
        </w:rPr>
        <w:t>FEDERAL EMERGENCY MANAGEMENT AGENCY</w:t>
      </w:r>
    </w:p>
    <w:p w:rsidR="0079646D" w:rsidRPr="00274A54" w:rsidRDefault="0079646D" w:rsidP="00A41008">
      <w:pPr>
        <w:spacing w:line="240" w:lineRule="auto"/>
        <w:rPr>
          <w:rFonts w:ascii="Times New Roman" w:hAnsi="Times New Roman"/>
          <w:sz w:val="24"/>
        </w:rPr>
      </w:pPr>
      <w:r w:rsidRPr="00274A54">
        <w:rPr>
          <w:rFonts w:ascii="Times New Roman" w:hAnsi="Times New Roman"/>
          <w:sz w:val="24"/>
        </w:rPr>
        <w:t>Office of Chief Counsel</w:t>
      </w:r>
    </w:p>
    <w:p w:rsidR="0079646D" w:rsidRDefault="0079646D" w:rsidP="00A41008">
      <w:pPr>
        <w:spacing w:line="240" w:lineRule="auto"/>
        <w:jc w:val="center"/>
        <w:rPr>
          <w:rFonts w:ascii="Times New Roman" w:hAnsi="Times New Roman"/>
          <w:b/>
          <w:bCs/>
          <w:color w:val="365F91"/>
          <w:sz w:val="24"/>
        </w:rPr>
      </w:pPr>
    </w:p>
    <w:p w:rsidR="0079646D" w:rsidRPr="00274A54" w:rsidRDefault="0079646D" w:rsidP="00A41008">
      <w:pPr>
        <w:spacing w:line="240" w:lineRule="auto"/>
        <w:jc w:val="center"/>
        <w:rPr>
          <w:rFonts w:ascii="Times New Roman" w:hAnsi="Times New Roman"/>
          <w:b/>
          <w:bCs/>
          <w:color w:val="365F91"/>
          <w:sz w:val="24"/>
        </w:rPr>
      </w:pPr>
    </w:p>
    <w:p w:rsidR="0079646D" w:rsidRPr="00274A54" w:rsidRDefault="0079646D" w:rsidP="00A41008">
      <w:pPr>
        <w:spacing w:line="240" w:lineRule="auto"/>
        <w:jc w:val="center"/>
        <w:rPr>
          <w:rFonts w:ascii="Times New Roman" w:hAnsi="Times New Roman"/>
          <w:caps/>
          <w:sz w:val="24"/>
        </w:rPr>
      </w:pPr>
      <w:r w:rsidRPr="00274A54">
        <w:rPr>
          <w:rFonts w:ascii="Times New Roman" w:hAnsi="Times New Roman"/>
          <w:caps/>
          <w:sz w:val="24"/>
        </w:rPr>
        <w:t>Regulatory Evaluation,</w:t>
      </w:r>
    </w:p>
    <w:p w:rsidR="0079646D" w:rsidRPr="00274A54" w:rsidRDefault="0079646D" w:rsidP="00A41008">
      <w:pPr>
        <w:spacing w:line="240" w:lineRule="auto"/>
        <w:jc w:val="center"/>
        <w:rPr>
          <w:rFonts w:ascii="Times New Roman" w:hAnsi="Times New Roman"/>
          <w:caps/>
          <w:sz w:val="24"/>
        </w:rPr>
      </w:pPr>
      <w:r w:rsidRPr="00274A54">
        <w:rPr>
          <w:rFonts w:ascii="Times New Roman" w:hAnsi="Times New Roman"/>
          <w:caps/>
          <w:sz w:val="24"/>
        </w:rPr>
        <w:t>Retrospective Evaluation,</w:t>
      </w:r>
      <w:r>
        <w:rPr>
          <w:rFonts w:ascii="Times New Roman" w:hAnsi="Times New Roman"/>
          <w:caps/>
          <w:sz w:val="24"/>
        </w:rPr>
        <w:t xml:space="preserve"> And</w:t>
      </w:r>
    </w:p>
    <w:p w:rsidR="0079646D" w:rsidRPr="00274A54" w:rsidRDefault="0079646D" w:rsidP="00A41008">
      <w:pPr>
        <w:spacing w:line="240" w:lineRule="auto"/>
        <w:jc w:val="center"/>
        <w:rPr>
          <w:rFonts w:ascii="Times New Roman" w:hAnsi="Times New Roman"/>
          <w:caps/>
          <w:sz w:val="24"/>
        </w:rPr>
      </w:pPr>
      <w:r w:rsidRPr="00274A54">
        <w:rPr>
          <w:rFonts w:ascii="Times New Roman" w:hAnsi="Times New Roman"/>
          <w:caps/>
          <w:sz w:val="24"/>
        </w:rPr>
        <w:t>Regulatory Flexibility Assessment</w:t>
      </w:r>
    </w:p>
    <w:p w:rsidR="0079646D" w:rsidRPr="00274A54" w:rsidRDefault="0079646D" w:rsidP="00A41008">
      <w:pPr>
        <w:spacing w:line="240" w:lineRule="auto"/>
        <w:jc w:val="center"/>
        <w:rPr>
          <w:rFonts w:ascii="Times New Roman" w:hAnsi="Times New Roman"/>
          <w:caps/>
          <w:sz w:val="24"/>
        </w:rPr>
      </w:pPr>
    </w:p>
    <w:p w:rsidR="0079646D" w:rsidRPr="00274A54" w:rsidRDefault="0079646D" w:rsidP="00A41008">
      <w:pPr>
        <w:spacing w:line="240" w:lineRule="auto"/>
        <w:jc w:val="center"/>
        <w:rPr>
          <w:rFonts w:ascii="Times New Roman" w:hAnsi="Times New Roman"/>
          <w:caps/>
          <w:sz w:val="24"/>
        </w:rPr>
      </w:pPr>
      <w:r w:rsidRPr="00274A54">
        <w:rPr>
          <w:rFonts w:ascii="Times New Roman" w:hAnsi="Times New Roman"/>
          <w:caps/>
          <w:sz w:val="24"/>
        </w:rPr>
        <w:t>For</w:t>
      </w:r>
    </w:p>
    <w:p w:rsidR="0079646D" w:rsidRPr="00274A54" w:rsidRDefault="0079646D" w:rsidP="00A41008">
      <w:pPr>
        <w:spacing w:line="240" w:lineRule="auto"/>
        <w:jc w:val="center"/>
        <w:rPr>
          <w:rFonts w:ascii="Times New Roman" w:hAnsi="Times New Roman"/>
          <w:caps/>
          <w:sz w:val="24"/>
        </w:rPr>
      </w:pPr>
      <w:r>
        <w:rPr>
          <w:rFonts w:ascii="Times New Roman" w:hAnsi="Times New Roman"/>
          <w:caps/>
          <w:sz w:val="24"/>
        </w:rPr>
        <w:t xml:space="preserve">Notice of Proposed </w:t>
      </w:r>
      <w:r w:rsidRPr="00274A54">
        <w:rPr>
          <w:rFonts w:ascii="Times New Roman" w:hAnsi="Times New Roman"/>
          <w:caps/>
          <w:sz w:val="24"/>
        </w:rPr>
        <w:t>RULEMAKING</w:t>
      </w:r>
    </w:p>
    <w:p w:rsidR="0079646D" w:rsidRPr="00274A54" w:rsidRDefault="0079646D" w:rsidP="00A41008">
      <w:pPr>
        <w:spacing w:line="240" w:lineRule="auto"/>
        <w:jc w:val="center"/>
        <w:rPr>
          <w:rFonts w:ascii="Times New Roman" w:hAnsi="Times New Roman"/>
          <w:caps/>
          <w:sz w:val="24"/>
        </w:rPr>
      </w:pPr>
    </w:p>
    <w:p w:rsidR="0079646D" w:rsidRPr="00274A54" w:rsidRDefault="0079646D" w:rsidP="00A41008">
      <w:pPr>
        <w:spacing w:line="240" w:lineRule="auto"/>
        <w:jc w:val="center"/>
        <w:rPr>
          <w:rFonts w:ascii="Times New Roman" w:hAnsi="Times New Roman"/>
          <w:caps/>
          <w:sz w:val="24"/>
        </w:rPr>
      </w:pPr>
      <w:r>
        <w:rPr>
          <w:rFonts w:ascii="Times New Roman" w:hAnsi="Times New Roman"/>
          <w:caps/>
          <w:sz w:val="24"/>
        </w:rPr>
        <w:t xml:space="preserve">Change in submission requirements for state mitigation plans </w:t>
      </w:r>
    </w:p>
    <w:p w:rsidR="0079646D" w:rsidRPr="00274A54" w:rsidRDefault="0079646D" w:rsidP="00A41008">
      <w:pPr>
        <w:spacing w:line="240" w:lineRule="auto"/>
        <w:rPr>
          <w:rFonts w:ascii="Times New Roman" w:hAnsi="Times New Roman"/>
          <w:caps/>
          <w:sz w:val="24"/>
        </w:rPr>
      </w:pPr>
    </w:p>
    <w:p w:rsidR="0079646D" w:rsidRPr="00274A54" w:rsidRDefault="0079646D" w:rsidP="00A41008">
      <w:pPr>
        <w:spacing w:line="240" w:lineRule="auto"/>
        <w:rPr>
          <w:rFonts w:ascii="Times New Roman" w:hAnsi="Times New Roman"/>
          <w:caps/>
          <w:sz w:val="24"/>
        </w:rPr>
      </w:pPr>
    </w:p>
    <w:p w:rsidR="0079646D" w:rsidRPr="00274A54" w:rsidRDefault="0079646D" w:rsidP="00A41008">
      <w:pPr>
        <w:spacing w:line="240" w:lineRule="auto"/>
        <w:jc w:val="center"/>
        <w:rPr>
          <w:rFonts w:ascii="Times New Roman" w:hAnsi="Times New Roman"/>
          <w:caps/>
          <w:sz w:val="24"/>
        </w:rPr>
      </w:pPr>
      <w:r w:rsidRPr="00274A54">
        <w:rPr>
          <w:rFonts w:ascii="Times New Roman" w:hAnsi="Times New Roman"/>
          <w:caps/>
          <w:sz w:val="24"/>
        </w:rPr>
        <w:t>Office of Chief Counsel</w:t>
      </w:r>
    </w:p>
    <w:p w:rsidR="0079646D" w:rsidRPr="00274A54" w:rsidRDefault="0079646D" w:rsidP="00A41008">
      <w:pPr>
        <w:spacing w:line="240" w:lineRule="auto"/>
        <w:jc w:val="center"/>
        <w:rPr>
          <w:rFonts w:ascii="Times New Roman" w:hAnsi="Times New Roman"/>
          <w:caps/>
          <w:sz w:val="24"/>
        </w:rPr>
      </w:pPr>
      <w:r w:rsidRPr="00274A54">
        <w:rPr>
          <w:rFonts w:ascii="Times New Roman" w:hAnsi="Times New Roman"/>
          <w:caps/>
          <w:sz w:val="24"/>
        </w:rPr>
        <w:t>Regulatory Affairs Division</w:t>
      </w:r>
    </w:p>
    <w:p w:rsidR="0079646D" w:rsidRPr="00274A54" w:rsidRDefault="00097E93" w:rsidP="00A41008">
      <w:pPr>
        <w:spacing w:line="240" w:lineRule="auto"/>
        <w:jc w:val="center"/>
        <w:rPr>
          <w:rFonts w:ascii="Times New Roman" w:hAnsi="Times New Roman"/>
          <w:sz w:val="24"/>
        </w:rPr>
      </w:pPr>
      <w:r>
        <w:rPr>
          <w:rFonts w:ascii="Times New Roman" w:hAnsi="Times New Roman"/>
          <w:sz w:val="24"/>
        </w:rPr>
        <w:t xml:space="preserve">August </w:t>
      </w:r>
      <w:r w:rsidR="0079646D" w:rsidRPr="00274A54">
        <w:rPr>
          <w:rFonts w:ascii="Times New Roman" w:hAnsi="Times New Roman"/>
          <w:sz w:val="24"/>
        </w:rPr>
        <w:t>2012</w:t>
      </w:r>
    </w:p>
    <w:p w:rsidR="0079646D" w:rsidRDefault="0079646D" w:rsidP="00104940">
      <w:pPr>
        <w:pStyle w:val="Title"/>
        <w:rPr>
          <w:sz w:val="44"/>
        </w:rPr>
      </w:pPr>
    </w:p>
    <w:p w:rsidR="008425E7" w:rsidRPr="008425E7" w:rsidRDefault="008425E7" w:rsidP="008425E7"/>
    <w:p w:rsidR="0079646D" w:rsidRPr="00E64790" w:rsidRDefault="0079646D" w:rsidP="00104940">
      <w:pPr>
        <w:pStyle w:val="Title"/>
        <w:rPr>
          <w:sz w:val="44"/>
        </w:rPr>
      </w:pPr>
      <w:r w:rsidRPr="00613CD4">
        <w:rPr>
          <w:sz w:val="44"/>
        </w:rPr>
        <w:lastRenderedPageBreak/>
        <w:t>Change in Submission Requirements for State Mitigation Plans – Regulatory Evaluation</w:t>
      </w:r>
    </w:p>
    <w:p w:rsidR="0079646D" w:rsidRDefault="0079646D" w:rsidP="003C10E5">
      <w:pPr>
        <w:pStyle w:val="Heading1"/>
        <w:spacing w:after="120"/>
      </w:pPr>
      <w:r>
        <w:t>Introduction</w:t>
      </w:r>
    </w:p>
    <w:p w:rsidR="0079646D" w:rsidRDefault="0079646D" w:rsidP="00737750">
      <w:r>
        <w:t>The Federal Emergency Management Agency (FEMA)’s statutory authority</w:t>
      </w:r>
      <w:r>
        <w:rPr>
          <w:rStyle w:val="FootnoteReference"/>
        </w:rPr>
        <w:footnoteReference w:id="1"/>
      </w:r>
      <w:r>
        <w:t xml:space="preserve"> for mitigation planning is found in section 322 of the </w:t>
      </w:r>
      <w:r w:rsidRPr="0095197E">
        <w:t>Robert T. Stafford Disaster Relief and Emergency Assistance Act</w:t>
      </w:r>
      <w:r>
        <w:t>, as amended</w:t>
      </w:r>
      <w:r w:rsidRPr="0095197E">
        <w:t xml:space="preserve"> (Stafford Act)</w:t>
      </w:r>
      <w:r>
        <w:t>.  The Stafford Act also provides statutory authority for FEMA to promulgate rules and regulations</w:t>
      </w:r>
      <w:r w:rsidRPr="0095197E">
        <w:rPr>
          <w:rStyle w:val="FootnoteReference"/>
        </w:rPr>
        <w:footnoteReference w:id="2"/>
      </w:r>
      <w:r>
        <w:t xml:space="preserve">.  Under this authority and in concert with Executive Order 13563 retrospective review requirements, FEMA is proposing the Change in Submission Requirements for State Mitigation Plans </w:t>
      </w:r>
      <w:r w:rsidRPr="00630904">
        <w:t xml:space="preserve">Notice of Proposed Rulemaking (NPRM).  The </w:t>
      </w:r>
      <w:r w:rsidR="008425E7">
        <w:t>proposed rule</w:t>
      </w:r>
      <w:r w:rsidRPr="00630904">
        <w:t xml:space="preserve"> would reduce the frequency of Standard State Mitigation Plan (Standard Plan)</w:t>
      </w:r>
      <w:r w:rsidRPr="00630904">
        <w:rPr>
          <w:rStyle w:val="FootnoteReference"/>
        </w:rPr>
        <w:t xml:space="preserve"> </w:t>
      </w:r>
      <w:r w:rsidRPr="00630904">
        <w:rPr>
          <w:rStyle w:val="FootnoteReference"/>
        </w:rPr>
        <w:footnoteReference w:id="3"/>
      </w:r>
      <w:r w:rsidRPr="00630904">
        <w:t xml:space="preserve"> and Enhanced State Mitigation Plan (Enhanced Plan)</w:t>
      </w:r>
      <w:r w:rsidRPr="00630904">
        <w:rPr>
          <w:rStyle w:val="FootnoteReference"/>
        </w:rPr>
        <w:footnoteReference w:id="4"/>
      </w:r>
      <w:r w:rsidRPr="00630904">
        <w:t xml:space="preserve"> updates by extending the update requirement from 3 to 5 years</w:t>
      </w:r>
      <w:r>
        <w:t xml:space="preserve">.  </w:t>
      </w:r>
      <w:r w:rsidR="008425E7">
        <w:t>The proposed rule</w:t>
      </w:r>
      <w:r>
        <w:t xml:space="preserve"> would </w:t>
      </w:r>
      <w:r w:rsidR="008425E7">
        <w:t xml:space="preserve">also </w:t>
      </w:r>
      <w:r>
        <w:t xml:space="preserve">align the State Mitigation Plan update requirements, with the Tribal and </w:t>
      </w:r>
      <w:r w:rsidR="000409D4">
        <w:t>L</w:t>
      </w:r>
      <w:r>
        <w:t xml:space="preserve">ocal </w:t>
      </w:r>
      <w:r w:rsidR="000409D4">
        <w:t>M</w:t>
      </w:r>
      <w:r>
        <w:t xml:space="preserve">itigation </w:t>
      </w:r>
      <w:r w:rsidR="000409D4">
        <w:t>P</w:t>
      </w:r>
      <w:r>
        <w:t xml:space="preserve">lan update requirements; reduce the burden placed on State governments; allow additional time between updates for implementation of mitigation plans; as well as respond to stakeholders’ request for an extension of the State Mitigation Plan update cycle.    </w:t>
      </w:r>
    </w:p>
    <w:p w:rsidR="0079646D" w:rsidRDefault="0079646D" w:rsidP="00737750">
      <w:r>
        <w:t xml:space="preserve">The following regulatory evaluation presents an economic analysis, including costs and benefits of the </w:t>
      </w:r>
      <w:r w:rsidRPr="001F6A66">
        <w:t xml:space="preserve">Change in Submission Requirements for State Mitigation Plans </w:t>
      </w:r>
      <w:r>
        <w:t xml:space="preserve">NPRM.  It is a supplementary analysis to the NPRM, consistent with </w:t>
      </w:r>
      <w:r w:rsidRPr="00AD6CB1">
        <w:t>Executive Order 12866, Regulatory Planning and Review</w:t>
      </w:r>
      <w:r>
        <w:rPr>
          <w:rStyle w:val="FootnoteReference"/>
        </w:rPr>
        <w:footnoteReference w:id="5"/>
      </w:r>
      <w:r w:rsidRPr="00AD6CB1">
        <w:t xml:space="preserve"> </w:t>
      </w:r>
      <w:r>
        <w:t xml:space="preserve">and </w:t>
      </w:r>
      <w:r w:rsidRPr="00AD6CB1">
        <w:t>Executive Order 13563, Improving Regulation and Regulatory Review</w:t>
      </w:r>
      <w:r>
        <w:rPr>
          <w:rStyle w:val="FootnoteReference"/>
        </w:rPr>
        <w:footnoteReference w:id="6"/>
      </w:r>
      <w:r>
        <w:t xml:space="preserve">.  </w:t>
      </w:r>
      <w:r w:rsidRPr="00B2018A">
        <w:t xml:space="preserve">The evaluation first </w:t>
      </w:r>
      <w:r>
        <w:t xml:space="preserve">identifies the proposed changes and impacted population.  It then </w:t>
      </w:r>
      <w:r w:rsidRPr="00B2018A">
        <w:t xml:space="preserve">outlines the cost </w:t>
      </w:r>
      <w:r>
        <w:t xml:space="preserve">and cost savings </w:t>
      </w:r>
      <w:r w:rsidRPr="00B2018A">
        <w:t xml:space="preserve">associated with </w:t>
      </w:r>
      <w:r w:rsidR="002E3B89">
        <w:t>extending</w:t>
      </w:r>
      <w:r w:rsidRPr="00B2018A">
        <w:t xml:space="preserve"> the </w:t>
      </w:r>
      <w:r>
        <w:t>State M</w:t>
      </w:r>
      <w:r w:rsidRPr="00B2018A">
        <w:t xml:space="preserve">itigation </w:t>
      </w:r>
      <w:r>
        <w:t>P</w:t>
      </w:r>
      <w:r w:rsidRPr="00B2018A">
        <w:t>lan update frequency</w:t>
      </w:r>
      <w:r>
        <w:t xml:space="preserve"> from 3 to 5 years</w:t>
      </w:r>
      <w:r w:rsidRPr="00B2018A">
        <w:t xml:space="preserve">.  Next, it evaluates the benefits associated with the </w:t>
      </w:r>
      <w:r w:rsidR="008425E7">
        <w:t>proposed rule</w:t>
      </w:r>
      <w:r>
        <w:t>,</w:t>
      </w:r>
      <w:r w:rsidRPr="00B2018A">
        <w:t xml:space="preserve"> </w:t>
      </w:r>
      <w:r>
        <w:t>followed by a comparison of costs and benefits as well as a summation of results</w:t>
      </w:r>
      <w:r w:rsidRPr="00B2018A">
        <w:t>.  The</w:t>
      </w:r>
      <w:r>
        <w:t xml:space="preserve"> evaluation the</w:t>
      </w:r>
      <w:r w:rsidRPr="00B2018A">
        <w:t xml:space="preserve">n compares the identified costs and benefits and summarizes </w:t>
      </w:r>
      <w:r>
        <w:t xml:space="preserve">the </w:t>
      </w:r>
      <w:r w:rsidRPr="00B2018A">
        <w:t>result</w:t>
      </w:r>
      <w:r>
        <w:t>s</w:t>
      </w:r>
      <w:r w:rsidRPr="00B2018A">
        <w:t xml:space="preserve">.  Finally, </w:t>
      </w:r>
      <w:r>
        <w:t xml:space="preserve">the evaluation provides </w:t>
      </w:r>
      <w:r w:rsidRPr="00B2018A">
        <w:t>a discussion on the</w:t>
      </w:r>
      <w:r w:rsidRPr="00A24172">
        <w:t xml:space="preserve"> </w:t>
      </w:r>
      <w:r w:rsidRPr="00B2018A">
        <w:t>alternatives considered</w:t>
      </w:r>
      <w:r>
        <w:t>,</w:t>
      </w:r>
      <w:r w:rsidRPr="00B2018A">
        <w:t xml:space="preserve"> </w:t>
      </w:r>
      <w:r>
        <w:t xml:space="preserve">different State Mitigation Plan cost estimates used in </w:t>
      </w:r>
      <w:r w:rsidRPr="00B2018A">
        <w:t xml:space="preserve">this evaluation and </w:t>
      </w:r>
      <w:r>
        <w:t>the Hazard Mitigation Planning and Hazard Mitigation Grant Program Final Rule, which</w:t>
      </w:r>
      <w:r w:rsidRPr="00B2018A">
        <w:t xml:space="preserve"> </w:t>
      </w:r>
      <w:r>
        <w:t>published in the October 31, 2007 Federal Register,</w:t>
      </w:r>
      <w:r>
        <w:rPr>
          <w:rStyle w:val="FootnoteReference"/>
        </w:rPr>
        <w:footnoteReference w:id="7"/>
      </w:r>
      <w:r>
        <w:t xml:space="preserve"> </w:t>
      </w:r>
      <w:r w:rsidRPr="00B2018A">
        <w:t xml:space="preserve">as well as </w:t>
      </w:r>
      <w:r>
        <w:t xml:space="preserve">an </w:t>
      </w:r>
      <w:r w:rsidRPr="00B2018A">
        <w:t xml:space="preserve">examination into the </w:t>
      </w:r>
      <w:r w:rsidR="008425E7">
        <w:t>proposed rule</w:t>
      </w:r>
      <w:r>
        <w:t>’s</w:t>
      </w:r>
      <w:r w:rsidRPr="00B2018A">
        <w:t xml:space="preserve"> impact on small entities.</w:t>
      </w:r>
      <w:r>
        <w:t xml:space="preserve">  </w:t>
      </w:r>
    </w:p>
    <w:p w:rsidR="0079646D" w:rsidRDefault="0079646D" w:rsidP="003C10E5">
      <w:pPr>
        <w:pStyle w:val="Heading1"/>
        <w:spacing w:after="120"/>
      </w:pPr>
      <w:r>
        <w:t xml:space="preserve">Regulatory Impacts </w:t>
      </w:r>
    </w:p>
    <w:p w:rsidR="0079646D" w:rsidRDefault="0079646D">
      <w:r w:rsidRPr="004203E3">
        <w:rPr>
          <w:b/>
        </w:rPr>
        <w:t>Proposed Changes</w:t>
      </w:r>
    </w:p>
    <w:p w:rsidR="0079646D" w:rsidRDefault="0079646D">
      <w:r>
        <w:lastRenderedPageBreak/>
        <w:t>Currently, States are required to submit Standard or Enhanced Plan updates, at a minimum, every 3 years as a condition of receiving non-emergency Stafford Act assistance and FEMA mitigation grants.</w:t>
      </w:r>
      <w:r w:rsidRPr="004C384F">
        <w:rPr>
          <w:rStyle w:val="FootnoteReference"/>
        </w:rPr>
        <w:t xml:space="preserve"> </w:t>
      </w:r>
      <w:r>
        <w:rPr>
          <w:rStyle w:val="FootnoteReference"/>
        </w:rPr>
        <w:footnoteReference w:id="8"/>
      </w:r>
      <w:r>
        <w:t xml:space="preserve">  However, under the </w:t>
      </w:r>
      <w:r w:rsidR="008425E7">
        <w:t>proposed rule</w:t>
      </w:r>
      <w:r>
        <w:t xml:space="preserve">, States would be required to submit Standard or Enhanced Plan updates, at a minimum, every 5 years.  </w:t>
      </w:r>
    </w:p>
    <w:p w:rsidR="0079646D" w:rsidRDefault="0079646D" w:rsidP="00316473">
      <w:pPr>
        <w:spacing w:before="240"/>
      </w:pPr>
      <w:r w:rsidRPr="009831E4">
        <w:rPr>
          <w:b/>
        </w:rPr>
        <w:t>Impacted Population</w:t>
      </w:r>
      <w:r>
        <w:t xml:space="preserve"> </w:t>
      </w:r>
    </w:p>
    <w:p w:rsidR="0079646D" w:rsidRPr="006B5B5E" w:rsidRDefault="0079646D" w:rsidP="00316473">
      <w:r w:rsidRPr="0095197E">
        <w:t xml:space="preserve">The </w:t>
      </w:r>
      <w:r w:rsidR="008425E7">
        <w:t>proposed rule</w:t>
      </w:r>
      <w:r w:rsidR="008425E7" w:rsidRPr="0095197E">
        <w:t xml:space="preserve"> </w:t>
      </w:r>
      <w:r w:rsidRPr="0095197E">
        <w:t>would affect “</w:t>
      </w:r>
      <w:r>
        <w:t>S</w:t>
      </w:r>
      <w:r w:rsidRPr="0095197E">
        <w:t xml:space="preserve">tates”, as defined by </w:t>
      </w:r>
      <w:r>
        <w:t xml:space="preserve">the </w:t>
      </w:r>
      <w:r w:rsidRPr="0095197E">
        <w:t xml:space="preserve">Stafford Act, </w:t>
      </w:r>
      <w:r>
        <w:t>that</w:t>
      </w:r>
      <w:r w:rsidRPr="0095197E">
        <w:t xml:space="preserve"> </w:t>
      </w:r>
      <w:r>
        <w:t>choose to submit updated Standard or Enhanced Plans to FEMA for approval.</w:t>
      </w:r>
      <w:r w:rsidRPr="004C384F">
        <w:rPr>
          <w:rStyle w:val="FootnoteReference"/>
        </w:rPr>
        <w:t xml:space="preserve"> </w:t>
      </w:r>
      <w:r>
        <w:rPr>
          <w:rStyle w:val="FootnoteReference"/>
        </w:rPr>
        <w:footnoteReference w:id="9"/>
      </w:r>
      <w:r w:rsidDel="004C384F">
        <w:rPr>
          <w:rStyle w:val="FootnoteReference"/>
        </w:rPr>
        <w:t xml:space="preserve"> </w:t>
      </w:r>
      <w:r>
        <w:t xml:space="preserve">  At the time of this analysis, 56 States have approved mitigation plans.  FEMA anticipates that all 56 States would continue to maintain and update their plans for the duration of this analysis.  In addition, at the time of this analysis, 9 of the State Mitigation Plans are Enhanced Plans, 1 State Mitigation Plan is pending Enhanced Plan status, and 46 are Standard Plans.  FEMA </w:t>
      </w:r>
      <w:r w:rsidRPr="006B5B5E">
        <w:t>maintains a breakdown of 10 Enhanced Plans</w:t>
      </w:r>
      <w:r w:rsidRPr="006B5B5E">
        <w:rPr>
          <w:rStyle w:val="FootnoteReference"/>
        </w:rPr>
        <w:footnoteReference w:id="10"/>
      </w:r>
      <w:r w:rsidRPr="006B5B5E">
        <w:t xml:space="preserve"> (18 percent) and 46 Standard Plans (82 percent) for the duration of the analysis.    </w:t>
      </w:r>
    </w:p>
    <w:p w:rsidR="0079646D" w:rsidRDefault="0079646D" w:rsidP="00316473">
      <w:pPr>
        <w:spacing w:after="120"/>
      </w:pPr>
      <w:r w:rsidRPr="0095197E">
        <w:t xml:space="preserve">In addition to the </w:t>
      </w:r>
      <w:r>
        <w:t>S</w:t>
      </w:r>
      <w:r w:rsidRPr="0095197E">
        <w:t xml:space="preserve">tates identified above, </w:t>
      </w:r>
      <w:r>
        <w:t>Indian Tribal Governments</w:t>
      </w:r>
      <w:r w:rsidRPr="0095197E">
        <w:t xml:space="preserve"> </w:t>
      </w:r>
      <w:r>
        <w:t>may choose to submit plans that meet the Enhanced State Mitigation Plan criteria identified in 44 C.F.R. § 201.5 (2011), which includes a 3 year update cycle.</w:t>
      </w:r>
      <w:r>
        <w:rPr>
          <w:rStyle w:val="FootnoteReference"/>
        </w:rPr>
        <w:footnoteReference w:id="11"/>
      </w:r>
      <w:r>
        <w:t xml:space="preserve">  However, to date, no Tribes have submitted </w:t>
      </w:r>
      <w:r w:rsidRPr="00305FB0">
        <w:t>T</w:t>
      </w:r>
      <w:r>
        <w:t>ribal Mitigation Plans</w:t>
      </w:r>
      <w:r>
        <w:rPr>
          <w:rStyle w:val="FootnoteReference"/>
        </w:rPr>
        <w:footnoteReference w:id="12"/>
      </w:r>
      <w:r>
        <w:t xml:space="preserve"> meeting the criteria identified in 44 C.F.R. </w:t>
      </w:r>
      <w:r w:rsidRPr="00EF0A12">
        <w:t>§</w:t>
      </w:r>
      <w:r>
        <w:t xml:space="preserve"> 201.5 (2011).  Therefore, for the purposes of this analysis, FEMA assumes that Tribal Mitigation Plans would continue to follow the update cycle identified in 44 C.F.R. </w:t>
      </w:r>
      <w:r w:rsidRPr="00EF0A12">
        <w:t>§</w:t>
      </w:r>
      <w:r>
        <w:t xml:space="preserve"> 201.7(d)(3) (2011)</w:t>
      </w:r>
      <w:r>
        <w:rPr>
          <w:rStyle w:val="FootnoteReference"/>
        </w:rPr>
        <w:footnoteReference w:id="13"/>
      </w:r>
      <w:r>
        <w:t xml:space="preserve"> and not be impacted by the </w:t>
      </w:r>
      <w:r w:rsidR="008425E7">
        <w:t>proposed rule</w:t>
      </w:r>
      <w:r>
        <w:t xml:space="preserve">.  </w:t>
      </w:r>
    </w:p>
    <w:p w:rsidR="0079646D" w:rsidRDefault="0079646D" w:rsidP="003C10E5">
      <w:pPr>
        <w:pStyle w:val="Heading1"/>
        <w:spacing w:after="120"/>
      </w:pPr>
      <w:r>
        <w:t>Cost and Cost Savings</w:t>
      </w:r>
    </w:p>
    <w:p w:rsidR="0079646D" w:rsidRDefault="0079646D" w:rsidP="00B27B44">
      <w:r w:rsidRPr="004C7AA4">
        <w:t xml:space="preserve">This </w:t>
      </w:r>
      <w:r>
        <w:t>section</w:t>
      </w:r>
      <w:r w:rsidRPr="004C7AA4">
        <w:t xml:space="preserve"> begins by discuss</w:t>
      </w:r>
      <w:r>
        <w:t>ing</w:t>
      </w:r>
      <w:r w:rsidRPr="004C7AA4">
        <w:t xml:space="preserve"> the proposed </w:t>
      </w:r>
      <w:r>
        <w:t>m</w:t>
      </w:r>
      <w:r w:rsidRPr="004C7AA4">
        <w:t xml:space="preserve">itigation </w:t>
      </w:r>
      <w:r>
        <w:t>p</w:t>
      </w:r>
      <w:r w:rsidRPr="004C7AA4">
        <w:t xml:space="preserve">lan update schedule compared to the existing update schedule over a 15 year period.  </w:t>
      </w:r>
      <w:r>
        <w:t>It t</w:t>
      </w:r>
      <w:r w:rsidRPr="004C7AA4">
        <w:t xml:space="preserve">hen calculates a </w:t>
      </w:r>
      <w:r>
        <w:t>State M</w:t>
      </w:r>
      <w:r w:rsidRPr="004C7AA4">
        <w:t xml:space="preserve">itigation </w:t>
      </w:r>
      <w:r>
        <w:t>P</w:t>
      </w:r>
      <w:r w:rsidRPr="004C7AA4">
        <w:t xml:space="preserve">lan </w:t>
      </w:r>
      <w:r>
        <w:t>U</w:t>
      </w:r>
      <w:r w:rsidRPr="004C7AA4">
        <w:t xml:space="preserve">pdate </w:t>
      </w:r>
      <w:r>
        <w:t>U</w:t>
      </w:r>
      <w:r w:rsidRPr="004C7AA4">
        <w:t xml:space="preserve">nit </w:t>
      </w:r>
      <w:r>
        <w:t>C</w:t>
      </w:r>
      <w:r w:rsidRPr="004C7AA4">
        <w:t xml:space="preserve">ost, which is used to estimate </w:t>
      </w:r>
      <w:r>
        <w:t xml:space="preserve">State </w:t>
      </w:r>
      <w:r w:rsidRPr="004C7AA4">
        <w:t xml:space="preserve">15 year cost savings.  </w:t>
      </w:r>
      <w:r>
        <w:t xml:space="preserve">Lastly, </w:t>
      </w:r>
      <w:r w:rsidRPr="004C7AA4">
        <w:t>Federal costs and cost savings are then estimate</w:t>
      </w:r>
      <w:r>
        <w:t>d</w:t>
      </w:r>
      <w:r w:rsidRPr="004C7AA4">
        <w:t xml:space="preserve"> as well as the total cost savings of the </w:t>
      </w:r>
      <w:r w:rsidR="008425E7">
        <w:t>proposed rule</w:t>
      </w:r>
      <w:r w:rsidRPr="004C7AA4">
        <w:t xml:space="preserve">.  </w:t>
      </w:r>
      <w:r>
        <w:t xml:space="preserve">  </w:t>
      </w:r>
    </w:p>
    <w:p w:rsidR="0079646D" w:rsidRPr="00E62F05" w:rsidRDefault="0079646D" w:rsidP="003C10E5">
      <w:pPr>
        <w:spacing w:before="240"/>
        <w:rPr>
          <w:b/>
        </w:rPr>
      </w:pPr>
      <w:r w:rsidRPr="00E62F05">
        <w:rPr>
          <w:b/>
        </w:rPr>
        <w:t>Update Schedule</w:t>
      </w:r>
      <w:r>
        <w:rPr>
          <w:b/>
        </w:rPr>
        <w:t xml:space="preserve"> </w:t>
      </w:r>
    </w:p>
    <w:p w:rsidR="0079646D" w:rsidRDefault="0079646D" w:rsidP="00E62F05">
      <w:r>
        <w:lastRenderedPageBreak/>
        <w:t xml:space="preserve">As stated previously, States currently submit Standard or Enhanced Plan updates, at a minimum, every 3 years.  However, under the </w:t>
      </w:r>
      <w:r w:rsidR="008425E7">
        <w:t>proposed rule</w:t>
      </w:r>
      <w:r>
        <w:t>, States would submit mitigation plan updates, at a minimum, every 5 years.  This results in a reduction of 2 plan submissions</w:t>
      </w:r>
      <w:r>
        <w:rPr>
          <w:rStyle w:val="FootnoteReference"/>
        </w:rPr>
        <w:footnoteReference w:id="14"/>
      </w:r>
      <w:r>
        <w:t xml:space="preserve"> over a 15 year period per State.  Cumulatively, as shown in </w:t>
      </w:r>
      <w:r w:rsidR="006E36A7">
        <w:fldChar w:fldCharType="begin"/>
      </w:r>
      <w:r>
        <w:instrText xml:space="preserve"> REF _Ref322072277 \h </w:instrText>
      </w:r>
      <w:r w:rsidR="006E36A7">
        <w:fldChar w:fldCharType="separate"/>
      </w:r>
      <w:r w:rsidR="003C6FB6">
        <w:t xml:space="preserve">Table </w:t>
      </w:r>
      <w:r w:rsidR="003C6FB6">
        <w:rPr>
          <w:noProof/>
        </w:rPr>
        <w:t>1</w:t>
      </w:r>
      <w:r w:rsidR="006E36A7">
        <w:fldChar w:fldCharType="end"/>
      </w:r>
      <w:r>
        <w:t>, this results in a reduction of 112 plan updates</w:t>
      </w:r>
      <w:r>
        <w:rPr>
          <w:rStyle w:val="FootnoteReference"/>
        </w:rPr>
        <w:footnoteReference w:id="15"/>
      </w:r>
      <w:r>
        <w:t xml:space="preserve"> over 15 years.      </w:t>
      </w:r>
    </w:p>
    <w:p w:rsidR="0079646D" w:rsidRDefault="0079646D" w:rsidP="00A003C2">
      <w:pPr>
        <w:pStyle w:val="Caption"/>
        <w:spacing w:after="0"/>
      </w:pPr>
      <w:bookmarkStart w:id="1" w:name="_Ref322072277"/>
      <w:r>
        <w:t xml:space="preserve">Table </w:t>
      </w:r>
      <w:r w:rsidR="006E36A7">
        <w:fldChar w:fldCharType="begin"/>
      </w:r>
      <w:r w:rsidR="009B6DC1">
        <w:instrText xml:space="preserve"> SEQ Table \* ARABIC </w:instrText>
      </w:r>
      <w:r w:rsidR="006E36A7">
        <w:fldChar w:fldCharType="separate"/>
      </w:r>
      <w:r w:rsidR="003C6FB6">
        <w:rPr>
          <w:noProof/>
        </w:rPr>
        <w:t>1</w:t>
      </w:r>
      <w:r w:rsidR="006E36A7">
        <w:rPr>
          <w:noProof/>
        </w:rPr>
        <w:fldChar w:fldCharType="end"/>
      </w:r>
      <w:bookmarkEnd w:id="1"/>
      <w:r>
        <w:t>:  15 Year Cumulative State Plan Update Schedule (5 Year Cycle)</w:t>
      </w:r>
    </w:p>
    <w:tbl>
      <w:tblPr>
        <w:tblW w:w="4615" w:type="pct"/>
        <w:tblInd w:w="738" w:type="dxa"/>
        <w:tblLook w:val="00A0" w:firstRow="1" w:lastRow="0" w:firstColumn="1" w:lastColumn="0" w:noHBand="0" w:noVBand="0"/>
      </w:tblPr>
      <w:tblGrid>
        <w:gridCol w:w="2098"/>
        <w:gridCol w:w="2091"/>
        <w:gridCol w:w="2143"/>
        <w:gridCol w:w="2507"/>
      </w:tblGrid>
      <w:tr w:rsidR="0079646D" w:rsidRPr="000B185D">
        <w:trPr>
          <w:trHeight w:val="836"/>
        </w:trPr>
        <w:tc>
          <w:tcPr>
            <w:tcW w:w="1187" w:type="pct"/>
            <w:tcBorders>
              <w:top w:val="single" w:sz="4" w:space="0" w:color="auto"/>
              <w:left w:val="single" w:sz="4" w:space="0" w:color="auto"/>
              <w:bottom w:val="single" w:sz="4" w:space="0" w:color="auto"/>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b/>
                <w:bCs/>
                <w:color w:val="000000"/>
                <w:sz w:val="20"/>
              </w:rPr>
            </w:pPr>
            <w:r w:rsidRPr="00A271D7">
              <w:rPr>
                <w:rFonts w:cs="Calibri"/>
                <w:b/>
                <w:bCs/>
                <w:color w:val="000000"/>
                <w:sz w:val="20"/>
              </w:rPr>
              <w:t>Year</w:t>
            </w:r>
          </w:p>
        </w:tc>
        <w:tc>
          <w:tcPr>
            <w:tcW w:w="1183" w:type="pct"/>
            <w:tcBorders>
              <w:top w:val="single" w:sz="4" w:space="0" w:color="auto"/>
              <w:left w:val="nil"/>
              <w:bottom w:val="single" w:sz="4" w:space="0" w:color="auto"/>
              <w:right w:val="single" w:sz="4" w:space="0" w:color="auto"/>
            </w:tcBorders>
            <w:vAlign w:val="bottom"/>
          </w:tcPr>
          <w:p w:rsidR="0079646D" w:rsidRPr="00A271D7" w:rsidRDefault="0079646D" w:rsidP="00A271D7">
            <w:pPr>
              <w:keepNext/>
              <w:keepLines/>
              <w:spacing w:after="0" w:line="240" w:lineRule="auto"/>
              <w:jc w:val="center"/>
              <w:outlineLvl w:val="0"/>
              <w:rPr>
                <w:rFonts w:cs="Calibri"/>
                <w:b/>
                <w:bCs/>
                <w:color w:val="000000"/>
                <w:sz w:val="20"/>
              </w:rPr>
            </w:pPr>
            <w:r w:rsidRPr="00A271D7">
              <w:rPr>
                <w:rFonts w:cs="Calibri"/>
                <w:b/>
                <w:bCs/>
                <w:color w:val="000000"/>
                <w:sz w:val="20"/>
              </w:rPr>
              <w:t xml:space="preserve">Baseline </w:t>
            </w:r>
            <w:r w:rsidRPr="00A271D7">
              <w:rPr>
                <w:rFonts w:cs="Calibri"/>
                <w:b/>
                <w:bCs/>
                <w:color w:val="000000"/>
                <w:sz w:val="20"/>
              </w:rPr>
              <w:br/>
              <w:t xml:space="preserve"># of Plan Updates </w:t>
            </w:r>
            <w:r w:rsidRPr="00A271D7">
              <w:rPr>
                <w:rFonts w:cs="Calibri"/>
                <w:b/>
                <w:bCs/>
                <w:color w:val="000000"/>
                <w:sz w:val="20"/>
              </w:rPr>
              <w:br/>
            </w:r>
            <w:r w:rsidRPr="00A271D7">
              <w:rPr>
                <w:rFonts w:cs="Calibri"/>
                <w:color w:val="000000"/>
                <w:sz w:val="20"/>
              </w:rPr>
              <w:t>(3 year cycle)</w:t>
            </w:r>
          </w:p>
        </w:tc>
        <w:tc>
          <w:tcPr>
            <w:tcW w:w="1212" w:type="pct"/>
            <w:tcBorders>
              <w:top w:val="single" w:sz="4" w:space="0" w:color="auto"/>
              <w:left w:val="nil"/>
              <w:bottom w:val="single" w:sz="4" w:space="0" w:color="auto"/>
              <w:right w:val="single" w:sz="4" w:space="0" w:color="auto"/>
            </w:tcBorders>
            <w:vAlign w:val="bottom"/>
          </w:tcPr>
          <w:p w:rsidR="0079646D" w:rsidRPr="00A271D7" w:rsidRDefault="0079646D" w:rsidP="00A271D7">
            <w:pPr>
              <w:keepNext/>
              <w:keepLines/>
              <w:spacing w:after="0" w:line="240" w:lineRule="auto"/>
              <w:jc w:val="center"/>
              <w:outlineLvl w:val="0"/>
              <w:rPr>
                <w:rFonts w:cs="Calibri"/>
                <w:b/>
                <w:bCs/>
                <w:color w:val="000000"/>
                <w:sz w:val="20"/>
              </w:rPr>
            </w:pPr>
            <w:r w:rsidRPr="00A271D7">
              <w:rPr>
                <w:rFonts w:cs="Calibri"/>
                <w:b/>
                <w:bCs/>
                <w:color w:val="000000"/>
                <w:sz w:val="20"/>
              </w:rPr>
              <w:t xml:space="preserve">Proposed Rule </w:t>
            </w:r>
            <w:r w:rsidRPr="00A271D7">
              <w:rPr>
                <w:rFonts w:cs="Calibri"/>
                <w:b/>
                <w:bCs/>
                <w:color w:val="000000"/>
                <w:sz w:val="20"/>
              </w:rPr>
              <w:br/>
              <w:t xml:space="preserve"># of Plan Updates </w:t>
            </w:r>
            <w:r w:rsidRPr="00A271D7">
              <w:rPr>
                <w:rFonts w:cs="Calibri"/>
                <w:b/>
                <w:bCs/>
                <w:color w:val="000000"/>
                <w:sz w:val="20"/>
              </w:rPr>
              <w:br/>
            </w:r>
            <w:r w:rsidRPr="00A271D7">
              <w:rPr>
                <w:rFonts w:cs="Calibri"/>
                <w:color w:val="000000"/>
                <w:sz w:val="20"/>
              </w:rPr>
              <w:t>(5 year cycle)</w:t>
            </w:r>
          </w:p>
        </w:tc>
        <w:tc>
          <w:tcPr>
            <w:tcW w:w="1418" w:type="pct"/>
            <w:tcBorders>
              <w:top w:val="nil"/>
              <w:left w:val="nil"/>
              <w:bottom w:val="nil"/>
              <w:right w:val="nil"/>
            </w:tcBorders>
            <w:noWrap/>
            <w:vAlign w:val="bottom"/>
          </w:tcPr>
          <w:p w:rsidR="0079646D" w:rsidRPr="00A271D7" w:rsidRDefault="0079646D" w:rsidP="00A271D7">
            <w:pPr>
              <w:keepNext/>
              <w:keepLines/>
              <w:spacing w:after="0" w:line="240" w:lineRule="auto"/>
              <w:outlineLvl w:val="0"/>
              <w:rPr>
                <w:rFonts w:cs="Calibri"/>
                <w:color w:val="000000"/>
              </w:rPr>
            </w:pPr>
          </w:p>
        </w:tc>
      </w:tr>
      <w:tr w:rsidR="0079646D" w:rsidRPr="000B185D">
        <w:trPr>
          <w:trHeight w:val="300"/>
        </w:trPr>
        <w:tc>
          <w:tcPr>
            <w:tcW w:w="1187"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sz w:val="20"/>
              </w:rPr>
            </w:pPr>
            <w:r w:rsidRPr="00A271D7">
              <w:rPr>
                <w:rFonts w:cs="Calibri"/>
                <w:color w:val="000000"/>
                <w:sz w:val="20"/>
              </w:rPr>
              <w:t>1</w:t>
            </w:r>
          </w:p>
        </w:tc>
        <w:tc>
          <w:tcPr>
            <w:tcW w:w="1183" w:type="pct"/>
            <w:tcBorders>
              <w:top w:val="nil"/>
              <w:left w:val="nil"/>
              <w:bottom w:val="nil"/>
              <w:right w:val="nil"/>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56</w:t>
            </w:r>
          </w:p>
        </w:tc>
        <w:tc>
          <w:tcPr>
            <w:tcW w:w="1212"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56</w:t>
            </w:r>
          </w:p>
        </w:tc>
        <w:tc>
          <w:tcPr>
            <w:tcW w:w="1418" w:type="pct"/>
            <w:tcBorders>
              <w:top w:val="nil"/>
              <w:left w:val="nil"/>
              <w:bottom w:val="nil"/>
              <w:right w:val="nil"/>
            </w:tcBorders>
            <w:noWrap/>
            <w:vAlign w:val="bottom"/>
          </w:tcPr>
          <w:p w:rsidR="0079646D" w:rsidRPr="00A271D7" w:rsidRDefault="0079646D" w:rsidP="00A271D7">
            <w:pPr>
              <w:keepNext/>
              <w:keepLines/>
              <w:spacing w:after="0" w:line="240" w:lineRule="auto"/>
              <w:outlineLvl w:val="0"/>
              <w:rPr>
                <w:rFonts w:cs="Calibri"/>
                <w:color w:val="000000"/>
              </w:rPr>
            </w:pPr>
          </w:p>
        </w:tc>
      </w:tr>
      <w:tr w:rsidR="0079646D" w:rsidRPr="000B185D">
        <w:trPr>
          <w:trHeight w:val="300"/>
        </w:trPr>
        <w:tc>
          <w:tcPr>
            <w:tcW w:w="1187"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sz w:val="20"/>
              </w:rPr>
            </w:pPr>
            <w:r w:rsidRPr="00A271D7">
              <w:rPr>
                <w:rFonts w:cs="Calibri"/>
                <w:color w:val="000000"/>
                <w:sz w:val="20"/>
              </w:rPr>
              <w:t>2</w:t>
            </w:r>
          </w:p>
        </w:tc>
        <w:tc>
          <w:tcPr>
            <w:tcW w:w="1183" w:type="pct"/>
            <w:tcBorders>
              <w:top w:val="nil"/>
              <w:left w:val="nil"/>
              <w:bottom w:val="nil"/>
              <w:right w:val="nil"/>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212"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418" w:type="pct"/>
            <w:tcBorders>
              <w:top w:val="nil"/>
              <w:left w:val="nil"/>
              <w:bottom w:val="nil"/>
              <w:right w:val="nil"/>
            </w:tcBorders>
            <w:noWrap/>
            <w:vAlign w:val="bottom"/>
          </w:tcPr>
          <w:p w:rsidR="0079646D" w:rsidRPr="00A271D7" w:rsidRDefault="0079646D" w:rsidP="00A271D7">
            <w:pPr>
              <w:keepNext/>
              <w:keepLines/>
              <w:spacing w:after="0" w:line="240" w:lineRule="auto"/>
              <w:outlineLvl w:val="0"/>
              <w:rPr>
                <w:rFonts w:cs="Calibri"/>
                <w:color w:val="000000"/>
              </w:rPr>
            </w:pPr>
          </w:p>
        </w:tc>
      </w:tr>
      <w:tr w:rsidR="0079646D" w:rsidRPr="000B185D">
        <w:trPr>
          <w:trHeight w:val="300"/>
        </w:trPr>
        <w:tc>
          <w:tcPr>
            <w:tcW w:w="1187"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sz w:val="20"/>
              </w:rPr>
            </w:pPr>
            <w:r w:rsidRPr="00A271D7">
              <w:rPr>
                <w:rFonts w:cs="Calibri"/>
                <w:color w:val="000000"/>
                <w:sz w:val="20"/>
              </w:rPr>
              <w:t>3</w:t>
            </w:r>
          </w:p>
        </w:tc>
        <w:tc>
          <w:tcPr>
            <w:tcW w:w="1183" w:type="pct"/>
            <w:tcBorders>
              <w:top w:val="nil"/>
              <w:left w:val="nil"/>
              <w:bottom w:val="nil"/>
              <w:right w:val="nil"/>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212"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418" w:type="pct"/>
            <w:tcBorders>
              <w:top w:val="nil"/>
              <w:left w:val="nil"/>
              <w:bottom w:val="nil"/>
              <w:right w:val="nil"/>
            </w:tcBorders>
            <w:noWrap/>
            <w:vAlign w:val="bottom"/>
          </w:tcPr>
          <w:p w:rsidR="0079646D" w:rsidRPr="00A271D7" w:rsidRDefault="0079646D" w:rsidP="00A271D7">
            <w:pPr>
              <w:keepNext/>
              <w:keepLines/>
              <w:spacing w:after="0" w:line="240" w:lineRule="auto"/>
              <w:outlineLvl w:val="0"/>
              <w:rPr>
                <w:rFonts w:cs="Calibri"/>
                <w:color w:val="000000"/>
              </w:rPr>
            </w:pPr>
          </w:p>
        </w:tc>
      </w:tr>
      <w:tr w:rsidR="0079646D" w:rsidRPr="000B185D">
        <w:trPr>
          <w:trHeight w:val="300"/>
        </w:trPr>
        <w:tc>
          <w:tcPr>
            <w:tcW w:w="1187"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sz w:val="20"/>
              </w:rPr>
            </w:pPr>
            <w:r w:rsidRPr="00A271D7">
              <w:rPr>
                <w:rFonts w:cs="Calibri"/>
                <w:color w:val="000000"/>
                <w:sz w:val="20"/>
              </w:rPr>
              <w:t>4</w:t>
            </w:r>
          </w:p>
        </w:tc>
        <w:tc>
          <w:tcPr>
            <w:tcW w:w="1183" w:type="pct"/>
            <w:tcBorders>
              <w:top w:val="nil"/>
              <w:left w:val="nil"/>
              <w:bottom w:val="nil"/>
              <w:right w:val="nil"/>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56</w:t>
            </w:r>
          </w:p>
        </w:tc>
        <w:tc>
          <w:tcPr>
            <w:tcW w:w="1212"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418" w:type="pct"/>
            <w:tcBorders>
              <w:top w:val="nil"/>
              <w:left w:val="nil"/>
              <w:bottom w:val="nil"/>
              <w:right w:val="nil"/>
            </w:tcBorders>
            <w:noWrap/>
            <w:vAlign w:val="bottom"/>
          </w:tcPr>
          <w:p w:rsidR="0079646D" w:rsidRPr="00A271D7" w:rsidRDefault="0079646D" w:rsidP="00A271D7">
            <w:pPr>
              <w:keepNext/>
              <w:keepLines/>
              <w:spacing w:after="0" w:line="240" w:lineRule="auto"/>
              <w:outlineLvl w:val="0"/>
              <w:rPr>
                <w:rFonts w:cs="Calibri"/>
                <w:color w:val="000000"/>
              </w:rPr>
            </w:pPr>
          </w:p>
        </w:tc>
      </w:tr>
      <w:tr w:rsidR="0079646D" w:rsidRPr="000B185D">
        <w:trPr>
          <w:trHeight w:val="300"/>
        </w:trPr>
        <w:tc>
          <w:tcPr>
            <w:tcW w:w="1187"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sz w:val="20"/>
              </w:rPr>
            </w:pPr>
            <w:r w:rsidRPr="00A271D7">
              <w:rPr>
                <w:rFonts w:cs="Calibri"/>
                <w:color w:val="000000"/>
                <w:sz w:val="20"/>
              </w:rPr>
              <w:t>5</w:t>
            </w:r>
          </w:p>
        </w:tc>
        <w:tc>
          <w:tcPr>
            <w:tcW w:w="1183" w:type="pct"/>
            <w:tcBorders>
              <w:top w:val="nil"/>
              <w:left w:val="nil"/>
              <w:bottom w:val="nil"/>
              <w:right w:val="nil"/>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212"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418" w:type="pct"/>
            <w:tcBorders>
              <w:top w:val="nil"/>
              <w:left w:val="nil"/>
              <w:bottom w:val="nil"/>
              <w:right w:val="nil"/>
            </w:tcBorders>
            <w:noWrap/>
            <w:vAlign w:val="bottom"/>
          </w:tcPr>
          <w:p w:rsidR="0079646D" w:rsidRPr="00A271D7" w:rsidRDefault="0079646D" w:rsidP="00A271D7">
            <w:pPr>
              <w:keepNext/>
              <w:keepLines/>
              <w:spacing w:after="0" w:line="240" w:lineRule="auto"/>
              <w:outlineLvl w:val="0"/>
              <w:rPr>
                <w:rFonts w:cs="Calibri"/>
                <w:color w:val="000000"/>
              </w:rPr>
            </w:pPr>
          </w:p>
        </w:tc>
      </w:tr>
      <w:tr w:rsidR="0079646D" w:rsidRPr="000B185D">
        <w:trPr>
          <w:trHeight w:val="300"/>
        </w:trPr>
        <w:tc>
          <w:tcPr>
            <w:tcW w:w="1187"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sz w:val="20"/>
              </w:rPr>
            </w:pPr>
            <w:r w:rsidRPr="00A271D7">
              <w:rPr>
                <w:rFonts w:cs="Calibri"/>
                <w:color w:val="000000"/>
                <w:sz w:val="20"/>
              </w:rPr>
              <w:t>6</w:t>
            </w:r>
          </w:p>
        </w:tc>
        <w:tc>
          <w:tcPr>
            <w:tcW w:w="1183" w:type="pct"/>
            <w:tcBorders>
              <w:top w:val="nil"/>
              <w:left w:val="nil"/>
              <w:bottom w:val="nil"/>
              <w:right w:val="nil"/>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212"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56</w:t>
            </w:r>
          </w:p>
        </w:tc>
        <w:tc>
          <w:tcPr>
            <w:tcW w:w="1418" w:type="pct"/>
            <w:tcBorders>
              <w:top w:val="nil"/>
              <w:left w:val="nil"/>
              <w:bottom w:val="nil"/>
              <w:right w:val="nil"/>
            </w:tcBorders>
            <w:noWrap/>
            <w:vAlign w:val="bottom"/>
          </w:tcPr>
          <w:p w:rsidR="0079646D" w:rsidRPr="00A271D7" w:rsidRDefault="0079646D" w:rsidP="00A271D7">
            <w:pPr>
              <w:keepNext/>
              <w:keepLines/>
              <w:spacing w:after="0" w:line="240" w:lineRule="auto"/>
              <w:outlineLvl w:val="0"/>
              <w:rPr>
                <w:rFonts w:cs="Calibri"/>
                <w:color w:val="000000"/>
              </w:rPr>
            </w:pPr>
          </w:p>
        </w:tc>
      </w:tr>
      <w:tr w:rsidR="0079646D" w:rsidRPr="000B185D">
        <w:trPr>
          <w:trHeight w:val="300"/>
        </w:trPr>
        <w:tc>
          <w:tcPr>
            <w:tcW w:w="1187"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sz w:val="20"/>
              </w:rPr>
            </w:pPr>
            <w:r w:rsidRPr="00A271D7">
              <w:rPr>
                <w:rFonts w:cs="Calibri"/>
                <w:color w:val="000000"/>
                <w:sz w:val="20"/>
              </w:rPr>
              <w:t>7</w:t>
            </w:r>
          </w:p>
        </w:tc>
        <w:tc>
          <w:tcPr>
            <w:tcW w:w="1183" w:type="pct"/>
            <w:tcBorders>
              <w:top w:val="nil"/>
              <w:left w:val="nil"/>
              <w:bottom w:val="nil"/>
              <w:right w:val="nil"/>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56</w:t>
            </w:r>
          </w:p>
        </w:tc>
        <w:tc>
          <w:tcPr>
            <w:tcW w:w="1212"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418" w:type="pct"/>
            <w:tcBorders>
              <w:top w:val="nil"/>
              <w:left w:val="nil"/>
              <w:bottom w:val="nil"/>
              <w:right w:val="nil"/>
            </w:tcBorders>
            <w:noWrap/>
            <w:vAlign w:val="bottom"/>
          </w:tcPr>
          <w:p w:rsidR="0079646D" w:rsidRPr="00A271D7" w:rsidRDefault="0079646D" w:rsidP="00A271D7">
            <w:pPr>
              <w:keepNext/>
              <w:keepLines/>
              <w:spacing w:after="0" w:line="240" w:lineRule="auto"/>
              <w:outlineLvl w:val="0"/>
              <w:rPr>
                <w:rFonts w:cs="Calibri"/>
                <w:color w:val="000000"/>
              </w:rPr>
            </w:pPr>
          </w:p>
        </w:tc>
      </w:tr>
      <w:tr w:rsidR="0079646D" w:rsidRPr="000B185D">
        <w:trPr>
          <w:trHeight w:val="300"/>
        </w:trPr>
        <w:tc>
          <w:tcPr>
            <w:tcW w:w="1187"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sz w:val="20"/>
              </w:rPr>
            </w:pPr>
            <w:r w:rsidRPr="00A271D7">
              <w:rPr>
                <w:rFonts w:cs="Calibri"/>
                <w:color w:val="000000"/>
                <w:sz w:val="20"/>
              </w:rPr>
              <w:t>8</w:t>
            </w:r>
          </w:p>
        </w:tc>
        <w:tc>
          <w:tcPr>
            <w:tcW w:w="1183" w:type="pct"/>
            <w:tcBorders>
              <w:top w:val="nil"/>
              <w:left w:val="nil"/>
              <w:bottom w:val="nil"/>
              <w:right w:val="nil"/>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212"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418" w:type="pct"/>
            <w:tcBorders>
              <w:top w:val="nil"/>
              <w:left w:val="nil"/>
              <w:bottom w:val="nil"/>
              <w:right w:val="nil"/>
            </w:tcBorders>
            <w:noWrap/>
            <w:vAlign w:val="bottom"/>
          </w:tcPr>
          <w:p w:rsidR="0079646D" w:rsidRPr="00A271D7" w:rsidRDefault="0079646D" w:rsidP="00A271D7">
            <w:pPr>
              <w:keepNext/>
              <w:keepLines/>
              <w:spacing w:after="0" w:line="240" w:lineRule="auto"/>
              <w:outlineLvl w:val="0"/>
              <w:rPr>
                <w:rFonts w:cs="Calibri"/>
                <w:color w:val="000000"/>
              </w:rPr>
            </w:pPr>
          </w:p>
        </w:tc>
      </w:tr>
      <w:tr w:rsidR="0079646D" w:rsidRPr="000B185D">
        <w:trPr>
          <w:trHeight w:val="300"/>
        </w:trPr>
        <w:tc>
          <w:tcPr>
            <w:tcW w:w="1187"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sz w:val="20"/>
              </w:rPr>
            </w:pPr>
            <w:r w:rsidRPr="00A271D7">
              <w:rPr>
                <w:rFonts w:cs="Calibri"/>
                <w:color w:val="000000"/>
                <w:sz w:val="20"/>
              </w:rPr>
              <w:t>9</w:t>
            </w:r>
          </w:p>
        </w:tc>
        <w:tc>
          <w:tcPr>
            <w:tcW w:w="1183" w:type="pct"/>
            <w:tcBorders>
              <w:top w:val="nil"/>
              <w:left w:val="nil"/>
              <w:bottom w:val="nil"/>
              <w:right w:val="nil"/>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212"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418" w:type="pct"/>
            <w:tcBorders>
              <w:top w:val="nil"/>
              <w:left w:val="nil"/>
              <w:bottom w:val="nil"/>
              <w:right w:val="nil"/>
            </w:tcBorders>
            <w:noWrap/>
            <w:vAlign w:val="bottom"/>
          </w:tcPr>
          <w:p w:rsidR="0079646D" w:rsidRPr="00A271D7" w:rsidRDefault="0079646D" w:rsidP="00A271D7">
            <w:pPr>
              <w:keepNext/>
              <w:keepLines/>
              <w:spacing w:after="0" w:line="240" w:lineRule="auto"/>
              <w:outlineLvl w:val="0"/>
              <w:rPr>
                <w:rFonts w:cs="Calibri"/>
                <w:color w:val="000000"/>
              </w:rPr>
            </w:pPr>
          </w:p>
        </w:tc>
      </w:tr>
      <w:tr w:rsidR="0079646D" w:rsidRPr="000B185D">
        <w:trPr>
          <w:trHeight w:val="300"/>
        </w:trPr>
        <w:tc>
          <w:tcPr>
            <w:tcW w:w="1187"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sz w:val="20"/>
              </w:rPr>
            </w:pPr>
            <w:r w:rsidRPr="00A271D7">
              <w:rPr>
                <w:rFonts w:cs="Calibri"/>
                <w:color w:val="000000"/>
                <w:sz w:val="20"/>
              </w:rPr>
              <w:t>10</w:t>
            </w:r>
          </w:p>
        </w:tc>
        <w:tc>
          <w:tcPr>
            <w:tcW w:w="1183" w:type="pct"/>
            <w:tcBorders>
              <w:top w:val="nil"/>
              <w:left w:val="nil"/>
              <w:bottom w:val="nil"/>
              <w:right w:val="nil"/>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56</w:t>
            </w:r>
          </w:p>
        </w:tc>
        <w:tc>
          <w:tcPr>
            <w:tcW w:w="1212"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418" w:type="pct"/>
            <w:tcBorders>
              <w:top w:val="nil"/>
              <w:left w:val="nil"/>
              <w:bottom w:val="nil"/>
              <w:right w:val="nil"/>
            </w:tcBorders>
            <w:noWrap/>
            <w:vAlign w:val="bottom"/>
          </w:tcPr>
          <w:p w:rsidR="0079646D" w:rsidRPr="00A271D7" w:rsidRDefault="0079646D" w:rsidP="00A271D7">
            <w:pPr>
              <w:keepNext/>
              <w:keepLines/>
              <w:spacing w:after="0" w:line="240" w:lineRule="auto"/>
              <w:outlineLvl w:val="0"/>
              <w:rPr>
                <w:rFonts w:cs="Calibri"/>
                <w:color w:val="000000"/>
              </w:rPr>
            </w:pPr>
          </w:p>
        </w:tc>
      </w:tr>
      <w:tr w:rsidR="0079646D" w:rsidRPr="000B185D">
        <w:trPr>
          <w:trHeight w:val="300"/>
        </w:trPr>
        <w:tc>
          <w:tcPr>
            <w:tcW w:w="1187"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sz w:val="20"/>
              </w:rPr>
            </w:pPr>
            <w:r w:rsidRPr="00A271D7">
              <w:rPr>
                <w:rFonts w:cs="Calibri"/>
                <w:color w:val="000000"/>
                <w:sz w:val="20"/>
              </w:rPr>
              <w:t>11</w:t>
            </w:r>
          </w:p>
        </w:tc>
        <w:tc>
          <w:tcPr>
            <w:tcW w:w="1183" w:type="pct"/>
            <w:tcBorders>
              <w:top w:val="nil"/>
              <w:left w:val="nil"/>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212" w:type="pct"/>
            <w:tcBorders>
              <w:top w:val="nil"/>
              <w:left w:val="nil"/>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56</w:t>
            </w:r>
          </w:p>
        </w:tc>
        <w:tc>
          <w:tcPr>
            <w:tcW w:w="1418" w:type="pct"/>
            <w:tcBorders>
              <w:top w:val="nil"/>
              <w:left w:val="nil"/>
              <w:bottom w:val="nil"/>
              <w:right w:val="nil"/>
            </w:tcBorders>
            <w:noWrap/>
            <w:vAlign w:val="bottom"/>
          </w:tcPr>
          <w:p w:rsidR="0079646D" w:rsidRPr="00A271D7" w:rsidRDefault="0079646D" w:rsidP="00A271D7">
            <w:pPr>
              <w:keepNext/>
              <w:keepLines/>
              <w:spacing w:after="0" w:line="240" w:lineRule="auto"/>
              <w:outlineLvl w:val="0"/>
              <w:rPr>
                <w:rFonts w:cs="Calibri"/>
                <w:color w:val="000000"/>
              </w:rPr>
            </w:pPr>
          </w:p>
        </w:tc>
      </w:tr>
      <w:tr w:rsidR="0079646D" w:rsidRPr="000B185D">
        <w:trPr>
          <w:trHeight w:val="300"/>
        </w:trPr>
        <w:tc>
          <w:tcPr>
            <w:tcW w:w="1187"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sz w:val="20"/>
              </w:rPr>
            </w:pPr>
            <w:r w:rsidRPr="00A271D7">
              <w:rPr>
                <w:rFonts w:cs="Calibri"/>
                <w:color w:val="000000"/>
                <w:sz w:val="20"/>
              </w:rPr>
              <w:t>12</w:t>
            </w:r>
          </w:p>
        </w:tc>
        <w:tc>
          <w:tcPr>
            <w:tcW w:w="1183" w:type="pct"/>
            <w:tcBorders>
              <w:top w:val="nil"/>
              <w:left w:val="nil"/>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212" w:type="pct"/>
            <w:tcBorders>
              <w:top w:val="nil"/>
              <w:left w:val="nil"/>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418" w:type="pct"/>
            <w:tcBorders>
              <w:top w:val="nil"/>
              <w:left w:val="nil"/>
              <w:bottom w:val="nil"/>
              <w:right w:val="nil"/>
            </w:tcBorders>
            <w:noWrap/>
            <w:vAlign w:val="bottom"/>
          </w:tcPr>
          <w:p w:rsidR="0079646D" w:rsidRPr="00A271D7" w:rsidRDefault="0079646D" w:rsidP="00A271D7">
            <w:pPr>
              <w:keepNext/>
              <w:keepLines/>
              <w:spacing w:after="0" w:line="240" w:lineRule="auto"/>
              <w:outlineLvl w:val="0"/>
              <w:rPr>
                <w:rFonts w:cs="Calibri"/>
                <w:color w:val="000000"/>
              </w:rPr>
            </w:pPr>
          </w:p>
        </w:tc>
      </w:tr>
      <w:tr w:rsidR="0079646D" w:rsidRPr="000B185D">
        <w:trPr>
          <w:trHeight w:val="300"/>
        </w:trPr>
        <w:tc>
          <w:tcPr>
            <w:tcW w:w="1187"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sz w:val="20"/>
              </w:rPr>
            </w:pPr>
            <w:r w:rsidRPr="00A271D7">
              <w:rPr>
                <w:rFonts w:cs="Calibri"/>
                <w:color w:val="000000"/>
                <w:sz w:val="20"/>
              </w:rPr>
              <w:t>13</w:t>
            </w:r>
          </w:p>
        </w:tc>
        <w:tc>
          <w:tcPr>
            <w:tcW w:w="1183" w:type="pct"/>
            <w:tcBorders>
              <w:top w:val="nil"/>
              <w:left w:val="nil"/>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56</w:t>
            </w:r>
          </w:p>
        </w:tc>
        <w:tc>
          <w:tcPr>
            <w:tcW w:w="1212" w:type="pct"/>
            <w:tcBorders>
              <w:top w:val="nil"/>
              <w:left w:val="nil"/>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418" w:type="pct"/>
            <w:tcBorders>
              <w:top w:val="nil"/>
              <w:left w:val="nil"/>
              <w:bottom w:val="nil"/>
              <w:right w:val="nil"/>
            </w:tcBorders>
            <w:noWrap/>
            <w:vAlign w:val="bottom"/>
          </w:tcPr>
          <w:p w:rsidR="0079646D" w:rsidRPr="00A271D7" w:rsidRDefault="0079646D" w:rsidP="00A271D7">
            <w:pPr>
              <w:keepNext/>
              <w:keepLines/>
              <w:spacing w:after="0" w:line="240" w:lineRule="auto"/>
              <w:outlineLvl w:val="0"/>
              <w:rPr>
                <w:rFonts w:cs="Calibri"/>
                <w:color w:val="000000"/>
              </w:rPr>
            </w:pPr>
          </w:p>
        </w:tc>
      </w:tr>
      <w:tr w:rsidR="0079646D" w:rsidRPr="000B185D">
        <w:trPr>
          <w:trHeight w:val="300"/>
        </w:trPr>
        <w:tc>
          <w:tcPr>
            <w:tcW w:w="1187" w:type="pct"/>
            <w:tcBorders>
              <w:top w:val="nil"/>
              <w:left w:val="single" w:sz="4" w:space="0" w:color="auto"/>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sz w:val="20"/>
              </w:rPr>
            </w:pPr>
            <w:r w:rsidRPr="00A271D7">
              <w:rPr>
                <w:rFonts w:cs="Calibri"/>
                <w:color w:val="000000"/>
                <w:sz w:val="20"/>
              </w:rPr>
              <w:t>14</w:t>
            </w:r>
          </w:p>
        </w:tc>
        <w:tc>
          <w:tcPr>
            <w:tcW w:w="1183" w:type="pct"/>
            <w:tcBorders>
              <w:top w:val="nil"/>
              <w:left w:val="nil"/>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212" w:type="pct"/>
            <w:tcBorders>
              <w:top w:val="nil"/>
              <w:left w:val="nil"/>
              <w:bottom w:val="nil"/>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418" w:type="pct"/>
            <w:tcBorders>
              <w:top w:val="nil"/>
              <w:left w:val="nil"/>
              <w:bottom w:val="nil"/>
              <w:right w:val="nil"/>
            </w:tcBorders>
            <w:noWrap/>
            <w:vAlign w:val="bottom"/>
          </w:tcPr>
          <w:p w:rsidR="0079646D" w:rsidRPr="00A271D7" w:rsidRDefault="0079646D" w:rsidP="00A271D7">
            <w:pPr>
              <w:keepNext/>
              <w:keepLines/>
              <w:spacing w:after="0" w:line="240" w:lineRule="auto"/>
              <w:outlineLvl w:val="0"/>
              <w:rPr>
                <w:rFonts w:cs="Calibri"/>
                <w:color w:val="000000"/>
              </w:rPr>
            </w:pPr>
          </w:p>
        </w:tc>
      </w:tr>
      <w:tr w:rsidR="0079646D" w:rsidRPr="000B185D">
        <w:trPr>
          <w:trHeight w:val="300"/>
        </w:trPr>
        <w:tc>
          <w:tcPr>
            <w:tcW w:w="1187" w:type="pct"/>
            <w:tcBorders>
              <w:top w:val="nil"/>
              <w:left w:val="single" w:sz="4" w:space="0" w:color="auto"/>
              <w:bottom w:val="single" w:sz="4" w:space="0" w:color="auto"/>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sz w:val="20"/>
              </w:rPr>
            </w:pPr>
            <w:r w:rsidRPr="00A271D7">
              <w:rPr>
                <w:rFonts w:cs="Calibri"/>
                <w:color w:val="000000"/>
                <w:sz w:val="20"/>
              </w:rPr>
              <w:t>15</w:t>
            </w:r>
          </w:p>
        </w:tc>
        <w:tc>
          <w:tcPr>
            <w:tcW w:w="1183" w:type="pct"/>
            <w:tcBorders>
              <w:top w:val="nil"/>
              <w:left w:val="nil"/>
              <w:bottom w:val="single" w:sz="4" w:space="0" w:color="auto"/>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212" w:type="pct"/>
            <w:tcBorders>
              <w:top w:val="nil"/>
              <w:left w:val="nil"/>
              <w:bottom w:val="single" w:sz="4" w:space="0" w:color="auto"/>
              <w:right w:val="single" w:sz="4" w:space="0" w:color="auto"/>
            </w:tcBorders>
            <w:noWrap/>
            <w:vAlign w:val="bottom"/>
          </w:tcPr>
          <w:p w:rsidR="0079646D" w:rsidRPr="00A271D7" w:rsidRDefault="0079646D" w:rsidP="00A271D7">
            <w:pPr>
              <w:keepNext/>
              <w:keepLines/>
              <w:spacing w:after="0" w:line="240" w:lineRule="auto"/>
              <w:jc w:val="center"/>
              <w:outlineLvl w:val="0"/>
              <w:rPr>
                <w:rFonts w:cs="Calibri"/>
                <w:color w:val="000000"/>
              </w:rPr>
            </w:pPr>
            <w:r w:rsidRPr="00A271D7">
              <w:rPr>
                <w:rFonts w:cs="Calibri"/>
                <w:color w:val="000000"/>
              </w:rPr>
              <w:t>0</w:t>
            </w:r>
          </w:p>
        </w:tc>
        <w:tc>
          <w:tcPr>
            <w:tcW w:w="1418" w:type="pct"/>
            <w:tcBorders>
              <w:top w:val="nil"/>
              <w:left w:val="nil"/>
              <w:bottom w:val="nil"/>
              <w:right w:val="nil"/>
            </w:tcBorders>
            <w:noWrap/>
            <w:vAlign w:val="bottom"/>
          </w:tcPr>
          <w:p w:rsidR="0079646D" w:rsidRPr="00A271D7" w:rsidRDefault="0079646D" w:rsidP="00A271D7">
            <w:pPr>
              <w:keepNext/>
              <w:keepLines/>
              <w:spacing w:after="0" w:line="240" w:lineRule="auto"/>
              <w:outlineLvl w:val="0"/>
              <w:rPr>
                <w:rFonts w:cs="Calibri"/>
                <w:b/>
                <w:bCs/>
                <w:color w:val="000000"/>
              </w:rPr>
            </w:pPr>
            <w:r w:rsidRPr="00A271D7">
              <w:rPr>
                <w:rFonts w:cs="Calibri"/>
                <w:b/>
                <w:bCs/>
                <w:color w:val="000000"/>
              </w:rPr>
              <w:t>Difference (-)</w:t>
            </w:r>
          </w:p>
        </w:tc>
      </w:tr>
      <w:tr w:rsidR="0079646D" w:rsidRPr="000B185D">
        <w:trPr>
          <w:trHeight w:val="300"/>
        </w:trPr>
        <w:tc>
          <w:tcPr>
            <w:tcW w:w="1187" w:type="pct"/>
            <w:tcBorders>
              <w:top w:val="nil"/>
              <w:left w:val="nil"/>
              <w:bottom w:val="nil"/>
              <w:right w:val="nil"/>
            </w:tcBorders>
            <w:noWrap/>
            <w:vAlign w:val="bottom"/>
          </w:tcPr>
          <w:p w:rsidR="0079646D" w:rsidRPr="00A271D7" w:rsidRDefault="0079646D" w:rsidP="00A271D7">
            <w:pPr>
              <w:keepNext/>
              <w:keepLines/>
              <w:spacing w:after="0" w:line="240" w:lineRule="auto"/>
              <w:outlineLvl w:val="0"/>
              <w:rPr>
                <w:rFonts w:cs="Calibri"/>
                <w:b/>
                <w:bCs/>
                <w:color w:val="000000"/>
              </w:rPr>
            </w:pPr>
            <w:r w:rsidRPr="00A271D7">
              <w:rPr>
                <w:rFonts w:cs="Calibri"/>
                <w:b/>
                <w:bCs/>
                <w:color w:val="000000"/>
              </w:rPr>
              <w:t>Total</w:t>
            </w:r>
          </w:p>
        </w:tc>
        <w:tc>
          <w:tcPr>
            <w:tcW w:w="1183" w:type="pct"/>
            <w:tcBorders>
              <w:top w:val="nil"/>
              <w:left w:val="nil"/>
              <w:bottom w:val="nil"/>
              <w:right w:val="nil"/>
            </w:tcBorders>
            <w:noWrap/>
            <w:vAlign w:val="bottom"/>
          </w:tcPr>
          <w:p w:rsidR="0079646D" w:rsidRPr="00A271D7" w:rsidRDefault="0079646D" w:rsidP="00A271D7">
            <w:pPr>
              <w:keepNext/>
              <w:keepLines/>
              <w:spacing w:after="0" w:line="240" w:lineRule="auto"/>
              <w:jc w:val="center"/>
              <w:outlineLvl w:val="0"/>
              <w:rPr>
                <w:rFonts w:cs="Calibri"/>
                <w:b/>
                <w:bCs/>
                <w:color w:val="000000"/>
              </w:rPr>
            </w:pPr>
            <w:r w:rsidRPr="00A271D7">
              <w:rPr>
                <w:rFonts w:cs="Calibri"/>
                <w:b/>
                <w:bCs/>
                <w:color w:val="000000"/>
              </w:rPr>
              <w:t>280</w:t>
            </w:r>
          </w:p>
        </w:tc>
        <w:tc>
          <w:tcPr>
            <w:tcW w:w="1212" w:type="pct"/>
            <w:tcBorders>
              <w:top w:val="nil"/>
              <w:left w:val="nil"/>
              <w:bottom w:val="nil"/>
              <w:right w:val="nil"/>
            </w:tcBorders>
            <w:noWrap/>
            <w:vAlign w:val="bottom"/>
          </w:tcPr>
          <w:p w:rsidR="0079646D" w:rsidRPr="00A271D7" w:rsidRDefault="0079646D" w:rsidP="00A271D7">
            <w:pPr>
              <w:keepNext/>
              <w:keepLines/>
              <w:spacing w:after="0" w:line="240" w:lineRule="auto"/>
              <w:jc w:val="center"/>
              <w:outlineLvl w:val="0"/>
              <w:rPr>
                <w:rFonts w:cs="Calibri"/>
                <w:b/>
                <w:bCs/>
                <w:color w:val="000000"/>
              </w:rPr>
            </w:pPr>
            <w:r w:rsidRPr="00A271D7">
              <w:rPr>
                <w:rFonts w:cs="Calibri"/>
                <w:b/>
                <w:bCs/>
                <w:color w:val="000000"/>
              </w:rPr>
              <w:t>168</w:t>
            </w:r>
          </w:p>
        </w:tc>
        <w:tc>
          <w:tcPr>
            <w:tcW w:w="1418" w:type="pct"/>
            <w:tcBorders>
              <w:top w:val="nil"/>
              <w:left w:val="nil"/>
              <w:bottom w:val="nil"/>
              <w:right w:val="nil"/>
            </w:tcBorders>
            <w:noWrap/>
            <w:vAlign w:val="bottom"/>
          </w:tcPr>
          <w:p w:rsidR="0079646D" w:rsidRPr="00A271D7" w:rsidRDefault="0079646D" w:rsidP="003C10E5">
            <w:pPr>
              <w:keepNext/>
              <w:keepLines/>
              <w:spacing w:after="0" w:line="240" w:lineRule="auto"/>
              <w:jc w:val="center"/>
              <w:outlineLvl w:val="0"/>
              <w:rPr>
                <w:rFonts w:cs="Calibri"/>
                <w:b/>
                <w:bCs/>
                <w:color w:val="000000"/>
              </w:rPr>
            </w:pPr>
            <w:r w:rsidRPr="00A271D7">
              <w:rPr>
                <w:rFonts w:cs="Calibri"/>
                <w:b/>
                <w:bCs/>
                <w:color w:val="000000"/>
              </w:rPr>
              <w:t>112</w:t>
            </w:r>
          </w:p>
        </w:tc>
      </w:tr>
      <w:tr w:rsidR="0079646D" w:rsidRPr="000B185D">
        <w:trPr>
          <w:trHeight w:val="300"/>
        </w:trPr>
        <w:tc>
          <w:tcPr>
            <w:tcW w:w="1187" w:type="pct"/>
            <w:tcBorders>
              <w:top w:val="nil"/>
              <w:left w:val="nil"/>
              <w:bottom w:val="nil"/>
              <w:right w:val="nil"/>
            </w:tcBorders>
            <w:noWrap/>
            <w:vAlign w:val="bottom"/>
          </w:tcPr>
          <w:p w:rsidR="0079646D" w:rsidRPr="00A271D7" w:rsidRDefault="0079646D" w:rsidP="00A271D7">
            <w:pPr>
              <w:keepNext/>
              <w:keepLines/>
              <w:spacing w:after="0" w:line="240" w:lineRule="auto"/>
              <w:outlineLvl w:val="0"/>
              <w:rPr>
                <w:rFonts w:cs="Calibri"/>
                <w:color w:val="000000"/>
                <w:sz w:val="20"/>
              </w:rPr>
            </w:pPr>
            <w:r w:rsidRPr="00A271D7">
              <w:rPr>
                <w:rFonts w:cs="Calibri"/>
                <w:color w:val="000000"/>
                <w:sz w:val="20"/>
              </w:rPr>
              <w:t># of Standard Plans</w:t>
            </w:r>
          </w:p>
        </w:tc>
        <w:tc>
          <w:tcPr>
            <w:tcW w:w="1183" w:type="pct"/>
            <w:tcBorders>
              <w:top w:val="nil"/>
              <w:left w:val="nil"/>
              <w:bottom w:val="nil"/>
              <w:right w:val="nil"/>
            </w:tcBorders>
            <w:noWrap/>
            <w:vAlign w:val="bottom"/>
          </w:tcPr>
          <w:p w:rsidR="0079646D" w:rsidRPr="00A271D7" w:rsidRDefault="0079646D" w:rsidP="00A271D7">
            <w:pPr>
              <w:keepNext/>
              <w:keepLines/>
              <w:spacing w:after="0" w:line="240" w:lineRule="auto"/>
              <w:jc w:val="center"/>
              <w:outlineLvl w:val="0"/>
              <w:rPr>
                <w:rFonts w:cs="Calibri"/>
                <w:color w:val="000000"/>
                <w:sz w:val="20"/>
              </w:rPr>
            </w:pPr>
            <w:r w:rsidRPr="00A271D7">
              <w:rPr>
                <w:rFonts w:cs="Calibri"/>
                <w:color w:val="000000"/>
                <w:sz w:val="20"/>
              </w:rPr>
              <w:t>230</w:t>
            </w:r>
          </w:p>
        </w:tc>
        <w:tc>
          <w:tcPr>
            <w:tcW w:w="1212" w:type="pct"/>
            <w:tcBorders>
              <w:top w:val="nil"/>
              <w:left w:val="nil"/>
              <w:bottom w:val="nil"/>
              <w:right w:val="nil"/>
            </w:tcBorders>
            <w:noWrap/>
            <w:vAlign w:val="bottom"/>
          </w:tcPr>
          <w:p w:rsidR="0079646D" w:rsidRPr="00A271D7" w:rsidRDefault="0079646D" w:rsidP="00A271D7">
            <w:pPr>
              <w:keepNext/>
              <w:keepLines/>
              <w:spacing w:after="0" w:line="240" w:lineRule="auto"/>
              <w:jc w:val="center"/>
              <w:outlineLvl w:val="0"/>
              <w:rPr>
                <w:rFonts w:cs="Calibri"/>
                <w:color w:val="000000"/>
                <w:sz w:val="20"/>
              </w:rPr>
            </w:pPr>
            <w:r w:rsidRPr="00A271D7">
              <w:rPr>
                <w:rFonts w:cs="Calibri"/>
                <w:color w:val="000000"/>
                <w:sz w:val="20"/>
              </w:rPr>
              <w:t>138</w:t>
            </w:r>
          </w:p>
        </w:tc>
        <w:tc>
          <w:tcPr>
            <w:tcW w:w="1418" w:type="pct"/>
            <w:tcBorders>
              <w:top w:val="nil"/>
              <w:left w:val="nil"/>
              <w:bottom w:val="nil"/>
              <w:right w:val="nil"/>
            </w:tcBorders>
            <w:noWrap/>
            <w:vAlign w:val="bottom"/>
          </w:tcPr>
          <w:p w:rsidR="0079646D" w:rsidRPr="003C10E5" w:rsidRDefault="0079646D" w:rsidP="003C10E5">
            <w:pPr>
              <w:keepNext/>
              <w:keepLines/>
              <w:spacing w:after="0" w:line="240" w:lineRule="auto"/>
              <w:jc w:val="center"/>
              <w:outlineLvl w:val="0"/>
              <w:rPr>
                <w:rFonts w:cs="Calibri"/>
                <w:color w:val="000000"/>
                <w:sz w:val="20"/>
              </w:rPr>
            </w:pPr>
            <w:r w:rsidRPr="003C10E5">
              <w:rPr>
                <w:rFonts w:cs="Calibri"/>
                <w:color w:val="000000"/>
                <w:sz w:val="20"/>
              </w:rPr>
              <w:t>92</w:t>
            </w:r>
          </w:p>
        </w:tc>
      </w:tr>
      <w:tr w:rsidR="0079646D" w:rsidRPr="000B185D">
        <w:trPr>
          <w:trHeight w:val="300"/>
        </w:trPr>
        <w:tc>
          <w:tcPr>
            <w:tcW w:w="1187" w:type="pct"/>
            <w:tcBorders>
              <w:top w:val="nil"/>
              <w:left w:val="nil"/>
              <w:bottom w:val="nil"/>
              <w:right w:val="nil"/>
            </w:tcBorders>
            <w:noWrap/>
            <w:vAlign w:val="bottom"/>
          </w:tcPr>
          <w:p w:rsidR="0079646D" w:rsidRPr="00A271D7" w:rsidRDefault="0079646D" w:rsidP="00A271D7">
            <w:pPr>
              <w:keepNext/>
              <w:keepLines/>
              <w:spacing w:after="0" w:line="240" w:lineRule="auto"/>
              <w:rPr>
                <w:rFonts w:cs="Calibri"/>
                <w:color w:val="000000"/>
                <w:sz w:val="20"/>
              </w:rPr>
            </w:pPr>
            <w:r w:rsidRPr="00A271D7">
              <w:rPr>
                <w:rFonts w:cs="Calibri"/>
                <w:color w:val="000000"/>
                <w:sz w:val="20"/>
              </w:rPr>
              <w:t># of Enhanced Plans</w:t>
            </w:r>
          </w:p>
        </w:tc>
        <w:tc>
          <w:tcPr>
            <w:tcW w:w="1183" w:type="pct"/>
            <w:tcBorders>
              <w:top w:val="nil"/>
              <w:left w:val="nil"/>
              <w:bottom w:val="nil"/>
              <w:right w:val="nil"/>
            </w:tcBorders>
            <w:noWrap/>
            <w:vAlign w:val="bottom"/>
          </w:tcPr>
          <w:p w:rsidR="0079646D" w:rsidRPr="00A271D7" w:rsidRDefault="0079646D" w:rsidP="00A271D7">
            <w:pPr>
              <w:keepNext/>
              <w:keepLines/>
              <w:spacing w:after="0" w:line="240" w:lineRule="auto"/>
              <w:jc w:val="center"/>
              <w:rPr>
                <w:rFonts w:cs="Calibri"/>
                <w:color w:val="000000"/>
                <w:sz w:val="20"/>
              </w:rPr>
            </w:pPr>
            <w:r w:rsidRPr="00A271D7">
              <w:rPr>
                <w:rFonts w:cs="Calibri"/>
                <w:color w:val="000000"/>
                <w:sz w:val="20"/>
              </w:rPr>
              <w:t>50</w:t>
            </w:r>
          </w:p>
        </w:tc>
        <w:tc>
          <w:tcPr>
            <w:tcW w:w="1212" w:type="pct"/>
            <w:tcBorders>
              <w:top w:val="nil"/>
              <w:left w:val="nil"/>
              <w:bottom w:val="nil"/>
              <w:right w:val="nil"/>
            </w:tcBorders>
            <w:noWrap/>
            <w:vAlign w:val="bottom"/>
          </w:tcPr>
          <w:p w:rsidR="0079646D" w:rsidRPr="00A271D7" w:rsidRDefault="0079646D" w:rsidP="00A271D7">
            <w:pPr>
              <w:keepNext/>
              <w:keepLines/>
              <w:spacing w:after="0" w:line="240" w:lineRule="auto"/>
              <w:jc w:val="center"/>
              <w:rPr>
                <w:rFonts w:cs="Calibri"/>
                <w:color w:val="000000"/>
                <w:sz w:val="20"/>
              </w:rPr>
            </w:pPr>
            <w:r w:rsidRPr="00A271D7">
              <w:rPr>
                <w:rFonts w:cs="Calibri"/>
                <w:color w:val="000000"/>
                <w:sz w:val="20"/>
              </w:rPr>
              <w:t>30</w:t>
            </w:r>
          </w:p>
        </w:tc>
        <w:tc>
          <w:tcPr>
            <w:tcW w:w="1418" w:type="pct"/>
            <w:tcBorders>
              <w:top w:val="nil"/>
              <w:left w:val="nil"/>
              <w:bottom w:val="nil"/>
              <w:right w:val="nil"/>
            </w:tcBorders>
            <w:noWrap/>
            <w:vAlign w:val="bottom"/>
          </w:tcPr>
          <w:p w:rsidR="0079646D" w:rsidRPr="003C10E5" w:rsidRDefault="0079646D" w:rsidP="003C10E5">
            <w:pPr>
              <w:keepNext/>
              <w:keepLines/>
              <w:spacing w:after="0" w:line="240" w:lineRule="auto"/>
              <w:jc w:val="center"/>
              <w:rPr>
                <w:rFonts w:cs="Calibri"/>
                <w:color w:val="000000"/>
                <w:sz w:val="20"/>
              </w:rPr>
            </w:pPr>
            <w:r w:rsidRPr="003C10E5">
              <w:rPr>
                <w:rFonts w:cs="Calibri"/>
                <w:color w:val="000000"/>
                <w:sz w:val="20"/>
              </w:rPr>
              <w:t>20</w:t>
            </w:r>
          </w:p>
        </w:tc>
      </w:tr>
    </w:tbl>
    <w:p w:rsidR="0079646D" w:rsidRDefault="0079646D" w:rsidP="003C10E5">
      <w:pPr>
        <w:spacing w:after="0"/>
      </w:pPr>
    </w:p>
    <w:p w:rsidR="0079646D" w:rsidRDefault="0079646D" w:rsidP="003C10E5">
      <w:pPr>
        <w:spacing w:before="240"/>
        <w:rPr>
          <w:b/>
        </w:rPr>
      </w:pPr>
      <w:r>
        <w:rPr>
          <w:b/>
        </w:rPr>
        <w:t xml:space="preserve">Mitigation Plan Unit Costs </w:t>
      </w:r>
      <w:r>
        <w:rPr>
          <w:b/>
        </w:rPr>
        <w:tab/>
      </w:r>
    </w:p>
    <w:p w:rsidR="0079646D" w:rsidRDefault="0079646D" w:rsidP="00210D48">
      <w:r>
        <w:t xml:space="preserve">The cost to update a State’s Mitigation Plan is unique to that respective State.  However, for the purposes of this analysis, FEMA uses an average Mitigation Plan Update Unit Cost for Standard and Enhanced Plans to estimate the total cost savings of the </w:t>
      </w:r>
      <w:r w:rsidR="008425E7">
        <w:t>proposed rule</w:t>
      </w:r>
      <w:r>
        <w:t xml:space="preserve">.   </w:t>
      </w:r>
    </w:p>
    <w:p w:rsidR="0079646D" w:rsidRPr="00F85F36" w:rsidRDefault="0079646D" w:rsidP="00210D48">
      <w:r w:rsidRPr="00F85F36">
        <w:t xml:space="preserve">Although, not all </w:t>
      </w:r>
      <w:r>
        <w:t>S</w:t>
      </w:r>
      <w:r w:rsidRPr="00F85F36">
        <w:t>tates have submitted mitigation plan related grant applications, FEMA uses historical mitigation plan grant data</w:t>
      </w:r>
      <w:r w:rsidRPr="00F85F36">
        <w:rPr>
          <w:rStyle w:val="FootnoteReference"/>
        </w:rPr>
        <w:footnoteReference w:id="16"/>
      </w:r>
      <w:r w:rsidRPr="00F85F36">
        <w:t xml:space="preserve"> to estimate a Standard Plan update and Enhanced Plan update average cost.  Many of such plans include additional </w:t>
      </w:r>
      <w:r>
        <w:t xml:space="preserve">improvements </w:t>
      </w:r>
      <w:r w:rsidRPr="00F85F36">
        <w:t xml:space="preserve">beyond a </w:t>
      </w:r>
      <w:r>
        <w:t>simpl</w:t>
      </w:r>
      <w:r w:rsidRPr="00F85F36">
        <w:t xml:space="preserve">e </w:t>
      </w:r>
      <w:r>
        <w:t xml:space="preserve">mitigation plan </w:t>
      </w:r>
      <w:r w:rsidRPr="00F85F36">
        <w:t xml:space="preserve">update (i.e. </w:t>
      </w:r>
      <w:r w:rsidRPr="00F85F36">
        <w:lastRenderedPageBreak/>
        <w:t>development of web portals).  Although such plan improvements are valuable and encouraged; for the purposes of this analysis, FEMA, where possible, adjusted project award request amounts by separating out those costs not directly related to mitigation plan updates.</w:t>
      </w:r>
      <w:r w:rsidRPr="00F85F36">
        <w:rPr>
          <w:rStyle w:val="FootnoteReference"/>
        </w:rPr>
        <w:footnoteReference w:id="17"/>
      </w:r>
      <w:r w:rsidRPr="00F85F36">
        <w:t xml:space="preserve">  Based on these adjusted values</w:t>
      </w:r>
      <w:r w:rsidR="00034346">
        <w:t>,</w:t>
      </w:r>
      <w:r w:rsidRPr="00F85F36">
        <w:t xml:space="preserve"> FEMA estimates a Standard Plan update unit cost of $</w:t>
      </w:r>
      <w:r>
        <w:t>205</w:t>
      </w:r>
      <w:r w:rsidRPr="008D2E7B">
        <w:t>,000</w:t>
      </w:r>
      <w:r w:rsidRPr="00F85F36">
        <w:t xml:space="preserve"> and an Enhanced Plan update unit cost of $</w:t>
      </w:r>
      <w:r w:rsidRPr="008D2E7B">
        <w:t>5</w:t>
      </w:r>
      <w:r>
        <w:t>2</w:t>
      </w:r>
      <w:r w:rsidRPr="008D2E7B">
        <w:t>4,000</w:t>
      </w:r>
      <w:r w:rsidRPr="00F85F36">
        <w:t>.</w:t>
      </w:r>
      <w:r w:rsidRPr="00F85F36">
        <w:rPr>
          <w:rStyle w:val="FootnoteReference"/>
        </w:rPr>
        <w:footnoteReference w:id="18"/>
      </w:r>
      <w:r w:rsidRPr="00F85F36">
        <w:t xml:space="preserve">  As part of the analysis, FEMA also includes a possible </w:t>
      </w:r>
      <w:r>
        <w:t>L</w:t>
      </w:r>
      <w:r w:rsidRPr="00F85F36">
        <w:t xml:space="preserve">ow </w:t>
      </w:r>
      <w:r>
        <w:t>P</w:t>
      </w:r>
      <w:r w:rsidRPr="00F85F36">
        <w:t xml:space="preserve">lan </w:t>
      </w:r>
      <w:r>
        <w:t>U</w:t>
      </w:r>
      <w:r w:rsidRPr="00F85F36">
        <w:t xml:space="preserve">pdate </w:t>
      </w:r>
      <w:r>
        <w:t>U</w:t>
      </w:r>
      <w:r w:rsidRPr="00F85F36">
        <w:t xml:space="preserve">nit </w:t>
      </w:r>
      <w:r>
        <w:t>C</w:t>
      </w:r>
      <w:r w:rsidRPr="00F85F36">
        <w:t xml:space="preserve">ost by decreasing the Standard and Enhanced Plan update unit cost by 50 percent and a </w:t>
      </w:r>
      <w:r>
        <w:t>H</w:t>
      </w:r>
      <w:r w:rsidRPr="00F85F36">
        <w:t xml:space="preserve">igh </w:t>
      </w:r>
      <w:r>
        <w:t>P</w:t>
      </w:r>
      <w:r w:rsidRPr="00F85F36">
        <w:t xml:space="preserve">lan </w:t>
      </w:r>
      <w:r>
        <w:t>U</w:t>
      </w:r>
      <w:r w:rsidRPr="00F85F36">
        <w:t xml:space="preserve">pdate </w:t>
      </w:r>
      <w:r>
        <w:t>U</w:t>
      </w:r>
      <w:r w:rsidRPr="00F85F36">
        <w:t>nit cost by increasing the Standard and Enhanced Plan update unit costs by 50 percent.</w:t>
      </w:r>
      <w:r>
        <w:t xml:space="preserve">  FEMA requests comments on these estimated plan update unit costs.  </w:t>
      </w:r>
    </w:p>
    <w:p w:rsidR="0079646D" w:rsidRDefault="0079646D" w:rsidP="00A003C2">
      <w:pPr>
        <w:pStyle w:val="Caption"/>
        <w:spacing w:after="0"/>
      </w:pPr>
      <w:bookmarkStart w:id="2" w:name="_Ref322072379"/>
      <w:r>
        <w:t xml:space="preserve">Table </w:t>
      </w:r>
      <w:r w:rsidR="006E36A7">
        <w:fldChar w:fldCharType="begin"/>
      </w:r>
      <w:r w:rsidR="009B6DC1">
        <w:instrText xml:space="preserve"> SEQ Table \* ARABIC </w:instrText>
      </w:r>
      <w:r w:rsidR="006E36A7">
        <w:fldChar w:fldCharType="separate"/>
      </w:r>
      <w:r w:rsidR="003C6FB6">
        <w:rPr>
          <w:noProof/>
        </w:rPr>
        <w:t>2</w:t>
      </w:r>
      <w:r w:rsidR="006E36A7">
        <w:rPr>
          <w:noProof/>
        </w:rPr>
        <w:fldChar w:fldCharType="end"/>
      </w:r>
      <w:bookmarkEnd w:id="2"/>
      <w:r>
        <w:t>:  State Mitigation Plan Update Unit Costs</w:t>
      </w:r>
    </w:p>
    <w:tbl>
      <w:tblPr>
        <w:tblW w:w="5000" w:type="pct"/>
        <w:tblLook w:val="00A0" w:firstRow="1" w:lastRow="0" w:firstColumn="1" w:lastColumn="0" w:noHBand="0" w:noVBand="0"/>
      </w:tblPr>
      <w:tblGrid>
        <w:gridCol w:w="2358"/>
        <w:gridCol w:w="2520"/>
        <w:gridCol w:w="2160"/>
        <w:gridCol w:w="2538"/>
      </w:tblGrid>
      <w:tr w:rsidR="0079646D" w:rsidRPr="000B185D">
        <w:trPr>
          <w:trHeight w:val="525"/>
        </w:trPr>
        <w:tc>
          <w:tcPr>
            <w:tcW w:w="1231" w:type="pct"/>
            <w:tcBorders>
              <w:top w:val="single" w:sz="4" w:space="0" w:color="auto"/>
              <w:left w:val="single" w:sz="4" w:space="0" w:color="auto"/>
              <w:bottom w:val="single" w:sz="4" w:space="0" w:color="auto"/>
              <w:right w:val="nil"/>
            </w:tcBorders>
            <w:noWrap/>
            <w:vAlign w:val="bottom"/>
          </w:tcPr>
          <w:p w:rsidR="0079646D" w:rsidRPr="00997665" w:rsidRDefault="0079646D" w:rsidP="005E7EE6">
            <w:pPr>
              <w:spacing w:after="0" w:line="240" w:lineRule="auto"/>
              <w:outlineLvl w:val="1"/>
              <w:rPr>
                <w:rFonts w:cs="Calibri"/>
                <w:b/>
                <w:bCs/>
                <w:sz w:val="20"/>
              </w:rPr>
            </w:pPr>
            <w:r w:rsidRPr="00997665">
              <w:rPr>
                <w:rFonts w:cs="Calibri"/>
                <w:b/>
                <w:bCs/>
                <w:sz w:val="20"/>
              </w:rPr>
              <w:t>State Plan Type</w:t>
            </w:r>
          </w:p>
        </w:tc>
        <w:tc>
          <w:tcPr>
            <w:tcW w:w="1316" w:type="pct"/>
            <w:tcBorders>
              <w:top w:val="single" w:sz="4" w:space="0" w:color="auto"/>
              <w:left w:val="single" w:sz="4" w:space="0" w:color="auto"/>
              <w:bottom w:val="single" w:sz="4" w:space="0" w:color="auto"/>
              <w:right w:val="nil"/>
            </w:tcBorders>
            <w:vAlign w:val="bottom"/>
          </w:tcPr>
          <w:p w:rsidR="0079646D" w:rsidRPr="00997665" w:rsidRDefault="0079646D" w:rsidP="00997665">
            <w:pPr>
              <w:spacing w:after="0" w:line="240" w:lineRule="auto"/>
              <w:jc w:val="center"/>
              <w:outlineLvl w:val="1"/>
              <w:rPr>
                <w:rFonts w:cs="Calibri"/>
                <w:b/>
                <w:bCs/>
                <w:sz w:val="20"/>
              </w:rPr>
            </w:pPr>
            <w:r>
              <w:rPr>
                <w:rFonts w:cs="Calibri"/>
                <w:b/>
                <w:bCs/>
                <w:sz w:val="20"/>
              </w:rPr>
              <w:t xml:space="preserve">Low Plan Update </w:t>
            </w:r>
            <w:r w:rsidRPr="00997665">
              <w:rPr>
                <w:rFonts w:cs="Calibri"/>
                <w:b/>
                <w:bCs/>
                <w:sz w:val="20"/>
              </w:rPr>
              <w:t xml:space="preserve">Unit Cost </w:t>
            </w:r>
            <w:r w:rsidRPr="00997665">
              <w:rPr>
                <w:rFonts w:cs="Calibri"/>
                <w:b/>
                <w:bCs/>
                <w:sz w:val="20"/>
              </w:rPr>
              <w:br/>
            </w:r>
            <w:r w:rsidRPr="00997665">
              <w:rPr>
                <w:rFonts w:cs="Calibri"/>
                <w:sz w:val="20"/>
              </w:rPr>
              <w:t>(-50%)</w:t>
            </w:r>
          </w:p>
        </w:tc>
        <w:tc>
          <w:tcPr>
            <w:tcW w:w="1128" w:type="pct"/>
            <w:tcBorders>
              <w:top w:val="single" w:sz="4" w:space="0" w:color="auto"/>
              <w:left w:val="single" w:sz="4" w:space="0" w:color="auto"/>
              <w:bottom w:val="single" w:sz="4" w:space="0" w:color="auto"/>
              <w:right w:val="single" w:sz="4" w:space="0" w:color="auto"/>
            </w:tcBorders>
            <w:vAlign w:val="bottom"/>
          </w:tcPr>
          <w:p w:rsidR="0079646D" w:rsidRPr="00997665" w:rsidRDefault="0079646D" w:rsidP="00997665">
            <w:pPr>
              <w:spacing w:after="0" w:line="240" w:lineRule="auto"/>
              <w:jc w:val="center"/>
              <w:outlineLvl w:val="1"/>
              <w:rPr>
                <w:rFonts w:cs="Calibri"/>
                <w:b/>
                <w:bCs/>
                <w:sz w:val="20"/>
              </w:rPr>
            </w:pPr>
            <w:r>
              <w:rPr>
                <w:rFonts w:cs="Calibri"/>
                <w:b/>
                <w:bCs/>
                <w:sz w:val="20"/>
              </w:rPr>
              <w:t xml:space="preserve">Mitigation Plan Update </w:t>
            </w:r>
            <w:r w:rsidRPr="00997665">
              <w:rPr>
                <w:rFonts w:cs="Calibri"/>
                <w:b/>
                <w:bCs/>
                <w:sz w:val="20"/>
              </w:rPr>
              <w:t>Unit Cost</w:t>
            </w:r>
          </w:p>
        </w:tc>
        <w:tc>
          <w:tcPr>
            <w:tcW w:w="1325" w:type="pct"/>
            <w:tcBorders>
              <w:top w:val="single" w:sz="4" w:space="0" w:color="auto"/>
              <w:left w:val="nil"/>
              <w:bottom w:val="single" w:sz="4" w:space="0" w:color="auto"/>
              <w:right w:val="single" w:sz="4" w:space="0" w:color="auto"/>
            </w:tcBorders>
            <w:vAlign w:val="bottom"/>
          </w:tcPr>
          <w:p w:rsidR="0079646D" w:rsidRPr="00997665" w:rsidRDefault="0079646D" w:rsidP="00997665">
            <w:pPr>
              <w:spacing w:after="0" w:line="240" w:lineRule="auto"/>
              <w:jc w:val="center"/>
              <w:outlineLvl w:val="1"/>
              <w:rPr>
                <w:rFonts w:cs="Calibri"/>
                <w:b/>
                <w:bCs/>
                <w:sz w:val="20"/>
              </w:rPr>
            </w:pPr>
            <w:r>
              <w:rPr>
                <w:rFonts w:cs="Calibri"/>
                <w:b/>
                <w:bCs/>
                <w:sz w:val="20"/>
              </w:rPr>
              <w:t xml:space="preserve">High Plan Update </w:t>
            </w:r>
            <w:r w:rsidRPr="00997665">
              <w:rPr>
                <w:rFonts w:cs="Calibri"/>
                <w:b/>
                <w:bCs/>
                <w:sz w:val="20"/>
              </w:rPr>
              <w:t xml:space="preserve">Unit Cost </w:t>
            </w:r>
            <w:r w:rsidRPr="00997665">
              <w:rPr>
                <w:rFonts w:cs="Calibri"/>
                <w:b/>
                <w:bCs/>
                <w:sz w:val="20"/>
              </w:rPr>
              <w:br/>
            </w:r>
            <w:r w:rsidRPr="00997665">
              <w:rPr>
                <w:rFonts w:cs="Calibri"/>
                <w:sz w:val="20"/>
              </w:rPr>
              <w:t>(+50%)</w:t>
            </w:r>
          </w:p>
        </w:tc>
      </w:tr>
      <w:tr w:rsidR="0079646D" w:rsidRPr="000B185D">
        <w:trPr>
          <w:trHeight w:val="300"/>
        </w:trPr>
        <w:tc>
          <w:tcPr>
            <w:tcW w:w="1231" w:type="pct"/>
            <w:tcBorders>
              <w:top w:val="single" w:sz="4" w:space="0" w:color="auto"/>
              <w:left w:val="single" w:sz="4" w:space="0" w:color="auto"/>
              <w:bottom w:val="single" w:sz="4" w:space="0" w:color="auto"/>
              <w:right w:val="nil"/>
            </w:tcBorders>
            <w:noWrap/>
            <w:vAlign w:val="bottom"/>
          </w:tcPr>
          <w:p w:rsidR="0079646D" w:rsidRPr="00997665" w:rsidRDefault="0079646D" w:rsidP="005E7EE6">
            <w:pPr>
              <w:spacing w:after="0" w:line="240" w:lineRule="auto"/>
              <w:outlineLvl w:val="1"/>
              <w:rPr>
                <w:rFonts w:cs="Calibri"/>
                <w:sz w:val="20"/>
              </w:rPr>
            </w:pPr>
            <w:r w:rsidRPr="00997665">
              <w:rPr>
                <w:rFonts w:cs="Calibri"/>
                <w:sz w:val="20"/>
              </w:rPr>
              <w:t>Standard Plan Update</w:t>
            </w:r>
          </w:p>
        </w:tc>
        <w:tc>
          <w:tcPr>
            <w:tcW w:w="1316" w:type="pct"/>
            <w:tcBorders>
              <w:top w:val="nil"/>
              <w:left w:val="single" w:sz="4" w:space="0" w:color="auto"/>
              <w:bottom w:val="single" w:sz="4" w:space="0" w:color="auto"/>
              <w:right w:val="nil"/>
            </w:tcBorders>
            <w:noWrap/>
            <w:vAlign w:val="center"/>
          </w:tcPr>
          <w:p w:rsidR="0079646D" w:rsidRPr="00997665" w:rsidRDefault="0079646D" w:rsidP="00997665">
            <w:pPr>
              <w:spacing w:after="0" w:line="240" w:lineRule="auto"/>
              <w:jc w:val="center"/>
              <w:outlineLvl w:val="1"/>
              <w:rPr>
                <w:rFonts w:cs="Calibri"/>
              </w:rPr>
            </w:pPr>
            <w:r w:rsidRPr="000B185D">
              <w:rPr>
                <w:rFonts w:cs="Calibri"/>
              </w:rPr>
              <w:t>$102,500</w:t>
            </w:r>
          </w:p>
        </w:tc>
        <w:tc>
          <w:tcPr>
            <w:tcW w:w="1128" w:type="pct"/>
            <w:tcBorders>
              <w:top w:val="nil"/>
              <w:left w:val="single" w:sz="4" w:space="0" w:color="auto"/>
              <w:bottom w:val="single" w:sz="4" w:space="0" w:color="auto"/>
              <w:right w:val="single" w:sz="4" w:space="0" w:color="auto"/>
            </w:tcBorders>
            <w:noWrap/>
            <w:vAlign w:val="bottom"/>
          </w:tcPr>
          <w:p w:rsidR="0079646D" w:rsidRPr="008D2E7B" w:rsidRDefault="0079646D" w:rsidP="00997665">
            <w:pPr>
              <w:spacing w:after="0" w:line="240" w:lineRule="auto"/>
              <w:jc w:val="center"/>
              <w:outlineLvl w:val="1"/>
              <w:rPr>
                <w:rFonts w:cs="Calibri"/>
              </w:rPr>
            </w:pPr>
            <w:r w:rsidRPr="000B185D">
              <w:rPr>
                <w:rFonts w:cs="Calibri"/>
              </w:rPr>
              <w:t>$205,000</w:t>
            </w:r>
          </w:p>
        </w:tc>
        <w:tc>
          <w:tcPr>
            <w:tcW w:w="1325" w:type="pct"/>
            <w:tcBorders>
              <w:top w:val="nil"/>
              <w:left w:val="nil"/>
              <w:bottom w:val="single" w:sz="4" w:space="0" w:color="auto"/>
              <w:right w:val="single" w:sz="4" w:space="0" w:color="auto"/>
            </w:tcBorders>
            <w:noWrap/>
            <w:vAlign w:val="bottom"/>
          </w:tcPr>
          <w:p w:rsidR="0079646D" w:rsidRPr="00997665" w:rsidRDefault="0079646D" w:rsidP="00997665">
            <w:pPr>
              <w:spacing w:after="0" w:line="240" w:lineRule="auto"/>
              <w:jc w:val="center"/>
              <w:outlineLvl w:val="1"/>
              <w:rPr>
                <w:rFonts w:cs="Calibri"/>
              </w:rPr>
            </w:pPr>
            <w:r w:rsidRPr="000B185D">
              <w:rPr>
                <w:rFonts w:cs="Calibri"/>
              </w:rPr>
              <w:t>$307,500</w:t>
            </w:r>
          </w:p>
        </w:tc>
      </w:tr>
      <w:tr w:rsidR="0079646D" w:rsidRPr="000B185D">
        <w:trPr>
          <w:trHeight w:val="300"/>
        </w:trPr>
        <w:tc>
          <w:tcPr>
            <w:tcW w:w="1231" w:type="pct"/>
            <w:tcBorders>
              <w:top w:val="single" w:sz="4" w:space="0" w:color="auto"/>
              <w:left w:val="single" w:sz="4" w:space="0" w:color="auto"/>
              <w:bottom w:val="single" w:sz="4" w:space="0" w:color="auto"/>
              <w:right w:val="nil"/>
            </w:tcBorders>
            <w:noWrap/>
            <w:vAlign w:val="bottom"/>
          </w:tcPr>
          <w:p w:rsidR="0079646D" w:rsidRPr="00997665" w:rsidRDefault="0079646D" w:rsidP="005E7EE6">
            <w:pPr>
              <w:spacing w:after="0" w:line="240" w:lineRule="auto"/>
              <w:outlineLvl w:val="1"/>
              <w:rPr>
                <w:rFonts w:cs="Calibri"/>
                <w:sz w:val="20"/>
              </w:rPr>
            </w:pPr>
            <w:r w:rsidRPr="00997665">
              <w:rPr>
                <w:rFonts w:cs="Calibri"/>
                <w:sz w:val="20"/>
              </w:rPr>
              <w:t>Enhanced Plan Update</w:t>
            </w:r>
          </w:p>
        </w:tc>
        <w:tc>
          <w:tcPr>
            <w:tcW w:w="1316" w:type="pct"/>
            <w:tcBorders>
              <w:top w:val="nil"/>
              <w:left w:val="single" w:sz="4" w:space="0" w:color="auto"/>
              <w:bottom w:val="single" w:sz="4" w:space="0" w:color="auto"/>
              <w:right w:val="nil"/>
            </w:tcBorders>
            <w:noWrap/>
            <w:vAlign w:val="center"/>
          </w:tcPr>
          <w:p w:rsidR="0079646D" w:rsidRPr="00997665" w:rsidRDefault="0079646D" w:rsidP="00997665">
            <w:pPr>
              <w:spacing w:after="0" w:line="240" w:lineRule="auto"/>
              <w:jc w:val="center"/>
              <w:outlineLvl w:val="1"/>
              <w:rPr>
                <w:rFonts w:cs="Calibri"/>
              </w:rPr>
            </w:pPr>
            <w:r w:rsidRPr="000B185D">
              <w:rPr>
                <w:rFonts w:cs="Calibri"/>
              </w:rPr>
              <w:t>$262,000</w:t>
            </w:r>
          </w:p>
        </w:tc>
        <w:tc>
          <w:tcPr>
            <w:tcW w:w="1128" w:type="pct"/>
            <w:tcBorders>
              <w:top w:val="nil"/>
              <w:left w:val="single" w:sz="4" w:space="0" w:color="auto"/>
              <w:bottom w:val="single" w:sz="4" w:space="0" w:color="auto"/>
              <w:right w:val="single" w:sz="4" w:space="0" w:color="auto"/>
            </w:tcBorders>
            <w:noWrap/>
            <w:vAlign w:val="bottom"/>
          </w:tcPr>
          <w:p w:rsidR="0079646D" w:rsidRPr="008D2E7B" w:rsidRDefault="0079646D" w:rsidP="00997665">
            <w:pPr>
              <w:spacing w:after="0" w:line="240" w:lineRule="auto"/>
              <w:jc w:val="center"/>
              <w:outlineLvl w:val="1"/>
              <w:rPr>
                <w:rFonts w:cs="Calibri"/>
              </w:rPr>
            </w:pPr>
            <w:r w:rsidRPr="000B185D">
              <w:rPr>
                <w:rFonts w:cs="Calibri"/>
              </w:rPr>
              <w:t>$524,000</w:t>
            </w:r>
          </w:p>
        </w:tc>
        <w:tc>
          <w:tcPr>
            <w:tcW w:w="1325" w:type="pct"/>
            <w:tcBorders>
              <w:top w:val="nil"/>
              <w:left w:val="nil"/>
              <w:bottom w:val="single" w:sz="4" w:space="0" w:color="auto"/>
              <w:right w:val="single" w:sz="4" w:space="0" w:color="auto"/>
            </w:tcBorders>
            <w:noWrap/>
            <w:vAlign w:val="bottom"/>
          </w:tcPr>
          <w:p w:rsidR="0079646D" w:rsidRPr="00997665" w:rsidRDefault="0079646D" w:rsidP="00997665">
            <w:pPr>
              <w:spacing w:after="0" w:line="240" w:lineRule="auto"/>
              <w:jc w:val="center"/>
              <w:outlineLvl w:val="1"/>
              <w:rPr>
                <w:rFonts w:cs="Calibri"/>
              </w:rPr>
            </w:pPr>
            <w:r w:rsidRPr="000B185D">
              <w:rPr>
                <w:rFonts w:cs="Calibri"/>
              </w:rPr>
              <w:t>$786,000</w:t>
            </w:r>
          </w:p>
        </w:tc>
      </w:tr>
    </w:tbl>
    <w:p w:rsidR="0079646D" w:rsidRDefault="0079646D" w:rsidP="00997665"/>
    <w:p w:rsidR="0079646D" w:rsidRDefault="0079646D" w:rsidP="003C10E5">
      <w:pPr>
        <w:spacing w:before="240"/>
        <w:rPr>
          <w:b/>
        </w:rPr>
      </w:pPr>
      <w:r>
        <w:rPr>
          <w:b/>
        </w:rPr>
        <w:t xml:space="preserve">State Cost </w:t>
      </w:r>
      <w:r w:rsidRPr="00AE2705">
        <w:rPr>
          <w:b/>
        </w:rPr>
        <w:t>Savings</w:t>
      </w:r>
    </w:p>
    <w:p w:rsidR="0079646D" w:rsidRPr="00E67AF3" w:rsidRDefault="0079646D" w:rsidP="00E62F05">
      <w:r>
        <w:t xml:space="preserve">Analogous to the cost to update a State’s Mitigation Plan being unique, so too are the cost savings associated with the reduction in the number of updates.  To calculate cost savings over 15 years, FEMA first separates the 112 reduction in updates between Standard and Enhanced Plans.  As discussed previously, FEMA assumes it would receive </w:t>
      </w:r>
      <w:r w:rsidRPr="008D2E7B">
        <w:t>46</w:t>
      </w:r>
      <w:r>
        <w:t xml:space="preserve"> Standard Plan updates and </w:t>
      </w:r>
      <w:r w:rsidRPr="008D2E7B">
        <w:t>10</w:t>
      </w:r>
      <w:r>
        <w:t xml:space="preserve"> Enhanced Plan updates, at the end of each update cycle, for the duration of the analysis.  Applying this distribution to the 112 reduction in plans results in a reduction of </w:t>
      </w:r>
      <w:r w:rsidRPr="008D2E7B">
        <w:t>92</w:t>
      </w:r>
      <w:r>
        <w:t xml:space="preserve"> Standard Plan updates</w:t>
      </w:r>
      <w:r>
        <w:rPr>
          <w:rStyle w:val="FootnoteReference"/>
        </w:rPr>
        <w:footnoteReference w:id="19"/>
      </w:r>
      <w:r>
        <w:t xml:space="preserve"> and </w:t>
      </w:r>
      <w:r w:rsidRPr="008D2E7B">
        <w:t>20</w:t>
      </w:r>
      <w:r>
        <w:rPr>
          <w:color w:val="FF0000"/>
        </w:rPr>
        <w:t xml:space="preserve"> </w:t>
      </w:r>
      <w:r w:rsidRPr="00C85E66">
        <w:t>E</w:t>
      </w:r>
      <w:r>
        <w:t>nhanced Plan updates</w:t>
      </w:r>
      <w:r>
        <w:rPr>
          <w:rStyle w:val="FootnoteReference"/>
        </w:rPr>
        <w:footnoteReference w:id="20"/>
      </w:r>
      <w:r>
        <w:t xml:space="preserve"> over 15 years.  Next, as presented in </w:t>
      </w:r>
      <w:r w:rsidR="006E36A7">
        <w:fldChar w:fldCharType="begin"/>
      </w:r>
      <w:r>
        <w:instrText xml:space="preserve"> REF _Ref322072438 \h </w:instrText>
      </w:r>
      <w:r w:rsidR="006E36A7">
        <w:fldChar w:fldCharType="separate"/>
      </w:r>
      <w:r w:rsidR="003C6FB6">
        <w:t xml:space="preserve">Table </w:t>
      </w:r>
      <w:r w:rsidR="003C6FB6">
        <w:rPr>
          <w:noProof/>
        </w:rPr>
        <w:t>3</w:t>
      </w:r>
      <w:r w:rsidR="006E36A7">
        <w:fldChar w:fldCharType="end"/>
      </w:r>
      <w:r>
        <w:t>, FEMA multiplies the reduction in updates by each plan update unit cost for an undiscounted total cost savings, over 15 years, of approximately $29</w:t>
      </w:r>
      <w:r w:rsidRPr="008D2E7B">
        <w:t>,</w:t>
      </w:r>
      <w:r>
        <w:t>3</w:t>
      </w:r>
      <w:r w:rsidRPr="008D2E7B">
        <w:t>00,000</w:t>
      </w:r>
      <w:r>
        <w:t>.</w:t>
      </w:r>
      <w:r w:rsidRPr="003A77F8">
        <w:rPr>
          <w:rStyle w:val="FootnoteReference"/>
        </w:rPr>
        <w:footnoteReference w:id="21"/>
      </w:r>
      <w:r>
        <w:t xml:space="preserve">  Using the same methodology, the resulting low and high State cost savings estimates are approximately $14,700,000 and $44,000,000</w:t>
      </w:r>
      <w:r w:rsidR="00786861">
        <w:t xml:space="preserve">, </w:t>
      </w:r>
      <w:r>
        <w:t>respectively.</w:t>
      </w:r>
      <w:r w:rsidRPr="00E52978">
        <w:rPr>
          <w:rStyle w:val="FootnoteReference"/>
        </w:rPr>
        <w:t xml:space="preserve"> </w:t>
      </w:r>
      <w:r>
        <w:rPr>
          <w:rStyle w:val="FootnoteReference"/>
        </w:rPr>
        <w:footnoteReference w:id="22"/>
      </w:r>
      <w:r>
        <w:t xml:space="preserve">  </w:t>
      </w:r>
      <w:r w:rsidRPr="00686886">
        <w:t>For discounted figures over a 15-year time period at discount rates of 7</w:t>
      </w:r>
      <w:r>
        <w:t xml:space="preserve"> percent</w:t>
      </w:r>
      <w:r w:rsidRPr="00686886">
        <w:t xml:space="preserve"> and 3</w:t>
      </w:r>
      <w:r>
        <w:t xml:space="preserve"> percent</w:t>
      </w:r>
      <w:r w:rsidRPr="00686886">
        <w:t>, refer to Appendix A.</w:t>
      </w:r>
    </w:p>
    <w:p w:rsidR="0079646D" w:rsidRDefault="0079646D" w:rsidP="00F85F36">
      <w:pPr>
        <w:pStyle w:val="Caption"/>
        <w:keepLines/>
        <w:spacing w:after="0"/>
      </w:pPr>
      <w:bookmarkStart w:id="3" w:name="_Ref322072438"/>
      <w:r>
        <w:lastRenderedPageBreak/>
        <w:t xml:space="preserve">Table </w:t>
      </w:r>
      <w:r w:rsidR="006E36A7">
        <w:fldChar w:fldCharType="begin"/>
      </w:r>
      <w:r w:rsidR="009B6DC1">
        <w:instrText xml:space="preserve"> SEQ Table \* ARABIC </w:instrText>
      </w:r>
      <w:r w:rsidR="006E36A7">
        <w:fldChar w:fldCharType="separate"/>
      </w:r>
      <w:r w:rsidR="003C6FB6">
        <w:rPr>
          <w:noProof/>
        </w:rPr>
        <w:t>3</w:t>
      </w:r>
      <w:r w:rsidR="006E36A7">
        <w:rPr>
          <w:noProof/>
        </w:rPr>
        <w:fldChar w:fldCharType="end"/>
      </w:r>
      <w:bookmarkEnd w:id="3"/>
      <w:r>
        <w:t>:  State Cost Savings Over 15 Years</w:t>
      </w:r>
    </w:p>
    <w:tbl>
      <w:tblPr>
        <w:tblW w:w="5000" w:type="pct"/>
        <w:tblLayout w:type="fixed"/>
        <w:tblLook w:val="00A0" w:firstRow="1" w:lastRow="0" w:firstColumn="1" w:lastColumn="0" w:noHBand="0" w:noVBand="0"/>
      </w:tblPr>
      <w:tblGrid>
        <w:gridCol w:w="1910"/>
        <w:gridCol w:w="1159"/>
        <w:gridCol w:w="961"/>
        <w:gridCol w:w="961"/>
        <w:gridCol w:w="971"/>
        <w:gridCol w:w="1199"/>
        <w:gridCol w:w="1208"/>
        <w:gridCol w:w="1207"/>
      </w:tblGrid>
      <w:tr w:rsidR="0079646D" w:rsidRPr="000B185D">
        <w:trPr>
          <w:trHeight w:val="404"/>
        </w:trPr>
        <w:tc>
          <w:tcPr>
            <w:tcW w:w="997" w:type="pct"/>
            <w:vMerge w:val="restart"/>
            <w:tcBorders>
              <w:top w:val="single" w:sz="4" w:space="0" w:color="auto"/>
              <w:left w:val="single" w:sz="4" w:space="0" w:color="auto"/>
              <w:bottom w:val="single" w:sz="4" w:space="0" w:color="000000"/>
              <w:right w:val="single" w:sz="4" w:space="0" w:color="000000"/>
            </w:tcBorders>
            <w:noWrap/>
            <w:vAlign w:val="bottom"/>
          </w:tcPr>
          <w:p w:rsidR="0079646D" w:rsidRPr="00A45BA6" w:rsidRDefault="0079646D" w:rsidP="00F85F36">
            <w:pPr>
              <w:keepNext/>
              <w:keepLines/>
              <w:spacing w:after="0" w:line="240" w:lineRule="auto"/>
              <w:outlineLvl w:val="0"/>
              <w:rPr>
                <w:rFonts w:cs="Calibri"/>
                <w:b/>
                <w:bCs/>
                <w:sz w:val="20"/>
              </w:rPr>
            </w:pPr>
            <w:r w:rsidRPr="00A45BA6">
              <w:rPr>
                <w:rFonts w:cs="Calibri"/>
                <w:b/>
                <w:bCs/>
                <w:sz w:val="20"/>
              </w:rPr>
              <w:t>State Plan Type</w:t>
            </w:r>
          </w:p>
        </w:tc>
        <w:tc>
          <w:tcPr>
            <w:tcW w:w="605" w:type="pct"/>
            <w:vMerge w:val="restart"/>
            <w:tcBorders>
              <w:top w:val="single" w:sz="4" w:space="0" w:color="auto"/>
              <w:left w:val="nil"/>
              <w:bottom w:val="single" w:sz="4" w:space="0" w:color="000000"/>
              <w:right w:val="nil"/>
            </w:tcBorders>
            <w:vAlign w:val="bottom"/>
          </w:tcPr>
          <w:p w:rsidR="0079646D" w:rsidRPr="00A45BA6" w:rsidRDefault="0079646D" w:rsidP="00F85F36">
            <w:pPr>
              <w:keepNext/>
              <w:keepLines/>
              <w:spacing w:after="0" w:line="240" w:lineRule="auto"/>
              <w:jc w:val="center"/>
              <w:outlineLvl w:val="0"/>
              <w:rPr>
                <w:rFonts w:cs="Calibri"/>
                <w:b/>
                <w:bCs/>
                <w:color w:val="000000"/>
                <w:sz w:val="20"/>
              </w:rPr>
            </w:pPr>
            <w:r w:rsidRPr="00A45BA6">
              <w:rPr>
                <w:rFonts w:cs="Calibri"/>
                <w:b/>
                <w:bCs/>
                <w:color w:val="000000"/>
                <w:sz w:val="20"/>
              </w:rPr>
              <w:t xml:space="preserve">Reduction in </w:t>
            </w:r>
            <w:r>
              <w:rPr>
                <w:rFonts w:cs="Calibri"/>
                <w:b/>
                <w:bCs/>
                <w:color w:val="000000"/>
                <w:sz w:val="20"/>
              </w:rPr>
              <w:t xml:space="preserve">Plan </w:t>
            </w:r>
            <w:r w:rsidRPr="00A45BA6">
              <w:rPr>
                <w:rFonts w:cs="Calibri"/>
                <w:b/>
                <w:bCs/>
                <w:color w:val="000000"/>
                <w:sz w:val="20"/>
              </w:rPr>
              <w:t>Updates</w:t>
            </w:r>
            <w:r w:rsidRPr="00A45BA6">
              <w:rPr>
                <w:rFonts w:cs="Calibri"/>
                <w:b/>
                <w:bCs/>
                <w:color w:val="000000"/>
                <w:sz w:val="20"/>
                <w:vertAlign w:val="superscript"/>
              </w:rPr>
              <w:t>1</w:t>
            </w:r>
          </w:p>
        </w:tc>
        <w:tc>
          <w:tcPr>
            <w:tcW w:w="1511" w:type="pct"/>
            <w:gridSpan w:val="3"/>
            <w:tcBorders>
              <w:top w:val="single" w:sz="4" w:space="0" w:color="auto"/>
              <w:left w:val="single" w:sz="4" w:space="0" w:color="auto"/>
              <w:bottom w:val="single" w:sz="4" w:space="0" w:color="auto"/>
              <w:right w:val="single" w:sz="4" w:space="0" w:color="auto"/>
            </w:tcBorders>
            <w:vAlign w:val="center"/>
          </w:tcPr>
          <w:p w:rsidR="0079646D" w:rsidRPr="00A45BA6" w:rsidRDefault="0079646D" w:rsidP="00F85F36">
            <w:pPr>
              <w:keepNext/>
              <w:keepLines/>
              <w:spacing w:after="0" w:line="240" w:lineRule="auto"/>
              <w:jc w:val="center"/>
              <w:outlineLvl w:val="0"/>
              <w:rPr>
                <w:rFonts w:cs="Calibri"/>
                <w:b/>
                <w:bCs/>
                <w:color w:val="000000"/>
                <w:sz w:val="20"/>
              </w:rPr>
            </w:pPr>
            <w:r w:rsidRPr="00A45BA6">
              <w:rPr>
                <w:rFonts w:cs="Calibri"/>
                <w:b/>
                <w:bCs/>
                <w:color w:val="000000"/>
                <w:sz w:val="20"/>
              </w:rPr>
              <w:t>Plan Update Unit Cost</w:t>
            </w:r>
          </w:p>
        </w:tc>
        <w:tc>
          <w:tcPr>
            <w:tcW w:w="1887" w:type="pct"/>
            <w:gridSpan w:val="3"/>
            <w:tcBorders>
              <w:top w:val="single" w:sz="4" w:space="0" w:color="auto"/>
              <w:left w:val="nil"/>
              <w:bottom w:val="single" w:sz="4" w:space="0" w:color="auto"/>
              <w:right w:val="single" w:sz="4" w:space="0" w:color="auto"/>
            </w:tcBorders>
            <w:vAlign w:val="center"/>
          </w:tcPr>
          <w:p w:rsidR="0079646D" w:rsidRPr="00A45BA6" w:rsidRDefault="0079646D" w:rsidP="00F85F36">
            <w:pPr>
              <w:keepNext/>
              <w:keepLines/>
              <w:spacing w:after="0" w:line="240" w:lineRule="auto"/>
              <w:jc w:val="center"/>
              <w:outlineLvl w:val="0"/>
              <w:rPr>
                <w:rFonts w:cs="Calibri"/>
                <w:b/>
                <w:bCs/>
                <w:color w:val="000000"/>
                <w:sz w:val="20"/>
              </w:rPr>
            </w:pPr>
            <w:r>
              <w:rPr>
                <w:rFonts w:cs="Calibri"/>
                <w:b/>
                <w:bCs/>
                <w:color w:val="000000"/>
                <w:sz w:val="20"/>
              </w:rPr>
              <w:t xml:space="preserve">State </w:t>
            </w:r>
            <w:r w:rsidRPr="00A45BA6">
              <w:rPr>
                <w:rFonts w:cs="Calibri"/>
                <w:b/>
                <w:bCs/>
                <w:color w:val="000000"/>
                <w:sz w:val="20"/>
              </w:rPr>
              <w:t xml:space="preserve">Cost </w:t>
            </w:r>
            <w:r>
              <w:rPr>
                <w:rFonts w:cs="Calibri"/>
                <w:b/>
                <w:bCs/>
                <w:color w:val="000000"/>
                <w:sz w:val="20"/>
              </w:rPr>
              <w:t>Savings</w:t>
            </w:r>
          </w:p>
        </w:tc>
      </w:tr>
      <w:tr w:rsidR="0079646D" w:rsidRPr="000B185D">
        <w:trPr>
          <w:trHeight w:val="300"/>
        </w:trPr>
        <w:tc>
          <w:tcPr>
            <w:tcW w:w="997" w:type="pct"/>
            <w:vMerge/>
            <w:tcBorders>
              <w:top w:val="single" w:sz="4" w:space="0" w:color="auto"/>
              <w:left w:val="single" w:sz="4" w:space="0" w:color="auto"/>
              <w:bottom w:val="single" w:sz="4" w:space="0" w:color="000000"/>
              <w:right w:val="single" w:sz="4" w:space="0" w:color="000000"/>
            </w:tcBorders>
            <w:vAlign w:val="center"/>
          </w:tcPr>
          <w:p w:rsidR="0079646D" w:rsidRPr="00A45BA6" w:rsidRDefault="0079646D" w:rsidP="00F85F36">
            <w:pPr>
              <w:keepNext/>
              <w:keepLines/>
              <w:spacing w:after="0" w:line="240" w:lineRule="auto"/>
              <w:rPr>
                <w:rFonts w:cs="Calibri"/>
                <w:b/>
                <w:bCs/>
                <w:sz w:val="20"/>
              </w:rPr>
            </w:pPr>
          </w:p>
        </w:tc>
        <w:tc>
          <w:tcPr>
            <w:tcW w:w="605" w:type="pct"/>
            <w:vMerge/>
            <w:tcBorders>
              <w:top w:val="single" w:sz="4" w:space="0" w:color="auto"/>
              <w:left w:val="nil"/>
              <w:bottom w:val="single" w:sz="4" w:space="0" w:color="000000"/>
              <w:right w:val="nil"/>
            </w:tcBorders>
            <w:vAlign w:val="center"/>
          </w:tcPr>
          <w:p w:rsidR="0079646D" w:rsidRPr="00A45BA6" w:rsidRDefault="0079646D" w:rsidP="00F85F36">
            <w:pPr>
              <w:keepNext/>
              <w:keepLines/>
              <w:spacing w:after="0" w:line="240" w:lineRule="auto"/>
              <w:rPr>
                <w:rFonts w:cs="Calibri"/>
                <w:b/>
                <w:bCs/>
                <w:color w:val="000000"/>
                <w:sz w:val="20"/>
              </w:rPr>
            </w:pPr>
          </w:p>
        </w:tc>
        <w:tc>
          <w:tcPr>
            <w:tcW w:w="502" w:type="pct"/>
            <w:tcBorders>
              <w:top w:val="nil"/>
              <w:left w:val="single" w:sz="4" w:space="0" w:color="auto"/>
              <w:bottom w:val="single" w:sz="4" w:space="0" w:color="auto"/>
              <w:right w:val="single" w:sz="4" w:space="0" w:color="auto"/>
            </w:tcBorders>
            <w:noWrap/>
            <w:vAlign w:val="center"/>
          </w:tcPr>
          <w:p w:rsidR="0079646D" w:rsidRPr="00741534" w:rsidRDefault="0079646D" w:rsidP="00F85F36">
            <w:pPr>
              <w:keepNext/>
              <w:keepLines/>
              <w:spacing w:after="0" w:line="240" w:lineRule="auto"/>
              <w:jc w:val="center"/>
              <w:outlineLvl w:val="0"/>
              <w:rPr>
                <w:rFonts w:cs="Calibri"/>
                <w:sz w:val="20"/>
              </w:rPr>
            </w:pPr>
            <w:r w:rsidRPr="00741534">
              <w:rPr>
                <w:rFonts w:cs="Calibri"/>
                <w:sz w:val="20"/>
              </w:rPr>
              <w:t>(-50%)</w:t>
            </w:r>
          </w:p>
        </w:tc>
        <w:tc>
          <w:tcPr>
            <w:tcW w:w="502" w:type="pct"/>
            <w:tcBorders>
              <w:top w:val="nil"/>
              <w:left w:val="nil"/>
              <w:bottom w:val="single" w:sz="4" w:space="0" w:color="auto"/>
              <w:right w:val="single" w:sz="4" w:space="0" w:color="auto"/>
            </w:tcBorders>
            <w:noWrap/>
            <w:vAlign w:val="center"/>
          </w:tcPr>
          <w:p w:rsidR="0079646D" w:rsidRPr="00741534" w:rsidRDefault="0079646D" w:rsidP="00F85F36">
            <w:pPr>
              <w:keepNext/>
              <w:keepLines/>
              <w:spacing w:after="0" w:line="240" w:lineRule="auto"/>
              <w:jc w:val="center"/>
              <w:outlineLvl w:val="0"/>
              <w:rPr>
                <w:rFonts w:cs="Calibri"/>
                <w:sz w:val="20"/>
              </w:rPr>
            </w:pPr>
            <w:r w:rsidRPr="00741534">
              <w:rPr>
                <w:rFonts w:cs="Calibri"/>
                <w:sz w:val="20"/>
              </w:rPr>
              <w:t>Primary</w:t>
            </w:r>
          </w:p>
        </w:tc>
        <w:tc>
          <w:tcPr>
            <w:tcW w:w="507" w:type="pct"/>
            <w:tcBorders>
              <w:top w:val="nil"/>
              <w:left w:val="nil"/>
              <w:bottom w:val="single" w:sz="4" w:space="0" w:color="auto"/>
              <w:right w:val="single" w:sz="4" w:space="0" w:color="auto"/>
            </w:tcBorders>
            <w:noWrap/>
            <w:vAlign w:val="center"/>
          </w:tcPr>
          <w:p w:rsidR="0079646D" w:rsidRPr="00741534" w:rsidRDefault="0079646D" w:rsidP="00F85F36">
            <w:pPr>
              <w:keepNext/>
              <w:keepLines/>
              <w:spacing w:after="0" w:line="240" w:lineRule="auto"/>
              <w:jc w:val="center"/>
              <w:outlineLvl w:val="0"/>
              <w:rPr>
                <w:rFonts w:cs="Calibri"/>
                <w:sz w:val="20"/>
              </w:rPr>
            </w:pPr>
            <w:r w:rsidRPr="00741534">
              <w:rPr>
                <w:rFonts w:cs="Calibri"/>
                <w:sz w:val="20"/>
              </w:rPr>
              <w:t>(+50%)</w:t>
            </w:r>
          </w:p>
        </w:tc>
        <w:tc>
          <w:tcPr>
            <w:tcW w:w="626" w:type="pct"/>
            <w:tcBorders>
              <w:top w:val="nil"/>
              <w:left w:val="nil"/>
              <w:bottom w:val="single" w:sz="4" w:space="0" w:color="auto"/>
              <w:right w:val="single" w:sz="4" w:space="0" w:color="auto"/>
            </w:tcBorders>
            <w:noWrap/>
            <w:vAlign w:val="center"/>
          </w:tcPr>
          <w:p w:rsidR="0079646D" w:rsidRPr="00741534" w:rsidRDefault="0079646D" w:rsidP="00F85F36">
            <w:pPr>
              <w:keepNext/>
              <w:keepLines/>
              <w:spacing w:after="0" w:line="240" w:lineRule="auto"/>
              <w:jc w:val="center"/>
              <w:outlineLvl w:val="0"/>
              <w:rPr>
                <w:rFonts w:cs="Calibri"/>
                <w:sz w:val="20"/>
              </w:rPr>
            </w:pPr>
            <w:r>
              <w:rPr>
                <w:rFonts w:cs="Calibri"/>
                <w:sz w:val="20"/>
              </w:rPr>
              <w:t>Low</w:t>
            </w:r>
          </w:p>
        </w:tc>
        <w:tc>
          <w:tcPr>
            <w:tcW w:w="631" w:type="pct"/>
            <w:tcBorders>
              <w:top w:val="nil"/>
              <w:left w:val="nil"/>
              <w:bottom w:val="single" w:sz="4" w:space="0" w:color="auto"/>
              <w:right w:val="single" w:sz="4" w:space="0" w:color="auto"/>
            </w:tcBorders>
            <w:noWrap/>
            <w:vAlign w:val="center"/>
          </w:tcPr>
          <w:p w:rsidR="0079646D" w:rsidRPr="00741534" w:rsidRDefault="0079646D" w:rsidP="00F85F36">
            <w:pPr>
              <w:keepNext/>
              <w:keepLines/>
              <w:spacing w:after="0" w:line="240" w:lineRule="auto"/>
              <w:jc w:val="center"/>
              <w:outlineLvl w:val="0"/>
              <w:rPr>
                <w:rFonts w:cs="Calibri"/>
                <w:sz w:val="20"/>
              </w:rPr>
            </w:pPr>
            <w:r w:rsidRPr="00741534">
              <w:rPr>
                <w:rFonts w:cs="Calibri"/>
                <w:sz w:val="20"/>
              </w:rPr>
              <w:t>Primary</w:t>
            </w:r>
          </w:p>
        </w:tc>
        <w:tc>
          <w:tcPr>
            <w:tcW w:w="630" w:type="pct"/>
            <w:tcBorders>
              <w:top w:val="nil"/>
              <w:left w:val="nil"/>
              <w:bottom w:val="single" w:sz="4" w:space="0" w:color="auto"/>
              <w:right w:val="single" w:sz="4" w:space="0" w:color="auto"/>
            </w:tcBorders>
            <w:noWrap/>
            <w:vAlign w:val="center"/>
          </w:tcPr>
          <w:p w:rsidR="0079646D" w:rsidRPr="00741534" w:rsidRDefault="0079646D" w:rsidP="00F85F36">
            <w:pPr>
              <w:keepNext/>
              <w:keepLines/>
              <w:spacing w:after="0" w:line="240" w:lineRule="auto"/>
              <w:jc w:val="center"/>
              <w:outlineLvl w:val="0"/>
              <w:rPr>
                <w:rFonts w:cs="Calibri"/>
                <w:sz w:val="20"/>
              </w:rPr>
            </w:pPr>
            <w:r>
              <w:rPr>
                <w:rFonts w:cs="Calibri"/>
                <w:sz w:val="20"/>
              </w:rPr>
              <w:t>High</w:t>
            </w:r>
          </w:p>
        </w:tc>
      </w:tr>
      <w:tr w:rsidR="0079646D" w:rsidRPr="000B185D">
        <w:trPr>
          <w:trHeight w:val="260"/>
        </w:trPr>
        <w:tc>
          <w:tcPr>
            <w:tcW w:w="997" w:type="pct"/>
            <w:tcBorders>
              <w:top w:val="single" w:sz="4" w:space="0" w:color="auto"/>
              <w:left w:val="single" w:sz="4" w:space="0" w:color="auto"/>
              <w:bottom w:val="single" w:sz="4" w:space="0" w:color="auto"/>
              <w:right w:val="single" w:sz="4" w:space="0" w:color="000000"/>
            </w:tcBorders>
            <w:noWrap/>
            <w:vAlign w:val="bottom"/>
          </w:tcPr>
          <w:p w:rsidR="0079646D" w:rsidRPr="00741534" w:rsidRDefault="0079646D" w:rsidP="00F85F36">
            <w:pPr>
              <w:keepNext/>
              <w:keepLines/>
              <w:spacing w:after="0" w:line="240" w:lineRule="auto"/>
              <w:outlineLvl w:val="0"/>
              <w:rPr>
                <w:rFonts w:cs="Calibri"/>
                <w:sz w:val="18"/>
              </w:rPr>
            </w:pPr>
            <w:r w:rsidRPr="00741534">
              <w:rPr>
                <w:rFonts w:cs="Calibri"/>
                <w:sz w:val="18"/>
              </w:rPr>
              <w:t>Standard Plan Update</w:t>
            </w:r>
          </w:p>
        </w:tc>
        <w:tc>
          <w:tcPr>
            <w:tcW w:w="605" w:type="pct"/>
            <w:tcBorders>
              <w:top w:val="nil"/>
              <w:left w:val="nil"/>
              <w:bottom w:val="single" w:sz="4" w:space="0" w:color="auto"/>
              <w:right w:val="single" w:sz="4" w:space="0" w:color="auto"/>
            </w:tcBorders>
            <w:noWrap/>
            <w:vAlign w:val="bottom"/>
          </w:tcPr>
          <w:p w:rsidR="0079646D" w:rsidRPr="00741534" w:rsidRDefault="0079646D" w:rsidP="00F85F36">
            <w:pPr>
              <w:keepNext/>
              <w:keepLines/>
              <w:spacing w:after="0" w:line="240" w:lineRule="auto"/>
              <w:jc w:val="center"/>
              <w:outlineLvl w:val="0"/>
              <w:rPr>
                <w:rFonts w:cs="Calibri"/>
                <w:color w:val="000000"/>
                <w:sz w:val="18"/>
              </w:rPr>
            </w:pPr>
            <w:r w:rsidRPr="00741534">
              <w:rPr>
                <w:rFonts w:cs="Calibri"/>
                <w:color w:val="000000"/>
                <w:sz w:val="18"/>
              </w:rPr>
              <w:t>92</w:t>
            </w:r>
          </w:p>
        </w:tc>
        <w:tc>
          <w:tcPr>
            <w:tcW w:w="502" w:type="pct"/>
            <w:tcBorders>
              <w:top w:val="nil"/>
              <w:left w:val="nil"/>
              <w:bottom w:val="single" w:sz="4" w:space="0" w:color="auto"/>
              <w:right w:val="single" w:sz="4" w:space="0" w:color="auto"/>
            </w:tcBorders>
            <w:noWrap/>
            <w:vAlign w:val="center"/>
          </w:tcPr>
          <w:p w:rsidR="0079646D" w:rsidRPr="00741534" w:rsidRDefault="0079646D" w:rsidP="00F85F36">
            <w:pPr>
              <w:keepNext/>
              <w:keepLines/>
              <w:spacing w:after="0" w:line="240" w:lineRule="auto"/>
              <w:jc w:val="center"/>
              <w:outlineLvl w:val="0"/>
              <w:rPr>
                <w:rFonts w:cs="Calibri"/>
                <w:color w:val="000000"/>
                <w:sz w:val="18"/>
              </w:rPr>
            </w:pPr>
            <w:r w:rsidRPr="00AD6BDD">
              <w:rPr>
                <w:rFonts w:cs="Calibri"/>
                <w:color w:val="000000"/>
                <w:sz w:val="18"/>
              </w:rPr>
              <w:t>$102,500</w:t>
            </w:r>
          </w:p>
        </w:tc>
        <w:tc>
          <w:tcPr>
            <w:tcW w:w="502" w:type="pct"/>
            <w:tcBorders>
              <w:top w:val="nil"/>
              <w:left w:val="nil"/>
              <w:bottom w:val="single" w:sz="4" w:space="0" w:color="auto"/>
              <w:right w:val="single" w:sz="4" w:space="0" w:color="auto"/>
            </w:tcBorders>
            <w:noWrap/>
            <w:vAlign w:val="bottom"/>
          </w:tcPr>
          <w:p w:rsidR="0079646D" w:rsidRPr="00741534" w:rsidRDefault="0079646D" w:rsidP="00F85F36">
            <w:pPr>
              <w:keepNext/>
              <w:keepLines/>
              <w:spacing w:after="0" w:line="240" w:lineRule="auto"/>
              <w:jc w:val="center"/>
              <w:outlineLvl w:val="0"/>
              <w:rPr>
                <w:rFonts w:cs="Calibri"/>
                <w:color w:val="000000"/>
                <w:sz w:val="18"/>
              </w:rPr>
            </w:pPr>
            <w:r w:rsidRPr="00AD6BDD">
              <w:rPr>
                <w:rFonts w:cs="Calibri"/>
                <w:color w:val="000000"/>
                <w:sz w:val="18"/>
              </w:rPr>
              <w:t>$205,000</w:t>
            </w:r>
          </w:p>
        </w:tc>
        <w:tc>
          <w:tcPr>
            <w:tcW w:w="507" w:type="pct"/>
            <w:tcBorders>
              <w:top w:val="nil"/>
              <w:left w:val="nil"/>
              <w:bottom w:val="single" w:sz="4" w:space="0" w:color="auto"/>
              <w:right w:val="single" w:sz="4" w:space="0" w:color="auto"/>
            </w:tcBorders>
            <w:noWrap/>
            <w:vAlign w:val="bottom"/>
          </w:tcPr>
          <w:p w:rsidR="0079646D" w:rsidRPr="00741534" w:rsidRDefault="0079646D" w:rsidP="00F85F36">
            <w:pPr>
              <w:keepNext/>
              <w:keepLines/>
              <w:spacing w:after="0" w:line="240" w:lineRule="auto"/>
              <w:jc w:val="center"/>
              <w:outlineLvl w:val="0"/>
              <w:rPr>
                <w:rFonts w:cs="Calibri"/>
                <w:color w:val="000000"/>
                <w:sz w:val="18"/>
              </w:rPr>
            </w:pPr>
            <w:r w:rsidRPr="00AD6BDD">
              <w:rPr>
                <w:rFonts w:cs="Calibri"/>
                <w:color w:val="000000"/>
                <w:sz w:val="18"/>
              </w:rPr>
              <w:t>$307,500</w:t>
            </w:r>
          </w:p>
        </w:tc>
        <w:tc>
          <w:tcPr>
            <w:tcW w:w="626" w:type="pct"/>
            <w:tcBorders>
              <w:top w:val="nil"/>
              <w:left w:val="nil"/>
              <w:bottom w:val="single" w:sz="4" w:space="0" w:color="auto"/>
              <w:right w:val="single" w:sz="4" w:space="0" w:color="auto"/>
            </w:tcBorders>
            <w:noWrap/>
            <w:vAlign w:val="bottom"/>
          </w:tcPr>
          <w:p w:rsidR="0079646D" w:rsidRPr="00741534" w:rsidRDefault="0079646D" w:rsidP="00F85F36">
            <w:pPr>
              <w:keepNext/>
              <w:keepLines/>
              <w:spacing w:after="0" w:line="240" w:lineRule="auto"/>
              <w:jc w:val="center"/>
              <w:outlineLvl w:val="0"/>
              <w:rPr>
                <w:rFonts w:cs="Calibri"/>
                <w:color w:val="000000"/>
                <w:sz w:val="18"/>
              </w:rPr>
            </w:pPr>
            <w:r w:rsidRPr="00AD6BDD">
              <w:rPr>
                <w:rFonts w:cs="Calibri"/>
                <w:color w:val="000000"/>
                <w:sz w:val="18"/>
              </w:rPr>
              <w:t>$9,430,000</w:t>
            </w:r>
          </w:p>
        </w:tc>
        <w:tc>
          <w:tcPr>
            <w:tcW w:w="631" w:type="pct"/>
            <w:tcBorders>
              <w:top w:val="nil"/>
              <w:left w:val="nil"/>
              <w:bottom w:val="single" w:sz="4" w:space="0" w:color="auto"/>
              <w:right w:val="single" w:sz="4" w:space="0" w:color="auto"/>
            </w:tcBorders>
            <w:noWrap/>
            <w:vAlign w:val="bottom"/>
          </w:tcPr>
          <w:p w:rsidR="0079646D" w:rsidRPr="00741534" w:rsidRDefault="0079646D" w:rsidP="00F85F36">
            <w:pPr>
              <w:keepNext/>
              <w:keepLines/>
              <w:spacing w:after="0" w:line="240" w:lineRule="auto"/>
              <w:jc w:val="center"/>
              <w:outlineLvl w:val="0"/>
              <w:rPr>
                <w:rFonts w:cs="Calibri"/>
                <w:color w:val="000000"/>
                <w:sz w:val="18"/>
              </w:rPr>
            </w:pPr>
            <w:r w:rsidRPr="00AD6BDD">
              <w:rPr>
                <w:rFonts w:cs="Calibri"/>
                <w:color w:val="000000"/>
                <w:sz w:val="18"/>
              </w:rPr>
              <w:t>$18,860,000</w:t>
            </w:r>
          </w:p>
        </w:tc>
        <w:tc>
          <w:tcPr>
            <w:tcW w:w="630" w:type="pct"/>
            <w:tcBorders>
              <w:top w:val="nil"/>
              <w:left w:val="nil"/>
              <w:bottom w:val="single" w:sz="4" w:space="0" w:color="auto"/>
              <w:right w:val="single" w:sz="4" w:space="0" w:color="auto"/>
            </w:tcBorders>
            <w:noWrap/>
            <w:vAlign w:val="bottom"/>
          </w:tcPr>
          <w:p w:rsidR="0079646D" w:rsidRPr="00741534" w:rsidRDefault="0079646D" w:rsidP="00F85F36">
            <w:pPr>
              <w:keepNext/>
              <w:keepLines/>
              <w:spacing w:after="0" w:line="240" w:lineRule="auto"/>
              <w:jc w:val="center"/>
              <w:outlineLvl w:val="0"/>
              <w:rPr>
                <w:rFonts w:cs="Calibri"/>
                <w:color w:val="000000"/>
                <w:sz w:val="18"/>
              </w:rPr>
            </w:pPr>
            <w:r w:rsidRPr="00AD6BDD">
              <w:rPr>
                <w:rFonts w:cs="Calibri"/>
                <w:color w:val="000000"/>
                <w:sz w:val="18"/>
              </w:rPr>
              <w:t>$28,290,000</w:t>
            </w:r>
          </w:p>
        </w:tc>
      </w:tr>
      <w:tr w:rsidR="0079646D" w:rsidRPr="000B185D">
        <w:trPr>
          <w:trHeight w:val="300"/>
        </w:trPr>
        <w:tc>
          <w:tcPr>
            <w:tcW w:w="997" w:type="pct"/>
            <w:tcBorders>
              <w:top w:val="single" w:sz="4" w:space="0" w:color="auto"/>
              <w:left w:val="single" w:sz="4" w:space="0" w:color="auto"/>
              <w:bottom w:val="single" w:sz="4" w:space="0" w:color="auto"/>
              <w:right w:val="single" w:sz="4" w:space="0" w:color="000000"/>
            </w:tcBorders>
            <w:noWrap/>
            <w:vAlign w:val="bottom"/>
          </w:tcPr>
          <w:p w:rsidR="0079646D" w:rsidRPr="00741534" w:rsidRDefault="0079646D" w:rsidP="00F85F36">
            <w:pPr>
              <w:keepNext/>
              <w:keepLines/>
              <w:spacing w:after="0" w:line="240" w:lineRule="auto"/>
              <w:outlineLvl w:val="0"/>
              <w:rPr>
                <w:rFonts w:cs="Calibri"/>
                <w:sz w:val="18"/>
              </w:rPr>
            </w:pPr>
            <w:r w:rsidRPr="00741534">
              <w:rPr>
                <w:rFonts w:cs="Calibri"/>
                <w:sz w:val="18"/>
              </w:rPr>
              <w:t>Enhanced Plan Update</w:t>
            </w:r>
          </w:p>
        </w:tc>
        <w:tc>
          <w:tcPr>
            <w:tcW w:w="605" w:type="pct"/>
            <w:tcBorders>
              <w:top w:val="nil"/>
              <w:left w:val="nil"/>
              <w:bottom w:val="single" w:sz="4" w:space="0" w:color="auto"/>
              <w:right w:val="single" w:sz="4" w:space="0" w:color="auto"/>
            </w:tcBorders>
            <w:noWrap/>
            <w:vAlign w:val="bottom"/>
          </w:tcPr>
          <w:p w:rsidR="0079646D" w:rsidRPr="00741534" w:rsidRDefault="0079646D" w:rsidP="00F85F36">
            <w:pPr>
              <w:keepNext/>
              <w:keepLines/>
              <w:spacing w:after="0" w:line="240" w:lineRule="auto"/>
              <w:jc w:val="center"/>
              <w:outlineLvl w:val="0"/>
              <w:rPr>
                <w:rFonts w:cs="Calibri"/>
                <w:color w:val="000000"/>
                <w:sz w:val="18"/>
              </w:rPr>
            </w:pPr>
            <w:r w:rsidRPr="00741534">
              <w:rPr>
                <w:rFonts w:cs="Calibri"/>
                <w:color w:val="000000"/>
                <w:sz w:val="18"/>
              </w:rPr>
              <w:t>20</w:t>
            </w:r>
          </w:p>
        </w:tc>
        <w:tc>
          <w:tcPr>
            <w:tcW w:w="502" w:type="pct"/>
            <w:tcBorders>
              <w:top w:val="nil"/>
              <w:left w:val="nil"/>
              <w:bottom w:val="single" w:sz="4" w:space="0" w:color="auto"/>
              <w:right w:val="single" w:sz="4" w:space="0" w:color="auto"/>
            </w:tcBorders>
            <w:noWrap/>
            <w:vAlign w:val="center"/>
          </w:tcPr>
          <w:p w:rsidR="0079646D" w:rsidRPr="00741534" w:rsidRDefault="0079646D" w:rsidP="00F85F36">
            <w:pPr>
              <w:keepNext/>
              <w:keepLines/>
              <w:spacing w:after="0" w:line="240" w:lineRule="auto"/>
              <w:jc w:val="center"/>
              <w:outlineLvl w:val="0"/>
              <w:rPr>
                <w:rFonts w:cs="Calibri"/>
                <w:color w:val="000000"/>
                <w:sz w:val="18"/>
              </w:rPr>
            </w:pPr>
            <w:r w:rsidRPr="00AD6BDD">
              <w:rPr>
                <w:rFonts w:cs="Calibri"/>
                <w:color w:val="000000"/>
                <w:sz w:val="18"/>
              </w:rPr>
              <w:t>$262,000</w:t>
            </w:r>
          </w:p>
        </w:tc>
        <w:tc>
          <w:tcPr>
            <w:tcW w:w="502" w:type="pct"/>
            <w:tcBorders>
              <w:top w:val="nil"/>
              <w:left w:val="nil"/>
              <w:bottom w:val="single" w:sz="4" w:space="0" w:color="auto"/>
              <w:right w:val="single" w:sz="4" w:space="0" w:color="auto"/>
            </w:tcBorders>
            <w:noWrap/>
            <w:vAlign w:val="bottom"/>
          </w:tcPr>
          <w:p w:rsidR="0079646D" w:rsidRPr="00741534" w:rsidRDefault="0079646D" w:rsidP="00F85F36">
            <w:pPr>
              <w:keepNext/>
              <w:keepLines/>
              <w:spacing w:after="0" w:line="240" w:lineRule="auto"/>
              <w:jc w:val="center"/>
              <w:outlineLvl w:val="0"/>
              <w:rPr>
                <w:rFonts w:cs="Calibri"/>
                <w:color w:val="000000"/>
                <w:sz w:val="18"/>
              </w:rPr>
            </w:pPr>
            <w:r w:rsidRPr="00AD6BDD">
              <w:rPr>
                <w:rFonts w:cs="Calibri"/>
                <w:color w:val="000000"/>
                <w:sz w:val="18"/>
              </w:rPr>
              <w:t>$524,000</w:t>
            </w:r>
          </w:p>
        </w:tc>
        <w:tc>
          <w:tcPr>
            <w:tcW w:w="507" w:type="pct"/>
            <w:tcBorders>
              <w:top w:val="nil"/>
              <w:left w:val="nil"/>
              <w:bottom w:val="single" w:sz="4" w:space="0" w:color="auto"/>
              <w:right w:val="single" w:sz="4" w:space="0" w:color="auto"/>
            </w:tcBorders>
            <w:noWrap/>
            <w:vAlign w:val="bottom"/>
          </w:tcPr>
          <w:p w:rsidR="0079646D" w:rsidRPr="00741534" w:rsidRDefault="0079646D" w:rsidP="00F85F36">
            <w:pPr>
              <w:keepNext/>
              <w:keepLines/>
              <w:spacing w:after="0" w:line="240" w:lineRule="auto"/>
              <w:jc w:val="center"/>
              <w:outlineLvl w:val="0"/>
              <w:rPr>
                <w:rFonts w:cs="Calibri"/>
                <w:color w:val="000000"/>
                <w:sz w:val="18"/>
              </w:rPr>
            </w:pPr>
            <w:r w:rsidRPr="00AD6BDD">
              <w:rPr>
                <w:rFonts w:cs="Calibri"/>
                <w:color w:val="000000"/>
                <w:sz w:val="18"/>
              </w:rPr>
              <w:t>$786,000</w:t>
            </w:r>
          </w:p>
        </w:tc>
        <w:tc>
          <w:tcPr>
            <w:tcW w:w="626" w:type="pct"/>
            <w:tcBorders>
              <w:top w:val="nil"/>
              <w:left w:val="nil"/>
              <w:bottom w:val="single" w:sz="4" w:space="0" w:color="auto"/>
              <w:right w:val="single" w:sz="4" w:space="0" w:color="auto"/>
            </w:tcBorders>
            <w:noWrap/>
            <w:vAlign w:val="bottom"/>
          </w:tcPr>
          <w:p w:rsidR="0079646D" w:rsidRPr="00741534" w:rsidRDefault="0079646D" w:rsidP="00F85F36">
            <w:pPr>
              <w:keepNext/>
              <w:keepLines/>
              <w:spacing w:after="0" w:line="240" w:lineRule="auto"/>
              <w:jc w:val="center"/>
              <w:outlineLvl w:val="0"/>
              <w:rPr>
                <w:rFonts w:cs="Calibri"/>
                <w:color w:val="000000"/>
                <w:sz w:val="18"/>
              </w:rPr>
            </w:pPr>
            <w:r w:rsidRPr="00AD6BDD">
              <w:rPr>
                <w:rFonts w:cs="Calibri"/>
                <w:color w:val="000000"/>
                <w:sz w:val="18"/>
              </w:rPr>
              <w:t>$5,240,000</w:t>
            </w:r>
          </w:p>
        </w:tc>
        <w:tc>
          <w:tcPr>
            <w:tcW w:w="631" w:type="pct"/>
            <w:tcBorders>
              <w:top w:val="nil"/>
              <w:left w:val="nil"/>
              <w:bottom w:val="single" w:sz="4" w:space="0" w:color="auto"/>
              <w:right w:val="single" w:sz="4" w:space="0" w:color="auto"/>
            </w:tcBorders>
            <w:noWrap/>
            <w:vAlign w:val="bottom"/>
          </w:tcPr>
          <w:p w:rsidR="0079646D" w:rsidRPr="00741534" w:rsidRDefault="0079646D" w:rsidP="00F85F36">
            <w:pPr>
              <w:keepNext/>
              <w:keepLines/>
              <w:spacing w:after="0" w:line="240" w:lineRule="auto"/>
              <w:jc w:val="center"/>
              <w:outlineLvl w:val="0"/>
              <w:rPr>
                <w:rFonts w:cs="Calibri"/>
                <w:color w:val="000000"/>
                <w:sz w:val="18"/>
              </w:rPr>
            </w:pPr>
            <w:r w:rsidRPr="00AD6BDD">
              <w:rPr>
                <w:rFonts w:cs="Calibri"/>
                <w:color w:val="000000"/>
                <w:sz w:val="18"/>
              </w:rPr>
              <w:t>$10,480,000</w:t>
            </w:r>
          </w:p>
        </w:tc>
        <w:tc>
          <w:tcPr>
            <w:tcW w:w="630" w:type="pct"/>
            <w:tcBorders>
              <w:top w:val="nil"/>
              <w:left w:val="nil"/>
              <w:bottom w:val="single" w:sz="4" w:space="0" w:color="auto"/>
              <w:right w:val="single" w:sz="4" w:space="0" w:color="auto"/>
            </w:tcBorders>
            <w:noWrap/>
            <w:vAlign w:val="bottom"/>
          </w:tcPr>
          <w:p w:rsidR="0079646D" w:rsidRPr="00741534" w:rsidRDefault="0079646D" w:rsidP="00F85F36">
            <w:pPr>
              <w:keepNext/>
              <w:keepLines/>
              <w:spacing w:after="0" w:line="240" w:lineRule="auto"/>
              <w:jc w:val="center"/>
              <w:outlineLvl w:val="0"/>
              <w:rPr>
                <w:rFonts w:cs="Calibri"/>
                <w:color w:val="000000"/>
                <w:sz w:val="18"/>
              </w:rPr>
            </w:pPr>
            <w:r w:rsidRPr="00AD6BDD">
              <w:rPr>
                <w:rFonts w:cs="Calibri"/>
                <w:color w:val="000000"/>
                <w:sz w:val="18"/>
              </w:rPr>
              <w:t>$15,720,000</w:t>
            </w:r>
          </w:p>
        </w:tc>
      </w:tr>
      <w:tr w:rsidR="0079646D" w:rsidRPr="000B185D">
        <w:trPr>
          <w:trHeight w:val="300"/>
        </w:trPr>
        <w:tc>
          <w:tcPr>
            <w:tcW w:w="997" w:type="pct"/>
            <w:tcBorders>
              <w:top w:val="single" w:sz="4" w:space="0" w:color="auto"/>
              <w:left w:val="nil"/>
              <w:bottom w:val="nil"/>
              <w:right w:val="nil"/>
            </w:tcBorders>
            <w:noWrap/>
            <w:vAlign w:val="bottom"/>
          </w:tcPr>
          <w:p w:rsidR="0079646D" w:rsidRPr="00A45BA6" w:rsidRDefault="0079646D" w:rsidP="00F85F36">
            <w:pPr>
              <w:keepNext/>
              <w:keepLines/>
              <w:spacing w:after="0" w:line="240" w:lineRule="auto"/>
              <w:outlineLvl w:val="0"/>
              <w:rPr>
                <w:rFonts w:cs="Calibri"/>
                <w:b/>
                <w:bCs/>
                <w:sz w:val="20"/>
              </w:rPr>
            </w:pPr>
            <w:r w:rsidRPr="00A45BA6">
              <w:rPr>
                <w:rFonts w:cs="Calibri"/>
                <w:b/>
                <w:bCs/>
                <w:sz w:val="20"/>
              </w:rPr>
              <w:t>Total</w:t>
            </w:r>
          </w:p>
        </w:tc>
        <w:tc>
          <w:tcPr>
            <w:tcW w:w="605" w:type="pct"/>
            <w:tcBorders>
              <w:top w:val="nil"/>
              <w:left w:val="nil"/>
              <w:bottom w:val="nil"/>
              <w:right w:val="nil"/>
            </w:tcBorders>
            <w:noWrap/>
            <w:vAlign w:val="bottom"/>
          </w:tcPr>
          <w:p w:rsidR="0079646D" w:rsidRPr="00741534" w:rsidRDefault="0079646D" w:rsidP="00F85F36">
            <w:pPr>
              <w:keepNext/>
              <w:keepLines/>
              <w:spacing w:after="0" w:line="240" w:lineRule="auto"/>
              <w:jc w:val="center"/>
              <w:outlineLvl w:val="0"/>
              <w:rPr>
                <w:rFonts w:cs="Calibri"/>
                <w:b/>
                <w:bCs/>
                <w:color w:val="000000"/>
                <w:sz w:val="18"/>
              </w:rPr>
            </w:pPr>
            <w:r w:rsidRPr="00741534">
              <w:rPr>
                <w:rFonts w:cs="Calibri"/>
                <w:b/>
                <w:bCs/>
                <w:color w:val="000000"/>
                <w:sz w:val="18"/>
              </w:rPr>
              <w:t>112</w:t>
            </w:r>
          </w:p>
        </w:tc>
        <w:tc>
          <w:tcPr>
            <w:tcW w:w="502" w:type="pct"/>
            <w:tcBorders>
              <w:top w:val="nil"/>
              <w:left w:val="nil"/>
              <w:bottom w:val="nil"/>
              <w:right w:val="nil"/>
            </w:tcBorders>
            <w:noWrap/>
            <w:vAlign w:val="bottom"/>
          </w:tcPr>
          <w:p w:rsidR="0079646D" w:rsidRPr="00A45BA6" w:rsidRDefault="0079646D" w:rsidP="00F85F36">
            <w:pPr>
              <w:keepNext/>
              <w:keepLines/>
              <w:spacing w:after="0" w:line="240" w:lineRule="auto"/>
              <w:outlineLvl w:val="0"/>
              <w:rPr>
                <w:rFonts w:cs="Calibri"/>
                <w:color w:val="000000"/>
                <w:sz w:val="20"/>
              </w:rPr>
            </w:pPr>
          </w:p>
        </w:tc>
        <w:tc>
          <w:tcPr>
            <w:tcW w:w="502" w:type="pct"/>
            <w:tcBorders>
              <w:top w:val="nil"/>
              <w:left w:val="nil"/>
              <w:bottom w:val="nil"/>
              <w:right w:val="nil"/>
            </w:tcBorders>
            <w:noWrap/>
            <w:vAlign w:val="bottom"/>
          </w:tcPr>
          <w:p w:rsidR="0079646D" w:rsidRPr="00A45BA6" w:rsidRDefault="0079646D" w:rsidP="00F85F36">
            <w:pPr>
              <w:keepNext/>
              <w:keepLines/>
              <w:spacing w:after="0" w:line="240" w:lineRule="auto"/>
              <w:outlineLvl w:val="0"/>
              <w:rPr>
                <w:rFonts w:cs="Calibri"/>
                <w:color w:val="000000"/>
                <w:sz w:val="20"/>
              </w:rPr>
            </w:pPr>
          </w:p>
        </w:tc>
        <w:tc>
          <w:tcPr>
            <w:tcW w:w="507" w:type="pct"/>
            <w:tcBorders>
              <w:top w:val="nil"/>
              <w:left w:val="nil"/>
              <w:bottom w:val="nil"/>
              <w:right w:val="nil"/>
            </w:tcBorders>
            <w:noWrap/>
            <w:vAlign w:val="bottom"/>
          </w:tcPr>
          <w:p w:rsidR="0079646D" w:rsidRPr="00A45BA6" w:rsidRDefault="0079646D" w:rsidP="00F85F36">
            <w:pPr>
              <w:keepNext/>
              <w:keepLines/>
              <w:spacing w:after="0" w:line="240" w:lineRule="auto"/>
              <w:outlineLvl w:val="0"/>
              <w:rPr>
                <w:rFonts w:cs="Calibri"/>
                <w:color w:val="000000"/>
                <w:sz w:val="20"/>
              </w:rPr>
            </w:pPr>
          </w:p>
        </w:tc>
        <w:tc>
          <w:tcPr>
            <w:tcW w:w="626" w:type="pct"/>
            <w:tcBorders>
              <w:top w:val="nil"/>
              <w:left w:val="nil"/>
              <w:bottom w:val="nil"/>
              <w:right w:val="nil"/>
            </w:tcBorders>
            <w:noWrap/>
            <w:vAlign w:val="bottom"/>
          </w:tcPr>
          <w:p w:rsidR="0079646D" w:rsidRPr="00686886" w:rsidRDefault="0079646D" w:rsidP="00AD6BDD">
            <w:pPr>
              <w:keepNext/>
              <w:keepLines/>
              <w:spacing w:after="0" w:line="240" w:lineRule="auto"/>
              <w:jc w:val="center"/>
              <w:outlineLvl w:val="0"/>
              <w:rPr>
                <w:rFonts w:cs="Calibri"/>
                <w:b/>
                <w:color w:val="000000"/>
                <w:sz w:val="18"/>
              </w:rPr>
            </w:pPr>
            <w:r w:rsidRPr="00686886">
              <w:rPr>
                <w:rFonts w:cs="Calibri"/>
                <w:b/>
                <w:color w:val="000000"/>
                <w:sz w:val="18"/>
              </w:rPr>
              <w:t>$</w:t>
            </w:r>
            <w:r>
              <w:rPr>
                <w:rFonts w:cs="Calibri"/>
                <w:b/>
                <w:color w:val="000000"/>
                <w:sz w:val="18"/>
              </w:rPr>
              <w:t>14,670,000</w:t>
            </w:r>
          </w:p>
        </w:tc>
        <w:tc>
          <w:tcPr>
            <w:tcW w:w="631" w:type="pct"/>
            <w:tcBorders>
              <w:top w:val="nil"/>
              <w:left w:val="nil"/>
              <w:bottom w:val="nil"/>
              <w:right w:val="nil"/>
            </w:tcBorders>
            <w:noWrap/>
            <w:vAlign w:val="bottom"/>
          </w:tcPr>
          <w:p w:rsidR="0079646D" w:rsidRPr="00686886" w:rsidRDefault="0079646D" w:rsidP="00F85F36">
            <w:pPr>
              <w:keepNext/>
              <w:keepLines/>
              <w:spacing w:after="0" w:line="240" w:lineRule="auto"/>
              <w:jc w:val="center"/>
              <w:outlineLvl w:val="0"/>
              <w:rPr>
                <w:rFonts w:cs="Calibri"/>
                <w:b/>
                <w:color w:val="000000"/>
                <w:sz w:val="18"/>
              </w:rPr>
            </w:pPr>
            <w:r w:rsidRPr="00AD6BDD">
              <w:rPr>
                <w:rFonts w:cs="Calibri"/>
                <w:b/>
                <w:color w:val="000000"/>
                <w:sz w:val="18"/>
              </w:rPr>
              <w:t>$29,340,000</w:t>
            </w:r>
          </w:p>
        </w:tc>
        <w:tc>
          <w:tcPr>
            <w:tcW w:w="630" w:type="pct"/>
            <w:tcBorders>
              <w:top w:val="nil"/>
              <w:left w:val="nil"/>
              <w:bottom w:val="nil"/>
              <w:right w:val="nil"/>
            </w:tcBorders>
            <w:noWrap/>
            <w:vAlign w:val="bottom"/>
          </w:tcPr>
          <w:p w:rsidR="0079646D" w:rsidRPr="00686886" w:rsidRDefault="0079646D" w:rsidP="00F85F36">
            <w:pPr>
              <w:keepNext/>
              <w:keepLines/>
              <w:spacing w:after="0" w:line="240" w:lineRule="auto"/>
              <w:jc w:val="center"/>
              <w:outlineLvl w:val="0"/>
              <w:rPr>
                <w:rFonts w:cs="Calibri"/>
                <w:b/>
                <w:color w:val="000000"/>
                <w:sz w:val="18"/>
              </w:rPr>
            </w:pPr>
            <w:r w:rsidRPr="00AD6BDD">
              <w:rPr>
                <w:rFonts w:cs="Calibri"/>
                <w:b/>
                <w:color w:val="000000"/>
                <w:sz w:val="18"/>
              </w:rPr>
              <w:t>$44,010,000</w:t>
            </w:r>
          </w:p>
        </w:tc>
      </w:tr>
      <w:tr w:rsidR="0079646D" w:rsidRPr="000B185D">
        <w:trPr>
          <w:trHeight w:val="300"/>
        </w:trPr>
        <w:tc>
          <w:tcPr>
            <w:tcW w:w="5000" w:type="pct"/>
            <w:gridSpan w:val="8"/>
            <w:tcBorders>
              <w:top w:val="nil"/>
              <w:left w:val="nil"/>
              <w:bottom w:val="nil"/>
              <w:right w:val="nil"/>
            </w:tcBorders>
            <w:noWrap/>
            <w:vAlign w:val="bottom"/>
          </w:tcPr>
          <w:p w:rsidR="0079646D" w:rsidRDefault="0079646D" w:rsidP="00F85F36">
            <w:pPr>
              <w:keepNext/>
              <w:keepLines/>
              <w:spacing w:after="0" w:line="240" w:lineRule="auto"/>
              <w:outlineLvl w:val="0"/>
              <w:rPr>
                <w:rFonts w:cs="Calibri"/>
                <w:color w:val="000000"/>
                <w:sz w:val="18"/>
              </w:rPr>
            </w:pPr>
            <w:r w:rsidRPr="00A45BA6">
              <w:rPr>
                <w:rFonts w:cs="Calibri"/>
                <w:color w:val="000000"/>
                <w:sz w:val="18"/>
              </w:rPr>
              <w:t xml:space="preserve">1- Reduction in </w:t>
            </w:r>
            <w:r>
              <w:rPr>
                <w:rFonts w:cs="Calibri"/>
                <w:color w:val="000000"/>
                <w:sz w:val="18"/>
              </w:rPr>
              <w:t xml:space="preserve">Plan </w:t>
            </w:r>
            <w:r w:rsidRPr="00A45BA6">
              <w:rPr>
                <w:rFonts w:cs="Calibri"/>
                <w:color w:val="000000"/>
                <w:sz w:val="18"/>
              </w:rPr>
              <w:t xml:space="preserve">Updates is the decrease in updates per </w:t>
            </w:r>
            <w:r>
              <w:rPr>
                <w:rFonts w:cs="Calibri"/>
                <w:color w:val="000000"/>
                <w:sz w:val="18"/>
              </w:rPr>
              <w:t>S</w:t>
            </w:r>
            <w:r w:rsidRPr="00A45BA6">
              <w:rPr>
                <w:rFonts w:cs="Calibri"/>
                <w:color w:val="000000"/>
                <w:sz w:val="18"/>
              </w:rPr>
              <w:t xml:space="preserve">tate multiplied by the </w:t>
            </w:r>
            <w:r>
              <w:rPr>
                <w:rFonts w:cs="Calibri"/>
                <w:color w:val="000000"/>
                <w:sz w:val="18"/>
              </w:rPr>
              <w:t xml:space="preserve">total </w:t>
            </w:r>
            <w:r w:rsidRPr="00A45BA6">
              <w:rPr>
                <w:rFonts w:cs="Calibri"/>
                <w:color w:val="000000"/>
                <w:sz w:val="18"/>
              </w:rPr>
              <w:t xml:space="preserve">number of </w:t>
            </w:r>
            <w:r>
              <w:rPr>
                <w:rFonts w:cs="Calibri"/>
                <w:color w:val="000000"/>
                <w:sz w:val="18"/>
              </w:rPr>
              <w:t>Standard or Enhanced P</w:t>
            </w:r>
            <w:r w:rsidRPr="00A45BA6">
              <w:rPr>
                <w:rFonts w:cs="Calibri"/>
                <w:color w:val="000000"/>
                <w:sz w:val="18"/>
              </w:rPr>
              <w:t>lans</w:t>
            </w:r>
            <w:r>
              <w:rPr>
                <w:rFonts w:cs="Calibri"/>
                <w:color w:val="000000"/>
                <w:sz w:val="18"/>
              </w:rPr>
              <w:t>.</w:t>
            </w:r>
          </w:p>
          <w:p w:rsidR="0079646D" w:rsidRPr="00A45BA6" w:rsidRDefault="0079646D" w:rsidP="00F85F36">
            <w:pPr>
              <w:keepNext/>
              <w:keepLines/>
              <w:spacing w:after="0" w:line="240" w:lineRule="auto"/>
              <w:outlineLvl w:val="0"/>
              <w:rPr>
                <w:rFonts w:cs="Calibri"/>
                <w:color w:val="000000"/>
              </w:rPr>
            </w:pPr>
          </w:p>
        </w:tc>
      </w:tr>
    </w:tbl>
    <w:p w:rsidR="0079646D" w:rsidRDefault="0079646D" w:rsidP="003C10E5">
      <w:pPr>
        <w:spacing w:before="240"/>
        <w:rPr>
          <w:b/>
        </w:rPr>
      </w:pPr>
      <w:r>
        <w:rPr>
          <w:b/>
        </w:rPr>
        <w:t>Federal Cost and Cost Savings</w:t>
      </w:r>
    </w:p>
    <w:p w:rsidR="0079646D" w:rsidRDefault="0079646D" w:rsidP="00E62F05">
      <w:r>
        <w:t xml:space="preserve">The Federal Government, specifically FEMA, would also be impacted by the </w:t>
      </w:r>
      <w:r w:rsidR="008425E7">
        <w:t>proposed rule</w:t>
      </w:r>
      <w:r>
        <w:t xml:space="preserve">.  State Mitigation Plans can be large documents covering many different areas, types of hazards, and aspects of mitigation planning and implementation.  One cost associated with the reduction in plan updates is a diminished opportunity for FEMA to review mitigation plans that reflect the most current changes in State development, progress in mitigation efforts, and/or priorities.  On-the-other-hand, FEMA would receive a level of cost savings due to the decreased number of plans it would review.  </w:t>
      </w:r>
    </w:p>
    <w:p w:rsidR="0079646D" w:rsidRDefault="0079646D" w:rsidP="00E62F05">
      <w:r>
        <w:t>FEMA’s review of State Mitigation Plans can be a lengthy process which includes a 16 page Standard State Hazard Mitigation Plan Review Crosswalk, plus an additional 6 page crosswalk for Enhanced Plans.</w:t>
      </w:r>
      <w:r>
        <w:rPr>
          <w:rStyle w:val="FootnoteReference"/>
        </w:rPr>
        <w:footnoteReference w:id="23"/>
      </w:r>
      <w:r>
        <w:t xml:space="preserve">  The reduction in the number of plans FEMA reviews corresponds with the reduction in the number of State Mitigation Plan updates submitted to FEMA.  To estimate the accompanying cost savings, FEMA calculates a low, primary, and high Federal Review Unit Cost, which is then multiplied by the reduction in plan updates.  </w:t>
      </w:r>
    </w:p>
    <w:p w:rsidR="0079646D" w:rsidRDefault="0079646D" w:rsidP="00E62F05">
      <w:r>
        <w:t xml:space="preserve">FEMA subject matter experts, who work </w:t>
      </w:r>
      <w:r w:rsidRPr="006B5B5E">
        <w:t>with mitigation plans</w:t>
      </w:r>
      <w:r>
        <w:t>,</w:t>
      </w:r>
      <w:r w:rsidRPr="006B5B5E">
        <w:t xml:space="preserve"> estimate that it would take</w:t>
      </w:r>
      <w:r>
        <w:t>,</w:t>
      </w:r>
      <w:r w:rsidRPr="006B5B5E">
        <w:t xml:space="preserve"> </w:t>
      </w:r>
      <w:r>
        <w:t xml:space="preserve">on average, between </w:t>
      </w:r>
      <w:r w:rsidRPr="006B5B5E">
        <w:t>80</w:t>
      </w:r>
      <w:r>
        <w:t xml:space="preserve"> to </w:t>
      </w:r>
      <w:r w:rsidR="00AF71FD">
        <w:t>200</w:t>
      </w:r>
      <w:r w:rsidRPr="006B5B5E">
        <w:t xml:space="preserve"> hours</w:t>
      </w:r>
      <w:r>
        <w:t>, with a primary estimate of 120 hours,</w:t>
      </w:r>
      <w:r w:rsidRPr="006B5B5E">
        <w:t xml:space="preserve"> for a federal reviewer</w:t>
      </w:r>
      <w:r>
        <w:rPr>
          <w:rStyle w:val="FootnoteReference"/>
        </w:rPr>
        <w:footnoteReference w:id="24"/>
      </w:r>
      <w:r w:rsidRPr="006B5B5E">
        <w:t xml:space="preserve"> to review </w:t>
      </w:r>
      <w:r w:rsidR="00AF71FD">
        <w:t xml:space="preserve">either a Standard Plan or Enhanced Plan </w:t>
      </w:r>
      <w:r w:rsidRPr="006B5B5E">
        <w:t xml:space="preserve">update.  To estimate the </w:t>
      </w:r>
      <w:r>
        <w:t xml:space="preserve">low, primary, and high </w:t>
      </w:r>
      <w:r w:rsidRPr="006B5B5E">
        <w:t>Federal Review Unit Cost, FEMA multiplies the hours per federal plan review by a federal reviewer fully loaded wage rate</w:t>
      </w:r>
      <w:r w:rsidRPr="006B5B5E">
        <w:rPr>
          <w:rStyle w:val="FootnoteReference"/>
        </w:rPr>
        <w:footnoteReference w:id="25"/>
      </w:r>
      <w:r w:rsidRPr="006B5B5E">
        <w:t xml:space="preserve"> of </w:t>
      </w:r>
      <w:r w:rsidRPr="006B5B5E">
        <w:lastRenderedPageBreak/>
        <w:t>$</w:t>
      </w:r>
      <w:r>
        <w:t>48.08</w:t>
      </w:r>
      <w:r w:rsidRPr="006B5B5E">
        <w:t xml:space="preserve"> per hour.  The resulting Federal Review Unit Cost </w:t>
      </w:r>
      <w:r>
        <w:t>ranges from $3,846 to $9,616 with a primary estimate of $5,770</w:t>
      </w:r>
      <w:r w:rsidRPr="006B5B5E">
        <w:t xml:space="preserve"> per update</w:t>
      </w:r>
      <w:r>
        <w:t xml:space="preserve">, as seen in </w:t>
      </w:r>
      <w:r w:rsidR="006E36A7">
        <w:fldChar w:fldCharType="begin"/>
      </w:r>
      <w:r>
        <w:instrText xml:space="preserve"> REF _Ref328900715 \h </w:instrText>
      </w:r>
      <w:r w:rsidR="006E36A7">
        <w:fldChar w:fldCharType="separate"/>
      </w:r>
      <w:r w:rsidR="003C6FB6">
        <w:t xml:space="preserve">Table </w:t>
      </w:r>
      <w:r w:rsidR="003C6FB6">
        <w:rPr>
          <w:noProof/>
        </w:rPr>
        <w:t>4</w:t>
      </w:r>
      <w:r w:rsidR="006E36A7">
        <w:fldChar w:fldCharType="end"/>
      </w:r>
      <w:r w:rsidRPr="006B5B5E">
        <w:t>.</w:t>
      </w:r>
      <w:r>
        <w:rPr>
          <w:rStyle w:val="FootnoteReference"/>
        </w:rPr>
        <w:footnoteReference w:id="26"/>
      </w:r>
      <w:r w:rsidRPr="006B5B5E">
        <w:t xml:space="preserve">  </w:t>
      </w:r>
    </w:p>
    <w:p w:rsidR="0079646D" w:rsidRDefault="0079646D" w:rsidP="002D6D8D">
      <w:pPr>
        <w:pStyle w:val="Caption"/>
        <w:spacing w:after="0"/>
      </w:pPr>
      <w:bookmarkStart w:id="4" w:name="_Ref328900715"/>
      <w:r>
        <w:t xml:space="preserve">Table </w:t>
      </w:r>
      <w:r w:rsidR="006E36A7">
        <w:fldChar w:fldCharType="begin"/>
      </w:r>
      <w:r w:rsidR="009B6DC1">
        <w:instrText xml:space="preserve"> SEQ Table \* ARABIC </w:instrText>
      </w:r>
      <w:r w:rsidR="006E36A7">
        <w:fldChar w:fldCharType="separate"/>
      </w:r>
      <w:r w:rsidR="003C6FB6">
        <w:rPr>
          <w:noProof/>
        </w:rPr>
        <w:t>4</w:t>
      </w:r>
      <w:r w:rsidR="006E36A7">
        <w:rPr>
          <w:noProof/>
        </w:rPr>
        <w:fldChar w:fldCharType="end"/>
      </w:r>
      <w:bookmarkEnd w:id="4"/>
      <w:r>
        <w:t>:  Federal Review Unit Costs</w:t>
      </w:r>
    </w:p>
    <w:tbl>
      <w:tblPr>
        <w:tblW w:w="5000" w:type="pct"/>
        <w:tblLook w:val="00A0" w:firstRow="1" w:lastRow="0" w:firstColumn="1" w:lastColumn="0" w:noHBand="0" w:noVBand="0"/>
      </w:tblPr>
      <w:tblGrid>
        <w:gridCol w:w="1011"/>
        <w:gridCol w:w="1569"/>
        <w:gridCol w:w="1082"/>
        <w:gridCol w:w="2817"/>
        <w:gridCol w:w="1000"/>
        <w:gridCol w:w="1099"/>
        <w:gridCol w:w="998"/>
      </w:tblGrid>
      <w:tr w:rsidR="0079646D" w:rsidRPr="000B185D">
        <w:trPr>
          <w:trHeight w:val="465"/>
        </w:trPr>
        <w:tc>
          <w:tcPr>
            <w:tcW w:w="1912" w:type="pct"/>
            <w:gridSpan w:val="3"/>
            <w:tcBorders>
              <w:top w:val="single" w:sz="4" w:space="0" w:color="auto"/>
              <w:left w:val="single" w:sz="4" w:space="0" w:color="auto"/>
              <w:bottom w:val="single" w:sz="4" w:space="0" w:color="auto"/>
              <w:right w:val="single" w:sz="4" w:space="0" w:color="auto"/>
            </w:tcBorders>
            <w:vAlign w:val="bottom"/>
          </w:tcPr>
          <w:p w:rsidR="0079646D" w:rsidRPr="00466B4D" w:rsidRDefault="0079646D" w:rsidP="00466B4D">
            <w:pPr>
              <w:spacing w:after="0" w:line="240" w:lineRule="auto"/>
              <w:jc w:val="center"/>
              <w:outlineLvl w:val="0"/>
              <w:rPr>
                <w:rFonts w:cs="Calibri"/>
                <w:b/>
                <w:bCs/>
                <w:color w:val="000000"/>
                <w:sz w:val="20"/>
              </w:rPr>
            </w:pPr>
            <w:r w:rsidRPr="00466B4D">
              <w:rPr>
                <w:rFonts w:cs="Calibri"/>
                <w:b/>
                <w:bCs/>
                <w:color w:val="000000"/>
                <w:sz w:val="20"/>
              </w:rPr>
              <w:t>Federal Review of Plans (hours)</w:t>
            </w:r>
          </w:p>
        </w:tc>
        <w:tc>
          <w:tcPr>
            <w:tcW w:w="1471" w:type="pct"/>
            <w:vMerge w:val="restart"/>
            <w:tcBorders>
              <w:top w:val="single" w:sz="4" w:space="0" w:color="auto"/>
              <w:left w:val="single" w:sz="4" w:space="0" w:color="auto"/>
              <w:bottom w:val="single" w:sz="4" w:space="0" w:color="auto"/>
              <w:right w:val="single" w:sz="4" w:space="0" w:color="auto"/>
            </w:tcBorders>
            <w:vAlign w:val="bottom"/>
          </w:tcPr>
          <w:p w:rsidR="0079646D" w:rsidRPr="00466B4D" w:rsidRDefault="0079646D" w:rsidP="00466B4D">
            <w:pPr>
              <w:spacing w:after="0" w:line="240" w:lineRule="auto"/>
              <w:jc w:val="center"/>
              <w:outlineLvl w:val="0"/>
              <w:rPr>
                <w:rFonts w:cs="Calibri"/>
                <w:b/>
                <w:bCs/>
                <w:color w:val="000000"/>
                <w:sz w:val="20"/>
              </w:rPr>
            </w:pPr>
            <w:r w:rsidRPr="00466B4D">
              <w:rPr>
                <w:rFonts w:cs="Calibri"/>
                <w:b/>
                <w:bCs/>
                <w:color w:val="000000"/>
                <w:sz w:val="20"/>
              </w:rPr>
              <w:t>Federal Reviewer Wage</w:t>
            </w:r>
          </w:p>
        </w:tc>
        <w:tc>
          <w:tcPr>
            <w:tcW w:w="1617" w:type="pct"/>
            <w:gridSpan w:val="3"/>
            <w:tcBorders>
              <w:top w:val="single" w:sz="4" w:space="0" w:color="auto"/>
              <w:left w:val="nil"/>
              <w:bottom w:val="single" w:sz="4" w:space="0" w:color="auto"/>
              <w:right w:val="single" w:sz="4" w:space="0" w:color="auto"/>
            </w:tcBorders>
            <w:vAlign w:val="bottom"/>
          </w:tcPr>
          <w:p w:rsidR="0079646D" w:rsidRPr="00466B4D" w:rsidRDefault="0079646D" w:rsidP="00466B4D">
            <w:pPr>
              <w:spacing w:after="0" w:line="240" w:lineRule="auto"/>
              <w:jc w:val="center"/>
              <w:outlineLvl w:val="0"/>
              <w:rPr>
                <w:rFonts w:cs="Calibri"/>
                <w:b/>
                <w:bCs/>
                <w:color w:val="000000"/>
                <w:sz w:val="20"/>
              </w:rPr>
            </w:pPr>
            <w:r w:rsidRPr="00466B4D">
              <w:rPr>
                <w:rFonts w:cs="Calibri"/>
                <w:b/>
                <w:bCs/>
                <w:color w:val="000000"/>
                <w:sz w:val="20"/>
              </w:rPr>
              <w:t>Federal Review Unit Cost</w:t>
            </w:r>
          </w:p>
        </w:tc>
      </w:tr>
      <w:tr w:rsidR="0079646D" w:rsidRPr="000B185D">
        <w:trPr>
          <w:trHeight w:val="300"/>
        </w:trPr>
        <w:tc>
          <w:tcPr>
            <w:tcW w:w="528" w:type="pct"/>
            <w:tcBorders>
              <w:top w:val="nil"/>
              <w:left w:val="single" w:sz="4" w:space="0" w:color="auto"/>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Low</w:t>
            </w:r>
          </w:p>
        </w:tc>
        <w:tc>
          <w:tcPr>
            <w:tcW w:w="819" w:type="pct"/>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Primary</w:t>
            </w:r>
          </w:p>
        </w:tc>
        <w:tc>
          <w:tcPr>
            <w:tcW w:w="564" w:type="pct"/>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High</w:t>
            </w:r>
          </w:p>
        </w:tc>
        <w:tc>
          <w:tcPr>
            <w:tcW w:w="1471" w:type="pct"/>
            <w:vMerge/>
            <w:tcBorders>
              <w:top w:val="single" w:sz="4" w:space="0" w:color="auto"/>
              <w:left w:val="single" w:sz="4" w:space="0" w:color="auto"/>
              <w:bottom w:val="single" w:sz="4" w:space="0" w:color="auto"/>
              <w:right w:val="single" w:sz="4" w:space="0" w:color="auto"/>
            </w:tcBorders>
            <w:vAlign w:val="center"/>
          </w:tcPr>
          <w:p w:rsidR="0079646D" w:rsidRPr="00466B4D" w:rsidRDefault="0079646D" w:rsidP="00466B4D">
            <w:pPr>
              <w:spacing w:after="0" w:line="240" w:lineRule="auto"/>
              <w:rPr>
                <w:rFonts w:cs="Calibri"/>
                <w:b/>
                <w:bCs/>
                <w:color w:val="000000"/>
                <w:sz w:val="20"/>
              </w:rPr>
            </w:pPr>
          </w:p>
        </w:tc>
        <w:tc>
          <w:tcPr>
            <w:tcW w:w="522" w:type="pct"/>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Low</w:t>
            </w:r>
          </w:p>
        </w:tc>
        <w:tc>
          <w:tcPr>
            <w:tcW w:w="574" w:type="pct"/>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Primary</w:t>
            </w:r>
          </w:p>
        </w:tc>
        <w:tc>
          <w:tcPr>
            <w:tcW w:w="522" w:type="pct"/>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High</w:t>
            </w:r>
          </w:p>
        </w:tc>
      </w:tr>
      <w:tr w:rsidR="0079646D" w:rsidRPr="000B185D">
        <w:trPr>
          <w:trHeight w:val="300"/>
        </w:trPr>
        <w:tc>
          <w:tcPr>
            <w:tcW w:w="528" w:type="pct"/>
            <w:tcBorders>
              <w:top w:val="nil"/>
              <w:left w:val="single" w:sz="4" w:space="0" w:color="auto"/>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sz w:val="20"/>
              </w:rPr>
            </w:pPr>
            <w:r w:rsidRPr="00466B4D">
              <w:rPr>
                <w:rFonts w:cs="Calibri"/>
                <w:sz w:val="20"/>
              </w:rPr>
              <w:t>80</w:t>
            </w:r>
          </w:p>
        </w:tc>
        <w:tc>
          <w:tcPr>
            <w:tcW w:w="819" w:type="pct"/>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sz w:val="20"/>
              </w:rPr>
            </w:pPr>
            <w:r w:rsidRPr="00466B4D">
              <w:rPr>
                <w:rFonts w:cs="Calibri"/>
                <w:sz w:val="20"/>
              </w:rPr>
              <w:t>120</w:t>
            </w:r>
          </w:p>
        </w:tc>
        <w:tc>
          <w:tcPr>
            <w:tcW w:w="564" w:type="pct"/>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sz w:val="20"/>
              </w:rPr>
            </w:pPr>
            <w:r w:rsidRPr="00466B4D">
              <w:rPr>
                <w:rFonts w:cs="Calibri"/>
                <w:sz w:val="20"/>
              </w:rPr>
              <w:t>200</w:t>
            </w:r>
          </w:p>
        </w:tc>
        <w:tc>
          <w:tcPr>
            <w:tcW w:w="1471" w:type="pct"/>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$48.08</w:t>
            </w:r>
          </w:p>
        </w:tc>
        <w:tc>
          <w:tcPr>
            <w:tcW w:w="522" w:type="pct"/>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$3,846</w:t>
            </w:r>
          </w:p>
        </w:tc>
        <w:tc>
          <w:tcPr>
            <w:tcW w:w="574" w:type="pct"/>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$5,770</w:t>
            </w:r>
          </w:p>
        </w:tc>
        <w:tc>
          <w:tcPr>
            <w:tcW w:w="522" w:type="pct"/>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$9,616</w:t>
            </w:r>
          </w:p>
        </w:tc>
      </w:tr>
    </w:tbl>
    <w:p w:rsidR="0079646D" w:rsidRDefault="0079646D" w:rsidP="00E62F05"/>
    <w:p w:rsidR="0079646D" w:rsidRDefault="0079646D" w:rsidP="00E62F05">
      <w:r w:rsidRPr="006B5B5E">
        <w:t>To calculate the amount of Federal Cost savings over 15</w:t>
      </w:r>
      <w:r>
        <w:t xml:space="preserve"> years, as shown in </w:t>
      </w:r>
      <w:r w:rsidR="006E36A7">
        <w:fldChar w:fldCharType="begin"/>
      </w:r>
      <w:r>
        <w:instrText xml:space="preserve"> REF _Ref322072670 \h </w:instrText>
      </w:r>
      <w:r w:rsidR="006E36A7">
        <w:fldChar w:fldCharType="separate"/>
      </w:r>
      <w:r w:rsidR="003C6FB6">
        <w:t xml:space="preserve">Table </w:t>
      </w:r>
      <w:r w:rsidR="003C6FB6">
        <w:rPr>
          <w:noProof/>
        </w:rPr>
        <w:t>5</w:t>
      </w:r>
      <w:r w:rsidR="006E36A7">
        <w:fldChar w:fldCharType="end"/>
      </w:r>
      <w:r>
        <w:t>, FEMA multiplies the Reduction in Plan Updates (112) by the low, primary, and high Federal Review Unit Cost.  The resulting cost savings ranges from approximately $431,000 to $1,077,000 with a primary estimate of approximately $646,000.</w:t>
      </w:r>
      <w:r>
        <w:rPr>
          <w:rStyle w:val="FootnoteReference"/>
        </w:rPr>
        <w:footnoteReference w:id="27"/>
      </w:r>
      <w:r>
        <w:t xml:space="preserve">    </w:t>
      </w:r>
    </w:p>
    <w:p w:rsidR="0079646D" w:rsidRDefault="0079646D" w:rsidP="00A003C2">
      <w:pPr>
        <w:pStyle w:val="Caption"/>
        <w:spacing w:after="0"/>
      </w:pPr>
      <w:bookmarkStart w:id="5" w:name="_Ref322072670"/>
      <w:r>
        <w:t xml:space="preserve">Table </w:t>
      </w:r>
      <w:r w:rsidR="006E36A7">
        <w:fldChar w:fldCharType="begin"/>
      </w:r>
      <w:r w:rsidR="009B6DC1">
        <w:instrText xml:space="preserve"> SEQ Table \* ARABIC </w:instrText>
      </w:r>
      <w:r w:rsidR="006E36A7">
        <w:fldChar w:fldCharType="separate"/>
      </w:r>
      <w:r w:rsidR="003C6FB6">
        <w:rPr>
          <w:noProof/>
        </w:rPr>
        <w:t>5</w:t>
      </w:r>
      <w:r w:rsidR="006E36A7">
        <w:rPr>
          <w:noProof/>
        </w:rPr>
        <w:fldChar w:fldCharType="end"/>
      </w:r>
      <w:bookmarkEnd w:id="5"/>
      <w:r>
        <w:t>:  Federal Cost Savings Over 15 Years</w:t>
      </w:r>
    </w:p>
    <w:tbl>
      <w:tblPr>
        <w:tblW w:w="4939" w:type="pct"/>
        <w:tblInd w:w="103" w:type="dxa"/>
        <w:tblLook w:val="00A0" w:firstRow="1" w:lastRow="0" w:firstColumn="1" w:lastColumn="0" w:noHBand="0" w:noVBand="0"/>
      </w:tblPr>
      <w:tblGrid>
        <w:gridCol w:w="1410"/>
        <w:gridCol w:w="1252"/>
        <w:gridCol w:w="1425"/>
        <w:gridCol w:w="1253"/>
        <w:gridCol w:w="1289"/>
        <w:gridCol w:w="1289"/>
        <w:gridCol w:w="1542"/>
      </w:tblGrid>
      <w:tr w:rsidR="0079646D" w:rsidRPr="000B185D">
        <w:trPr>
          <w:trHeight w:val="425"/>
        </w:trPr>
        <w:tc>
          <w:tcPr>
            <w:tcW w:w="1410" w:type="dxa"/>
            <w:vMerge w:val="restart"/>
            <w:tcBorders>
              <w:top w:val="single" w:sz="4" w:space="0" w:color="auto"/>
              <w:left w:val="single" w:sz="4" w:space="0" w:color="auto"/>
              <w:bottom w:val="single" w:sz="4" w:space="0" w:color="000000"/>
              <w:right w:val="single" w:sz="4" w:space="0" w:color="auto"/>
            </w:tcBorders>
            <w:vAlign w:val="bottom"/>
          </w:tcPr>
          <w:p w:rsidR="0079646D" w:rsidRPr="00466B4D" w:rsidRDefault="0079646D" w:rsidP="00466B4D">
            <w:pPr>
              <w:spacing w:after="0" w:line="240" w:lineRule="auto"/>
              <w:outlineLvl w:val="0"/>
              <w:rPr>
                <w:rFonts w:cs="Calibri"/>
                <w:b/>
                <w:bCs/>
                <w:color w:val="000000"/>
                <w:sz w:val="20"/>
              </w:rPr>
            </w:pPr>
            <w:r w:rsidRPr="00466B4D">
              <w:rPr>
                <w:rFonts w:cs="Calibri"/>
                <w:b/>
                <w:bCs/>
                <w:color w:val="000000"/>
                <w:sz w:val="20"/>
              </w:rPr>
              <w:t>Reduction in Plan Updates</w:t>
            </w:r>
            <w:r w:rsidRPr="00466B4D">
              <w:rPr>
                <w:rFonts w:cs="Calibri"/>
                <w:b/>
                <w:bCs/>
                <w:color w:val="000000"/>
                <w:sz w:val="20"/>
                <w:vertAlign w:val="superscript"/>
              </w:rPr>
              <w:t>1</w:t>
            </w:r>
          </w:p>
        </w:tc>
        <w:tc>
          <w:tcPr>
            <w:tcW w:w="3930" w:type="dxa"/>
            <w:gridSpan w:val="3"/>
            <w:tcBorders>
              <w:top w:val="single" w:sz="4" w:space="0" w:color="auto"/>
              <w:left w:val="nil"/>
              <w:bottom w:val="single" w:sz="4" w:space="0" w:color="auto"/>
              <w:right w:val="single" w:sz="4" w:space="0" w:color="auto"/>
            </w:tcBorders>
            <w:vAlign w:val="bottom"/>
          </w:tcPr>
          <w:p w:rsidR="0079646D" w:rsidRPr="00466B4D" w:rsidRDefault="0079646D" w:rsidP="00466B4D">
            <w:pPr>
              <w:spacing w:after="0" w:line="240" w:lineRule="auto"/>
              <w:jc w:val="center"/>
              <w:outlineLvl w:val="0"/>
              <w:rPr>
                <w:rFonts w:cs="Calibri"/>
                <w:b/>
                <w:bCs/>
                <w:color w:val="000000"/>
                <w:sz w:val="20"/>
              </w:rPr>
            </w:pPr>
            <w:r w:rsidRPr="00466B4D">
              <w:rPr>
                <w:rFonts w:cs="Calibri"/>
                <w:b/>
                <w:bCs/>
                <w:color w:val="000000"/>
                <w:sz w:val="20"/>
              </w:rPr>
              <w:t>Federal Review Unit Cost</w:t>
            </w:r>
          </w:p>
        </w:tc>
        <w:tc>
          <w:tcPr>
            <w:tcW w:w="4120" w:type="dxa"/>
            <w:gridSpan w:val="3"/>
            <w:tcBorders>
              <w:top w:val="single" w:sz="4" w:space="0" w:color="auto"/>
              <w:left w:val="nil"/>
              <w:bottom w:val="single" w:sz="4" w:space="0" w:color="auto"/>
              <w:right w:val="single" w:sz="4" w:space="0" w:color="auto"/>
            </w:tcBorders>
            <w:vAlign w:val="bottom"/>
          </w:tcPr>
          <w:p w:rsidR="0079646D" w:rsidRPr="00466B4D" w:rsidRDefault="0079646D" w:rsidP="00466B4D">
            <w:pPr>
              <w:spacing w:after="0" w:line="240" w:lineRule="auto"/>
              <w:jc w:val="center"/>
              <w:outlineLvl w:val="0"/>
              <w:rPr>
                <w:rFonts w:cs="Calibri"/>
                <w:b/>
                <w:bCs/>
                <w:sz w:val="20"/>
              </w:rPr>
            </w:pPr>
            <w:r w:rsidRPr="00466B4D">
              <w:rPr>
                <w:rFonts w:cs="Calibri"/>
                <w:b/>
                <w:bCs/>
                <w:sz w:val="20"/>
              </w:rPr>
              <w:t>Federal Cost Savings</w:t>
            </w:r>
          </w:p>
        </w:tc>
      </w:tr>
      <w:tr w:rsidR="0079646D" w:rsidRPr="000B185D">
        <w:trPr>
          <w:trHeight w:val="425"/>
        </w:trPr>
        <w:tc>
          <w:tcPr>
            <w:tcW w:w="1410" w:type="dxa"/>
            <w:vMerge/>
            <w:tcBorders>
              <w:top w:val="single" w:sz="4" w:space="0" w:color="auto"/>
              <w:left w:val="single" w:sz="4" w:space="0" w:color="auto"/>
              <w:bottom w:val="single" w:sz="4" w:space="0" w:color="000000"/>
              <w:right w:val="single" w:sz="4" w:space="0" w:color="auto"/>
            </w:tcBorders>
            <w:vAlign w:val="center"/>
          </w:tcPr>
          <w:p w:rsidR="0079646D" w:rsidRPr="00466B4D" w:rsidRDefault="0079646D" w:rsidP="00466B4D">
            <w:pPr>
              <w:spacing w:after="0" w:line="240" w:lineRule="auto"/>
              <w:rPr>
                <w:rFonts w:cs="Calibri"/>
                <w:b/>
                <w:bCs/>
                <w:color w:val="000000"/>
                <w:sz w:val="20"/>
              </w:rPr>
            </w:pPr>
          </w:p>
        </w:tc>
        <w:tc>
          <w:tcPr>
            <w:tcW w:w="1252" w:type="dxa"/>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Low</w:t>
            </w:r>
          </w:p>
        </w:tc>
        <w:tc>
          <w:tcPr>
            <w:tcW w:w="1425" w:type="dxa"/>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Primary</w:t>
            </w:r>
          </w:p>
        </w:tc>
        <w:tc>
          <w:tcPr>
            <w:tcW w:w="1253" w:type="dxa"/>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High</w:t>
            </w:r>
          </w:p>
        </w:tc>
        <w:tc>
          <w:tcPr>
            <w:tcW w:w="1289" w:type="dxa"/>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Low</w:t>
            </w:r>
          </w:p>
        </w:tc>
        <w:tc>
          <w:tcPr>
            <w:tcW w:w="1289" w:type="dxa"/>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Primary</w:t>
            </w:r>
          </w:p>
        </w:tc>
        <w:tc>
          <w:tcPr>
            <w:tcW w:w="1542" w:type="dxa"/>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High</w:t>
            </w:r>
          </w:p>
        </w:tc>
      </w:tr>
      <w:tr w:rsidR="0079646D" w:rsidRPr="000B185D">
        <w:trPr>
          <w:trHeight w:val="425"/>
        </w:trPr>
        <w:tc>
          <w:tcPr>
            <w:tcW w:w="1410" w:type="dxa"/>
            <w:tcBorders>
              <w:top w:val="nil"/>
              <w:left w:val="single" w:sz="4" w:space="0" w:color="auto"/>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112</w:t>
            </w:r>
          </w:p>
        </w:tc>
        <w:tc>
          <w:tcPr>
            <w:tcW w:w="1252" w:type="dxa"/>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$3,846</w:t>
            </w:r>
          </w:p>
        </w:tc>
        <w:tc>
          <w:tcPr>
            <w:tcW w:w="1425" w:type="dxa"/>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$5,770</w:t>
            </w:r>
          </w:p>
        </w:tc>
        <w:tc>
          <w:tcPr>
            <w:tcW w:w="1253" w:type="dxa"/>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$9,616</w:t>
            </w:r>
          </w:p>
        </w:tc>
        <w:tc>
          <w:tcPr>
            <w:tcW w:w="1289" w:type="dxa"/>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$430,752</w:t>
            </w:r>
          </w:p>
        </w:tc>
        <w:tc>
          <w:tcPr>
            <w:tcW w:w="1289" w:type="dxa"/>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$646,240</w:t>
            </w:r>
          </w:p>
        </w:tc>
        <w:tc>
          <w:tcPr>
            <w:tcW w:w="1542" w:type="dxa"/>
            <w:tcBorders>
              <w:top w:val="nil"/>
              <w:left w:val="nil"/>
              <w:bottom w:val="single" w:sz="4" w:space="0" w:color="auto"/>
              <w:right w:val="single" w:sz="4" w:space="0" w:color="auto"/>
            </w:tcBorders>
            <w:noWrap/>
            <w:vAlign w:val="bottom"/>
          </w:tcPr>
          <w:p w:rsidR="0079646D" w:rsidRPr="00466B4D" w:rsidRDefault="0079646D" w:rsidP="00466B4D">
            <w:pPr>
              <w:spacing w:after="0" w:line="240" w:lineRule="auto"/>
              <w:jc w:val="center"/>
              <w:outlineLvl w:val="0"/>
              <w:rPr>
                <w:rFonts w:cs="Calibri"/>
                <w:color w:val="000000"/>
                <w:sz w:val="20"/>
              </w:rPr>
            </w:pPr>
            <w:r w:rsidRPr="00466B4D">
              <w:rPr>
                <w:rFonts w:cs="Calibri"/>
                <w:color w:val="000000"/>
                <w:sz w:val="20"/>
              </w:rPr>
              <w:t>$1,076,992</w:t>
            </w:r>
          </w:p>
        </w:tc>
      </w:tr>
      <w:tr w:rsidR="0079646D" w:rsidRPr="000B185D">
        <w:trPr>
          <w:trHeight w:val="368"/>
        </w:trPr>
        <w:tc>
          <w:tcPr>
            <w:tcW w:w="9460" w:type="dxa"/>
            <w:gridSpan w:val="7"/>
            <w:tcBorders>
              <w:top w:val="nil"/>
              <w:left w:val="nil"/>
              <w:bottom w:val="nil"/>
              <w:right w:val="nil"/>
            </w:tcBorders>
            <w:vAlign w:val="bottom"/>
          </w:tcPr>
          <w:p w:rsidR="0079646D" w:rsidRPr="00466B4D" w:rsidRDefault="0079646D" w:rsidP="00466B4D">
            <w:pPr>
              <w:spacing w:after="0" w:line="240" w:lineRule="auto"/>
              <w:outlineLvl w:val="0"/>
              <w:rPr>
                <w:rFonts w:cs="Calibri"/>
                <w:color w:val="000000"/>
                <w:sz w:val="18"/>
              </w:rPr>
            </w:pPr>
            <w:r w:rsidRPr="00466B4D">
              <w:rPr>
                <w:rFonts w:cs="Calibri"/>
                <w:color w:val="000000"/>
                <w:sz w:val="18"/>
              </w:rPr>
              <w:t xml:space="preserve">1- Reduction in Plan Updates is the decrease in updates per </w:t>
            </w:r>
            <w:r w:rsidR="00F014EF">
              <w:rPr>
                <w:rFonts w:cs="Calibri"/>
                <w:color w:val="000000"/>
                <w:sz w:val="18"/>
              </w:rPr>
              <w:t>S</w:t>
            </w:r>
            <w:r w:rsidRPr="00466B4D">
              <w:rPr>
                <w:rFonts w:cs="Calibri"/>
                <w:color w:val="000000"/>
                <w:sz w:val="18"/>
              </w:rPr>
              <w:t xml:space="preserve">tate multiplied by the total number of Standard or Enhanced </w:t>
            </w:r>
            <w:r>
              <w:rPr>
                <w:rFonts w:cs="Calibri"/>
                <w:color w:val="000000"/>
                <w:sz w:val="18"/>
              </w:rPr>
              <w:t>P</w:t>
            </w:r>
            <w:r w:rsidRPr="00466B4D">
              <w:rPr>
                <w:rFonts w:cs="Calibri"/>
                <w:color w:val="000000"/>
                <w:sz w:val="18"/>
              </w:rPr>
              <w:t>lans</w:t>
            </w:r>
            <w:r>
              <w:rPr>
                <w:rFonts w:cs="Calibri"/>
                <w:color w:val="000000"/>
                <w:sz w:val="18"/>
              </w:rPr>
              <w:t>.</w:t>
            </w:r>
          </w:p>
        </w:tc>
      </w:tr>
    </w:tbl>
    <w:p w:rsidR="0079646D" w:rsidRPr="004F24FE" w:rsidRDefault="0079646D" w:rsidP="00E62F05"/>
    <w:p w:rsidR="0079646D" w:rsidRDefault="0079646D" w:rsidP="003C10E5">
      <w:pPr>
        <w:spacing w:before="240"/>
        <w:rPr>
          <w:b/>
        </w:rPr>
      </w:pPr>
      <w:r>
        <w:rPr>
          <w:b/>
        </w:rPr>
        <w:t>Total Mitigation Plan Update Costs Savings</w:t>
      </w:r>
    </w:p>
    <w:p w:rsidR="0079646D" w:rsidRPr="00941DE2" w:rsidRDefault="0079646D" w:rsidP="00E62F05">
      <w:r>
        <w:t xml:space="preserve">The </w:t>
      </w:r>
      <w:r w:rsidR="008425E7">
        <w:t xml:space="preserve">proposed rule’s </w:t>
      </w:r>
      <w:r>
        <w:t xml:space="preserve">predominate impact is a decrease in existing burden or cost savings.  </w:t>
      </w:r>
      <w:r w:rsidRPr="00941DE2">
        <w:t>Bas</w:t>
      </w:r>
      <w:r>
        <w:t xml:space="preserve">ed on the </w:t>
      </w:r>
      <w:r w:rsidRPr="006B5B5E">
        <w:t xml:space="preserve">preceding calculations, the </w:t>
      </w:r>
      <w:r w:rsidR="008425E7">
        <w:t xml:space="preserve">proposed rule’s </w:t>
      </w:r>
      <w:r w:rsidRPr="006B5B5E">
        <w:t>total cost savings, over 15 years, is approximately $</w:t>
      </w:r>
      <w:r>
        <w:t>30,000,000</w:t>
      </w:r>
      <w:r w:rsidRPr="006B5B5E">
        <w:t>, as</w:t>
      </w:r>
      <w:r>
        <w:t xml:space="preserve"> shown in </w:t>
      </w:r>
      <w:r w:rsidR="006E36A7">
        <w:fldChar w:fldCharType="begin"/>
      </w:r>
      <w:r>
        <w:instrText xml:space="preserve"> REF _Ref322072635 \h </w:instrText>
      </w:r>
      <w:r w:rsidR="006E36A7">
        <w:fldChar w:fldCharType="separate"/>
      </w:r>
      <w:r w:rsidR="003C6FB6">
        <w:t xml:space="preserve">Table </w:t>
      </w:r>
      <w:r w:rsidR="003C6FB6">
        <w:rPr>
          <w:noProof/>
        </w:rPr>
        <w:t>6</w:t>
      </w:r>
      <w:r w:rsidR="006E36A7">
        <w:fldChar w:fldCharType="end"/>
      </w:r>
      <w:r>
        <w:t>.</w:t>
      </w:r>
      <w:r w:rsidRPr="009079B5">
        <w:rPr>
          <w:rStyle w:val="FootnoteReference"/>
        </w:rPr>
        <w:t xml:space="preserve"> </w:t>
      </w:r>
      <w:r w:rsidRPr="006B5B5E">
        <w:rPr>
          <w:rStyle w:val="FootnoteReference"/>
        </w:rPr>
        <w:footnoteReference w:id="28"/>
      </w:r>
      <w:r>
        <w:t xml:space="preserve">    </w:t>
      </w:r>
    </w:p>
    <w:p w:rsidR="0079646D" w:rsidRDefault="0079646D" w:rsidP="00A003C2">
      <w:pPr>
        <w:pStyle w:val="Caption"/>
        <w:spacing w:after="0"/>
      </w:pPr>
      <w:bookmarkStart w:id="6" w:name="_Ref322072635"/>
      <w:r>
        <w:t xml:space="preserve">Table </w:t>
      </w:r>
      <w:r w:rsidR="006E36A7">
        <w:fldChar w:fldCharType="begin"/>
      </w:r>
      <w:r w:rsidR="009B6DC1">
        <w:instrText xml:space="preserve"> SEQ Table \* ARABIC </w:instrText>
      </w:r>
      <w:r w:rsidR="006E36A7">
        <w:fldChar w:fldCharType="separate"/>
      </w:r>
      <w:r w:rsidR="003C6FB6">
        <w:rPr>
          <w:noProof/>
        </w:rPr>
        <w:t>6</w:t>
      </w:r>
      <w:r w:rsidR="006E36A7">
        <w:rPr>
          <w:noProof/>
        </w:rPr>
        <w:fldChar w:fldCharType="end"/>
      </w:r>
      <w:bookmarkEnd w:id="6"/>
      <w:r>
        <w:t>:  Total Cost Savings Over 15 Years</w:t>
      </w:r>
    </w:p>
    <w:tbl>
      <w:tblPr>
        <w:tblW w:w="9966" w:type="dxa"/>
        <w:tblInd w:w="103" w:type="dxa"/>
        <w:tblLook w:val="00A0" w:firstRow="1" w:lastRow="0" w:firstColumn="1" w:lastColumn="0" w:noHBand="0" w:noVBand="0"/>
      </w:tblPr>
      <w:tblGrid>
        <w:gridCol w:w="1178"/>
        <w:gridCol w:w="1178"/>
        <w:gridCol w:w="1178"/>
        <w:gridCol w:w="938"/>
        <w:gridCol w:w="938"/>
        <w:gridCol w:w="1082"/>
        <w:gridCol w:w="1178"/>
        <w:gridCol w:w="1181"/>
        <w:gridCol w:w="1178"/>
      </w:tblGrid>
      <w:tr w:rsidR="0079646D" w:rsidRPr="000B185D">
        <w:trPr>
          <w:trHeight w:val="348"/>
        </w:trPr>
        <w:tc>
          <w:tcPr>
            <w:tcW w:w="0" w:type="auto"/>
            <w:gridSpan w:val="3"/>
            <w:tcBorders>
              <w:top w:val="single" w:sz="4" w:space="0" w:color="auto"/>
              <w:left w:val="single" w:sz="4" w:space="0" w:color="auto"/>
              <w:bottom w:val="single" w:sz="4" w:space="0" w:color="auto"/>
              <w:right w:val="nil"/>
            </w:tcBorders>
            <w:vAlign w:val="bottom"/>
          </w:tcPr>
          <w:p w:rsidR="0079646D" w:rsidRPr="000135DE" w:rsidRDefault="0079646D" w:rsidP="000135DE">
            <w:pPr>
              <w:spacing w:after="0" w:line="240" w:lineRule="auto"/>
              <w:jc w:val="center"/>
              <w:outlineLvl w:val="0"/>
              <w:rPr>
                <w:rFonts w:cs="Calibri"/>
                <w:b/>
                <w:bCs/>
                <w:color w:val="000000"/>
                <w:sz w:val="20"/>
              </w:rPr>
            </w:pPr>
            <w:r w:rsidRPr="000135DE">
              <w:rPr>
                <w:rFonts w:cs="Calibri"/>
                <w:b/>
                <w:bCs/>
                <w:color w:val="000000"/>
                <w:sz w:val="20"/>
              </w:rPr>
              <w:t>State Cost Savings</w:t>
            </w:r>
          </w:p>
        </w:tc>
        <w:tc>
          <w:tcPr>
            <w:tcW w:w="0" w:type="auto"/>
            <w:gridSpan w:val="3"/>
            <w:tcBorders>
              <w:top w:val="single" w:sz="4" w:space="0" w:color="auto"/>
              <w:left w:val="single" w:sz="4" w:space="0" w:color="auto"/>
              <w:bottom w:val="single" w:sz="4" w:space="0" w:color="auto"/>
              <w:right w:val="single" w:sz="4" w:space="0" w:color="auto"/>
            </w:tcBorders>
            <w:vAlign w:val="bottom"/>
          </w:tcPr>
          <w:p w:rsidR="0079646D" w:rsidRPr="000135DE" w:rsidRDefault="0079646D" w:rsidP="000135DE">
            <w:pPr>
              <w:spacing w:after="0" w:line="240" w:lineRule="auto"/>
              <w:jc w:val="center"/>
              <w:outlineLvl w:val="0"/>
              <w:rPr>
                <w:rFonts w:cs="Calibri"/>
                <w:b/>
                <w:bCs/>
                <w:color w:val="000000"/>
                <w:sz w:val="20"/>
              </w:rPr>
            </w:pPr>
            <w:r w:rsidRPr="000135DE">
              <w:rPr>
                <w:rFonts w:cs="Calibri"/>
                <w:b/>
                <w:bCs/>
                <w:color w:val="000000"/>
                <w:sz w:val="20"/>
              </w:rPr>
              <w:t>Federal Cost Savings</w:t>
            </w:r>
          </w:p>
        </w:tc>
        <w:tc>
          <w:tcPr>
            <w:tcW w:w="0" w:type="auto"/>
            <w:gridSpan w:val="3"/>
            <w:tcBorders>
              <w:top w:val="single" w:sz="4" w:space="0" w:color="auto"/>
              <w:left w:val="nil"/>
              <w:bottom w:val="single" w:sz="4" w:space="0" w:color="auto"/>
              <w:right w:val="single" w:sz="4" w:space="0" w:color="000000"/>
            </w:tcBorders>
            <w:vAlign w:val="bottom"/>
          </w:tcPr>
          <w:p w:rsidR="0079646D" w:rsidRPr="000135DE" w:rsidRDefault="0079646D" w:rsidP="000135DE">
            <w:pPr>
              <w:spacing w:after="0" w:line="240" w:lineRule="auto"/>
              <w:jc w:val="center"/>
              <w:outlineLvl w:val="0"/>
              <w:rPr>
                <w:rFonts w:cs="Calibri"/>
                <w:b/>
                <w:bCs/>
                <w:color w:val="000000"/>
                <w:sz w:val="20"/>
              </w:rPr>
            </w:pPr>
            <w:r w:rsidRPr="000135DE">
              <w:rPr>
                <w:rFonts w:cs="Calibri"/>
                <w:b/>
                <w:bCs/>
                <w:color w:val="000000"/>
                <w:sz w:val="20"/>
              </w:rPr>
              <w:t>Total Cost Savings</w:t>
            </w:r>
          </w:p>
        </w:tc>
      </w:tr>
      <w:tr w:rsidR="0079646D" w:rsidRPr="000B185D">
        <w:trPr>
          <w:trHeight w:val="348"/>
        </w:trPr>
        <w:tc>
          <w:tcPr>
            <w:tcW w:w="0" w:type="auto"/>
            <w:tcBorders>
              <w:top w:val="nil"/>
              <w:left w:val="single" w:sz="4" w:space="0" w:color="auto"/>
              <w:bottom w:val="single" w:sz="4" w:space="0" w:color="auto"/>
              <w:right w:val="single" w:sz="4" w:space="0" w:color="auto"/>
            </w:tcBorders>
            <w:vAlign w:val="bottom"/>
          </w:tcPr>
          <w:p w:rsidR="0079646D" w:rsidRPr="000135DE" w:rsidRDefault="0079646D" w:rsidP="000135DE">
            <w:pPr>
              <w:spacing w:after="0" w:line="240" w:lineRule="auto"/>
              <w:jc w:val="center"/>
              <w:outlineLvl w:val="0"/>
              <w:rPr>
                <w:rFonts w:cs="Calibri"/>
                <w:color w:val="000000"/>
                <w:sz w:val="18"/>
              </w:rPr>
            </w:pPr>
            <w:r w:rsidRPr="000135DE">
              <w:rPr>
                <w:rFonts w:cs="Calibri"/>
                <w:color w:val="000000"/>
                <w:sz w:val="18"/>
              </w:rPr>
              <w:t>Low</w:t>
            </w:r>
          </w:p>
        </w:tc>
        <w:tc>
          <w:tcPr>
            <w:tcW w:w="0" w:type="auto"/>
            <w:tcBorders>
              <w:top w:val="nil"/>
              <w:left w:val="nil"/>
              <w:bottom w:val="single" w:sz="4" w:space="0" w:color="auto"/>
              <w:right w:val="single" w:sz="4" w:space="0" w:color="auto"/>
            </w:tcBorders>
            <w:noWrap/>
            <w:vAlign w:val="bottom"/>
          </w:tcPr>
          <w:p w:rsidR="0079646D" w:rsidRPr="000135DE" w:rsidRDefault="0079646D" w:rsidP="000135DE">
            <w:pPr>
              <w:spacing w:after="0" w:line="240" w:lineRule="auto"/>
              <w:jc w:val="center"/>
              <w:outlineLvl w:val="0"/>
              <w:rPr>
                <w:rFonts w:cs="Calibri"/>
                <w:color w:val="000000"/>
                <w:sz w:val="18"/>
              </w:rPr>
            </w:pPr>
            <w:r w:rsidRPr="000135DE">
              <w:rPr>
                <w:rFonts w:cs="Calibri"/>
                <w:color w:val="000000"/>
                <w:sz w:val="18"/>
              </w:rPr>
              <w:t>Primary</w:t>
            </w:r>
          </w:p>
        </w:tc>
        <w:tc>
          <w:tcPr>
            <w:tcW w:w="0" w:type="auto"/>
            <w:tcBorders>
              <w:top w:val="nil"/>
              <w:left w:val="nil"/>
              <w:bottom w:val="single" w:sz="4" w:space="0" w:color="auto"/>
              <w:right w:val="single" w:sz="4" w:space="0" w:color="auto"/>
            </w:tcBorders>
            <w:noWrap/>
            <w:vAlign w:val="bottom"/>
          </w:tcPr>
          <w:p w:rsidR="0079646D" w:rsidRPr="000135DE" w:rsidRDefault="0079646D" w:rsidP="000135DE">
            <w:pPr>
              <w:spacing w:after="0" w:line="240" w:lineRule="auto"/>
              <w:jc w:val="center"/>
              <w:outlineLvl w:val="0"/>
              <w:rPr>
                <w:rFonts w:cs="Calibri"/>
                <w:color w:val="000000"/>
                <w:sz w:val="18"/>
              </w:rPr>
            </w:pPr>
            <w:r w:rsidRPr="000135DE">
              <w:rPr>
                <w:rFonts w:cs="Calibri"/>
                <w:color w:val="000000"/>
                <w:sz w:val="18"/>
              </w:rPr>
              <w:t>High</w:t>
            </w:r>
          </w:p>
        </w:tc>
        <w:tc>
          <w:tcPr>
            <w:tcW w:w="0" w:type="auto"/>
            <w:tcBorders>
              <w:top w:val="nil"/>
              <w:left w:val="nil"/>
              <w:bottom w:val="single" w:sz="4" w:space="0" w:color="auto"/>
              <w:right w:val="single" w:sz="4" w:space="0" w:color="auto"/>
            </w:tcBorders>
            <w:vAlign w:val="bottom"/>
          </w:tcPr>
          <w:p w:rsidR="0079646D" w:rsidRPr="000135DE" w:rsidRDefault="0079646D" w:rsidP="000135DE">
            <w:pPr>
              <w:spacing w:after="0" w:line="240" w:lineRule="auto"/>
              <w:jc w:val="center"/>
              <w:outlineLvl w:val="0"/>
              <w:rPr>
                <w:rFonts w:cs="Calibri"/>
                <w:color w:val="000000"/>
                <w:sz w:val="18"/>
              </w:rPr>
            </w:pPr>
            <w:r w:rsidRPr="000135DE">
              <w:rPr>
                <w:rFonts w:cs="Calibri"/>
                <w:color w:val="000000"/>
                <w:sz w:val="18"/>
              </w:rPr>
              <w:t>Low</w:t>
            </w:r>
          </w:p>
        </w:tc>
        <w:tc>
          <w:tcPr>
            <w:tcW w:w="0" w:type="auto"/>
            <w:tcBorders>
              <w:top w:val="nil"/>
              <w:left w:val="nil"/>
              <w:bottom w:val="single" w:sz="4" w:space="0" w:color="auto"/>
              <w:right w:val="single" w:sz="4" w:space="0" w:color="auto"/>
            </w:tcBorders>
            <w:noWrap/>
            <w:vAlign w:val="bottom"/>
          </w:tcPr>
          <w:p w:rsidR="0079646D" w:rsidRPr="000135DE" w:rsidRDefault="0079646D" w:rsidP="000135DE">
            <w:pPr>
              <w:spacing w:after="0" w:line="240" w:lineRule="auto"/>
              <w:jc w:val="center"/>
              <w:outlineLvl w:val="0"/>
              <w:rPr>
                <w:rFonts w:cs="Calibri"/>
                <w:color w:val="000000"/>
                <w:sz w:val="18"/>
              </w:rPr>
            </w:pPr>
            <w:r w:rsidRPr="000135DE">
              <w:rPr>
                <w:rFonts w:cs="Calibri"/>
                <w:color w:val="000000"/>
                <w:sz w:val="18"/>
              </w:rPr>
              <w:t>Primary</w:t>
            </w:r>
          </w:p>
        </w:tc>
        <w:tc>
          <w:tcPr>
            <w:tcW w:w="0" w:type="auto"/>
            <w:tcBorders>
              <w:top w:val="nil"/>
              <w:left w:val="nil"/>
              <w:bottom w:val="single" w:sz="4" w:space="0" w:color="auto"/>
              <w:right w:val="single" w:sz="4" w:space="0" w:color="auto"/>
            </w:tcBorders>
            <w:noWrap/>
            <w:vAlign w:val="bottom"/>
          </w:tcPr>
          <w:p w:rsidR="0079646D" w:rsidRPr="000135DE" w:rsidRDefault="0079646D" w:rsidP="000135DE">
            <w:pPr>
              <w:spacing w:after="0" w:line="240" w:lineRule="auto"/>
              <w:jc w:val="center"/>
              <w:outlineLvl w:val="0"/>
              <w:rPr>
                <w:rFonts w:cs="Calibri"/>
                <w:color w:val="000000"/>
                <w:sz w:val="18"/>
              </w:rPr>
            </w:pPr>
            <w:r w:rsidRPr="000135DE">
              <w:rPr>
                <w:rFonts w:cs="Calibri"/>
                <w:color w:val="000000"/>
                <w:sz w:val="18"/>
              </w:rPr>
              <w:t>High</w:t>
            </w:r>
          </w:p>
        </w:tc>
        <w:tc>
          <w:tcPr>
            <w:tcW w:w="0" w:type="auto"/>
            <w:tcBorders>
              <w:top w:val="nil"/>
              <w:left w:val="nil"/>
              <w:bottom w:val="single" w:sz="4" w:space="0" w:color="auto"/>
              <w:right w:val="single" w:sz="4" w:space="0" w:color="auto"/>
            </w:tcBorders>
            <w:vAlign w:val="bottom"/>
          </w:tcPr>
          <w:p w:rsidR="0079646D" w:rsidRPr="000135DE" w:rsidRDefault="0079646D" w:rsidP="000135DE">
            <w:pPr>
              <w:spacing w:after="0" w:line="240" w:lineRule="auto"/>
              <w:jc w:val="center"/>
              <w:outlineLvl w:val="0"/>
              <w:rPr>
                <w:rFonts w:cs="Calibri"/>
                <w:color w:val="000000"/>
                <w:sz w:val="18"/>
              </w:rPr>
            </w:pPr>
            <w:r w:rsidRPr="000135DE">
              <w:rPr>
                <w:rFonts w:cs="Calibri"/>
                <w:color w:val="000000"/>
                <w:sz w:val="18"/>
              </w:rPr>
              <w:t>Low</w:t>
            </w:r>
          </w:p>
        </w:tc>
        <w:tc>
          <w:tcPr>
            <w:tcW w:w="0" w:type="auto"/>
            <w:tcBorders>
              <w:top w:val="nil"/>
              <w:left w:val="nil"/>
              <w:bottom w:val="single" w:sz="4" w:space="0" w:color="auto"/>
              <w:right w:val="single" w:sz="4" w:space="0" w:color="auto"/>
            </w:tcBorders>
            <w:noWrap/>
            <w:vAlign w:val="bottom"/>
          </w:tcPr>
          <w:p w:rsidR="0079646D" w:rsidRPr="000135DE" w:rsidRDefault="0079646D" w:rsidP="000135DE">
            <w:pPr>
              <w:spacing w:after="0" w:line="240" w:lineRule="auto"/>
              <w:jc w:val="center"/>
              <w:outlineLvl w:val="0"/>
              <w:rPr>
                <w:rFonts w:cs="Calibri"/>
                <w:color w:val="000000"/>
                <w:sz w:val="18"/>
              </w:rPr>
            </w:pPr>
            <w:r w:rsidRPr="000135DE">
              <w:rPr>
                <w:rFonts w:cs="Calibri"/>
                <w:color w:val="000000"/>
                <w:sz w:val="18"/>
              </w:rPr>
              <w:t>Primary</w:t>
            </w:r>
          </w:p>
        </w:tc>
        <w:tc>
          <w:tcPr>
            <w:tcW w:w="0" w:type="auto"/>
            <w:tcBorders>
              <w:top w:val="nil"/>
              <w:left w:val="nil"/>
              <w:bottom w:val="single" w:sz="4" w:space="0" w:color="auto"/>
              <w:right w:val="single" w:sz="4" w:space="0" w:color="auto"/>
            </w:tcBorders>
            <w:noWrap/>
            <w:vAlign w:val="bottom"/>
          </w:tcPr>
          <w:p w:rsidR="0079646D" w:rsidRPr="000135DE" w:rsidRDefault="0079646D" w:rsidP="000135DE">
            <w:pPr>
              <w:spacing w:after="0" w:line="240" w:lineRule="auto"/>
              <w:jc w:val="center"/>
              <w:outlineLvl w:val="0"/>
              <w:rPr>
                <w:rFonts w:cs="Calibri"/>
                <w:color w:val="000000"/>
                <w:sz w:val="18"/>
              </w:rPr>
            </w:pPr>
            <w:r w:rsidRPr="000135DE">
              <w:rPr>
                <w:rFonts w:cs="Calibri"/>
                <w:color w:val="000000"/>
                <w:sz w:val="18"/>
              </w:rPr>
              <w:t>High</w:t>
            </w:r>
          </w:p>
        </w:tc>
      </w:tr>
      <w:tr w:rsidR="0079646D" w:rsidRPr="000B185D">
        <w:trPr>
          <w:trHeight w:val="348"/>
        </w:trPr>
        <w:tc>
          <w:tcPr>
            <w:tcW w:w="0" w:type="auto"/>
            <w:tcBorders>
              <w:top w:val="nil"/>
              <w:left w:val="single" w:sz="4" w:space="0" w:color="auto"/>
              <w:bottom w:val="single" w:sz="4" w:space="0" w:color="auto"/>
              <w:right w:val="single" w:sz="4" w:space="0" w:color="auto"/>
            </w:tcBorders>
            <w:noWrap/>
            <w:vAlign w:val="bottom"/>
          </w:tcPr>
          <w:p w:rsidR="0079646D" w:rsidRPr="000135DE" w:rsidRDefault="0079646D" w:rsidP="000135DE">
            <w:pPr>
              <w:spacing w:after="0" w:line="240" w:lineRule="auto"/>
              <w:jc w:val="center"/>
              <w:outlineLvl w:val="0"/>
              <w:rPr>
                <w:rFonts w:cs="Calibri"/>
                <w:color w:val="000000"/>
                <w:sz w:val="19"/>
              </w:rPr>
            </w:pPr>
            <w:r w:rsidRPr="000135DE">
              <w:rPr>
                <w:rFonts w:cs="Calibri"/>
                <w:color w:val="000000"/>
                <w:sz w:val="19"/>
              </w:rPr>
              <w:t>$14,670,000</w:t>
            </w:r>
          </w:p>
        </w:tc>
        <w:tc>
          <w:tcPr>
            <w:tcW w:w="0" w:type="auto"/>
            <w:tcBorders>
              <w:top w:val="nil"/>
              <w:left w:val="nil"/>
              <w:bottom w:val="single" w:sz="4" w:space="0" w:color="auto"/>
              <w:right w:val="single" w:sz="4" w:space="0" w:color="auto"/>
            </w:tcBorders>
            <w:noWrap/>
            <w:vAlign w:val="bottom"/>
          </w:tcPr>
          <w:p w:rsidR="0079646D" w:rsidRPr="000135DE" w:rsidRDefault="0079646D" w:rsidP="000135DE">
            <w:pPr>
              <w:spacing w:after="0" w:line="240" w:lineRule="auto"/>
              <w:jc w:val="center"/>
              <w:outlineLvl w:val="0"/>
              <w:rPr>
                <w:rFonts w:cs="Calibri"/>
                <w:color w:val="000000"/>
                <w:sz w:val="19"/>
              </w:rPr>
            </w:pPr>
            <w:r w:rsidRPr="000135DE">
              <w:rPr>
                <w:rFonts w:cs="Calibri"/>
                <w:color w:val="000000"/>
                <w:sz w:val="19"/>
              </w:rPr>
              <w:t>$29,340,000</w:t>
            </w:r>
          </w:p>
        </w:tc>
        <w:tc>
          <w:tcPr>
            <w:tcW w:w="0" w:type="auto"/>
            <w:tcBorders>
              <w:top w:val="nil"/>
              <w:left w:val="nil"/>
              <w:bottom w:val="single" w:sz="4" w:space="0" w:color="auto"/>
              <w:right w:val="single" w:sz="4" w:space="0" w:color="auto"/>
            </w:tcBorders>
            <w:noWrap/>
            <w:vAlign w:val="bottom"/>
          </w:tcPr>
          <w:p w:rsidR="0079646D" w:rsidRPr="000135DE" w:rsidRDefault="0079646D" w:rsidP="000135DE">
            <w:pPr>
              <w:spacing w:after="0" w:line="240" w:lineRule="auto"/>
              <w:jc w:val="center"/>
              <w:outlineLvl w:val="0"/>
              <w:rPr>
                <w:rFonts w:cs="Calibri"/>
                <w:color w:val="000000"/>
                <w:sz w:val="19"/>
              </w:rPr>
            </w:pPr>
            <w:r w:rsidRPr="000135DE">
              <w:rPr>
                <w:rFonts w:cs="Calibri"/>
                <w:color w:val="000000"/>
                <w:sz w:val="19"/>
              </w:rPr>
              <w:t>$44,010,000</w:t>
            </w:r>
          </w:p>
        </w:tc>
        <w:tc>
          <w:tcPr>
            <w:tcW w:w="0" w:type="auto"/>
            <w:tcBorders>
              <w:top w:val="nil"/>
              <w:left w:val="nil"/>
              <w:bottom w:val="single" w:sz="4" w:space="0" w:color="auto"/>
              <w:right w:val="single" w:sz="4" w:space="0" w:color="auto"/>
            </w:tcBorders>
            <w:noWrap/>
            <w:vAlign w:val="bottom"/>
          </w:tcPr>
          <w:p w:rsidR="0079646D" w:rsidRPr="000135DE" w:rsidRDefault="0079646D" w:rsidP="000135DE">
            <w:pPr>
              <w:spacing w:after="0" w:line="240" w:lineRule="auto"/>
              <w:jc w:val="center"/>
              <w:outlineLvl w:val="0"/>
              <w:rPr>
                <w:rFonts w:cs="Calibri"/>
                <w:color w:val="000000"/>
                <w:sz w:val="19"/>
              </w:rPr>
            </w:pPr>
            <w:r w:rsidRPr="000135DE">
              <w:rPr>
                <w:rFonts w:cs="Calibri"/>
                <w:color w:val="000000"/>
                <w:sz w:val="19"/>
              </w:rPr>
              <w:t>$430,752</w:t>
            </w:r>
          </w:p>
        </w:tc>
        <w:tc>
          <w:tcPr>
            <w:tcW w:w="0" w:type="auto"/>
            <w:tcBorders>
              <w:top w:val="nil"/>
              <w:left w:val="nil"/>
              <w:bottom w:val="single" w:sz="4" w:space="0" w:color="auto"/>
              <w:right w:val="single" w:sz="4" w:space="0" w:color="auto"/>
            </w:tcBorders>
            <w:noWrap/>
            <w:vAlign w:val="bottom"/>
          </w:tcPr>
          <w:p w:rsidR="0079646D" w:rsidRPr="000135DE" w:rsidRDefault="0079646D" w:rsidP="000135DE">
            <w:pPr>
              <w:spacing w:after="0" w:line="240" w:lineRule="auto"/>
              <w:jc w:val="center"/>
              <w:outlineLvl w:val="0"/>
              <w:rPr>
                <w:rFonts w:cs="Calibri"/>
                <w:color w:val="000000"/>
                <w:sz w:val="19"/>
              </w:rPr>
            </w:pPr>
            <w:r w:rsidRPr="000135DE">
              <w:rPr>
                <w:rFonts w:cs="Calibri"/>
                <w:color w:val="000000"/>
                <w:sz w:val="19"/>
              </w:rPr>
              <w:t>$646,240</w:t>
            </w:r>
          </w:p>
        </w:tc>
        <w:tc>
          <w:tcPr>
            <w:tcW w:w="0" w:type="auto"/>
            <w:tcBorders>
              <w:top w:val="nil"/>
              <w:left w:val="nil"/>
              <w:bottom w:val="single" w:sz="4" w:space="0" w:color="auto"/>
              <w:right w:val="single" w:sz="4" w:space="0" w:color="auto"/>
            </w:tcBorders>
            <w:noWrap/>
            <w:vAlign w:val="bottom"/>
          </w:tcPr>
          <w:p w:rsidR="0079646D" w:rsidRPr="000135DE" w:rsidRDefault="0079646D" w:rsidP="000135DE">
            <w:pPr>
              <w:spacing w:after="0" w:line="240" w:lineRule="auto"/>
              <w:jc w:val="center"/>
              <w:outlineLvl w:val="0"/>
              <w:rPr>
                <w:rFonts w:cs="Calibri"/>
                <w:color w:val="000000"/>
                <w:sz w:val="19"/>
              </w:rPr>
            </w:pPr>
            <w:r w:rsidRPr="000135DE">
              <w:rPr>
                <w:rFonts w:cs="Calibri"/>
                <w:color w:val="000000"/>
                <w:sz w:val="19"/>
              </w:rPr>
              <w:t>$1,076,992</w:t>
            </w:r>
          </w:p>
        </w:tc>
        <w:tc>
          <w:tcPr>
            <w:tcW w:w="0" w:type="auto"/>
            <w:tcBorders>
              <w:top w:val="nil"/>
              <w:left w:val="nil"/>
              <w:bottom w:val="single" w:sz="4" w:space="0" w:color="auto"/>
              <w:right w:val="single" w:sz="4" w:space="0" w:color="auto"/>
            </w:tcBorders>
            <w:noWrap/>
            <w:vAlign w:val="bottom"/>
          </w:tcPr>
          <w:p w:rsidR="0079646D" w:rsidRPr="000135DE" w:rsidRDefault="0079646D" w:rsidP="000135DE">
            <w:pPr>
              <w:spacing w:after="0" w:line="240" w:lineRule="auto"/>
              <w:jc w:val="center"/>
              <w:outlineLvl w:val="0"/>
              <w:rPr>
                <w:rFonts w:cs="Calibri"/>
                <w:color w:val="000000"/>
                <w:sz w:val="19"/>
              </w:rPr>
            </w:pPr>
            <w:r w:rsidRPr="000135DE">
              <w:rPr>
                <w:rFonts w:cs="Calibri"/>
                <w:color w:val="000000"/>
                <w:sz w:val="19"/>
              </w:rPr>
              <w:t>$15,100,752</w:t>
            </w:r>
          </w:p>
        </w:tc>
        <w:tc>
          <w:tcPr>
            <w:tcW w:w="0" w:type="auto"/>
            <w:tcBorders>
              <w:top w:val="nil"/>
              <w:left w:val="nil"/>
              <w:bottom w:val="single" w:sz="4" w:space="0" w:color="auto"/>
              <w:right w:val="single" w:sz="4" w:space="0" w:color="auto"/>
            </w:tcBorders>
            <w:noWrap/>
            <w:vAlign w:val="bottom"/>
          </w:tcPr>
          <w:p w:rsidR="0079646D" w:rsidRPr="000135DE" w:rsidRDefault="0079646D" w:rsidP="000135DE">
            <w:pPr>
              <w:spacing w:after="0" w:line="240" w:lineRule="auto"/>
              <w:jc w:val="center"/>
              <w:outlineLvl w:val="0"/>
              <w:rPr>
                <w:rFonts w:cs="Calibri"/>
                <w:b/>
                <w:bCs/>
                <w:color w:val="000000"/>
                <w:sz w:val="19"/>
              </w:rPr>
            </w:pPr>
            <w:r w:rsidRPr="000135DE">
              <w:rPr>
                <w:rFonts w:cs="Calibri"/>
                <w:b/>
                <w:bCs/>
                <w:color w:val="000000"/>
                <w:sz w:val="19"/>
              </w:rPr>
              <w:t>$29,986,240</w:t>
            </w:r>
          </w:p>
        </w:tc>
        <w:tc>
          <w:tcPr>
            <w:tcW w:w="0" w:type="auto"/>
            <w:tcBorders>
              <w:top w:val="nil"/>
              <w:left w:val="nil"/>
              <w:bottom w:val="single" w:sz="4" w:space="0" w:color="auto"/>
              <w:right w:val="single" w:sz="4" w:space="0" w:color="auto"/>
            </w:tcBorders>
            <w:noWrap/>
            <w:vAlign w:val="bottom"/>
          </w:tcPr>
          <w:p w:rsidR="0079646D" w:rsidRPr="000135DE" w:rsidRDefault="0079646D" w:rsidP="000135DE">
            <w:pPr>
              <w:spacing w:after="0" w:line="240" w:lineRule="auto"/>
              <w:jc w:val="center"/>
              <w:outlineLvl w:val="0"/>
              <w:rPr>
                <w:rFonts w:cs="Calibri"/>
                <w:color w:val="000000"/>
                <w:sz w:val="19"/>
              </w:rPr>
            </w:pPr>
            <w:r w:rsidRPr="000135DE">
              <w:rPr>
                <w:rFonts w:cs="Calibri"/>
                <w:color w:val="000000"/>
                <w:sz w:val="19"/>
              </w:rPr>
              <w:t>$45,086,992</w:t>
            </w:r>
          </w:p>
        </w:tc>
      </w:tr>
    </w:tbl>
    <w:p w:rsidR="0079646D" w:rsidRDefault="0079646D" w:rsidP="00E62F05">
      <w:pPr>
        <w:rPr>
          <w:b/>
        </w:rPr>
      </w:pPr>
    </w:p>
    <w:p w:rsidR="0079646D" w:rsidRPr="002255D4" w:rsidRDefault="0079646D" w:rsidP="003C10E5">
      <w:pPr>
        <w:spacing w:before="240"/>
        <w:rPr>
          <w:rFonts w:ascii="Cambria" w:hAnsi="Cambria"/>
          <w:b/>
          <w:bCs/>
          <w:color w:val="365F91"/>
          <w:sz w:val="28"/>
        </w:rPr>
      </w:pPr>
      <w:r w:rsidRPr="00613CD4">
        <w:rPr>
          <w:rFonts w:ascii="Cambria" w:hAnsi="Cambria"/>
          <w:b/>
          <w:bCs/>
          <w:color w:val="365F91"/>
          <w:sz w:val="28"/>
        </w:rPr>
        <w:t>Transfer Cost Savings</w:t>
      </w:r>
    </w:p>
    <w:p w:rsidR="0079646D" w:rsidRDefault="0079646D" w:rsidP="00E62F05">
      <w:r>
        <w:t xml:space="preserve">FEMA has established a number of grant programs that States may use to help defray the cost of updating their mitigation plans.  However, grant awards are not guaranteed and may be subject to high </w:t>
      </w:r>
      <w:r>
        <w:lastRenderedPageBreak/>
        <w:t xml:space="preserve">variability based on available funding. </w:t>
      </w:r>
      <w:r w:rsidRPr="001660D1">
        <w:t xml:space="preserve"> In addition, the </w:t>
      </w:r>
      <w:r w:rsidR="008425E7">
        <w:t xml:space="preserve">proposed rule </w:t>
      </w:r>
      <w:r w:rsidRPr="001660D1">
        <w:t xml:space="preserve">does not directly impact a State’s choice to apply for update assistance grants, and some States do not apply for grant </w:t>
      </w:r>
      <w:r>
        <w:t xml:space="preserve">funding </w:t>
      </w:r>
      <w:r w:rsidRPr="001660D1">
        <w:t xml:space="preserve">to assist with </w:t>
      </w:r>
      <w:r>
        <w:t>plan updates</w:t>
      </w:r>
      <w:r w:rsidRPr="001660D1">
        <w:t xml:space="preserve">.  </w:t>
      </w:r>
      <w:r>
        <w:t xml:space="preserve">Nonetheless, FEMA uses historical grant data to estimate </w:t>
      </w:r>
      <w:r w:rsidRPr="00A34374">
        <w:t xml:space="preserve">that </w:t>
      </w:r>
      <w:r w:rsidRPr="007100A9">
        <w:t>43</w:t>
      </w:r>
      <w:r w:rsidRPr="00A34374">
        <w:t xml:space="preserve"> percent of States would likely receive grant funds to update their Standard Plans and </w:t>
      </w:r>
      <w:r w:rsidRPr="007100A9">
        <w:t xml:space="preserve">13 </w:t>
      </w:r>
      <w:r w:rsidRPr="00A34374">
        <w:t>percent would</w:t>
      </w:r>
      <w:r>
        <w:t xml:space="preserve"> likely receive grant funds to update their Enhanced Plans.</w:t>
      </w:r>
      <w:r w:rsidRPr="001660D1">
        <w:rPr>
          <w:rStyle w:val="FootnoteReference"/>
        </w:rPr>
        <w:t xml:space="preserve"> </w:t>
      </w:r>
      <w:r>
        <w:rPr>
          <w:rStyle w:val="FootnoteReference"/>
        </w:rPr>
        <w:footnoteReference w:id="29"/>
      </w:r>
      <w:r>
        <w:t xml:space="preserve">  To estimate the reduction in Federal transfers, as shown in </w:t>
      </w:r>
      <w:r w:rsidR="006E36A7">
        <w:fldChar w:fldCharType="begin"/>
      </w:r>
      <w:r>
        <w:instrText xml:space="preserve"> REF _Ref322072618 \h </w:instrText>
      </w:r>
      <w:r w:rsidR="006E36A7">
        <w:fldChar w:fldCharType="separate"/>
      </w:r>
      <w:r w:rsidR="003C6FB6">
        <w:t xml:space="preserve">Table </w:t>
      </w:r>
      <w:r w:rsidR="003C6FB6">
        <w:rPr>
          <w:noProof/>
        </w:rPr>
        <w:t>7</w:t>
      </w:r>
      <w:r w:rsidR="006E36A7">
        <w:fldChar w:fldCharType="end"/>
      </w:r>
      <w:r>
        <w:t>, FEMA multiplies the percentage of States that are historically awarded grants by the typical Federal share</w:t>
      </w:r>
      <w:r>
        <w:rPr>
          <w:rStyle w:val="FootnoteReference"/>
        </w:rPr>
        <w:footnoteReference w:id="30"/>
      </w:r>
      <w:r>
        <w:t xml:space="preserve"> of project requests (75 percent) by the 15 year State Cost Savings from </w:t>
      </w:r>
      <w:r w:rsidR="006E36A7">
        <w:fldChar w:fldCharType="begin"/>
      </w:r>
      <w:r>
        <w:instrText xml:space="preserve"> REF _Ref322072438 \h </w:instrText>
      </w:r>
      <w:r w:rsidR="006E36A7">
        <w:fldChar w:fldCharType="separate"/>
      </w:r>
      <w:r w:rsidR="003C6FB6">
        <w:t xml:space="preserve">Table </w:t>
      </w:r>
      <w:r w:rsidR="003C6FB6">
        <w:rPr>
          <w:noProof/>
        </w:rPr>
        <w:t>3</w:t>
      </w:r>
      <w:r w:rsidR="006E36A7">
        <w:fldChar w:fldCharType="end"/>
      </w:r>
      <w:r>
        <w:t>.</w:t>
      </w:r>
    </w:p>
    <w:p w:rsidR="0079646D" w:rsidRDefault="0079646D" w:rsidP="003879F1">
      <w:pPr>
        <w:pStyle w:val="Caption"/>
        <w:keepLines/>
        <w:spacing w:after="0"/>
      </w:pPr>
      <w:bookmarkStart w:id="7" w:name="_Ref322072618"/>
      <w:r>
        <w:t xml:space="preserve">Table </w:t>
      </w:r>
      <w:r w:rsidR="006E36A7">
        <w:fldChar w:fldCharType="begin"/>
      </w:r>
      <w:r w:rsidR="009B6DC1">
        <w:instrText xml:space="preserve"> SEQ Table \* ARABIC </w:instrText>
      </w:r>
      <w:r w:rsidR="006E36A7">
        <w:fldChar w:fldCharType="separate"/>
      </w:r>
      <w:r w:rsidR="003C6FB6">
        <w:rPr>
          <w:noProof/>
        </w:rPr>
        <w:t>7</w:t>
      </w:r>
      <w:r w:rsidR="006E36A7">
        <w:rPr>
          <w:noProof/>
        </w:rPr>
        <w:fldChar w:fldCharType="end"/>
      </w:r>
      <w:bookmarkEnd w:id="7"/>
      <w:r>
        <w:t>:  15 Year Reduction in Federal Transfers</w:t>
      </w:r>
    </w:p>
    <w:tbl>
      <w:tblPr>
        <w:tblW w:w="5000" w:type="pct"/>
        <w:tblLayout w:type="fixed"/>
        <w:tblLook w:val="00A0" w:firstRow="1" w:lastRow="0" w:firstColumn="1" w:lastColumn="0" w:noHBand="0" w:noVBand="0"/>
      </w:tblPr>
      <w:tblGrid>
        <w:gridCol w:w="1008"/>
        <w:gridCol w:w="1171"/>
        <w:gridCol w:w="1168"/>
        <w:gridCol w:w="1172"/>
        <w:gridCol w:w="898"/>
        <w:gridCol w:w="808"/>
        <w:gridCol w:w="1080"/>
        <w:gridCol w:w="1080"/>
        <w:gridCol w:w="1191"/>
      </w:tblGrid>
      <w:tr w:rsidR="0079646D" w:rsidRPr="000B185D">
        <w:trPr>
          <w:trHeight w:val="405"/>
        </w:trPr>
        <w:tc>
          <w:tcPr>
            <w:tcW w:w="526" w:type="pct"/>
            <w:vMerge w:val="restart"/>
            <w:tcBorders>
              <w:top w:val="single" w:sz="4" w:space="0" w:color="auto"/>
              <w:left w:val="single" w:sz="4" w:space="0" w:color="auto"/>
              <w:bottom w:val="single" w:sz="4" w:space="0" w:color="auto"/>
              <w:right w:val="single" w:sz="4" w:space="0" w:color="auto"/>
            </w:tcBorders>
            <w:noWrap/>
            <w:vAlign w:val="bottom"/>
          </w:tcPr>
          <w:p w:rsidR="0079646D" w:rsidRPr="006F7DF2" w:rsidRDefault="0079646D" w:rsidP="003879F1">
            <w:pPr>
              <w:keepNext/>
              <w:keepLines/>
              <w:spacing w:after="0" w:line="240" w:lineRule="auto"/>
              <w:outlineLvl w:val="0"/>
              <w:rPr>
                <w:rFonts w:cs="Calibri"/>
                <w:b/>
                <w:bCs/>
                <w:sz w:val="20"/>
              </w:rPr>
            </w:pPr>
            <w:r w:rsidRPr="006F7DF2">
              <w:rPr>
                <w:rFonts w:cs="Calibri"/>
                <w:b/>
                <w:bCs/>
                <w:sz w:val="20"/>
              </w:rPr>
              <w:t>State Plan Type</w:t>
            </w:r>
          </w:p>
        </w:tc>
        <w:tc>
          <w:tcPr>
            <w:tcW w:w="1833" w:type="pct"/>
            <w:gridSpan w:val="3"/>
            <w:tcBorders>
              <w:top w:val="single" w:sz="4" w:space="0" w:color="auto"/>
              <w:left w:val="nil"/>
              <w:bottom w:val="single" w:sz="4" w:space="0" w:color="auto"/>
              <w:right w:val="single" w:sz="4" w:space="0" w:color="auto"/>
            </w:tcBorders>
            <w:vAlign w:val="bottom"/>
          </w:tcPr>
          <w:p w:rsidR="0079646D" w:rsidRPr="006F7DF2" w:rsidRDefault="0079646D" w:rsidP="003879F1">
            <w:pPr>
              <w:keepNext/>
              <w:keepLines/>
              <w:spacing w:after="0" w:line="240" w:lineRule="auto"/>
              <w:jc w:val="center"/>
              <w:outlineLvl w:val="0"/>
              <w:rPr>
                <w:rFonts w:cs="Calibri"/>
                <w:b/>
                <w:bCs/>
                <w:color w:val="000000"/>
                <w:sz w:val="20"/>
              </w:rPr>
            </w:pPr>
            <w:r w:rsidRPr="006F7DF2">
              <w:rPr>
                <w:rFonts w:cs="Calibri"/>
                <w:b/>
                <w:bCs/>
                <w:color w:val="000000"/>
                <w:sz w:val="20"/>
              </w:rPr>
              <w:t>State Cost Savings</w:t>
            </w:r>
          </w:p>
        </w:tc>
        <w:tc>
          <w:tcPr>
            <w:tcW w:w="469" w:type="pct"/>
            <w:vMerge w:val="restart"/>
            <w:tcBorders>
              <w:top w:val="single" w:sz="4" w:space="0" w:color="auto"/>
              <w:left w:val="single" w:sz="4" w:space="0" w:color="auto"/>
              <w:bottom w:val="single" w:sz="4" w:space="0" w:color="auto"/>
              <w:right w:val="single" w:sz="4" w:space="0" w:color="auto"/>
            </w:tcBorders>
            <w:vAlign w:val="bottom"/>
          </w:tcPr>
          <w:p w:rsidR="0079646D" w:rsidRPr="006F7DF2" w:rsidRDefault="0079646D" w:rsidP="003879F1">
            <w:pPr>
              <w:keepNext/>
              <w:keepLines/>
              <w:spacing w:after="0" w:line="240" w:lineRule="auto"/>
              <w:jc w:val="center"/>
              <w:outlineLvl w:val="0"/>
              <w:rPr>
                <w:rFonts w:cs="Calibri"/>
                <w:b/>
                <w:bCs/>
                <w:color w:val="000000"/>
                <w:sz w:val="18"/>
              </w:rPr>
            </w:pPr>
            <w:r>
              <w:rPr>
                <w:rFonts w:cs="Calibri"/>
                <w:b/>
                <w:bCs/>
                <w:color w:val="000000"/>
                <w:sz w:val="18"/>
              </w:rPr>
              <w:t>% Awarded Grants</w:t>
            </w:r>
          </w:p>
        </w:tc>
        <w:tc>
          <w:tcPr>
            <w:tcW w:w="422" w:type="pct"/>
            <w:vMerge w:val="restart"/>
            <w:tcBorders>
              <w:top w:val="single" w:sz="4" w:space="0" w:color="auto"/>
              <w:left w:val="single" w:sz="4" w:space="0" w:color="auto"/>
              <w:bottom w:val="single" w:sz="4" w:space="0" w:color="000000"/>
              <w:right w:val="single" w:sz="4" w:space="0" w:color="auto"/>
            </w:tcBorders>
            <w:vAlign w:val="bottom"/>
          </w:tcPr>
          <w:p w:rsidR="0079646D" w:rsidRPr="006F7DF2" w:rsidRDefault="0079646D" w:rsidP="003879F1">
            <w:pPr>
              <w:keepNext/>
              <w:keepLines/>
              <w:spacing w:after="0" w:line="240" w:lineRule="auto"/>
              <w:jc w:val="center"/>
              <w:outlineLvl w:val="0"/>
              <w:rPr>
                <w:rFonts w:cs="Calibri"/>
                <w:b/>
                <w:bCs/>
                <w:color w:val="000000"/>
                <w:sz w:val="18"/>
              </w:rPr>
            </w:pPr>
            <w:r w:rsidRPr="006F7DF2">
              <w:rPr>
                <w:rFonts w:cs="Calibri"/>
                <w:b/>
                <w:bCs/>
                <w:color w:val="000000"/>
                <w:sz w:val="18"/>
              </w:rPr>
              <w:t>Typical Federal Share</w:t>
            </w:r>
          </w:p>
        </w:tc>
        <w:tc>
          <w:tcPr>
            <w:tcW w:w="1750" w:type="pct"/>
            <w:gridSpan w:val="3"/>
            <w:tcBorders>
              <w:top w:val="single" w:sz="4" w:space="0" w:color="auto"/>
              <w:left w:val="nil"/>
              <w:bottom w:val="single" w:sz="4" w:space="0" w:color="auto"/>
              <w:right w:val="single" w:sz="4" w:space="0" w:color="000000"/>
            </w:tcBorders>
            <w:vAlign w:val="bottom"/>
          </w:tcPr>
          <w:p w:rsidR="0079646D" w:rsidRPr="006F7DF2" w:rsidRDefault="0079646D" w:rsidP="003879F1">
            <w:pPr>
              <w:keepNext/>
              <w:keepLines/>
              <w:spacing w:after="0" w:line="240" w:lineRule="auto"/>
              <w:jc w:val="center"/>
              <w:outlineLvl w:val="0"/>
              <w:rPr>
                <w:rFonts w:cs="Calibri"/>
                <w:b/>
                <w:bCs/>
                <w:color w:val="000000"/>
                <w:sz w:val="20"/>
              </w:rPr>
            </w:pPr>
            <w:r w:rsidRPr="006F7DF2">
              <w:rPr>
                <w:rFonts w:cs="Calibri"/>
                <w:b/>
                <w:bCs/>
                <w:color w:val="000000"/>
                <w:sz w:val="20"/>
              </w:rPr>
              <w:t>Reduction in Federal Transfers</w:t>
            </w:r>
            <w:r w:rsidRPr="006F7DF2">
              <w:rPr>
                <w:rFonts w:cs="Calibri"/>
                <w:b/>
                <w:bCs/>
                <w:color w:val="000000"/>
                <w:sz w:val="20"/>
                <w:vertAlign w:val="superscript"/>
              </w:rPr>
              <w:t>1</w:t>
            </w:r>
          </w:p>
        </w:tc>
      </w:tr>
      <w:tr w:rsidR="0079646D" w:rsidRPr="000B185D">
        <w:trPr>
          <w:trHeight w:val="305"/>
        </w:trPr>
        <w:tc>
          <w:tcPr>
            <w:tcW w:w="526" w:type="pct"/>
            <w:vMerge/>
            <w:tcBorders>
              <w:top w:val="single" w:sz="4" w:space="0" w:color="auto"/>
              <w:left w:val="single" w:sz="4" w:space="0" w:color="auto"/>
              <w:bottom w:val="single" w:sz="4" w:space="0" w:color="auto"/>
              <w:right w:val="single" w:sz="4" w:space="0" w:color="auto"/>
            </w:tcBorders>
            <w:vAlign w:val="center"/>
          </w:tcPr>
          <w:p w:rsidR="0079646D" w:rsidRPr="006F7DF2" w:rsidRDefault="0079646D" w:rsidP="003879F1">
            <w:pPr>
              <w:keepNext/>
              <w:keepLines/>
              <w:spacing w:after="0" w:line="240" w:lineRule="auto"/>
              <w:rPr>
                <w:rFonts w:cs="Calibri"/>
                <w:b/>
                <w:bCs/>
                <w:sz w:val="20"/>
              </w:rPr>
            </w:pPr>
          </w:p>
        </w:tc>
        <w:tc>
          <w:tcPr>
            <w:tcW w:w="611" w:type="pct"/>
            <w:tcBorders>
              <w:top w:val="nil"/>
              <w:left w:val="nil"/>
              <w:bottom w:val="single" w:sz="4" w:space="0" w:color="auto"/>
              <w:right w:val="single" w:sz="4" w:space="0" w:color="auto"/>
            </w:tcBorders>
            <w:noWrap/>
            <w:vAlign w:val="bottom"/>
          </w:tcPr>
          <w:p w:rsidR="0079646D" w:rsidRPr="006F7DF2" w:rsidRDefault="0079646D" w:rsidP="003879F1">
            <w:pPr>
              <w:keepNext/>
              <w:keepLines/>
              <w:spacing w:after="0" w:line="240" w:lineRule="auto"/>
              <w:jc w:val="center"/>
              <w:outlineLvl w:val="0"/>
              <w:rPr>
                <w:rFonts w:cs="Calibri"/>
                <w:color w:val="000000"/>
                <w:sz w:val="18"/>
              </w:rPr>
            </w:pPr>
            <w:r w:rsidRPr="006F7DF2">
              <w:rPr>
                <w:rFonts w:cs="Calibri"/>
                <w:color w:val="000000"/>
                <w:sz w:val="18"/>
              </w:rPr>
              <w:t>Low</w:t>
            </w:r>
          </w:p>
        </w:tc>
        <w:tc>
          <w:tcPr>
            <w:tcW w:w="610" w:type="pct"/>
            <w:tcBorders>
              <w:top w:val="nil"/>
              <w:left w:val="nil"/>
              <w:bottom w:val="single" w:sz="4" w:space="0" w:color="auto"/>
              <w:right w:val="single" w:sz="4" w:space="0" w:color="auto"/>
            </w:tcBorders>
            <w:noWrap/>
            <w:vAlign w:val="bottom"/>
          </w:tcPr>
          <w:p w:rsidR="0079646D" w:rsidRPr="006F7DF2" w:rsidRDefault="0079646D" w:rsidP="003879F1">
            <w:pPr>
              <w:keepNext/>
              <w:keepLines/>
              <w:spacing w:after="0" w:line="240" w:lineRule="auto"/>
              <w:jc w:val="center"/>
              <w:outlineLvl w:val="0"/>
              <w:rPr>
                <w:rFonts w:cs="Calibri"/>
                <w:color w:val="000000"/>
                <w:sz w:val="18"/>
              </w:rPr>
            </w:pPr>
            <w:r w:rsidRPr="006F7DF2">
              <w:rPr>
                <w:rFonts w:cs="Calibri"/>
                <w:color w:val="000000"/>
                <w:sz w:val="18"/>
              </w:rPr>
              <w:t>Primary</w:t>
            </w:r>
          </w:p>
        </w:tc>
        <w:tc>
          <w:tcPr>
            <w:tcW w:w="612" w:type="pct"/>
            <w:tcBorders>
              <w:top w:val="nil"/>
              <w:left w:val="nil"/>
              <w:bottom w:val="single" w:sz="4" w:space="0" w:color="auto"/>
              <w:right w:val="single" w:sz="4" w:space="0" w:color="auto"/>
            </w:tcBorders>
            <w:noWrap/>
            <w:vAlign w:val="bottom"/>
          </w:tcPr>
          <w:p w:rsidR="0079646D" w:rsidRPr="006F7DF2" w:rsidRDefault="0079646D" w:rsidP="003879F1">
            <w:pPr>
              <w:keepNext/>
              <w:keepLines/>
              <w:spacing w:after="0" w:line="240" w:lineRule="auto"/>
              <w:jc w:val="center"/>
              <w:outlineLvl w:val="0"/>
              <w:rPr>
                <w:rFonts w:cs="Calibri"/>
                <w:color w:val="000000"/>
                <w:sz w:val="18"/>
              </w:rPr>
            </w:pPr>
            <w:r w:rsidRPr="006F7DF2">
              <w:rPr>
                <w:rFonts w:cs="Calibri"/>
                <w:color w:val="000000"/>
                <w:sz w:val="18"/>
              </w:rPr>
              <w:t>High</w:t>
            </w:r>
          </w:p>
        </w:tc>
        <w:tc>
          <w:tcPr>
            <w:tcW w:w="469" w:type="pct"/>
            <w:vMerge/>
            <w:tcBorders>
              <w:top w:val="single" w:sz="4" w:space="0" w:color="auto"/>
              <w:left w:val="single" w:sz="4" w:space="0" w:color="auto"/>
              <w:bottom w:val="single" w:sz="4" w:space="0" w:color="auto"/>
              <w:right w:val="single" w:sz="4" w:space="0" w:color="auto"/>
            </w:tcBorders>
            <w:vAlign w:val="center"/>
          </w:tcPr>
          <w:p w:rsidR="0079646D" w:rsidRPr="006F7DF2" w:rsidRDefault="0079646D" w:rsidP="003879F1">
            <w:pPr>
              <w:keepNext/>
              <w:keepLines/>
              <w:spacing w:after="0" w:line="240" w:lineRule="auto"/>
              <w:rPr>
                <w:rFonts w:cs="Calibri"/>
                <w:b/>
                <w:bCs/>
                <w:color w:val="000000"/>
                <w:sz w:val="20"/>
              </w:rPr>
            </w:pPr>
          </w:p>
        </w:tc>
        <w:tc>
          <w:tcPr>
            <w:tcW w:w="422" w:type="pct"/>
            <w:vMerge/>
            <w:tcBorders>
              <w:top w:val="single" w:sz="4" w:space="0" w:color="auto"/>
              <w:left w:val="single" w:sz="4" w:space="0" w:color="auto"/>
              <w:bottom w:val="single" w:sz="4" w:space="0" w:color="000000"/>
              <w:right w:val="single" w:sz="4" w:space="0" w:color="auto"/>
            </w:tcBorders>
            <w:vAlign w:val="center"/>
          </w:tcPr>
          <w:p w:rsidR="0079646D" w:rsidRPr="006F7DF2" w:rsidRDefault="0079646D" w:rsidP="003879F1">
            <w:pPr>
              <w:keepNext/>
              <w:keepLines/>
              <w:spacing w:after="0" w:line="240" w:lineRule="auto"/>
              <w:rPr>
                <w:rFonts w:cs="Calibri"/>
                <w:b/>
                <w:bCs/>
                <w:color w:val="000000"/>
                <w:sz w:val="20"/>
              </w:rPr>
            </w:pPr>
          </w:p>
        </w:tc>
        <w:tc>
          <w:tcPr>
            <w:tcW w:w="564" w:type="pct"/>
            <w:tcBorders>
              <w:top w:val="nil"/>
              <w:left w:val="nil"/>
              <w:bottom w:val="single" w:sz="4" w:space="0" w:color="auto"/>
              <w:right w:val="single" w:sz="4" w:space="0" w:color="auto"/>
            </w:tcBorders>
            <w:noWrap/>
            <w:vAlign w:val="bottom"/>
          </w:tcPr>
          <w:p w:rsidR="0079646D" w:rsidRPr="006F7DF2" w:rsidRDefault="0079646D" w:rsidP="003879F1">
            <w:pPr>
              <w:keepNext/>
              <w:keepLines/>
              <w:spacing w:after="0" w:line="240" w:lineRule="auto"/>
              <w:jc w:val="center"/>
              <w:outlineLvl w:val="0"/>
              <w:rPr>
                <w:rFonts w:cs="Calibri"/>
                <w:sz w:val="18"/>
              </w:rPr>
            </w:pPr>
            <w:r w:rsidRPr="006F7DF2">
              <w:rPr>
                <w:rFonts w:cs="Calibri"/>
                <w:sz w:val="18"/>
              </w:rPr>
              <w:t>Low</w:t>
            </w:r>
          </w:p>
        </w:tc>
        <w:tc>
          <w:tcPr>
            <w:tcW w:w="564" w:type="pct"/>
            <w:tcBorders>
              <w:top w:val="nil"/>
              <w:left w:val="nil"/>
              <w:bottom w:val="single" w:sz="4" w:space="0" w:color="auto"/>
              <w:right w:val="single" w:sz="4" w:space="0" w:color="auto"/>
            </w:tcBorders>
            <w:noWrap/>
            <w:vAlign w:val="bottom"/>
          </w:tcPr>
          <w:p w:rsidR="0079646D" w:rsidRPr="006F7DF2" w:rsidRDefault="0079646D" w:rsidP="003879F1">
            <w:pPr>
              <w:keepNext/>
              <w:keepLines/>
              <w:spacing w:after="0" w:line="240" w:lineRule="auto"/>
              <w:jc w:val="center"/>
              <w:outlineLvl w:val="0"/>
              <w:rPr>
                <w:rFonts w:cs="Calibri"/>
                <w:sz w:val="18"/>
              </w:rPr>
            </w:pPr>
            <w:r w:rsidRPr="006F7DF2">
              <w:rPr>
                <w:rFonts w:cs="Calibri"/>
                <w:sz w:val="18"/>
              </w:rPr>
              <w:t>Primary</w:t>
            </w:r>
          </w:p>
        </w:tc>
        <w:tc>
          <w:tcPr>
            <w:tcW w:w="622" w:type="pct"/>
            <w:tcBorders>
              <w:top w:val="nil"/>
              <w:left w:val="nil"/>
              <w:bottom w:val="single" w:sz="4" w:space="0" w:color="auto"/>
              <w:right w:val="single" w:sz="4" w:space="0" w:color="auto"/>
            </w:tcBorders>
            <w:noWrap/>
            <w:vAlign w:val="bottom"/>
          </w:tcPr>
          <w:p w:rsidR="0079646D" w:rsidRPr="006F7DF2" w:rsidRDefault="0079646D" w:rsidP="003879F1">
            <w:pPr>
              <w:keepNext/>
              <w:keepLines/>
              <w:spacing w:after="0" w:line="240" w:lineRule="auto"/>
              <w:jc w:val="center"/>
              <w:outlineLvl w:val="0"/>
              <w:rPr>
                <w:rFonts w:cs="Calibri"/>
                <w:sz w:val="18"/>
              </w:rPr>
            </w:pPr>
            <w:r w:rsidRPr="006F7DF2">
              <w:rPr>
                <w:rFonts w:cs="Calibri"/>
                <w:sz w:val="18"/>
              </w:rPr>
              <w:t>High</w:t>
            </w:r>
          </w:p>
        </w:tc>
      </w:tr>
      <w:tr w:rsidR="0079646D" w:rsidRPr="000B185D">
        <w:trPr>
          <w:trHeight w:val="300"/>
        </w:trPr>
        <w:tc>
          <w:tcPr>
            <w:tcW w:w="526" w:type="pct"/>
            <w:tcBorders>
              <w:top w:val="single" w:sz="4" w:space="0" w:color="auto"/>
              <w:left w:val="single" w:sz="4" w:space="0" w:color="auto"/>
              <w:bottom w:val="single" w:sz="4" w:space="0" w:color="auto"/>
              <w:right w:val="single" w:sz="4" w:space="0" w:color="auto"/>
            </w:tcBorders>
            <w:noWrap/>
            <w:vAlign w:val="bottom"/>
          </w:tcPr>
          <w:p w:rsidR="0079646D" w:rsidRPr="006F7DF2" w:rsidRDefault="0079646D" w:rsidP="003879F1">
            <w:pPr>
              <w:keepNext/>
              <w:keepLines/>
              <w:spacing w:after="0" w:line="240" w:lineRule="auto"/>
              <w:outlineLvl w:val="0"/>
              <w:rPr>
                <w:rFonts w:cs="Calibri"/>
                <w:sz w:val="18"/>
              </w:rPr>
            </w:pPr>
            <w:r w:rsidRPr="006F7DF2">
              <w:rPr>
                <w:rFonts w:cs="Calibri"/>
                <w:sz w:val="18"/>
              </w:rPr>
              <w:t>Standard Plan Update</w:t>
            </w:r>
          </w:p>
        </w:tc>
        <w:tc>
          <w:tcPr>
            <w:tcW w:w="611" w:type="pct"/>
            <w:tcBorders>
              <w:top w:val="nil"/>
              <w:left w:val="nil"/>
              <w:bottom w:val="single" w:sz="4" w:space="0" w:color="auto"/>
              <w:right w:val="single" w:sz="4" w:space="0" w:color="auto"/>
            </w:tcBorders>
            <w:noWrap/>
            <w:vAlign w:val="bottom"/>
          </w:tcPr>
          <w:p w:rsidR="0079646D" w:rsidRPr="006F7DF2" w:rsidRDefault="0079646D" w:rsidP="003879F1">
            <w:pPr>
              <w:keepNext/>
              <w:keepLines/>
              <w:spacing w:after="0" w:line="240" w:lineRule="auto"/>
              <w:jc w:val="center"/>
              <w:outlineLvl w:val="0"/>
              <w:rPr>
                <w:rFonts w:cs="Calibri"/>
                <w:color w:val="000000"/>
                <w:sz w:val="18"/>
              </w:rPr>
            </w:pPr>
            <w:r w:rsidRPr="009079B5">
              <w:rPr>
                <w:rFonts w:cs="Calibri"/>
                <w:color w:val="000000"/>
                <w:sz w:val="18"/>
              </w:rPr>
              <w:t>$9,430,000</w:t>
            </w:r>
          </w:p>
        </w:tc>
        <w:tc>
          <w:tcPr>
            <w:tcW w:w="610" w:type="pct"/>
            <w:tcBorders>
              <w:top w:val="nil"/>
              <w:left w:val="nil"/>
              <w:bottom w:val="single" w:sz="4" w:space="0" w:color="auto"/>
              <w:right w:val="single" w:sz="4" w:space="0" w:color="auto"/>
            </w:tcBorders>
            <w:noWrap/>
            <w:vAlign w:val="bottom"/>
          </w:tcPr>
          <w:p w:rsidR="0079646D" w:rsidRPr="006F7DF2" w:rsidRDefault="0079646D" w:rsidP="003879F1">
            <w:pPr>
              <w:keepNext/>
              <w:keepLines/>
              <w:spacing w:after="0" w:line="240" w:lineRule="auto"/>
              <w:jc w:val="center"/>
              <w:outlineLvl w:val="0"/>
              <w:rPr>
                <w:rFonts w:cs="Calibri"/>
                <w:color w:val="000000"/>
                <w:sz w:val="18"/>
              </w:rPr>
            </w:pPr>
            <w:r w:rsidRPr="009079B5">
              <w:rPr>
                <w:rFonts w:cs="Calibri"/>
                <w:color w:val="000000"/>
                <w:sz w:val="18"/>
              </w:rPr>
              <w:t>$18,860,000</w:t>
            </w:r>
          </w:p>
        </w:tc>
        <w:tc>
          <w:tcPr>
            <w:tcW w:w="612" w:type="pct"/>
            <w:tcBorders>
              <w:top w:val="nil"/>
              <w:left w:val="nil"/>
              <w:bottom w:val="single" w:sz="4" w:space="0" w:color="auto"/>
              <w:right w:val="single" w:sz="4" w:space="0" w:color="auto"/>
            </w:tcBorders>
            <w:noWrap/>
            <w:vAlign w:val="bottom"/>
          </w:tcPr>
          <w:p w:rsidR="0079646D" w:rsidRPr="006F7DF2" w:rsidRDefault="0079646D" w:rsidP="003879F1">
            <w:pPr>
              <w:keepNext/>
              <w:keepLines/>
              <w:spacing w:after="0" w:line="240" w:lineRule="auto"/>
              <w:jc w:val="center"/>
              <w:outlineLvl w:val="0"/>
              <w:rPr>
                <w:rFonts w:cs="Calibri"/>
                <w:color w:val="000000"/>
                <w:sz w:val="18"/>
              </w:rPr>
            </w:pPr>
            <w:r w:rsidRPr="009079B5">
              <w:rPr>
                <w:rFonts w:cs="Calibri"/>
                <w:color w:val="000000"/>
                <w:sz w:val="18"/>
              </w:rPr>
              <w:t>$28,290,000</w:t>
            </w:r>
          </w:p>
        </w:tc>
        <w:tc>
          <w:tcPr>
            <w:tcW w:w="469" w:type="pct"/>
            <w:tcBorders>
              <w:top w:val="nil"/>
              <w:left w:val="nil"/>
              <w:bottom w:val="single" w:sz="4" w:space="0" w:color="auto"/>
              <w:right w:val="single" w:sz="4" w:space="0" w:color="auto"/>
            </w:tcBorders>
            <w:noWrap/>
            <w:vAlign w:val="bottom"/>
          </w:tcPr>
          <w:p w:rsidR="0079646D" w:rsidRPr="006F7DF2" w:rsidRDefault="0079646D" w:rsidP="003879F1">
            <w:pPr>
              <w:keepNext/>
              <w:keepLines/>
              <w:spacing w:after="0" w:line="240" w:lineRule="auto"/>
              <w:jc w:val="center"/>
              <w:outlineLvl w:val="0"/>
              <w:rPr>
                <w:rFonts w:cs="Calibri"/>
                <w:sz w:val="18"/>
              </w:rPr>
            </w:pPr>
            <w:r w:rsidRPr="006F7DF2">
              <w:rPr>
                <w:rFonts w:cs="Calibri"/>
                <w:sz w:val="18"/>
              </w:rPr>
              <w:t>43%</w:t>
            </w:r>
          </w:p>
        </w:tc>
        <w:tc>
          <w:tcPr>
            <w:tcW w:w="422" w:type="pct"/>
            <w:tcBorders>
              <w:top w:val="nil"/>
              <w:left w:val="nil"/>
              <w:bottom w:val="single" w:sz="4" w:space="0" w:color="auto"/>
              <w:right w:val="single" w:sz="4" w:space="0" w:color="auto"/>
            </w:tcBorders>
            <w:noWrap/>
            <w:vAlign w:val="bottom"/>
          </w:tcPr>
          <w:p w:rsidR="0079646D" w:rsidRPr="006F7DF2" w:rsidRDefault="0079646D" w:rsidP="003879F1">
            <w:pPr>
              <w:keepNext/>
              <w:keepLines/>
              <w:spacing w:after="0" w:line="240" w:lineRule="auto"/>
              <w:jc w:val="center"/>
              <w:outlineLvl w:val="0"/>
              <w:rPr>
                <w:rFonts w:cs="Calibri"/>
                <w:sz w:val="18"/>
              </w:rPr>
            </w:pPr>
            <w:r w:rsidRPr="006F7DF2">
              <w:rPr>
                <w:rFonts w:cs="Calibri"/>
                <w:sz w:val="18"/>
              </w:rPr>
              <w:t>75%</w:t>
            </w:r>
          </w:p>
        </w:tc>
        <w:tc>
          <w:tcPr>
            <w:tcW w:w="564" w:type="pct"/>
            <w:tcBorders>
              <w:top w:val="nil"/>
              <w:left w:val="nil"/>
              <w:bottom w:val="single" w:sz="4" w:space="0" w:color="auto"/>
              <w:right w:val="single" w:sz="4" w:space="0" w:color="auto"/>
            </w:tcBorders>
            <w:noWrap/>
            <w:vAlign w:val="bottom"/>
          </w:tcPr>
          <w:p w:rsidR="0079646D" w:rsidRPr="00842A06" w:rsidRDefault="0079646D" w:rsidP="003879F1">
            <w:pPr>
              <w:keepNext/>
              <w:keepLines/>
              <w:spacing w:after="0" w:line="240" w:lineRule="auto"/>
              <w:jc w:val="center"/>
              <w:outlineLvl w:val="0"/>
              <w:rPr>
                <w:rFonts w:cs="Calibri"/>
                <w:color w:val="000000"/>
                <w:sz w:val="18"/>
              </w:rPr>
            </w:pPr>
            <w:r w:rsidRPr="009079B5">
              <w:rPr>
                <w:rFonts w:cs="Calibri"/>
                <w:color w:val="000000"/>
                <w:sz w:val="18"/>
              </w:rPr>
              <w:t>$3,041,175</w:t>
            </w:r>
          </w:p>
        </w:tc>
        <w:tc>
          <w:tcPr>
            <w:tcW w:w="564" w:type="pct"/>
            <w:tcBorders>
              <w:top w:val="nil"/>
              <w:left w:val="nil"/>
              <w:bottom w:val="single" w:sz="4" w:space="0" w:color="auto"/>
              <w:right w:val="single" w:sz="4" w:space="0" w:color="auto"/>
            </w:tcBorders>
            <w:noWrap/>
            <w:vAlign w:val="bottom"/>
          </w:tcPr>
          <w:p w:rsidR="0079646D" w:rsidRPr="00842A06" w:rsidRDefault="0079646D" w:rsidP="003879F1">
            <w:pPr>
              <w:keepNext/>
              <w:keepLines/>
              <w:spacing w:after="0" w:line="240" w:lineRule="auto"/>
              <w:jc w:val="center"/>
              <w:outlineLvl w:val="0"/>
              <w:rPr>
                <w:rFonts w:cs="Calibri"/>
                <w:color w:val="000000"/>
                <w:sz w:val="18"/>
              </w:rPr>
            </w:pPr>
            <w:r w:rsidRPr="009079B5">
              <w:rPr>
                <w:rFonts w:cs="Calibri"/>
                <w:color w:val="000000"/>
                <w:sz w:val="18"/>
              </w:rPr>
              <w:t>$6,082,350</w:t>
            </w:r>
          </w:p>
        </w:tc>
        <w:tc>
          <w:tcPr>
            <w:tcW w:w="622" w:type="pct"/>
            <w:tcBorders>
              <w:top w:val="nil"/>
              <w:left w:val="nil"/>
              <w:bottom w:val="single" w:sz="4" w:space="0" w:color="auto"/>
              <w:right w:val="single" w:sz="4" w:space="0" w:color="auto"/>
            </w:tcBorders>
            <w:noWrap/>
            <w:vAlign w:val="bottom"/>
          </w:tcPr>
          <w:p w:rsidR="0079646D" w:rsidRPr="00842A06" w:rsidRDefault="0079646D" w:rsidP="003879F1">
            <w:pPr>
              <w:keepNext/>
              <w:keepLines/>
              <w:spacing w:after="0" w:line="240" w:lineRule="auto"/>
              <w:jc w:val="center"/>
              <w:outlineLvl w:val="0"/>
              <w:rPr>
                <w:rFonts w:cs="Calibri"/>
                <w:color w:val="000000"/>
                <w:sz w:val="18"/>
              </w:rPr>
            </w:pPr>
            <w:r w:rsidRPr="009079B5">
              <w:rPr>
                <w:rFonts w:cs="Calibri"/>
                <w:color w:val="000000"/>
                <w:sz w:val="18"/>
              </w:rPr>
              <w:t>$9,123,525</w:t>
            </w:r>
          </w:p>
        </w:tc>
      </w:tr>
      <w:tr w:rsidR="0079646D" w:rsidRPr="000B185D">
        <w:trPr>
          <w:trHeight w:val="300"/>
        </w:trPr>
        <w:tc>
          <w:tcPr>
            <w:tcW w:w="526" w:type="pct"/>
            <w:tcBorders>
              <w:top w:val="single" w:sz="4" w:space="0" w:color="auto"/>
              <w:left w:val="single" w:sz="4" w:space="0" w:color="auto"/>
              <w:bottom w:val="single" w:sz="4" w:space="0" w:color="auto"/>
              <w:right w:val="single" w:sz="4" w:space="0" w:color="auto"/>
            </w:tcBorders>
            <w:noWrap/>
            <w:vAlign w:val="bottom"/>
          </w:tcPr>
          <w:p w:rsidR="0079646D" w:rsidRPr="006F7DF2" w:rsidRDefault="0079646D" w:rsidP="003879F1">
            <w:pPr>
              <w:keepNext/>
              <w:keepLines/>
              <w:spacing w:after="0" w:line="240" w:lineRule="auto"/>
              <w:outlineLvl w:val="0"/>
              <w:rPr>
                <w:rFonts w:cs="Calibri"/>
                <w:sz w:val="18"/>
              </w:rPr>
            </w:pPr>
            <w:r w:rsidRPr="006F7DF2">
              <w:rPr>
                <w:rFonts w:cs="Calibri"/>
                <w:sz w:val="18"/>
              </w:rPr>
              <w:t>Enhanced Plan Update</w:t>
            </w:r>
          </w:p>
        </w:tc>
        <w:tc>
          <w:tcPr>
            <w:tcW w:w="611" w:type="pct"/>
            <w:tcBorders>
              <w:top w:val="nil"/>
              <w:left w:val="nil"/>
              <w:bottom w:val="single" w:sz="4" w:space="0" w:color="auto"/>
              <w:right w:val="single" w:sz="4" w:space="0" w:color="auto"/>
            </w:tcBorders>
            <w:noWrap/>
            <w:vAlign w:val="bottom"/>
          </w:tcPr>
          <w:p w:rsidR="0079646D" w:rsidRPr="006F7DF2" w:rsidRDefault="0079646D" w:rsidP="003879F1">
            <w:pPr>
              <w:keepNext/>
              <w:keepLines/>
              <w:spacing w:after="0" w:line="240" w:lineRule="auto"/>
              <w:jc w:val="center"/>
              <w:outlineLvl w:val="0"/>
              <w:rPr>
                <w:rFonts w:cs="Calibri"/>
                <w:color w:val="000000"/>
                <w:sz w:val="18"/>
              </w:rPr>
            </w:pPr>
            <w:r w:rsidRPr="009079B5">
              <w:rPr>
                <w:rFonts w:cs="Calibri"/>
                <w:color w:val="000000"/>
                <w:sz w:val="18"/>
              </w:rPr>
              <w:t>$5,240,000</w:t>
            </w:r>
          </w:p>
        </w:tc>
        <w:tc>
          <w:tcPr>
            <w:tcW w:w="610" w:type="pct"/>
            <w:tcBorders>
              <w:top w:val="nil"/>
              <w:left w:val="nil"/>
              <w:bottom w:val="single" w:sz="4" w:space="0" w:color="auto"/>
              <w:right w:val="single" w:sz="4" w:space="0" w:color="auto"/>
            </w:tcBorders>
            <w:noWrap/>
            <w:vAlign w:val="bottom"/>
          </w:tcPr>
          <w:p w:rsidR="0079646D" w:rsidRPr="006F7DF2" w:rsidRDefault="0079646D" w:rsidP="003879F1">
            <w:pPr>
              <w:keepNext/>
              <w:keepLines/>
              <w:spacing w:after="0" w:line="240" w:lineRule="auto"/>
              <w:jc w:val="center"/>
              <w:outlineLvl w:val="0"/>
              <w:rPr>
                <w:rFonts w:cs="Calibri"/>
                <w:color w:val="000000"/>
                <w:sz w:val="18"/>
              </w:rPr>
            </w:pPr>
            <w:r w:rsidRPr="009079B5">
              <w:rPr>
                <w:rFonts w:cs="Calibri"/>
                <w:color w:val="000000"/>
                <w:sz w:val="18"/>
              </w:rPr>
              <w:t>$10,480,000</w:t>
            </w:r>
          </w:p>
        </w:tc>
        <w:tc>
          <w:tcPr>
            <w:tcW w:w="612" w:type="pct"/>
            <w:tcBorders>
              <w:top w:val="nil"/>
              <w:left w:val="nil"/>
              <w:bottom w:val="single" w:sz="4" w:space="0" w:color="auto"/>
              <w:right w:val="single" w:sz="4" w:space="0" w:color="auto"/>
            </w:tcBorders>
            <w:noWrap/>
            <w:vAlign w:val="bottom"/>
          </w:tcPr>
          <w:p w:rsidR="0079646D" w:rsidRPr="006F7DF2" w:rsidRDefault="0079646D" w:rsidP="003879F1">
            <w:pPr>
              <w:keepNext/>
              <w:keepLines/>
              <w:spacing w:after="0" w:line="240" w:lineRule="auto"/>
              <w:jc w:val="center"/>
              <w:outlineLvl w:val="0"/>
              <w:rPr>
                <w:rFonts w:cs="Calibri"/>
                <w:color w:val="000000"/>
                <w:sz w:val="18"/>
              </w:rPr>
            </w:pPr>
            <w:r w:rsidRPr="009079B5">
              <w:rPr>
                <w:rFonts w:cs="Calibri"/>
                <w:color w:val="000000"/>
                <w:sz w:val="18"/>
              </w:rPr>
              <w:t>$15,720,000</w:t>
            </w:r>
          </w:p>
        </w:tc>
        <w:tc>
          <w:tcPr>
            <w:tcW w:w="469" w:type="pct"/>
            <w:tcBorders>
              <w:top w:val="nil"/>
              <w:left w:val="nil"/>
              <w:bottom w:val="single" w:sz="4" w:space="0" w:color="auto"/>
              <w:right w:val="single" w:sz="4" w:space="0" w:color="auto"/>
            </w:tcBorders>
            <w:noWrap/>
            <w:vAlign w:val="bottom"/>
          </w:tcPr>
          <w:p w:rsidR="0079646D" w:rsidRPr="006F7DF2" w:rsidRDefault="0079646D" w:rsidP="003879F1">
            <w:pPr>
              <w:keepNext/>
              <w:keepLines/>
              <w:spacing w:after="0" w:line="240" w:lineRule="auto"/>
              <w:jc w:val="center"/>
              <w:outlineLvl w:val="0"/>
              <w:rPr>
                <w:rFonts w:cs="Calibri"/>
                <w:sz w:val="18"/>
              </w:rPr>
            </w:pPr>
            <w:r w:rsidRPr="006F7DF2">
              <w:rPr>
                <w:rFonts w:cs="Calibri"/>
                <w:sz w:val="18"/>
              </w:rPr>
              <w:t>13%</w:t>
            </w:r>
          </w:p>
        </w:tc>
        <w:tc>
          <w:tcPr>
            <w:tcW w:w="422" w:type="pct"/>
            <w:tcBorders>
              <w:top w:val="nil"/>
              <w:left w:val="nil"/>
              <w:bottom w:val="single" w:sz="4" w:space="0" w:color="auto"/>
              <w:right w:val="single" w:sz="4" w:space="0" w:color="auto"/>
            </w:tcBorders>
            <w:noWrap/>
            <w:vAlign w:val="bottom"/>
          </w:tcPr>
          <w:p w:rsidR="0079646D" w:rsidRPr="006F7DF2" w:rsidRDefault="0079646D" w:rsidP="003879F1">
            <w:pPr>
              <w:keepNext/>
              <w:keepLines/>
              <w:spacing w:after="0" w:line="240" w:lineRule="auto"/>
              <w:jc w:val="center"/>
              <w:outlineLvl w:val="0"/>
              <w:rPr>
                <w:rFonts w:cs="Calibri"/>
                <w:sz w:val="18"/>
              </w:rPr>
            </w:pPr>
            <w:r w:rsidRPr="006F7DF2">
              <w:rPr>
                <w:rFonts w:cs="Calibri"/>
                <w:sz w:val="18"/>
              </w:rPr>
              <w:t>75%</w:t>
            </w:r>
          </w:p>
        </w:tc>
        <w:tc>
          <w:tcPr>
            <w:tcW w:w="564" w:type="pct"/>
            <w:tcBorders>
              <w:top w:val="nil"/>
              <w:left w:val="nil"/>
              <w:bottom w:val="single" w:sz="4" w:space="0" w:color="auto"/>
              <w:right w:val="single" w:sz="4" w:space="0" w:color="auto"/>
            </w:tcBorders>
            <w:noWrap/>
            <w:vAlign w:val="bottom"/>
          </w:tcPr>
          <w:p w:rsidR="0079646D" w:rsidRPr="00842A06" w:rsidRDefault="0079646D" w:rsidP="003879F1">
            <w:pPr>
              <w:keepNext/>
              <w:keepLines/>
              <w:spacing w:after="0" w:line="240" w:lineRule="auto"/>
              <w:jc w:val="center"/>
              <w:outlineLvl w:val="0"/>
              <w:rPr>
                <w:rFonts w:cs="Calibri"/>
                <w:color w:val="000000"/>
                <w:sz w:val="18"/>
              </w:rPr>
            </w:pPr>
            <w:r w:rsidRPr="009079B5">
              <w:rPr>
                <w:rFonts w:cs="Calibri"/>
                <w:color w:val="000000"/>
                <w:sz w:val="18"/>
              </w:rPr>
              <w:t>$510,900</w:t>
            </w:r>
          </w:p>
        </w:tc>
        <w:tc>
          <w:tcPr>
            <w:tcW w:w="564" w:type="pct"/>
            <w:tcBorders>
              <w:top w:val="nil"/>
              <w:left w:val="nil"/>
              <w:bottom w:val="single" w:sz="4" w:space="0" w:color="auto"/>
              <w:right w:val="single" w:sz="4" w:space="0" w:color="auto"/>
            </w:tcBorders>
            <w:noWrap/>
            <w:vAlign w:val="bottom"/>
          </w:tcPr>
          <w:p w:rsidR="0079646D" w:rsidRPr="00842A06" w:rsidRDefault="0079646D" w:rsidP="003879F1">
            <w:pPr>
              <w:keepNext/>
              <w:keepLines/>
              <w:spacing w:after="0" w:line="240" w:lineRule="auto"/>
              <w:jc w:val="center"/>
              <w:outlineLvl w:val="0"/>
              <w:rPr>
                <w:rFonts w:cs="Calibri"/>
                <w:color w:val="000000"/>
                <w:sz w:val="18"/>
              </w:rPr>
            </w:pPr>
            <w:r w:rsidRPr="009079B5">
              <w:rPr>
                <w:rFonts w:cs="Calibri"/>
                <w:color w:val="000000"/>
                <w:sz w:val="18"/>
              </w:rPr>
              <w:t>$1,021,800</w:t>
            </w:r>
          </w:p>
        </w:tc>
        <w:tc>
          <w:tcPr>
            <w:tcW w:w="622" w:type="pct"/>
            <w:tcBorders>
              <w:top w:val="nil"/>
              <w:left w:val="nil"/>
              <w:bottom w:val="single" w:sz="4" w:space="0" w:color="auto"/>
              <w:right w:val="single" w:sz="4" w:space="0" w:color="auto"/>
            </w:tcBorders>
            <w:noWrap/>
            <w:vAlign w:val="bottom"/>
          </w:tcPr>
          <w:p w:rsidR="0079646D" w:rsidRPr="00842A06" w:rsidRDefault="0079646D" w:rsidP="003879F1">
            <w:pPr>
              <w:keepNext/>
              <w:keepLines/>
              <w:spacing w:after="0" w:line="240" w:lineRule="auto"/>
              <w:jc w:val="center"/>
              <w:outlineLvl w:val="0"/>
              <w:rPr>
                <w:rFonts w:cs="Calibri"/>
                <w:color w:val="000000"/>
                <w:sz w:val="18"/>
              </w:rPr>
            </w:pPr>
            <w:r w:rsidRPr="009079B5">
              <w:rPr>
                <w:rFonts w:cs="Calibri"/>
                <w:color w:val="000000"/>
                <w:sz w:val="18"/>
              </w:rPr>
              <w:t>$1,532,700</w:t>
            </w:r>
          </w:p>
        </w:tc>
      </w:tr>
      <w:tr w:rsidR="0079646D" w:rsidRPr="000B185D">
        <w:trPr>
          <w:trHeight w:val="300"/>
        </w:trPr>
        <w:tc>
          <w:tcPr>
            <w:tcW w:w="526" w:type="pct"/>
            <w:tcBorders>
              <w:top w:val="single" w:sz="4" w:space="0" w:color="auto"/>
              <w:left w:val="nil"/>
              <w:bottom w:val="nil"/>
            </w:tcBorders>
            <w:noWrap/>
            <w:vAlign w:val="bottom"/>
          </w:tcPr>
          <w:p w:rsidR="0079646D" w:rsidRPr="006F7DF2" w:rsidRDefault="0079646D" w:rsidP="003879F1">
            <w:pPr>
              <w:keepNext/>
              <w:keepLines/>
              <w:spacing w:after="0" w:line="240" w:lineRule="auto"/>
              <w:outlineLvl w:val="0"/>
              <w:rPr>
                <w:rFonts w:cs="Calibri"/>
                <w:b/>
                <w:bCs/>
                <w:sz w:val="20"/>
              </w:rPr>
            </w:pPr>
            <w:r w:rsidRPr="006F7DF2">
              <w:rPr>
                <w:rFonts w:cs="Calibri"/>
                <w:b/>
                <w:bCs/>
                <w:sz w:val="20"/>
              </w:rPr>
              <w:t>Total</w:t>
            </w:r>
          </w:p>
        </w:tc>
        <w:tc>
          <w:tcPr>
            <w:tcW w:w="611" w:type="pct"/>
            <w:tcBorders>
              <w:top w:val="nil"/>
              <w:left w:val="nil"/>
              <w:bottom w:val="nil"/>
              <w:right w:val="nil"/>
            </w:tcBorders>
            <w:noWrap/>
            <w:vAlign w:val="bottom"/>
          </w:tcPr>
          <w:p w:rsidR="0079646D" w:rsidRPr="009079B5" w:rsidRDefault="0079646D" w:rsidP="003879F1">
            <w:pPr>
              <w:keepNext/>
              <w:keepLines/>
              <w:spacing w:after="0" w:line="240" w:lineRule="auto"/>
              <w:jc w:val="center"/>
              <w:outlineLvl w:val="0"/>
              <w:rPr>
                <w:rFonts w:cs="Calibri"/>
                <w:color w:val="000000"/>
                <w:sz w:val="18"/>
              </w:rPr>
            </w:pPr>
            <w:r w:rsidRPr="009079B5">
              <w:rPr>
                <w:rFonts w:cs="Calibri"/>
                <w:color w:val="000000"/>
                <w:sz w:val="18"/>
              </w:rPr>
              <w:t>$14,670,000</w:t>
            </w:r>
          </w:p>
        </w:tc>
        <w:tc>
          <w:tcPr>
            <w:tcW w:w="610" w:type="pct"/>
            <w:tcBorders>
              <w:top w:val="nil"/>
              <w:left w:val="nil"/>
              <w:bottom w:val="nil"/>
              <w:right w:val="nil"/>
            </w:tcBorders>
            <w:noWrap/>
            <w:vAlign w:val="bottom"/>
          </w:tcPr>
          <w:p w:rsidR="0079646D" w:rsidRPr="009079B5" w:rsidRDefault="0079646D" w:rsidP="003879F1">
            <w:pPr>
              <w:keepNext/>
              <w:keepLines/>
              <w:spacing w:after="0" w:line="240" w:lineRule="auto"/>
              <w:jc w:val="center"/>
              <w:outlineLvl w:val="0"/>
              <w:rPr>
                <w:rFonts w:cs="Calibri"/>
                <w:color w:val="000000"/>
                <w:sz w:val="18"/>
              </w:rPr>
            </w:pPr>
            <w:r w:rsidRPr="009079B5">
              <w:rPr>
                <w:rFonts w:cs="Calibri"/>
                <w:color w:val="000000"/>
                <w:sz w:val="18"/>
              </w:rPr>
              <w:t>$29,340,000</w:t>
            </w:r>
          </w:p>
        </w:tc>
        <w:tc>
          <w:tcPr>
            <w:tcW w:w="612" w:type="pct"/>
            <w:tcBorders>
              <w:top w:val="nil"/>
              <w:left w:val="nil"/>
              <w:bottom w:val="nil"/>
              <w:right w:val="nil"/>
            </w:tcBorders>
            <w:noWrap/>
            <w:vAlign w:val="bottom"/>
          </w:tcPr>
          <w:p w:rsidR="0079646D" w:rsidRPr="009079B5" w:rsidRDefault="0079646D" w:rsidP="003879F1">
            <w:pPr>
              <w:keepNext/>
              <w:keepLines/>
              <w:spacing w:after="0" w:line="240" w:lineRule="auto"/>
              <w:jc w:val="center"/>
              <w:outlineLvl w:val="0"/>
              <w:rPr>
                <w:rFonts w:cs="Calibri"/>
                <w:color w:val="000000"/>
                <w:sz w:val="18"/>
              </w:rPr>
            </w:pPr>
            <w:r w:rsidRPr="009079B5">
              <w:rPr>
                <w:rFonts w:cs="Calibri"/>
                <w:color w:val="000000"/>
                <w:sz w:val="18"/>
              </w:rPr>
              <w:t>$44,010,000</w:t>
            </w:r>
          </w:p>
        </w:tc>
        <w:tc>
          <w:tcPr>
            <w:tcW w:w="469" w:type="pct"/>
            <w:tcBorders>
              <w:top w:val="nil"/>
              <w:left w:val="nil"/>
              <w:bottom w:val="nil"/>
              <w:right w:val="nil"/>
            </w:tcBorders>
            <w:noWrap/>
            <w:vAlign w:val="bottom"/>
          </w:tcPr>
          <w:p w:rsidR="0079646D" w:rsidRPr="006F7DF2" w:rsidRDefault="0079646D" w:rsidP="003879F1">
            <w:pPr>
              <w:keepNext/>
              <w:keepLines/>
              <w:spacing w:after="0" w:line="240" w:lineRule="auto"/>
              <w:outlineLvl w:val="0"/>
              <w:rPr>
                <w:rFonts w:cs="Calibri"/>
                <w:color w:val="000000"/>
                <w:sz w:val="18"/>
              </w:rPr>
            </w:pPr>
          </w:p>
        </w:tc>
        <w:tc>
          <w:tcPr>
            <w:tcW w:w="422" w:type="pct"/>
            <w:tcBorders>
              <w:top w:val="nil"/>
              <w:left w:val="nil"/>
              <w:bottom w:val="nil"/>
              <w:right w:val="nil"/>
            </w:tcBorders>
            <w:noWrap/>
            <w:vAlign w:val="bottom"/>
          </w:tcPr>
          <w:p w:rsidR="0079646D" w:rsidRPr="006F7DF2" w:rsidRDefault="0079646D" w:rsidP="003879F1">
            <w:pPr>
              <w:keepNext/>
              <w:keepLines/>
              <w:spacing w:after="0" w:line="240" w:lineRule="auto"/>
              <w:outlineLvl w:val="0"/>
              <w:rPr>
                <w:rFonts w:cs="Calibri"/>
                <w:color w:val="000000"/>
                <w:sz w:val="18"/>
              </w:rPr>
            </w:pPr>
          </w:p>
        </w:tc>
        <w:tc>
          <w:tcPr>
            <w:tcW w:w="564" w:type="pct"/>
            <w:tcBorders>
              <w:top w:val="nil"/>
              <w:left w:val="nil"/>
              <w:bottom w:val="nil"/>
              <w:right w:val="nil"/>
            </w:tcBorders>
            <w:noWrap/>
            <w:vAlign w:val="bottom"/>
          </w:tcPr>
          <w:p w:rsidR="0079646D" w:rsidRPr="009079B5" w:rsidRDefault="0079646D" w:rsidP="003879F1">
            <w:pPr>
              <w:keepNext/>
              <w:keepLines/>
              <w:spacing w:after="0" w:line="240" w:lineRule="auto"/>
              <w:jc w:val="center"/>
              <w:outlineLvl w:val="0"/>
              <w:rPr>
                <w:rFonts w:cs="Calibri"/>
                <w:b/>
                <w:color w:val="000000"/>
                <w:sz w:val="18"/>
              </w:rPr>
            </w:pPr>
            <w:r w:rsidRPr="009079B5">
              <w:rPr>
                <w:rFonts w:cs="Calibri"/>
                <w:b/>
                <w:color w:val="000000"/>
                <w:sz w:val="18"/>
              </w:rPr>
              <w:t>$3,552,075</w:t>
            </w:r>
          </w:p>
        </w:tc>
        <w:tc>
          <w:tcPr>
            <w:tcW w:w="564" w:type="pct"/>
            <w:tcBorders>
              <w:top w:val="nil"/>
              <w:left w:val="nil"/>
              <w:bottom w:val="nil"/>
              <w:right w:val="nil"/>
            </w:tcBorders>
            <w:noWrap/>
            <w:vAlign w:val="bottom"/>
          </w:tcPr>
          <w:p w:rsidR="0079646D" w:rsidRPr="009079B5" w:rsidRDefault="0079646D" w:rsidP="003879F1">
            <w:pPr>
              <w:keepNext/>
              <w:keepLines/>
              <w:spacing w:after="0" w:line="240" w:lineRule="auto"/>
              <w:jc w:val="center"/>
              <w:outlineLvl w:val="0"/>
              <w:rPr>
                <w:rFonts w:cs="Calibri"/>
                <w:b/>
                <w:color w:val="000000"/>
                <w:sz w:val="18"/>
              </w:rPr>
            </w:pPr>
            <w:r w:rsidRPr="009079B5">
              <w:rPr>
                <w:rFonts w:cs="Calibri"/>
                <w:b/>
                <w:color w:val="000000"/>
                <w:sz w:val="18"/>
              </w:rPr>
              <w:t>$7,104,150</w:t>
            </w:r>
          </w:p>
        </w:tc>
        <w:tc>
          <w:tcPr>
            <w:tcW w:w="622" w:type="pct"/>
            <w:tcBorders>
              <w:top w:val="nil"/>
              <w:left w:val="nil"/>
              <w:bottom w:val="nil"/>
              <w:right w:val="nil"/>
            </w:tcBorders>
            <w:noWrap/>
            <w:vAlign w:val="bottom"/>
          </w:tcPr>
          <w:p w:rsidR="0079646D" w:rsidRPr="009079B5" w:rsidRDefault="0079646D" w:rsidP="003879F1">
            <w:pPr>
              <w:keepNext/>
              <w:keepLines/>
              <w:spacing w:after="0" w:line="240" w:lineRule="auto"/>
              <w:jc w:val="center"/>
              <w:outlineLvl w:val="0"/>
              <w:rPr>
                <w:rFonts w:cs="Calibri"/>
                <w:b/>
                <w:color w:val="000000"/>
                <w:sz w:val="18"/>
              </w:rPr>
            </w:pPr>
            <w:r w:rsidRPr="009079B5">
              <w:rPr>
                <w:rFonts w:cs="Calibri"/>
                <w:b/>
                <w:color w:val="000000"/>
                <w:sz w:val="18"/>
              </w:rPr>
              <w:t>$10,656,225</w:t>
            </w:r>
          </w:p>
        </w:tc>
      </w:tr>
      <w:tr w:rsidR="0079646D" w:rsidRPr="000B185D">
        <w:trPr>
          <w:trHeight w:val="300"/>
        </w:trPr>
        <w:tc>
          <w:tcPr>
            <w:tcW w:w="5000" w:type="pct"/>
            <w:gridSpan w:val="9"/>
            <w:tcBorders>
              <w:top w:val="nil"/>
              <w:left w:val="nil"/>
              <w:bottom w:val="nil"/>
              <w:right w:val="nil"/>
            </w:tcBorders>
            <w:vAlign w:val="bottom"/>
          </w:tcPr>
          <w:p w:rsidR="0079646D" w:rsidRPr="006F7DF2" w:rsidRDefault="0079646D" w:rsidP="003879F1">
            <w:pPr>
              <w:keepNext/>
              <w:keepLines/>
              <w:spacing w:after="0" w:line="240" w:lineRule="auto"/>
              <w:outlineLvl w:val="0"/>
              <w:rPr>
                <w:rFonts w:cs="Calibri"/>
                <w:sz w:val="18"/>
              </w:rPr>
            </w:pPr>
            <w:r w:rsidRPr="006F7DF2">
              <w:rPr>
                <w:rFonts w:cs="Calibri"/>
                <w:sz w:val="18"/>
              </w:rPr>
              <w:t>1- Reduction in Federal Transfers = (</w:t>
            </w:r>
            <w:r>
              <w:rPr>
                <w:rFonts w:cs="Calibri"/>
                <w:sz w:val="18"/>
              </w:rPr>
              <w:t>Percent</w:t>
            </w:r>
            <w:r w:rsidRPr="006F7DF2">
              <w:rPr>
                <w:rFonts w:cs="Calibri"/>
                <w:sz w:val="18"/>
              </w:rPr>
              <w:t xml:space="preserve"> Awarded Grants x Typical Federal Share) x 15 Year State Cost Savings</w:t>
            </w:r>
            <w:r>
              <w:rPr>
                <w:rFonts w:cs="Calibri"/>
                <w:sz w:val="18"/>
              </w:rPr>
              <w:t>.</w:t>
            </w:r>
          </w:p>
        </w:tc>
      </w:tr>
    </w:tbl>
    <w:p w:rsidR="0079646D" w:rsidRPr="002372B2" w:rsidRDefault="0079646D" w:rsidP="003C10E5">
      <w:pPr>
        <w:pStyle w:val="Heading1"/>
        <w:spacing w:after="120"/>
        <w:rPr>
          <w:rFonts w:ascii="Calibri" w:hAnsi="Calibri"/>
          <w:b w:val="0"/>
          <w:bCs w:val="0"/>
          <w:color w:val="auto"/>
          <w:sz w:val="22"/>
        </w:rPr>
      </w:pPr>
      <w:r>
        <w:rPr>
          <w:rFonts w:ascii="Calibri" w:hAnsi="Calibri"/>
          <w:b w:val="0"/>
          <w:bCs w:val="0"/>
          <w:color w:val="auto"/>
          <w:sz w:val="22"/>
        </w:rPr>
        <w:t>The resulting estimated impact on Federal transfers is approximately $7,100,000</w:t>
      </w:r>
      <w:r>
        <w:rPr>
          <w:rStyle w:val="FootnoteReference"/>
          <w:rFonts w:ascii="Calibri" w:hAnsi="Calibri"/>
          <w:b w:val="0"/>
          <w:bCs w:val="0"/>
          <w:color w:val="auto"/>
          <w:sz w:val="22"/>
        </w:rPr>
        <w:footnoteReference w:id="31"/>
      </w:r>
      <w:r>
        <w:rPr>
          <w:rFonts w:ascii="Calibri" w:hAnsi="Calibri"/>
          <w:b w:val="0"/>
          <w:bCs w:val="0"/>
          <w:color w:val="auto"/>
          <w:sz w:val="22"/>
        </w:rPr>
        <w:t xml:space="preserve"> over 15 years.   </w:t>
      </w:r>
    </w:p>
    <w:p w:rsidR="0079646D" w:rsidRDefault="0079646D" w:rsidP="003C10E5">
      <w:pPr>
        <w:pStyle w:val="Heading1"/>
        <w:spacing w:after="120"/>
      </w:pPr>
      <w:r>
        <w:t xml:space="preserve">Benefits </w:t>
      </w:r>
    </w:p>
    <w:p w:rsidR="0079646D" w:rsidRDefault="0079646D" w:rsidP="00023BEE">
      <w:r>
        <w:t xml:space="preserve">There are numerous benefits of the </w:t>
      </w:r>
      <w:r w:rsidR="008425E7">
        <w:t>proposed rule</w:t>
      </w:r>
      <w:r>
        <w:t xml:space="preserve">.  First, it would align the State Mitigation Plan update cycle with the </w:t>
      </w:r>
      <w:r w:rsidR="000409D4">
        <w:t>L</w:t>
      </w:r>
      <w:r>
        <w:t xml:space="preserve">ocal and Tribal </w:t>
      </w:r>
      <w:r w:rsidR="000409D4">
        <w:t>M</w:t>
      </w:r>
      <w:r>
        <w:t xml:space="preserve">itigation </w:t>
      </w:r>
      <w:r w:rsidR="000409D4">
        <w:t>P</w:t>
      </w:r>
      <w:r>
        <w:t xml:space="preserve">lan update cycles.  This would provide States more time to coordinate local planning efforts, provide technical assistance to local communities, and implement projects identified in the State Mitigation Plan.  Second, it would provide </w:t>
      </w:r>
      <w:r w:rsidR="002E3B89">
        <w:t xml:space="preserve">greater flexibility for </w:t>
      </w:r>
      <w:r>
        <w:t xml:space="preserve">States </w:t>
      </w:r>
      <w:r w:rsidR="002E3B89">
        <w:t>to submit their State Mitigation Plan updates</w:t>
      </w:r>
      <w:r>
        <w:t xml:space="preserve">.  Third, the </w:t>
      </w:r>
      <w:r w:rsidR="008425E7">
        <w:t xml:space="preserve">proposed rule </w:t>
      </w:r>
      <w:r>
        <w:t xml:space="preserve">would provide a cost savings for those submitting Standard or Enhanced Plan updates, as well as to the Federal Government as described in </w:t>
      </w:r>
      <w:r w:rsidR="007F4104">
        <w:t xml:space="preserve">the </w:t>
      </w:r>
      <w:r>
        <w:t xml:space="preserve">Cost and Cost Savings section.  These cost savings could then be shifted to other means of increasing resilience and reduction of the Nation’s risk to natural hazards.  For instance, States may be able to implement additional mitigation actions identified in their respective plans or continue to build partnerships and capacity </w:t>
      </w:r>
      <w:r w:rsidRPr="007A3AD7">
        <w:rPr>
          <w:iCs/>
        </w:rPr>
        <w:t xml:space="preserve">through increased delivery of training and technical assistance to support </w:t>
      </w:r>
      <w:r w:rsidR="000409D4">
        <w:rPr>
          <w:iCs/>
        </w:rPr>
        <w:t>L</w:t>
      </w:r>
      <w:r w:rsidRPr="007A3AD7">
        <w:rPr>
          <w:iCs/>
        </w:rPr>
        <w:t xml:space="preserve">ocal and Tribal </w:t>
      </w:r>
      <w:r w:rsidR="000409D4">
        <w:rPr>
          <w:iCs/>
        </w:rPr>
        <w:t>M</w:t>
      </w:r>
      <w:r w:rsidRPr="007A3AD7">
        <w:rPr>
          <w:iCs/>
        </w:rPr>
        <w:t xml:space="preserve">itigation </w:t>
      </w:r>
      <w:r w:rsidR="000409D4">
        <w:rPr>
          <w:iCs/>
        </w:rPr>
        <w:t>P</w:t>
      </w:r>
      <w:r w:rsidRPr="007A3AD7">
        <w:rPr>
          <w:iCs/>
        </w:rPr>
        <w:t>lan development, update, and implementation</w:t>
      </w:r>
      <w:r>
        <w:rPr>
          <w:iCs/>
        </w:rPr>
        <w:t xml:space="preserve">.  </w:t>
      </w:r>
      <w:r>
        <w:t xml:space="preserve"> </w:t>
      </w:r>
    </w:p>
    <w:p w:rsidR="0079646D" w:rsidRDefault="0079646D" w:rsidP="003C10E5">
      <w:pPr>
        <w:pStyle w:val="Heading1"/>
        <w:spacing w:after="120"/>
      </w:pPr>
      <w:r>
        <w:lastRenderedPageBreak/>
        <w:t>Comparison of Cost and Benefits</w:t>
      </w:r>
    </w:p>
    <w:p w:rsidR="0079646D" w:rsidRDefault="0079646D" w:rsidP="009766CF">
      <w:r>
        <w:t xml:space="preserve">The </w:t>
      </w:r>
      <w:r w:rsidR="008425E7">
        <w:t xml:space="preserve">proposed rule </w:t>
      </w:r>
      <w:r>
        <w:t xml:space="preserve">would reduce the frequency of Standard and Enhanced Plans by extending the update requirement from a minimum of 3 years to a minimum of 5 years.  This would reduce the number of required plans per State over 15 years by two.  FEMA estimates this would result in a State Cost Savings of </w:t>
      </w:r>
      <w:r w:rsidRPr="006B5B5E">
        <w:t>approximately $29,300,000.</w:t>
      </w:r>
      <w:r>
        <w:rPr>
          <w:rStyle w:val="FootnoteReference"/>
        </w:rPr>
        <w:footnoteReference w:id="32"/>
      </w:r>
      <w:r w:rsidRPr="006B5B5E">
        <w:t xml:space="preserve">  The </w:t>
      </w:r>
      <w:r w:rsidR="008425E7">
        <w:t>proposed rule</w:t>
      </w:r>
      <w:r w:rsidR="008425E7" w:rsidRPr="006B5B5E">
        <w:t xml:space="preserve"> </w:t>
      </w:r>
      <w:r w:rsidRPr="006B5B5E">
        <w:t xml:space="preserve">would also impact the Federal Government by reducing FEMA’s opportunity to evaluate any changes to a State’s mitigation plan via a plan review.  However, the reduction in plan update frequency would also result in an estimated Federal </w:t>
      </w:r>
      <w:r>
        <w:t>C</w:t>
      </w:r>
      <w:r w:rsidRPr="006B5B5E">
        <w:t xml:space="preserve">ost </w:t>
      </w:r>
      <w:r>
        <w:t>S</w:t>
      </w:r>
      <w:r w:rsidRPr="006B5B5E">
        <w:t>avings of approximately $</w:t>
      </w:r>
      <w:r>
        <w:t>646</w:t>
      </w:r>
      <w:r w:rsidRPr="006B5B5E">
        <w:t xml:space="preserve">,000 due to a reduction in </w:t>
      </w:r>
      <w:r w:rsidR="007F4104">
        <w:t xml:space="preserve">the </w:t>
      </w:r>
      <w:r w:rsidRPr="006B5B5E">
        <w:t>number of mitigation plans reviewed.</w:t>
      </w:r>
      <w:r>
        <w:rPr>
          <w:rStyle w:val="FootnoteReference"/>
        </w:rPr>
        <w:footnoteReference w:id="33"/>
      </w:r>
      <w:r w:rsidRPr="006B5B5E">
        <w:t xml:space="preserve">  Thus, as shown in </w:t>
      </w:r>
      <w:r w:rsidR="006E36A7">
        <w:fldChar w:fldCharType="begin"/>
      </w:r>
      <w:r w:rsidR="009040B8">
        <w:instrText xml:space="preserve"> REF _Ref322072635 \h  \* MERGEFORMAT </w:instrText>
      </w:r>
      <w:r w:rsidR="006E36A7">
        <w:fldChar w:fldCharType="separate"/>
      </w:r>
      <w:r w:rsidR="003C6FB6">
        <w:t>Table 6</w:t>
      </w:r>
      <w:r w:rsidR="006E36A7">
        <w:fldChar w:fldCharType="end"/>
      </w:r>
      <w:r w:rsidRPr="006B5B5E">
        <w:t xml:space="preserve">, FEMA estimates the </w:t>
      </w:r>
      <w:r w:rsidR="008425E7">
        <w:t xml:space="preserve">proposed rule’s </w:t>
      </w:r>
      <w:r w:rsidRPr="006B5B5E">
        <w:t>total quantified net savings to society as $</w:t>
      </w:r>
      <w:r>
        <w:t>30,000</w:t>
      </w:r>
      <w:r w:rsidRPr="006B5B5E">
        <w:t>,000</w:t>
      </w:r>
      <w:r>
        <w:t>.</w:t>
      </w:r>
      <w:r w:rsidRPr="006B5B5E">
        <w:rPr>
          <w:rStyle w:val="FootnoteReference"/>
        </w:rPr>
        <w:footnoteReference w:id="34"/>
      </w:r>
      <w:r>
        <w:t xml:space="preserve">  Discounted at 7 percent, the total quantified savings to society is approximately $18,800,000 as seen in Appendix A (</w:t>
      </w:r>
      <w:r w:rsidR="006E36A7">
        <w:fldChar w:fldCharType="begin"/>
      </w:r>
      <w:r>
        <w:instrText xml:space="preserve"> REF _Ref327510702 \h </w:instrText>
      </w:r>
      <w:r w:rsidR="006E36A7">
        <w:fldChar w:fldCharType="separate"/>
      </w:r>
      <w:r w:rsidR="003C6FB6">
        <w:t xml:space="preserve">Table </w:t>
      </w:r>
      <w:r w:rsidR="003C6FB6">
        <w:rPr>
          <w:noProof/>
        </w:rPr>
        <w:t>13</w:t>
      </w:r>
      <w:r w:rsidR="006E36A7">
        <w:fldChar w:fldCharType="end"/>
      </w:r>
      <w:r>
        <w:t xml:space="preserve">).    </w:t>
      </w:r>
    </w:p>
    <w:p w:rsidR="0079646D" w:rsidRPr="006B5B5E" w:rsidRDefault="0079646D" w:rsidP="009766CF">
      <w:r>
        <w:t xml:space="preserve">In addition to the cost savings identified above, benefits of the </w:t>
      </w:r>
      <w:r w:rsidR="008425E7">
        <w:t xml:space="preserve">proposed rule </w:t>
      </w:r>
      <w:r>
        <w:t xml:space="preserve">include </w:t>
      </w:r>
      <w:r w:rsidR="002E3B89">
        <w:t>greater</w:t>
      </w:r>
      <w:r>
        <w:t xml:space="preserve"> flexibility </w:t>
      </w:r>
      <w:r w:rsidR="002E3B89">
        <w:t>for</w:t>
      </w:r>
      <w:r>
        <w:t xml:space="preserve"> States </w:t>
      </w:r>
      <w:r w:rsidR="002E3B89">
        <w:t xml:space="preserve">to </w:t>
      </w:r>
      <w:r>
        <w:t xml:space="preserve">update their mitigation plans, as well as an alignment with the </w:t>
      </w:r>
      <w:r w:rsidR="000409D4">
        <w:t>L</w:t>
      </w:r>
      <w:r>
        <w:t xml:space="preserve">ocal and Tribal </w:t>
      </w:r>
      <w:r w:rsidR="000409D4">
        <w:t>M</w:t>
      </w:r>
      <w:r>
        <w:t xml:space="preserve">itigation </w:t>
      </w:r>
      <w:r w:rsidR="000409D4">
        <w:t>P</w:t>
      </w:r>
      <w:r>
        <w:t xml:space="preserve">lan update cycle.  Furthermore, the reduced opportunity for FEMA to evaluate State changes to their mitigation plans could likely be addressed via alternate </w:t>
      </w:r>
      <w:r w:rsidRPr="006B5B5E">
        <w:t>means; for instance, th</w:t>
      </w:r>
      <w:r w:rsidR="00034346">
        <w:t>r</w:t>
      </w:r>
      <w:r w:rsidRPr="006B5B5E">
        <w:t xml:space="preserve">ough existing stakeholder relationships, at little to no additional cost.  </w:t>
      </w:r>
    </w:p>
    <w:p w:rsidR="0079646D" w:rsidRDefault="0079646D" w:rsidP="00791C88">
      <w:r>
        <w:t>Based on the above analysis, FEMA has determined that this is not an economically significant rulemaking within the definition of E</w:t>
      </w:r>
      <w:r w:rsidR="007F4104">
        <w:t xml:space="preserve">xecutive </w:t>
      </w:r>
      <w:r>
        <w:t>O</w:t>
      </w:r>
      <w:r w:rsidR="007F4104">
        <w:t>rder</w:t>
      </w:r>
      <w:r>
        <w:t xml:space="preserve"> 12866, as annual costs or benefits to all parties do not surpass the $100 million threshold in any year.  </w:t>
      </w:r>
      <w:r w:rsidR="007E710B">
        <w:t xml:space="preserve">Given </w:t>
      </w:r>
      <w:r>
        <w:t>these findings, FEMA supports the proposed change in the frequency of the update requirement based on the approximate $</w:t>
      </w:r>
      <w:r w:rsidR="00AF71FD">
        <w:t>30.0</w:t>
      </w:r>
      <w:r>
        <w:t xml:space="preserve"> million savings to society over 15 years.  </w:t>
      </w:r>
    </w:p>
    <w:p w:rsidR="0079646D" w:rsidRDefault="0079646D" w:rsidP="00C93F7E">
      <w:pPr>
        <w:pStyle w:val="Heading1"/>
        <w:spacing w:after="120"/>
      </w:pPr>
      <w:r>
        <w:t>Alternatives</w:t>
      </w:r>
    </w:p>
    <w:p w:rsidR="0079646D" w:rsidRDefault="0079646D" w:rsidP="00C93F7E">
      <w:pPr>
        <w:spacing w:before="240"/>
      </w:pPr>
      <w:r w:rsidRPr="00425615">
        <w:rPr>
          <w:b/>
        </w:rPr>
        <w:t>Alternative 1</w:t>
      </w:r>
      <w:r>
        <w:t xml:space="preserve"> </w:t>
      </w:r>
      <w:r w:rsidRPr="00425615">
        <w:rPr>
          <w:b/>
        </w:rPr>
        <w:t>– No Action</w:t>
      </w:r>
      <w:r>
        <w:t xml:space="preserve"> </w:t>
      </w:r>
    </w:p>
    <w:p w:rsidR="0079646D" w:rsidRDefault="0079646D" w:rsidP="00C93F7E">
      <w:r>
        <w:t xml:space="preserve">Under the no action alternative, no regulatory changes would occur and States would continue to submit State Mitigation Plan updates every 3 years.  There are no incremental cost changes associated with this alternative.  However, this alternative would not address </w:t>
      </w:r>
      <w:r w:rsidRPr="004434E5">
        <w:t>stakeholder concerns about the burdens placed on State governments</w:t>
      </w:r>
      <w:r>
        <w:t xml:space="preserve">.  </w:t>
      </w:r>
    </w:p>
    <w:p w:rsidR="0079646D" w:rsidRDefault="0079646D" w:rsidP="00C93F7E">
      <w:pPr>
        <w:spacing w:before="240"/>
      </w:pPr>
      <w:r w:rsidRPr="00425615">
        <w:rPr>
          <w:b/>
        </w:rPr>
        <w:t xml:space="preserve">Alternative 2 </w:t>
      </w:r>
      <w:r>
        <w:t xml:space="preserve">– </w:t>
      </w:r>
      <w:r>
        <w:rPr>
          <w:b/>
        </w:rPr>
        <w:t xml:space="preserve">Annual Mitigation Plan Updates </w:t>
      </w:r>
    </w:p>
    <w:p w:rsidR="0079646D" w:rsidRDefault="0079646D" w:rsidP="00C93F7E">
      <w:r>
        <w:t xml:space="preserve">As an alternative to the </w:t>
      </w:r>
      <w:r w:rsidR="008425E7">
        <w:t>proposed rule</w:t>
      </w:r>
      <w:r>
        <w:t xml:space="preserve">, FEMA considered requiring mitigation plan updates annually.  As discussed previously, States currently submit State Mitigation Plan updates at least every 3 years.  However, under this alternative, States would submit their plans every year.  This would increase the </w:t>
      </w:r>
      <w:r>
        <w:lastRenderedPageBreak/>
        <w:t xml:space="preserve">number of plan updates per State by 10 over 15 years.  Cumulatively, as shown in </w:t>
      </w:r>
      <w:r w:rsidR="006E36A7">
        <w:fldChar w:fldCharType="begin"/>
      </w:r>
      <w:r>
        <w:instrText xml:space="preserve"> REF _Ref322072593 \h </w:instrText>
      </w:r>
      <w:r w:rsidR="006E36A7">
        <w:fldChar w:fldCharType="separate"/>
      </w:r>
      <w:r w:rsidR="003C6FB6">
        <w:t xml:space="preserve">Table </w:t>
      </w:r>
      <w:r w:rsidR="003C6FB6">
        <w:rPr>
          <w:noProof/>
        </w:rPr>
        <w:t>8</w:t>
      </w:r>
      <w:r w:rsidR="006E36A7">
        <w:fldChar w:fldCharType="end"/>
      </w:r>
      <w:r>
        <w:t xml:space="preserve">, this results in an increase of 560 plan updates.     </w:t>
      </w:r>
    </w:p>
    <w:p w:rsidR="0079646D" w:rsidRDefault="0079646D" w:rsidP="00C93F7E">
      <w:pPr>
        <w:pStyle w:val="Caption"/>
        <w:keepLines/>
        <w:spacing w:after="0"/>
      </w:pPr>
      <w:bookmarkStart w:id="8" w:name="_Ref322072593"/>
      <w:r>
        <w:t xml:space="preserve">Table </w:t>
      </w:r>
      <w:r w:rsidR="006E36A7">
        <w:fldChar w:fldCharType="begin"/>
      </w:r>
      <w:r w:rsidR="009B6DC1">
        <w:instrText xml:space="preserve"> SEQ Table \* ARABIC </w:instrText>
      </w:r>
      <w:r w:rsidR="006E36A7">
        <w:fldChar w:fldCharType="separate"/>
      </w:r>
      <w:r w:rsidR="003C6FB6">
        <w:rPr>
          <w:noProof/>
        </w:rPr>
        <w:t>8</w:t>
      </w:r>
      <w:r w:rsidR="006E36A7">
        <w:rPr>
          <w:noProof/>
        </w:rPr>
        <w:fldChar w:fldCharType="end"/>
      </w:r>
      <w:bookmarkEnd w:id="8"/>
      <w:r>
        <w:t>:  15 Year Cumulative State Plan Update Schedule (Annual Plan Updates)</w:t>
      </w:r>
    </w:p>
    <w:tbl>
      <w:tblPr>
        <w:tblW w:w="4662" w:type="pct"/>
        <w:tblInd w:w="648" w:type="dxa"/>
        <w:tblLook w:val="00A0" w:firstRow="1" w:lastRow="0" w:firstColumn="1" w:lastColumn="0" w:noHBand="0" w:noVBand="0"/>
      </w:tblPr>
      <w:tblGrid>
        <w:gridCol w:w="2098"/>
        <w:gridCol w:w="2304"/>
        <w:gridCol w:w="2330"/>
        <w:gridCol w:w="2197"/>
      </w:tblGrid>
      <w:tr w:rsidR="0079646D" w:rsidRPr="000B185D">
        <w:trPr>
          <w:trHeight w:val="674"/>
        </w:trPr>
        <w:tc>
          <w:tcPr>
            <w:tcW w:w="1175" w:type="pct"/>
            <w:tcBorders>
              <w:top w:val="single" w:sz="4" w:space="0" w:color="auto"/>
              <w:left w:val="single" w:sz="4" w:space="0" w:color="auto"/>
              <w:bottom w:val="single" w:sz="4" w:space="0" w:color="auto"/>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b/>
                <w:bCs/>
                <w:color w:val="000000"/>
                <w:sz w:val="20"/>
              </w:rPr>
            </w:pPr>
            <w:r w:rsidRPr="00A271D7">
              <w:rPr>
                <w:rFonts w:cs="Calibri"/>
                <w:b/>
                <w:bCs/>
                <w:color w:val="000000"/>
                <w:sz w:val="20"/>
              </w:rPr>
              <w:t>Year</w:t>
            </w:r>
          </w:p>
        </w:tc>
        <w:tc>
          <w:tcPr>
            <w:tcW w:w="1290" w:type="pct"/>
            <w:tcBorders>
              <w:top w:val="single" w:sz="4" w:space="0" w:color="auto"/>
              <w:left w:val="nil"/>
              <w:bottom w:val="single" w:sz="4" w:space="0" w:color="auto"/>
              <w:right w:val="single" w:sz="4" w:space="0" w:color="auto"/>
            </w:tcBorders>
            <w:vAlign w:val="bottom"/>
          </w:tcPr>
          <w:p w:rsidR="0079646D" w:rsidRPr="00A271D7" w:rsidRDefault="0079646D" w:rsidP="00C93F7E">
            <w:pPr>
              <w:keepNext/>
              <w:keepLines/>
              <w:spacing w:after="0" w:line="240" w:lineRule="auto"/>
              <w:jc w:val="center"/>
              <w:outlineLvl w:val="0"/>
              <w:rPr>
                <w:rFonts w:cs="Calibri"/>
                <w:b/>
                <w:bCs/>
                <w:color w:val="000000"/>
                <w:sz w:val="20"/>
              </w:rPr>
            </w:pPr>
            <w:r w:rsidRPr="00A271D7">
              <w:rPr>
                <w:rFonts w:cs="Calibri"/>
                <w:b/>
                <w:bCs/>
                <w:color w:val="000000"/>
                <w:sz w:val="20"/>
              </w:rPr>
              <w:t xml:space="preserve"># of Plan Updates </w:t>
            </w:r>
            <w:r w:rsidRPr="00A271D7">
              <w:rPr>
                <w:rFonts w:cs="Calibri"/>
                <w:b/>
                <w:bCs/>
                <w:color w:val="000000"/>
                <w:sz w:val="20"/>
              </w:rPr>
              <w:br/>
            </w:r>
            <w:r w:rsidRPr="00A271D7">
              <w:rPr>
                <w:rFonts w:cs="Calibri"/>
                <w:color w:val="000000"/>
                <w:sz w:val="20"/>
              </w:rPr>
              <w:t>(3 year updates)</w:t>
            </w:r>
          </w:p>
        </w:tc>
        <w:tc>
          <w:tcPr>
            <w:tcW w:w="1305" w:type="pct"/>
            <w:tcBorders>
              <w:top w:val="single" w:sz="4" w:space="0" w:color="auto"/>
              <w:left w:val="nil"/>
              <w:bottom w:val="single" w:sz="4" w:space="0" w:color="auto"/>
              <w:right w:val="single" w:sz="4" w:space="0" w:color="auto"/>
            </w:tcBorders>
            <w:vAlign w:val="bottom"/>
          </w:tcPr>
          <w:p w:rsidR="0079646D" w:rsidRPr="00A271D7" w:rsidRDefault="0079646D" w:rsidP="00C93F7E">
            <w:pPr>
              <w:keepNext/>
              <w:keepLines/>
              <w:spacing w:after="0" w:line="240" w:lineRule="auto"/>
              <w:jc w:val="center"/>
              <w:outlineLvl w:val="0"/>
              <w:rPr>
                <w:rFonts w:cs="Calibri"/>
                <w:b/>
                <w:bCs/>
                <w:color w:val="000000"/>
                <w:sz w:val="20"/>
              </w:rPr>
            </w:pPr>
            <w:r w:rsidRPr="00A271D7">
              <w:rPr>
                <w:rFonts w:cs="Calibri"/>
                <w:b/>
                <w:bCs/>
                <w:color w:val="000000"/>
                <w:sz w:val="20"/>
              </w:rPr>
              <w:t xml:space="preserve"># of Plan Updates </w:t>
            </w:r>
            <w:r w:rsidRPr="00A271D7">
              <w:rPr>
                <w:rFonts w:cs="Calibri"/>
                <w:b/>
                <w:bCs/>
                <w:color w:val="000000"/>
                <w:sz w:val="20"/>
              </w:rPr>
              <w:br/>
            </w:r>
            <w:r w:rsidRPr="00A271D7">
              <w:rPr>
                <w:rFonts w:cs="Calibri"/>
                <w:color w:val="000000"/>
                <w:sz w:val="20"/>
              </w:rPr>
              <w:t>(1 year updates)</w:t>
            </w:r>
          </w:p>
        </w:tc>
        <w:tc>
          <w:tcPr>
            <w:tcW w:w="1230" w:type="pct"/>
            <w:tcBorders>
              <w:top w:val="nil"/>
              <w:left w:val="nil"/>
              <w:bottom w:val="nil"/>
              <w:right w:val="nil"/>
            </w:tcBorders>
            <w:noWrap/>
            <w:vAlign w:val="bottom"/>
          </w:tcPr>
          <w:p w:rsidR="0079646D" w:rsidRPr="00A271D7" w:rsidRDefault="0079646D" w:rsidP="00C93F7E">
            <w:pPr>
              <w:keepNext/>
              <w:keepLines/>
              <w:spacing w:after="0" w:line="240" w:lineRule="auto"/>
              <w:outlineLvl w:val="0"/>
              <w:rPr>
                <w:rFonts w:cs="Calibri"/>
                <w:color w:val="000000"/>
              </w:rPr>
            </w:pPr>
          </w:p>
        </w:tc>
      </w:tr>
      <w:tr w:rsidR="0079646D" w:rsidRPr="000B185D">
        <w:trPr>
          <w:trHeight w:val="300"/>
        </w:trPr>
        <w:tc>
          <w:tcPr>
            <w:tcW w:w="117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A271D7">
              <w:rPr>
                <w:rFonts w:cs="Calibri"/>
                <w:color w:val="000000"/>
                <w:sz w:val="20"/>
              </w:rPr>
              <w:t>1</w:t>
            </w:r>
          </w:p>
        </w:tc>
        <w:tc>
          <w:tcPr>
            <w:tcW w:w="1290" w:type="pct"/>
            <w:tcBorders>
              <w:top w:val="nil"/>
              <w:left w:val="nil"/>
              <w:bottom w:val="nil"/>
              <w:right w:val="nil"/>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56</w:t>
            </w:r>
          </w:p>
        </w:tc>
        <w:tc>
          <w:tcPr>
            <w:tcW w:w="130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56</w:t>
            </w:r>
          </w:p>
        </w:tc>
        <w:tc>
          <w:tcPr>
            <w:tcW w:w="1230" w:type="pct"/>
            <w:tcBorders>
              <w:top w:val="nil"/>
              <w:left w:val="nil"/>
              <w:bottom w:val="nil"/>
              <w:right w:val="nil"/>
            </w:tcBorders>
            <w:noWrap/>
            <w:vAlign w:val="bottom"/>
          </w:tcPr>
          <w:p w:rsidR="0079646D" w:rsidRPr="00A271D7" w:rsidRDefault="0079646D" w:rsidP="00C93F7E">
            <w:pPr>
              <w:keepNext/>
              <w:keepLines/>
              <w:spacing w:after="0" w:line="240" w:lineRule="auto"/>
              <w:outlineLvl w:val="0"/>
              <w:rPr>
                <w:rFonts w:cs="Calibri"/>
                <w:color w:val="000000"/>
              </w:rPr>
            </w:pPr>
          </w:p>
        </w:tc>
      </w:tr>
      <w:tr w:rsidR="0079646D" w:rsidRPr="000B185D">
        <w:trPr>
          <w:trHeight w:val="300"/>
        </w:trPr>
        <w:tc>
          <w:tcPr>
            <w:tcW w:w="117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A271D7">
              <w:rPr>
                <w:rFonts w:cs="Calibri"/>
                <w:color w:val="000000"/>
                <w:sz w:val="20"/>
              </w:rPr>
              <w:t>2</w:t>
            </w:r>
          </w:p>
        </w:tc>
        <w:tc>
          <w:tcPr>
            <w:tcW w:w="1290" w:type="pct"/>
            <w:tcBorders>
              <w:top w:val="nil"/>
              <w:left w:val="nil"/>
              <w:bottom w:val="nil"/>
              <w:right w:val="nil"/>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0</w:t>
            </w:r>
          </w:p>
        </w:tc>
        <w:tc>
          <w:tcPr>
            <w:tcW w:w="130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56</w:t>
            </w:r>
          </w:p>
        </w:tc>
        <w:tc>
          <w:tcPr>
            <w:tcW w:w="1230" w:type="pct"/>
            <w:tcBorders>
              <w:top w:val="nil"/>
              <w:left w:val="nil"/>
              <w:bottom w:val="nil"/>
              <w:right w:val="nil"/>
            </w:tcBorders>
            <w:noWrap/>
            <w:vAlign w:val="bottom"/>
          </w:tcPr>
          <w:p w:rsidR="0079646D" w:rsidRPr="00A271D7" w:rsidRDefault="0079646D" w:rsidP="00C93F7E">
            <w:pPr>
              <w:keepNext/>
              <w:keepLines/>
              <w:spacing w:after="0" w:line="240" w:lineRule="auto"/>
              <w:outlineLvl w:val="0"/>
              <w:rPr>
                <w:rFonts w:cs="Calibri"/>
                <w:color w:val="000000"/>
              </w:rPr>
            </w:pPr>
          </w:p>
        </w:tc>
      </w:tr>
      <w:tr w:rsidR="0079646D" w:rsidRPr="000B185D">
        <w:trPr>
          <w:trHeight w:val="300"/>
        </w:trPr>
        <w:tc>
          <w:tcPr>
            <w:tcW w:w="117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A271D7">
              <w:rPr>
                <w:rFonts w:cs="Calibri"/>
                <w:color w:val="000000"/>
                <w:sz w:val="20"/>
              </w:rPr>
              <w:t>3</w:t>
            </w:r>
          </w:p>
        </w:tc>
        <w:tc>
          <w:tcPr>
            <w:tcW w:w="1290" w:type="pct"/>
            <w:tcBorders>
              <w:top w:val="nil"/>
              <w:left w:val="nil"/>
              <w:bottom w:val="nil"/>
              <w:right w:val="nil"/>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0</w:t>
            </w:r>
          </w:p>
        </w:tc>
        <w:tc>
          <w:tcPr>
            <w:tcW w:w="130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56</w:t>
            </w:r>
          </w:p>
        </w:tc>
        <w:tc>
          <w:tcPr>
            <w:tcW w:w="1230" w:type="pct"/>
            <w:tcBorders>
              <w:top w:val="nil"/>
              <w:left w:val="nil"/>
              <w:bottom w:val="nil"/>
              <w:right w:val="nil"/>
            </w:tcBorders>
            <w:noWrap/>
            <w:vAlign w:val="bottom"/>
          </w:tcPr>
          <w:p w:rsidR="0079646D" w:rsidRPr="00A271D7" w:rsidRDefault="0079646D" w:rsidP="00C93F7E">
            <w:pPr>
              <w:keepNext/>
              <w:keepLines/>
              <w:spacing w:after="0" w:line="240" w:lineRule="auto"/>
              <w:outlineLvl w:val="0"/>
              <w:rPr>
                <w:rFonts w:cs="Calibri"/>
                <w:color w:val="000000"/>
              </w:rPr>
            </w:pPr>
          </w:p>
        </w:tc>
      </w:tr>
      <w:tr w:rsidR="0079646D" w:rsidRPr="000B185D">
        <w:trPr>
          <w:trHeight w:val="300"/>
        </w:trPr>
        <w:tc>
          <w:tcPr>
            <w:tcW w:w="117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A271D7">
              <w:rPr>
                <w:rFonts w:cs="Calibri"/>
                <w:color w:val="000000"/>
                <w:sz w:val="20"/>
              </w:rPr>
              <w:t>4</w:t>
            </w:r>
          </w:p>
        </w:tc>
        <w:tc>
          <w:tcPr>
            <w:tcW w:w="1290" w:type="pct"/>
            <w:tcBorders>
              <w:top w:val="nil"/>
              <w:left w:val="nil"/>
              <w:bottom w:val="nil"/>
              <w:right w:val="nil"/>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56</w:t>
            </w:r>
          </w:p>
        </w:tc>
        <w:tc>
          <w:tcPr>
            <w:tcW w:w="130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56</w:t>
            </w:r>
          </w:p>
        </w:tc>
        <w:tc>
          <w:tcPr>
            <w:tcW w:w="1230" w:type="pct"/>
            <w:tcBorders>
              <w:top w:val="nil"/>
              <w:left w:val="nil"/>
              <w:bottom w:val="nil"/>
              <w:right w:val="nil"/>
            </w:tcBorders>
            <w:noWrap/>
            <w:vAlign w:val="bottom"/>
          </w:tcPr>
          <w:p w:rsidR="0079646D" w:rsidRPr="00A271D7" w:rsidRDefault="0079646D" w:rsidP="00C93F7E">
            <w:pPr>
              <w:keepNext/>
              <w:keepLines/>
              <w:spacing w:after="0" w:line="240" w:lineRule="auto"/>
              <w:outlineLvl w:val="0"/>
              <w:rPr>
                <w:rFonts w:cs="Calibri"/>
                <w:color w:val="000000"/>
              </w:rPr>
            </w:pPr>
          </w:p>
        </w:tc>
      </w:tr>
      <w:tr w:rsidR="0079646D" w:rsidRPr="000B185D">
        <w:trPr>
          <w:trHeight w:val="300"/>
        </w:trPr>
        <w:tc>
          <w:tcPr>
            <w:tcW w:w="117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A271D7">
              <w:rPr>
                <w:rFonts w:cs="Calibri"/>
                <w:color w:val="000000"/>
                <w:sz w:val="20"/>
              </w:rPr>
              <w:t>5</w:t>
            </w:r>
          </w:p>
        </w:tc>
        <w:tc>
          <w:tcPr>
            <w:tcW w:w="1290" w:type="pct"/>
            <w:tcBorders>
              <w:top w:val="nil"/>
              <w:left w:val="nil"/>
              <w:bottom w:val="nil"/>
              <w:right w:val="nil"/>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0</w:t>
            </w:r>
          </w:p>
        </w:tc>
        <w:tc>
          <w:tcPr>
            <w:tcW w:w="130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56</w:t>
            </w:r>
          </w:p>
        </w:tc>
        <w:tc>
          <w:tcPr>
            <w:tcW w:w="1230" w:type="pct"/>
            <w:tcBorders>
              <w:top w:val="nil"/>
              <w:left w:val="nil"/>
              <w:bottom w:val="nil"/>
              <w:right w:val="nil"/>
            </w:tcBorders>
            <w:noWrap/>
            <w:vAlign w:val="bottom"/>
          </w:tcPr>
          <w:p w:rsidR="0079646D" w:rsidRPr="00A271D7" w:rsidRDefault="0079646D" w:rsidP="00C93F7E">
            <w:pPr>
              <w:keepNext/>
              <w:keepLines/>
              <w:spacing w:after="0" w:line="240" w:lineRule="auto"/>
              <w:outlineLvl w:val="0"/>
              <w:rPr>
                <w:rFonts w:cs="Calibri"/>
                <w:color w:val="000000"/>
              </w:rPr>
            </w:pPr>
          </w:p>
        </w:tc>
      </w:tr>
      <w:tr w:rsidR="0079646D" w:rsidRPr="000B185D">
        <w:trPr>
          <w:trHeight w:val="300"/>
        </w:trPr>
        <w:tc>
          <w:tcPr>
            <w:tcW w:w="117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A271D7">
              <w:rPr>
                <w:rFonts w:cs="Calibri"/>
                <w:color w:val="000000"/>
                <w:sz w:val="20"/>
              </w:rPr>
              <w:t>6</w:t>
            </w:r>
          </w:p>
        </w:tc>
        <w:tc>
          <w:tcPr>
            <w:tcW w:w="1290" w:type="pct"/>
            <w:tcBorders>
              <w:top w:val="nil"/>
              <w:left w:val="nil"/>
              <w:bottom w:val="nil"/>
              <w:right w:val="nil"/>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0</w:t>
            </w:r>
          </w:p>
        </w:tc>
        <w:tc>
          <w:tcPr>
            <w:tcW w:w="130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56</w:t>
            </w:r>
          </w:p>
        </w:tc>
        <w:tc>
          <w:tcPr>
            <w:tcW w:w="1230" w:type="pct"/>
            <w:tcBorders>
              <w:top w:val="nil"/>
              <w:left w:val="nil"/>
              <w:bottom w:val="nil"/>
              <w:right w:val="nil"/>
            </w:tcBorders>
            <w:noWrap/>
            <w:vAlign w:val="bottom"/>
          </w:tcPr>
          <w:p w:rsidR="0079646D" w:rsidRPr="00A271D7" w:rsidRDefault="0079646D" w:rsidP="00C93F7E">
            <w:pPr>
              <w:keepNext/>
              <w:keepLines/>
              <w:spacing w:after="0" w:line="240" w:lineRule="auto"/>
              <w:outlineLvl w:val="0"/>
              <w:rPr>
                <w:rFonts w:cs="Calibri"/>
                <w:color w:val="000000"/>
              </w:rPr>
            </w:pPr>
          </w:p>
        </w:tc>
      </w:tr>
      <w:tr w:rsidR="0079646D" w:rsidRPr="000B185D">
        <w:trPr>
          <w:trHeight w:val="300"/>
        </w:trPr>
        <w:tc>
          <w:tcPr>
            <w:tcW w:w="117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A271D7">
              <w:rPr>
                <w:rFonts w:cs="Calibri"/>
                <w:color w:val="000000"/>
                <w:sz w:val="20"/>
              </w:rPr>
              <w:t>7</w:t>
            </w:r>
          </w:p>
        </w:tc>
        <w:tc>
          <w:tcPr>
            <w:tcW w:w="1290" w:type="pct"/>
            <w:tcBorders>
              <w:top w:val="nil"/>
              <w:left w:val="nil"/>
              <w:bottom w:val="nil"/>
              <w:right w:val="nil"/>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56</w:t>
            </w:r>
          </w:p>
        </w:tc>
        <w:tc>
          <w:tcPr>
            <w:tcW w:w="130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56</w:t>
            </w:r>
          </w:p>
        </w:tc>
        <w:tc>
          <w:tcPr>
            <w:tcW w:w="1230" w:type="pct"/>
            <w:tcBorders>
              <w:top w:val="nil"/>
              <w:left w:val="nil"/>
              <w:bottom w:val="nil"/>
              <w:right w:val="nil"/>
            </w:tcBorders>
            <w:noWrap/>
            <w:vAlign w:val="bottom"/>
          </w:tcPr>
          <w:p w:rsidR="0079646D" w:rsidRPr="00A271D7" w:rsidRDefault="0079646D" w:rsidP="00C93F7E">
            <w:pPr>
              <w:keepNext/>
              <w:keepLines/>
              <w:spacing w:after="0" w:line="240" w:lineRule="auto"/>
              <w:outlineLvl w:val="0"/>
              <w:rPr>
                <w:rFonts w:cs="Calibri"/>
                <w:color w:val="000000"/>
              </w:rPr>
            </w:pPr>
          </w:p>
        </w:tc>
      </w:tr>
      <w:tr w:rsidR="0079646D" w:rsidRPr="000B185D">
        <w:trPr>
          <w:trHeight w:val="300"/>
        </w:trPr>
        <w:tc>
          <w:tcPr>
            <w:tcW w:w="117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A271D7">
              <w:rPr>
                <w:rFonts w:cs="Calibri"/>
                <w:color w:val="000000"/>
                <w:sz w:val="20"/>
              </w:rPr>
              <w:t>8</w:t>
            </w:r>
          </w:p>
        </w:tc>
        <w:tc>
          <w:tcPr>
            <w:tcW w:w="1290" w:type="pct"/>
            <w:tcBorders>
              <w:top w:val="nil"/>
              <w:left w:val="nil"/>
              <w:bottom w:val="nil"/>
              <w:right w:val="nil"/>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0</w:t>
            </w:r>
          </w:p>
        </w:tc>
        <w:tc>
          <w:tcPr>
            <w:tcW w:w="130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56</w:t>
            </w:r>
          </w:p>
        </w:tc>
        <w:tc>
          <w:tcPr>
            <w:tcW w:w="1230" w:type="pct"/>
            <w:tcBorders>
              <w:top w:val="nil"/>
              <w:left w:val="nil"/>
              <w:bottom w:val="nil"/>
              <w:right w:val="nil"/>
            </w:tcBorders>
            <w:noWrap/>
            <w:vAlign w:val="bottom"/>
          </w:tcPr>
          <w:p w:rsidR="0079646D" w:rsidRPr="00A271D7" w:rsidRDefault="0079646D" w:rsidP="00C93F7E">
            <w:pPr>
              <w:keepNext/>
              <w:keepLines/>
              <w:spacing w:after="0" w:line="240" w:lineRule="auto"/>
              <w:outlineLvl w:val="0"/>
              <w:rPr>
                <w:rFonts w:cs="Calibri"/>
                <w:color w:val="000000"/>
              </w:rPr>
            </w:pPr>
          </w:p>
        </w:tc>
      </w:tr>
      <w:tr w:rsidR="0079646D" w:rsidRPr="000B185D">
        <w:trPr>
          <w:trHeight w:val="300"/>
        </w:trPr>
        <w:tc>
          <w:tcPr>
            <w:tcW w:w="117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A271D7">
              <w:rPr>
                <w:rFonts w:cs="Calibri"/>
                <w:color w:val="000000"/>
                <w:sz w:val="20"/>
              </w:rPr>
              <w:t>9</w:t>
            </w:r>
          </w:p>
        </w:tc>
        <w:tc>
          <w:tcPr>
            <w:tcW w:w="1290" w:type="pct"/>
            <w:tcBorders>
              <w:top w:val="nil"/>
              <w:left w:val="nil"/>
              <w:bottom w:val="nil"/>
              <w:right w:val="nil"/>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0</w:t>
            </w:r>
          </w:p>
        </w:tc>
        <w:tc>
          <w:tcPr>
            <w:tcW w:w="130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56</w:t>
            </w:r>
          </w:p>
        </w:tc>
        <w:tc>
          <w:tcPr>
            <w:tcW w:w="1230" w:type="pct"/>
            <w:tcBorders>
              <w:top w:val="nil"/>
              <w:left w:val="nil"/>
              <w:bottom w:val="nil"/>
              <w:right w:val="nil"/>
            </w:tcBorders>
            <w:noWrap/>
            <w:vAlign w:val="bottom"/>
          </w:tcPr>
          <w:p w:rsidR="0079646D" w:rsidRPr="00A271D7" w:rsidRDefault="0079646D" w:rsidP="00C93F7E">
            <w:pPr>
              <w:keepNext/>
              <w:keepLines/>
              <w:spacing w:after="0" w:line="240" w:lineRule="auto"/>
              <w:outlineLvl w:val="0"/>
              <w:rPr>
                <w:rFonts w:cs="Calibri"/>
                <w:color w:val="000000"/>
              </w:rPr>
            </w:pPr>
          </w:p>
        </w:tc>
      </w:tr>
      <w:tr w:rsidR="0079646D" w:rsidRPr="000B185D">
        <w:trPr>
          <w:trHeight w:val="300"/>
        </w:trPr>
        <w:tc>
          <w:tcPr>
            <w:tcW w:w="117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A271D7">
              <w:rPr>
                <w:rFonts w:cs="Calibri"/>
                <w:color w:val="000000"/>
                <w:sz w:val="20"/>
              </w:rPr>
              <w:t>10</w:t>
            </w:r>
          </w:p>
        </w:tc>
        <w:tc>
          <w:tcPr>
            <w:tcW w:w="1290" w:type="pct"/>
            <w:tcBorders>
              <w:top w:val="nil"/>
              <w:left w:val="nil"/>
              <w:bottom w:val="nil"/>
              <w:right w:val="nil"/>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56</w:t>
            </w:r>
          </w:p>
        </w:tc>
        <w:tc>
          <w:tcPr>
            <w:tcW w:w="130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56</w:t>
            </w:r>
          </w:p>
        </w:tc>
        <w:tc>
          <w:tcPr>
            <w:tcW w:w="1230" w:type="pct"/>
            <w:tcBorders>
              <w:top w:val="nil"/>
              <w:left w:val="nil"/>
              <w:bottom w:val="nil"/>
              <w:right w:val="nil"/>
            </w:tcBorders>
            <w:noWrap/>
            <w:vAlign w:val="bottom"/>
          </w:tcPr>
          <w:p w:rsidR="0079646D" w:rsidRPr="00A271D7" w:rsidRDefault="0079646D" w:rsidP="00C93F7E">
            <w:pPr>
              <w:keepNext/>
              <w:keepLines/>
              <w:spacing w:after="0" w:line="240" w:lineRule="auto"/>
              <w:outlineLvl w:val="0"/>
              <w:rPr>
                <w:rFonts w:cs="Calibri"/>
                <w:color w:val="000000"/>
              </w:rPr>
            </w:pPr>
          </w:p>
        </w:tc>
      </w:tr>
      <w:tr w:rsidR="0079646D" w:rsidRPr="000B185D">
        <w:trPr>
          <w:trHeight w:val="300"/>
        </w:trPr>
        <w:tc>
          <w:tcPr>
            <w:tcW w:w="117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A271D7">
              <w:rPr>
                <w:rFonts w:cs="Calibri"/>
                <w:color w:val="000000"/>
                <w:sz w:val="20"/>
              </w:rPr>
              <w:t>11</w:t>
            </w:r>
          </w:p>
        </w:tc>
        <w:tc>
          <w:tcPr>
            <w:tcW w:w="1290" w:type="pct"/>
            <w:tcBorders>
              <w:top w:val="nil"/>
              <w:left w:val="nil"/>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0</w:t>
            </w:r>
          </w:p>
        </w:tc>
        <w:tc>
          <w:tcPr>
            <w:tcW w:w="1305" w:type="pct"/>
            <w:tcBorders>
              <w:top w:val="nil"/>
              <w:left w:val="nil"/>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56</w:t>
            </w:r>
          </w:p>
        </w:tc>
        <w:tc>
          <w:tcPr>
            <w:tcW w:w="1230" w:type="pct"/>
            <w:tcBorders>
              <w:top w:val="nil"/>
              <w:left w:val="nil"/>
              <w:bottom w:val="nil"/>
              <w:right w:val="nil"/>
            </w:tcBorders>
            <w:noWrap/>
            <w:vAlign w:val="bottom"/>
          </w:tcPr>
          <w:p w:rsidR="0079646D" w:rsidRPr="00A271D7" w:rsidRDefault="0079646D" w:rsidP="00C93F7E">
            <w:pPr>
              <w:keepNext/>
              <w:keepLines/>
              <w:spacing w:after="0" w:line="240" w:lineRule="auto"/>
              <w:outlineLvl w:val="0"/>
              <w:rPr>
                <w:rFonts w:cs="Calibri"/>
                <w:color w:val="000000"/>
              </w:rPr>
            </w:pPr>
          </w:p>
        </w:tc>
      </w:tr>
      <w:tr w:rsidR="0079646D" w:rsidRPr="000B185D">
        <w:trPr>
          <w:trHeight w:val="300"/>
        </w:trPr>
        <w:tc>
          <w:tcPr>
            <w:tcW w:w="117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A271D7">
              <w:rPr>
                <w:rFonts w:cs="Calibri"/>
                <w:color w:val="000000"/>
                <w:sz w:val="20"/>
              </w:rPr>
              <w:t>12</w:t>
            </w:r>
          </w:p>
        </w:tc>
        <w:tc>
          <w:tcPr>
            <w:tcW w:w="1290" w:type="pct"/>
            <w:tcBorders>
              <w:top w:val="nil"/>
              <w:left w:val="nil"/>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0</w:t>
            </w:r>
          </w:p>
        </w:tc>
        <w:tc>
          <w:tcPr>
            <w:tcW w:w="1305" w:type="pct"/>
            <w:tcBorders>
              <w:top w:val="nil"/>
              <w:left w:val="nil"/>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56</w:t>
            </w:r>
          </w:p>
        </w:tc>
        <w:tc>
          <w:tcPr>
            <w:tcW w:w="1230" w:type="pct"/>
            <w:tcBorders>
              <w:top w:val="nil"/>
              <w:left w:val="nil"/>
              <w:bottom w:val="nil"/>
              <w:right w:val="nil"/>
            </w:tcBorders>
            <w:noWrap/>
            <w:vAlign w:val="bottom"/>
          </w:tcPr>
          <w:p w:rsidR="0079646D" w:rsidRPr="00A271D7" w:rsidRDefault="0079646D" w:rsidP="00C93F7E">
            <w:pPr>
              <w:keepNext/>
              <w:keepLines/>
              <w:spacing w:after="0" w:line="240" w:lineRule="auto"/>
              <w:outlineLvl w:val="0"/>
              <w:rPr>
                <w:rFonts w:cs="Calibri"/>
                <w:color w:val="000000"/>
              </w:rPr>
            </w:pPr>
          </w:p>
        </w:tc>
      </w:tr>
      <w:tr w:rsidR="0079646D" w:rsidRPr="000B185D">
        <w:trPr>
          <w:trHeight w:val="300"/>
        </w:trPr>
        <w:tc>
          <w:tcPr>
            <w:tcW w:w="117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A271D7">
              <w:rPr>
                <w:rFonts w:cs="Calibri"/>
                <w:color w:val="000000"/>
                <w:sz w:val="20"/>
              </w:rPr>
              <w:t>13</w:t>
            </w:r>
          </w:p>
        </w:tc>
        <w:tc>
          <w:tcPr>
            <w:tcW w:w="1290" w:type="pct"/>
            <w:tcBorders>
              <w:top w:val="nil"/>
              <w:left w:val="nil"/>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56</w:t>
            </w:r>
          </w:p>
        </w:tc>
        <w:tc>
          <w:tcPr>
            <w:tcW w:w="1305" w:type="pct"/>
            <w:tcBorders>
              <w:top w:val="nil"/>
              <w:left w:val="nil"/>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56</w:t>
            </w:r>
          </w:p>
        </w:tc>
        <w:tc>
          <w:tcPr>
            <w:tcW w:w="1230" w:type="pct"/>
            <w:tcBorders>
              <w:top w:val="nil"/>
              <w:left w:val="nil"/>
              <w:bottom w:val="nil"/>
              <w:right w:val="nil"/>
            </w:tcBorders>
            <w:noWrap/>
            <w:vAlign w:val="bottom"/>
          </w:tcPr>
          <w:p w:rsidR="0079646D" w:rsidRPr="00A271D7" w:rsidRDefault="0079646D" w:rsidP="00C93F7E">
            <w:pPr>
              <w:keepNext/>
              <w:keepLines/>
              <w:spacing w:after="0" w:line="240" w:lineRule="auto"/>
              <w:outlineLvl w:val="0"/>
              <w:rPr>
                <w:rFonts w:cs="Calibri"/>
                <w:color w:val="000000"/>
              </w:rPr>
            </w:pPr>
          </w:p>
        </w:tc>
      </w:tr>
      <w:tr w:rsidR="0079646D" w:rsidRPr="000B185D">
        <w:trPr>
          <w:trHeight w:val="300"/>
        </w:trPr>
        <w:tc>
          <w:tcPr>
            <w:tcW w:w="1175" w:type="pct"/>
            <w:tcBorders>
              <w:top w:val="nil"/>
              <w:left w:val="single" w:sz="4" w:space="0" w:color="auto"/>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A271D7">
              <w:rPr>
                <w:rFonts w:cs="Calibri"/>
                <w:color w:val="000000"/>
                <w:sz w:val="20"/>
              </w:rPr>
              <w:t>14</w:t>
            </w:r>
          </w:p>
        </w:tc>
        <w:tc>
          <w:tcPr>
            <w:tcW w:w="1290" w:type="pct"/>
            <w:tcBorders>
              <w:top w:val="nil"/>
              <w:left w:val="nil"/>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0</w:t>
            </w:r>
          </w:p>
        </w:tc>
        <w:tc>
          <w:tcPr>
            <w:tcW w:w="1305" w:type="pct"/>
            <w:tcBorders>
              <w:top w:val="nil"/>
              <w:left w:val="nil"/>
              <w:bottom w:val="nil"/>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56</w:t>
            </w:r>
          </w:p>
        </w:tc>
        <w:tc>
          <w:tcPr>
            <w:tcW w:w="1230" w:type="pct"/>
            <w:tcBorders>
              <w:top w:val="nil"/>
              <w:left w:val="nil"/>
              <w:bottom w:val="nil"/>
              <w:right w:val="nil"/>
            </w:tcBorders>
            <w:noWrap/>
            <w:vAlign w:val="bottom"/>
          </w:tcPr>
          <w:p w:rsidR="0079646D" w:rsidRPr="00A271D7" w:rsidRDefault="0079646D" w:rsidP="00C93F7E">
            <w:pPr>
              <w:keepNext/>
              <w:keepLines/>
              <w:spacing w:after="0" w:line="240" w:lineRule="auto"/>
              <w:outlineLvl w:val="0"/>
              <w:rPr>
                <w:rFonts w:cs="Calibri"/>
                <w:color w:val="000000"/>
              </w:rPr>
            </w:pPr>
          </w:p>
        </w:tc>
      </w:tr>
      <w:tr w:rsidR="0079646D" w:rsidRPr="000B185D">
        <w:trPr>
          <w:trHeight w:val="300"/>
        </w:trPr>
        <w:tc>
          <w:tcPr>
            <w:tcW w:w="1175" w:type="pct"/>
            <w:tcBorders>
              <w:top w:val="nil"/>
              <w:left w:val="single" w:sz="4" w:space="0" w:color="auto"/>
              <w:bottom w:val="single" w:sz="4" w:space="0" w:color="auto"/>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A271D7">
              <w:rPr>
                <w:rFonts w:cs="Calibri"/>
                <w:color w:val="000000"/>
                <w:sz w:val="20"/>
              </w:rPr>
              <w:t>15</w:t>
            </w:r>
          </w:p>
        </w:tc>
        <w:tc>
          <w:tcPr>
            <w:tcW w:w="1290" w:type="pct"/>
            <w:tcBorders>
              <w:top w:val="nil"/>
              <w:left w:val="nil"/>
              <w:bottom w:val="single" w:sz="4" w:space="0" w:color="auto"/>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0</w:t>
            </w:r>
          </w:p>
        </w:tc>
        <w:tc>
          <w:tcPr>
            <w:tcW w:w="1305" w:type="pct"/>
            <w:tcBorders>
              <w:top w:val="nil"/>
              <w:left w:val="nil"/>
              <w:bottom w:val="single" w:sz="4" w:space="0" w:color="auto"/>
              <w:right w:val="single" w:sz="4" w:space="0" w:color="auto"/>
            </w:tcBorders>
            <w:noWrap/>
            <w:vAlign w:val="bottom"/>
          </w:tcPr>
          <w:p w:rsidR="0079646D" w:rsidRPr="00A271D7" w:rsidRDefault="0079646D" w:rsidP="00C93F7E">
            <w:pPr>
              <w:keepNext/>
              <w:keepLines/>
              <w:spacing w:after="0" w:line="240" w:lineRule="auto"/>
              <w:jc w:val="center"/>
              <w:outlineLvl w:val="0"/>
              <w:rPr>
                <w:rFonts w:cs="Calibri"/>
                <w:color w:val="000000"/>
              </w:rPr>
            </w:pPr>
            <w:r w:rsidRPr="00A271D7">
              <w:rPr>
                <w:rFonts w:cs="Calibri"/>
                <w:color w:val="000000"/>
              </w:rPr>
              <w:t>56</w:t>
            </w:r>
          </w:p>
        </w:tc>
        <w:tc>
          <w:tcPr>
            <w:tcW w:w="1230" w:type="pct"/>
            <w:tcBorders>
              <w:top w:val="nil"/>
              <w:left w:val="nil"/>
              <w:bottom w:val="nil"/>
              <w:right w:val="nil"/>
            </w:tcBorders>
            <w:noWrap/>
            <w:vAlign w:val="bottom"/>
          </w:tcPr>
          <w:p w:rsidR="0079646D" w:rsidRPr="00A271D7" w:rsidRDefault="0079646D" w:rsidP="00C93F7E">
            <w:pPr>
              <w:keepNext/>
              <w:keepLines/>
              <w:spacing w:after="0" w:line="240" w:lineRule="auto"/>
              <w:outlineLvl w:val="0"/>
              <w:rPr>
                <w:rFonts w:cs="Calibri"/>
                <w:b/>
                <w:bCs/>
                <w:color w:val="000000"/>
              </w:rPr>
            </w:pPr>
            <w:r w:rsidRPr="00A271D7">
              <w:rPr>
                <w:rFonts w:cs="Calibri"/>
                <w:b/>
                <w:bCs/>
                <w:color w:val="000000"/>
              </w:rPr>
              <w:t>Difference (+)</w:t>
            </w:r>
          </w:p>
        </w:tc>
      </w:tr>
      <w:tr w:rsidR="0079646D" w:rsidRPr="000B185D">
        <w:trPr>
          <w:trHeight w:val="300"/>
        </w:trPr>
        <w:tc>
          <w:tcPr>
            <w:tcW w:w="1175" w:type="pct"/>
            <w:tcBorders>
              <w:top w:val="nil"/>
              <w:left w:val="nil"/>
              <w:bottom w:val="nil"/>
              <w:right w:val="nil"/>
            </w:tcBorders>
            <w:noWrap/>
            <w:vAlign w:val="bottom"/>
          </w:tcPr>
          <w:p w:rsidR="0079646D" w:rsidRPr="00A271D7" w:rsidRDefault="0079646D" w:rsidP="00C93F7E">
            <w:pPr>
              <w:keepNext/>
              <w:keepLines/>
              <w:spacing w:after="0" w:line="240" w:lineRule="auto"/>
              <w:outlineLvl w:val="0"/>
              <w:rPr>
                <w:rFonts w:cs="Calibri"/>
                <w:b/>
                <w:bCs/>
                <w:color w:val="000000"/>
              </w:rPr>
            </w:pPr>
            <w:r w:rsidRPr="00A271D7">
              <w:rPr>
                <w:rFonts w:cs="Calibri"/>
                <w:b/>
                <w:bCs/>
                <w:color w:val="000000"/>
              </w:rPr>
              <w:t>Total</w:t>
            </w:r>
            <w:r>
              <w:rPr>
                <w:rFonts w:cs="Calibri"/>
                <w:b/>
                <w:bCs/>
                <w:color w:val="000000"/>
              </w:rPr>
              <w:t xml:space="preserve"> # of Plan</w:t>
            </w:r>
          </w:p>
        </w:tc>
        <w:tc>
          <w:tcPr>
            <w:tcW w:w="1290" w:type="pct"/>
            <w:tcBorders>
              <w:top w:val="nil"/>
              <w:left w:val="nil"/>
              <w:bottom w:val="nil"/>
              <w:right w:val="nil"/>
            </w:tcBorders>
            <w:noWrap/>
            <w:vAlign w:val="bottom"/>
          </w:tcPr>
          <w:p w:rsidR="0079646D" w:rsidRPr="00A271D7" w:rsidRDefault="0079646D" w:rsidP="00C93F7E">
            <w:pPr>
              <w:keepNext/>
              <w:keepLines/>
              <w:spacing w:after="0" w:line="240" w:lineRule="auto"/>
              <w:jc w:val="center"/>
              <w:outlineLvl w:val="0"/>
              <w:rPr>
                <w:rFonts w:cs="Calibri"/>
                <w:b/>
                <w:color w:val="000000"/>
              </w:rPr>
            </w:pPr>
            <w:r w:rsidRPr="00A271D7">
              <w:rPr>
                <w:rFonts w:cs="Calibri"/>
                <w:b/>
                <w:color w:val="000000"/>
              </w:rPr>
              <w:t>280</w:t>
            </w:r>
          </w:p>
        </w:tc>
        <w:tc>
          <w:tcPr>
            <w:tcW w:w="1305" w:type="pct"/>
            <w:tcBorders>
              <w:top w:val="nil"/>
              <w:left w:val="nil"/>
              <w:bottom w:val="nil"/>
              <w:right w:val="nil"/>
            </w:tcBorders>
            <w:noWrap/>
            <w:vAlign w:val="bottom"/>
          </w:tcPr>
          <w:p w:rsidR="0079646D" w:rsidRPr="00A271D7" w:rsidRDefault="0079646D" w:rsidP="00C93F7E">
            <w:pPr>
              <w:keepNext/>
              <w:keepLines/>
              <w:spacing w:after="0" w:line="240" w:lineRule="auto"/>
              <w:jc w:val="center"/>
              <w:outlineLvl w:val="0"/>
              <w:rPr>
                <w:rFonts w:cs="Calibri"/>
                <w:b/>
                <w:color w:val="000000"/>
              </w:rPr>
            </w:pPr>
            <w:r w:rsidRPr="00A271D7">
              <w:rPr>
                <w:rFonts w:cs="Calibri"/>
                <w:b/>
                <w:color w:val="000000"/>
              </w:rPr>
              <w:t>840</w:t>
            </w:r>
          </w:p>
        </w:tc>
        <w:tc>
          <w:tcPr>
            <w:tcW w:w="1230" w:type="pct"/>
            <w:tcBorders>
              <w:top w:val="nil"/>
              <w:left w:val="nil"/>
              <w:bottom w:val="nil"/>
              <w:right w:val="nil"/>
            </w:tcBorders>
            <w:noWrap/>
            <w:vAlign w:val="bottom"/>
          </w:tcPr>
          <w:p w:rsidR="0079646D" w:rsidRPr="00A271D7" w:rsidRDefault="0079646D" w:rsidP="00C93F7E">
            <w:pPr>
              <w:keepNext/>
              <w:keepLines/>
              <w:spacing w:after="0" w:line="240" w:lineRule="auto"/>
              <w:jc w:val="center"/>
              <w:outlineLvl w:val="0"/>
              <w:rPr>
                <w:rFonts w:cs="Calibri"/>
                <w:b/>
                <w:color w:val="000000"/>
              </w:rPr>
            </w:pPr>
            <w:r w:rsidRPr="00A271D7">
              <w:rPr>
                <w:rFonts w:cs="Calibri"/>
                <w:b/>
                <w:color w:val="000000"/>
              </w:rPr>
              <w:t>560</w:t>
            </w:r>
          </w:p>
        </w:tc>
      </w:tr>
      <w:tr w:rsidR="0079646D" w:rsidRPr="000B185D">
        <w:trPr>
          <w:trHeight w:val="300"/>
        </w:trPr>
        <w:tc>
          <w:tcPr>
            <w:tcW w:w="1175" w:type="pct"/>
            <w:tcBorders>
              <w:top w:val="nil"/>
              <w:left w:val="nil"/>
              <w:bottom w:val="nil"/>
              <w:right w:val="nil"/>
            </w:tcBorders>
            <w:noWrap/>
            <w:vAlign w:val="bottom"/>
          </w:tcPr>
          <w:p w:rsidR="0079646D" w:rsidRPr="00A271D7" w:rsidRDefault="0079646D" w:rsidP="00C93F7E">
            <w:pPr>
              <w:keepNext/>
              <w:keepLines/>
              <w:spacing w:after="0" w:line="240" w:lineRule="auto"/>
              <w:outlineLvl w:val="0"/>
              <w:rPr>
                <w:rFonts w:cs="Calibri"/>
                <w:color w:val="000000"/>
                <w:sz w:val="20"/>
              </w:rPr>
            </w:pPr>
            <w:r>
              <w:rPr>
                <w:rFonts w:cs="Calibri"/>
                <w:color w:val="000000"/>
                <w:sz w:val="20"/>
              </w:rPr>
              <w:t xml:space="preserve"># of </w:t>
            </w:r>
            <w:r w:rsidRPr="00A271D7">
              <w:rPr>
                <w:rFonts w:cs="Calibri"/>
                <w:color w:val="000000"/>
                <w:sz w:val="20"/>
              </w:rPr>
              <w:t>Standard Plans</w:t>
            </w:r>
          </w:p>
        </w:tc>
        <w:tc>
          <w:tcPr>
            <w:tcW w:w="1290" w:type="pct"/>
            <w:tcBorders>
              <w:top w:val="nil"/>
              <w:left w:val="nil"/>
              <w:bottom w:val="nil"/>
              <w:right w:val="nil"/>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A271D7">
              <w:rPr>
                <w:rFonts w:cs="Calibri"/>
                <w:color w:val="000000"/>
                <w:sz w:val="20"/>
              </w:rPr>
              <w:t>230</w:t>
            </w:r>
          </w:p>
        </w:tc>
        <w:tc>
          <w:tcPr>
            <w:tcW w:w="1305" w:type="pct"/>
            <w:tcBorders>
              <w:top w:val="nil"/>
              <w:left w:val="nil"/>
              <w:bottom w:val="nil"/>
              <w:right w:val="nil"/>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A271D7">
              <w:rPr>
                <w:rFonts w:cs="Calibri"/>
                <w:color w:val="000000"/>
                <w:sz w:val="20"/>
              </w:rPr>
              <w:t>690</w:t>
            </w:r>
          </w:p>
        </w:tc>
        <w:tc>
          <w:tcPr>
            <w:tcW w:w="1230" w:type="pct"/>
            <w:tcBorders>
              <w:top w:val="nil"/>
              <w:left w:val="nil"/>
              <w:bottom w:val="nil"/>
              <w:right w:val="nil"/>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2C1B6A">
              <w:rPr>
                <w:rFonts w:cs="Calibri"/>
                <w:color w:val="000000"/>
                <w:sz w:val="20"/>
              </w:rPr>
              <w:t>460</w:t>
            </w:r>
          </w:p>
        </w:tc>
      </w:tr>
      <w:tr w:rsidR="0079646D" w:rsidRPr="000B185D">
        <w:trPr>
          <w:trHeight w:val="300"/>
        </w:trPr>
        <w:tc>
          <w:tcPr>
            <w:tcW w:w="1175" w:type="pct"/>
            <w:tcBorders>
              <w:top w:val="nil"/>
              <w:left w:val="nil"/>
              <w:bottom w:val="nil"/>
              <w:right w:val="nil"/>
            </w:tcBorders>
            <w:noWrap/>
            <w:vAlign w:val="bottom"/>
          </w:tcPr>
          <w:p w:rsidR="0079646D" w:rsidRPr="00A271D7" w:rsidRDefault="0079646D" w:rsidP="00C93F7E">
            <w:pPr>
              <w:keepNext/>
              <w:keepLines/>
              <w:spacing w:after="0" w:line="240" w:lineRule="auto"/>
              <w:outlineLvl w:val="0"/>
              <w:rPr>
                <w:rFonts w:cs="Calibri"/>
                <w:color w:val="000000"/>
                <w:sz w:val="20"/>
              </w:rPr>
            </w:pPr>
            <w:r>
              <w:rPr>
                <w:rFonts w:cs="Calibri"/>
                <w:color w:val="000000"/>
                <w:sz w:val="20"/>
              </w:rPr>
              <w:t xml:space="preserve"># of </w:t>
            </w:r>
            <w:r w:rsidRPr="00A271D7">
              <w:rPr>
                <w:rFonts w:cs="Calibri"/>
                <w:color w:val="000000"/>
                <w:sz w:val="20"/>
              </w:rPr>
              <w:t>Enhanced Plans</w:t>
            </w:r>
          </w:p>
        </w:tc>
        <w:tc>
          <w:tcPr>
            <w:tcW w:w="1290" w:type="pct"/>
            <w:tcBorders>
              <w:top w:val="nil"/>
              <w:left w:val="nil"/>
              <w:bottom w:val="nil"/>
              <w:right w:val="nil"/>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A271D7">
              <w:rPr>
                <w:rFonts w:cs="Calibri"/>
                <w:color w:val="000000"/>
                <w:sz w:val="20"/>
              </w:rPr>
              <w:t>50</w:t>
            </w:r>
          </w:p>
        </w:tc>
        <w:tc>
          <w:tcPr>
            <w:tcW w:w="1305" w:type="pct"/>
            <w:tcBorders>
              <w:top w:val="nil"/>
              <w:left w:val="nil"/>
              <w:bottom w:val="nil"/>
              <w:right w:val="nil"/>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A271D7">
              <w:rPr>
                <w:rFonts w:cs="Calibri"/>
                <w:color w:val="000000"/>
                <w:sz w:val="20"/>
              </w:rPr>
              <w:t>150</w:t>
            </w:r>
          </w:p>
        </w:tc>
        <w:tc>
          <w:tcPr>
            <w:tcW w:w="1230" w:type="pct"/>
            <w:tcBorders>
              <w:top w:val="nil"/>
              <w:left w:val="nil"/>
              <w:bottom w:val="nil"/>
              <w:right w:val="nil"/>
            </w:tcBorders>
            <w:noWrap/>
            <w:vAlign w:val="bottom"/>
          </w:tcPr>
          <w:p w:rsidR="0079646D" w:rsidRPr="00A271D7" w:rsidRDefault="0079646D" w:rsidP="00C93F7E">
            <w:pPr>
              <w:keepNext/>
              <w:keepLines/>
              <w:spacing w:after="0" w:line="240" w:lineRule="auto"/>
              <w:jc w:val="center"/>
              <w:outlineLvl w:val="0"/>
              <w:rPr>
                <w:rFonts w:cs="Calibri"/>
                <w:color w:val="000000"/>
                <w:sz w:val="20"/>
              </w:rPr>
            </w:pPr>
            <w:r w:rsidRPr="002C1B6A">
              <w:rPr>
                <w:rFonts w:cs="Calibri"/>
                <w:color w:val="000000"/>
                <w:sz w:val="20"/>
              </w:rPr>
              <w:t>100</w:t>
            </w:r>
          </w:p>
        </w:tc>
      </w:tr>
    </w:tbl>
    <w:p w:rsidR="0079646D" w:rsidRPr="00A271D7" w:rsidRDefault="0079646D" w:rsidP="00C93F7E"/>
    <w:p w:rsidR="0079646D" w:rsidRDefault="0079646D" w:rsidP="00C93F7E">
      <w:r>
        <w:t xml:space="preserve">Using the same methodology applied in the Cost and Cost Savings section above, FEMA estimates that </w:t>
      </w:r>
      <w:r w:rsidRPr="006B5B5E">
        <w:t>States would submit an additional 460 Standard Plan updates and 100 Enhanced Plan updates at a unit cost of $205,000 per Standard Plan and $524,000 per Enhanced Plan.  The total State Cost Increase</w:t>
      </w:r>
      <w:r w:rsidRPr="006B5B5E">
        <w:rPr>
          <w:rStyle w:val="FootnoteReference"/>
        </w:rPr>
        <w:footnoteReference w:id="35"/>
      </w:r>
      <w:r w:rsidRPr="006B5B5E">
        <w:t xml:space="preserve">, over 15 years, would be $146,700,000.  FEMA would also experience a corresponding increase in the number of mitigation plans it would review.  Using the </w:t>
      </w:r>
      <w:r>
        <w:t>primary</w:t>
      </w:r>
      <w:r w:rsidRPr="006B5B5E">
        <w:t xml:space="preserve"> Federal Review Unit Cost</w:t>
      </w:r>
      <w:r w:rsidRPr="006B5B5E">
        <w:rPr>
          <w:rStyle w:val="FootnoteReference"/>
        </w:rPr>
        <w:footnoteReference w:id="36"/>
      </w:r>
      <w:r w:rsidRPr="006B5B5E">
        <w:t xml:space="preserve"> estimate </w:t>
      </w:r>
      <w:r>
        <w:t xml:space="preserve">of $5,770 </w:t>
      </w:r>
      <w:r w:rsidRPr="006B5B5E">
        <w:t>calculated in the Cost and Cost Savings section, the resulting Federal cost increase is $</w:t>
      </w:r>
      <w:r>
        <w:t>3,231,200</w:t>
      </w:r>
      <w:r w:rsidRPr="006B5B5E">
        <w:t>.</w:t>
      </w:r>
      <w:r w:rsidRPr="0055797D">
        <w:rPr>
          <w:rStyle w:val="FootnoteReference"/>
        </w:rPr>
        <w:t xml:space="preserve"> </w:t>
      </w:r>
      <w:r w:rsidRPr="006B5B5E">
        <w:rPr>
          <w:rStyle w:val="FootnoteReference"/>
        </w:rPr>
        <w:footnoteReference w:id="37"/>
      </w:r>
      <w:r w:rsidRPr="006B5B5E">
        <w:t xml:space="preserve">  The Total Cost Increase over 15 years of this alternative is approximately $</w:t>
      </w:r>
      <w:r>
        <w:t>149,900</w:t>
      </w:r>
      <w:r w:rsidRPr="006B5B5E">
        <w:t xml:space="preserve">,000 as shown in </w:t>
      </w:r>
      <w:r w:rsidR="000D5FAE">
        <w:fldChar w:fldCharType="begin"/>
      </w:r>
      <w:r w:rsidR="000D5FAE">
        <w:instrText xml:space="preserve"> REF _Ref322086434 \h  \* MERGEFORMAT </w:instrText>
      </w:r>
      <w:r w:rsidR="000D5FAE">
        <w:fldChar w:fldCharType="separate"/>
      </w:r>
      <w:r w:rsidR="003C6FB6">
        <w:t>Table 9</w:t>
      </w:r>
      <w:r w:rsidR="000D5FAE">
        <w:fldChar w:fldCharType="end"/>
      </w:r>
      <w:r>
        <w:t>.</w:t>
      </w:r>
      <w:r w:rsidRPr="0055797D">
        <w:rPr>
          <w:rStyle w:val="FootnoteReference"/>
        </w:rPr>
        <w:t xml:space="preserve"> </w:t>
      </w:r>
      <w:r w:rsidRPr="006B5B5E">
        <w:rPr>
          <w:rStyle w:val="FootnoteReference"/>
        </w:rPr>
        <w:footnoteReference w:id="38"/>
      </w:r>
      <w:r>
        <w:t xml:space="preserve">  </w:t>
      </w:r>
    </w:p>
    <w:p w:rsidR="0079646D" w:rsidRDefault="0079646D" w:rsidP="00B44F83">
      <w:pPr>
        <w:pStyle w:val="Caption"/>
        <w:keepLines/>
      </w:pPr>
      <w:bookmarkStart w:id="9" w:name="_Ref322086434"/>
      <w:r>
        <w:lastRenderedPageBreak/>
        <w:t xml:space="preserve">Table </w:t>
      </w:r>
      <w:r w:rsidR="006E36A7">
        <w:fldChar w:fldCharType="begin"/>
      </w:r>
      <w:r w:rsidR="009B6DC1">
        <w:instrText xml:space="preserve"> SEQ Table \* ARABIC </w:instrText>
      </w:r>
      <w:r w:rsidR="006E36A7">
        <w:fldChar w:fldCharType="separate"/>
      </w:r>
      <w:r w:rsidR="003C6FB6">
        <w:rPr>
          <w:noProof/>
        </w:rPr>
        <w:t>9</w:t>
      </w:r>
      <w:r w:rsidR="006E36A7">
        <w:rPr>
          <w:noProof/>
        </w:rPr>
        <w:fldChar w:fldCharType="end"/>
      </w:r>
      <w:bookmarkEnd w:id="9"/>
      <w:r>
        <w:t>:  Total Cost Increase Over 15 Years (Annual Plan Updates)</w:t>
      </w:r>
    </w:p>
    <w:tbl>
      <w:tblPr>
        <w:tblW w:w="5000" w:type="pct"/>
        <w:tblLayout w:type="fixed"/>
        <w:tblLook w:val="00A0" w:firstRow="1" w:lastRow="0" w:firstColumn="1" w:lastColumn="0" w:noHBand="0" w:noVBand="0"/>
      </w:tblPr>
      <w:tblGrid>
        <w:gridCol w:w="1998"/>
        <w:gridCol w:w="1890"/>
        <w:gridCol w:w="1800"/>
        <w:gridCol w:w="2070"/>
        <w:gridCol w:w="1818"/>
      </w:tblGrid>
      <w:tr w:rsidR="0079646D" w:rsidRPr="000B185D">
        <w:trPr>
          <w:trHeight w:val="570"/>
        </w:trPr>
        <w:tc>
          <w:tcPr>
            <w:tcW w:w="1043" w:type="pct"/>
            <w:tcBorders>
              <w:top w:val="single" w:sz="4" w:space="0" w:color="auto"/>
              <w:left w:val="single" w:sz="4" w:space="0" w:color="auto"/>
              <w:bottom w:val="nil"/>
              <w:right w:val="single" w:sz="4" w:space="0" w:color="000000"/>
            </w:tcBorders>
            <w:noWrap/>
            <w:vAlign w:val="bottom"/>
          </w:tcPr>
          <w:p w:rsidR="0079646D" w:rsidRPr="00C55ED2" w:rsidRDefault="0079646D" w:rsidP="00B44F83">
            <w:pPr>
              <w:keepNext/>
              <w:keepLines/>
              <w:spacing w:after="0" w:line="240" w:lineRule="auto"/>
              <w:outlineLvl w:val="0"/>
              <w:rPr>
                <w:rFonts w:cs="Calibri"/>
                <w:b/>
                <w:bCs/>
                <w:sz w:val="20"/>
              </w:rPr>
            </w:pPr>
            <w:r w:rsidRPr="00C55ED2">
              <w:rPr>
                <w:rFonts w:cs="Calibri"/>
                <w:b/>
                <w:bCs/>
                <w:sz w:val="20"/>
              </w:rPr>
              <w:t>State Plan Type</w:t>
            </w:r>
          </w:p>
        </w:tc>
        <w:tc>
          <w:tcPr>
            <w:tcW w:w="987" w:type="pct"/>
            <w:tcBorders>
              <w:top w:val="single" w:sz="4" w:space="0" w:color="auto"/>
              <w:left w:val="nil"/>
              <w:bottom w:val="nil"/>
              <w:right w:val="single" w:sz="4" w:space="0" w:color="auto"/>
            </w:tcBorders>
            <w:vAlign w:val="bottom"/>
          </w:tcPr>
          <w:p w:rsidR="0079646D" w:rsidRPr="00C55ED2" w:rsidRDefault="0079646D" w:rsidP="00B44F83">
            <w:pPr>
              <w:keepNext/>
              <w:keepLines/>
              <w:spacing w:after="0" w:line="240" w:lineRule="auto"/>
              <w:jc w:val="center"/>
              <w:outlineLvl w:val="0"/>
              <w:rPr>
                <w:rFonts w:cs="Calibri"/>
                <w:b/>
                <w:bCs/>
                <w:color w:val="000000"/>
                <w:sz w:val="20"/>
              </w:rPr>
            </w:pPr>
            <w:r w:rsidRPr="00C55ED2">
              <w:rPr>
                <w:rFonts w:cs="Calibri"/>
                <w:b/>
                <w:bCs/>
                <w:color w:val="000000"/>
                <w:sz w:val="20"/>
              </w:rPr>
              <w:t>Change in Updates</w:t>
            </w:r>
            <w:r w:rsidRPr="00C55ED2">
              <w:rPr>
                <w:rFonts w:cs="Calibri"/>
                <w:b/>
                <w:bCs/>
                <w:color w:val="000000"/>
                <w:sz w:val="20"/>
                <w:vertAlign w:val="superscript"/>
              </w:rPr>
              <w:t>1</w:t>
            </w:r>
          </w:p>
        </w:tc>
        <w:tc>
          <w:tcPr>
            <w:tcW w:w="940" w:type="pct"/>
            <w:tcBorders>
              <w:top w:val="single" w:sz="4" w:space="0" w:color="auto"/>
              <w:left w:val="nil"/>
              <w:bottom w:val="single" w:sz="4" w:space="0" w:color="auto"/>
              <w:right w:val="single" w:sz="4" w:space="0" w:color="auto"/>
            </w:tcBorders>
            <w:vAlign w:val="bottom"/>
          </w:tcPr>
          <w:p w:rsidR="0079646D" w:rsidRPr="00C55ED2" w:rsidRDefault="0079646D" w:rsidP="00B44F83">
            <w:pPr>
              <w:keepNext/>
              <w:keepLines/>
              <w:spacing w:after="0" w:line="240" w:lineRule="auto"/>
              <w:jc w:val="center"/>
              <w:outlineLvl w:val="0"/>
              <w:rPr>
                <w:rFonts w:cs="Calibri"/>
                <w:b/>
                <w:bCs/>
                <w:color w:val="000000"/>
                <w:sz w:val="20"/>
              </w:rPr>
            </w:pPr>
            <w:r w:rsidRPr="00C55ED2">
              <w:rPr>
                <w:rFonts w:cs="Calibri"/>
                <w:b/>
                <w:bCs/>
                <w:color w:val="000000"/>
                <w:sz w:val="20"/>
              </w:rPr>
              <w:t>State Cost Increase</w:t>
            </w:r>
          </w:p>
        </w:tc>
        <w:tc>
          <w:tcPr>
            <w:tcW w:w="1081" w:type="pct"/>
            <w:tcBorders>
              <w:top w:val="single" w:sz="4" w:space="0" w:color="auto"/>
              <w:left w:val="nil"/>
              <w:bottom w:val="single" w:sz="4" w:space="0" w:color="auto"/>
              <w:right w:val="single" w:sz="4" w:space="0" w:color="auto"/>
            </w:tcBorders>
            <w:vAlign w:val="bottom"/>
          </w:tcPr>
          <w:p w:rsidR="0079646D" w:rsidRPr="00C55ED2" w:rsidRDefault="0079646D" w:rsidP="00B44F83">
            <w:pPr>
              <w:keepNext/>
              <w:keepLines/>
              <w:spacing w:after="0" w:line="240" w:lineRule="auto"/>
              <w:jc w:val="center"/>
              <w:outlineLvl w:val="0"/>
              <w:rPr>
                <w:rFonts w:cs="Calibri"/>
                <w:b/>
                <w:bCs/>
                <w:color w:val="000000"/>
                <w:sz w:val="20"/>
              </w:rPr>
            </w:pPr>
            <w:r w:rsidRPr="00C55ED2">
              <w:rPr>
                <w:rFonts w:cs="Calibri"/>
                <w:b/>
                <w:bCs/>
                <w:color w:val="000000"/>
                <w:sz w:val="20"/>
              </w:rPr>
              <w:t>Federal Cost Increase</w:t>
            </w:r>
          </w:p>
        </w:tc>
        <w:tc>
          <w:tcPr>
            <w:tcW w:w="949" w:type="pct"/>
            <w:tcBorders>
              <w:top w:val="single" w:sz="4" w:space="0" w:color="auto"/>
              <w:left w:val="nil"/>
              <w:bottom w:val="single" w:sz="4" w:space="0" w:color="auto"/>
              <w:right w:val="single" w:sz="4" w:space="0" w:color="auto"/>
            </w:tcBorders>
            <w:vAlign w:val="bottom"/>
          </w:tcPr>
          <w:p w:rsidR="0079646D" w:rsidRPr="00C55ED2" w:rsidRDefault="0079646D" w:rsidP="00B44F83">
            <w:pPr>
              <w:keepNext/>
              <w:keepLines/>
              <w:spacing w:after="0" w:line="240" w:lineRule="auto"/>
              <w:jc w:val="center"/>
              <w:outlineLvl w:val="0"/>
              <w:rPr>
                <w:rFonts w:cs="Calibri"/>
                <w:b/>
                <w:bCs/>
                <w:color w:val="000000"/>
                <w:sz w:val="20"/>
              </w:rPr>
            </w:pPr>
            <w:r w:rsidRPr="00C55ED2">
              <w:rPr>
                <w:rFonts w:cs="Calibri"/>
                <w:b/>
                <w:bCs/>
                <w:color w:val="000000"/>
                <w:sz w:val="20"/>
              </w:rPr>
              <w:t>Total Cost Increase</w:t>
            </w:r>
          </w:p>
        </w:tc>
      </w:tr>
      <w:tr w:rsidR="0079646D" w:rsidRPr="000B185D">
        <w:trPr>
          <w:trHeight w:val="300"/>
        </w:trPr>
        <w:tc>
          <w:tcPr>
            <w:tcW w:w="1043" w:type="pct"/>
            <w:tcBorders>
              <w:top w:val="single" w:sz="4" w:space="0" w:color="auto"/>
              <w:left w:val="single" w:sz="4" w:space="0" w:color="auto"/>
              <w:bottom w:val="single" w:sz="4" w:space="0" w:color="auto"/>
              <w:right w:val="single" w:sz="4" w:space="0" w:color="auto"/>
            </w:tcBorders>
            <w:noWrap/>
            <w:vAlign w:val="bottom"/>
          </w:tcPr>
          <w:p w:rsidR="0079646D" w:rsidRPr="00C55ED2" w:rsidRDefault="0079646D" w:rsidP="00B44F83">
            <w:pPr>
              <w:keepNext/>
              <w:keepLines/>
              <w:spacing w:after="0" w:line="240" w:lineRule="auto"/>
              <w:outlineLvl w:val="0"/>
              <w:rPr>
                <w:rFonts w:cs="Calibri"/>
                <w:sz w:val="20"/>
              </w:rPr>
            </w:pPr>
            <w:r w:rsidRPr="00C55ED2">
              <w:rPr>
                <w:rFonts w:cs="Calibri"/>
                <w:sz w:val="20"/>
              </w:rPr>
              <w:t>Standard Plan Update</w:t>
            </w:r>
          </w:p>
        </w:tc>
        <w:tc>
          <w:tcPr>
            <w:tcW w:w="987" w:type="pct"/>
            <w:tcBorders>
              <w:top w:val="single" w:sz="4" w:space="0" w:color="auto"/>
              <w:left w:val="nil"/>
              <w:bottom w:val="single" w:sz="4" w:space="0" w:color="auto"/>
              <w:right w:val="single" w:sz="4" w:space="0" w:color="auto"/>
            </w:tcBorders>
            <w:noWrap/>
            <w:vAlign w:val="bottom"/>
          </w:tcPr>
          <w:p w:rsidR="0079646D" w:rsidRPr="00C55ED2" w:rsidRDefault="0079646D" w:rsidP="00B44F83">
            <w:pPr>
              <w:keepNext/>
              <w:keepLines/>
              <w:spacing w:after="0" w:line="240" w:lineRule="auto"/>
              <w:jc w:val="center"/>
              <w:outlineLvl w:val="0"/>
              <w:rPr>
                <w:rFonts w:cs="Calibri"/>
                <w:color w:val="000000"/>
                <w:sz w:val="20"/>
              </w:rPr>
            </w:pPr>
            <w:r w:rsidRPr="00C55ED2">
              <w:rPr>
                <w:rFonts w:cs="Calibri"/>
                <w:color w:val="000000"/>
                <w:sz w:val="20"/>
              </w:rPr>
              <w:t>460</w:t>
            </w:r>
          </w:p>
        </w:tc>
        <w:tc>
          <w:tcPr>
            <w:tcW w:w="940" w:type="pct"/>
            <w:tcBorders>
              <w:top w:val="nil"/>
              <w:left w:val="nil"/>
              <w:bottom w:val="single" w:sz="4" w:space="0" w:color="auto"/>
              <w:right w:val="single" w:sz="4" w:space="0" w:color="auto"/>
            </w:tcBorders>
            <w:noWrap/>
            <w:vAlign w:val="bottom"/>
          </w:tcPr>
          <w:p w:rsidR="0079646D" w:rsidRPr="000B185D" w:rsidRDefault="0079646D" w:rsidP="00B44F83">
            <w:pPr>
              <w:keepNext/>
              <w:keepLines/>
              <w:spacing w:after="0" w:line="240" w:lineRule="auto"/>
              <w:jc w:val="center"/>
              <w:outlineLvl w:val="0"/>
              <w:rPr>
                <w:rFonts w:cs="Calibri"/>
                <w:color w:val="000000"/>
                <w:sz w:val="20"/>
              </w:rPr>
            </w:pPr>
            <w:r w:rsidRPr="000B185D">
              <w:rPr>
                <w:rFonts w:cs="Calibri"/>
                <w:color w:val="000000"/>
                <w:sz w:val="20"/>
              </w:rPr>
              <w:t>$94,300,000</w:t>
            </w:r>
          </w:p>
        </w:tc>
        <w:tc>
          <w:tcPr>
            <w:tcW w:w="1081" w:type="pct"/>
            <w:tcBorders>
              <w:top w:val="nil"/>
              <w:left w:val="nil"/>
              <w:bottom w:val="single" w:sz="4" w:space="0" w:color="auto"/>
              <w:right w:val="single" w:sz="4" w:space="0" w:color="auto"/>
            </w:tcBorders>
            <w:noWrap/>
            <w:vAlign w:val="bottom"/>
          </w:tcPr>
          <w:p w:rsidR="0079646D" w:rsidRPr="000B185D" w:rsidRDefault="0079646D" w:rsidP="00B44F83">
            <w:pPr>
              <w:keepNext/>
              <w:keepLines/>
              <w:spacing w:after="0" w:line="240" w:lineRule="auto"/>
              <w:jc w:val="center"/>
              <w:outlineLvl w:val="0"/>
              <w:rPr>
                <w:rFonts w:cs="Calibri"/>
                <w:color w:val="000000"/>
                <w:sz w:val="20"/>
              </w:rPr>
            </w:pPr>
            <w:r w:rsidRPr="000B185D">
              <w:rPr>
                <w:rFonts w:cs="Calibri"/>
                <w:color w:val="000000"/>
                <w:sz w:val="20"/>
              </w:rPr>
              <w:t>$2,654,200</w:t>
            </w:r>
          </w:p>
        </w:tc>
        <w:tc>
          <w:tcPr>
            <w:tcW w:w="949" w:type="pct"/>
            <w:tcBorders>
              <w:top w:val="nil"/>
              <w:left w:val="nil"/>
              <w:bottom w:val="single" w:sz="4" w:space="0" w:color="auto"/>
              <w:right w:val="single" w:sz="4" w:space="0" w:color="auto"/>
            </w:tcBorders>
            <w:noWrap/>
            <w:vAlign w:val="bottom"/>
          </w:tcPr>
          <w:p w:rsidR="0079646D" w:rsidRPr="000B185D" w:rsidRDefault="0079646D" w:rsidP="00B44F83">
            <w:pPr>
              <w:keepNext/>
              <w:keepLines/>
              <w:spacing w:after="0" w:line="240" w:lineRule="auto"/>
              <w:jc w:val="center"/>
              <w:outlineLvl w:val="0"/>
              <w:rPr>
                <w:rFonts w:cs="Calibri"/>
                <w:color w:val="000000"/>
                <w:sz w:val="20"/>
              </w:rPr>
            </w:pPr>
            <w:r w:rsidRPr="000B185D">
              <w:rPr>
                <w:rFonts w:cs="Calibri"/>
                <w:color w:val="000000"/>
                <w:sz w:val="20"/>
              </w:rPr>
              <w:t>$96,954,200</w:t>
            </w:r>
          </w:p>
        </w:tc>
      </w:tr>
      <w:tr w:rsidR="0079646D" w:rsidRPr="000B185D">
        <w:trPr>
          <w:trHeight w:val="300"/>
        </w:trPr>
        <w:tc>
          <w:tcPr>
            <w:tcW w:w="1043" w:type="pct"/>
            <w:tcBorders>
              <w:top w:val="single" w:sz="4" w:space="0" w:color="auto"/>
              <w:left w:val="single" w:sz="4" w:space="0" w:color="auto"/>
              <w:bottom w:val="single" w:sz="4" w:space="0" w:color="auto"/>
              <w:right w:val="single" w:sz="4" w:space="0" w:color="auto"/>
            </w:tcBorders>
            <w:noWrap/>
            <w:vAlign w:val="bottom"/>
          </w:tcPr>
          <w:p w:rsidR="0079646D" w:rsidRPr="00C55ED2" w:rsidRDefault="0079646D" w:rsidP="00B44F83">
            <w:pPr>
              <w:keepNext/>
              <w:keepLines/>
              <w:spacing w:after="0" w:line="240" w:lineRule="auto"/>
              <w:outlineLvl w:val="0"/>
              <w:rPr>
                <w:rFonts w:cs="Calibri"/>
                <w:sz w:val="20"/>
              </w:rPr>
            </w:pPr>
            <w:r w:rsidRPr="00C55ED2">
              <w:rPr>
                <w:rFonts w:cs="Calibri"/>
                <w:sz w:val="20"/>
              </w:rPr>
              <w:t>Enhanced Plan Update</w:t>
            </w:r>
          </w:p>
        </w:tc>
        <w:tc>
          <w:tcPr>
            <w:tcW w:w="987" w:type="pct"/>
            <w:tcBorders>
              <w:top w:val="nil"/>
              <w:left w:val="nil"/>
              <w:bottom w:val="single" w:sz="4" w:space="0" w:color="auto"/>
              <w:right w:val="single" w:sz="4" w:space="0" w:color="auto"/>
            </w:tcBorders>
            <w:noWrap/>
            <w:vAlign w:val="bottom"/>
          </w:tcPr>
          <w:p w:rsidR="0079646D" w:rsidRPr="00C55ED2" w:rsidRDefault="0079646D" w:rsidP="00B44F83">
            <w:pPr>
              <w:keepNext/>
              <w:keepLines/>
              <w:spacing w:after="0" w:line="240" w:lineRule="auto"/>
              <w:jc w:val="center"/>
              <w:outlineLvl w:val="0"/>
              <w:rPr>
                <w:rFonts w:cs="Calibri"/>
                <w:color w:val="000000"/>
                <w:sz w:val="20"/>
              </w:rPr>
            </w:pPr>
            <w:r w:rsidRPr="00C55ED2">
              <w:rPr>
                <w:rFonts w:cs="Calibri"/>
                <w:color w:val="000000"/>
                <w:sz w:val="20"/>
              </w:rPr>
              <w:t>100</w:t>
            </w:r>
          </w:p>
        </w:tc>
        <w:tc>
          <w:tcPr>
            <w:tcW w:w="940" w:type="pct"/>
            <w:tcBorders>
              <w:top w:val="nil"/>
              <w:left w:val="nil"/>
              <w:bottom w:val="single" w:sz="4" w:space="0" w:color="auto"/>
              <w:right w:val="single" w:sz="4" w:space="0" w:color="auto"/>
            </w:tcBorders>
            <w:noWrap/>
            <w:vAlign w:val="bottom"/>
          </w:tcPr>
          <w:p w:rsidR="0079646D" w:rsidRPr="000B185D" w:rsidRDefault="0079646D" w:rsidP="00B44F83">
            <w:pPr>
              <w:keepNext/>
              <w:keepLines/>
              <w:spacing w:after="0" w:line="240" w:lineRule="auto"/>
              <w:jc w:val="center"/>
              <w:outlineLvl w:val="0"/>
              <w:rPr>
                <w:rFonts w:cs="Calibri"/>
                <w:color w:val="000000"/>
                <w:sz w:val="20"/>
              </w:rPr>
            </w:pPr>
            <w:r w:rsidRPr="000B185D">
              <w:rPr>
                <w:rFonts w:cs="Calibri"/>
                <w:color w:val="000000"/>
                <w:sz w:val="20"/>
              </w:rPr>
              <w:t>$52,400,000</w:t>
            </w:r>
          </w:p>
        </w:tc>
        <w:tc>
          <w:tcPr>
            <w:tcW w:w="1081" w:type="pct"/>
            <w:tcBorders>
              <w:top w:val="nil"/>
              <w:left w:val="nil"/>
              <w:bottom w:val="single" w:sz="4" w:space="0" w:color="auto"/>
              <w:right w:val="single" w:sz="4" w:space="0" w:color="auto"/>
            </w:tcBorders>
            <w:noWrap/>
            <w:vAlign w:val="bottom"/>
          </w:tcPr>
          <w:p w:rsidR="0079646D" w:rsidRPr="000B185D" w:rsidRDefault="0079646D" w:rsidP="00B44F83">
            <w:pPr>
              <w:keepNext/>
              <w:keepLines/>
              <w:spacing w:after="0" w:line="240" w:lineRule="auto"/>
              <w:jc w:val="center"/>
              <w:outlineLvl w:val="0"/>
              <w:rPr>
                <w:rFonts w:cs="Calibri"/>
                <w:color w:val="000000"/>
                <w:sz w:val="20"/>
              </w:rPr>
            </w:pPr>
            <w:r w:rsidRPr="000B185D">
              <w:rPr>
                <w:rFonts w:cs="Calibri"/>
                <w:color w:val="000000"/>
                <w:sz w:val="20"/>
              </w:rPr>
              <w:t>$577,000</w:t>
            </w:r>
          </w:p>
        </w:tc>
        <w:tc>
          <w:tcPr>
            <w:tcW w:w="949" w:type="pct"/>
            <w:tcBorders>
              <w:top w:val="nil"/>
              <w:left w:val="nil"/>
              <w:bottom w:val="single" w:sz="4" w:space="0" w:color="auto"/>
              <w:right w:val="single" w:sz="4" w:space="0" w:color="auto"/>
            </w:tcBorders>
            <w:noWrap/>
            <w:vAlign w:val="bottom"/>
          </w:tcPr>
          <w:p w:rsidR="0079646D" w:rsidRPr="000B185D" w:rsidRDefault="0079646D" w:rsidP="00B44F83">
            <w:pPr>
              <w:keepNext/>
              <w:keepLines/>
              <w:spacing w:after="0" w:line="240" w:lineRule="auto"/>
              <w:jc w:val="center"/>
              <w:outlineLvl w:val="0"/>
              <w:rPr>
                <w:rFonts w:cs="Calibri"/>
                <w:color w:val="000000"/>
                <w:sz w:val="20"/>
              </w:rPr>
            </w:pPr>
            <w:r w:rsidRPr="000B185D">
              <w:rPr>
                <w:rFonts w:cs="Calibri"/>
                <w:color w:val="000000"/>
                <w:sz w:val="20"/>
              </w:rPr>
              <w:t>$52,977,000</w:t>
            </w:r>
          </w:p>
        </w:tc>
      </w:tr>
      <w:tr w:rsidR="0079646D" w:rsidRPr="000B185D">
        <w:trPr>
          <w:trHeight w:val="300"/>
        </w:trPr>
        <w:tc>
          <w:tcPr>
            <w:tcW w:w="1043" w:type="pct"/>
            <w:tcBorders>
              <w:top w:val="single" w:sz="4" w:space="0" w:color="auto"/>
              <w:left w:val="nil"/>
              <w:bottom w:val="nil"/>
            </w:tcBorders>
            <w:noWrap/>
            <w:vAlign w:val="bottom"/>
          </w:tcPr>
          <w:p w:rsidR="0079646D" w:rsidRPr="00C55ED2" w:rsidRDefault="0079646D" w:rsidP="00B44F83">
            <w:pPr>
              <w:keepNext/>
              <w:keepLines/>
              <w:spacing w:after="0" w:line="240" w:lineRule="auto"/>
              <w:outlineLvl w:val="0"/>
              <w:rPr>
                <w:rFonts w:cs="Calibri"/>
                <w:b/>
                <w:bCs/>
                <w:sz w:val="20"/>
              </w:rPr>
            </w:pPr>
            <w:r w:rsidRPr="00C55ED2">
              <w:rPr>
                <w:rFonts w:cs="Calibri"/>
                <w:b/>
                <w:bCs/>
                <w:sz w:val="20"/>
              </w:rPr>
              <w:t>Total</w:t>
            </w:r>
          </w:p>
        </w:tc>
        <w:tc>
          <w:tcPr>
            <w:tcW w:w="987" w:type="pct"/>
            <w:tcBorders>
              <w:top w:val="nil"/>
              <w:left w:val="nil"/>
              <w:bottom w:val="nil"/>
              <w:right w:val="nil"/>
            </w:tcBorders>
            <w:noWrap/>
            <w:vAlign w:val="bottom"/>
          </w:tcPr>
          <w:p w:rsidR="0079646D" w:rsidRPr="00C55ED2" w:rsidRDefault="0079646D" w:rsidP="00B44F83">
            <w:pPr>
              <w:keepNext/>
              <w:keepLines/>
              <w:spacing w:after="0" w:line="240" w:lineRule="auto"/>
              <w:jc w:val="center"/>
              <w:outlineLvl w:val="0"/>
              <w:rPr>
                <w:rFonts w:cs="Calibri"/>
                <w:b/>
                <w:bCs/>
                <w:color w:val="000000"/>
                <w:sz w:val="20"/>
              </w:rPr>
            </w:pPr>
            <w:r w:rsidRPr="00C55ED2">
              <w:rPr>
                <w:rFonts w:cs="Calibri"/>
                <w:b/>
                <w:bCs/>
                <w:color w:val="000000"/>
                <w:sz w:val="20"/>
              </w:rPr>
              <w:t>560</w:t>
            </w:r>
          </w:p>
        </w:tc>
        <w:tc>
          <w:tcPr>
            <w:tcW w:w="940" w:type="pct"/>
            <w:tcBorders>
              <w:top w:val="nil"/>
              <w:left w:val="nil"/>
              <w:bottom w:val="nil"/>
              <w:right w:val="nil"/>
            </w:tcBorders>
            <w:noWrap/>
            <w:vAlign w:val="bottom"/>
          </w:tcPr>
          <w:p w:rsidR="0079646D" w:rsidRPr="000B185D" w:rsidRDefault="0079646D" w:rsidP="00B44F83">
            <w:pPr>
              <w:keepNext/>
              <w:keepLines/>
              <w:spacing w:after="0" w:line="240" w:lineRule="auto"/>
              <w:jc w:val="center"/>
              <w:outlineLvl w:val="0"/>
              <w:rPr>
                <w:rFonts w:cs="Calibri"/>
                <w:b/>
                <w:color w:val="000000"/>
                <w:sz w:val="20"/>
              </w:rPr>
            </w:pPr>
            <w:r w:rsidRPr="000B185D">
              <w:rPr>
                <w:rFonts w:cs="Calibri"/>
                <w:b/>
                <w:color w:val="000000"/>
                <w:sz w:val="20"/>
              </w:rPr>
              <w:t>$146,700,000</w:t>
            </w:r>
          </w:p>
        </w:tc>
        <w:tc>
          <w:tcPr>
            <w:tcW w:w="1081" w:type="pct"/>
            <w:tcBorders>
              <w:top w:val="nil"/>
              <w:left w:val="nil"/>
              <w:bottom w:val="nil"/>
              <w:right w:val="nil"/>
            </w:tcBorders>
            <w:noWrap/>
            <w:vAlign w:val="bottom"/>
          </w:tcPr>
          <w:p w:rsidR="0079646D" w:rsidRPr="000B185D" w:rsidRDefault="0079646D" w:rsidP="00B44F83">
            <w:pPr>
              <w:keepNext/>
              <w:keepLines/>
              <w:spacing w:after="0" w:line="240" w:lineRule="auto"/>
              <w:jc w:val="center"/>
              <w:outlineLvl w:val="0"/>
              <w:rPr>
                <w:rFonts w:cs="Calibri"/>
                <w:b/>
                <w:color w:val="000000"/>
                <w:sz w:val="20"/>
              </w:rPr>
            </w:pPr>
            <w:r w:rsidRPr="000B185D">
              <w:rPr>
                <w:rFonts w:cs="Calibri"/>
                <w:b/>
                <w:color w:val="000000"/>
                <w:sz w:val="20"/>
              </w:rPr>
              <w:t>$3,231,200</w:t>
            </w:r>
          </w:p>
        </w:tc>
        <w:tc>
          <w:tcPr>
            <w:tcW w:w="949" w:type="pct"/>
            <w:tcBorders>
              <w:top w:val="nil"/>
              <w:left w:val="nil"/>
              <w:bottom w:val="nil"/>
              <w:right w:val="nil"/>
            </w:tcBorders>
            <w:noWrap/>
            <w:vAlign w:val="bottom"/>
          </w:tcPr>
          <w:p w:rsidR="0079646D" w:rsidRPr="000B185D" w:rsidRDefault="0079646D" w:rsidP="00B44F83">
            <w:pPr>
              <w:keepNext/>
              <w:keepLines/>
              <w:spacing w:after="0" w:line="240" w:lineRule="auto"/>
              <w:jc w:val="center"/>
              <w:outlineLvl w:val="0"/>
              <w:rPr>
                <w:rFonts w:cs="Calibri"/>
                <w:b/>
                <w:color w:val="000000"/>
                <w:sz w:val="20"/>
              </w:rPr>
            </w:pPr>
            <w:r w:rsidRPr="000B185D">
              <w:rPr>
                <w:rFonts w:cs="Calibri"/>
                <w:b/>
                <w:color w:val="000000"/>
                <w:sz w:val="20"/>
              </w:rPr>
              <w:t>$149,931,200</w:t>
            </w:r>
          </w:p>
        </w:tc>
      </w:tr>
      <w:tr w:rsidR="0079646D" w:rsidRPr="000B185D">
        <w:trPr>
          <w:trHeight w:val="300"/>
        </w:trPr>
        <w:tc>
          <w:tcPr>
            <w:tcW w:w="5000" w:type="pct"/>
            <w:gridSpan w:val="5"/>
            <w:tcBorders>
              <w:top w:val="nil"/>
              <w:left w:val="nil"/>
              <w:bottom w:val="nil"/>
              <w:right w:val="nil"/>
            </w:tcBorders>
            <w:noWrap/>
            <w:vAlign w:val="bottom"/>
          </w:tcPr>
          <w:p w:rsidR="0079646D" w:rsidRPr="00C55ED2" w:rsidRDefault="0079646D" w:rsidP="00B44F83">
            <w:pPr>
              <w:keepNext/>
              <w:keepLines/>
              <w:spacing w:after="0" w:line="240" w:lineRule="auto"/>
              <w:outlineLvl w:val="0"/>
              <w:rPr>
                <w:rFonts w:cs="Calibri"/>
                <w:color w:val="000000"/>
                <w:sz w:val="20"/>
              </w:rPr>
            </w:pPr>
            <w:r w:rsidRPr="00C55ED2">
              <w:rPr>
                <w:rFonts w:cs="Calibri"/>
                <w:color w:val="000000"/>
                <w:sz w:val="20"/>
              </w:rPr>
              <w:t xml:space="preserve">1- Change in Updates is the change in </w:t>
            </w:r>
            <w:r>
              <w:rPr>
                <w:rFonts w:cs="Calibri"/>
                <w:color w:val="000000"/>
                <w:sz w:val="20"/>
              </w:rPr>
              <w:t>S</w:t>
            </w:r>
            <w:r w:rsidRPr="00C55ED2">
              <w:rPr>
                <w:rFonts w:cs="Calibri"/>
                <w:color w:val="000000"/>
                <w:sz w:val="20"/>
              </w:rPr>
              <w:t>tate updates multiplied by the number of plans</w:t>
            </w:r>
            <w:r>
              <w:rPr>
                <w:rFonts w:cs="Calibri"/>
                <w:color w:val="000000"/>
                <w:sz w:val="20"/>
              </w:rPr>
              <w:t>.</w:t>
            </w:r>
          </w:p>
        </w:tc>
      </w:tr>
    </w:tbl>
    <w:p w:rsidR="0079646D" w:rsidRDefault="0079646D" w:rsidP="00C93F7E"/>
    <w:p w:rsidR="0079646D" w:rsidRPr="00E10D41" w:rsidRDefault="0079646D" w:rsidP="00C93F7E">
      <w:r>
        <w:t xml:space="preserve">This alternative would provide </w:t>
      </w:r>
      <w:r w:rsidRPr="00393222">
        <w:t xml:space="preserve">timely information on the most current changes in State development, progress in mitigation efforts, </w:t>
      </w:r>
      <w:r>
        <w:t>and/</w:t>
      </w:r>
      <w:r w:rsidRPr="00393222">
        <w:t xml:space="preserve">or priorities.  However, this alternative would </w:t>
      </w:r>
      <w:r>
        <w:t xml:space="preserve">increase the cost of mitigation planning by </w:t>
      </w:r>
      <w:r w:rsidRPr="006B5B5E">
        <w:t>approximately $</w:t>
      </w:r>
      <w:r>
        <w:t>149,900</w:t>
      </w:r>
      <w:r w:rsidRPr="006B5B5E">
        <w:t>,000</w:t>
      </w:r>
      <w:r w:rsidRPr="006B5B5E">
        <w:rPr>
          <w:rStyle w:val="FootnoteReference"/>
        </w:rPr>
        <w:footnoteReference w:id="39"/>
      </w:r>
      <w:r w:rsidRPr="006B5B5E">
        <w:t xml:space="preserve"> over</w:t>
      </w:r>
      <w:r>
        <w:t xml:space="preserve"> 15 years.  In addition, this alternative would provide limited time to advance mitigation efforts identified in each State’s respective plan. </w:t>
      </w:r>
      <w:r w:rsidRPr="00593A35">
        <w:t xml:space="preserve"> </w:t>
      </w:r>
      <w:r>
        <w:t xml:space="preserve">Therefore, so as not to impose additional costs on States, FEMA has chosen not to pursue this alternative.  </w:t>
      </w:r>
    </w:p>
    <w:p w:rsidR="0079646D" w:rsidRDefault="0079646D" w:rsidP="00C93F7E">
      <w:pPr>
        <w:spacing w:before="240"/>
        <w:rPr>
          <w:b/>
        </w:rPr>
      </w:pPr>
      <w:r w:rsidRPr="00366E33">
        <w:rPr>
          <w:b/>
        </w:rPr>
        <w:t xml:space="preserve">Alternative 3 – 5 </w:t>
      </w:r>
      <w:r>
        <w:rPr>
          <w:b/>
        </w:rPr>
        <w:t>Y</w:t>
      </w:r>
      <w:r w:rsidRPr="00366E33">
        <w:rPr>
          <w:b/>
        </w:rPr>
        <w:t xml:space="preserve">ear </w:t>
      </w:r>
      <w:r>
        <w:rPr>
          <w:b/>
        </w:rPr>
        <w:t>U</w:t>
      </w:r>
      <w:r w:rsidRPr="00366E33">
        <w:rPr>
          <w:b/>
        </w:rPr>
        <w:t xml:space="preserve">pdate with </w:t>
      </w:r>
      <w:r>
        <w:rPr>
          <w:b/>
        </w:rPr>
        <w:t>A</w:t>
      </w:r>
      <w:r w:rsidRPr="00366E33">
        <w:rPr>
          <w:b/>
        </w:rPr>
        <w:t xml:space="preserve">nnual </w:t>
      </w:r>
      <w:r>
        <w:rPr>
          <w:b/>
        </w:rPr>
        <w:t>Status R</w:t>
      </w:r>
      <w:r w:rsidRPr="00366E33">
        <w:rPr>
          <w:b/>
        </w:rPr>
        <w:t>eport</w:t>
      </w:r>
      <w:r>
        <w:rPr>
          <w:b/>
        </w:rPr>
        <w:t>ing</w:t>
      </w:r>
      <w:r w:rsidRPr="00366E33">
        <w:rPr>
          <w:b/>
        </w:rPr>
        <w:t xml:space="preserve"> </w:t>
      </w:r>
      <w:r>
        <w:rPr>
          <w:b/>
        </w:rPr>
        <w:t>R</w:t>
      </w:r>
      <w:r w:rsidRPr="00366E33">
        <w:rPr>
          <w:b/>
        </w:rPr>
        <w:t xml:space="preserve">equirement </w:t>
      </w:r>
    </w:p>
    <w:p w:rsidR="0079646D" w:rsidRDefault="0079646D" w:rsidP="00C93F7E">
      <w:r>
        <w:t>Another alternative to the proposed rule FEMA considered was to change the State Mitigation Plan update requirement from 3 to 5 years, similar to the proposed option, but also add an annual reporting requirement.  Such reporting</w:t>
      </w:r>
      <w:r>
        <w:rPr>
          <w:rStyle w:val="FootnoteReference"/>
        </w:rPr>
        <w:footnoteReference w:id="40"/>
      </w:r>
      <w:r>
        <w:t xml:space="preserve"> would not be as extensive as a plan update, but would provide FEMA useful information on each State’s progress towards meeting its mitigation goals outlined in their respective plans.  FEMA assumes that much of the information used to develop a State’s annual status report would </w:t>
      </w:r>
      <w:r w:rsidRPr="006B5B5E">
        <w:t>already be captured as part of the State’s ongoing mitigation plan update activities.  FEMA also assumes that the equivalent to an Urban and Regional Planner</w:t>
      </w:r>
      <w:r w:rsidR="007B2795">
        <w:t>, at a loaded wage rate of $45.33</w:t>
      </w:r>
      <w:r w:rsidR="007B2795">
        <w:rPr>
          <w:rStyle w:val="FootnoteReference"/>
        </w:rPr>
        <w:footnoteReference w:id="41"/>
      </w:r>
      <w:r w:rsidR="007B2795">
        <w:t xml:space="preserve">, </w:t>
      </w:r>
      <w:r w:rsidRPr="006B5B5E">
        <w:t>would prepare a State’s report and estimates that its preparation would take approximately 8 hours.  FEMA also assumes a federal reviewer, as identified previously, would spend 2 hours reviewing each State’s annual status report.  The total annual status report</w:t>
      </w:r>
      <w:r>
        <w:t>ing</w:t>
      </w:r>
      <w:r w:rsidRPr="006B5B5E">
        <w:t xml:space="preserve"> cost over 15 years, as show in </w:t>
      </w:r>
      <w:r w:rsidR="000D5FAE">
        <w:fldChar w:fldCharType="begin"/>
      </w:r>
      <w:r w:rsidR="000D5FAE">
        <w:instrText xml:space="preserve"> REF _Ref322084167 \h  \* MERGEFORMAT </w:instrText>
      </w:r>
      <w:r w:rsidR="000D5FAE">
        <w:fldChar w:fldCharType="separate"/>
      </w:r>
      <w:r w:rsidR="003C6FB6">
        <w:t xml:space="preserve">Table </w:t>
      </w:r>
      <w:r w:rsidR="003C6FB6">
        <w:rPr>
          <w:noProof/>
        </w:rPr>
        <w:t>10</w:t>
      </w:r>
      <w:r w:rsidR="000D5FAE">
        <w:fldChar w:fldCharType="end"/>
      </w:r>
      <w:r w:rsidRPr="006B5B5E">
        <w:t>, is approximately $38</w:t>
      </w:r>
      <w:r>
        <w:t>6</w:t>
      </w:r>
      <w:r w:rsidRPr="006B5B5E">
        <w:t>,000</w:t>
      </w:r>
      <w:r>
        <w:t>.</w:t>
      </w:r>
      <w:r>
        <w:rPr>
          <w:rStyle w:val="FootnoteReference"/>
        </w:rPr>
        <w:footnoteReference w:id="42"/>
      </w:r>
      <w:r>
        <w:t xml:space="preserve">  </w:t>
      </w:r>
    </w:p>
    <w:p w:rsidR="0079646D" w:rsidRDefault="0079646D" w:rsidP="00C93F7E">
      <w:pPr>
        <w:pStyle w:val="Caption"/>
        <w:keepLines/>
        <w:spacing w:after="0"/>
      </w:pPr>
      <w:bookmarkStart w:id="10" w:name="_Ref322084167"/>
      <w:r>
        <w:lastRenderedPageBreak/>
        <w:t xml:space="preserve">Table </w:t>
      </w:r>
      <w:r w:rsidR="006E36A7">
        <w:fldChar w:fldCharType="begin"/>
      </w:r>
      <w:r w:rsidR="009B6DC1">
        <w:instrText xml:space="preserve"> SEQ Table \* ARABIC </w:instrText>
      </w:r>
      <w:r w:rsidR="006E36A7">
        <w:fldChar w:fldCharType="separate"/>
      </w:r>
      <w:r w:rsidR="003C6FB6">
        <w:rPr>
          <w:noProof/>
        </w:rPr>
        <w:t>10</w:t>
      </w:r>
      <w:r w:rsidR="006E36A7">
        <w:rPr>
          <w:noProof/>
        </w:rPr>
        <w:fldChar w:fldCharType="end"/>
      </w:r>
      <w:bookmarkEnd w:id="10"/>
      <w:r>
        <w:t>:  Annual Status Reporting Burden Over 15 Years</w:t>
      </w:r>
    </w:p>
    <w:tbl>
      <w:tblPr>
        <w:tblW w:w="5000" w:type="pct"/>
        <w:tblLook w:val="00A0" w:firstRow="1" w:lastRow="0" w:firstColumn="1" w:lastColumn="0" w:noHBand="0" w:noVBand="0"/>
      </w:tblPr>
      <w:tblGrid>
        <w:gridCol w:w="1176"/>
        <w:gridCol w:w="1542"/>
        <w:gridCol w:w="1440"/>
        <w:gridCol w:w="1800"/>
        <w:gridCol w:w="1620"/>
        <w:gridCol w:w="1998"/>
      </w:tblGrid>
      <w:tr w:rsidR="0079646D" w:rsidRPr="000B185D">
        <w:trPr>
          <w:trHeight w:val="593"/>
        </w:trPr>
        <w:tc>
          <w:tcPr>
            <w:tcW w:w="614" w:type="pct"/>
            <w:tcBorders>
              <w:top w:val="single" w:sz="4" w:space="0" w:color="auto"/>
              <w:left w:val="single" w:sz="4" w:space="0" w:color="auto"/>
              <w:bottom w:val="single" w:sz="4" w:space="0" w:color="auto"/>
              <w:right w:val="nil"/>
            </w:tcBorders>
            <w:noWrap/>
            <w:vAlign w:val="bottom"/>
          </w:tcPr>
          <w:p w:rsidR="0079646D" w:rsidRPr="006B08AA" w:rsidRDefault="0079646D" w:rsidP="00D40E62">
            <w:pPr>
              <w:keepNext/>
              <w:keepLines/>
              <w:spacing w:after="0" w:line="240" w:lineRule="auto"/>
              <w:rPr>
                <w:rFonts w:cs="Calibri"/>
                <w:b/>
                <w:bCs/>
                <w:sz w:val="20"/>
              </w:rPr>
            </w:pPr>
            <w:r w:rsidRPr="006B08AA">
              <w:rPr>
                <w:rFonts w:cs="Calibri"/>
                <w:b/>
                <w:bCs/>
                <w:sz w:val="20"/>
              </w:rPr>
              <w:t>Entity</w:t>
            </w:r>
          </w:p>
        </w:tc>
        <w:tc>
          <w:tcPr>
            <w:tcW w:w="805" w:type="pct"/>
            <w:tcBorders>
              <w:top w:val="single" w:sz="4" w:space="0" w:color="auto"/>
              <w:left w:val="single" w:sz="4" w:space="0" w:color="auto"/>
              <w:bottom w:val="single" w:sz="4" w:space="0" w:color="auto"/>
              <w:right w:val="single" w:sz="4" w:space="0" w:color="auto"/>
            </w:tcBorders>
            <w:vAlign w:val="bottom"/>
          </w:tcPr>
          <w:p w:rsidR="0079646D" w:rsidRPr="006B08AA" w:rsidRDefault="0079646D" w:rsidP="00D40E62">
            <w:pPr>
              <w:keepNext/>
              <w:keepLines/>
              <w:spacing w:after="0" w:line="240" w:lineRule="auto"/>
              <w:jc w:val="center"/>
              <w:rPr>
                <w:rFonts w:cs="Calibri"/>
                <w:b/>
                <w:bCs/>
                <w:sz w:val="20"/>
              </w:rPr>
            </w:pPr>
            <w:r w:rsidRPr="006B08AA">
              <w:rPr>
                <w:rFonts w:cs="Calibri"/>
                <w:b/>
                <w:bCs/>
                <w:sz w:val="20"/>
              </w:rPr>
              <w:t>Hours per Report</w:t>
            </w:r>
          </w:p>
        </w:tc>
        <w:tc>
          <w:tcPr>
            <w:tcW w:w="752" w:type="pct"/>
            <w:tcBorders>
              <w:top w:val="single" w:sz="4" w:space="0" w:color="auto"/>
              <w:left w:val="nil"/>
              <w:bottom w:val="single" w:sz="4" w:space="0" w:color="auto"/>
              <w:right w:val="nil"/>
            </w:tcBorders>
            <w:vAlign w:val="bottom"/>
          </w:tcPr>
          <w:p w:rsidR="0079646D" w:rsidRPr="006B08AA" w:rsidRDefault="0079646D" w:rsidP="00D40E62">
            <w:pPr>
              <w:keepNext/>
              <w:keepLines/>
              <w:spacing w:after="0" w:line="240" w:lineRule="auto"/>
              <w:jc w:val="center"/>
              <w:rPr>
                <w:rFonts w:cs="Calibri"/>
                <w:b/>
                <w:bCs/>
                <w:sz w:val="20"/>
              </w:rPr>
            </w:pPr>
            <w:r w:rsidRPr="006B08AA">
              <w:rPr>
                <w:rFonts w:cs="Calibri"/>
                <w:b/>
                <w:bCs/>
                <w:sz w:val="20"/>
              </w:rPr>
              <w:t>Loaded Wage</w:t>
            </w:r>
            <w:r w:rsidRPr="006B08AA">
              <w:rPr>
                <w:rFonts w:cs="Calibri"/>
                <w:b/>
                <w:bCs/>
                <w:sz w:val="20"/>
                <w:vertAlign w:val="superscript"/>
              </w:rPr>
              <w:t>1</w:t>
            </w:r>
            <w:r w:rsidRPr="006B08AA">
              <w:rPr>
                <w:rFonts w:cs="Calibri"/>
                <w:b/>
                <w:bCs/>
                <w:sz w:val="20"/>
              </w:rPr>
              <w:t xml:space="preserve"> </w:t>
            </w:r>
          </w:p>
        </w:tc>
        <w:tc>
          <w:tcPr>
            <w:tcW w:w="940" w:type="pct"/>
            <w:tcBorders>
              <w:top w:val="single" w:sz="4" w:space="0" w:color="auto"/>
              <w:left w:val="single" w:sz="4" w:space="0" w:color="auto"/>
              <w:bottom w:val="single" w:sz="4" w:space="0" w:color="auto"/>
              <w:right w:val="single" w:sz="4" w:space="0" w:color="auto"/>
            </w:tcBorders>
            <w:vAlign w:val="bottom"/>
          </w:tcPr>
          <w:p w:rsidR="0079646D" w:rsidRPr="006B08AA" w:rsidRDefault="0079646D" w:rsidP="00D40E62">
            <w:pPr>
              <w:keepNext/>
              <w:keepLines/>
              <w:spacing w:after="0" w:line="240" w:lineRule="auto"/>
              <w:jc w:val="center"/>
              <w:rPr>
                <w:rFonts w:cs="Calibri"/>
                <w:b/>
                <w:bCs/>
                <w:sz w:val="20"/>
              </w:rPr>
            </w:pPr>
            <w:r w:rsidRPr="006B08AA">
              <w:rPr>
                <w:rFonts w:cs="Calibri"/>
                <w:b/>
                <w:bCs/>
                <w:sz w:val="20"/>
              </w:rPr>
              <w:t>Report Unit Cost</w:t>
            </w:r>
            <w:r w:rsidRPr="009D2C7C">
              <w:rPr>
                <w:rFonts w:cs="Calibri"/>
                <w:b/>
                <w:bCs/>
                <w:sz w:val="20"/>
                <w:vertAlign w:val="superscript"/>
              </w:rPr>
              <w:t>2</w:t>
            </w:r>
          </w:p>
        </w:tc>
        <w:tc>
          <w:tcPr>
            <w:tcW w:w="846" w:type="pct"/>
            <w:tcBorders>
              <w:top w:val="single" w:sz="4" w:space="0" w:color="auto"/>
              <w:left w:val="nil"/>
              <w:bottom w:val="single" w:sz="4" w:space="0" w:color="auto"/>
              <w:right w:val="single" w:sz="4" w:space="0" w:color="auto"/>
            </w:tcBorders>
            <w:vAlign w:val="bottom"/>
          </w:tcPr>
          <w:p w:rsidR="0079646D" w:rsidRPr="006B08AA" w:rsidRDefault="0079646D" w:rsidP="00D40E62">
            <w:pPr>
              <w:keepNext/>
              <w:keepLines/>
              <w:spacing w:after="0" w:line="240" w:lineRule="auto"/>
              <w:jc w:val="center"/>
              <w:rPr>
                <w:rFonts w:cs="Calibri"/>
                <w:b/>
                <w:bCs/>
                <w:sz w:val="20"/>
              </w:rPr>
            </w:pPr>
            <w:r w:rsidRPr="006B08AA">
              <w:rPr>
                <w:rFonts w:cs="Calibri"/>
                <w:b/>
                <w:bCs/>
                <w:sz w:val="20"/>
              </w:rPr>
              <w:t># of Reports</w:t>
            </w:r>
            <w:r>
              <w:rPr>
                <w:rFonts w:cs="Calibri"/>
                <w:b/>
                <w:bCs/>
                <w:sz w:val="20"/>
                <w:vertAlign w:val="superscript"/>
              </w:rPr>
              <w:t>3</w:t>
            </w:r>
            <w:r w:rsidRPr="006B08AA">
              <w:rPr>
                <w:rFonts w:cs="Calibri"/>
                <w:b/>
                <w:bCs/>
                <w:sz w:val="20"/>
              </w:rPr>
              <w:t xml:space="preserve"> </w:t>
            </w:r>
            <w:r w:rsidRPr="006B08AA">
              <w:rPr>
                <w:rFonts w:cs="Calibri"/>
                <w:b/>
                <w:bCs/>
                <w:sz w:val="20"/>
              </w:rPr>
              <w:br/>
            </w:r>
            <w:r w:rsidRPr="006B08AA">
              <w:rPr>
                <w:rFonts w:cs="Calibri"/>
                <w:sz w:val="20"/>
              </w:rPr>
              <w:t>(over 15 years)</w:t>
            </w:r>
          </w:p>
        </w:tc>
        <w:tc>
          <w:tcPr>
            <w:tcW w:w="1043" w:type="pct"/>
            <w:tcBorders>
              <w:top w:val="single" w:sz="4" w:space="0" w:color="auto"/>
              <w:left w:val="nil"/>
              <w:bottom w:val="single" w:sz="4" w:space="0" w:color="auto"/>
              <w:right w:val="single" w:sz="4" w:space="0" w:color="auto"/>
            </w:tcBorders>
            <w:vAlign w:val="bottom"/>
          </w:tcPr>
          <w:p w:rsidR="0079646D" w:rsidRPr="006B08AA" w:rsidRDefault="0079646D" w:rsidP="00D40E62">
            <w:pPr>
              <w:keepNext/>
              <w:keepLines/>
              <w:spacing w:after="0" w:line="240" w:lineRule="auto"/>
              <w:jc w:val="center"/>
              <w:rPr>
                <w:rFonts w:cs="Calibri"/>
                <w:b/>
                <w:bCs/>
                <w:sz w:val="20"/>
              </w:rPr>
            </w:pPr>
            <w:r w:rsidRPr="006B08AA">
              <w:rPr>
                <w:rFonts w:cs="Calibri"/>
                <w:b/>
                <w:bCs/>
                <w:sz w:val="20"/>
              </w:rPr>
              <w:t>Total Annual Status Report Costs</w:t>
            </w:r>
          </w:p>
        </w:tc>
      </w:tr>
      <w:tr w:rsidR="0079646D" w:rsidRPr="000B185D">
        <w:trPr>
          <w:trHeight w:val="300"/>
        </w:trPr>
        <w:tc>
          <w:tcPr>
            <w:tcW w:w="614" w:type="pct"/>
            <w:tcBorders>
              <w:top w:val="nil"/>
              <w:left w:val="single" w:sz="4" w:space="0" w:color="auto"/>
              <w:bottom w:val="single" w:sz="4" w:space="0" w:color="auto"/>
              <w:right w:val="nil"/>
            </w:tcBorders>
            <w:noWrap/>
            <w:vAlign w:val="bottom"/>
          </w:tcPr>
          <w:p w:rsidR="0079646D" w:rsidRPr="006B08AA" w:rsidRDefault="0079646D" w:rsidP="00D40E62">
            <w:pPr>
              <w:keepNext/>
              <w:keepLines/>
              <w:spacing w:after="0" w:line="240" w:lineRule="auto"/>
              <w:rPr>
                <w:rFonts w:cs="Calibri"/>
                <w:sz w:val="20"/>
              </w:rPr>
            </w:pPr>
            <w:r w:rsidRPr="006B08AA">
              <w:rPr>
                <w:rFonts w:cs="Calibri"/>
                <w:sz w:val="20"/>
              </w:rPr>
              <w:t>State</w:t>
            </w:r>
          </w:p>
        </w:tc>
        <w:tc>
          <w:tcPr>
            <w:tcW w:w="805" w:type="pct"/>
            <w:tcBorders>
              <w:top w:val="nil"/>
              <w:left w:val="single" w:sz="4" w:space="0" w:color="auto"/>
              <w:bottom w:val="single" w:sz="4" w:space="0" w:color="auto"/>
              <w:right w:val="single" w:sz="4" w:space="0" w:color="auto"/>
            </w:tcBorders>
            <w:noWrap/>
            <w:vAlign w:val="bottom"/>
          </w:tcPr>
          <w:p w:rsidR="0079646D" w:rsidRPr="006B5B5E" w:rsidRDefault="0079646D" w:rsidP="00D40E62">
            <w:pPr>
              <w:keepNext/>
              <w:keepLines/>
              <w:spacing w:after="0" w:line="240" w:lineRule="auto"/>
              <w:jc w:val="center"/>
              <w:rPr>
                <w:rFonts w:cs="Calibri"/>
                <w:sz w:val="20"/>
              </w:rPr>
            </w:pPr>
            <w:r w:rsidRPr="006B5B5E">
              <w:rPr>
                <w:rFonts w:cs="Calibri"/>
                <w:sz w:val="20"/>
              </w:rPr>
              <w:t>8</w:t>
            </w:r>
          </w:p>
        </w:tc>
        <w:tc>
          <w:tcPr>
            <w:tcW w:w="752" w:type="pct"/>
            <w:tcBorders>
              <w:top w:val="nil"/>
              <w:left w:val="nil"/>
              <w:bottom w:val="single" w:sz="4" w:space="0" w:color="auto"/>
              <w:right w:val="nil"/>
            </w:tcBorders>
            <w:noWrap/>
            <w:vAlign w:val="center"/>
          </w:tcPr>
          <w:p w:rsidR="0079646D" w:rsidRPr="006B08AA" w:rsidRDefault="0079646D" w:rsidP="00D40E62">
            <w:pPr>
              <w:keepNext/>
              <w:keepLines/>
              <w:spacing w:after="0" w:line="240" w:lineRule="auto"/>
              <w:jc w:val="center"/>
              <w:rPr>
                <w:rFonts w:cs="Calibri"/>
                <w:color w:val="000000"/>
                <w:sz w:val="20"/>
              </w:rPr>
            </w:pPr>
            <w:r w:rsidRPr="000B185D">
              <w:rPr>
                <w:rFonts w:cs="Calibri"/>
                <w:color w:val="000000"/>
                <w:sz w:val="20"/>
              </w:rPr>
              <w:t>$45.33</w:t>
            </w:r>
          </w:p>
        </w:tc>
        <w:tc>
          <w:tcPr>
            <w:tcW w:w="940" w:type="pct"/>
            <w:tcBorders>
              <w:top w:val="nil"/>
              <w:left w:val="single" w:sz="4" w:space="0" w:color="auto"/>
              <w:bottom w:val="single" w:sz="4" w:space="0" w:color="auto"/>
              <w:right w:val="single" w:sz="4" w:space="0" w:color="auto"/>
            </w:tcBorders>
            <w:noWrap/>
            <w:vAlign w:val="bottom"/>
          </w:tcPr>
          <w:p w:rsidR="0079646D" w:rsidRPr="006B08AA" w:rsidRDefault="0079646D" w:rsidP="00D40E62">
            <w:pPr>
              <w:keepNext/>
              <w:keepLines/>
              <w:spacing w:after="0" w:line="240" w:lineRule="auto"/>
              <w:jc w:val="center"/>
              <w:rPr>
                <w:rFonts w:cs="Calibri"/>
                <w:color w:val="000000"/>
                <w:sz w:val="20"/>
              </w:rPr>
            </w:pPr>
            <w:r w:rsidRPr="000B185D">
              <w:rPr>
                <w:rFonts w:cs="Calibri"/>
                <w:color w:val="000000"/>
                <w:sz w:val="20"/>
              </w:rPr>
              <w:t>$363</w:t>
            </w:r>
          </w:p>
        </w:tc>
        <w:tc>
          <w:tcPr>
            <w:tcW w:w="846" w:type="pct"/>
            <w:tcBorders>
              <w:top w:val="nil"/>
              <w:left w:val="nil"/>
              <w:bottom w:val="single" w:sz="4" w:space="0" w:color="auto"/>
              <w:right w:val="single" w:sz="4" w:space="0" w:color="auto"/>
            </w:tcBorders>
            <w:noWrap/>
            <w:vAlign w:val="bottom"/>
          </w:tcPr>
          <w:p w:rsidR="0079646D" w:rsidRPr="006B08AA" w:rsidRDefault="0079646D" w:rsidP="00D40E62">
            <w:pPr>
              <w:keepNext/>
              <w:keepLines/>
              <w:spacing w:after="0" w:line="240" w:lineRule="auto"/>
              <w:jc w:val="center"/>
              <w:rPr>
                <w:rFonts w:cs="Calibri"/>
                <w:color w:val="000000"/>
                <w:sz w:val="20"/>
              </w:rPr>
            </w:pPr>
            <w:r w:rsidRPr="000B185D">
              <w:rPr>
                <w:rFonts w:cs="Calibri"/>
                <w:color w:val="000000"/>
                <w:sz w:val="20"/>
              </w:rPr>
              <w:t>840</w:t>
            </w:r>
          </w:p>
        </w:tc>
        <w:tc>
          <w:tcPr>
            <w:tcW w:w="1043" w:type="pct"/>
            <w:tcBorders>
              <w:top w:val="nil"/>
              <w:left w:val="nil"/>
              <w:bottom w:val="single" w:sz="4" w:space="0" w:color="auto"/>
              <w:right w:val="single" w:sz="4" w:space="0" w:color="auto"/>
            </w:tcBorders>
            <w:noWrap/>
            <w:vAlign w:val="bottom"/>
          </w:tcPr>
          <w:p w:rsidR="0079646D" w:rsidRPr="006B08AA" w:rsidRDefault="0079646D" w:rsidP="00D40E62">
            <w:pPr>
              <w:keepNext/>
              <w:keepLines/>
              <w:spacing w:after="0" w:line="240" w:lineRule="auto"/>
              <w:jc w:val="center"/>
              <w:rPr>
                <w:rFonts w:cs="Calibri"/>
                <w:color w:val="000000"/>
                <w:sz w:val="20"/>
              </w:rPr>
            </w:pPr>
            <w:r w:rsidRPr="000B185D">
              <w:rPr>
                <w:rFonts w:cs="Calibri"/>
                <w:color w:val="000000"/>
                <w:sz w:val="20"/>
              </w:rPr>
              <w:t>$304,920</w:t>
            </w:r>
          </w:p>
        </w:tc>
      </w:tr>
      <w:tr w:rsidR="0079646D" w:rsidRPr="000B185D">
        <w:trPr>
          <w:trHeight w:val="300"/>
        </w:trPr>
        <w:tc>
          <w:tcPr>
            <w:tcW w:w="614" w:type="pct"/>
            <w:tcBorders>
              <w:top w:val="nil"/>
              <w:left w:val="single" w:sz="4" w:space="0" w:color="auto"/>
              <w:bottom w:val="single" w:sz="4" w:space="0" w:color="auto"/>
              <w:right w:val="nil"/>
            </w:tcBorders>
            <w:noWrap/>
            <w:vAlign w:val="bottom"/>
          </w:tcPr>
          <w:p w:rsidR="0079646D" w:rsidRPr="006B08AA" w:rsidRDefault="0079646D" w:rsidP="00D40E62">
            <w:pPr>
              <w:keepNext/>
              <w:keepLines/>
              <w:spacing w:after="0" w:line="240" w:lineRule="auto"/>
              <w:rPr>
                <w:rFonts w:cs="Calibri"/>
                <w:sz w:val="20"/>
              </w:rPr>
            </w:pPr>
            <w:r w:rsidRPr="006B08AA">
              <w:rPr>
                <w:rFonts w:cs="Calibri"/>
                <w:sz w:val="20"/>
              </w:rPr>
              <w:t xml:space="preserve">Federal </w:t>
            </w:r>
          </w:p>
        </w:tc>
        <w:tc>
          <w:tcPr>
            <w:tcW w:w="805" w:type="pct"/>
            <w:tcBorders>
              <w:top w:val="nil"/>
              <w:left w:val="single" w:sz="4" w:space="0" w:color="auto"/>
              <w:bottom w:val="single" w:sz="4" w:space="0" w:color="auto"/>
              <w:right w:val="single" w:sz="4" w:space="0" w:color="auto"/>
            </w:tcBorders>
            <w:noWrap/>
            <w:vAlign w:val="bottom"/>
          </w:tcPr>
          <w:p w:rsidR="0079646D" w:rsidRPr="006B5B5E" w:rsidRDefault="0079646D" w:rsidP="00D40E62">
            <w:pPr>
              <w:keepNext/>
              <w:keepLines/>
              <w:spacing w:after="0" w:line="240" w:lineRule="auto"/>
              <w:jc w:val="center"/>
              <w:rPr>
                <w:rFonts w:cs="Calibri"/>
                <w:sz w:val="20"/>
              </w:rPr>
            </w:pPr>
            <w:r w:rsidRPr="006B5B5E">
              <w:rPr>
                <w:rFonts w:cs="Calibri"/>
                <w:sz w:val="20"/>
              </w:rPr>
              <w:t>2</w:t>
            </w:r>
          </w:p>
        </w:tc>
        <w:tc>
          <w:tcPr>
            <w:tcW w:w="752" w:type="pct"/>
            <w:tcBorders>
              <w:top w:val="nil"/>
              <w:left w:val="nil"/>
              <w:bottom w:val="single" w:sz="4" w:space="0" w:color="auto"/>
              <w:right w:val="nil"/>
            </w:tcBorders>
            <w:noWrap/>
            <w:vAlign w:val="center"/>
          </w:tcPr>
          <w:p w:rsidR="0079646D" w:rsidRPr="006B08AA" w:rsidRDefault="0079646D" w:rsidP="009A2341">
            <w:pPr>
              <w:keepNext/>
              <w:keepLines/>
              <w:spacing w:after="0" w:line="240" w:lineRule="auto"/>
              <w:jc w:val="center"/>
              <w:rPr>
                <w:rFonts w:cs="Calibri"/>
                <w:color w:val="000000"/>
                <w:sz w:val="20"/>
              </w:rPr>
            </w:pPr>
            <w:r w:rsidRPr="006B08AA">
              <w:rPr>
                <w:rFonts w:cs="Calibri"/>
                <w:color w:val="000000"/>
                <w:sz w:val="20"/>
              </w:rPr>
              <w:t>$</w:t>
            </w:r>
            <w:r>
              <w:rPr>
                <w:rFonts w:cs="Calibri"/>
                <w:color w:val="000000"/>
                <w:sz w:val="20"/>
              </w:rPr>
              <w:t>48.08</w:t>
            </w:r>
          </w:p>
        </w:tc>
        <w:tc>
          <w:tcPr>
            <w:tcW w:w="940" w:type="pct"/>
            <w:tcBorders>
              <w:top w:val="nil"/>
              <w:left w:val="single" w:sz="4" w:space="0" w:color="auto"/>
              <w:bottom w:val="single" w:sz="4" w:space="0" w:color="auto"/>
              <w:right w:val="single" w:sz="4" w:space="0" w:color="auto"/>
            </w:tcBorders>
            <w:noWrap/>
            <w:vAlign w:val="bottom"/>
          </w:tcPr>
          <w:p w:rsidR="0079646D" w:rsidRPr="006B08AA" w:rsidRDefault="0079646D" w:rsidP="009A2341">
            <w:pPr>
              <w:keepNext/>
              <w:keepLines/>
              <w:spacing w:after="0" w:line="240" w:lineRule="auto"/>
              <w:jc w:val="center"/>
              <w:rPr>
                <w:rFonts w:cs="Calibri"/>
                <w:color w:val="000000"/>
                <w:sz w:val="20"/>
              </w:rPr>
            </w:pPr>
            <w:r w:rsidRPr="006B08AA">
              <w:rPr>
                <w:rFonts w:cs="Calibri"/>
                <w:color w:val="000000"/>
                <w:sz w:val="20"/>
              </w:rPr>
              <w:t>$</w:t>
            </w:r>
            <w:r>
              <w:rPr>
                <w:rFonts w:cs="Calibri"/>
                <w:color w:val="000000"/>
                <w:sz w:val="20"/>
              </w:rPr>
              <w:t>96</w:t>
            </w:r>
          </w:p>
        </w:tc>
        <w:tc>
          <w:tcPr>
            <w:tcW w:w="846" w:type="pct"/>
            <w:tcBorders>
              <w:top w:val="nil"/>
              <w:left w:val="nil"/>
              <w:bottom w:val="single" w:sz="4" w:space="0" w:color="auto"/>
              <w:right w:val="single" w:sz="4" w:space="0" w:color="auto"/>
            </w:tcBorders>
            <w:noWrap/>
            <w:vAlign w:val="bottom"/>
          </w:tcPr>
          <w:p w:rsidR="0079646D" w:rsidRPr="006B08AA" w:rsidRDefault="0079646D" w:rsidP="00D40E62">
            <w:pPr>
              <w:keepNext/>
              <w:keepLines/>
              <w:spacing w:after="0" w:line="240" w:lineRule="auto"/>
              <w:jc w:val="center"/>
              <w:rPr>
                <w:rFonts w:cs="Calibri"/>
                <w:color w:val="000000"/>
                <w:sz w:val="20"/>
              </w:rPr>
            </w:pPr>
            <w:r w:rsidRPr="006B08AA">
              <w:rPr>
                <w:rFonts w:cs="Calibri"/>
                <w:color w:val="000000"/>
                <w:sz w:val="20"/>
              </w:rPr>
              <w:t>840</w:t>
            </w:r>
          </w:p>
        </w:tc>
        <w:tc>
          <w:tcPr>
            <w:tcW w:w="1043" w:type="pct"/>
            <w:tcBorders>
              <w:top w:val="nil"/>
              <w:left w:val="nil"/>
              <w:bottom w:val="single" w:sz="4" w:space="0" w:color="auto"/>
              <w:right w:val="single" w:sz="4" w:space="0" w:color="auto"/>
            </w:tcBorders>
            <w:noWrap/>
            <w:vAlign w:val="bottom"/>
          </w:tcPr>
          <w:p w:rsidR="0079646D" w:rsidRPr="006B08AA" w:rsidRDefault="0079646D" w:rsidP="009A2341">
            <w:pPr>
              <w:keepNext/>
              <w:keepLines/>
              <w:spacing w:after="0" w:line="240" w:lineRule="auto"/>
              <w:jc w:val="center"/>
              <w:rPr>
                <w:rFonts w:cs="Calibri"/>
                <w:color w:val="000000"/>
                <w:sz w:val="20"/>
              </w:rPr>
            </w:pPr>
            <w:r w:rsidRPr="006B08AA">
              <w:rPr>
                <w:rFonts w:cs="Calibri"/>
                <w:color w:val="000000"/>
                <w:sz w:val="20"/>
              </w:rPr>
              <w:t>$</w:t>
            </w:r>
            <w:r>
              <w:rPr>
                <w:rFonts w:cs="Calibri"/>
                <w:color w:val="000000"/>
                <w:sz w:val="20"/>
              </w:rPr>
              <w:t>80,640</w:t>
            </w:r>
          </w:p>
        </w:tc>
      </w:tr>
      <w:tr w:rsidR="0079646D" w:rsidRPr="000B185D">
        <w:trPr>
          <w:trHeight w:val="300"/>
        </w:trPr>
        <w:tc>
          <w:tcPr>
            <w:tcW w:w="614" w:type="pct"/>
            <w:tcBorders>
              <w:top w:val="nil"/>
              <w:left w:val="nil"/>
              <w:bottom w:val="nil"/>
              <w:right w:val="nil"/>
            </w:tcBorders>
            <w:noWrap/>
            <w:vAlign w:val="bottom"/>
          </w:tcPr>
          <w:p w:rsidR="0079646D" w:rsidRPr="006B08AA" w:rsidRDefault="0079646D" w:rsidP="00D40E62">
            <w:pPr>
              <w:keepNext/>
              <w:keepLines/>
              <w:spacing w:after="0" w:line="240" w:lineRule="auto"/>
              <w:rPr>
                <w:rFonts w:cs="Calibri"/>
                <w:b/>
                <w:bCs/>
                <w:sz w:val="20"/>
              </w:rPr>
            </w:pPr>
            <w:r w:rsidRPr="006B08AA">
              <w:rPr>
                <w:rFonts w:cs="Calibri"/>
                <w:b/>
                <w:bCs/>
                <w:sz w:val="20"/>
              </w:rPr>
              <w:t>Total</w:t>
            </w:r>
          </w:p>
        </w:tc>
        <w:tc>
          <w:tcPr>
            <w:tcW w:w="805" w:type="pct"/>
            <w:tcBorders>
              <w:top w:val="nil"/>
              <w:left w:val="nil"/>
              <w:bottom w:val="nil"/>
              <w:right w:val="nil"/>
            </w:tcBorders>
            <w:noWrap/>
            <w:vAlign w:val="bottom"/>
          </w:tcPr>
          <w:p w:rsidR="0079646D" w:rsidRPr="006B08AA" w:rsidRDefault="0079646D" w:rsidP="00D40E62">
            <w:pPr>
              <w:keepNext/>
              <w:keepLines/>
              <w:spacing w:after="0" w:line="240" w:lineRule="auto"/>
              <w:rPr>
                <w:rFonts w:cs="Calibri"/>
                <w:sz w:val="20"/>
              </w:rPr>
            </w:pPr>
          </w:p>
        </w:tc>
        <w:tc>
          <w:tcPr>
            <w:tcW w:w="752" w:type="pct"/>
            <w:tcBorders>
              <w:top w:val="nil"/>
              <w:left w:val="nil"/>
              <w:bottom w:val="nil"/>
              <w:right w:val="nil"/>
            </w:tcBorders>
            <w:noWrap/>
            <w:vAlign w:val="center"/>
          </w:tcPr>
          <w:p w:rsidR="0079646D" w:rsidRPr="006B08AA" w:rsidRDefault="0079646D" w:rsidP="00D40E62">
            <w:pPr>
              <w:keepNext/>
              <w:keepLines/>
              <w:spacing w:after="0" w:line="240" w:lineRule="auto"/>
              <w:jc w:val="center"/>
              <w:rPr>
                <w:rFonts w:cs="Calibri"/>
                <w:color w:val="000000"/>
                <w:sz w:val="20"/>
              </w:rPr>
            </w:pPr>
          </w:p>
        </w:tc>
        <w:tc>
          <w:tcPr>
            <w:tcW w:w="940" w:type="pct"/>
            <w:tcBorders>
              <w:top w:val="nil"/>
              <w:left w:val="nil"/>
              <w:bottom w:val="nil"/>
              <w:right w:val="nil"/>
            </w:tcBorders>
            <w:noWrap/>
            <w:vAlign w:val="bottom"/>
          </w:tcPr>
          <w:p w:rsidR="0079646D" w:rsidRPr="006B08AA" w:rsidRDefault="0079646D" w:rsidP="00D40E62">
            <w:pPr>
              <w:keepNext/>
              <w:keepLines/>
              <w:spacing w:after="0" w:line="240" w:lineRule="auto"/>
              <w:jc w:val="center"/>
              <w:rPr>
                <w:rFonts w:cs="Calibri"/>
                <w:color w:val="000000"/>
                <w:sz w:val="20"/>
              </w:rPr>
            </w:pPr>
          </w:p>
        </w:tc>
        <w:tc>
          <w:tcPr>
            <w:tcW w:w="846" w:type="pct"/>
            <w:tcBorders>
              <w:top w:val="nil"/>
              <w:left w:val="nil"/>
              <w:bottom w:val="nil"/>
              <w:right w:val="nil"/>
            </w:tcBorders>
            <w:noWrap/>
            <w:vAlign w:val="bottom"/>
          </w:tcPr>
          <w:p w:rsidR="0079646D" w:rsidRPr="006B08AA" w:rsidRDefault="0079646D" w:rsidP="00D40E62">
            <w:pPr>
              <w:keepNext/>
              <w:keepLines/>
              <w:spacing w:after="0" w:line="240" w:lineRule="auto"/>
              <w:jc w:val="center"/>
              <w:rPr>
                <w:rFonts w:cs="Calibri"/>
                <w:color w:val="000000"/>
                <w:sz w:val="20"/>
              </w:rPr>
            </w:pPr>
          </w:p>
        </w:tc>
        <w:tc>
          <w:tcPr>
            <w:tcW w:w="1043" w:type="pct"/>
            <w:tcBorders>
              <w:top w:val="nil"/>
              <w:left w:val="nil"/>
              <w:bottom w:val="nil"/>
              <w:right w:val="nil"/>
            </w:tcBorders>
            <w:noWrap/>
            <w:vAlign w:val="bottom"/>
          </w:tcPr>
          <w:p w:rsidR="0079646D" w:rsidRPr="006B08AA" w:rsidRDefault="0079646D" w:rsidP="009A2341">
            <w:pPr>
              <w:keepNext/>
              <w:keepLines/>
              <w:spacing w:after="0" w:line="240" w:lineRule="auto"/>
              <w:jc w:val="center"/>
              <w:rPr>
                <w:rFonts w:cs="Calibri"/>
                <w:b/>
                <w:bCs/>
                <w:color w:val="000000"/>
                <w:sz w:val="20"/>
              </w:rPr>
            </w:pPr>
            <w:r w:rsidRPr="000B185D">
              <w:rPr>
                <w:rFonts w:cs="Calibri"/>
                <w:b/>
                <w:bCs/>
                <w:color w:val="000000"/>
                <w:sz w:val="20"/>
              </w:rPr>
              <w:t>$385,560</w:t>
            </w:r>
          </w:p>
        </w:tc>
      </w:tr>
      <w:tr w:rsidR="0079646D" w:rsidRPr="000B185D">
        <w:trPr>
          <w:trHeight w:val="495"/>
        </w:trPr>
        <w:tc>
          <w:tcPr>
            <w:tcW w:w="5000" w:type="pct"/>
            <w:gridSpan w:val="6"/>
            <w:tcBorders>
              <w:top w:val="nil"/>
              <w:left w:val="nil"/>
              <w:bottom w:val="nil"/>
              <w:right w:val="nil"/>
            </w:tcBorders>
            <w:vAlign w:val="bottom"/>
          </w:tcPr>
          <w:p w:rsidR="0079646D" w:rsidRPr="006B08AA" w:rsidRDefault="0079646D" w:rsidP="00AF71FD">
            <w:pPr>
              <w:keepNext/>
              <w:keepLines/>
              <w:spacing w:after="0" w:line="240" w:lineRule="auto"/>
              <w:rPr>
                <w:rFonts w:cs="Calibri"/>
                <w:color w:val="000000"/>
                <w:sz w:val="18"/>
              </w:rPr>
            </w:pPr>
            <w:r w:rsidRPr="006B08AA">
              <w:rPr>
                <w:rFonts w:cs="Calibri"/>
                <w:color w:val="000000"/>
                <w:sz w:val="18"/>
              </w:rPr>
              <w:t xml:space="preserve">1- FEMA assumes an Urban and Regional planner </w:t>
            </w:r>
            <w:r w:rsidR="00AF71FD">
              <w:rPr>
                <w:rFonts w:cs="Calibri"/>
                <w:color w:val="000000"/>
                <w:sz w:val="18"/>
              </w:rPr>
              <w:t>(</w:t>
            </w:r>
            <w:r w:rsidR="002819D1">
              <w:rPr>
                <w:rFonts w:cs="Calibri"/>
                <w:color w:val="000000"/>
                <w:sz w:val="18"/>
              </w:rPr>
              <w:t>SOC 19-3051</w:t>
            </w:r>
            <w:r w:rsidR="00AF71FD">
              <w:rPr>
                <w:rFonts w:cs="Calibri"/>
                <w:color w:val="000000"/>
                <w:sz w:val="18"/>
              </w:rPr>
              <w:t xml:space="preserve">) </w:t>
            </w:r>
            <w:r w:rsidRPr="006B08AA">
              <w:rPr>
                <w:rFonts w:cs="Calibri"/>
                <w:color w:val="000000"/>
                <w:sz w:val="18"/>
              </w:rPr>
              <w:t>would prepare a State's annual report and that a GS</w:t>
            </w:r>
            <w:r>
              <w:rPr>
                <w:rFonts w:cs="Calibri"/>
                <w:color w:val="000000"/>
                <w:sz w:val="18"/>
              </w:rPr>
              <w:t xml:space="preserve"> </w:t>
            </w:r>
            <w:r w:rsidR="00AF71FD">
              <w:rPr>
                <w:rFonts w:cs="Calibri"/>
                <w:color w:val="000000"/>
                <w:sz w:val="18"/>
              </w:rPr>
              <w:t>13</w:t>
            </w:r>
            <w:r w:rsidR="00AF71FD" w:rsidRPr="006B08AA">
              <w:rPr>
                <w:rFonts w:cs="Calibri"/>
                <w:color w:val="000000"/>
                <w:sz w:val="18"/>
              </w:rPr>
              <w:t xml:space="preserve"> </w:t>
            </w:r>
            <w:r w:rsidRPr="006B08AA">
              <w:rPr>
                <w:rFonts w:cs="Calibri"/>
                <w:color w:val="000000"/>
                <w:sz w:val="18"/>
              </w:rPr>
              <w:t xml:space="preserve">Step </w:t>
            </w:r>
            <w:r w:rsidR="00AF71FD">
              <w:rPr>
                <w:rFonts w:cs="Calibri"/>
                <w:color w:val="000000"/>
                <w:sz w:val="18"/>
              </w:rPr>
              <w:t xml:space="preserve">1 </w:t>
            </w:r>
            <w:r>
              <w:rPr>
                <w:rFonts w:cs="Calibri"/>
                <w:color w:val="000000"/>
                <w:sz w:val="18"/>
              </w:rPr>
              <w:t>F</w:t>
            </w:r>
            <w:r w:rsidRPr="006B08AA">
              <w:rPr>
                <w:rFonts w:cs="Calibri"/>
                <w:color w:val="000000"/>
                <w:sz w:val="18"/>
              </w:rPr>
              <w:t>ederal employee would review annual reports submitted by States</w:t>
            </w:r>
            <w:r>
              <w:rPr>
                <w:rFonts w:cs="Calibri"/>
                <w:color w:val="000000"/>
                <w:sz w:val="18"/>
              </w:rPr>
              <w:t>.</w:t>
            </w:r>
          </w:p>
        </w:tc>
      </w:tr>
      <w:tr w:rsidR="0079646D" w:rsidRPr="000B185D">
        <w:trPr>
          <w:trHeight w:val="279"/>
        </w:trPr>
        <w:tc>
          <w:tcPr>
            <w:tcW w:w="5000" w:type="pct"/>
            <w:gridSpan w:val="6"/>
            <w:tcBorders>
              <w:top w:val="nil"/>
              <w:left w:val="nil"/>
              <w:bottom w:val="nil"/>
              <w:right w:val="nil"/>
            </w:tcBorders>
            <w:vAlign w:val="bottom"/>
          </w:tcPr>
          <w:p w:rsidR="0079646D" w:rsidRPr="006B08AA" w:rsidRDefault="0079646D" w:rsidP="00D40E62">
            <w:pPr>
              <w:keepNext/>
              <w:keepLines/>
              <w:spacing w:after="0" w:line="240" w:lineRule="auto"/>
              <w:rPr>
                <w:rFonts w:cs="Calibri"/>
                <w:color w:val="000000"/>
                <w:sz w:val="18"/>
              </w:rPr>
            </w:pPr>
            <w:r w:rsidRPr="003D7031">
              <w:rPr>
                <w:rFonts w:cs="Calibri"/>
                <w:color w:val="000000"/>
                <w:sz w:val="18"/>
              </w:rPr>
              <w:t xml:space="preserve">2- Report Unit Cost is rounded to the nearest whole dollar.  </w:t>
            </w:r>
          </w:p>
        </w:tc>
      </w:tr>
      <w:tr w:rsidR="0079646D" w:rsidRPr="000B185D">
        <w:trPr>
          <w:trHeight w:val="279"/>
        </w:trPr>
        <w:tc>
          <w:tcPr>
            <w:tcW w:w="5000" w:type="pct"/>
            <w:gridSpan w:val="6"/>
            <w:tcBorders>
              <w:top w:val="nil"/>
              <w:left w:val="nil"/>
              <w:bottom w:val="nil"/>
              <w:right w:val="nil"/>
            </w:tcBorders>
            <w:vAlign w:val="bottom"/>
          </w:tcPr>
          <w:p w:rsidR="0079646D" w:rsidRPr="006B08AA" w:rsidRDefault="0079646D" w:rsidP="00D40E62">
            <w:pPr>
              <w:keepNext/>
              <w:keepLines/>
              <w:spacing w:after="0" w:line="240" w:lineRule="auto"/>
              <w:rPr>
                <w:rFonts w:cs="Calibri"/>
                <w:color w:val="000000"/>
                <w:sz w:val="18"/>
              </w:rPr>
            </w:pPr>
            <w:r>
              <w:rPr>
                <w:rFonts w:cs="Calibri"/>
                <w:color w:val="000000"/>
                <w:sz w:val="18"/>
              </w:rPr>
              <w:t>3</w:t>
            </w:r>
            <w:r w:rsidRPr="006B08AA">
              <w:rPr>
                <w:rFonts w:cs="Calibri"/>
                <w:color w:val="000000"/>
                <w:sz w:val="18"/>
              </w:rPr>
              <w:t>- # of Reports is calculated by multiplying the number of "</w:t>
            </w:r>
            <w:r>
              <w:rPr>
                <w:rFonts w:cs="Calibri"/>
                <w:color w:val="000000"/>
                <w:sz w:val="18"/>
              </w:rPr>
              <w:t>S</w:t>
            </w:r>
            <w:r w:rsidRPr="006B08AA">
              <w:rPr>
                <w:rFonts w:cs="Calibri"/>
                <w:color w:val="000000"/>
                <w:sz w:val="18"/>
              </w:rPr>
              <w:t>tates" with Enhanced Plan and Standard P</w:t>
            </w:r>
            <w:r>
              <w:rPr>
                <w:rFonts w:cs="Calibri"/>
                <w:color w:val="000000"/>
                <w:sz w:val="18"/>
              </w:rPr>
              <w:t>l</w:t>
            </w:r>
            <w:r w:rsidRPr="006B08AA">
              <w:rPr>
                <w:rFonts w:cs="Calibri"/>
                <w:color w:val="000000"/>
                <w:sz w:val="18"/>
              </w:rPr>
              <w:t>ans by 15 years</w:t>
            </w:r>
            <w:r>
              <w:rPr>
                <w:rFonts w:cs="Calibri"/>
                <w:color w:val="000000"/>
                <w:sz w:val="18"/>
              </w:rPr>
              <w:t>.</w:t>
            </w:r>
          </w:p>
        </w:tc>
      </w:tr>
    </w:tbl>
    <w:p w:rsidR="0079646D" w:rsidRDefault="0079646D" w:rsidP="00C93F7E"/>
    <w:p w:rsidR="0079646D" w:rsidRPr="006B08AA" w:rsidRDefault="0079646D" w:rsidP="00C93F7E">
      <w:r>
        <w:t xml:space="preserve">Since both the proposed option and this alternative would change mitigation plan update requirements from 3 to 5 years, the difference between them is simply the Total Annual Status Report Cost.  Relative to the baseline of 3 year updates, this alternative’s cost </w:t>
      </w:r>
      <w:r w:rsidRPr="006B5B5E">
        <w:t>savings is $29,</w:t>
      </w:r>
      <w:r>
        <w:t>600,680</w:t>
      </w:r>
      <w:r w:rsidRPr="006B5B5E">
        <w:t>.</w:t>
      </w:r>
      <w:r w:rsidRPr="006B5B5E">
        <w:rPr>
          <w:rStyle w:val="FootnoteReference"/>
        </w:rPr>
        <w:footnoteReference w:id="43"/>
      </w:r>
      <w:r w:rsidRPr="006B5B5E">
        <w:t xml:space="preserve">  This is $</w:t>
      </w:r>
      <w:r>
        <w:t>385,560</w:t>
      </w:r>
      <w:r w:rsidRPr="006B5B5E">
        <w:t xml:space="preserve"> less than the proposed option’s total cost savings.  Therefore, despite an annual status reporting</w:t>
      </w:r>
      <w:r>
        <w:t xml:space="preserve"> requirement potential to </w:t>
      </w:r>
      <w:r w:rsidRPr="006B08AA">
        <w:t xml:space="preserve">address FEMA’s concerns </w:t>
      </w:r>
      <w:r>
        <w:t xml:space="preserve">about FEMA’s diminished opportunity to review mitigation plans, </w:t>
      </w:r>
      <w:r w:rsidRPr="006B08AA">
        <w:t xml:space="preserve">FEMA </w:t>
      </w:r>
      <w:r>
        <w:t xml:space="preserve">has chosen not to pursue this alternative, so as to not </w:t>
      </w:r>
      <w:r w:rsidRPr="006B08AA">
        <w:t xml:space="preserve">place </w:t>
      </w:r>
      <w:r>
        <w:t xml:space="preserve">the </w:t>
      </w:r>
      <w:r w:rsidRPr="006B08AA">
        <w:t>burden</w:t>
      </w:r>
      <w:r>
        <w:t xml:space="preserve"> associated with mandatory annual status reporting</w:t>
      </w:r>
      <w:r w:rsidRPr="006B08AA">
        <w:t xml:space="preserve"> on </w:t>
      </w:r>
      <w:r>
        <w:t>S</w:t>
      </w:r>
      <w:r w:rsidRPr="006B08AA">
        <w:t xml:space="preserve">tates.  </w:t>
      </w:r>
    </w:p>
    <w:p w:rsidR="0079646D" w:rsidRPr="00AE2543" w:rsidRDefault="0079646D" w:rsidP="003C10E5">
      <w:pPr>
        <w:pStyle w:val="Heading1"/>
        <w:spacing w:after="120"/>
      </w:pPr>
      <w:r w:rsidRPr="00AE2543">
        <w:t xml:space="preserve">Retrospective Evaluation </w:t>
      </w:r>
    </w:p>
    <w:p w:rsidR="0079646D" w:rsidRPr="00AE2543" w:rsidRDefault="0079646D" w:rsidP="00605158">
      <w:r>
        <w:t xml:space="preserve">In 72 Fed. Reg. 61,552 (Oct. 31, 2007), FEMA published the Hazard Mitigation Planning and Hazard Mitigation Grant Program Final </w:t>
      </w:r>
      <w:r w:rsidRPr="006B5B5E">
        <w:t>Rule (2007 Mitigation Planning Final Rule) whose</w:t>
      </w:r>
      <w:r>
        <w:t xml:space="preserve"> supporting analysis included a number of assumptions related to Standard and Enhanced Mitigation Plans.  Some of those assumptions have simply been updated in this analysis, while others have dramatically changed.  The following is an overview of those changes.  </w:t>
      </w:r>
    </w:p>
    <w:p w:rsidR="0079646D" w:rsidRPr="00FB34DF" w:rsidRDefault="0079646D" w:rsidP="00FB34DF">
      <w:pPr>
        <w:spacing w:before="240"/>
        <w:rPr>
          <w:b/>
        </w:rPr>
      </w:pPr>
      <w:r w:rsidRPr="00FB34DF">
        <w:rPr>
          <w:b/>
        </w:rPr>
        <w:t>Population</w:t>
      </w:r>
    </w:p>
    <w:p w:rsidR="0079646D" w:rsidRDefault="0079646D" w:rsidP="00605158">
      <w:r>
        <w:t>First, the 2007 Mitigation Planning Final Rule identified a total of 91 State Mitigation Plans subject to the 3 year update requirement</w:t>
      </w:r>
      <w:r w:rsidR="007F4104">
        <w:t>,</w:t>
      </w:r>
      <w:r>
        <w:t xml:space="preserve"> which included all 50 States, District of Columbia, 7 U.S. territories, and 33 Indian Tribal Governments.  However, per the Stafford Act’s current definition of “State”, only 5 U.S. territories are identified.  In addition, the Flood Mitigation Grants and Hazard Mitigation Planning Final Rule</w:t>
      </w:r>
      <w:r>
        <w:rPr>
          <w:rStyle w:val="FootnoteReference"/>
        </w:rPr>
        <w:footnoteReference w:id="44"/>
      </w:r>
      <w:r>
        <w:t xml:space="preserve"> published September 16, 2009 finalized the addition of specific Tribal mitigation plan provisions under 44 C.F.R. </w:t>
      </w:r>
      <w:r w:rsidRPr="002D3DA4">
        <w:t>§</w:t>
      </w:r>
      <w:r>
        <w:t xml:space="preserve"> 201.7 (2011), separate from State and local provisions.  As a result, 56 “States” were identified as the impacted population</w:t>
      </w:r>
      <w:r>
        <w:rPr>
          <w:rStyle w:val="FootnoteReference"/>
        </w:rPr>
        <w:footnoteReference w:id="45"/>
      </w:r>
      <w:r>
        <w:t xml:space="preserve"> and utilized in the above analysis.</w:t>
      </w:r>
    </w:p>
    <w:p w:rsidR="0079646D" w:rsidRPr="00FB34DF" w:rsidRDefault="0079646D" w:rsidP="00A040B7">
      <w:pPr>
        <w:spacing w:before="240"/>
        <w:rPr>
          <w:b/>
        </w:rPr>
      </w:pPr>
      <w:r>
        <w:rPr>
          <w:b/>
        </w:rPr>
        <w:lastRenderedPageBreak/>
        <w:t>Period of Analysis &amp; Distribution of Updates</w:t>
      </w:r>
    </w:p>
    <w:p w:rsidR="0079646D" w:rsidRDefault="0079646D" w:rsidP="00A040B7">
      <w:r w:rsidRPr="006B5B5E">
        <w:t xml:space="preserve">The 2007 Mitigation Planning Final Rule estimated that 31 State Mitigation Plans would be updated per year.  Under the </w:t>
      </w:r>
      <w:r>
        <w:t>NPRM</w:t>
      </w:r>
      <w:r w:rsidRPr="006B5B5E">
        <w:t>’s analysis, the update cycle is evaluated over 15 years and assumes that all plan updates occur in the same year.  The 2007 Mitigation Planning Final Rule also estimated 3 Enhanced Plan updates per year and assumed that 3 States per year would submit</w:t>
      </w:r>
      <w:r w:rsidRPr="00F17BCD">
        <w:t xml:space="preserve"> newly </w:t>
      </w:r>
      <w:r>
        <w:t>E</w:t>
      </w:r>
      <w:r w:rsidRPr="00F17BCD">
        <w:t xml:space="preserve">nhanced </w:t>
      </w:r>
      <w:r>
        <w:t>M</w:t>
      </w:r>
      <w:r w:rsidRPr="00F17BCD">
        <w:t xml:space="preserve">itigation </w:t>
      </w:r>
      <w:r>
        <w:t>P</w:t>
      </w:r>
      <w:r w:rsidRPr="00F17BCD">
        <w:t xml:space="preserve">lans </w:t>
      </w:r>
      <w:r>
        <w:t>as part of their update</w:t>
      </w:r>
      <w:r w:rsidRPr="00F17BCD">
        <w:t xml:space="preserve">.  </w:t>
      </w:r>
      <w:r>
        <w:t xml:space="preserve">However, FEMA has not </w:t>
      </w:r>
      <w:r w:rsidR="007F4104">
        <w:t xml:space="preserve">realized </w:t>
      </w:r>
      <w:r>
        <w:t>this level of transition from Standard to Enhanced Plans.  As such</w:t>
      </w:r>
      <w:r w:rsidRPr="00F17BCD">
        <w:t xml:space="preserve">, the </w:t>
      </w:r>
      <w:r>
        <w:t>NPRM</w:t>
      </w:r>
      <w:r w:rsidRPr="00F17BCD">
        <w:t xml:space="preserve">’s analysis assumes a static value of 10 </w:t>
      </w:r>
      <w:r>
        <w:t>E</w:t>
      </w:r>
      <w:r w:rsidRPr="00F17BCD">
        <w:t xml:space="preserve">nhanced </w:t>
      </w:r>
      <w:r>
        <w:t>P</w:t>
      </w:r>
      <w:r w:rsidRPr="00F17BCD">
        <w:t xml:space="preserve">lan </w:t>
      </w:r>
      <w:r>
        <w:t xml:space="preserve">updates </w:t>
      </w:r>
      <w:r w:rsidRPr="00F17BCD">
        <w:t xml:space="preserve">over the </w:t>
      </w:r>
      <w:r>
        <w:t xml:space="preserve">15 years </w:t>
      </w:r>
      <w:r w:rsidRPr="00F17BCD">
        <w:t>of the analysis</w:t>
      </w:r>
      <w:r>
        <w:t>,</w:t>
      </w:r>
      <w:r w:rsidRPr="00F17BCD">
        <w:t xml:space="preserve"> with the understanding that </w:t>
      </w:r>
      <w:r>
        <w:t>S</w:t>
      </w:r>
      <w:r w:rsidRPr="00F17BCD">
        <w:t xml:space="preserve">tates may shift between </w:t>
      </w:r>
      <w:r>
        <w:t>S</w:t>
      </w:r>
      <w:r w:rsidRPr="00F17BCD">
        <w:t xml:space="preserve">tandard and </w:t>
      </w:r>
      <w:r>
        <w:t>E</w:t>
      </w:r>
      <w:r w:rsidRPr="00F17BCD">
        <w:t>nhanced</w:t>
      </w:r>
      <w:r>
        <w:t xml:space="preserve"> Plans</w:t>
      </w:r>
      <w:r w:rsidRPr="00F17BCD">
        <w:t xml:space="preserve">. </w:t>
      </w:r>
      <w:r>
        <w:t xml:space="preserve">  </w:t>
      </w:r>
    </w:p>
    <w:p w:rsidR="0079646D" w:rsidRDefault="0079646D" w:rsidP="00605158">
      <w:r>
        <w:rPr>
          <w:b/>
        </w:rPr>
        <w:t>Mitigation Plan Unit Cost</w:t>
      </w:r>
    </w:p>
    <w:p w:rsidR="0079646D" w:rsidRPr="006B5B5E" w:rsidRDefault="0079646D" w:rsidP="00605158">
      <w:r>
        <w:t xml:space="preserve">The </w:t>
      </w:r>
      <w:r w:rsidRPr="006B5B5E">
        <w:t>2007 Mitigation Planning Final Rule used the median hourly wage of $26.31 for Urban and Regional Planners</w:t>
      </w:r>
      <w:r w:rsidRPr="006B5B5E">
        <w:rPr>
          <w:rStyle w:val="FootnoteReference"/>
        </w:rPr>
        <w:footnoteReference w:id="46"/>
      </w:r>
      <w:r w:rsidRPr="006B5B5E">
        <w:t>, times 30 percent to account for benefits, for a fully loaded hourly wage of $34.20</w:t>
      </w:r>
      <w:r w:rsidRPr="006B5B5E">
        <w:rPr>
          <w:rStyle w:val="FootnoteReference"/>
        </w:rPr>
        <w:footnoteReference w:id="47"/>
      </w:r>
      <w:r w:rsidRPr="006B5B5E">
        <w:t>.  This wage rate was then multiplied by the number of hours it would take States to update their mitigation plans.  The 2007 Mitigation Planning Final Rule estimated that Standard and Enhanced Plan updates would take 320 hours to complete.  This resulted in a 2007 Mitigation Plan Update Unit Cost</w:t>
      </w:r>
      <w:r w:rsidRPr="006B5B5E">
        <w:rPr>
          <w:rStyle w:val="FootnoteReference"/>
        </w:rPr>
        <w:footnoteReference w:id="48"/>
      </w:r>
      <w:r w:rsidRPr="006B5B5E">
        <w:t xml:space="preserve"> of $10,944.   </w:t>
      </w:r>
    </w:p>
    <w:p w:rsidR="0079646D" w:rsidRPr="006B5B5E" w:rsidRDefault="0079646D" w:rsidP="00605158">
      <w:r w:rsidRPr="006B5B5E">
        <w:t>However, the NPRM’s analysis applies a different methodology to estimate a Standard and Enhanced Plan update unit cost.  FEMA uses historical mitigation plan grant data</w:t>
      </w:r>
      <w:r w:rsidRPr="006B5B5E">
        <w:rPr>
          <w:rStyle w:val="FootnoteReference"/>
        </w:rPr>
        <w:footnoteReference w:id="49"/>
      </w:r>
      <w:r w:rsidRPr="006B5B5E">
        <w:t>, adjusted, where possible, to subtract out costs not directly related to plan update</w:t>
      </w:r>
      <w:r w:rsidR="001D5171">
        <w:t>s</w:t>
      </w:r>
      <w:r w:rsidRPr="006B5B5E">
        <w:t>, to estimate a Standard Plan update and Enhanced Plan update average cost.  Based on these adjusted values</w:t>
      </w:r>
      <w:r w:rsidR="00034346">
        <w:t>,</w:t>
      </w:r>
      <w:r w:rsidRPr="006B5B5E">
        <w:t xml:space="preserve"> FEMA estimates a Standard Plan update unit cost of $205,000 and an Enhanced Plan update unit cost of $524,000.</w:t>
      </w:r>
      <w:r w:rsidRPr="006B5B5E">
        <w:rPr>
          <w:rStyle w:val="FootnoteReference"/>
        </w:rPr>
        <w:footnoteReference w:id="50"/>
      </w:r>
    </w:p>
    <w:p w:rsidR="0079646D" w:rsidRPr="006B5B5E" w:rsidRDefault="0079646D" w:rsidP="007F562C">
      <w:r w:rsidRPr="006B5B5E">
        <w:rPr>
          <w:b/>
        </w:rPr>
        <w:t>Cost Comparison</w:t>
      </w:r>
      <w:r w:rsidRPr="006B5B5E">
        <w:rPr>
          <w:rStyle w:val="FootnoteReference"/>
        </w:rPr>
        <w:footnoteReference w:id="51"/>
      </w:r>
    </w:p>
    <w:p w:rsidR="0079646D" w:rsidRDefault="0079646D" w:rsidP="007F562C">
      <w:r w:rsidRPr="006B5B5E">
        <w:t>The 2007 Mitigation Planning Final Rule estimated an annual economic</w:t>
      </w:r>
      <w:r>
        <w:t xml:space="preserve"> impact of approximately $46,000,000 of which $339,264 was attributed to Standard Plan updates</w:t>
      </w:r>
      <w:r>
        <w:rPr>
          <w:rStyle w:val="FootnoteReference"/>
        </w:rPr>
        <w:footnoteReference w:id="52"/>
      </w:r>
      <w:r>
        <w:t xml:space="preserve"> and $82,080 was attributed </w:t>
      </w:r>
      <w:r>
        <w:lastRenderedPageBreak/>
        <w:t>to Enhanced Plan updates and upgrades</w:t>
      </w:r>
      <w:r>
        <w:rPr>
          <w:rStyle w:val="FootnoteReference"/>
        </w:rPr>
        <w:footnoteReference w:id="53"/>
      </w:r>
      <w:r>
        <w:t>.  Subtracting out Standard to Enhanced Plan upgrades results in a total annual update cost</w:t>
      </w:r>
      <w:r>
        <w:rPr>
          <w:rStyle w:val="FootnoteReference"/>
        </w:rPr>
        <w:footnoteReference w:id="54"/>
      </w:r>
      <w:r>
        <w:t xml:space="preserve"> of $404,928 and a 15 year cost of $6,073,920. </w:t>
      </w:r>
    </w:p>
    <w:p w:rsidR="0079646D" w:rsidRPr="00947692" w:rsidRDefault="0079646D" w:rsidP="007F562C">
      <w:r>
        <w:t xml:space="preserve">Applying the </w:t>
      </w:r>
      <w:r w:rsidRPr="006B5B5E">
        <w:t>modifications identified above (population, period of analysis, distribution of updates, and mitigation plan unit cost) the 15 year baseline (3 year update cycle) State update cost</w:t>
      </w:r>
      <w:r w:rsidRPr="006B5B5E">
        <w:rPr>
          <w:rStyle w:val="FootnoteReference"/>
        </w:rPr>
        <w:footnoteReference w:id="55"/>
      </w:r>
      <w:r w:rsidRPr="006B5B5E">
        <w:t xml:space="preserve"> is $73,350,000.  This $67,276,080 increase represents the change in mitigation plan update costs, over 15 years, resulting from the identified modifications.  The 15 year proposed (5 year update</w:t>
      </w:r>
      <w:r>
        <w:t xml:space="preserve"> cycle) State update cost</w:t>
      </w:r>
      <w:r>
        <w:rPr>
          <w:rStyle w:val="FootnoteReference"/>
        </w:rPr>
        <w:footnoteReference w:id="56"/>
      </w:r>
      <w:r>
        <w:t xml:space="preserve"> </w:t>
      </w:r>
      <w:r w:rsidRPr="006B5B5E">
        <w:t>is $44,010,000.  This reduction ($29,340,000)</w:t>
      </w:r>
      <w:r w:rsidRPr="006B5B5E">
        <w:rPr>
          <w:rStyle w:val="FootnoteReference"/>
        </w:rPr>
        <w:footnoteReference w:id="57"/>
      </w:r>
      <w:r w:rsidRPr="006B5B5E">
        <w:t xml:space="preserve"> is</w:t>
      </w:r>
      <w:r>
        <w:t xml:space="preserve"> a result of the shift from a 3 year update cycle to a 5 year update cycle.   </w:t>
      </w:r>
    </w:p>
    <w:p w:rsidR="0079646D" w:rsidRDefault="0079646D" w:rsidP="003C10E5">
      <w:pPr>
        <w:pStyle w:val="Heading1"/>
        <w:spacing w:after="120"/>
      </w:pPr>
      <w:r>
        <w:t xml:space="preserve">Initial Regulatory Flexibility Analysis  </w:t>
      </w:r>
    </w:p>
    <w:p w:rsidR="0079646D" w:rsidRDefault="0079646D" w:rsidP="00CD110C">
      <w:r>
        <w:t xml:space="preserve">In accordance with the Regulatory Flexibility Act </w:t>
      </w:r>
      <w:r w:rsidRPr="007A3AD7">
        <w:t xml:space="preserve">(5 U.S.C. </w:t>
      </w:r>
      <w:r w:rsidRPr="002D3DA4">
        <w:t>§§</w:t>
      </w:r>
      <w:r>
        <w:t xml:space="preserve"> </w:t>
      </w:r>
      <w:r w:rsidRPr="007A3AD7">
        <w:t>601-612)</w:t>
      </w:r>
      <w:r>
        <w:t xml:space="preserve">, FEMA evaluated whether the </w:t>
      </w:r>
      <w:r w:rsidR="008425E7">
        <w:t xml:space="preserve">proposed rule </w:t>
      </w:r>
      <w:r>
        <w:t xml:space="preserve">would have a significant economic impact on a substantial number of small entities.  </w:t>
      </w:r>
      <w:r w:rsidRPr="007A3AD7">
        <w:t>The term “small entities” comprises small businesses, not-for-profit organizations that are independently owned and operated and are not dominant in their fields, and governmental jurisdictions with populations of less than 50,000.</w:t>
      </w:r>
    </w:p>
    <w:p w:rsidR="0079646D" w:rsidRDefault="0079646D" w:rsidP="00CD110C">
      <w:r>
        <w:t xml:space="preserve">As the </w:t>
      </w:r>
      <w:r w:rsidR="008425E7">
        <w:t xml:space="preserve">proposed rule </w:t>
      </w:r>
      <w:r>
        <w:t>would only impact States, which are not considered small entities</w:t>
      </w:r>
      <w:r>
        <w:rPr>
          <w:rStyle w:val="FootnoteReference"/>
        </w:rPr>
        <w:footnoteReference w:id="58"/>
      </w:r>
      <w:r>
        <w:t xml:space="preserve">, FEMA does not anticipate the </w:t>
      </w:r>
      <w:r w:rsidR="008425E7">
        <w:t xml:space="preserve">proposed rule </w:t>
      </w:r>
      <w:r>
        <w:t xml:space="preserve">would have a significant economic impact on a substantial number of small entities.  </w:t>
      </w:r>
      <w:r w:rsidRPr="00A26008">
        <w:t xml:space="preserve">However, if any small entities were to be impacted, FEMA expects </w:t>
      </w:r>
      <w:r>
        <w:t xml:space="preserve">such entities </w:t>
      </w:r>
      <w:r w:rsidRPr="00A26008">
        <w:t xml:space="preserve">would experience similar cost savings as </w:t>
      </w:r>
      <w:r>
        <w:t xml:space="preserve">those </w:t>
      </w:r>
      <w:r w:rsidRPr="00A26008">
        <w:t xml:space="preserve">described in </w:t>
      </w:r>
      <w:r>
        <w:t>the Cost and Cost Savings section</w:t>
      </w:r>
      <w:r w:rsidRPr="00A26008">
        <w:t xml:space="preserve">.  In addition, as the submission of mitigation plans and updates is voluntary, a small entity may choose not to submit a plan or update if it determines that such a submission is not, or no longer, cost effective, thereby eliminating any costs associated with plan or update submission. </w:t>
      </w:r>
    </w:p>
    <w:p w:rsidR="0079646D" w:rsidRDefault="0079646D">
      <w:r>
        <w:br w:type="page"/>
      </w:r>
    </w:p>
    <w:p w:rsidR="0079646D" w:rsidRDefault="0079646D" w:rsidP="00CD110C">
      <w:pPr>
        <w:rPr>
          <w:rFonts w:ascii="Cambria" w:hAnsi="Cambria"/>
          <w:b/>
          <w:bCs/>
          <w:color w:val="365F91"/>
          <w:sz w:val="28"/>
        </w:rPr>
      </w:pPr>
      <w:r w:rsidRPr="006F5AF8">
        <w:rPr>
          <w:rFonts w:ascii="Cambria" w:hAnsi="Cambria"/>
          <w:b/>
          <w:bCs/>
          <w:color w:val="365F91"/>
          <w:sz w:val="28"/>
        </w:rPr>
        <w:lastRenderedPageBreak/>
        <w:t>Appendix A</w:t>
      </w:r>
      <w:r>
        <w:rPr>
          <w:rFonts w:ascii="Cambria" w:hAnsi="Cambria"/>
          <w:b/>
          <w:bCs/>
          <w:color w:val="365F91"/>
          <w:sz w:val="28"/>
        </w:rPr>
        <w:t>:  Analysis Using Discount Rates of 3 Percent and 7 Percent</w:t>
      </w:r>
    </w:p>
    <w:p w:rsidR="0079646D" w:rsidRDefault="0079646D" w:rsidP="00CD110C">
      <w:r>
        <w:t xml:space="preserve">For the purposes of analysis, FEMA assumes that all plan updates occur in the same year.  As stated previously, FEMA estimates 46 Standard Plan updates with a unit cost of $205,000 and 10 Enhanced Plan updates with a unit cost of $524,000 over the course of the analysis.  The resulting one year cost for plan updates is $14,670,000 (46 Standard Plan updates x $205,000 + 10 Enhanced Plan updates x $524,000).  FEMA also estimates a primary Federal unit cost of $5,770 to review such plan updates for a one year cost of $323,120 (56 plan updates x $5,770).  The resulting undiscounted cost in a given year when all plan updates are submitted is approximately $15,000,000 (14,670,000 +$323,120 =$14,993,120). </w:t>
      </w:r>
    </w:p>
    <w:p w:rsidR="0079646D" w:rsidRDefault="006E36A7" w:rsidP="00CD110C">
      <w:r>
        <w:fldChar w:fldCharType="begin"/>
      </w:r>
      <w:r w:rsidR="0079646D">
        <w:instrText xml:space="preserve"> REF _Ref327510199 \h </w:instrText>
      </w:r>
      <w:r>
        <w:fldChar w:fldCharType="separate"/>
      </w:r>
      <w:r w:rsidR="003C6FB6">
        <w:t xml:space="preserve">Table </w:t>
      </w:r>
      <w:r w:rsidR="003C6FB6">
        <w:rPr>
          <w:noProof/>
        </w:rPr>
        <w:t>11</w:t>
      </w:r>
      <w:r>
        <w:fldChar w:fldCharType="end"/>
      </w:r>
      <w:r w:rsidR="0079646D">
        <w:t xml:space="preserve"> shows the resulting undiscounted costs under the baseline 3 year review cycle as well as the </w:t>
      </w:r>
      <w:r w:rsidR="008425E7">
        <w:t xml:space="preserve">proposed rule’s </w:t>
      </w:r>
      <w:r w:rsidR="0079646D">
        <w:t xml:space="preserve">5 year cycle.  As seen in the table, the estimated 15 year undiscounted cost of plan updates every 3 years is approximately $75 million and the estimated 15 year undiscounted costs of plan updates every 5 years is approximately $45 million.  The resulting undiscounted cost savings of the </w:t>
      </w:r>
      <w:r w:rsidR="008425E7">
        <w:t xml:space="preserve">proposed rule </w:t>
      </w:r>
      <w:r w:rsidR="0079646D">
        <w:t xml:space="preserve">is approximately $30 million.   </w:t>
      </w:r>
    </w:p>
    <w:p w:rsidR="0079646D" w:rsidRDefault="0079646D" w:rsidP="00943119">
      <w:pPr>
        <w:pStyle w:val="Caption"/>
        <w:keepLines/>
        <w:spacing w:after="0"/>
      </w:pPr>
      <w:r>
        <w:t xml:space="preserve">      </w:t>
      </w:r>
      <w:bookmarkStart w:id="11" w:name="_Ref327510199"/>
      <w:r>
        <w:t xml:space="preserve">Table </w:t>
      </w:r>
      <w:r w:rsidR="006E36A7">
        <w:fldChar w:fldCharType="begin"/>
      </w:r>
      <w:r w:rsidR="009B6DC1">
        <w:instrText xml:space="preserve"> SEQ Table \* ARABIC </w:instrText>
      </w:r>
      <w:r w:rsidR="006E36A7">
        <w:fldChar w:fldCharType="separate"/>
      </w:r>
      <w:r w:rsidR="003C6FB6">
        <w:rPr>
          <w:noProof/>
        </w:rPr>
        <w:t>11</w:t>
      </w:r>
      <w:r w:rsidR="006E36A7">
        <w:rPr>
          <w:noProof/>
        </w:rPr>
        <w:fldChar w:fldCharType="end"/>
      </w:r>
      <w:bookmarkEnd w:id="11"/>
      <w:r>
        <w:t>:  Undiscounted Plan Update Costs Over 15 Years (in millions of dollars)</w:t>
      </w:r>
    </w:p>
    <w:tbl>
      <w:tblPr>
        <w:tblW w:w="0" w:type="auto"/>
        <w:jc w:val="center"/>
        <w:tblInd w:w="103" w:type="dxa"/>
        <w:tblLook w:val="00A0" w:firstRow="1" w:lastRow="0" w:firstColumn="1" w:lastColumn="0" w:noHBand="0" w:noVBand="0"/>
      </w:tblPr>
      <w:tblGrid>
        <w:gridCol w:w="640"/>
        <w:gridCol w:w="1290"/>
        <w:gridCol w:w="1419"/>
        <w:gridCol w:w="1082"/>
      </w:tblGrid>
      <w:tr w:rsidR="0079646D" w:rsidRPr="000B185D">
        <w:trPr>
          <w:trHeight w:val="780"/>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b/>
                <w:bCs/>
                <w:color w:val="000000"/>
                <w:sz w:val="20"/>
              </w:rPr>
            </w:pPr>
            <w:r w:rsidRPr="00943119">
              <w:rPr>
                <w:rFonts w:cs="Calibri"/>
                <w:b/>
                <w:bCs/>
                <w:color w:val="000000"/>
                <w:sz w:val="20"/>
              </w:rPr>
              <w:t>Year</w:t>
            </w:r>
          </w:p>
        </w:tc>
        <w:tc>
          <w:tcPr>
            <w:tcW w:w="0" w:type="auto"/>
            <w:tcBorders>
              <w:top w:val="single" w:sz="4" w:space="0" w:color="auto"/>
              <w:left w:val="nil"/>
              <w:bottom w:val="nil"/>
              <w:right w:val="single" w:sz="4" w:space="0" w:color="auto"/>
            </w:tcBorders>
            <w:vAlign w:val="bottom"/>
          </w:tcPr>
          <w:p w:rsidR="0079646D" w:rsidRPr="00943119" w:rsidRDefault="0079646D" w:rsidP="00943119">
            <w:pPr>
              <w:spacing w:after="0" w:line="240" w:lineRule="auto"/>
              <w:jc w:val="center"/>
              <w:rPr>
                <w:rFonts w:cs="Calibri"/>
                <w:b/>
                <w:bCs/>
                <w:color w:val="000000"/>
                <w:sz w:val="20"/>
              </w:rPr>
            </w:pPr>
            <w:r w:rsidRPr="00943119">
              <w:rPr>
                <w:rFonts w:cs="Calibri"/>
                <w:b/>
                <w:bCs/>
                <w:color w:val="000000"/>
                <w:sz w:val="20"/>
              </w:rPr>
              <w:t xml:space="preserve">Baseline </w:t>
            </w:r>
            <w:r w:rsidRPr="00943119">
              <w:rPr>
                <w:rFonts w:cs="Calibri"/>
                <w:b/>
                <w:bCs/>
                <w:color w:val="000000"/>
                <w:sz w:val="20"/>
              </w:rPr>
              <w:br/>
            </w:r>
            <w:r w:rsidRPr="00943119">
              <w:rPr>
                <w:rFonts w:cs="Calibri"/>
                <w:color w:val="000000"/>
                <w:sz w:val="20"/>
              </w:rPr>
              <w:t>(3 year cycle)</w:t>
            </w:r>
          </w:p>
        </w:tc>
        <w:tc>
          <w:tcPr>
            <w:tcW w:w="0" w:type="auto"/>
            <w:tcBorders>
              <w:top w:val="single" w:sz="4" w:space="0" w:color="auto"/>
              <w:left w:val="nil"/>
              <w:bottom w:val="nil"/>
              <w:right w:val="single" w:sz="4" w:space="0" w:color="auto"/>
            </w:tcBorders>
            <w:vAlign w:val="bottom"/>
          </w:tcPr>
          <w:p w:rsidR="0079646D" w:rsidRPr="00943119" w:rsidRDefault="0079646D" w:rsidP="00943119">
            <w:pPr>
              <w:spacing w:after="0" w:line="240" w:lineRule="auto"/>
              <w:jc w:val="center"/>
              <w:rPr>
                <w:rFonts w:cs="Calibri"/>
                <w:b/>
                <w:bCs/>
                <w:color w:val="000000"/>
                <w:sz w:val="20"/>
              </w:rPr>
            </w:pPr>
            <w:r w:rsidRPr="00943119">
              <w:rPr>
                <w:rFonts w:cs="Calibri"/>
                <w:b/>
                <w:bCs/>
                <w:color w:val="000000"/>
                <w:sz w:val="20"/>
              </w:rPr>
              <w:t xml:space="preserve">Proposed Rule </w:t>
            </w:r>
            <w:r w:rsidRPr="00943119">
              <w:rPr>
                <w:rFonts w:cs="Calibri"/>
                <w:b/>
                <w:bCs/>
                <w:color w:val="000000"/>
                <w:sz w:val="20"/>
              </w:rPr>
              <w:br/>
            </w:r>
            <w:r w:rsidRPr="00943119">
              <w:rPr>
                <w:rFonts w:cs="Calibri"/>
                <w:color w:val="000000"/>
                <w:sz w:val="20"/>
              </w:rPr>
              <w:t>(5 year cycle)</w:t>
            </w:r>
          </w:p>
        </w:tc>
        <w:tc>
          <w:tcPr>
            <w:tcW w:w="0" w:type="auto"/>
            <w:tcBorders>
              <w:top w:val="nil"/>
              <w:left w:val="nil"/>
              <w:bottom w:val="nil"/>
              <w:right w:val="nil"/>
            </w:tcBorders>
            <w:noWrap/>
            <w:vAlign w:val="bottom"/>
          </w:tcPr>
          <w:p w:rsidR="0079646D" w:rsidRPr="00943119" w:rsidRDefault="0079646D" w:rsidP="00943119">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2013</w:t>
            </w:r>
          </w:p>
        </w:tc>
        <w:tc>
          <w:tcPr>
            <w:tcW w:w="0" w:type="auto"/>
            <w:tcBorders>
              <w:top w:val="single" w:sz="4" w:space="0" w:color="auto"/>
              <w:left w:val="nil"/>
              <w:bottom w:val="single" w:sz="4" w:space="0" w:color="auto"/>
              <w:right w:val="single" w:sz="4" w:space="0" w:color="auto"/>
            </w:tcBorders>
            <w:noWrap/>
            <w:vAlign w:val="bottom"/>
          </w:tcPr>
          <w:p w:rsidR="0079646D" w:rsidRPr="00943119" w:rsidRDefault="0079646D" w:rsidP="00117381">
            <w:pPr>
              <w:spacing w:after="0" w:line="240" w:lineRule="auto"/>
              <w:jc w:val="center"/>
              <w:rPr>
                <w:rFonts w:cs="Calibri"/>
                <w:color w:val="000000"/>
                <w:sz w:val="20"/>
              </w:rPr>
            </w:pPr>
            <w:r w:rsidRPr="00943119">
              <w:rPr>
                <w:rFonts w:cs="Calibri"/>
                <w:color w:val="000000"/>
                <w:sz w:val="20"/>
              </w:rPr>
              <w:t>$</w:t>
            </w:r>
            <w:r>
              <w:rPr>
                <w:rFonts w:cs="Calibri"/>
                <w:color w:val="000000"/>
                <w:sz w:val="20"/>
              </w:rPr>
              <w:t>15.0</w:t>
            </w:r>
          </w:p>
        </w:tc>
        <w:tc>
          <w:tcPr>
            <w:tcW w:w="0" w:type="auto"/>
            <w:tcBorders>
              <w:top w:val="single" w:sz="4" w:space="0" w:color="auto"/>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w:t>
            </w:r>
            <w:r>
              <w:rPr>
                <w:rFonts w:cs="Calibri"/>
                <w:color w:val="000000"/>
                <w:sz w:val="20"/>
              </w:rPr>
              <w:t>15.0</w:t>
            </w:r>
          </w:p>
        </w:tc>
        <w:tc>
          <w:tcPr>
            <w:tcW w:w="0" w:type="auto"/>
            <w:tcBorders>
              <w:top w:val="nil"/>
              <w:left w:val="nil"/>
              <w:bottom w:val="nil"/>
              <w:right w:val="nil"/>
            </w:tcBorders>
            <w:noWrap/>
            <w:vAlign w:val="bottom"/>
          </w:tcPr>
          <w:p w:rsidR="0079646D" w:rsidRPr="00943119" w:rsidRDefault="0079646D" w:rsidP="00943119">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2014</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nil"/>
              <w:right w:val="nil"/>
            </w:tcBorders>
            <w:noWrap/>
            <w:vAlign w:val="bottom"/>
          </w:tcPr>
          <w:p w:rsidR="0079646D" w:rsidRPr="00943119" w:rsidRDefault="0079646D" w:rsidP="00943119">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2015</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nil"/>
              <w:right w:val="nil"/>
            </w:tcBorders>
            <w:noWrap/>
            <w:vAlign w:val="bottom"/>
          </w:tcPr>
          <w:p w:rsidR="0079646D" w:rsidRPr="00943119" w:rsidRDefault="0079646D" w:rsidP="00943119">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2016</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w:t>
            </w:r>
            <w:r>
              <w:rPr>
                <w:rFonts w:cs="Calibri"/>
                <w:color w:val="000000"/>
                <w:sz w:val="20"/>
              </w:rPr>
              <w:t>15.0</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nil"/>
              <w:right w:val="nil"/>
            </w:tcBorders>
            <w:noWrap/>
            <w:vAlign w:val="bottom"/>
          </w:tcPr>
          <w:p w:rsidR="0079646D" w:rsidRPr="00943119" w:rsidRDefault="0079646D" w:rsidP="00943119">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2017</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nil"/>
              <w:right w:val="nil"/>
            </w:tcBorders>
            <w:noWrap/>
            <w:vAlign w:val="bottom"/>
          </w:tcPr>
          <w:p w:rsidR="0079646D" w:rsidRPr="00943119" w:rsidRDefault="0079646D" w:rsidP="00943119">
            <w:pPr>
              <w:spacing w:after="0" w:line="240" w:lineRule="auto"/>
              <w:rPr>
                <w:rFonts w:cs="Calibri"/>
                <w:color w:val="000000"/>
                <w:sz w:val="20"/>
              </w:rPr>
            </w:pPr>
          </w:p>
        </w:tc>
      </w:tr>
      <w:tr w:rsidR="0079646D" w:rsidRPr="000B185D">
        <w:trPr>
          <w:trHeight w:val="315"/>
          <w:jc w:val="center"/>
        </w:trPr>
        <w:tc>
          <w:tcPr>
            <w:tcW w:w="0" w:type="auto"/>
            <w:tcBorders>
              <w:top w:val="nil"/>
              <w:left w:val="single" w:sz="4" w:space="0" w:color="auto"/>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2018</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w:t>
            </w:r>
            <w:r>
              <w:rPr>
                <w:rFonts w:cs="Calibri"/>
                <w:color w:val="000000"/>
                <w:sz w:val="20"/>
              </w:rPr>
              <w:t>15.0</w:t>
            </w:r>
          </w:p>
        </w:tc>
        <w:tc>
          <w:tcPr>
            <w:tcW w:w="0" w:type="auto"/>
            <w:tcBorders>
              <w:top w:val="nil"/>
              <w:left w:val="nil"/>
              <w:bottom w:val="nil"/>
              <w:right w:val="nil"/>
            </w:tcBorders>
            <w:noWrap/>
            <w:vAlign w:val="bottom"/>
          </w:tcPr>
          <w:p w:rsidR="0079646D" w:rsidRPr="00943119" w:rsidRDefault="0079646D" w:rsidP="00943119">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2019</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w:t>
            </w:r>
            <w:r>
              <w:rPr>
                <w:rFonts w:cs="Calibri"/>
                <w:color w:val="000000"/>
                <w:sz w:val="20"/>
              </w:rPr>
              <w:t>15.0</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nil"/>
              <w:right w:val="nil"/>
            </w:tcBorders>
            <w:noWrap/>
            <w:vAlign w:val="bottom"/>
          </w:tcPr>
          <w:p w:rsidR="0079646D" w:rsidRPr="00943119" w:rsidRDefault="0079646D" w:rsidP="00943119">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2020</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nil"/>
              <w:right w:val="nil"/>
            </w:tcBorders>
            <w:noWrap/>
            <w:vAlign w:val="bottom"/>
          </w:tcPr>
          <w:p w:rsidR="0079646D" w:rsidRPr="00943119" w:rsidRDefault="0079646D" w:rsidP="00943119">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2021</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nil"/>
              <w:right w:val="nil"/>
            </w:tcBorders>
            <w:noWrap/>
            <w:vAlign w:val="bottom"/>
          </w:tcPr>
          <w:p w:rsidR="0079646D" w:rsidRPr="00943119" w:rsidRDefault="0079646D" w:rsidP="00943119">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2022</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w:t>
            </w:r>
            <w:r>
              <w:rPr>
                <w:rFonts w:cs="Calibri"/>
                <w:color w:val="000000"/>
                <w:sz w:val="20"/>
              </w:rPr>
              <w:t>15.0</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nil"/>
              <w:right w:val="nil"/>
            </w:tcBorders>
            <w:noWrap/>
            <w:vAlign w:val="bottom"/>
          </w:tcPr>
          <w:p w:rsidR="0079646D" w:rsidRPr="00943119" w:rsidRDefault="0079646D" w:rsidP="00943119">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2023</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w:t>
            </w:r>
            <w:r>
              <w:rPr>
                <w:rFonts w:cs="Calibri"/>
                <w:color w:val="000000"/>
                <w:sz w:val="20"/>
              </w:rPr>
              <w:t>15.0</w:t>
            </w:r>
          </w:p>
        </w:tc>
        <w:tc>
          <w:tcPr>
            <w:tcW w:w="0" w:type="auto"/>
            <w:tcBorders>
              <w:top w:val="nil"/>
              <w:left w:val="nil"/>
              <w:bottom w:val="nil"/>
              <w:right w:val="nil"/>
            </w:tcBorders>
            <w:noWrap/>
            <w:vAlign w:val="bottom"/>
          </w:tcPr>
          <w:p w:rsidR="0079646D" w:rsidRPr="00943119" w:rsidRDefault="0079646D" w:rsidP="00943119">
            <w:pPr>
              <w:spacing w:after="0" w:line="240" w:lineRule="auto"/>
              <w:rPr>
                <w:rFonts w:cs="Calibri"/>
                <w:color w:val="000000"/>
                <w:sz w:val="20"/>
              </w:rPr>
            </w:pPr>
          </w:p>
        </w:tc>
      </w:tr>
      <w:tr w:rsidR="0079646D" w:rsidRPr="000B185D">
        <w:trPr>
          <w:trHeight w:val="315"/>
          <w:jc w:val="center"/>
        </w:trPr>
        <w:tc>
          <w:tcPr>
            <w:tcW w:w="0" w:type="auto"/>
            <w:tcBorders>
              <w:top w:val="nil"/>
              <w:left w:val="single" w:sz="4" w:space="0" w:color="auto"/>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2024</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nil"/>
              <w:right w:val="nil"/>
            </w:tcBorders>
            <w:noWrap/>
            <w:vAlign w:val="bottom"/>
          </w:tcPr>
          <w:p w:rsidR="0079646D" w:rsidRPr="00943119" w:rsidRDefault="0079646D" w:rsidP="00943119">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2025</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w:t>
            </w:r>
            <w:r>
              <w:rPr>
                <w:rFonts w:cs="Calibri"/>
                <w:color w:val="000000"/>
                <w:sz w:val="20"/>
              </w:rPr>
              <w:t>15.0</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nil"/>
              <w:right w:val="nil"/>
            </w:tcBorders>
            <w:noWrap/>
            <w:vAlign w:val="bottom"/>
          </w:tcPr>
          <w:p w:rsidR="0079646D" w:rsidRPr="00943119" w:rsidRDefault="0079646D" w:rsidP="00943119">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2026</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nil"/>
              <w:right w:val="nil"/>
            </w:tcBorders>
            <w:noWrap/>
            <w:vAlign w:val="bottom"/>
          </w:tcPr>
          <w:p w:rsidR="0079646D" w:rsidRPr="00943119" w:rsidRDefault="0079646D" w:rsidP="00943119">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2027</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single" w:sz="4" w:space="0" w:color="auto"/>
              <w:right w:val="single" w:sz="4" w:space="0" w:color="auto"/>
            </w:tcBorders>
            <w:noWrap/>
            <w:vAlign w:val="bottom"/>
          </w:tcPr>
          <w:p w:rsidR="0079646D" w:rsidRPr="00943119" w:rsidRDefault="0079646D" w:rsidP="00943119">
            <w:pPr>
              <w:spacing w:after="0" w:line="240" w:lineRule="auto"/>
              <w:jc w:val="center"/>
              <w:rPr>
                <w:rFonts w:cs="Calibri"/>
                <w:color w:val="000000"/>
                <w:sz w:val="20"/>
              </w:rPr>
            </w:pPr>
            <w:r w:rsidRPr="00943119">
              <w:rPr>
                <w:rFonts w:cs="Calibri"/>
                <w:color w:val="000000"/>
                <w:sz w:val="20"/>
              </w:rPr>
              <w:t>$0.0</w:t>
            </w:r>
          </w:p>
        </w:tc>
        <w:tc>
          <w:tcPr>
            <w:tcW w:w="0" w:type="auto"/>
            <w:tcBorders>
              <w:top w:val="nil"/>
              <w:left w:val="nil"/>
              <w:bottom w:val="nil"/>
              <w:right w:val="nil"/>
            </w:tcBorders>
            <w:noWrap/>
            <w:vAlign w:val="bottom"/>
          </w:tcPr>
          <w:p w:rsidR="0079646D" w:rsidRPr="00943119" w:rsidRDefault="0079646D" w:rsidP="00943119">
            <w:pPr>
              <w:spacing w:after="0" w:line="240" w:lineRule="auto"/>
              <w:jc w:val="center"/>
              <w:rPr>
                <w:rFonts w:cs="Calibri"/>
                <w:b/>
                <w:bCs/>
                <w:color w:val="000000"/>
                <w:sz w:val="20"/>
              </w:rPr>
            </w:pPr>
            <w:r w:rsidRPr="00943119">
              <w:rPr>
                <w:rFonts w:cs="Calibri"/>
                <w:b/>
                <w:bCs/>
                <w:color w:val="000000"/>
                <w:sz w:val="20"/>
              </w:rPr>
              <w:t>Difference</w:t>
            </w:r>
          </w:p>
        </w:tc>
      </w:tr>
      <w:tr w:rsidR="0079646D" w:rsidRPr="000B185D">
        <w:trPr>
          <w:trHeight w:val="300"/>
          <w:jc w:val="center"/>
        </w:trPr>
        <w:tc>
          <w:tcPr>
            <w:tcW w:w="0" w:type="auto"/>
            <w:tcBorders>
              <w:top w:val="nil"/>
              <w:left w:val="nil"/>
              <w:bottom w:val="nil"/>
              <w:right w:val="nil"/>
            </w:tcBorders>
            <w:noWrap/>
            <w:vAlign w:val="bottom"/>
          </w:tcPr>
          <w:p w:rsidR="0079646D" w:rsidRPr="00943119" w:rsidRDefault="0079646D" w:rsidP="00943119">
            <w:pPr>
              <w:spacing w:after="0" w:line="240" w:lineRule="auto"/>
              <w:rPr>
                <w:rFonts w:cs="Calibri"/>
                <w:b/>
                <w:bCs/>
                <w:color w:val="000000"/>
                <w:sz w:val="20"/>
              </w:rPr>
            </w:pPr>
            <w:r w:rsidRPr="00943119">
              <w:rPr>
                <w:rFonts w:cs="Calibri"/>
                <w:b/>
                <w:bCs/>
                <w:color w:val="000000"/>
                <w:sz w:val="20"/>
              </w:rPr>
              <w:t>Total</w:t>
            </w:r>
          </w:p>
        </w:tc>
        <w:tc>
          <w:tcPr>
            <w:tcW w:w="0" w:type="auto"/>
            <w:tcBorders>
              <w:top w:val="nil"/>
              <w:left w:val="nil"/>
              <w:bottom w:val="nil"/>
              <w:right w:val="nil"/>
            </w:tcBorders>
            <w:noWrap/>
            <w:vAlign w:val="bottom"/>
          </w:tcPr>
          <w:p w:rsidR="0079646D" w:rsidRPr="00943119" w:rsidRDefault="0079646D" w:rsidP="00117381">
            <w:pPr>
              <w:spacing w:after="0" w:line="240" w:lineRule="auto"/>
              <w:jc w:val="center"/>
              <w:rPr>
                <w:rFonts w:cs="Calibri"/>
                <w:color w:val="000000"/>
                <w:sz w:val="20"/>
              </w:rPr>
            </w:pPr>
            <w:r w:rsidRPr="00943119">
              <w:rPr>
                <w:rFonts w:cs="Calibri"/>
                <w:color w:val="000000"/>
                <w:sz w:val="20"/>
              </w:rPr>
              <w:t>$</w:t>
            </w:r>
            <w:r>
              <w:rPr>
                <w:rFonts w:cs="Calibri"/>
                <w:color w:val="000000"/>
                <w:sz w:val="20"/>
              </w:rPr>
              <w:t>75.0</w:t>
            </w:r>
          </w:p>
        </w:tc>
        <w:tc>
          <w:tcPr>
            <w:tcW w:w="0" w:type="auto"/>
            <w:tcBorders>
              <w:top w:val="nil"/>
              <w:left w:val="nil"/>
              <w:bottom w:val="nil"/>
              <w:right w:val="nil"/>
            </w:tcBorders>
            <w:noWrap/>
            <w:vAlign w:val="bottom"/>
          </w:tcPr>
          <w:p w:rsidR="0079646D" w:rsidRPr="00943119" w:rsidRDefault="0079646D" w:rsidP="00117381">
            <w:pPr>
              <w:spacing w:after="0" w:line="240" w:lineRule="auto"/>
              <w:jc w:val="center"/>
              <w:rPr>
                <w:rFonts w:cs="Calibri"/>
                <w:color w:val="000000"/>
                <w:sz w:val="20"/>
              </w:rPr>
            </w:pPr>
            <w:r w:rsidRPr="00943119">
              <w:rPr>
                <w:rFonts w:cs="Calibri"/>
                <w:color w:val="000000"/>
                <w:sz w:val="20"/>
              </w:rPr>
              <w:t>$</w:t>
            </w:r>
            <w:r>
              <w:rPr>
                <w:rFonts w:cs="Calibri"/>
                <w:color w:val="000000"/>
                <w:sz w:val="20"/>
              </w:rPr>
              <w:t>45.0</w:t>
            </w:r>
          </w:p>
        </w:tc>
        <w:tc>
          <w:tcPr>
            <w:tcW w:w="0" w:type="auto"/>
            <w:tcBorders>
              <w:top w:val="nil"/>
              <w:left w:val="nil"/>
              <w:bottom w:val="nil"/>
              <w:right w:val="nil"/>
            </w:tcBorders>
            <w:noWrap/>
            <w:vAlign w:val="bottom"/>
          </w:tcPr>
          <w:p w:rsidR="0079646D" w:rsidRPr="00943119" w:rsidRDefault="0079646D" w:rsidP="00117381">
            <w:pPr>
              <w:spacing w:after="0" w:line="240" w:lineRule="auto"/>
              <w:jc w:val="center"/>
              <w:rPr>
                <w:rFonts w:cs="Calibri"/>
                <w:color w:val="000000"/>
                <w:sz w:val="20"/>
              </w:rPr>
            </w:pPr>
            <w:r w:rsidRPr="00943119">
              <w:rPr>
                <w:rFonts w:cs="Calibri"/>
                <w:color w:val="000000"/>
                <w:sz w:val="20"/>
              </w:rPr>
              <w:t>$</w:t>
            </w:r>
            <w:r>
              <w:rPr>
                <w:rFonts w:cs="Calibri"/>
                <w:color w:val="000000"/>
                <w:sz w:val="20"/>
              </w:rPr>
              <w:t>30.0</w:t>
            </w:r>
          </w:p>
        </w:tc>
      </w:tr>
    </w:tbl>
    <w:p w:rsidR="0079646D" w:rsidRDefault="0079646D" w:rsidP="00CD110C"/>
    <w:p w:rsidR="0079646D" w:rsidRDefault="0079646D">
      <w:r>
        <w:br w:type="page"/>
      </w:r>
    </w:p>
    <w:p w:rsidR="0079646D" w:rsidRDefault="0079646D" w:rsidP="00CD110C">
      <w:r>
        <w:lastRenderedPageBreak/>
        <w:t xml:space="preserve">FEMA also calculated 15 year costs discounted at 3 percent and 7 percent.  As seen in </w:t>
      </w:r>
      <w:r w:rsidR="006E36A7">
        <w:fldChar w:fldCharType="begin"/>
      </w:r>
      <w:r>
        <w:instrText xml:space="preserve"> REF _Ref327510491 \h </w:instrText>
      </w:r>
      <w:r w:rsidR="006E36A7">
        <w:fldChar w:fldCharType="separate"/>
      </w:r>
      <w:r w:rsidR="003C6FB6">
        <w:t xml:space="preserve">Table </w:t>
      </w:r>
      <w:r w:rsidR="003C6FB6">
        <w:rPr>
          <w:noProof/>
        </w:rPr>
        <w:t>12</w:t>
      </w:r>
      <w:r w:rsidR="006E36A7">
        <w:fldChar w:fldCharType="end"/>
      </w:r>
      <w:r>
        <w:t xml:space="preserve">, the estimated 15 year cost of plan updates every 3 years discounted at 3 percent is approximately $63.2 million.  The estimated 15 year cost of plan updates every 5 years discounted at 3 percent is approximately $39.1 million.  The resulting cost savings of the proposed rule discounted at 3 percent is approximately $24.1 million.  </w:t>
      </w:r>
    </w:p>
    <w:p w:rsidR="0079646D" w:rsidRDefault="0079646D" w:rsidP="00CD110C"/>
    <w:p w:rsidR="0079646D" w:rsidRDefault="0079646D" w:rsidP="00943119">
      <w:pPr>
        <w:pStyle w:val="Caption"/>
        <w:keepLines/>
        <w:spacing w:after="0"/>
      </w:pPr>
      <w:r>
        <w:t xml:space="preserve">      </w:t>
      </w:r>
      <w:bookmarkStart w:id="12" w:name="_Ref327510491"/>
      <w:r>
        <w:t xml:space="preserve">Table </w:t>
      </w:r>
      <w:r w:rsidR="006E36A7">
        <w:fldChar w:fldCharType="begin"/>
      </w:r>
      <w:r w:rsidR="009B6DC1">
        <w:instrText xml:space="preserve"> SEQ Table \* ARABIC </w:instrText>
      </w:r>
      <w:r w:rsidR="006E36A7">
        <w:fldChar w:fldCharType="separate"/>
      </w:r>
      <w:r w:rsidR="003C6FB6">
        <w:rPr>
          <w:noProof/>
        </w:rPr>
        <w:t>12</w:t>
      </w:r>
      <w:r w:rsidR="006E36A7">
        <w:rPr>
          <w:noProof/>
        </w:rPr>
        <w:fldChar w:fldCharType="end"/>
      </w:r>
      <w:bookmarkEnd w:id="12"/>
      <w:r>
        <w:t xml:space="preserve">:  Plan Update Costs Discounted at 3 Percent Over 15 Years </w:t>
      </w:r>
      <w:r w:rsidRPr="00117381">
        <w:rPr>
          <w:sz w:val="20"/>
        </w:rPr>
        <w:t>(in millions of dollars)</w:t>
      </w:r>
    </w:p>
    <w:tbl>
      <w:tblPr>
        <w:tblW w:w="0" w:type="auto"/>
        <w:jc w:val="center"/>
        <w:tblInd w:w="103" w:type="dxa"/>
        <w:tblLook w:val="00A0" w:firstRow="1" w:lastRow="0" w:firstColumn="1" w:lastColumn="0" w:noHBand="0" w:noVBand="0"/>
      </w:tblPr>
      <w:tblGrid>
        <w:gridCol w:w="640"/>
        <w:gridCol w:w="1165"/>
        <w:gridCol w:w="1350"/>
        <w:gridCol w:w="1440"/>
        <w:gridCol w:w="1170"/>
        <w:gridCol w:w="591"/>
      </w:tblGrid>
      <w:tr w:rsidR="0079646D" w:rsidRPr="000B185D">
        <w:trPr>
          <w:trHeight w:val="566"/>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b/>
                <w:bCs/>
                <w:color w:val="000000"/>
                <w:sz w:val="20"/>
              </w:rPr>
            </w:pPr>
            <w:r w:rsidRPr="00074A56">
              <w:rPr>
                <w:rFonts w:cs="Calibri"/>
                <w:b/>
                <w:bCs/>
                <w:color w:val="000000"/>
                <w:sz w:val="20"/>
              </w:rPr>
              <w:t>Year</w:t>
            </w:r>
          </w:p>
        </w:tc>
        <w:tc>
          <w:tcPr>
            <w:tcW w:w="1165" w:type="dxa"/>
            <w:tcBorders>
              <w:top w:val="single" w:sz="4" w:space="0" w:color="auto"/>
              <w:left w:val="nil"/>
              <w:bottom w:val="single" w:sz="4" w:space="0" w:color="auto"/>
              <w:right w:val="single" w:sz="4" w:space="0" w:color="auto"/>
            </w:tcBorders>
            <w:vAlign w:val="bottom"/>
          </w:tcPr>
          <w:p w:rsidR="0079646D" w:rsidRPr="00074A56" w:rsidRDefault="0079646D" w:rsidP="00074A56">
            <w:pPr>
              <w:spacing w:after="0" w:line="240" w:lineRule="auto"/>
              <w:jc w:val="center"/>
              <w:rPr>
                <w:rFonts w:cs="Calibri"/>
                <w:b/>
                <w:bCs/>
                <w:color w:val="000000"/>
                <w:sz w:val="20"/>
              </w:rPr>
            </w:pPr>
            <w:r w:rsidRPr="00074A56">
              <w:rPr>
                <w:rFonts w:cs="Calibri"/>
                <w:b/>
                <w:bCs/>
                <w:color w:val="000000"/>
                <w:sz w:val="20"/>
              </w:rPr>
              <w:t xml:space="preserve">Discount Factor </w:t>
            </w:r>
            <w:r w:rsidRPr="00074A56">
              <w:rPr>
                <w:rFonts w:cs="Calibri"/>
                <w:color w:val="000000"/>
                <w:sz w:val="20"/>
              </w:rPr>
              <w:t>(3%)</w:t>
            </w:r>
            <w:r w:rsidRPr="00074A56">
              <w:rPr>
                <w:rFonts w:cs="Calibri"/>
                <w:b/>
                <w:bCs/>
                <w:color w:val="000000"/>
                <w:sz w:val="20"/>
              </w:rPr>
              <w:t xml:space="preserve"> </w:t>
            </w:r>
          </w:p>
        </w:tc>
        <w:tc>
          <w:tcPr>
            <w:tcW w:w="1350" w:type="dxa"/>
            <w:tcBorders>
              <w:top w:val="single" w:sz="4" w:space="0" w:color="auto"/>
              <w:left w:val="nil"/>
              <w:bottom w:val="nil"/>
              <w:right w:val="single" w:sz="4" w:space="0" w:color="auto"/>
            </w:tcBorders>
            <w:vAlign w:val="bottom"/>
          </w:tcPr>
          <w:p w:rsidR="0079646D" w:rsidRPr="00074A56" w:rsidRDefault="0079646D" w:rsidP="00074A56">
            <w:pPr>
              <w:spacing w:after="0" w:line="240" w:lineRule="auto"/>
              <w:jc w:val="center"/>
              <w:rPr>
                <w:rFonts w:cs="Calibri"/>
                <w:b/>
                <w:bCs/>
                <w:color w:val="000000"/>
                <w:sz w:val="20"/>
              </w:rPr>
            </w:pPr>
            <w:r w:rsidRPr="00074A56">
              <w:rPr>
                <w:rFonts w:cs="Calibri"/>
                <w:b/>
                <w:bCs/>
                <w:color w:val="000000"/>
                <w:sz w:val="20"/>
              </w:rPr>
              <w:t>Baseline</w:t>
            </w:r>
            <w:r>
              <w:rPr>
                <w:rFonts w:cs="Calibri"/>
                <w:b/>
                <w:bCs/>
                <w:color w:val="000000"/>
                <w:sz w:val="20"/>
              </w:rPr>
              <w:t>*</w:t>
            </w:r>
            <w:r w:rsidRPr="00074A56">
              <w:rPr>
                <w:rFonts w:cs="Calibri"/>
                <w:b/>
                <w:bCs/>
                <w:color w:val="000000"/>
                <w:sz w:val="20"/>
              </w:rPr>
              <w:t xml:space="preserve"> </w:t>
            </w:r>
            <w:r w:rsidRPr="00074A56">
              <w:rPr>
                <w:rFonts w:cs="Calibri"/>
                <w:b/>
                <w:bCs/>
                <w:color w:val="000000"/>
                <w:sz w:val="20"/>
              </w:rPr>
              <w:br/>
            </w:r>
            <w:r w:rsidRPr="00074A56">
              <w:rPr>
                <w:rFonts w:cs="Calibri"/>
                <w:color w:val="000000"/>
                <w:sz w:val="20"/>
              </w:rPr>
              <w:t>(3 year cycle)</w:t>
            </w:r>
          </w:p>
        </w:tc>
        <w:tc>
          <w:tcPr>
            <w:tcW w:w="1440" w:type="dxa"/>
            <w:tcBorders>
              <w:top w:val="single" w:sz="4" w:space="0" w:color="auto"/>
              <w:left w:val="nil"/>
              <w:bottom w:val="nil"/>
              <w:right w:val="single" w:sz="4" w:space="0" w:color="auto"/>
            </w:tcBorders>
            <w:vAlign w:val="bottom"/>
          </w:tcPr>
          <w:p w:rsidR="0079646D" w:rsidRPr="00074A56" w:rsidRDefault="0079646D" w:rsidP="00074A56">
            <w:pPr>
              <w:spacing w:after="0" w:line="240" w:lineRule="auto"/>
              <w:jc w:val="center"/>
              <w:rPr>
                <w:rFonts w:cs="Calibri"/>
                <w:b/>
                <w:bCs/>
                <w:color w:val="000000"/>
                <w:sz w:val="20"/>
              </w:rPr>
            </w:pPr>
            <w:r w:rsidRPr="00074A56">
              <w:rPr>
                <w:rFonts w:cs="Calibri"/>
                <w:b/>
                <w:bCs/>
                <w:color w:val="000000"/>
                <w:sz w:val="20"/>
              </w:rPr>
              <w:t>Proposed Rule</w:t>
            </w:r>
            <w:r>
              <w:rPr>
                <w:rFonts w:cs="Calibri"/>
                <w:b/>
                <w:bCs/>
                <w:color w:val="000000"/>
                <w:sz w:val="20"/>
              </w:rPr>
              <w:t>*</w:t>
            </w:r>
            <w:r w:rsidRPr="00074A56">
              <w:rPr>
                <w:rFonts w:cs="Calibri"/>
                <w:b/>
                <w:bCs/>
                <w:color w:val="000000"/>
                <w:sz w:val="20"/>
              </w:rPr>
              <w:t xml:space="preserve"> </w:t>
            </w:r>
            <w:r w:rsidRPr="00074A56">
              <w:rPr>
                <w:rFonts w:cs="Calibri"/>
                <w:b/>
                <w:bCs/>
                <w:color w:val="000000"/>
                <w:sz w:val="20"/>
              </w:rPr>
              <w:br/>
            </w:r>
            <w:r w:rsidRPr="00074A56">
              <w:rPr>
                <w:rFonts w:cs="Calibri"/>
                <w:color w:val="000000"/>
                <w:sz w:val="20"/>
              </w:rPr>
              <w:t>(5 year cycle)</w:t>
            </w:r>
          </w:p>
        </w:tc>
        <w:tc>
          <w:tcPr>
            <w:tcW w:w="1761" w:type="dxa"/>
            <w:gridSpan w:val="2"/>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2013</w:t>
            </w:r>
          </w:p>
        </w:tc>
        <w:tc>
          <w:tcPr>
            <w:tcW w:w="1165"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1</w:t>
            </w:r>
          </w:p>
        </w:tc>
        <w:tc>
          <w:tcPr>
            <w:tcW w:w="1350" w:type="dxa"/>
            <w:tcBorders>
              <w:top w:val="single" w:sz="4" w:space="0" w:color="auto"/>
              <w:left w:val="nil"/>
              <w:bottom w:val="single" w:sz="4" w:space="0" w:color="auto"/>
              <w:right w:val="single" w:sz="4" w:space="0" w:color="auto"/>
            </w:tcBorders>
            <w:noWrap/>
            <w:vAlign w:val="bottom"/>
          </w:tcPr>
          <w:p w:rsidR="0079646D" w:rsidRPr="00074A56" w:rsidRDefault="0079646D" w:rsidP="00B45730">
            <w:pPr>
              <w:spacing w:after="0" w:line="240" w:lineRule="auto"/>
              <w:jc w:val="center"/>
              <w:rPr>
                <w:rFonts w:cs="Calibri"/>
                <w:color w:val="000000"/>
                <w:sz w:val="20"/>
              </w:rPr>
            </w:pPr>
            <w:r w:rsidRPr="000B185D">
              <w:rPr>
                <w:rFonts w:cs="Calibri"/>
                <w:color w:val="000000"/>
                <w:sz w:val="20"/>
              </w:rPr>
              <w:t>$15.0</w:t>
            </w:r>
          </w:p>
        </w:tc>
        <w:tc>
          <w:tcPr>
            <w:tcW w:w="1440" w:type="dxa"/>
            <w:tcBorders>
              <w:top w:val="single" w:sz="4" w:space="0" w:color="auto"/>
              <w:left w:val="nil"/>
              <w:bottom w:val="single" w:sz="4" w:space="0" w:color="auto"/>
              <w:right w:val="single" w:sz="4" w:space="0" w:color="auto"/>
            </w:tcBorders>
            <w:noWrap/>
            <w:vAlign w:val="bottom"/>
          </w:tcPr>
          <w:p w:rsidR="0079646D" w:rsidRPr="00074A56" w:rsidRDefault="0079646D" w:rsidP="00F93957">
            <w:pPr>
              <w:spacing w:after="0" w:line="240" w:lineRule="auto"/>
              <w:jc w:val="center"/>
              <w:rPr>
                <w:rFonts w:cs="Calibri"/>
                <w:color w:val="000000"/>
                <w:sz w:val="20"/>
              </w:rPr>
            </w:pPr>
            <w:r w:rsidRPr="000B185D">
              <w:rPr>
                <w:rFonts w:cs="Calibri"/>
                <w:color w:val="000000"/>
                <w:sz w:val="20"/>
              </w:rPr>
              <w:t>$15.0</w:t>
            </w:r>
          </w:p>
        </w:tc>
        <w:tc>
          <w:tcPr>
            <w:tcW w:w="1761" w:type="dxa"/>
            <w:gridSpan w:val="2"/>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2014</w:t>
            </w:r>
          </w:p>
        </w:tc>
        <w:tc>
          <w:tcPr>
            <w:tcW w:w="1165"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0.971</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761" w:type="dxa"/>
            <w:gridSpan w:val="2"/>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2015</w:t>
            </w:r>
          </w:p>
        </w:tc>
        <w:tc>
          <w:tcPr>
            <w:tcW w:w="1165"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0.943</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761" w:type="dxa"/>
            <w:gridSpan w:val="2"/>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2016</w:t>
            </w:r>
          </w:p>
        </w:tc>
        <w:tc>
          <w:tcPr>
            <w:tcW w:w="1165"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0.915</w:t>
            </w:r>
          </w:p>
        </w:tc>
        <w:tc>
          <w:tcPr>
            <w:tcW w:w="1350" w:type="dxa"/>
            <w:tcBorders>
              <w:top w:val="nil"/>
              <w:left w:val="nil"/>
              <w:bottom w:val="single" w:sz="4" w:space="0" w:color="auto"/>
              <w:right w:val="single" w:sz="4" w:space="0" w:color="auto"/>
            </w:tcBorders>
            <w:noWrap/>
            <w:vAlign w:val="bottom"/>
          </w:tcPr>
          <w:p w:rsidR="0079646D" w:rsidRPr="00074A56" w:rsidRDefault="0079646D" w:rsidP="00B45730">
            <w:pPr>
              <w:spacing w:after="0" w:line="240" w:lineRule="auto"/>
              <w:jc w:val="center"/>
              <w:rPr>
                <w:rFonts w:cs="Calibri"/>
                <w:color w:val="000000"/>
                <w:sz w:val="20"/>
              </w:rPr>
            </w:pPr>
            <w:r w:rsidRPr="000B185D">
              <w:rPr>
                <w:rFonts w:cs="Calibri"/>
                <w:color w:val="000000"/>
                <w:sz w:val="20"/>
              </w:rPr>
              <w:t>$13.7</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761" w:type="dxa"/>
            <w:gridSpan w:val="2"/>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2017</w:t>
            </w:r>
          </w:p>
        </w:tc>
        <w:tc>
          <w:tcPr>
            <w:tcW w:w="1165"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0.888</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761" w:type="dxa"/>
            <w:gridSpan w:val="2"/>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15"/>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2018</w:t>
            </w:r>
          </w:p>
        </w:tc>
        <w:tc>
          <w:tcPr>
            <w:tcW w:w="1165"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0.863</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440" w:type="dxa"/>
            <w:tcBorders>
              <w:top w:val="nil"/>
              <w:left w:val="nil"/>
              <w:bottom w:val="single" w:sz="4" w:space="0" w:color="auto"/>
              <w:right w:val="single" w:sz="4" w:space="0" w:color="auto"/>
            </w:tcBorders>
            <w:noWrap/>
            <w:vAlign w:val="bottom"/>
          </w:tcPr>
          <w:p w:rsidR="0079646D" w:rsidRPr="00074A56" w:rsidRDefault="0079646D" w:rsidP="00F93957">
            <w:pPr>
              <w:spacing w:after="0" w:line="240" w:lineRule="auto"/>
              <w:jc w:val="center"/>
              <w:rPr>
                <w:rFonts w:cs="Calibri"/>
                <w:color w:val="000000"/>
                <w:sz w:val="20"/>
              </w:rPr>
            </w:pPr>
            <w:r w:rsidRPr="000B185D">
              <w:rPr>
                <w:rFonts w:cs="Calibri"/>
                <w:color w:val="000000"/>
                <w:sz w:val="20"/>
              </w:rPr>
              <w:t>$12.9</w:t>
            </w:r>
          </w:p>
        </w:tc>
        <w:tc>
          <w:tcPr>
            <w:tcW w:w="1761" w:type="dxa"/>
            <w:gridSpan w:val="2"/>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2019</w:t>
            </w:r>
          </w:p>
        </w:tc>
        <w:tc>
          <w:tcPr>
            <w:tcW w:w="1165"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0.837</w:t>
            </w:r>
          </w:p>
        </w:tc>
        <w:tc>
          <w:tcPr>
            <w:tcW w:w="1350" w:type="dxa"/>
            <w:tcBorders>
              <w:top w:val="nil"/>
              <w:left w:val="nil"/>
              <w:bottom w:val="single" w:sz="4" w:space="0" w:color="auto"/>
              <w:right w:val="single" w:sz="4" w:space="0" w:color="auto"/>
            </w:tcBorders>
            <w:noWrap/>
            <w:vAlign w:val="bottom"/>
          </w:tcPr>
          <w:p w:rsidR="0079646D" w:rsidRPr="00074A56" w:rsidRDefault="0079646D" w:rsidP="00B45730">
            <w:pPr>
              <w:spacing w:after="0" w:line="240" w:lineRule="auto"/>
              <w:jc w:val="center"/>
              <w:rPr>
                <w:rFonts w:cs="Calibri"/>
                <w:color w:val="000000"/>
                <w:sz w:val="20"/>
              </w:rPr>
            </w:pPr>
            <w:r w:rsidRPr="000B185D">
              <w:rPr>
                <w:rFonts w:cs="Calibri"/>
                <w:color w:val="000000"/>
                <w:sz w:val="20"/>
              </w:rPr>
              <w:t>$12.5</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761" w:type="dxa"/>
            <w:gridSpan w:val="2"/>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2020</w:t>
            </w:r>
          </w:p>
        </w:tc>
        <w:tc>
          <w:tcPr>
            <w:tcW w:w="1165"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0.813</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761" w:type="dxa"/>
            <w:gridSpan w:val="2"/>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2021</w:t>
            </w:r>
          </w:p>
        </w:tc>
        <w:tc>
          <w:tcPr>
            <w:tcW w:w="1165"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0.789</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761" w:type="dxa"/>
            <w:gridSpan w:val="2"/>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2022</w:t>
            </w:r>
          </w:p>
        </w:tc>
        <w:tc>
          <w:tcPr>
            <w:tcW w:w="1165"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0.766</w:t>
            </w:r>
          </w:p>
        </w:tc>
        <w:tc>
          <w:tcPr>
            <w:tcW w:w="1350" w:type="dxa"/>
            <w:tcBorders>
              <w:top w:val="nil"/>
              <w:left w:val="nil"/>
              <w:bottom w:val="single" w:sz="4" w:space="0" w:color="auto"/>
              <w:right w:val="single" w:sz="4" w:space="0" w:color="auto"/>
            </w:tcBorders>
            <w:noWrap/>
            <w:vAlign w:val="bottom"/>
          </w:tcPr>
          <w:p w:rsidR="0079646D" w:rsidRPr="00074A56" w:rsidRDefault="0079646D" w:rsidP="00B45730">
            <w:pPr>
              <w:spacing w:after="0" w:line="240" w:lineRule="auto"/>
              <w:jc w:val="center"/>
              <w:rPr>
                <w:rFonts w:cs="Calibri"/>
                <w:color w:val="000000"/>
                <w:sz w:val="20"/>
              </w:rPr>
            </w:pPr>
            <w:r w:rsidRPr="000B185D">
              <w:rPr>
                <w:rFonts w:cs="Calibri"/>
                <w:color w:val="000000"/>
                <w:sz w:val="20"/>
              </w:rPr>
              <w:t>$11.5</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761" w:type="dxa"/>
            <w:gridSpan w:val="2"/>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2023</w:t>
            </w:r>
          </w:p>
        </w:tc>
        <w:tc>
          <w:tcPr>
            <w:tcW w:w="1165"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0.744</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440" w:type="dxa"/>
            <w:tcBorders>
              <w:top w:val="nil"/>
              <w:left w:val="nil"/>
              <w:bottom w:val="single" w:sz="4" w:space="0" w:color="auto"/>
              <w:right w:val="single" w:sz="4" w:space="0" w:color="auto"/>
            </w:tcBorders>
            <w:noWrap/>
            <w:vAlign w:val="bottom"/>
          </w:tcPr>
          <w:p w:rsidR="0079646D" w:rsidRPr="00074A56" w:rsidRDefault="0079646D" w:rsidP="00F93957">
            <w:pPr>
              <w:spacing w:after="0" w:line="240" w:lineRule="auto"/>
              <w:jc w:val="center"/>
              <w:rPr>
                <w:rFonts w:cs="Calibri"/>
                <w:color w:val="000000"/>
                <w:sz w:val="20"/>
              </w:rPr>
            </w:pPr>
            <w:r w:rsidRPr="000B185D">
              <w:rPr>
                <w:rFonts w:cs="Calibri"/>
                <w:color w:val="000000"/>
                <w:sz w:val="20"/>
              </w:rPr>
              <w:t>$11.2</w:t>
            </w:r>
          </w:p>
        </w:tc>
        <w:tc>
          <w:tcPr>
            <w:tcW w:w="1761" w:type="dxa"/>
            <w:gridSpan w:val="2"/>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15"/>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2024</w:t>
            </w:r>
          </w:p>
        </w:tc>
        <w:tc>
          <w:tcPr>
            <w:tcW w:w="1165"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0.722</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761" w:type="dxa"/>
            <w:gridSpan w:val="2"/>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2025</w:t>
            </w:r>
          </w:p>
        </w:tc>
        <w:tc>
          <w:tcPr>
            <w:tcW w:w="1165"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0.701</w:t>
            </w:r>
          </w:p>
        </w:tc>
        <w:tc>
          <w:tcPr>
            <w:tcW w:w="1350" w:type="dxa"/>
            <w:tcBorders>
              <w:top w:val="nil"/>
              <w:left w:val="nil"/>
              <w:bottom w:val="single" w:sz="4" w:space="0" w:color="auto"/>
              <w:right w:val="single" w:sz="4" w:space="0" w:color="auto"/>
            </w:tcBorders>
            <w:noWrap/>
            <w:vAlign w:val="bottom"/>
          </w:tcPr>
          <w:p w:rsidR="0079646D" w:rsidRPr="00074A56" w:rsidRDefault="0079646D" w:rsidP="00B45730">
            <w:pPr>
              <w:spacing w:after="0" w:line="240" w:lineRule="auto"/>
              <w:jc w:val="center"/>
              <w:rPr>
                <w:rFonts w:cs="Calibri"/>
                <w:color w:val="000000"/>
                <w:sz w:val="20"/>
              </w:rPr>
            </w:pPr>
            <w:r w:rsidRPr="000B185D">
              <w:rPr>
                <w:rFonts w:cs="Calibri"/>
                <w:color w:val="000000"/>
                <w:sz w:val="20"/>
              </w:rPr>
              <w:t>$10.5</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761" w:type="dxa"/>
            <w:gridSpan w:val="2"/>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gridAfter w:val="1"/>
          <w:wAfter w:w="591" w:type="dxa"/>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2026</w:t>
            </w:r>
          </w:p>
        </w:tc>
        <w:tc>
          <w:tcPr>
            <w:tcW w:w="1165"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0.681</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170" w:type="dxa"/>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gridAfter w:val="1"/>
          <w:wAfter w:w="591" w:type="dxa"/>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2027</w:t>
            </w:r>
          </w:p>
        </w:tc>
        <w:tc>
          <w:tcPr>
            <w:tcW w:w="1165"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0.661</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170" w:type="dxa"/>
            <w:tcBorders>
              <w:top w:val="nil"/>
              <w:left w:val="nil"/>
              <w:bottom w:val="nil"/>
              <w:right w:val="nil"/>
            </w:tcBorders>
            <w:noWrap/>
            <w:vAlign w:val="bottom"/>
          </w:tcPr>
          <w:p w:rsidR="0079646D" w:rsidRPr="00074A56" w:rsidRDefault="0079646D" w:rsidP="00074A56">
            <w:pPr>
              <w:spacing w:after="0" w:line="240" w:lineRule="auto"/>
              <w:jc w:val="center"/>
              <w:rPr>
                <w:rFonts w:cs="Calibri"/>
                <w:b/>
                <w:bCs/>
                <w:color w:val="000000"/>
                <w:sz w:val="20"/>
              </w:rPr>
            </w:pPr>
            <w:r w:rsidRPr="00074A56">
              <w:rPr>
                <w:rFonts w:cs="Calibri"/>
                <w:b/>
                <w:bCs/>
                <w:color w:val="000000"/>
                <w:sz w:val="20"/>
              </w:rPr>
              <w:t>Difference</w:t>
            </w:r>
          </w:p>
        </w:tc>
      </w:tr>
      <w:tr w:rsidR="0079646D" w:rsidRPr="000B185D">
        <w:trPr>
          <w:gridAfter w:val="1"/>
          <w:wAfter w:w="591" w:type="dxa"/>
          <w:trHeight w:val="300"/>
          <w:jc w:val="center"/>
        </w:trPr>
        <w:tc>
          <w:tcPr>
            <w:tcW w:w="0" w:type="auto"/>
            <w:tcBorders>
              <w:top w:val="nil"/>
              <w:left w:val="nil"/>
              <w:bottom w:val="nil"/>
              <w:right w:val="nil"/>
            </w:tcBorders>
            <w:noWrap/>
            <w:vAlign w:val="bottom"/>
          </w:tcPr>
          <w:p w:rsidR="0079646D" w:rsidRPr="00074A56" w:rsidRDefault="0079646D" w:rsidP="00074A56">
            <w:pPr>
              <w:spacing w:after="0" w:line="240" w:lineRule="auto"/>
              <w:rPr>
                <w:rFonts w:cs="Calibri"/>
                <w:b/>
                <w:bCs/>
                <w:color w:val="000000"/>
                <w:sz w:val="20"/>
              </w:rPr>
            </w:pPr>
            <w:r w:rsidRPr="00074A56">
              <w:rPr>
                <w:rFonts w:cs="Calibri"/>
                <w:b/>
                <w:bCs/>
                <w:color w:val="000000"/>
                <w:sz w:val="20"/>
              </w:rPr>
              <w:t>Total</w:t>
            </w:r>
          </w:p>
        </w:tc>
        <w:tc>
          <w:tcPr>
            <w:tcW w:w="1165" w:type="dxa"/>
            <w:tcBorders>
              <w:top w:val="nil"/>
              <w:left w:val="nil"/>
              <w:bottom w:val="nil"/>
              <w:right w:val="nil"/>
            </w:tcBorders>
            <w:noWrap/>
            <w:vAlign w:val="bottom"/>
          </w:tcPr>
          <w:p w:rsidR="0079646D" w:rsidRPr="00074A56" w:rsidRDefault="0079646D" w:rsidP="00074A56">
            <w:pPr>
              <w:spacing w:after="0" w:line="240" w:lineRule="auto"/>
              <w:rPr>
                <w:rFonts w:cs="Calibri"/>
                <w:b/>
                <w:bCs/>
                <w:color w:val="000000"/>
                <w:sz w:val="20"/>
              </w:rPr>
            </w:pPr>
          </w:p>
        </w:tc>
        <w:tc>
          <w:tcPr>
            <w:tcW w:w="1350" w:type="dxa"/>
            <w:tcBorders>
              <w:top w:val="nil"/>
              <w:left w:val="nil"/>
              <w:bottom w:val="nil"/>
              <w:right w:val="nil"/>
            </w:tcBorders>
            <w:noWrap/>
            <w:vAlign w:val="bottom"/>
          </w:tcPr>
          <w:p w:rsidR="0079646D" w:rsidRPr="00074A56" w:rsidRDefault="0079646D" w:rsidP="00B45730">
            <w:pPr>
              <w:spacing w:after="0" w:line="240" w:lineRule="auto"/>
              <w:jc w:val="center"/>
              <w:rPr>
                <w:rFonts w:cs="Calibri"/>
                <w:color w:val="000000"/>
                <w:sz w:val="20"/>
              </w:rPr>
            </w:pPr>
            <w:r w:rsidRPr="000D45AB">
              <w:rPr>
                <w:rFonts w:cs="Calibri"/>
                <w:color w:val="000000"/>
                <w:sz w:val="20"/>
              </w:rPr>
              <w:t>$63.2</w:t>
            </w:r>
          </w:p>
        </w:tc>
        <w:tc>
          <w:tcPr>
            <w:tcW w:w="1440" w:type="dxa"/>
            <w:tcBorders>
              <w:top w:val="nil"/>
              <w:left w:val="nil"/>
              <w:bottom w:val="nil"/>
              <w:right w:val="nil"/>
            </w:tcBorders>
            <w:noWrap/>
            <w:vAlign w:val="bottom"/>
          </w:tcPr>
          <w:p w:rsidR="0079646D" w:rsidRPr="00074A56" w:rsidRDefault="0079646D" w:rsidP="00F93957">
            <w:pPr>
              <w:spacing w:after="0" w:line="240" w:lineRule="auto"/>
              <w:jc w:val="center"/>
              <w:rPr>
                <w:rFonts w:cs="Calibri"/>
                <w:color w:val="000000"/>
                <w:sz w:val="20"/>
              </w:rPr>
            </w:pPr>
            <w:r w:rsidRPr="000D45AB">
              <w:rPr>
                <w:rFonts w:cs="Calibri"/>
                <w:color w:val="000000"/>
                <w:sz w:val="20"/>
              </w:rPr>
              <w:t>$39.1</w:t>
            </w:r>
          </w:p>
        </w:tc>
        <w:tc>
          <w:tcPr>
            <w:tcW w:w="1170" w:type="dxa"/>
            <w:tcBorders>
              <w:top w:val="nil"/>
              <w:left w:val="nil"/>
              <w:bottom w:val="nil"/>
              <w:right w:val="nil"/>
            </w:tcBorders>
            <w:noWrap/>
            <w:vAlign w:val="bottom"/>
          </w:tcPr>
          <w:p w:rsidR="0079646D" w:rsidRPr="00074A56" w:rsidRDefault="0079646D" w:rsidP="000D45AB">
            <w:pPr>
              <w:spacing w:after="0" w:line="240" w:lineRule="auto"/>
              <w:jc w:val="center"/>
              <w:rPr>
                <w:rFonts w:cs="Calibri"/>
                <w:color w:val="000000"/>
                <w:sz w:val="20"/>
              </w:rPr>
            </w:pPr>
            <w:r w:rsidRPr="00074A56">
              <w:rPr>
                <w:rFonts w:cs="Calibri"/>
                <w:color w:val="000000"/>
                <w:sz w:val="20"/>
              </w:rPr>
              <w:t>$</w:t>
            </w:r>
            <w:r>
              <w:rPr>
                <w:rFonts w:cs="Calibri"/>
                <w:color w:val="000000"/>
                <w:sz w:val="20"/>
              </w:rPr>
              <w:t>24.1</w:t>
            </w:r>
          </w:p>
        </w:tc>
      </w:tr>
      <w:tr w:rsidR="0079646D" w:rsidRPr="000B185D">
        <w:trPr>
          <w:gridAfter w:val="1"/>
          <w:wAfter w:w="591" w:type="dxa"/>
          <w:trHeight w:val="300"/>
          <w:jc w:val="center"/>
        </w:trPr>
        <w:tc>
          <w:tcPr>
            <w:tcW w:w="5765" w:type="dxa"/>
            <w:gridSpan w:val="5"/>
            <w:tcBorders>
              <w:top w:val="nil"/>
              <w:left w:val="nil"/>
              <w:bottom w:val="nil"/>
            </w:tcBorders>
            <w:noWrap/>
            <w:vAlign w:val="bottom"/>
          </w:tcPr>
          <w:p w:rsidR="0079646D" w:rsidRPr="009002F3" w:rsidRDefault="0079646D" w:rsidP="009002F3">
            <w:pPr>
              <w:spacing w:after="0" w:line="240" w:lineRule="auto"/>
              <w:rPr>
                <w:rFonts w:cs="Calibri"/>
                <w:color w:val="000000"/>
                <w:sz w:val="16"/>
              </w:rPr>
            </w:pPr>
            <w:r w:rsidRPr="009002F3">
              <w:rPr>
                <w:rFonts w:cs="Calibri"/>
                <w:color w:val="000000"/>
                <w:sz w:val="16"/>
              </w:rPr>
              <w:t xml:space="preserve">*- </w:t>
            </w:r>
            <w:r>
              <w:rPr>
                <w:rFonts w:cs="Calibri"/>
                <w:color w:val="000000"/>
                <w:sz w:val="16"/>
              </w:rPr>
              <w:t xml:space="preserve">Discount values were calculated by multiplying one year Mitigation Plan Update cost savings </w:t>
            </w:r>
            <w:r w:rsidRPr="000B185D">
              <w:rPr>
                <w:sz w:val="16"/>
              </w:rPr>
              <w:t>$14,993,120 by associated discount factor.</w:t>
            </w:r>
          </w:p>
        </w:tc>
      </w:tr>
    </w:tbl>
    <w:p w:rsidR="0079646D" w:rsidRDefault="0079646D" w:rsidP="00074A56"/>
    <w:p w:rsidR="0079646D" w:rsidRDefault="0079646D">
      <w:r>
        <w:br w:type="page"/>
      </w:r>
    </w:p>
    <w:p w:rsidR="0079646D" w:rsidRDefault="006E36A7" w:rsidP="00074A56">
      <w:r>
        <w:lastRenderedPageBreak/>
        <w:fldChar w:fldCharType="begin"/>
      </w:r>
      <w:r w:rsidR="0079646D">
        <w:instrText xml:space="preserve"> REF _Ref327510702 \h </w:instrText>
      </w:r>
      <w:r>
        <w:fldChar w:fldCharType="separate"/>
      </w:r>
      <w:r w:rsidR="003C6FB6">
        <w:t xml:space="preserve">Table </w:t>
      </w:r>
      <w:r w:rsidR="003C6FB6">
        <w:rPr>
          <w:noProof/>
        </w:rPr>
        <w:t>13</w:t>
      </w:r>
      <w:r>
        <w:fldChar w:fldCharType="end"/>
      </w:r>
      <w:r w:rsidR="0079646D">
        <w:t xml:space="preserve"> shows 15 year costs discounted at 7 percent.  The estimated 15 year cost of plan updates every 3 years discounted at 7 percent is approximately $</w:t>
      </w:r>
      <w:r w:rsidR="00AF71FD">
        <w:t>52.1</w:t>
      </w:r>
      <w:r w:rsidR="0079646D">
        <w:t xml:space="preserve"> million.  The estimated 15 year cost of plan updates every 5 years discounted at 7 percent is approximately $33.</w:t>
      </w:r>
      <w:r w:rsidR="00ED447D">
        <w:t>3</w:t>
      </w:r>
      <w:r w:rsidR="00AF71FD">
        <w:t xml:space="preserve"> </w:t>
      </w:r>
      <w:r w:rsidR="0079646D">
        <w:t xml:space="preserve">million.  The resulting cost savings of the proposed rule discounted at </w:t>
      </w:r>
      <w:r w:rsidR="009040B8">
        <w:t xml:space="preserve">7 </w:t>
      </w:r>
      <w:r w:rsidR="0079646D">
        <w:t>percent is approximately $18.</w:t>
      </w:r>
      <w:r w:rsidR="00AF71FD">
        <w:t xml:space="preserve">8 </w:t>
      </w:r>
      <w:r w:rsidR="0079646D">
        <w:t xml:space="preserve">million.  </w:t>
      </w:r>
    </w:p>
    <w:p w:rsidR="0079646D" w:rsidRDefault="0079646D" w:rsidP="00074A56">
      <w:pPr>
        <w:pStyle w:val="Caption"/>
        <w:keepLines/>
        <w:spacing w:after="0"/>
      </w:pPr>
      <w:r>
        <w:t xml:space="preserve">      </w:t>
      </w:r>
      <w:bookmarkStart w:id="13" w:name="_Ref327510702"/>
      <w:r>
        <w:t xml:space="preserve">Table </w:t>
      </w:r>
      <w:r w:rsidR="006E36A7">
        <w:fldChar w:fldCharType="begin"/>
      </w:r>
      <w:r w:rsidR="009B6DC1">
        <w:instrText xml:space="preserve"> SEQ Table \* ARABIC </w:instrText>
      </w:r>
      <w:r w:rsidR="006E36A7">
        <w:fldChar w:fldCharType="separate"/>
      </w:r>
      <w:r w:rsidR="003C6FB6">
        <w:rPr>
          <w:noProof/>
        </w:rPr>
        <w:t>13</w:t>
      </w:r>
      <w:r w:rsidR="006E36A7">
        <w:rPr>
          <w:noProof/>
        </w:rPr>
        <w:fldChar w:fldCharType="end"/>
      </w:r>
      <w:bookmarkEnd w:id="13"/>
      <w:r>
        <w:t xml:space="preserve">:  Plan Update Costs Discounted at 7 Percent Over 15 Years </w:t>
      </w:r>
      <w:r w:rsidRPr="00117381">
        <w:rPr>
          <w:sz w:val="20"/>
        </w:rPr>
        <w:t>(in millions of dollars)</w:t>
      </w:r>
    </w:p>
    <w:tbl>
      <w:tblPr>
        <w:tblW w:w="0" w:type="auto"/>
        <w:jc w:val="center"/>
        <w:tblInd w:w="103" w:type="dxa"/>
        <w:tblLook w:val="00A0" w:firstRow="1" w:lastRow="0" w:firstColumn="1" w:lastColumn="0" w:noHBand="0" w:noVBand="0"/>
      </w:tblPr>
      <w:tblGrid>
        <w:gridCol w:w="640"/>
        <w:gridCol w:w="1188"/>
        <w:gridCol w:w="1350"/>
        <w:gridCol w:w="1440"/>
        <w:gridCol w:w="1170"/>
      </w:tblGrid>
      <w:tr w:rsidR="0079646D" w:rsidRPr="000B185D">
        <w:trPr>
          <w:trHeight w:val="780"/>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b/>
                <w:bCs/>
                <w:color w:val="000000"/>
                <w:sz w:val="20"/>
              </w:rPr>
            </w:pPr>
            <w:r w:rsidRPr="00074A56">
              <w:rPr>
                <w:rFonts w:cs="Calibri"/>
                <w:b/>
                <w:bCs/>
                <w:color w:val="000000"/>
                <w:sz w:val="20"/>
              </w:rPr>
              <w:t>Year</w:t>
            </w:r>
          </w:p>
        </w:tc>
        <w:tc>
          <w:tcPr>
            <w:tcW w:w="1188" w:type="dxa"/>
            <w:tcBorders>
              <w:top w:val="single" w:sz="4" w:space="0" w:color="auto"/>
              <w:left w:val="nil"/>
              <w:bottom w:val="single" w:sz="4" w:space="0" w:color="auto"/>
              <w:right w:val="single" w:sz="4" w:space="0" w:color="auto"/>
            </w:tcBorders>
            <w:vAlign w:val="bottom"/>
          </w:tcPr>
          <w:p w:rsidR="0079646D" w:rsidRPr="00074A56" w:rsidRDefault="0079646D" w:rsidP="00074A56">
            <w:pPr>
              <w:spacing w:after="0" w:line="240" w:lineRule="auto"/>
              <w:jc w:val="center"/>
              <w:rPr>
                <w:rFonts w:cs="Calibri"/>
                <w:b/>
                <w:bCs/>
                <w:color w:val="000000"/>
                <w:sz w:val="20"/>
              </w:rPr>
            </w:pPr>
            <w:r w:rsidRPr="00074A56">
              <w:rPr>
                <w:rFonts w:cs="Calibri"/>
                <w:b/>
                <w:bCs/>
                <w:color w:val="000000"/>
                <w:sz w:val="20"/>
              </w:rPr>
              <w:t xml:space="preserve">Discount Factor </w:t>
            </w:r>
            <w:r w:rsidRPr="00074A56">
              <w:rPr>
                <w:rFonts w:cs="Calibri"/>
                <w:color w:val="000000"/>
                <w:sz w:val="20"/>
              </w:rPr>
              <w:t>(7%)</w:t>
            </w:r>
            <w:r w:rsidRPr="00074A56">
              <w:rPr>
                <w:rFonts w:cs="Calibri"/>
                <w:b/>
                <w:bCs/>
                <w:color w:val="000000"/>
                <w:sz w:val="20"/>
              </w:rPr>
              <w:t xml:space="preserve"> </w:t>
            </w:r>
          </w:p>
        </w:tc>
        <w:tc>
          <w:tcPr>
            <w:tcW w:w="1350" w:type="dxa"/>
            <w:tcBorders>
              <w:top w:val="single" w:sz="4" w:space="0" w:color="auto"/>
              <w:left w:val="nil"/>
              <w:bottom w:val="nil"/>
              <w:right w:val="single" w:sz="4" w:space="0" w:color="auto"/>
            </w:tcBorders>
            <w:vAlign w:val="bottom"/>
          </w:tcPr>
          <w:p w:rsidR="0079646D" w:rsidRPr="00074A56" w:rsidRDefault="0079646D" w:rsidP="00074A56">
            <w:pPr>
              <w:spacing w:after="0" w:line="240" w:lineRule="auto"/>
              <w:jc w:val="center"/>
              <w:rPr>
                <w:rFonts w:cs="Calibri"/>
                <w:b/>
                <w:bCs/>
                <w:color w:val="000000"/>
                <w:sz w:val="20"/>
              </w:rPr>
            </w:pPr>
            <w:r w:rsidRPr="00074A56">
              <w:rPr>
                <w:rFonts w:cs="Calibri"/>
                <w:b/>
                <w:bCs/>
                <w:color w:val="000000"/>
                <w:sz w:val="20"/>
              </w:rPr>
              <w:t>Baseline</w:t>
            </w:r>
            <w:r>
              <w:rPr>
                <w:rFonts w:cs="Calibri"/>
                <w:b/>
                <w:bCs/>
                <w:color w:val="000000"/>
                <w:sz w:val="20"/>
              </w:rPr>
              <w:t>*</w:t>
            </w:r>
            <w:r w:rsidRPr="00074A56">
              <w:rPr>
                <w:rFonts w:cs="Calibri"/>
                <w:b/>
                <w:bCs/>
                <w:color w:val="000000"/>
                <w:sz w:val="20"/>
              </w:rPr>
              <w:t xml:space="preserve"> </w:t>
            </w:r>
            <w:r w:rsidRPr="00074A56">
              <w:rPr>
                <w:rFonts w:cs="Calibri"/>
                <w:b/>
                <w:bCs/>
                <w:color w:val="000000"/>
                <w:sz w:val="20"/>
              </w:rPr>
              <w:br/>
            </w:r>
            <w:r w:rsidRPr="00074A56">
              <w:rPr>
                <w:rFonts w:cs="Calibri"/>
                <w:color w:val="000000"/>
                <w:sz w:val="20"/>
              </w:rPr>
              <w:t>(3 year cycle)</w:t>
            </w:r>
          </w:p>
        </w:tc>
        <w:tc>
          <w:tcPr>
            <w:tcW w:w="1440" w:type="dxa"/>
            <w:tcBorders>
              <w:top w:val="single" w:sz="4" w:space="0" w:color="auto"/>
              <w:left w:val="nil"/>
              <w:bottom w:val="nil"/>
              <w:right w:val="single" w:sz="4" w:space="0" w:color="auto"/>
            </w:tcBorders>
            <w:vAlign w:val="bottom"/>
          </w:tcPr>
          <w:p w:rsidR="0079646D" w:rsidRPr="00074A56" w:rsidRDefault="0079646D" w:rsidP="00074A56">
            <w:pPr>
              <w:spacing w:after="0" w:line="240" w:lineRule="auto"/>
              <w:jc w:val="center"/>
              <w:rPr>
                <w:rFonts w:cs="Calibri"/>
                <w:b/>
                <w:bCs/>
                <w:color w:val="000000"/>
                <w:sz w:val="20"/>
              </w:rPr>
            </w:pPr>
            <w:r w:rsidRPr="00074A56">
              <w:rPr>
                <w:rFonts w:cs="Calibri"/>
                <w:b/>
                <w:bCs/>
                <w:color w:val="000000"/>
                <w:sz w:val="20"/>
              </w:rPr>
              <w:t>Proposed Rule</w:t>
            </w:r>
            <w:r>
              <w:rPr>
                <w:rFonts w:cs="Calibri"/>
                <w:b/>
                <w:bCs/>
                <w:color w:val="000000"/>
                <w:sz w:val="20"/>
              </w:rPr>
              <w:t>*</w:t>
            </w:r>
            <w:r w:rsidRPr="00074A56">
              <w:rPr>
                <w:rFonts w:cs="Calibri"/>
                <w:b/>
                <w:bCs/>
                <w:color w:val="000000"/>
                <w:sz w:val="20"/>
              </w:rPr>
              <w:t xml:space="preserve"> </w:t>
            </w:r>
            <w:r w:rsidRPr="00074A56">
              <w:rPr>
                <w:rFonts w:cs="Calibri"/>
                <w:b/>
                <w:bCs/>
                <w:color w:val="000000"/>
                <w:sz w:val="20"/>
              </w:rPr>
              <w:br/>
            </w:r>
            <w:r w:rsidRPr="00074A56">
              <w:rPr>
                <w:rFonts w:cs="Calibri"/>
                <w:color w:val="000000"/>
                <w:sz w:val="20"/>
              </w:rPr>
              <w:t>(5 year cycle)</w:t>
            </w:r>
          </w:p>
        </w:tc>
        <w:tc>
          <w:tcPr>
            <w:tcW w:w="1170" w:type="dxa"/>
            <w:tcBorders>
              <w:top w:val="nil"/>
              <w:left w:val="nil"/>
              <w:bottom w:val="nil"/>
              <w:right w:val="nil"/>
            </w:tcBorders>
            <w:noWrap/>
            <w:vAlign w:val="bottom"/>
          </w:tcPr>
          <w:p w:rsidR="0079646D" w:rsidRPr="00074A56" w:rsidRDefault="0079646D" w:rsidP="00074A56">
            <w:pPr>
              <w:spacing w:after="0" w:line="240" w:lineRule="auto"/>
              <w:rPr>
                <w:rFonts w:cs="Calibri"/>
                <w:color w:val="00000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2013</w:t>
            </w:r>
          </w:p>
        </w:tc>
        <w:tc>
          <w:tcPr>
            <w:tcW w:w="1188"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1</w:t>
            </w:r>
          </w:p>
        </w:tc>
        <w:tc>
          <w:tcPr>
            <w:tcW w:w="1350" w:type="dxa"/>
            <w:tcBorders>
              <w:top w:val="single" w:sz="4" w:space="0" w:color="auto"/>
              <w:left w:val="nil"/>
              <w:bottom w:val="single" w:sz="4" w:space="0" w:color="auto"/>
              <w:right w:val="single" w:sz="4" w:space="0" w:color="auto"/>
            </w:tcBorders>
            <w:noWrap/>
            <w:vAlign w:val="bottom"/>
          </w:tcPr>
          <w:p w:rsidR="0079646D" w:rsidRPr="00074A56" w:rsidRDefault="0079646D" w:rsidP="00F93957">
            <w:pPr>
              <w:spacing w:after="0" w:line="240" w:lineRule="auto"/>
              <w:jc w:val="center"/>
              <w:rPr>
                <w:rFonts w:cs="Calibri"/>
                <w:color w:val="000000"/>
                <w:sz w:val="20"/>
              </w:rPr>
            </w:pPr>
            <w:r w:rsidRPr="000B185D">
              <w:rPr>
                <w:rFonts w:cs="Calibri"/>
                <w:color w:val="000000"/>
                <w:sz w:val="20"/>
              </w:rPr>
              <w:t>$15.0</w:t>
            </w:r>
          </w:p>
        </w:tc>
        <w:tc>
          <w:tcPr>
            <w:tcW w:w="1440" w:type="dxa"/>
            <w:tcBorders>
              <w:top w:val="single" w:sz="4" w:space="0" w:color="auto"/>
              <w:left w:val="nil"/>
              <w:bottom w:val="single" w:sz="4" w:space="0" w:color="auto"/>
              <w:right w:val="single" w:sz="4" w:space="0" w:color="auto"/>
            </w:tcBorders>
            <w:noWrap/>
            <w:vAlign w:val="bottom"/>
          </w:tcPr>
          <w:p w:rsidR="0079646D" w:rsidRPr="00074A56" w:rsidRDefault="0079646D" w:rsidP="00F93957">
            <w:pPr>
              <w:spacing w:after="0" w:line="240" w:lineRule="auto"/>
              <w:jc w:val="center"/>
              <w:rPr>
                <w:rFonts w:cs="Calibri"/>
                <w:color w:val="000000"/>
                <w:sz w:val="20"/>
              </w:rPr>
            </w:pPr>
            <w:r w:rsidRPr="000B185D">
              <w:rPr>
                <w:rFonts w:cs="Calibri"/>
                <w:color w:val="000000"/>
                <w:sz w:val="20"/>
              </w:rPr>
              <w:t>$15.0</w:t>
            </w:r>
          </w:p>
        </w:tc>
        <w:tc>
          <w:tcPr>
            <w:tcW w:w="1170" w:type="dxa"/>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2014</w:t>
            </w:r>
          </w:p>
        </w:tc>
        <w:tc>
          <w:tcPr>
            <w:tcW w:w="1188"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0.935</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170" w:type="dxa"/>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2015</w:t>
            </w:r>
          </w:p>
        </w:tc>
        <w:tc>
          <w:tcPr>
            <w:tcW w:w="1188"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0.873</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170" w:type="dxa"/>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2016</w:t>
            </w:r>
          </w:p>
        </w:tc>
        <w:tc>
          <w:tcPr>
            <w:tcW w:w="1188"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0.816</w:t>
            </w:r>
          </w:p>
        </w:tc>
        <w:tc>
          <w:tcPr>
            <w:tcW w:w="1350" w:type="dxa"/>
            <w:tcBorders>
              <w:top w:val="nil"/>
              <w:left w:val="nil"/>
              <w:bottom w:val="single" w:sz="4" w:space="0" w:color="auto"/>
              <w:right w:val="single" w:sz="4" w:space="0" w:color="auto"/>
            </w:tcBorders>
            <w:noWrap/>
            <w:vAlign w:val="bottom"/>
          </w:tcPr>
          <w:p w:rsidR="0079646D" w:rsidRPr="00074A56" w:rsidRDefault="0079646D" w:rsidP="00620F48">
            <w:pPr>
              <w:spacing w:after="0" w:line="240" w:lineRule="auto"/>
              <w:jc w:val="center"/>
              <w:rPr>
                <w:rFonts w:cs="Calibri"/>
                <w:color w:val="000000"/>
                <w:sz w:val="20"/>
              </w:rPr>
            </w:pPr>
            <w:r w:rsidRPr="000B185D">
              <w:rPr>
                <w:rFonts w:cs="Calibri"/>
                <w:color w:val="000000"/>
                <w:sz w:val="20"/>
              </w:rPr>
              <w:t>$12.2</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170" w:type="dxa"/>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2017</w:t>
            </w:r>
          </w:p>
        </w:tc>
        <w:tc>
          <w:tcPr>
            <w:tcW w:w="1188"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0.763</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170" w:type="dxa"/>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15"/>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2018</w:t>
            </w:r>
          </w:p>
        </w:tc>
        <w:tc>
          <w:tcPr>
            <w:tcW w:w="1188"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0.713</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440" w:type="dxa"/>
            <w:tcBorders>
              <w:top w:val="nil"/>
              <w:left w:val="nil"/>
              <w:bottom w:val="single" w:sz="4" w:space="0" w:color="auto"/>
              <w:right w:val="single" w:sz="4" w:space="0" w:color="auto"/>
            </w:tcBorders>
            <w:noWrap/>
            <w:vAlign w:val="bottom"/>
          </w:tcPr>
          <w:p w:rsidR="0079646D" w:rsidRPr="00074A56" w:rsidRDefault="0079646D" w:rsidP="00F93957">
            <w:pPr>
              <w:spacing w:after="0" w:line="240" w:lineRule="auto"/>
              <w:jc w:val="center"/>
              <w:rPr>
                <w:rFonts w:cs="Calibri"/>
                <w:color w:val="000000"/>
                <w:sz w:val="20"/>
              </w:rPr>
            </w:pPr>
            <w:r w:rsidRPr="000B185D">
              <w:rPr>
                <w:rFonts w:cs="Calibri"/>
                <w:color w:val="000000"/>
                <w:sz w:val="20"/>
              </w:rPr>
              <w:t>$10.7</w:t>
            </w:r>
          </w:p>
        </w:tc>
        <w:tc>
          <w:tcPr>
            <w:tcW w:w="1170" w:type="dxa"/>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2019</w:t>
            </w:r>
          </w:p>
        </w:tc>
        <w:tc>
          <w:tcPr>
            <w:tcW w:w="1188"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0.666</w:t>
            </w:r>
          </w:p>
        </w:tc>
        <w:tc>
          <w:tcPr>
            <w:tcW w:w="1350" w:type="dxa"/>
            <w:tcBorders>
              <w:top w:val="nil"/>
              <w:left w:val="nil"/>
              <w:bottom w:val="single" w:sz="4" w:space="0" w:color="auto"/>
              <w:right w:val="single" w:sz="4" w:space="0" w:color="auto"/>
            </w:tcBorders>
            <w:noWrap/>
            <w:vAlign w:val="bottom"/>
          </w:tcPr>
          <w:p w:rsidR="0079646D" w:rsidRPr="00074A56" w:rsidRDefault="0079646D" w:rsidP="00F93957">
            <w:pPr>
              <w:spacing w:after="0" w:line="240" w:lineRule="auto"/>
              <w:jc w:val="center"/>
              <w:rPr>
                <w:rFonts w:cs="Calibri"/>
                <w:color w:val="000000"/>
                <w:sz w:val="20"/>
              </w:rPr>
            </w:pPr>
            <w:r w:rsidRPr="000B185D">
              <w:rPr>
                <w:rFonts w:cs="Calibri"/>
                <w:color w:val="000000"/>
                <w:sz w:val="20"/>
              </w:rPr>
              <w:t>$10.0</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170" w:type="dxa"/>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2020</w:t>
            </w:r>
          </w:p>
        </w:tc>
        <w:tc>
          <w:tcPr>
            <w:tcW w:w="1188"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0.623</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170" w:type="dxa"/>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2021</w:t>
            </w:r>
          </w:p>
        </w:tc>
        <w:tc>
          <w:tcPr>
            <w:tcW w:w="1188"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0.582</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170" w:type="dxa"/>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2022</w:t>
            </w:r>
          </w:p>
        </w:tc>
        <w:tc>
          <w:tcPr>
            <w:tcW w:w="1188"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0.544</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$8.2</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170" w:type="dxa"/>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2023</w:t>
            </w:r>
          </w:p>
        </w:tc>
        <w:tc>
          <w:tcPr>
            <w:tcW w:w="1188"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0.508</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$7.6</w:t>
            </w:r>
          </w:p>
        </w:tc>
        <w:tc>
          <w:tcPr>
            <w:tcW w:w="1170" w:type="dxa"/>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15"/>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2024</w:t>
            </w:r>
          </w:p>
        </w:tc>
        <w:tc>
          <w:tcPr>
            <w:tcW w:w="1188"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0.475</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170" w:type="dxa"/>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2025</w:t>
            </w:r>
          </w:p>
        </w:tc>
        <w:tc>
          <w:tcPr>
            <w:tcW w:w="1188"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0.444</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$6.7</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170" w:type="dxa"/>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2026</w:t>
            </w:r>
          </w:p>
        </w:tc>
        <w:tc>
          <w:tcPr>
            <w:tcW w:w="1188"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0.415</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170" w:type="dxa"/>
            <w:tcBorders>
              <w:top w:val="nil"/>
              <w:left w:val="nil"/>
              <w:bottom w:val="nil"/>
              <w:right w:val="nil"/>
            </w:tcBorders>
            <w:noWrap/>
            <w:vAlign w:val="bottom"/>
          </w:tcPr>
          <w:p w:rsidR="0079646D" w:rsidRPr="00074A56" w:rsidRDefault="0079646D" w:rsidP="00074A56">
            <w:pPr>
              <w:spacing w:after="0" w:line="240" w:lineRule="auto"/>
              <w:rPr>
                <w:rFonts w:cs="Calibri"/>
                <w:color w:val="000000"/>
                <w:sz w:val="20"/>
              </w:rPr>
            </w:pPr>
          </w:p>
        </w:tc>
      </w:tr>
      <w:tr w:rsidR="0079646D" w:rsidRPr="000B185D">
        <w:trPr>
          <w:trHeight w:val="300"/>
          <w:jc w:val="center"/>
        </w:trPr>
        <w:tc>
          <w:tcPr>
            <w:tcW w:w="0" w:type="auto"/>
            <w:tcBorders>
              <w:top w:val="nil"/>
              <w:left w:val="single" w:sz="4" w:space="0" w:color="auto"/>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2027</w:t>
            </w:r>
          </w:p>
        </w:tc>
        <w:tc>
          <w:tcPr>
            <w:tcW w:w="1188"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74A56">
              <w:rPr>
                <w:rFonts w:cs="Calibri"/>
                <w:color w:val="000000"/>
                <w:sz w:val="20"/>
              </w:rPr>
              <w:t>0.388</w:t>
            </w:r>
          </w:p>
        </w:tc>
        <w:tc>
          <w:tcPr>
            <w:tcW w:w="135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440" w:type="dxa"/>
            <w:tcBorders>
              <w:top w:val="nil"/>
              <w:left w:val="nil"/>
              <w:bottom w:val="single" w:sz="4" w:space="0" w:color="auto"/>
              <w:right w:val="single" w:sz="4" w:space="0" w:color="auto"/>
            </w:tcBorders>
            <w:noWrap/>
            <w:vAlign w:val="bottom"/>
          </w:tcPr>
          <w:p w:rsidR="0079646D" w:rsidRPr="00074A56" w:rsidRDefault="0079646D" w:rsidP="00074A56">
            <w:pPr>
              <w:spacing w:after="0" w:line="240" w:lineRule="auto"/>
              <w:jc w:val="center"/>
              <w:rPr>
                <w:rFonts w:cs="Calibri"/>
                <w:color w:val="000000"/>
                <w:sz w:val="20"/>
              </w:rPr>
            </w:pPr>
            <w:r w:rsidRPr="000B185D">
              <w:rPr>
                <w:rFonts w:cs="Calibri"/>
                <w:color w:val="000000"/>
                <w:sz w:val="20"/>
              </w:rPr>
              <w:t>$0.0</w:t>
            </w:r>
          </w:p>
        </w:tc>
        <w:tc>
          <w:tcPr>
            <w:tcW w:w="1170" w:type="dxa"/>
            <w:tcBorders>
              <w:top w:val="nil"/>
              <w:left w:val="nil"/>
              <w:bottom w:val="nil"/>
              <w:right w:val="nil"/>
            </w:tcBorders>
            <w:noWrap/>
            <w:vAlign w:val="bottom"/>
          </w:tcPr>
          <w:p w:rsidR="0079646D" w:rsidRPr="00074A56" w:rsidRDefault="0079646D" w:rsidP="00074A56">
            <w:pPr>
              <w:spacing w:after="0" w:line="240" w:lineRule="auto"/>
              <w:jc w:val="center"/>
              <w:rPr>
                <w:rFonts w:cs="Calibri"/>
                <w:b/>
                <w:bCs/>
                <w:color w:val="000000"/>
                <w:sz w:val="20"/>
              </w:rPr>
            </w:pPr>
            <w:r w:rsidRPr="00074A56">
              <w:rPr>
                <w:rFonts w:cs="Calibri"/>
                <w:b/>
                <w:bCs/>
                <w:color w:val="000000"/>
                <w:sz w:val="20"/>
              </w:rPr>
              <w:t>Difference</w:t>
            </w:r>
          </w:p>
        </w:tc>
      </w:tr>
      <w:tr w:rsidR="0079646D" w:rsidRPr="000B185D">
        <w:trPr>
          <w:trHeight w:val="300"/>
          <w:jc w:val="center"/>
        </w:trPr>
        <w:tc>
          <w:tcPr>
            <w:tcW w:w="0" w:type="auto"/>
            <w:tcBorders>
              <w:top w:val="nil"/>
              <w:left w:val="nil"/>
              <w:bottom w:val="nil"/>
              <w:right w:val="nil"/>
            </w:tcBorders>
            <w:noWrap/>
            <w:vAlign w:val="bottom"/>
          </w:tcPr>
          <w:p w:rsidR="0079646D" w:rsidRPr="00074A56" w:rsidRDefault="0079646D" w:rsidP="00074A56">
            <w:pPr>
              <w:spacing w:after="0" w:line="240" w:lineRule="auto"/>
              <w:rPr>
                <w:rFonts w:cs="Calibri"/>
                <w:b/>
                <w:bCs/>
                <w:color w:val="000000"/>
                <w:sz w:val="20"/>
              </w:rPr>
            </w:pPr>
            <w:r w:rsidRPr="00074A56">
              <w:rPr>
                <w:rFonts w:cs="Calibri"/>
                <w:b/>
                <w:bCs/>
                <w:color w:val="000000"/>
                <w:sz w:val="20"/>
              </w:rPr>
              <w:t>Total</w:t>
            </w:r>
          </w:p>
        </w:tc>
        <w:tc>
          <w:tcPr>
            <w:tcW w:w="1188" w:type="dxa"/>
            <w:tcBorders>
              <w:top w:val="nil"/>
              <w:left w:val="nil"/>
              <w:bottom w:val="nil"/>
              <w:right w:val="nil"/>
            </w:tcBorders>
            <w:noWrap/>
            <w:vAlign w:val="bottom"/>
          </w:tcPr>
          <w:p w:rsidR="0079646D" w:rsidRPr="00074A56" w:rsidRDefault="0079646D" w:rsidP="00074A56">
            <w:pPr>
              <w:spacing w:after="0" w:line="240" w:lineRule="auto"/>
              <w:rPr>
                <w:rFonts w:cs="Calibri"/>
                <w:b/>
                <w:bCs/>
                <w:color w:val="000000"/>
                <w:sz w:val="20"/>
              </w:rPr>
            </w:pPr>
          </w:p>
        </w:tc>
        <w:tc>
          <w:tcPr>
            <w:tcW w:w="1350" w:type="dxa"/>
            <w:tcBorders>
              <w:top w:val="nil"/>
              <w:left w:val="nil"/>
              <w:bottom w:val="nil"/>
              <w:right w:val="nil"/>
            </w:tcBorders>
            <w:noWrap/>
            <w:vAlign w:val="bottom"/>
          </w:tcPr>
          <w:p w:rsidR="0079646D" w:rsidRPr="00074A56" w:rsidRDefault="0079646D" w:rsidP="00F93957">
            <w:pPr>
              <w:spacing w:after="0" w:line="240" w:lineRule="auto"/>
              <w:jc w:val="center"/>
              <w:rPr>
                <w:rFonts w:cs="Calibri"/>
                <w:color w:val="000000"/>
                <w:sz w:val="20"/>
              </w:rPr>
            </w:pPr>
            <w:r w:rsidRPr="000B185D">
              <w:rPr>
                <w:rFonts w:cs="Calibri"/>
                <w:color w:val="000000"/>
                <w:sz w:val="20"/>
              </w:rPr>
              <w:t>$52.1</w:t>
            </w:r>
          </w:p>
        </w:tc>
        <w:tc>
          <w:tcPr>
            <w:tcW w:w="1440" w:type="dxa"/>
            <w:tcBorders>
              <w:top w:val="nil"/>
              <w:left w:val="nil"/>
              <w:bottom w:val="nil"/>
              <w:right w:val="nil"/>
            </w:tcBorders>
            <w:noWrap/>
            <w:vAlign w:val="bottom"/>
          </w:tcPr>
          <w:p w:rsidR="0079646D" w:rsidRPr="00074A56" w:rsidRDefault="0079646D" w:rsidP="00F93957">
            <w:pPr>
              <w:spacing w:after="0" w:line="240" w:lineRule="auto"/>
              <w:jc w:val="center"/>
              <w:rPr>
                <w:rFonts w:cs="Calibri"/>
                <w:color w:val="000000"/>
                <w:sz w:val="20"/>
              </w:rPr>
            </w:pPr>
            <w:r w:rsidRPr="000B185D">
              <w:rPr>
                <w:rFonts w:cs="Calibri"/>
                <w:color w:val="000000"/>
                <w:sz w:val="20"/>
              </w:rPr>
              <w:t>$33.3</w:t>
            </w:r>
          </w:p>
        </w:tc>
        <w:tc>
          <w:tcPr>
            <w:tcW w:w="1170" w:type="dxa"/>
            <w:tcBorders>
              <w:top w:val="nil"/>
              <w:left w:val="nil"/>
              <w:bottom w:val="nil"/>
              <w:right w:val="nil"/>
            </w:tcBorders>
            <w:noWrap/>
            <w:vAlign w:val="bottom"/>
          </w:tcPr>
          <w:p w:rsidR="0079646D" w:rsidRPr="00074A56" w:rsidRDefault="0079646D" w:rsidP="00F93957">
            <w:pPr>
              <w:spacing w:after="0" w:line="240" w:lineRule="auto"/>
              <w:jc w:val="center"/>
              <w:rPr>
                <w:rFonts w:cs="Calibri"/>
                <w:color w:val="000000"/>
                <w:sz w:val="20"/>
              </w:rPr>
            </w:pPr>
            <w:r w:rsidRPr="00074A56">
              <w:rPr>
                <w:rFonts w:cs="Calibri"/>
                <w:color w:val="000000"/>
                <w:sz w:val="20"/>
              </w:rPr>
              <w:t>$</w:t>
            </w:r>
            <w:r>
              <w:rPr>
                <w:rFonts w:cs="Calibri"/>
                <w:color w:val="000000"/>
                <w:sz w:val="20"/>
              </w:rPr>
              <w:t>18.8</w:t>
            </w:r>
          </w:p>
        </w:tc>
      </w:tr>
      <w:tr w:rsidR="0079646D" w:rsidRPr="000B185D">
        <w:trPr>
          <w:trHeight w:val="300"/>
          <w:jc w:val="center"/>
        </w:trPr>
        <w:tc>
          <w:tcPr>
            <w:tcW w:w="5788" w:type="dxa"/>
            <w:gridSpan w:val="5"/>
            <w:tcBorders>
              <w:top w:val="nil"/>
              <w:left w:val="nil"/>
              <w:bottom w:val="nil"/>
              <w:right w:val="nil"/>
            </w:tcBorders>
            <w:noWrap/>
            <w:vAlign w:val="bottom"/>
          </w:tcPr>
          <w:p w:rsidR="0079646D" w:rsidRPr="00074A56" w:rsidRDefault="0079646D" w:rsidP="00895210">
            <w:pPr>
              <w:spacing w:after="0" w:line="240" w:lineRule="auto"/>
              <w:rPr>
                <w:rFonts w:cs="Calibri"/>
                <w:color w:val="000000"/>
                <w:sz w:val="20"/>
              </w:rPr>
            </w:pPr>
            <w:r w:rsidRPr="009002F3">
              <w:rPr>
                <w:rFonts w:cs="Calibri"/>
                <w:color w:val="000000"/>
                <w:sz w:val="16"/>
              </w:rPr>
              <w:t xml:space="preserve">*- </w:t>
            </w:r>
            <w:r>
              <w:rPr>
                <w:rFonts w:cs="Calibri"/>
                <w:color w:val="000000"/>
                <w:sz w:val="16"/>
              </w:rPr>
              <w:t xml:space="preserve">Discount values were calculated by multiplying one year Mitigation Plan Update cost savings </w:t>
            </w:r>
            <w:r w:rsidRPr="000B185D">
              <w:rPr>
                <w:sz w:val="16"/>
              </w:rPr>
              <w:t>$14,993,120 by associated discount factor.</w:t>
            </w:r>
          </w:p>
        </w:tc>
      </w:tr>
    </w:tbl>
    <w:p w:rsidR="0079646D" w:rsidRDefault="0079646D" w:rsidP="00CD110C"/>
    <w:p w:rsidR="0079646D" w:rsidRDefault="0079646D" w:rsidP="00CD110C"/>
    <w:p w:rsidR="0079646D" w:rsidRPr="006F5AF8" w:rsidRDefault="0079646D" w:rsidP="00CD110C"/>
    <w:sectPr w:rsidR="0079646D" w:rsidRPr="006F5AF8" w:rsidSect="007F0539">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9D4" w:rsidRDefault="000409D4" w:rsidP="0055713D">
      <w:pPr>
        <w:spacing w:after="0" w:line="240" w:lineRule="auto"/>
      </w:pPr>
      <w:r>
        <w:separator/>
      </w:r>
    </w:p>
  </w:endnote>
  <w:endnote w:type="continuationSeparator" w:id="0">
    <w:p w:rsidR="000409D4" w:rsidRDefault="000409D4" w:rsidP="00557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D4" w:rsidRDefault="000409D4">
    <w:pPr>
      <w:pStyle w:val="Footer"/>
      <w:jc w:val="center"/>
    </w:pPr>
    <w:r>
      <w:t xml:space="preserve">Page </w:t>
    </w:r>
    <w:r w:rsidR="006E36A7">
      <w:fldChar w:fldCharType="begin"/>
    </w:r>
    <w:r w:rsidR="009040B8">
      <w:instrText xml:space="preserve"> PAGE   \* MERGEFORMAT </w:instrText>
    </w:r>
    <w:r w:rsidR="006E36A7">
      <w:fldChar w:fldCharType="separate"/>
    </w:r>
    <w:r w:rsidR="000D5FAE">
      <w:rPr>
        <w:noProof/>
      </w:rPr>
      <w:t>3</w:t>
    </w:r>
    <w:r w:rsidR="006E36A7">
      <w:rPr>
        <w:noProof/>
      </w:rPr>
      <w:fldChar w:fldCharType="end"/>
    </w:r>
  </w:p>
  <w:p w:rsidR="000409D4" w:rsidRDefault="00040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9D4" w:rsidRDefault="000409D4" w:rsidP="0055713D">
      <w:pPr>
        <w:spacing w:after="0" w:line="240" w:lineRule="auto"/>
      </w:pPr>
      <w:r>
        <w:separator/>
      </w:r>
    </w:p>
  </w:footnote>
  <w:footnote w:type="continuationSeparator" w:id="0">
    <w:p w:rsidR="000409D4" w:rsidRDefault="000409D4" w:rsidP="0055713D">
      <w:pPr>
        <w:spacing w:after="0" w:line="240" w:lineRule="auto"/>
      </w:pPr>
      <w:r>
        <w:continuationSeparator/>
      </w:r>
    </w:p>
  </w:footnote>
  <w:footnote w:id="1">
    <w:p w:rsidR="000409D4" w:rsidRDefault="000409D4">
      <w:pPr>
        <w:pStyle w:val="FootnoteText"/>
      </w:pPr>
      <w:r>
        <w:rPr>
          <w:rStyle w:val="FootnoteReference"/>
        </w:rPr>
        <w:footnoteRef/>
      </w:r>
      <w:r>
        <w:t xml:space="preserve"> 42 U.S.C. § 5165.</w:t>
      </w:r>
    </w:p>
  </w:footnote>
  <w:footnote w:id="2">
    <w:p w:rsidR="000409D4" w:rsidRDefault="000409D4" w:rsidP="00514BD9">
      <w:pPr>
        <w:pStyle w:val="FootnoteText"/>
      </w:pPr>
      <w:r>
        <w:rPr>
          <w:rStyle w:val="FootnoteReference"/>
        </w:rPr>
        <w:footnoteRef/>
      </w:r>
      <w:r>
        <w:t xml:space="preserve"> 42 U.S.C. </w:t>
      </w:r>
      <w:r w:rsidRPr="00324391">
        <w:t>§</w:t>
      </w:r>
      <w:r>
        <w:t xml:space="preserve"> 5164 (section 321 of the Stafford Act).</w:t>
      </w:r>
    </w:p>
  </w:footnote>
  <w:footnote w:id="3">
    <w:p w:rsidR="000409D4" w:rsidRDefault="000409D4" w:rsidP="0044335A">
      <w:pPr>
        <w:pStyle w:val="FootnoteText"/>
      </w:pPr>
      <w:r>
        <w:rPr>
          <w:rStyle w:val="FootnoteReference"/>
        </w:rPr>
        <w:footnoteRef/>
      </w:r>
      <w:r>
        <w:t xml:space="preserve"> 44 C.F.R. </w:t>
      </w:r>
      <w:r w:rsidRPr="00324391">
        <w:t>§</w:t>
      </w:r>
      <w:r>
        <w:t xml:space="preserve"> 201.4 (2011).</w:t>
      </w:r>
    </w:p>
  </w:footnote>
  <w:footnote w:id="4">
    <w:p w:rsidR="000409D4" w:rsidRDefault="000409D4" w:rsidP="0044335A">
      <w:pPr>
        <w:pStyle w:val="FootnoteText"/>
      </w:pPr>
      <w:r>
        <w:rPr>
          <w:rStyle w:val="FootnoteReference"/>
        </w:rPr>
        <w:footnoteRef/>
      </w:r>
      <w:r>
        <w:t xml:space="preserve"> 44 C.F.R. </w:t>
      </w:r>
      <w:r w:rsidRPr="00324391">
        <w:t>§</w:t>
      </w:r>
      <w:r>
        <w:t xml:space="preserve"> 201.5 (2011).</w:t>
      </w:r>
    </w:p>
  </w:footnote>
  <w:footnote w:id="5">
    <w:p w:rsidR="000409D4" w:rsidRDefault="000409D4">
      <w:pPr>
        <w:pStyle w:val="FootnoteText"/>
      </w:pPr>
      <w:r>
        <w:rPr>
          <w:rStyle w:val="FootnoteReference"/>
        </w:rPr>
        <w:footnoteRef/>
      </w:r>
      <w:r>
        <w:t xml:space="preserve"> </w:t>
      </w:r>
      <w:r w:rsidRPr="00AD6CB1">
        <w:t>58 F</w:t>
      </w:r>
      <w:r>
        <w:t xml:space="preserve">ed. </w:t>
      </w:r>
      <w:r w:rsidRPr="00AD6CB1">
        <w:t>R</w:t>
      </w:r>
      <w:r>
        <w:t>eg.</w:t>
      </w:r>
      <w:r w:rsidRPr="00AD6CB1">
        <w:t xml:space="preserve"> 51</w:t>
      </w:r>
      <w:r>
        <w:t>,</w:t>
      </w:r>
      <w:r w:rsidRPr="00AD6CB1">
        <w:t xml:space="preserve">735 </w:t>
      </w:r>
      <w:r>
        <w:t>(</w:t>
      </w:r>
      <w:r w:rsidRPr="00AD6CB1">
        <w:t>Oct. 4, 1993</w:t>
      </w:r>
      <w:r>
        <w:t>).</w:t>
      </w:r>
    </w:p>
  </w:footnote>
  <w:footnote w:id="6">
    <w:p w:rsidR="000409D4" w:rsidRDefault="000409D4">
      <w:pPr>
        <w:pStyle w:val="FootnoteText"/>
      </w:pPr>
      <w:r>
        <w:rPr>
          <w:rStyle w:val="FootnoteReference"/>
        </w:rPr>
        <w:footnoteRef/>
      </w:r>
      <w:r>
        <w:t xml:space="preserve"> </w:t>
      </w:r>
      <w:r w:rsidRPr="00AD6CB1">
        <w:t>76 F</w:t>
      </w:r>
      <w:r>
        <w:t xml:space="preserve">ed. </w:t>
      </w:r>
      <w:r w:rsidRPr="00AD6CB1">
        <w:t>R</w:t>
      </w:r>
      <w:r>
        <w:t>eg.</w:t>
      </w:r>
      <w:r w:rsidRPr="00AD6CB1">
        <w:t xml:space="preserve"> 3</w:t>
      </w:r>
      <w:r>
        <w:t>,</w:t>
      </w:r>
      <w:r w:rsidRPr="00AD6CB1">
        <w:t xml:space="preserve">821 </w:t>
      </w:r>
      <w:r>
        <w:t>(</w:t>
      </w:r>
      <w:r w:rsidRPr="00AD6CB1">
        <w:t>Jan. 21, 2011</w:t>
      </w:r>
      <w:r>
        <w:t>).</w:t>
      </w:r>
    </w:p>
  </w:footnote>
  <w:footnote w:id="7">
    <w:p w:rsidR="000409D4" w:rsidRDefault="000409D4">
      <w:pPr>
        <w:pStyle w:val="FootnoteText"/>
      </w:pPr>
      <w:r>
        <w:rPr>
          <w:rStyle w:val="FootnoteReference"/>
        </w:rPr>
        <w:footnoteRef/>
      </w:r>
      <w:r>
        <w:t xml:space="preserve"> 72 Fed. Reg. 61,552 (Oct. 31, 2007).</w:t>
      </w:r>
    </w:p>
  </w:footnote>
  <w:footnote w:id="8">
    <w:p w:rsidR="000409D4" w:rsidRDefault="000409D4" w:rsidP="004C384F">
      <w:pPr>
        <w:pStyle w:val="FootnoteText"/>
      </w:pPr>
      <w:r>
        <w:rPr>
          <w:rStyle w:val="FootnoteReference"/>
        </w:rPr>
        <w:footnoteRef/>
      </w:r>
      <w:r>
        <w:t xml:space="preserve"> </w:t>
      </w:r>
      <w:r w:rsidRPr="006A68D1">
        <w:t>States must have approved Standard Plans meeting the requirements of 44 C.F.R. § 201.4 (2011</w:t>
      </w:r>
      <w:r>
        <w:t xml:space="preserve">), </w:t>
      </w:r>
      <w:r w:rsidRPr="006A68D1">
        <w:t xml:space="preserve">as a condition of receiving non-emergency Stafford Act assistance and FEMA mitigation grants.  Emergency assistance provided under 42 U.S.C. §§ 5170a, 5170b, 5173, 5174, 5177, 5179, 5180, 5182, 5183, 5184, and 5192 </w:t>
      </w:r>
      <w:r>
        <w:t>would</w:t>
      </w:r>
      <w:r w:rsidRPr="006A68D1">
        <w:t xml:space="preserve"> not be affected.  Mitigation planning grants provided through the Pre-Disaster Mitigation (PDM) program, authorized under section 203 of the Stafford Act, 42 U.S.C. § 5133, </w:t>
      </w:r>
      <w:r>
        <w:t>would</w:t>
      </w:r>
      <w:r w:rsidRPr="006A68D1">
        <w:t xml:space="preserve"> also continue to be available.</w:t>
      </w:r>
    </w:p>
  </w:footnote>
  <w:footnote w:id="9">
    <w:p w:rsidR="000409D4" w:rsidRDefault="000409D4" w:rsidP="004C384F">
      <w:pPr>
        <w:pStyle w:val="FootnoteText"/>
      </w:pPr>
      <w:r>
        <w:rPr>
          <w:rStyle w:val="FootnoteReference"/>
        </w:rPr>
        <w:footnoteRef/>
      </w:r>
      <w:r>
        <w:t xml:space="preserve"> State means the 50 States</w:t>
      </w:r>
      <w:r w:rsidRPr="0095197E">
        <w:t xml:space="preserve">, the District of </w:t>
      </w:r>
      <w:r>
        <w:t>Columbia, Puerto Rico, the Virgin Islands, Guam, American Samoa, and the Commonwealth of the Northern Mariana Islands.</w:t>
      </w:r>
      <w:r w:rsidR="000D5FAE">
        <w:t xml:space="preserve">  42 U.S.C. </w:t>
      </w:r>
      <w:r w:rsidR="000D5FAE" w:rsidRPr="000D5FAE">
        <w:t>§</w:t>
      </w:r>
      <w:r w:rsidR="000D5FAE">
        <w:t xml:space="preserve"> 5122(4).</w:t>
      </w:r>
      <w:bookmarkStart w:id="0" w:name="_GoBack"/>
      <w:bookmarkEnd w:id="0"/>
    </w:p>
  </w:footnote>
  <w:footnote w:id="10">
    <w:p w:rsidR="000409D4" w:rsidRDefault="000409D4" w:rsidP="00316473">
      <w:pPr>
        <w:pStyle w:val="FootnoteText"/>
      </w:pPr>
      <w:r>
        <w:rPr>
          <w:rStyle w:val="FootnoteReference"/>
        </w:rPr>
        <w:footnoteRef/>
      </w:r>
      <w:r>
        <w:t xml:space="preserve"> Although States may shift between Standard and Enhanced Plans, for the purposes of analysis, FEMA assumes that the number of Enhanced Plans would remain at 10, recognizing that different States may make up the 10.  </w:t>
      </w:r>
    </w:p>
  </w:footnote>
  <w:footnote w:id="11">
    <w:p w:rsidR="000409D4" w:rsidRDefault="000409D4" w:rsidP="00316473">
      <w:pPr>
        <w:pStyle w:val="FootnoteText"/>
      </w:pPr>
      <w:r>
        <w:rPr>
          <w:rStyle w:val="FootnoteReference"/>
        </w:rPr>
        <w:footnoteRef/>
      </w:r>
      <w:r>
        <w:t xml:space="preserve"> 44 C.F.R. </w:t>
      </w:r>
      <w:r w:rsidRPr="00EF0A12">
        <w:t>§</w:t>
      </w:r>
      <w:r>
        <w:t xml:space="preserve"> 201.3(e)(3) (2011).</w:t>
      </w:r>
    </w:p>
  </w:footnote>
  <w:footnote w:id="12">
    <w:p w:rsidR="000409D4" w:rsidRDefault="000409D4" w:rsidP="00316473">
      <w:pPr>
        <w:pStyle w:val="FootnoteText"/>
      </w:pPr>
      <w:r>
        <w:rPr>
          <w:rStyle w:val="FootnoteReference"/>
        </w:rPr>
        <w:footnoteRef/>
      </w:r>
      <w:r>
        <w:t xml:space="preserve"> 44 C.F.R. </w:t>
      </w:r>
      <w:r w:rsidRPr="00EF0A12">
        <w:t>§</w:t>
      </w:r>
      <w:r>
        <w:t xml:space="preserve"> 201.7 (2011).</w:t>
      </w:r>
    </w:p>
  </w:footnote>
  <w:footnote w:id="13">
    <w:p w:rsidR="000409D4" w:rsidRDefault="000409D4" w:rsidP="00316473">
      <w:pPr>
        <w:pStyle w:val="FootnoteText"/>
      </w:pPr>
      <w:r>
        <w:rPr>
          <w:rStyle w:val="FootnoteReference"/>
        </w:rPr>
        <w:footnoteRef/>
      </w:r>
      <w:r>
        <w:t xml:space="preserve"> Per 44 C.F.R. </w:t>
      </w:r>
      <w:r w:rsidRPr="00EF0A12">
        <w:t>§</w:t>
      </w:r>
      <w:r>
        <w:t xml:space="preserve"> 201.7(d)(3) (2011), Tribal Mitigation Plans are not being considered for the Hazard Mitigation Grant Program (HMGP) increased funding and are subject to updates every 5 years.</w:t>
      </w:r>
    </w:p>
  </w:footnote>
  <w:footnote w:id="14">
    <w:p w:rsidR="000409D4" w:rsidRDefault="000409D4" w:rsidP="00210D48">
      <w:pPr>
        <w:pStyle w:val="FootnoteText"/>
      </w:pPr>
      <w:r>
        <w:rPr>
          <w:rStyle w:val="FootnoteReference"/>
        </w:rPr>
        <w:footnoteRef/>
      </w:r>
      <w:r>
        <w:t xml:space="preserve"> Reduction in Plans Submissions = (15 years </w:t>
      </w:r>
      <w:r>
        <w:rPr>
          <w:rFonts w:cs="Calibri"/>
        </w:rPr>
        <w:t>÷</w:t>
      </w:r>
      <w:r>
        <w:t xml:space="preserve"> 3 updates per year)-(15 years </w:t>
      </w:r>
      <w:r>
        <w:rPr>
          <w:rFonts w:cs="Calibri"/>
        </w:rPr>
        <w:t>÷</w:t>
      </w:r>
      <w:r>
        <w:t xml:space="preserve"> 5 updates per year) = 2 plans. </w:t>
      </w:r>
    </w:p>
  </w:footnote>
  <w:footnote w:id="15">
    <w:p w:rsidR="000409D4" w:rsidRDefault="000409D4" w:rsidP="00CF7CE6">
      <w:pPr>
        <w:pStyle w:val="FootnoteText"/>
      </w:pPr>
      <w:r>
        <w:rPr>
          <w:rStyle w:val="FootnoteReference"/>
        </w:rPr>
        <w:footnoteRef/>
      </w:r>
      <w:r>
        <w:t xml:space="preserve"> Total Reduction in Plan Submission = Reduction in Plans per State (2) x Number of States (56) = 112 plans.</w:t>
      </w:r>
    </w:p>
  </w:footnote>
  <w:footnote w:id="16">
    <w:p w:rsidR="000409D4" w:rsidRDefault="000409D4" w:rsidP="00FE5CAE">
      <w:pPr>
        <w:pStyle w:val="FootnoteText"/>
      </w:pPr>
      <w:r>
        <w:rPr>
          <w:rStyle w:val="FootnoteReference"/>
        </w:rPr>
        <w:footnoteRef/>
      </w:r>
      <w:r>
        <w:t xml:space="preserve"> FEMA uses grant applications from the HMGP and PDM that meet the following criteria:  includes the State Multi-hazard Mitigation Plan “type” designation, obligated, closed, or approved “status”, “project amount” not equal to zero, and appear to include State Mitigation Plan update information.</w:t>
      </w:r>
    </w:p>
  </w:footnote>
  <w:footnote w:id="17">
    <w:p w:rsidR="000409D4" w:rsidRDefault="000409D4">
      <w:pPr>
        <w:pStyle w:val="FootnoteText"/>
      </w:pPr>
      <w:r>
        <w:rPr>
          <w:rStyle w:val="FootnoteReference"/>
        </w:rPr>
        <w:footnoteRef/>
      </w:r>
      <w:r>
        <w:t xml:space="preserve"> Despite FEMA’s attempts to separate out improvements not directly related to plan updates, the adjusted project award amounts likely still represent a higher cost than the true average mitigation plan update costs. </w:t>
      </w:r>
    </w:p>
  </w:footnote>
  <w:footnote w:id="18">
    <w:p w:rsidR="000409D4" w:rsidRDefault="000409D4">
      <w:pPr>
        <w:pStyle w:val="FootnoteText"/>
      </w:pPr>
      <w:r>
        <w:rPr>
          <w:rStyle w:val="FootnoteReference"/>
        </w:rPr>
        <w:footnoteRef/>
      </w:r>
      <w:r>
        <w:t xml:space="preserve"> Standard and Enhanced Plan update unit costs were rounded to the nearest thousand.  Standard Plan grant awards ranged from $7,412 </w:t>
      </w:r>
      <w:r w:rsidRPr="006B5B5E">
        <w:t>to $602,759.  Enhanced Plan grant awards ranged from $60,331 to $2,739,773.</w:t>
      </w:r>
    </w:p>
  </w:footnote>
  <w:footnote w:id="19">
    <w:p w:rsidR="000409D4" w:rsidRDefault="000409D4">
      <w:pPr>
        <w:pStyle w:val="FootnoteText"/>
      </w:pPr>
      <w:r w:rsidRPr="006B5B5E">
        <w:rPr>
          <w:rStyle w:val="FootnoteReference"/>
        </w:rPr>
        <w:footnoteRef/>
      </w:r>
      <w:r w:rsidRPr="006B5B5E">
        <w:t xml:space="preserve"> Reduction in Standard Plans = (46 Standard plans /56 total plans) x 112 reduction in total plans = 92.</w:t>
      </w:r>
    </w:p>
  </w:footnote>
  <w:footnote w:id="20">
    <w:p w:rsidR="000409D4" w:rsidRDefault="000409D4">
      <w:pPr>
        <w:pStyle w:val="FootnoteText"/>
      </w:pPr>
      <w:r w:rsidRPr="006B5B5E">
        <w:rPr>
          <w:rStyle w:val="FootnoteReference"/>
        </w:rPr>
        <w:footnoteRef/>
      </w:r>
      <w:r w:rsidRPr="006B5B5E">
        <w:t xml:space="preserve"> Reduction in Enhanced Plans = (10 Enhanced plans /56 total plans) x 112 reduction in total plans = 20.</w:t>
      </w:r>
    </w:p>
  </w:footnote>
  <w:footnote w:id="21">
    <w:p w:rsidR="000409D4" w:rsidRDefault="000409D4">
      <w:pPr>
        <w:pStyle w:val="FootnoteText"/>
      </w:pPr>
      <w:r w:rsidRPr="006B5B5E">
        <w:rPr>
          <w:rStyle w:val="FootnoteReference"/>
        </w:rPr>
        <w:footnoteRef/>
      </w:r>
      <w:r w:rsidRPr="006B5B5E">
        <w:t xml:space="preserve"> State Cost Savings was rounded to the nearest hundred thousand.</w:t>
      </w:r>
    </w:p>
  </w:footnote>
  <w:footnote w:id="22">
    <w:p w:rsidR="000409D4" w:rsidRDefault="000409D4" w:rsidP="00E52978">
      <w:pPr>
        <w:pStyle w:val="FootnoteText"/>
      </w:pPr>
      <w:r>
        <w:rPr>
          <w:rStyle w:val="FootnoteReference"/>
        </w:rPr>
        <w:footnoteRef/>
      </w:r>
      <w:r>
        <w:t xml:space="preserve"> Low and High State Cost Savings were rounded to the nearest hundred thousand.</w:t>
      </w:r>
    </w:p>
  </w:footnote>
  <w:footnote w:id="23">
    <w:p w:rsidR="000409D4" w:rsidRDefault="000409D4">
      <w:pPr>
        <w:pStyle w:val="FootnoteText"/>
      </w:pPr>
      <w:r>
        <w:rPr>
          <w:rStyle w:val="FootnoteReference"/>
        </w:rPr>
        <w:footnoteRef/>
      </w:r>
      <w:r>
        <w:t xml:space="preserve"> Standard and Enhanced State Hazard Mitigation Plan Review Crosswalk templates can be found in FEMA’s State Multi-Hazard Mitigation Planning Guidance (Mitigation Planning “Blue Book”) </w:t>
      </w:r>
      <w:hyperlink r:id="rId1" w:history="1">
        <w:r w:rsidRPr="007851DD">
          <w:rPr>
            <w:rStyle w:val="Hyperlink"/>
          </w:rPr>
          <w:t>http://www.fema.gov/library/viewRecord.do?id=3115</w:t>
        </w:r>
      </w:hyperlink>
      <w:r>
        <w:t>.</w:t>
      </w:r>
    </w:p>
  </w:footnote>
  <w:footnote w:id="24">
    <w:p w:rsidR="000409D4" w:rsidRDefault="000409D4">
      <w:pPr>
        <w:pStyle w:val="FootnoteText"/>
      </w:pPr>
      <w:r>
        <w:rPr>
          <w:rStyle w:val="FootnoteReference"/>
        </w:rPr>
        <w:footnoteRef/>
      </w:r>
      <w:r>
        <w:t xml:space="preserve"> FEMA anticipates that a </w:t>
      </w:r>
      <w:r w:rsidRPr="006B5B5E">
        <w:t>regional mitigation planner lead/senior planner</w:t>
      </w:r>
      <w:r>
        <w:t xml:space="preserve"> (community planner or community planner specialist), or a team of such planners, would complete State Mitigation Plan reviews.  However, depending on the specifics of a plan, other specialists (i.e. </w:t>
      </w:r>
      <w:r w:rsidRPr="002D6D8D">
        <w:t>Dam Safety Engineer, Regional Environmental Officer, Hurricane Program Manager, Floodplain Management &amp; Insurance Specialist, Coastal Engineer, Physical Scientist</w:t>
      </w:r>
      <w:r>
        <w:t xml:space="preserve">, etc.) may also be brought in to assist.   </w:t>
      </w:r>
    </w:p>
  </w:footnote>
  <w:footnote w:id="25">
    <w:p w:rsidR="000409D4" w:rsidRDefault="000409D4">
      <w:pPr>
        <w:pStyle w:val="FootnoteText"/>
      </w:pPr>
      <w:r>
        <w:rPr>
          <w:rStyle w:val="FootnoteReference"/>
        </w:rPr>
        <w:footnoteRef/>
      </w:r>
      <w:r>
        <w:t xml:space="preserve"> FEMA estimates the equivalent of a General Schedule (GS) 13 Step 1 employee would review mitigation plan updates.  Per the Office of Personnel Management (OPM) GS system, the base GS 13 Step 1 wage rate is $34.34 </w:t>
      </w:r>
      <w:hyperlink r:id="rId2" w:history="1">
        <w:r w:rsidRPr="007E3362">
          <w:rPr>
            <w:rStyle w:val="Hyperlink"/>
          </w:rPr>
          <w:t>http://www.opm.gov/oca/12tables/pdf/gs_h.pdf</w:t>
        </w:r>
      </w:hyperlink>
      <w:r>
        <w:t xml:space="preserve"> (retrieved 4/5/2012) which is then multiplied </w:t>
      </w:r>
      <w:r w:rsidRPr="006B5B5E">
        <w:t>by 1.4 (an increase of 40 percent) to account for benefits which results in a federal reviewer fully loaded wage rate of $</w:t>
      </w:r>
      <w:r>
        <w:t>48.08</w:t>
      </w:r>
      <w:r w:rsidRPr="006B5B5E">
        <w:t>.  The federal reviewer fully loaded wage</w:t>
      </w:r>
      <w:r>
        <w:t xml:space="preserve"> rate does not take into account locality pay and is rounded to the nearest cent.</w:t>
      </w:r>
    </w:p>
  </w:footnote>
  <w:footnote w:id="26">
    <w:p w:rsidR="000409D4" w:rsidRDefault="000409D4">
      <w:pPr>
        <w:pStyle w:val="FootnoteText"/>
      </w:pPr>
      <w:r>
        <w:rPr>
          <w:rStyle w:val="FootnoteReference"/>
        </w:rPr>
        <w:footnoteRef/>
      </w:r>
      <w:r>
        <w:t xml:space="preserve"> Low, primary, and high Federal Review Unit Costs were rounded to the nearest dollar. </w:t>
      </w:r>
    </w:p>
  </w:footnote>
  <w:footnote w:id="27">
    <w:p w:rsidR="000409D4" w:rsidRDefault="000409D4">
      <w:pPr>
        <w:pStyle w:val="FootnoteText"/>
      </w:pPr>
      <w:r>
        <w:rPr>
          <w:rStyle w:val="FootnoteReference"/>
        </w:rPr>
        <w:footnoteRef/>
      </w:r>
      <w:r>
        <w:t xml:space="preserve"> The Federal Cost Savings was rounded to the nearest thousand.</w:t>
      </w:r>
    </w:p>
  </w:footnote>
  <w:footnote w:id="28">
    <w:p w:rsidR="000409D4" w:rsidRDefault="000409D4" w:rsidP="009079B5">
      <w:pPr>
        <w:pStyle w:val="FootnoteText"/>
      </w:pPr>
      <w:r>
        <w:rPr>
          <w:rStyle w:val="FootnoteReference"/>
        </w:rPr>
        <w:footnoteRef/>
      </w:r>
      <w:r>
        <w:t xml:space="preserve"> The Primary Total Cost Savings was rounded to the nearest hundred thousand.</w:t>
      </w:r>
    </w:p>
  </w:footnote>
  <w:footnote w:id="29">
    <w:p w:rsidR="000409D4" w:rsidRDefault="000409D4" w:rsidP="001660D1">
      <w:pPr>
        <w:pStyle w:val="FootnoteText"/>
      </w:pPr>
      <w:r>
        <w:rPr>
          <w:rStyle w:val="FootnoteReference"/>
        </w:rPr>
        <w:footnoteRef/>
      </w:r>
      <w:r>
        <w:t xml:space="preserve"> </w:t>
      </w:r>
      <w:r w:rsidRPr="00E629E7">
        <w:t xml:space="preserve">Percent of States </w:t>
      </w:r>
      <w:r>
        <w:t>h</w:t>
      </w:r>
      <w:r w:rsidRPr="00E629E7">
        <w:t xml:space="preserve">istorically </w:t>
      </w:r>
      <w:r>
        <w:t>a</w:t>
      </w:r>
      <w:r w:rsidRPr="00E629E7">
        <w:t xml:space="preserve">warded </w:t>
      </w:r>
      <w:r>
        <w:t>g</w:t>
      </w:r>
      <w:r w:rsidRPr="00E629E7">
        <w:t xml:space="preserve">rants is based on </w:t>
      </w:r>
      <w:r>
        <w:t>HMGP and PDM</w:t>
      </w:r>
      <w:r w:rsidRPr="00D63FAE">
        <w:rPr>
          <w:color w:val="FF0000"/>
        </w:rPr>
        <w:t xml:space="preserve"> </w:t>
      </w:r>
      <w:r w:rsidRPr="00E629E7">
        <w:t>grant awards received between 2008 and 2010</w:t>
      </w:r>
      <w:r>
        <w:t xml:space="preserve">. </w:t>
      </w:r>
    </w:p>
  </w:footnote>
  <w:footnote w:id="30">
    <w:p w:rsidR="000409D4" w:rsidRDefault="000409D4">
      <w:pPr>
        <w:pStyle w:val="FootnoteText"/>
      </w:pPr>
      <w:r>
        <w:rPr>
          <w:rStyle w:val="FootnoteReference"/>
        </w:rPr>
        <w:footnoteRef/>
      </w:r>
      <w:r>
        <w:t xml:space="preserve"> Section 404 of the Stafford Act (42 U.S.C. </w:t>
      </w:r>
      <w:r w:rsidRPr="00DD75BD">
        <w:t>§</w:t>
      </w:r>
      <w:r>
        <w:t xml:space="preserve"> 5170c) states that the President may contribute up to 75 percent of the cost of hazard mitigation measures.</w:t>
      </w:r>
    </w:p>
  </w:footnote>
  <w:footnote w:id="31">
    <w:p w:rsidR="000409D4" w:rsidRDefault="000409D4">
      <w:pPr>
        <w:pStyle w:val="FootnoteText"/>
      </w:pPr>
      <w:r>
        <w:rPr>
          <w:rStyle w:val="FootnoteReference"/>
        </w:rPr>
        <w:footnoteRef/>
      </w:r>
      <w:r>
        <w:t xml:space="preserve"> The estimated impact on Federal transfers was rounded to the nearest hundred thousand.</w:t>
      </w:r>
    </w:p>
  </w:footnote>
  <w:footnote w:id="32">
    <w:p w:rsidR="000409D4" w:rsidRDefault="000409D4">
      <w:pPr>
        <w:pStyle w:val="FootnoteText"/>
      </w:pPr>
      <w:r>
        <w:rPr>
          <w:rStyle w:val="FootnoteReference"/>
        </w:rPr>
        <w:footnoteRef/>
      </w:r>
      <w:r>
        <w:t xml:space="preserve"> The State Cost Savings was rounded to the nearest hundred thousand. </w:t>
      </w:r>
    </w:p>
  </w:footnote>
  <w:footnote w:id="33">
    <w:p w:rsidR="000409D4" w:rsidRDefault="000409D4">
      <w:pPr>
        <w:pStyle w:val="FootnoteText"/>
      </w:pPr>
      <w:r>
        <w:rPr>
          <w:rStyle w:val="FootnoteReference"/>
        </w:rPr>
        <w:footnoteRef/>
      </w:r>
      <w:r>
        <w:t xml:space="preserve"> The Federal Cost Savings was rounded to the nearest thousand. </w:t>
      </w:r>
    </w:p>
  </w:footnote>
  <w:footnote w:id="34">
    <w:p w:rsidR="000409D4" w:rsidRDefault="000409D4">
      <w:pPr>
        <w:pStyle w:val="FootnoteText"/>
      </w:pPr>
      <w:r>
        <w:rPr>
          <w:rStyle w:val="FootnoteReference"/>
        </w:rPr>
        <w:footnoteRef/>
      </w:r>
      <w:r>
        <w:t xml:space="preserve"> The net savings to society was rounded to the nearest hundred thousand.  Net Savings = State Cost Savings + Federal Cost Savings = $29,340,000 + $646,240 = $29,986,240.  </w:t>
      </w:r>
    </w:p>
  </w:footnote>
  <w:footnote w:id="35">
    <w:p w:rsidR="000409D4" w:rsidRDefault="000409D4" w:rsidP="00C93F7E">
      <w:pPr>
        <w:pStyle w:val="FootnoteText"/>
      </w:pPr>
      <w:r>
        <w:rPr>
          <w:rStyle w:val="FootnoteReference"/>
        </w:rPr>
        <w:footnoteRef/>
      </w:r>
      <w:r>
        <w:t xml:space="preserve"> </w:t>
      </w:r>
      <w:r w:rsidRPr="006B5B5E">
        <w:t>Total State Cost Increase = (460 Standard Plan updates x $20</w:t>
      </w:r>
      <w:r>
        <w:t>5</w:t>
      </w:r>
      <w:r w:rsidRPr="006B5B5E">
        <w:t>,000) + (100 Enhanced Plan updates x $5</w:t>
      </w:r>
      <w:r>
        <w:t>2</w:t>
      </w:r>
      <w:r w:rsidRPr="006B5B5E">
        <w:t>4,000) = $</w:t>
      </w:r>
      <w:r>
        <w:t>94,300,000</w:t>
      </w:r>
      <w:r w:rsidRPr="006B5B5E">
        <w:t xml:space="preserve"> + $</w:t>
      </w:r>
      <w:r>
        <w:t>52,400,000</w:t>
      </w:r>
      <w:r w:rsidRPr="006B5B5E">
        <w:t xml:space="preserve"> = </w:t>
      </w:r>
      <w:r>
        <w:t>146,700,000</w:t>
      </w:r>
      <w:r w:rsidRPr="006B5B5E">
        <w:t xml:space="preserve">.  </w:t>
      </w:r>
    </w:p>
  </w:footnote>
  <w:footnote w:id="36">
    <w:p w:rsidR="000409D4" w:rsidRDefault="000409D4" w:rsidP="00C93F7E">
      <w:pPr>
        <w:pStyle w:val="FootnoteText"/>
      </w:pPr>
      <w:r w:rsidRPr="006B5B5E">
        <w:rPr>
          <w:rStyle w:val="FootnoteReference"/>
        </w:rPr>
        <w:footnoteRef/>
      </w:r>
      <w:r w:rsidRPr="006B5B5E">
        <w:t xml:space="preserve"> Federal Review Unit Cost = (</w:t>
      </w:r>
      <w:r>
        <w:t>120</w:t>
      </w:r>
      <w:r w:rsidRPr="006B5B5E">
        <w:t xml:space="preserve"> hours per review x $</w:t>
      </w:r>
      <w:r>
        <w:t>48.08</w:t>
      </w:r>
      <w:r w:rsidRPr="006B5B5E">
        <w:t xml:space="preserve"> per hour) = $</w:t>
      </w:r>
      <w:r>
        <w:t>5,770 (rounded to the nearest dollar)</w:t>
      </w:r>
      <w:r w:rsidRPr="006B5B5E">
        <w:t>.</w:t>
      </w:r>
    </w:p>
  </w:footnote>
  <w:footnote w:id="37">
    <w:p w:rsidR="000409D4" w:rsidRDefault="000409D4" w:rsidP="0055797D">
      <w:pPr>
        <w:pStyle w:val="FootnoteText"/>
      </w:pPr>
      <w:r w:rsidRPr="006B5B5E">
        <w:rPr>
          <w:rStyle w:val="FootnoteReference"/>
        </w:rPr>
        <w:footnoteRef/>
      </w:r>
      <w:r w:rsidRPr="006B5B5E">
        <w:t xml:space="preserve"> Federal Cost Increase = 560 plan updates x $</w:t>
      </w:r>
      <w:r>
        <w:t>5,770</w:t>
      </w:r>
      <w:r w:rsidRPr="006B5B5E">
        <w:t xml:space="preserve"> = $</w:t>
      </w:r>
      <w:r>
        <w:t>3,231,200.</w:t>
      </w:r>
    </w:p>
  </w:footnote>
  <w:footnote w:id="38">
    <w:p w:rsidR="000409D4" w:rsidRDefault="000409D4" w:rsidP="0055797D">
      <w:pPr>
        <w:pStyle w:val="FootnoteText"/>
      </w:pPr>
      <w:r>
        <w:rPr>
          <w:rStyle w:val="FootnoteReference"/>
        </w:rPr>
        <w:footnoteRef/>
      </w:r>
      <w:r>
        <w:t xml:space="preserve"> The Total Cost Increase was rounded to the nearest hundred thousand.</w:t>
      </w:r>
    </w:p>
  </w:footnote>
  <w:footnote w:id="39">
    <w:p w:rsidR="000409D4" w:rsidRDefault="000409D4" w:rsidP="00C93F7E">
      <w:pPr>
        <w:pStyle w:val="FootnoteText"/>
      </w:pPr>
      <w:r>
        <w:rPr>
          <w:rStyle w:val="FootnoteReference"/>
        </w:rPr>
        <w:footnoteRef/>
      </w:r>
      <w:r>
        <w:t xml:space="preserve"> The Total Cost Increase was rounded to the nearest hundred thousand.</w:t>
      </w:r>
    </w:p>
  </w:footnote>
  <w:footnote w:id="40">
    <w:p w:rsidR="000409D4" w:rsidRDefault="000409D4" w:rsidP="00C93F7E">
      <w:pPr>
        <w:pStyle w:val="FootnoteText"/>
      </w:pPr>
      <w:r>
        <w:rPr>
          <w:rStyle w:val="FootnoteReference"/>
        </w:rPr>
        <w:footnoteRef/>
      </w:r>
      <w:r>
        <w:t xml:space="preserve"> An example of annual reporting could include a letter from the State (less than 5 pages, but could include attachments at the State’s discretion) providing an overview of the activities undertaken that year.</w:t>
      </w:r>
    </w:p>
  </w:footnote>
  <w:footnote w:id="41">
    <w:p w:rsidR="000409D4" w:rsidRDefault="000409D4">
      <w:pPr>
        <w:pStyle w:val="FootnoteText"/>
      </w:pPr>
      <w:r>
        <w:rPr>
          <w:rStyle w:val="FootnoteReference"/>
        </w:rPr>
        <w:footnoteRef/>
      </w:r>
      <w:r>
        <w:t xml:space="preserve"> The </w:t>
      </w:r>
      <w:r w:rsidRPr="007250D6">
        <w:t>Urban and Regional Planner</w:t>
      </w:r>
      <w:r>
        <w:t xml:space="preserve"> (Standard Occupational Classification 19-3051) loaded wage rate of $</w:t>
      </w:r>
      <w:r w:rsidRPr="007250D6">
        <w:t>45.</w:t>
      </w:r>
      <w:r>
        <w:t>33</w:t>
      </w:r>
      <w:r w:rsidRPr="007250D6">
        <w:t xml:space="preserve"> </w:t>
      </w:r>
      <w:r>
        <w:t xml:space="preserve">is calculated using the Bureau of Labor Statistics 2011 mean hourly wage of $32.38 times a 1.4 multiplier, to account for benefits, rounded to the nearest cent.  Retrieved 4/4/12 from </w:t>
      </w:r>
      <w:hyperlink r:id="rId3" w:history="1">
        <w:r w:rsidRPr="007E3362">
          <w:rPr>
            <w:rStyle w:val="Hyperlink"/>
          </w:rPr>
          <w:t>http://www.bls.gov/oes/current/oes193051.htm</w:t>
        </w:r>
      </w:hyperlink>
    </w:p>
  </w:footnote>
  <w:footnote w:id="42">
    <w:p w:rsidR="000409D4" w:rsidRDefault="000409D4">
      <w:pPr>
        <w:pStyle w:val="FootnoteText"/>
      </w:pPr>
      <w:r>
        <w:rPr>
          <w:rStyle w:val="FootnoteReference"/>
        </w:rPr>
        <w:footnoteRef/>
      </w:r>
      <w:r>
        <w:t xml:space="preserve"> The Total Annual Status Reporting Cost was rounded to the nearest thousand.  </w:t>
      </w:r>
    </w:p>
  </w:footnote>
  <w:footnote w:id="43">
    <w:p w:rsidR="000409D4" w:rsidRDefault="000409D4" w:rsidP="00C93F7E">
      <w:pPr>
        <w:pStyle w:val="FootnoteText"/>
      </w:pPr>
      <w:r>
        <w:rPr>
          <w:rStyle w:val="FootnoteReference"/>
        </w:rPr>
        <w:footnoteRef/>
      </w:r>
      <w:r>
        <w:t xml:space="preserve"> Alternative 3 cost savings over 15 years = proposed options 15 year cost savings – annual reporting costs over 15 years = $29,986,240 - $385,560 = $29,600,680.</w:t>
      </w:r>
    </w:p>
  </w:footnote>
  <w:footnote w:id="44">
    <w:p w:rsidR="000409D4" w:rsidRDefault="000409D4" w:rsidP="00157124">
      <w:pPr>
        <w:pStyle w:val="FootnoteText"/>
      </w:pPr>
      <w:r>
        <w:rPr>
          <w:rStyle w:val="FootnoteReference"/>
        </w:rPr>
        <w:footnoteRef/>
      </w:r>
      <w:r>
        <w:t xml:space="preserve"> 74 Fed. Reg. 47,471 (Sept. 16, 2009).</w:t>
      </w:r>
    </w:p>
  </w:footnote>
  <w:footnote w:id="45">
    <w:p w:rsidR="000409D4" w:rsidRDefault="000409D4">
      <w:pPr>
        <w:pStyle w:val="FootnoteText"/>
      </w:pPr>
      <w:r>
        <w:rPr>
          <w:rStyle w:val="FootnoteReference"/>
        </w:rPr>
        <w:footnoteRef/>
      </w:r>
      <w:r w:rsidRPr="00741639">
        <w:rPr>
          <w:color w:val="FF0000"/>
        </w:rPr>
        <w:t xml:space="preserve"> </w:t>
      </w:r>
      <w:r w:rsidRPr="00A26008">
        <w:t xml:space="preserve">Although Indian Tribal Governments can choose to submit plans that meet </w:t>
      </w:r>
      <w:r>
        <w:t xml:space="preserve">the </w:t>
      </w:r>
      <w:r w:rsidRPr="00A26008">
        <w:t>Enhanced State Mitigation Plan criteria identified in 44 C</w:t>
      </w:r>
      <w:r>
        <w:t>.</w:t>
      </w:r>
      <w:r w:rsidRPr="00A26008">
        <w:t>F</w:t>
      </w:r>
      <w:r>
        <w:t>.</w:t>
      </w:r>
      <w:r w:rsidRPr="00A26008">
        <w:t>R</w:t>
      </w:r>
      <w:r>
        <w:t>.</w:t>
      </w:r>
      <w:r w:rsidRPr="00A26008">
        <w:t xml:space="preserve"> </w:t>
      </w:r>
      <w:r w:rsidRPr="00DD75BD">
        <w:t>§</w:t>
      </w:r>
      <w:r>
        <w:t xml:space="preserve"> </w:t>
      </w:r>
      <w:r w:rsidRPr="00A26008">
        <w:t>201.5</w:t>
      </w:r>
      <w:r>
        <w:t xml:space="preserve"> (2011)</w:t>
      </w:r>
      <w:r w:rsidRPr="00A26008">
        <w:t xml:space="preserve"> which includes a 3 year update cycle; to date </w:t>
      </w:r>
      <w:r>
        <w:t xml:space="preserve">no Tribes have submitted </w:t>
      </w:r>
      <w:r w:rsidRPr="00A26008">
        <w:t xml:space="preserve">Tribal </w:t>
      </w:r>
      <w:r w:rsidR="00097E93">
        <w:t>M</w:t>
      </w:r>
      <w:r w:rsidRPr="00A26008">
        <w:t xml:space="preserve">itigation </w:t>
      </w:r>
      <w:r w:rsidR="00097E93">
        <w:t>P</w:t>
      </w:r>
      <w:r w:rsidRPr="00A26008">
        <w:t>lans meet</w:t>
      </w:r>
      <w:r>
        <w:t>ing</w:t>
      </w:r>
      <w:r w:rsidRPr="00A26008">
        <w:t xml:space="preserve"> the criteria identified in 44 C</w:t>
      </w:r>
      <w:r>
        <w:t>.</w:t>
      </w:r>
      <w:r w:rsidRPr="00A26008">
        <w:t>F</w:t>
      </w:r>
      <w:r>
        <w:t>.</w:t>
      </w:r>
      <w:r w:rsidRPr="00A26008">
        <w:t>R</w:t>
      </w:r>
      <w:r>
        <w:t>.</w:t>
      </w:r>
      <w:r w:rsidRPr="00A26008">
        <w:t xml:space="preserve"> </w:t>
      </w:r>
      <w:r w:rsidRPr="002D3DA4">
        <w:t>§</w:t>
      </w:r>
      <w:r>
        <w:t xml:space="preserve"> </w:t>
      </w:r>
      <w:r w:rsidRPr="00A26008">
        <w:t>201.5</w:t>
      </w:r>
      <w:r>
        <w:t xml:space="preserve"> (2011)</w:t>
      </w:r>
      <w:r w:rsidRPr="00A26008">
        <w:t>, but instead follow the update cycle identified in 44 C</w:t>
      </w:r>
      <w:r>
        <w:t>.</w:t>
      </w:r>
      <w:r w:rsidRPr="00A26008">
        <w:t>F</w:t>
      </w:r>
      <w:r>
        <w:t>.</w:t>
      </w:r>
      <w:r w:rsidRPr="00A26008">
        <w:t>R</w:t>
      </w:r>
      <w:r>
        <w:t>.</w:t>
      </w:r>
      <w:r w:rsidRPr="00A26008">
        <w:t xml:space="preserve"> </w:t>
      </w:r>
      <w:r w:rsidRPr="00DD75BD">
        <w:t>§</w:t>
      </w:r>
      <w:r>
        <w:t xml:space="preserve"> </w:t>
      </w:r>
      <w:r w:rsidRPr="00A26008">
        <w:t xml:space="preserve">201.7(d)(3) </w:t>
      </w:r>
      <w:r>
        <w:t>(2011)</w:t>
      </w:r>
      <w:r w:rsidRPr="00A26008">
        <w:t xml:space="preserve"> and therefore have not been included in the impacted population.</w:t>
      </w:r>
      <w:r>
        <w:rPr>
          <w:color w:val="FF0000"/>
        </w:rPr>
        <w:t xml:space="preserve">  </w:t>
      </w:r>
    </w:p>
  </w:footnote>
  <w:footnote w:id="46">
    <w:p w:rsidR="000409D4" w:rsidRDefault="000409D4">
      <w:pPr>
        <w:pStyle w:val="FootnoteText"/>
      </w:pPr>
      <w:r>
        <w:rPr>
          <w:rStyle w:val="FootnoteReference"/>
        </w:rPr>
        <w:footnoteRef/>
      </w:r>
      <w:r>
        <w:t xml:space="preserve"> Standard Occupation Classification 19-3051.</w:t>
      </w:r>
    </w:p>
  </w:footnote>
  <w:footnote w:id="47">
    <w:p w:rsidR="000409D4" w:rsidRDefault="000409D4">
      <w:pPr>
        <w:pStyle w:val="FootnoteText"/>
      </w:pPr>
      <w:r>
        <w:rPr>
          <w:rStyle w:val="FootnoteReference"/>
        </w:rPr>
        <w:footnoteRef/>
      </w:r>
      <w:r>
        <w:t xml:space="preserve"> The fully loaded hourly wage rate was rounded to the nearest cent.</w:t>
      </w:r>
    </w:p>
  </w:footnote>
  <w:footnote w:id="48">
    <w:p w:rsidR="000409D4" w:rsidRDefault="000409D4">
      <w:pPr>
        <w:pStyle w:val="FootnoteText"/>
      </w:pPr>
      <w:r>
        <w:rPr>
          <w:rStyle w:val="FootnoteReference"/>
        </w:rPr>
        <w:footnoteRef/>
      </w:r>
      <w:r>
        <w:t xml:space="preserve"> 2007 Mitigation Plan Update Unit Cost = urban and regional planner fully loaded hourly wage ($34.20) x time to update a mitigation plan (320 hours) = $10,944. </w:t>
      </w:r>
    </w:p>
  </w:footnote>
  <w:footnote w:id="49">
    <w:p w:rsidR="000409D4" w:rsidRDefault="000409D4" w:rsidP="00796AA0">
      <w:pPr>
        <w:pStyle w:val="FootnoteText"/>
      </w:pPr>
      <w:r>
        <w:rPr>
          <w:rStyle w:val="FootnoteReference"/>
        </w:rPr>
        <w:footnoteRef/>
      </w:r>
      <w:r>
        <w:t xml:space="preserve"> FEMA uses grant applications from HMGP and PDM that meet the following criteria:  State Multi-hazard Mitigation Plan “type” designation, obligated, closed, or approved “status”, “project amount” not equal to zero, and appear to include State Mitigation Plan update information. </w:t>
      </w:r>
    </w:p>
  </w:footnote>
  <w:footnote w:id="50">
    <w:p w:rsidR="000409D4" w:rsidRDefault="000409D4" w:rsidP="00796AA0">
      <w:pPr>
        <w:pStyle w:val="FootnoteText"/>
      </w:pPr>
      <w:r>
        <w:rPr>
          <w:rStyle w:val="FootnoteReference"/>
        </w:rPr>
        <w:footnoteRef/>
      </w:r>
      <w:r>
        <w:t xml:space="preserve"> Standard and Enhanced Plan update unit costs were rounded to the nearest thousand.  </w:t>
      </w:r>
    </w:p>
  </w:footnote>
  <w:footnote w:id="51">
    <w:p w:rsidR="000409D4" w:rsidRDefault="000409D4">
      <w:pPr>
        <w:pStyle w:val="FootnoteText"/>
      </w:pPr>
      <w:r>
        <w:rPr>
          <w:rStyle w:val="FootnoteReference"/>
        </w:rPr>
        <w:footnoteRef/>
      </w:r>
      <w:r>
        <w:t xml:space="preserve"> Cost comparison figures only account for costs incurred by States; Federal costs are not included.</w:t>
      </w:r>
    </w:p>
  </w:footnote>
  <w:footnote w:id="52">
    <w:p w:rsidR="000409D4" w:rsidRDefault="000409D4">
      <w:pPr>
        <w:pStyle w:val="FootnoteText"/>
      </w:pPr>
      <w:r>
        <w:rPr>
          <w:rStyle w:val="FootnoteReference"/>
        </w:rPr>
        <w:footnoteRef/>
      </w:r>
      <w:r>
        <w:t xml:space="preserve"> 2007 Annual Standard Plan Update Cost = 31 plans per year x 320 hours per plan x $34.20 per hour = $339,264.</w:t>
      </w:r>
    </w:p>
  </w:footnote>
  <w:footnote w:id="53">
    <w:p w:rsidR="000409D4" w:rsidRDefault="000409D4">
      <w:pPr>
        <w:pStyle w:val="FootnoteText"/>
      </w:pPr>
      <w:r>
        <w:rPr>
          <w:rStyle w:val="FootnoteReference"/>
        </w:rPr>
        <w:footnoteRef/>
      </w:r>
      <w:r>
        <w:t xml:space="preserve"> 2007 Annual Enhanced Plan Update and Upgrade Cost = ((3 plans per year x 480 hours per update &amp; upgrade) x $34.20 per hour) + ((3 plans per year x 320 hours per update) x $34.20 per hour) = $49,248 + 32,832 = $82,080.</w:t>
      </w:r>
    </w:p>
  </w:footnote>
  <w:footnote w:id="54">
    <w:p w:rsidR="000409D4" w:rsidRDefault="000409D4">
      <w:pPr>
        <w:pStyle w:val="FootnoteText"/>
      </w:pPr>
      <w:r>
        <w:rPr>
          <w:rStyle w:val="FootnoteReference"/>
        </w:rPr>
        <w:footnoteRef/>
      </w:r>
      <w:r>
        <w:t xml:space="preserve"> 2007 Total Annual Update Cost = $339,264 + $82,080 – ((3 plans x 160 additional hours per upgrade) x $34.20 = $421,344 – $16,416 = $404,928.</w:t>
      </w:r>
    </w:p>
  </w:footnote>
  <w:footnote w:id="55">
    <w:p w:rsidR="000409D4" w:rsidRDefault="000409D4" w:rsidP="001530EA">
      <w:pPr>
        <w:pStyle w:val="FootnoteText"/>
      </w:pPr>
      <w:r>
        <w:rPr>
          <w:rStyle w:val="FootnoteReference"/>
        </w:rPr>
        <w:footnoteRef/>
      </w:r>
      <w:r>
        <w:t xml:space="preserve"> 15 Year Baseline State Update Cost = (230 Standard </w:t>
      </w:r>
      <w:r w:rsidRPr="006B5B5E">
        <w:t>Plan updates x Standard Plan update unit cost [$205,000]) + (50 Enhanced Plan updates x Enhanced Plan update unit cost [$524,000]) = $73,350,000.</w:t>
      </w:r>
    </w:p>
  </w:footnote>
  <w:footnote w:id="56">
    <w:p w:rsidR="000409D4" w:rsidRDefault="000409D4" w:rsidP="003A1972">
      <w:pPr>
        <w:pStyle w:val="FootnoteText"/>
      </w:pPr>
      <w:r>
        <w:rPr>
          <w:rStyle w:val="FootnoteReference"/>
        </w:rPr>
        <w:footnoteRef/>
      </w:r>
      <w:r>
        <w:t xml:space="preserve"> 15 Year Proposed State Update Cost = (</w:t>
      </w:r>
      <w:r w:rsidRPr="006B5B5E">
        <w:t>138 Standard Plan updates x Standard Plan update unit cost [$205,000]) + (30 Enhanced Plan updates x Enhanced Plan update unit cost [$524,000]) = $44,010,000.</w:t>
      </w:r>
    </w:p>
  </w:footnote>
  <w:footnote w:id="57">
    <w:p w:rsidR="000409D4" w:rsidRDefault="000409D4">
      <w:pPr>
        <w:pStyle w:val="FootnoteText"/>
      </w:pPr>
      <w:r w:rsidRPr="006B5B5E">
        <w:rPr>
          <w:rStyle w:val="FootnoteReference"/>
        </w:rPr>
        <w:footnoteRef/>
      </w:r>
      <w:r w:rsidRPr="006B5B5E">
        <w:t xml:space="preserve"> Reduction due to change in update cycle = baseline State update cost – proposed State update</w:t>
      </w:r>
      <w:r>
        <w:t xml:space="preserve"> cost = $73,350,000 - $44,010,000 = $29,340,000.</w:t>
      </w:r>
    </w:p>
  </w:footnote>
  <w:footnote w:id="58">
    <w:p w:rsidR="000409D4" w:rsidRDefault="000409D4">
      <w:pPr>
        <w:pStyle w:val="FootnoteText"/>
      </w:pPr>
      <w:r>
        <w:rPr>
          <w:rStyle w:val="FootnoteReference"/>
        </w:rPr>
        <w:footnoteRef/>
      </w:r>
      <w:r>
        <w:t xml:space="preserve"> 5 U.S.C. </w:t>
      </w:r>
      <w:r w:rsidRPr="00DD75BD">
        <w:t>§</w:t>
      </w:r>
      <w:r>
        <w:t xml:space="preserve"> 601 (5) definition of “small governmental jurisdiction” does not include States.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D4" w:rsidRDefault="000D5F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7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D4" w:rsidRDefault="000D5F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75" o:spid="_x0000_s2050"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D4" w:rsidRDefault="000D5F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73" o:spid="_x0000_s2051" type="#_x0000_t136" style="position:absolute;margin-left:0;margin-top:0;width:412.4pt;height:247.45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7340"/>
    <w:multiLevelType w:val="hybridMultilevel"/>
    <w:tmpl w:val="3D8214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F25A06"/>
    <w:multiLevelType w:val="hybridMultilevel"/>
    <w:tmpl w:val="1CF419A0"/>
    <w:lvl w:ilvl="0" w:tplc="18F01E9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583543"/>
    <w:multiLevelType w:val="hybridMultilevel"/>
    <w:tmpl w:val="12E075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801E7B"/>
    <w:multiLevelType w:val="hybridMultilevel"/>
    <w:tmpl w:val="1988F8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B92321"/>
    <w:multiLevelType w:val="hybridMultilevel"/>
    <w:tmpl w:val="55B8D1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517DE"/>
    <w:multiLevelType w:val="hybridMultilevel"/>
    <w:tmpl w:val="9A9850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B835F2"/>
    <w:multiLevelType w:val="hybridMultilevel"/>
    <w:tmpl w:val="8B5E14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6C52FD"/>
    <w:multiLevelType w:val="hybridMultilevel"/>
    <w:tmpl w:val="FE689D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7B1466"/>
    <w:multiLevelType w:val="hybridMultilevel"/>
    <w:tmpl w:val="8F5E8BA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615446"/>
    <w:multiLevelType w:val="hybridMultilevel"/>
    <w:tmpl w:val="D9320C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6001C8"/>
    <w:multiLevelType w:val="hybridMultilevel"/>
    <w:tmpl w:val="55B8D1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B708DB"/>
    <w:multiLevelType w:val="hybridMultilevel"/>
    <w:tmpl w:val="C7CEE6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B8239F"/>
    <w:multiLevelType w:val="hybridMultilevel"/>
    <w:tmpl w:val="D1B46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BA39A7"/>
    <w:multiLevelType w:val="hybridMultilevel"/>
    <w:tmpl w:val="EBB292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EE78FB"/>
    <w:multiLevelType w:val="hybridMultilevel"/>
    <w:tmpl w:val="073CCD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334409"/>
    <w:multiLevelType w:val="hybridMultilevel"/>
    <w:tmpl w:val="374E1D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2"/>
  </w:num>
  <w:num w:numId="4">
    <w:abstractNumId w:val="4"/>
  </w:num>
  <w:num w:numId="5">
    <w:abstractNumId w:val="10"/>
  </w:num>
  <w:num w:numId="6">
    <w:abstractNumId w:val="0"/>
  </w:num>
  <w:num w:numId="7">
    <w:abstractNumId w:val="8"/>
  </w:num>
  <w:num w:numId="8">
    <w:abstractNumId w:val="3"/>
  </w:num>
  <w:num w:numId="9">
    <w:abstractNumId w:val="15"/>
  </w:num>
  <w:num w:numId="10">
    <w:abstractNumId w:val="14"/>
  </w:num>
  <w:num w:numId="11">
    <w:abstractNumId w:val="5"/>
  </w:num>
  <w:num w:numId="12">
    <w:abstractNumId w:val="11"/>
  </w:num>
  <w:num w:numId="13">
    <w:abstractNumId w:val="2"/>
  </w:num>
  <w:num w:numId="14">
    <w:abstractNumId w:val="7"/>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04940"/>
    <w:rsid w:val="00000F06"/>
    <w:rsid w:val="00006948"/>
    <w:rsid w:val="00011708"/>
    <w:rsid w:val="000133EE"/>
    <w:rsid w:val="000135DE"/>
    <w:rsid w:val="00020065"/>
    <w:rsid w:val="000221BD"/>
    <w:rsid w:val="000230CD"/>
    <w:rsid w:val="000233E7"/>
    <w:rsid w:val="0002360E"/>
    <w:rsid w:val="00023BEE"/>
    <w:rsid w:val="000340C2"/>
    <w:rsid w:val="00034346"/>
    <w:rsid w:val="000409D4"/>
    <w:rsid w:val="000575F6"/>
    <w:rsid w:val="00061E14"/>
    <w:rsid w:val="00065539"/>
    <w:rsid w:val="00072A11"/>
    <w:rsid w:val="00074A56"/>
    <w:rsid w:val="00082B19"/>
    <w:rsid w:val="00085978"/>
    <w:rsid w:val="00090045"/>
    <w:rsid w:val="00090F1E"/>
    <w:rsid w:val="00092F2A"/>
    <w:rsid w:val="00097E93"/>
    <w:rsid w:val="000A3A38"/>
    <w:rsid w:val="000A7A67"/>
    <w:rsid w:val="000B185D"/>
    <w:rsid w:val="000D10E0"/>
    <w:rsid w:val="000D294F"/>
    <w:rsid w:val="000D45AB"/>
    <w:rsid w:val="000D5FAE"/>
    <w:rsid w:val="000D7920"/>
    <w:rsid w:val="000D7F12"/>
    <w:rsid w:val="000F58B4"/>
    <w:rsid w:val="000F7999"/>
    <w:rsid w:val="00104940"/>
    <w:rsid w:val="001056E5"/>
    <w:rsid w:val="00115763"/>
    <w:rsid w:val="00117381"/>
    <w:rsid w:val="00124C87"/>
    <w:rsid w:val="00146EBC"/>
    <w:rsid w:val="00152FE0"/>
    <w:rsid w:val="001530EA"/>
    <w:rsid w:val="00154591"/>
    <w:rsid w:val="00157124"/>
    <w:rsid w:val="001629EB"/>
    <w:rsid w:val="001652E1"/>
    <w:rsid w:val="001660D1"/>
    <w:rsid w:val="001667C2"/>
    <w:rsid w:val="00174FA6"/>
    <w:rsid w:val="001814F9"/>
    <w:rsid w:val="001952E0"/>
    <w:rsid w:val="00197809"/>
    <w:rsid w:val="00197D14"/>
    <w:rsid w:val="001A76CD"/>
    <w:rsid w:val="001B0CDF"/>
    <w:rsid w:val="001B591C"/>
    <w:rsid w:val="001C4651"/>
    <w:rsid w:val="001C6ACA"/>
    <w:rsid w:val="001D5171"/>
    <w:rsid w:val="001D744A"/>
    <w:rsid w:val="001E0777"/>
    <w:rsid w:val="001E2B8D"/>
    <w:rsid w:val="001F0ADD"/>
    <w:rsid w:val="001F6643"/>
    <w:rsid w:val="001F68D3"/>
    <w:rsid w:val="001F6A66"/>
    <w:rsid w:val="00205007"/>
    <w:rsid w:val="002053D9"/>
    <w:rsid w:val="002102D1"/>
    <w:rsid w:val="00210D48"/>
    <w:rsid w:val="002168DE"/>
    <w:rsid w:val="0022289F"/>
    <w:rsid w:val="00222961"/>
    <w:rsid w:val="0022378D"/>
    <w:rsid w:val="00223F77"/>
    <w:rsid w:val="002255D4"/>
    <w:rsid w:val="00231633"/>
    <w:rsid w:val="00236D55"/>
    <w:rsid w:val="002372B2"/>
    <w:rsid w:val="00241958"/>
    <w:rsid w:val="0026001D"/>
    <w:rsid w:val="002601BF"/>
    <w:rsid w:val="00260256"/>
    <w:rsid w:val="0026355F"/>
    <w:rsid w:val="00274A54"/>
    <w:rsid w:val="002819D1"/>
    <w:rsid w:val="002906C7"/>
    <w:rsid w:val="00292CA4"/>
    <w:rsid w:val="002B1C59"/>
    <w:rsid w:val="002B677B"/>
    <w:rsid w:val="002B7161"/>
    <w:rsid w:val="002B7726"/>
    <w:rsid w:val="002C1B5B"/>
    <w:rsid w:val="002C1B6A"/>
    <w:rsid w:val="002C3C4C"/>
    <w:rsid w:val="002C682B"/>
    <w:rsid w:val="002D3DA4"/>
    <w:rsid w:val="002D47B2"/>
    <w:rsid w:val="002D6D8D"/>
    <w:rsid w:val="002E3B89"/>
    <w:rsid w:val="002F0B7B"/>
    <w:rsid w:val="002F44FD"/>
    <w:rsid w:val="002F79E2"/>
    <w:rsid w:val="00302A23"/>
    <w:rsid w:val="00303757"/>
    <w:rsid w:val="00305FB0"/>
    <w:rsid w:val="0031613D"/>
    <w:rsid w:val="00316473"/>
    <w:rsid w:val="00324391"/>
    <w:rsid w:val="00334E00"/>
    <w:rsid w:val="00366E33"/>
    <w:rsid w:val="003730C3"/>
    <w:rsid w:val="00377CE2"/>
    <w:rsid w:val="0038511D"/>
    <w:rsid w:val="00386334"/>
    <w:rsid w:val="0038799B"/>
    <w:rsid w:val="003879F1"/>
    <w:rsid w:val="00390D0D"/>
    <w:rsid w:val="003919ED"/>
    <w:rsid w:val="00393222"/>
    <w:rsid w:val="00393FBF"/>
    <w:rsid w:val="003A1972"/>
    <w:rsid w:val="003A2B56"/>
    <w:rsid w:val="003A5E05"/>
    <w:rsid w:val="003A77F8"/>
    <w:rsid w:val="003B4D86"/>
    <w:rsid w:val="003B71C3"/>
    <w:rsid w:val="003B7204"/>
    <w:rsid w:val="003B74F8"/>
    <w:rsid w:val="003B7CCD"/>
    <w:rsid w:val="003C10E5"/>
    <w:rsid w:val="003C3F18"/>
    <w:rsid w:val="003C42BA"/>
    <w:rsid w:val="003C6FB6"/>
    <w:rsid w:val="003D7031"/>
    <w:rsid w:val="003E4CE7"/>
    <w:rsid w:val="003E4D74"/>
    <w:rsid w:val="003E6542"/>
    <w:rsid w:val="003E66A6"/>
    <w:rsid w:val="003E6AFA"/>
    <w:rsid w:val="003F22A2"/>
    <w:rsid w:val="003F3E7F"/>
    <w:rsid w:val="00400FB9"/>
    <w:rsid w:val="00407F60"/>
    <w:rsid w:val="0041142A"/>
    <w:rsid w:val="00413F41"/>
    <w:rsid w:val="004203E3"/>
    <w:rsid w:val="00424940"/>
    <w:rsid w:val="00424D33"/>
    <w:rsid w:val="00425615"/>
    <w:rsid w:val="00440B27"/>
    <w:rsid w:val="0044335A"/>
    <w:rsid w:val="004434E5"/>
    <w:rsid w:val="0044427D"/>
    <w:rsid w:val="00444A45"/>
    <w:rsid w:val="00455896"/>
    <w:rsid w:val="004579F7"/>
    <w:rsid w:val="0046051C"/>
    <w:rsid w:val="00465EC2"/>
    <w:rsid w:val="0046685F"/>
    <w:rsid w:val="00466B4D"/>
    <w:rsid w:val="0049189A"/>
    <w:rsid w:val="004928DD"/>
    <w:rsid w:val="00495651"/>
    <w:rsid w:val="0049595E"/>
    <w:rsid w:val="0049610B"/>
    <w:rsid w:val="0049672A"/>
    <w:rsid w:val="004A0B44"/>
    <w:rsid w:val="004A48C7"/>
    <w:rsid w:val="004B7D57"/>
    <w:rsid w:val="004C384F"/>
    <w:rsid w:val="004C68BC"/>
    <w:rsid w:val="004C7AA4"/>
    <w:rsid w:val="004D1147"/>
    <w:rsid w:val="004D30E2"/>
    <w:rsid w:val="004D72D1"/>
    <w:rsid w:val="004E369E"/>
    <w:rsid w:val="004E483D"/>
    <w:rsid w:val="004E5583"/>
    <w:rsid w:val="004F24FE"/>
    <w:rsid w:val="0050112C"/>
    <w:rsid w:val="00503912"/>
    <w:rsid w:val="00505F70"/>
    <w:rsid w:val="00510DBD"/>
    <w:rsid w:val="0051198B"/>
    <w:rsid w:val="00514BD9"/>
    <w:rsid w:val="005212BC"/>
    <w:rsid w:val="00534D4E"/>
    <w:rsid w:val="00544A0F"/>
    <w:rsid w:val="00547021"/>
    <w:rsid w:val="00547D00"/>
    <w:rsid w:val="0055066C"/>
    <w:rsid w:val="00551819"/>
    <w:rsid w:val="0055713D"/>
    <w:rsid w:val="0055797D"/>
    <w:rsid w:val="00562C0F"/>
    <w:rsid w:val="0057064A"/>
    <w:rsid w:val="00570C4F"/>
    <w:rsid w:val="00571EB7"/>
    <w:rsid w:val="0057364B"/>
    <w:rsid w:val="00580BB8"/>
    <w:rsid w:val="0058350B"/>
    <w:rsid w:val="005842FD"/>
    <w:rsid w:val="00586790"/>
    <w:rsid w:val="00586E9E"/>
    <w:rsid w:val="00593A35"/>
    <w:rsid w:val="005A0034"/>
    <w:rsid w:val="005A0552"/>
    <w:rsid w:val="005A0D4C"/>
    <w:rsid w:val="005A375B"/>
    <w:rsid w:val="005A5BE3"/>
    <w:rsid w:val="005B195C"/>
    <w:rsid w:val="005B33C8"/>
    <w:rsid w:val="005B3676"/>
    <w:rsid w:val="005C2138"/>
    <w:rsid w:val="005C3BC4"/>
    <w:rsid w:val="005C5BD9"/>
    <w:rsid w:val="005C5BDB"/>
    <w:rsid w:val="005C73B7"/>
    <w:rsid w:val="005D0379"/>
    <w:rsid w:val="005D0D0C"/>
    <w:rsid w:val="005D2F95"/>
    <w:rsid w:val="005D4394"/>
    <w:rsid w:val="005D4FAD"/>
    <w:rsid w:val="005E3BFC"/>
    <w:rsid w:val="005E7EE6"/>
    <w:rsid w:val="005F303D"/>
    <w:rsid w:val="005F44CA"/>
    <w:rsid w:val="005F5928"/>
    <w:rsid w:val="006019BB"/>
    <w:rsid w:val="00605158"/>
    <w:rsid w:val="00605A12"/>
    <w:rsid w:val="00606468"/>
    <w:rsid w:val="0061025F"/>
    <w:rsid w:val="00610D1E"/>
    <w:rsid w:val="00613376"/>
    <w:rsid w:val="0061391F"/>
    <w:rsid w:val="00613CD4"/>
    <w:rsid w:val="006151A5"/>
    <w:rsid w:val="00620F48"/>
    <w:rsid w:val="006222C0"/>
    <w:rsid w:val="006226BA"/>
    <w:rsid w:val="00623ADD"/>
    <w:rsid w:val="00624676"/>
    <w:rsid w:val="006250FA"/>
    <w:rsid w:val="00625BEB"/>
    <w:rsid w:val="00626D05"/>
    <w:rsid w:val="00630904"/>
    <w:rsid w:val="00630F0E"/>
    <w:rsid w:val="006327CB"/>
    <w:rsid w:val="006376A7"/>
    <w:rsid w:val="00641E3A"/>
    <w:rsid w:val="0064575F"/>
    <w:rsid w:val="0064771D"/>
    <w:rsid w:val="00652AD7"/>
    <w:rsid w:val="006552DE"/>
    <w:rsid w:val="0066314F"/>
    <w:rsid w:val="00663825"/>
    <w:rsid w:val="00665A6C"/>
    <w:rsid w:val="0067419C"/>
    <w:rsid w:val="0068280D"/>
    <w:rsid w:val="00683559"/>
    <w:rsid w:val="00683A84"/>
    <w:rsid w:val="00685306"/>
    <w:rsid w:val="00686886"/>
    <w:rsid w:val="00690F0A"/>
    <w:rsid w:val="00696CC6"/>
    <w:rsid w:val="006A129E"/>
    <w:rsid w:val="006A3F4A"/>
    <w:rsid w:val="006A68D1"/>
    <w:rsid w:val="006A78B2"/>
    <w:rsid w:val="006B08AA"/>
    <w:rsid w:val="006B2F7E"/>
    <w:rsid w:val="006B5B5E"/>
    <w:rsid w:val="006C2FE2"/>
    <w:rsid w:val="006C6BE1"/>
    <w:rsid w:val="006C6C75"/>
    <w:rsid w:val="006C7466"/>
    <w:rsid w:val="006C7935"/>
    <w:rsid w:val="006D0445"/>
    <w:rsid w:val="006D380D"/>
    <w:rsid w:val="006D4909"/>
    <w:rsid w:val="006E0B79"/>
    <w:rsid w:val="006E36A7"/>
    <w:rsid w:val="006F435E"/>
    <w:rsid w:val="006F5AF8"/>
    <w:rsid w:val="006F6634"/>
    <w:rsid w:val="006F7DF2"/>
    <w:rsid w:val="007100A9"/>
    <w:rsid w:val="00716379"/>
    <w:rsid w:val="00716BA7"/>
    <w:rsid w:val="00720568"/>
    <w:rsid w:val="00737750"/>
    <w:rsid w:val="00741534"/>
    <w:rsid w:val="00741639"/>
    <w:rsid w:val="00774881"/>
    <w:rsid w:val="00775D58"/>
    <w:rsid w:val="007774A7"/>
    <w:rsid w:val="00784929"/>
    <w:rsid w:val="007851DD"/>
    <w:rsid w:val="00786861"/>
    <w:rsid w:val="00786BCC"/>
    <w:rsid w:val="00791C88"/>
    <w:rsid w:val="00792C76"/>
    <w:rsid w:val="00796039"/>
    <w:rsid w:val="0079646D"/>
    <w:rsid w:val="00796AA0"/>
    <w:rsid w:val="007A0A43"/>
    <w:rsid w:val="007A0AE1"/>
    <w:rsid w:val="007A3297"/>
    <w:rsid w:val="007A3AD7"/>
    <w:rsid w:val="007B270C"/>
    <w:rsid w:val="007B2795"/>
    <w:rsid w:val="007B4E81"/>
    <w:rsid w:val="007B5F20"/>
    <w:rsid w:val="007C098D"/>
    <w:rsid w:val="007D283C"/>
    <w:rsid w:val="007D4EA5"/>
    <w:rsid w:val="007E3F90"/>
    <w:rsid w:val="007E710B"/>
    <w:rsid w:val="007F0539"/>
    <w:rsid w:val="007F4104"/>
    <w:rsid w:val="007F562C"/>
    <w:rsid w:val="007F7C62"/>
    <w:rsid w:val="00807BDF"/>
    <w:rsid w:val="00813EFA"/>
    <w:rsid w:val="00817B56"/>
    <w:rsid w:val="008210EE"/>
    <w:rsid w:val="008214F1"/>
    <w:rsid w:val="00822F87"/>
    <w:rsid w:val="00825FA0"/>
    <w:rsid w:val="008273C0"/>
    <w:rsid w:val="008317D8"/>
    <w:rsid w:val="008331FD"/>
    <w:rsid w:val="008425E7"/>
    <w:rsid w:val="00842A06"/>
    <w:rsid w:val="0084700A"/>
    <w:rsid w:val="008471E6"/>
    <w:rsid w:val="00854F0C"/>
    <w:rsid w:val="00861BC4"/>
    <w:rsid w:val="008640BE"/>
    <w:rsid w:val="0086789F"/>
    <w:rsid w:val="00870924"/>
    <w:rsid w:val="008820BB"/>
    <w:rsid w:val="008854FD"/>
    <w:rsid w:val="00887256"/>
    <w:rsid w:val="008919F3"/>
    <w:rsid w:val="00895210"/>
    <w:rsid w:val="008A5738"/>
    <w:rsid w:val="008B0A0E"/>
    <w:rsid w:val="008B4F28"/>
    <w:rsid w:val="008C44BE"/>
    <w:rsid w:val="008C5005"/>
    <w:rsid w:val="008C7E66"/>
    <w:rsid w:val="008D2E7B"/>
    <w:rsid w:val="008D555C"/>
    <w:rsid w:val="008D7A8C"/>
    <w:rsid w:val="008E02DB"/>
    <w:rsid w:val="008E2D7D"/>
    <w:rsid w:val="008E4710"/>
    <w:rsid w:val="008F774C"/>
    <w:rsid w:val="009002F3"/>
    <w:rsid w:val="009040B8"/>
    <w:rsid w:val="009079B5"/>
    <w:rsid w:val="00913AE8"/>
    <w:rsid w:val="009178CA"/>
    <w:rsid w:val="00933B69"/>
    <w:rsid w:val="009400B3"/>
    <w:rsid w:val="00941767"/>
    <w:rsid w:val="00941DE2"/>
    <w:rsid w:val="00943119"/>
    <w:rsid w:val="00947692"/>
    <w:rsid w:val="0095197E"/>
    <w:rsid w:val="00953134"/>
    <w:rsid w:val="00955C7A"/>
    <w:rsid w:val="00961923"/>
    <w:rsid w:val="00962246"/>
    <w:rsid w:val="00963308"/>
    <w:rsid w:val="00963F9D"/>
    <w:rsid w:val="0096740D"/>
    <w:rsid w:val="0097363E"/>
    <w:rsid w:val="009766CF"/>
    <w:rsid w:val="00982B14"/>
    <w:rsid w:val="009831E4"/>
    <w:rsid w:val="00984269"/>
    <w:rsid w:val="00990B51"/>
    <w:rsid w:val="00997665"/>
    <w:rsid w:val="009A2341"/>
    <w:rsid w:val="009A44CD"/>
    <w:rsid w:val="009B1DCF"/>
    <w:rsid w:val="009B27D9"/>
    <w:rsid w:val="009B5DD2"/>
    <w:rsid w:val="009B6DC1"/>
    <w:rsid w:val="009B74BB"/>
    <w:rsid w:val="009D18B1"/>
    <w:rsid w:val="009D2C7C"/>
    <w:rsid w:val="009E3F39"/>
    <w:rsid w:val="009E688D"/>
    <w:rsid w:val="009F21B2"/>
    <w:rsid w:val="00A003C2"/>
    <w:rsid w:val="00A040B7"/>
    <w:rsid w:val="00A10E23"/>
    <w:rsid w:val="00A12AA0"/>
    <w:rsid w:val="00A17FE8"/>
    <w:rsid w:val="00A22613"/>
    <w:rsid w:val="00A24172"/>
    <w:rsid w:val="00A26008"/>
    <w:rsid w:val="00A271D7"/>
    <w:rsid w:val="00A34374"/>
    <w:rsid w:val="00A41008"/>
    <w:rsid w:val="00A420CB"/>
    <w:rsid w:val="00A45BA6"/>
    <w:rsid w:val="00A54273"/>
    <w:rsid w:val="00A562CE"/>
    <w:rsid w:val="00A619C6"/>
    <w:rsid w:val="00A67DB5"/>
    <w:rsid w:val="00A758F6"/>
    <w:rsid w:val="00A81154"/>
    <w:rsid w:val="00AB1EA6"/>
    <w:rsid w:val="00AB30A1"/>
    <w:rsid w:val="00AC27BB"/>
    <w:rsid w:val="00AC35A7"/>
    <w:rsid w:val="00AC3CE6"/>
    <w:rsid w:val="00AC5821"/>
    <w:rsid w:val="00AC6CE9"/>
    <w:rsid w:val="00AC74E2"/>
    <w:rsid w:val="00AD01CE"/>
    <w:rsid w:val="00AD6BDD"/>
    <w:rsid w:val="00AD6CB1"/>
    <w:rsid w:val="00AD7F48"/>
    <w:rsid w:val="00AE2543"/>
    <w:rsid w:val="00AE2705"/>
    <w:rsid w:val="00AF71FD"/>
    <w:rsid w:val="00B01C68"/>
    <w:rsid w:val="00B050E7"/>
    <w:rsid w:val="00B1238B"/>
    <w:rsid w:val="00B12B11"/>
    <w:rsid w:val="00B157C4"/>
    <w:rsid w:val="00B2018A"/>
    <w:rsid w:val="00B254FB"/>
    <w:rsid w:val="00B27B44"/>
    <w:rsid w:val="00B312FC"/>
    <w:rsid w:val="00B33805"/>
    <w:rsid w:val="00B35E97"/>
    <w:rsid w:val="00B418C9"/>
    <w:rsid w:val="00B44F83"/>
    <w:rsid w:val="00B45730"/>
    <w:rsid w:val="00B4606F"/>
    <w:rsid w:val="00B5121F"/>
    <w:rsid w:val="00B544AB"/>
    <w:rsid w:val="00B54E45"/>
    <w:rsid w:val="00B54ED1"/>
    <w:rsid w:val="00B56D0E"/>
    <w:rsid w:val="00B60D40"/>
    <w:rsid w:val="00B621A5"/>
    <w:rsid w:val="00B636ED"/>
    <w:rsid w:val="00B65821"/>
    <w:rsid w:val="00B67F8C"/>
    <w:rsid w:val="00B72254"/>
    <w:rsid w:val="00B72CCC"/>
    <w:rsid w:val="00B76F57"/>
    <w:rsid w:val="00B87D79"/>
    <w:rsid w:val="00B9339B"/>
    <w:rsid w:val="00B9560C"/>
    <w:rsid w:val="00B9765F"/>
    <w:rsid w:val="00BA2CB4"/>
    <w:rsid w:val="00BA30DB"/>
    <w:rsid w:val="00BA423B"/>
    <w:rsid w:val="00BA5AD1"/>
    <w:rsid w:val="00BB0C35"/>
    <w:rsid w:val="00BC45A5"/>
    <w:rsid w:val="00BC5C7C"/>
    <w:rsid w:val="00BC675E"/>
    <w:rsid w:val="00BD7CD3"/>
    <w:rsid w:val="00BE5371"/>
    <w:rsid w:val="00BF7431"/>
    <w:rsid w:val="00C014D2"/>
    <w:rsid w:val="00C13C3A"/>
    <w:rsid w:val="00C21311"/>
    <w:rsid w:val="00C45DA4"/>
    <w:rsid w:val="00C470BC"/>
    <w:rsid w:val="00C55ED2"/>
    <w:rsid w:val="00C56355"/>
    <w:rsid w:val="00C56543"/>
    <w:rsid w:val="00C61E8B"/>
    <w:rsid w:val="00C7346E"/>
    <w:rsid w:val="00C813F4"/>
    <w:rsid w:val="00C83405"/>
    <w:rsid w:val="00C85E66"/>
    <w:rsid w:val="00C93F7E"/>
    <w:rsid w:val="00C93FDF"/>
    <w:rsid w:val="00CA522F"/>
    <w:rsid w:val="00CC05DF"/>
    <w:rsid w:val="00CC064F"/>
    <w:rsid w:val="00CC3E4B"/>
    <w:rsid w:val="00CC77F7"/>
    <w:rsid w:val="00CD0F3C"/>
    <w:rsid w:val="00CD110C"/>
    <w:rsid w:val="00CD6213"/>
    <w:rsid w:val="00CE1236"/>
    <w:rsid w:val="00CE324B"/>
    <w:rsid w:val="00CF0390"/>
    <w:rsid w:val="00CF4504"/>
    <w:rsid w:val="00CF4E4B"/>
    <w:rsid w:val="00CF6519"/>
    <w:rsid w:val="00CF7CE6"/>
    <w:rsid w:val="00D04EB3"/>
    <w:rsid w:val="00D06DF4"/>
    <w:rsid w:val="00D119F9"/>
    <w:rsid w:val="00D1222C"/>
    <w:rsid w:val="00D13BF0"/>
    <w:rsid w:val="00D14992"/>
    <w:rsid w:val="00D36500"/>
    <w:rsid w:val="00D37B65"/>
    <w:rsid w:val="00D40E62"/>
    <w:rsid w:val="00D41030"/>
    <w:rsid w:val="00D470AA"/>
    <w:rsid w:val="00D51367"/>
    <w:rsid w:val="00D62A07"/>
    <w:rsid w:val="00D630B4"/>
    <w:rsid w:val="00D63FAE"/>
    <w:rsid w:val="00D63FDE"/>
    <w:rsid w:val="00D659AD"/>
    <w:rsid w:val="00D666B0"/>
    <w:rsid w:val="00D82320"/>
    <w:rsid w:val="00D90F8A"/>
    <w:rsid w:val="00D97807"/>
    <w:rsid w:val="00DB5ADE"/>
    <w:rsid w:val="00DC0305"/>
    <w:rsid w:val="00DD5E67"/>
    <w:rsid w:val="00DD75BD"/>
    <w:rsid w:val="00DE2E6C"/>
    <w:rsid w:val="00DE411F"/>
    <w:rsid w:val="00DE6DE9"/>
    <w:rsid w:val="00DE749E"/>
    <w:rsid w:val="00DF1C5D"/>
    <w:rsid w:val="00DF25B9"/>
    <w:rsid w:val="00E01F1F"/>
    <w:rsid w:val="00E10D41"/>
    <w:rsid w:val="00E12B9C"/>
    <w:rsid w:val="00E247E7"/>
    <w:rsid w:val="00E2684C"/>
    <w:rsid w:val="00E27CE4"/>
    <w:rsid w:val="00E34A7A"/>
    <w:rsid w:val="00E359D5"/>
    <w:rsid w:val="00E35EE0"/>
    <w:rsid w:val="00E37150"/>
    <w:rsid w:val="00E52978"/>
    <w:rsid w:val="00E532BF"/>
    <w:rsid w:val="00E57758"/>
    <w:rsid w:val="00E629E7"/>
    <w:rsid w:val="00E62F05"/>
    <w:rsid w:val="00E64790"/>
    <w:rsid w:val="00E67753"/>
    <w:rsid w:val="00E6779A"/>
    <w:rsid w:val="00E67AF3"/>
    <w:rsid w:val="00E70831"/>
    <w:rsid w:val="00E72C82"/>
    <w:rsid w:val="00E76B70"/>
    <w:rsid w:val="00E77FBE"/>
    <w:rsid w:val="00E9015B"/>
    <w:rsid w:val="00EB1C2C"/>
    <w:rsid w:val="00EB65B7"/>
    <w:rsid w:val="00EB7CBA"/>
    <w:rsid w:val="00EC587F"/>
    <w:rsid w:val="00ED447D"/>
    <w:rsid w:val="00ED526B"/>
    <w:rsid w:val="00EE01F3"/>
    <w:rsid w:val="00EF0A12"/>
    <w:rsid w:val="00EF14D3"/>
    <w:rsid w:val="00EF6A9F"/>
    <w:rsid w:val="00EF6C27"/>
    <w:rsid w:val="00EF6D79"/>
    <w:rsid w:val="00F014EF"/>
    <w:rsid w:val="00F07F5E"/>
    <w:rsid w:val="00F10DFE"/>
    <w:rsid w:val="00F11E02"/>
    <w:rsid w:val="00F1240F"/>
    <w:rsid w:val="00F127BF"/>
    <w:rsid w:val="00F147E9"/>
    <w:rsid w:val="00F17674"/>
    <w:rsid w:val="00F17BCD"/>
    <w:rsid w:val="00F22233"/>
    <w:rsid w:val="00F3567F"/>
    <w:rsid w:val="00F361E0"/>
    <w:rsid w:val="00F46E3D"/>
    <w:rsid w:val="00F50EA0"/>
    <w:rsid w:val="00F53FE6"/>
    <w:rsid w:val="00F57009"/>
    <w:rsid w:val="00F602A0"/>
    <w:rsid w:val="00F61372"/>
    <w:rsid w:val="00F638D4"/>
    <w:rsid w:val="00F643D1"/>
    <w:rsid w:val="00F668D9"/>
    <w:rsid w:val="00F71F46"/>
    <w:rsid w:val="00F722DC"/>
    <w:rsid w:val="00F82E33"/>
    <w:rsid w:val="00F85097"/>
    <w:rsid w:val="00F85F36"/>
    <w:rsid w:val="00F913EB"/>
    <w:rsid w:val="00F91DAA"/>
    <w:rsid w:val="00F93957"/>
    <w:rsid w:val="00F95CC9"/>
    <w:rsid w:val="00F96D38"/>
    <w:rsid w:val="00FA249D"/>
    <w:rsid w:val="00FA3DB3"/>
    <w:rsid w:val="00FB028A"/>
    <w:rsid w:val="00FB34DF"/>
    <w:rsid w:val="00FB390C"/>
    <w:rsid w:val="00FB3ACB"/>
    <w:rsid w:val="00FB3AD6"/>
    <w:rsid w:val="00FC13EB"/>
    <w:rsid w:val="00FC4F58"/>
    <w:rsid w:val="00FD242D"/>
    <w:rsid w:val="00FE1B54"/>
    <w:rsid w:val="00FE5CAE"/>
    <w:rsid w:val="00FE72B1"/>
    <w:rsid w:val="00FE7793"/>
    <w:rsid w:val="00FF0F3E"/>
    <w:rsid w:val="00FF7410"/>
    <w:rsid w:val="00FF794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semiHidden="0" w:unhideWhenUsed="0" w:qFormat="1"/>
    <w:lsdException w:name="footnote reference" w:unhideWhenUsed="0"/>
    <w:lsdException w:name="annotation reference" w:unhideWhenUsed="0"/>
    <w:lsdException w:name="endnote reference" w:unhideWhenUsed="0"/>
    <w:lsdException w:name="endnote text"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2E1"/>
    <w:pPr>
      <w:spacing w:after="200" w:line="276" w:lineRule="auto"/>
    </w:pPr>
    <w:rPr>
      <w:sz w:val="22"/>
      <w:szCs w:val="22"/>
    </w:rPr>
  </w:style>
  <w:style w:type="paragraph" w:styleId="Heading1">
    <w:name w:val="heading 1"/>
    <w:basedOn w:val="Normal"/>
    <w:next w:val="Normal"/>
    <w:link w:val="Heading1Char"/>
    <w:uiPriority w:val="99"/>
    <w:qFormat/>
    <w:rsid w:val="00104940"/>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570C4F"/>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04940"/>
    <w:rPr>
      <w:rFonts w:ascii="Cambria" w:hAnsi="Cambria" w:cs="Times New Roman"/>
      <w:b/>
      <w:bCs/>
      <w:color w:val="365F91"/>
      <w:sz w:val="28"/>
    </w:rPr>
  </w:style>
  <w:style w:type="character" w:customStyle="1" w:styleId="Heading2Char">
    <w:name w:val="Heading 2 Char"/>
    <w:basedOn w:val="DefaultParagraphFont"/>
    <w:link w:val="Heading2"/>
    <w:uiPriority w:val="99"/>
    <w:rsid w:val="00570C4F"/>
    <w:rPr>
      <w:rFonts w:ascii="Cambria" w:hAnsi="Cambria" w:cs="Times New Roman"/>
      <w:b/>
      <w:bCs/>
      <w:color w:val="4F81BD"/>
      <w:sz w:val="26"/>
    </w:rPr>
  </w:style>
  <w:style w:type="paragraph" w:styleId="Title">
    <w:name w:val="Title"/>
    <w:basedOn w:val="Normal"/>
    <w:next w:val="Normal"/>
    <w:link w:val="TitleChar"/>
    <w:uiPriority w:val="99"/>
    <w:qFormat/>
    <w:rsid w:val="0010494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rsid w:val="00104940"/>
    <w:rPr>
      <w:rFonts w:ascii="Cambria" w:hAnsi="Cambria" w:cs="Times New Roman"/>
      <w:color w:val="17365D"/>
      <w:spacing w:val="5"/>
      <w:kern w:val="28"/>
      <w:sz w:val="52"/>
    </w:rPr>
  </w:style>
  <w:style w:type="paragraph" w:styleId="ListParagraph">
    <w:name w:val="List Paragraph"/>
    <w:basedOn w:val="Normal"/>
    <w:uiPriority w:val="99"/>
    <w:qFormat/>
    <w:rsid w:val="00104940"/>
    <w:pPr>
      <w:ind w:left="720"/>
      <w:contextualSpacing/>
    </w:pPr>
  </w:style>
  <w:style w:type="character" w:styleId="CommentReference">
    <w:name w:val="annotation reference"/>
    <w:basedOn w:val="DefaultParagraphFont"/>
    <w:uiPriority w:val="99"/>
    <w:semiHidden/>
    <w:rsid w:val="0055713D"/>
    <w:rPr>
      <w:rFonts w:cs="Times New Roman"/>
      <w:sz w:val="16"/>
    </w:rPr>
  </w:style>
  <w:style w:type="paragraph" w:styleId="CommentText">
    <w:name w:val="annotation text"/>
    <w:basedOn w:val="Normal"/>
    <w:link w:val="CommentTextChar"/>
    <w:uiPriority w:val="99"/>
    <w:semiHidden/>
    <w:rsid w:val="0055713D"/>
    <w:pPr>
      <w:spacing w:line="240" w:lineRule="auto"/>
    </w:pPr>
    <w:rPr>
      <w:sz w:val="20"/>
      <w:szCs w:val="20"/>
    </w:rPr>
  </w:style>
  <w:style w:type="character" w:customStyle="1" w:styleId="CommentTextChar">
    <w:name w:val="Comment Text Char"/>
    <w:basedOn w:val="DefaultParagraphFont"/>
    <w:link w:val="CommentText"/>
    <w:uiPriority w:val="99"/>
    <w:rsid w:val="0055713D"/>
    <w:rPr>
      <w:rFonts w:cs="Times New Roman"/>
      <w:sz w:val="20"/>
    </w:rPr>
  </w:style>
  <w:style w:type="paragraph" w:styleId="CommentSubject">
    <w:name w:val="annotation subject"/>
    <w:basedOn w:val="CommentText"/>
    <w:next w:val="CommentText"/>
    <w:link w:val="CommentSubjectChar"/>
    <w:uiPriority w:val="99"/>
    <w:semiHidden/>
    <w:rsid w:val="0055713D"/>
    <w:rPr>
      <w:b/>
      <w:bCs/>
    </w:rPr>
  </w:style>
  <w:style w:type="character" w:customStyle="1" w:styleId="CommentSubjectChar">
    <w:name w:val="Comment Subject Char"/>
    <w:basedOn w:val="CommentTextChar"/>
    <w:link w:val="CommentSubject"/>
    <w:uiPriority w:val="99"/>
    <w:semiHidden/>
    <w:rsid w:val="0055713D"/>
    <w:rPr>
      <w:rFonts w:cs="Times New Roman"/>
      <w:b/>
      <w:bCs/>
      <w:sz w:val="20"/>
    </w:rPr>
  </w:style>
  <w:style w:type="paragraph" w:styleId="BalloonText">
    <w:name w:val="Balloon Text"/>
    <w:basedOn w:val="Normal"/>
    <w:link w:val="BalloonTextChar"/>
    <w:uiPriority w:val="99"/>
    <w:semiHidden/>
    <w:rsid w:val="00557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13D"/>
    <w:rPr>
      <w:rFonts w:ascii="Tahoma" w:hAnsi="Tahoma" w:cs="Tahoma"/>
      <w:sz w:val="16"/>
    </w:rPr>
  </w:style>
  <w:style w:type="paragraph" w:styleId="FootnoteText">
    <w:name w:val="footnote text"/>
    <w:basedOn w:val="Normal"/>
    <w:link w:val="FootnoteTextChar"/>
    <w:uiPriority w:val="99"/>
    <w:semiHidden/>
    <w:rsid w:val="005571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713D"/>
    <w:rPr>
      <w:rFonts w:cs="Times New Roman"/>
      <w:sz w:val="20"/>
    </w:rPr>
  </w:style>
  <w:style w:type="character" w:styleId="FootnoteReference">
    <w:name w:val="footnote reference"/>
    <w:basedOn w:val="DefaultParagraphFont"/>
    <w:uiPriority w:val="99"/>
    <w:semiHidden/>
    <w:rsid w:val="0055713D"/>
    <w:rPr>
      <w:rFonts w:cs="Times New Roman"/>
      <w:vertAlign w:val="superscript"/>
    </w:rPr>
  </w:style>
  <w:style w:type="paragraph" w:styleId="Header">
    <w:name w:val="header"/>
    <w:basedOn w:val="Normal"/>
    <w:link w:val="HeaderChar"/>
    <w:uiPriority w:val="99"/>
    <w:semiHidden/>
    <w:rsid w:val="00B56D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6D0E"/>
    <w:rPr>
      <w:rFonts w:cs="Times New Roman"/>
    </w:rPr>
  </w:style>
  <w:style w:type="paragraph" w:styleId="Footer">
    <w:name w:val="footer"/>
    <w:basedOn w:val="Normal"/>
    <w:link w:val="FooterChar"/>
    <w:uiPriority w:val="99"/>
    <w:semiHidden/>
    <w:rsid w:val="00B56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D0E"/>
    <w:rPr>
      <w:rFonts w:cs="Times New Roman"/>
    </w:rPr>
  </w:style>
  <w:style w:type="paragraph" w:styleId="Caption">
    <w:name w:val="caption"/>
    <w:basedOn w:val="Normal"/>
    <w:next w:val="Normal"/>
    <w:uiPriority w:val="99"/>
    <w:qFormat/>
    <w:rsid w:val="00652AD7"/>
    <w:pPr>
      <w:keepNext/>
      <w:spacing w:before="120" w:after="120" w:line="360" w:lineRule="auto"/>
      <w:jc w:val="center"/>
    </w:pPr>
    <w:rPr>
      <w:rFonts w:ascii="Times New Roman" w:hAnsi="Times New Roman"/>
      <w:b/>
      <w:bCs/>
      <w:sz w:val="24"/>
      <w:szCs w:val="24"/>
    </w:rPr>
  </w:style>
  <w:style w:type="paragraph" w:styleId="Revision">
    <w:name w:val="Revision"/>
    <w:hidden/>
    <w:uiPriority w:val="99"/>
    <w:semiHidden/>
    <w:rsid w:val="00630F0E"/>
    <w:rPr>
      <w:sz w:val="22"/>
      <w:szCs w:val="22"/>
    </w:rPr>
  </w:style>
  <w:style w:type="character" w:styleId="Hyperlink">
    <w:name w:val="Hyperlink"/>
    <w:basedOn w:val="DefaultParagraphFont"/>
    <w:uiPriority w:val="99"/>
    <w:rsid w:val="00716379"/>
    <w:rPr>
      <w:rFonts w:cs="Times New Roman"/>
      <w:color w:val="0000FF"/>
      <w:u w:val="single"/>
    </w:rPr>
  </w:style>
  <w:style w:type="paragraph" w:styleId="EndnoteText">
    <w:name w:val="endnote text"/>
    <w:basedOn w:val="Normal"/>
    <w:link w:val="EndnoteTextChar"/>
    <w:uiPriority w:val="99"/>
    <w:semiHidden/>
    <w:rsid w:val="00444A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4A45"/>
    <w:rPr>
      <w:rFonts w:cs="Times New Roman"/>
      <w:sz w:val="20"/>
    </w:rPr>
  </w:style>
  <w:style w:type="character" w:styleId="EndnoteReference">
    <w:name w:val="endnote reference"/>
    <w:basedOn w:val="DefaultParagraphFont"/>
    <w:uiPriority w:val="99"/>
    <w:semiHidden/>
    <w:rsid w:val="00444A45"/>
    <w:rPr>
      <w:rFonts w:cs="Times New Roman"/>
      <w:vertAlign w:val="superscript"/>
    </w:rPr>
  </w:style>
  <w:style w:type="character" w:styleId="FollowedHyperlink">
    <w:name w:val="FollowedHyperlink"/>
    <w:basedOn w:val="DefaultParagraphFont"/>
    <w:uiPriority w:val="99"/>
    <w:semiHidden/>
    <w:rsid w:val="000D7920"/>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semiHidden="0" w:unhideWhenUsed="0" w:qFormat="1"/>
    <w:lsdException w:name="footnote reference" w:unhideWhenUsed="0"/>
    <w:lsdException w:name="annotation reference" w:unhideWhenUsed="0"/>
    <w:lsdException w:name="endnote reference" w:unhideWhenUsed="0"/>
    <w:lsdException w:name="endnote text"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2E1"/>
    <w:pPr>
      <w:spacing w:after="200" w:line="276" w:lineRule="auto"/>
    </w:pPr>
    <w:rPr>
      <w:sz w:val="22"/>
      <w:szCs w:val="22"/>
    </w:rPr>
  </w:style>
  <w:style w:type="paragraph" w:styleId="Heading1">
    <w:name w:val="heading 1"/>
    <w:basedOn w:val="Normal"/>
    <w:next w:val="Normal"/>
    <w:link w:val="Heading1Char"/>
    <w:uiPriority w:val="99"/>
    <w:qFormat/>
    <w:rsid w:val="00104940"/>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570C4F"/>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04940"/>
    <w:rPr>
      <w:rFonts w:ascii="Cambria" w:hAnsi="Cambria" w:cs="Times New Roman"/>
      <w:b/>
      <w:bCs/>
      <w:color w:val="365F91"/>
      <w:sz w:val="28"/>
    </w:rPr>
  </w:style>
  <w:style w:type="character" w:customStyle="1" w:styleId="Heading2Char">
    <w:name w:val="Heading 2 Char"/>
    <w:basedOn w:val="DefaultParagraphFont"/>
    <w:link w:val="Heading2"/>
    <w:uiPriority w:val="99"/>
    <w:rsid w:val="00570C4F"/>
    <w:rPr>
      <w:rFonts w:ascii="Cambria" w:hAnsi="Cambria" w:cs="Times New Roman"/>
      <w:b/>
      <w:bCs/>
      <w:color w:val="4F81BD"/>
      <w:sz w:val="26"/>
    </w:rPr>
  </w:style>
  <w:style w:type="paragraph" w:styleId="Title">
    <w:name w:val="Title"/>
    <w:basedOn w:val="Normal"/>
    <w:next w:val="Normal"/>
    <w:link w:val="TitleChar"/>
    <w:uiPriority w:val="99"/>
    <w:qFormat/>
    <w:rsid w:val="00104940"/>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rsid w:val="00104940"/>
    <w:rPr>
      <w:rFonts w:ascii="Cambria" w:hAnsi="Cambria" w:cs="Times New Roman"/>
      <w:color w:val="17365D"/>
      <w:spacing w:val="5"/>
      <w:kern w:val="28"/>
      <w:sz w:val="52"/>
    </w:rPr>
  </w:style>
  <w:style w:type="paragraph" w:styleId="ListParagraph">
    <w:name w:val="List Paragraph"/>
    <w:basedOn w:val="Normal"/>
    <w:uiPriority w:val="99"/>
    <w:qFormat/>
    <w:rsid w:val="00104940"/>
    <w:pPr>
      <w:ind w:left="720"/>
      <w:contextualSpacing/>
    </w:pPr>
  </w:style>
  <w:style w:type="character" w:styleId="CommentReference">
    <w:name w:val="annotation reference"/>
    <w:basedOn w:val="DefaultParagraphFont"/>
    <w:uiPriority w:val="99"/>
    <w:semiHidden/>
    <w:rsid w:val="0055713D"/>
    <w:rPr>
      <w:rFonts w:cs="Times New Roman"/>
      <w:sz w:val="16"/>
    </w:rPr>
  </w:style>
  <w:style w:type="paragraph" w:styleId="CommentText">
    <w:name w:val="annotation text"/>
    <w:basedOn w:val="Normal"/>
    <w:link w:val="CommentTextChar"/>
    <w:uiPriority w:val="99"/>
    <w:semiHidden/>
    <w:rsid w:val="0055713D"/>
    <w:pPr>
      <w:spacing w:line="240" w:lineRule="auto"/>
    </w:pPr>
    <w:rPr>
      <w:sz w:val="20"/>
      <w:szCs w:val="20"/>
    </w:rPr>
  </w:style>
  <w:style w:type="character" w:customStyle="1" w:styleId="CommentTextChar">
    <w:name w:val="Comment Text Char"/>
    <w:basedOn w:val="DefaultParagraphFont"/>
    <w:link w:val="CommentText"/>
    <w:uiPriority w:val="99"/>
    <w:rsid w:val="0055713D"/>
    <w:rPr>
      <w:rFonts w:cs="Times New Roman"/>
      <w:sz w:val="20"/>
    </w:rPr>
  </w:style>
  <w:style w:type="paragraph" w:styleId="CommentSubject">
    <w:name w:val="annotation subject"/>
    <w:basedOn w:val="CommentText"/>
    <w:next w:val="CommentText"/>
    <w:link w:val="CommentSubjectChar"/>
    <w:uiPriority w:val="99"/>
    <w:semiHidden/>
    <w:rsid w:val="0055713D"/>
    <w:rPr>
      <w:b/>
      <w:bCs/>
    </w:rPr>
  </w:style>
  <w:style w:type="character" w:customStyle="1" w:styleId="CommentSubjectChar">
    <w:name w:val="Comment Subject Char"/>
    <w:basedOn w:val="CommentTextChar"/>
    <w:link w:val="CommentSubject"/>
    <w:uiPriority w:val="99"/>
    <w:semiHidden/>
    <w:rsid w:val="0055713D"/>
    <w:rPr>
      <w:rFonts w:cs="Times New Roman"/>
      <w:b/>
      <w:bCs/>
      <w:sz w:val="20"/>
    </w:rPr>
  </w:style>
  <w:style w:type="paragraph" w:styleId="BalloonText">
    <w:name w:val="Balloon Text"/>
    <w:basedOn w:val="Normal"/>
    <w:link w:val="BalloonTextChar"/>
    <w:uiPriority w:val="99"/>
    <w:semiHidden/>
    <w:rsid w:val="00557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13D"/>
    <w:rPr>
      <w:rFonts w:ascii="Tahoma" w:hAnsi="Tahoma" w:cs="Tahoma"/>
      <w:sz w:val="16"/>
    </w:rPr>
  </w:style>
  <w:style w:type="paragraph" w:styleId="FootnoteText">
    <w:name w:val="footnote text"/>
    <w:basedOn w:val="Normal"/>
    <w:link w:val="FootnoteTextChar"/>
    <w:uiPriority w:val="99"/>
    <w:semiHidden/>
    <w:rsid w:val="005571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713D"/>
    <w:rPr>
      <w:rFonts w:cs="Times New Roman"/>
      <w:sz w:val="20"/>
    </w:rPr>
  </w:style>
  <w:style w:type="character" w:styleId="FootnoteReference">
    <w:name w:val="footnote reference"/>
    <w:basedOn w:val="DefaultParagraphFont"/>
    <w:uiPriority w:val="99"/>
    <w:semiHidden/>
    <w:rsid w:val="0055713D"/>
    <w:rPr>
      <w:rFonts w:cs="Times New Roman"/>
      <w:vertAlign w:val="superscript"/>
    </w:rPr>
  </w:style>
  <w:style w:type="paragraph" w:styleId="Header">
    <w:name w:val="header"/>
    <w:basedOn w:val="Normal"/>
    <w:link w:val="HeaderChar"/>
    <w:uiPriority w:val="99"/>
    <w:semiHidden/>
    <w:rsid w:val="00B56D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6D0E"/>
    <w:rPr>
      <w:rFonts w:cs="Times New Roman"/>
    </w:rPr>
  </w:style>
  <w:style w:type="paragraph" w:styleId="Footer">
    <w:name w:val="footer"/>
    <w:basedOn w:val="Normal"/>
    <w:link w:val="FooterChar"/>
    <w:uiPriority w:val="99"/>
    <w:semiHidden/>
    <w:rsid w:val="00B56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D0E"/>
    <w:rPr>
      <w:rFonts w:cs="Times New Roman"/>
    </w:rPr>
  </w:style>
  <w:style w:type="paragraph" w:styleId="Caption">
    <w:name w:val="caption"/>
    <w:basedOn w:val="Normal"/>
    <w:next w:val="Normal"/>
    <w:uiPriority w:val="99"/>
    <w:qFormat/>
    <w:rsid w:val="00652AD7"/>
    <w:pPr>
      <w:keepNext/>
      <w:spacing w:before="120" w:after="120" w:line="360" w:lineRule="auto"/>
      <w:jc w:val="center"/>
    </w:pPr>
    <w:rPr>
      <w:rFonts w:ascii="Times New Roman" w:hAnsi="Times New Roman"/>
      <w:b/>
      <w:bCs/>
      <w:sz w:val="24"/>
      <w:szCs w:val="24"/>
    </w:rPr>
  </w:style>
  <w:style w:type="paragraph" w:styleId="Revision">
    <w:name w:val="Revision"/>
    <w:hidden/>
    <w:uiPriority w:val="99"/>
    <w:semiHidden/>
    <w:rsid w:val="00630F0E"/>
    <w:rPr>
      <w:sz w:val="22"/>
      <w:szCs w:val="22"/>
    </w:rPr>
  </w:style>
  <w:style w:type="character" w:styleId="Hyperlink">
    <w:name w:val="Hyperlink"/>
    <w:basedOn w:val="DefaultParagraphFont"/>
    <w:uiPriority w:val="99"/>
    <w:rsid w:val="00716379"/>
    <w:rPr>
      <w:rFonts w:cs="Times New Roman"/>
      <w:color w:val="0000FF"/>
      <w:u w:val="single"/>
    </w:rPr>
  </w:style>
  <w:style w:type="paragraph" w:styleId="EndnoteText">
    <w:name w:val="endnote text"/>
    <w:basedOn w:val="Normal"/>
    <w:link w:val="EndnoteTextChar"/>
    <w:uiPriority w:val="99"/>
    <w:semiHidden/>
    <w:rsid w:val="00444A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4A45"/>
    <w:rPr>
      <w:rFonts w:cs="Times New Roman"/>
      <w:sz w:val="20"/>
    </w:rPr>
  </w:style>
  <w:style w:type="character" w:styleId="EndnoteReference">
    <w:name w:val="endnote reference"/>
    <w:basedOn w:val="DefaultParagraphFont"/>
    <w:uiPriority w:val="99"/>
    <w:semiHidden/>
    <w:rsid w:val="00444A45"/>
    <w:rPr>
      <w:rFonts w:cs="Times New Roman"/>
      <w:vertAlign w:val="superscript"/>
    </w:rPr>
  </w:style>
  <w:style w:type="character" w:styleId="FollowedHyperlink">
    <w:name w:val="FollowedHyperlink"/>
    <w:basedOn w:val="DefaultParagraphFont"/>
    <w:uiPriority w:val="99"/>
    <w:semiHidden/>
    <w:rsid w:val="000D7920"/>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193051.htm" TargetMode="External"/><Relationship Id="rId2" Type="http://schemas.openxmlformats.org/officeDocument/2006/relationships/hyperlink" Target="http://www.opm.gov/oca/12tables/pdf/gs_h.pdf" TargetMode="External"/><Relationship Id="rId1" Type="http://schemas.openxmlformats.org/officeDocument/2006/relationships/hyperlink" Target="http://www.fema.gov/library/viewRecord.do?id=3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57B4D-7809-4538-AC31-5FFE8405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4726</Words>
  <Characters>26940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Ruger</dc:creator>
  <cp:lastModifiedBy>awillia1</cp:lastModifiedBy>
  <cp:revision>4</cp:revision>
  <cp:lastPrinted>2012-08-08T18:50:00Z</cp:lastPrinted>
  <dcterms:created xsi:type="dcterms:W3CDTF">2012-08-08T18:49:00Z</dcterms:created>
  <dcterms:modified xsi:type="dcterms:W3CDTF">2012-08-21T19:03:00Z</dcterms:modified>
</cp:coreProperties>
</file>