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5725A" w14:textId="77777777" w:rsidR="009E484A" w:rsidRPr="00E5144F" w:rsidRDefault="009E484A" w:rsidP="009E484A">
      <w:pPr>
        <w:pStyle w:val="Title1"/>
      </w:pPr>
      <w:r w:rsidRPr="00E5144F">
        <w:t>Supporting Statement for PRA Submission</w:t>
      </w:r>
    </w:p>
    <w:p w14:paraId="3750B7C5" w14:textId="77777777" w:rsidR="009E484A" w:rsidRPr="008F1669" w:rsidRDefault="009E484A" w:rsidP="009E484A">
      <w:pPr>
        <w:pStyle w:val="Title1"/>
      </w:pPr>
      <w:r>
        <w:t xml:space="preserve">Chemical Facility Anti-Terrorism </w:t>
      </w:r>
      <w:r w:rsidRPr="00AB430E">
        <w:t>Standards</w:t>
      </w:r>
      <w:r>
        <w:t xml:space="preserve"> Personnel Surety Program</w:t>
      </w:r>
    </w:p>
    <w:p w14:paraId="2EA6D413" w14:textId="77777777" w:rsidR="009E484A" w:rsidRPr="008F1669" w:rsidRDefault="009E484A" w:rsidP="009E484A">
      <w:pPr>
        <w:pStyle w:val="Title1"/>
      </w:pPr>
      <w:r w:rsidRPr="008F1669">
        <w:t>OMB C</w:t>
      </w:r>
      <w:r>
        <w:t>ontrol</w:t>
      </w:r>
      <w:r w:rsidRPr="008F1669">
        <w:t xml:space="preserve"> </w:t>
      </w:r>
      <w:r>
        <w:t>Number 1670-NEW</w:t>
      </w:r>
    </w:p>
    <w:p w14:paraId="5122B46B" w14:textId="77777777" w:rsidR="009E484A" w:rsidRPr="00537253" w:rsidRDefault="008C43B5" w:rsidP="009E484A">
      <w:r>
        <w:pict w14:anchorId="62FBBF34">
          <v:rect id="_x0000_i1025" style="width:0;height:1.5pt" o:hralign="center" o:hrstd="t" o:hr="t" fillcolor="#aca899" stroked="f"/>
        </w:pict>
      </w:r>
    </w:p>
    <w:p w14:paraId="3B704CB4" w14:textId="77777777" w:rsidR="009E484A" w:rsidRPr="007C03A3" w:rsidRDefault="009E484A" w:rsidP="009E484A">
      <w:pPr>
        <w:pStyle w:val="Heading1"/>
      </w:pPr>
      <w:r>
        <w:t>A.</w:t>
      </w:r>
      <w:r>
        <w:tab/>
      </w:r>
      <w:r w:rsidRPr="00552060">
        <w:t>Supporting Statement A</w:t>
      </w:r>
      <w:r>
        <w:t xml:space="preserve"> </w:t>
      </w:r>
      <w:r w:rsidRPr="00552060">
        <w:t xml:space="preserve">for the Chemical Facility Anti-Terrorism Standards Personnel Surety </w:t>
      </w:r>
      <w:r>
        <w:t>Program</w:t>
      </w:r>
    </w:p>
    <w:p w14:paraId="5E3B7B71" w14:textId="77777777" w:rsidR="009E484A" w:rsidRPr="00F7015B" w:rsidRDefault="009E484A" w:rsidP="009E484A">
      <w:pPr>
        <w:pStyle w:val="Heading2"/>
      </w:pPr>
      <w:r w:rsidRPr="00F7015B">
        <w:t xml:space="preserve">Circumstances Making the </w:t>
      </w:r>
      <w:r w:rsidRPr="00382D2E">
        <w:t>Collection</w:t>
      </w:r>
      <w:r w:rsidRPr="00F7015B">
        <w:t xml:space="preserve"> of Information Necessary</w:t>
      </w:r>
    </w:p>
    <w:p w14:paraId="2AFB8707" w14:textId="77777777" w:rsidR="009E484A" w:rsidRDefault="009E484A" w:rsidP="009E484A">
      <w:pPr>
        <w:pStyle w:val="Heading3"/>
      </w:pPr>
      <w:bookmarkStart w:id="0" w:name="OLE_LINK6"/>
      <w:r w:rsidRPr="00461896">
        <w:t>Overview</w:t>
      </w:r>
    </w:p>
    <w:p w14:paraId="0E77DD61" w14:textId="15FC5E02" w:rsidR="006A3E8F" w:rsidRDefault="00B14284" w:rsidP="009E484A">
      <w:r w:rsidRPr="000F1DF7">
        <w:t xml:space="preserve">On December 18, 2014, the President signed into law the </w:t>
      </w:r>
      <w:r w:rsidRPr="000F1DF7">
        <w:rPr>
          <w:i/>
        </w:rPr>
        <w:t>Protecting and Securing Chemical Facilities from Terrorist Attacks Act of 2014</w:t>
      </w:r>
      <w:r>
        <w:rPr>
          <w:i/>
        </w:rPr>
        <w:t xml:space="preserve"> </w:t>
      </w:r>
      <w:r w:rsidRPr="009C0605">
        <w:t>(“</w:t>
      </w:r>
      <w:r>
        <w:t>CFATS Act of 2014</w:t>
      </w:r>
      <w:r w:rsidRPr="009C0605">
        <w:t>”)</w:t>
      </w:r>
      <w:r w:rsidR="00702A9F">
        <w:t xml:space="preserve"> providing long term authorization for the CFATS program and affirming that t</w:t>
      </w:r>
      <w:r w:rsidR="00B821AF" w:rsidRPr="004762FD">
        <w:t xml:space="preserve">he Department </w:t>
      </w:r>
      <w:r w:rsidR="00B821AF" w:rsidRPr="003C0DE9">
        <w:t xml:space="preserve">of Homeland Security </w:t>
      </w:r>
      <w:r w:rsidR="00B821AF" w:rsidRPr="004762FD">
        <w:t xml:space="preserve">should continue to </w:t>
      </w:r>
      <w:r w:rsidR="00B821AF">
        <w:t xml:space="preserve">require high-risk chemical facilities to identify individuals with terrorist ties.  </w:t>
      </w:r>
    </w:p>
    <w:p w14:paraId="277490CE" w14:textId="77777777" w:rsidR="006A3E8F" w:rsidRDefault="006A3E8F" w:rsidP="009E484A"/>
    <w:p w14:paraId="3DE3FC03" w14:textId="48434995" w:rsidR="009E484A" w:rsidRDefault="009E484A" w:rsidP="009E484A">
      <w:r>
        <w:t xml:space="preserve">Section 550 </w:t>
      </w:r>
      <w:r w:rsidR="002C355D">
        <w:t xml:space="preserve">of Public Law 109-295 </w:t>
      </w:r>
      <w:r w:rsidR="005F11BF">
        <w:t xml:space="preserve">previously </w:t>
      </w:r>
      <w:r>
        <w:t>provide</w:t>
      </w:r>
      <w:r w:rsidR="005F11BF">
        <w:t>d</w:t>
      </w:r>
      <w:r>
        <w:t xml:space="preserve"> </w:t>
      </w:r>
      <w:r w:rsidR="002C355D">
        <w:t xml:space="preserve">(and the CFATS Act of 2014 continues to provide) </w:t>
      </w:r>
      <w:r>
        <w:t>the Department with the authority to identify and regulate the security of high-risk chemical facilities using a risk-based approach.  On April 9, 2007, the Department issued the CFATS Interim Final Rule (IFR) implementing this statutory mandate.</w:t>
      </w:r>
      <w:r>
        <w:rPr>
          <w:rStyle w:val="FootnoteReference"/>
        </w:rPr>
        <w:footnoteReference w:id="2"/>
      </w:r>
      <w:r>
        <w:t xml:space="preserve">  </w:t>
      </w:r>
    </w:p>
    <w:p w14:paraId="6E47DC60" w14:textId="77777777" w:rsidR="009E484A" w:rsidRDefault="009E484A" w:rsidP="009E484A"/>
    <w:p w14:paraId="55DE2E2F" w14:textId="1382A5C0" w:rsidR="009E484A" w:rsidRDefault="009E484A" w:rsidP="009E484A">
      <w:r>
        <w:t>Section 550 require</w:t>
      </w:r>
      <w:r w:rsidR="005F11BF">
        <w:t>d</w:t>
      </w:r>
      <w:r>
        <w:t xml:space="preserve"> </w:t>
      </w:r>
      <w:r w:rsidR="002C355D">
        <w:t xml:space="preserve">(and the CFATS Act of 2014 continues to require) </w:t>
      </w:r>
      <w:r>
        <w:t>that the Department establish risk-based performance standards (RBPS) for high-risk chemical facilities and</w:t>
      </w:r>
      <w:r w:rsidR="00FA7854">
        <w:t>,</w:t>
      </w:r>
      <w:r>
        <w:t xml:space="preserve"> under CFATS</w:t>
      </w:r>
      <w:r w:rsidR="00FA7854">
        <w:t>,</w:t>
      </w:r>
      <w:r>
        <w:t xml:space="preserve"> the Department promulgated 18 RBPS.  Each chemical facility that has been finally determined by the Department to be high-risk must submit a Site Security Plan (SSP), or an Alternative Security Program (ASP) if the facility so chooses, for Department approval that satisfies each applicable RBPS.  RBPS 12 – Personnel Surety – requires high-risk chemical facilities to:</w:t>
      </w:r>
    </w:p>
    <w:p w14:paraId="479E9CB6" w14:textId="77777777" w:rsidR="009E484A" w:rsidRDefault="009E484A" w:rsidP="009E484A"/>
    <w:p w14:paraId="2AEED194" w14:textId="77777777" w:rsidR="009E484A" w:rsidRDefault="009E484A" w:rsidP="009E484A">
      <w:pPr>
        <w:ind w:left="720" w:right="1440"/>
      </w:pPr>
      <w:r>
        <w:t>Perform appropriate background checks on and ensure appropriate credentials for facility personnel, and as appropriate, for unescorted visitors with access to restricted areas or critical assets, including, (i) Measures designed to verify and validate identity; (ii) Measures designed to check criminal history; (iii) Measures designed to verify and validate legal authorization to work; and (iv) Measures designed to identify people with terrorist ties[.]</w:t>
      </w:r>
      <w:r>
        <w:rPr>
          <w:rStyle w:val="FootnoteReference"/>
        </w:rPr>
        <w:footnoteReference w:id="3"/>
      </w:r>
    </w:p>
    <w:p w14:paraId="26EADDFA" w14:textId="77777777" w:rsidR="009E484A" w:rsidRDefault="009E484A" w:rsidP="009E484A">
      <w:pPr>
        <w:ind w:left="720" w:right="1440"/>
      </w:pPr>
    </w:p>
    <w:p w14:paraId="1B52970A" w14:textId="161D8055" w:rsidR="009E484A" w:rsidRDefault="009E484A" w:rsidP="009E484A">
      <w:r>
        <w:t>As explained by the Department in the preamble to the CFATS IFR, the ability to identify affected individuals (i.e., facility personnel or unescorted visitors with access to restricted areas or critical assets at high-risk chemical facilities) who have terrorist ties is an inherently governmental function and necessarily requires the use of information held in government-maintained databases that are unavailable to high-risk chemical facilities.</w:t>
      </w:r>
      <w:r>
        <w:rPr>
          <w:rStyle w:val="FootnoteReference"/>
        </w:rPr>
        <w:footnoteReference w:id="4"/>
      </w:r>
      <w:r>
        <w:t xml:space="preserve">  Thus, under RBPS </w:t>
      </w:r>
      <w:r>
        <w:lastRenderedPageBreak/>
        <w:t xml:space="preserve">12(iv), the Department and high-risk chemical facilities must work together to satisfy the “terrorist ties” aspect of the Personnel Surety performance standard.  As a result, the CFATS Personnel Surety Program will identify individuals with terrorist ties that have or are seeking access to the restricted areas and/or critical assets at the nation’s high-risk chemical facilities.  </w:t>
      </w:r>
      <w:bookmarkStart w:id="1" w:name="_Toc345914962"/>
    </w:p>
    <w:p w14:paraId="4A791E98" w14:textId="77777777" w:rsidR="009E484A" w:rsidRDefault="009E484A" w:rsidP="009E484A"/>
    <w:bookmarkEnd w:id="1"/>
    <w:p w14:paraId="23977D65" w14:textId="77777777" w:rsidR="009E484A" w:rsidRDefault="009E484A" w:rsidP="009E484A">
      <w:pPr>
        <w:rPr>
          <w:b/>
          <w:bCs/>
          <w:smallCaps/>
        </w:rPr>
      </w:pPr>
      <w:r w:rsidRPr="00AC28FB">
        <w:rPr>
          <w:b/>
          <w:bCs/>
          <w:smallCaps/>
        </w:rPr>
        <w:t>Who is Impacted by the CFATS Personnel Surety Program</w:t>
      </w:r>
      <w:r>
        <w:rPr>
          <w:b/>
          <w:bCs/>
          <w:smallCaps/>
        </w:rPr>
        <w:t>?</w:t>
      </w:r>
    </w:p>
    <w:p w14:paraId="05B24CCF" w14:textId="77777777" w:rsidR="009E484A" w:rsidRPr="00386A50" w:rsidRDefault="009E484A" w:rsidP="009E484A">
      <w:pPr>
        <w:rPr>
          <w:rFonts w:ascii="Times New Roman Bold" w:hAnsi="Times New Roman Bold"/>
          <w:b/>
          <w:bCs/>
          <w:iCs/>
          <w:smallCaps/>
        </w:rPr>
      </w:pPr>
    </w:p>
    <w:p w14:paraId="24394EC2" w14:textId="77777777" w:rsidR="009E484A" w:rsidRDefault="009E484A" w:rsidP="009E484A">
      <w:r>
        <w:t>The CFATS Personnel Surety Program will provide high-risk chemical facilities the ability to submit certain biographic information about affected individuals to the Department.  As explained above, affected individuals are (1) facility personnel who have access, either unescorted or otherwise, to restricted areas or critical assets, and (2) unescorted visitors who have access to restricted areas or critical assets.</w:t>
      </w:r>
    </w:p>
    <w:p w14:paraId="458F2CBC" w14:textId="77777777" w:rsidR="009E484A" w:rsidRDefault="009E484A" w:rsidP="009E484A"/>
    <w:p w14:paraId="20B41459" w14:textId="77777777" w:rsidR="009E484A" w:rsidRDefault="009E484A" w:rsidP="009E484A">
      <w:r>
        <w:t>There are also certain groups of persons that the Department does not consider to be affected individuals, such as (1) Federal officials that gain unescorted access to restricted areas or critical assets as part of their official duties; (2) state and local law enforcement officials that gain unescorted access to restricted areas or critical assets as part of their official duties; and (3) emergency responders at the state or local level that gain unescorted access to restricted areas or critical assets during emergency situations.</w:t>
      </w:r>
    </w:p>
    <w:p w14:paraId="377D4AF6" w14:textId="77777777" w:rsidR="009E484A" w:rsidRDefault="009E484A" w:rsidP="009E484A"/>
    <w:p w14:paraId="5CB194C9" w14:textId="77777777" w:rsidR="009E484A" w:rsidRDefault="009E484A" w:rsidP="009E484A">
      <w:r>
        <w:t>In some emergency or exigent situations, access to restricted areas or critical assets by other individuals who have not had appropriate background checks under RBPS 12 may be necessary.  For example, emergency responders not described above may require such access as part of their official duties under appropriate circumstances.  If high-risk chemical facilities anticipate that any individuals will require access to restricted areas or critical assets without visitor escorts or without the background checks listed in RBPS 12 under exceptional circumstances (e.g., foreseeable but unpredictable circumstances), facilities may describe such situations and the types of individuals who might require access in those situations in their SSPs or ASPs.  The Department will assess the appropriateness of such situations, and any security measures to mitigate the inherent vulnerability in such situations, on a case-by-case basis as it reviews each high-risk chemical facility’s SSP or ASP.</w:t>
      </w:r>
    </w:p>
    <w:p w14:paraId="23A5BF8F" w14:textId="77777777" w:rsidR="009E484A" w:rsidRDefault="009E484A" w:rsidP="009E484A"/>
    <w:p w14:paraId="28B290F1" w14:textId="77777777" w:rsidR="009E484A" w:rsidRPr="00576519" w:rsidRDefault="009E484A" w:rsidP="009E484A">
      <w:pPr>
        <w:pStyle w:val="Heading3"/>
        <w:rPr>
          <w:szCs w:val="24"/>
        </w:rPr>
      </w:pPr>
      <w:r w:rsidRPr="00576519">
        <w:rPr>
          <w:szCs w:val="24"/>
        </w:rPr>
        <w:t xml:space="preserve">Options </w:t>
      </w:r>
      <w:r w:rsidRPr="00576519">
        <w:t>Available to High-Risk Chemical Facilities to Comply with RBPS</w:t>
      </w:r>
      <w:r>
        <w:t xml:space="preserve"> </w:t>
      </w:r>
      <w:r w:rsidRPr="00576519">
        <w:t>12(iv)</w:t>
      </w:r>
    </w:p>
    <w:p w14:paraId="656F25AC" w14:textId="77777777" w:rsidR="009E484A" w:rsidRDefault="009E484A" w:rsidP="009E484A"/>
    <w:p w14:paraId="74051332" w14:textId="77777777" w:rsidR="009E484A" w:rsidRDefault="009E484A" w:rsidP="009E484A">
      <w:r>
        <w:t xml:space="preserve">In the preamble to the CFATS IFR, the Department outlined two potential approaches to help high-risk chemical facilities satisfy RBPS 12(iv), both of which would involve high-risk chemical facilities submitting certain information to the Department.  </w:t>
      </w:r>
      <w:r w:rsidRPr="00D45258">
        <w:rPr>
          <w:i/>
        </w:rPr>
        <w:t>See id</w:t>
      </w:r>
      <w:r>
        <w:t>.</w:t>
      </w:r>
    </w:p>
    <w:p w14:paraId="01BE4B98" w14:textId="77777777" w:rsidR="009E484A" w:rsidRDefault="009E484A" w:rsidP="009E484A"/>
    <w:p w14:paraId="7C66C561" w14:textId="04D0FE98" w:rsidR="009E484A" w:rsidRDefault="009E484A" w:rsidP="009E484A">
      <w:r>
        <w:t xml:space="preserve">The first approach would involve facilities submitting certain information about affected individuals to the Department, which the Department would use to vet those individuals for terrorist ties.  Specifically, identifying information about affected individuals would be compared against identifying information of known or suspected terrorists contained in the Federal Government’s consolidated and integrated terrorist watchlist, the Terrorist Screening Database (TSDB), which is maintained on behalf of the </w:t>
      </w:r>
      <w:r w:rsidR="001B1C9C">
        <w:t>F</w:t>
      </w:r>
      <w:r>
        <w:t>ederal government by the Department of Justice (DOJ) Federal Bureau of Investigation (FBI) in the Terrorist Screening Center (TSC).</w:t>
      </w:r>
    </w:p>
    <w:p w14:paraId="0DAF1F2B" w14:textId="77777777" w:rsidR="009E484A" w:rsidRDefault="009E484A" w:rsidP="009E484A"/>
    <w:p w14:paraId="124B61A8" w14:textId="77777777" w:rsidR="009E484A" w:rsidRDefault="009E484A" w:rsidP="009E484A">
      <w:r>
        <w:lastRenderedPageBreak/>
        <w:t>In order to avoid unnecessary duplication of terrorist screening, the Department also described an additional approach under which high-risk chemical facilities would submit information about affected individuals possessing certain credentials that rely on security threat assessments conducted by the Department.</w:t>
      </w:r>
      <w:r>
        <w:rPr>
          <w:rStyle w:val="FootnoteReference"/>
        </w:rPr>
        <w:footnoteReference w:id="5"/>
      </w:r>
      <w:r>
        <w:t xml:space="preserve">  </w:t>
      </w:r>
    </w:p>
    <w:p w14:paraId="70EE23E0" w14:textId="77777777" w:rsidR="009E484A" w:rsidRDefault="009E484A" w:rsidP="009E484A"/>
    <w:p w14:paraId="7AE32AE7" w14:textId="60C3CC28" w:rsidR="009E484A" w:rsidRDefault="009E484A" w:rsidP="009E484A">
      <w:r>
        <w:t>The Department has developed a CFATS Personnel Surety Program that will provide high-risk chemical facilities additional options to comply with RBPS 12(iv) while continuing to make available the two alternatives outlined in the preamble to the CFATS IFR.  In addition to the alternatives expressly described in this document, the Department also intends to permit high-risk chemical facilities to propose alternative measures for terrorist ties identification in their SSPs or ASPs, which the Department will consider on a case-by-case basis in evaluating high-risk chemical facilities’ SSPs or ASPs.</w:t>
      </w:r>
    </w:p>
    <w:p w14:paraId="77F1DAB9" w14:textId="77777777" w:rsidR="009E484A" w:rsidRDefault="009E484A" w:rsidP="009E484A"/>
    <w:p w14:paraId="1460E053" w14:textId="1ECF3565" w:rsidR="009E484A" w:rsidRDefault="009E484A" w:rsidP="009E484A">
      <w:r>
        <w:t>As a result of the CFATS Personnel Surety Program, regardless of the option selected by the high-risk chemical facility, the Department will identify individuals with terrorist ties that have or are seeking access to the restricted areas and/or critical assets at the nation’s high-risk chemical facilities.</w:t>
      </w:r>
    </w:p>
    <w:p w14:paraId="638A8008" w14:textId="77777777" w:rsidR="009E484A" w:rsidRDefault="009E484A" w:rsidP="009E484A"/>
    <w:p w14:paraId="535E8F5E" w14:textId="77777777" w:rsidR="009E484A" w:rsidRDefault="009E484A" w:rsidP="009E484A">
      <w:r>
        <w:t xml:space="preserve">The first option is consistent with the primary approach described in the CFATS IFR preamble.    Under Option 1 – Direct Vetting, high-risk chemical facilities (or others acting on their behalf) would submit certain information about affected individuals to the Department through a Personnel Surety </w:t>
      </w:r>
      <w:r w:rsidR="00D62D61">
        <w:t xml:space="preserve">Program </w:t>
      </w:r>
      <w:r>
        <w:t>application in an online technology system developed under CFATS called the Chemical Security Assessment Tool (CSAT).  Access to and the use of CSAT is provided free of charge to high-risk chemical facilities (or others acting on their behalf).</w:t>
      </w:r>
    </w:p>
    <w:p w14:paraId="6DAEE888" w14:textId="77777777" w:rsidR="009E484A" w:rsidRDefault="009E484A" w:rsidP="009E484A"/>
    <w:p w14:paraId="6A1B8C02" w14:textId="7BAD8BE6" w:rsidR="009E484A" w:rsidRDefault="009E484A" w:rsidP="009E484A">
      <w:r>
        <w:t xml:space="preserve">Under this option, information about affected individuals submitted by, or on behalf of, high-risk chemical facilities would be vetted against information contained in the </w:t>
      </w:r>
      <w:r w:rsidR="001B1C9C">
        <w:t>F</w:t>
      </w:r>
      <w:r>
        <w:t>ederal government’s consolidated and integrated terrorist watchlist.</w:t>
      </w:r>
    </w:p>
    <w:p w14:paraId="3DD72A6E" w14:textId="77777777" w:rsidR="009E484A" w:rsidRDefault="009E484A" w:rsidP="009E484A"/>
    <w:p w14:paraId="0283818D" w14:textId="4BDCFE19" w:rsidR="009E484A" w:rsidRDefault="009E484A" w:rsidP="009E484A">
      <w:r>
        <w:t xml:space="preserve">The second option is consistent with the second approach described in the CFATS IFR preamble.  Under Option 2 – Use Of Vetting Conducted Under Other Department Programs, high-risk chemical facilities (or others acting on their behalf) would also submit certain information about affected individuals to the Department through the CSAT Personnel Surety </w:t>
      </w:r>
      <w:r w:rsidR="004E7E8C">
        <w:t xml:space="preserve">Program </w:t>
      </w:r>
      <w:r>
        <w:t>application.</w:t>
      </w:r>
    </w:p>
    <w:p w14:paraId="0A0DAB8F" w14:textId="77777777" w:rsidR="009E484A" w:rsidRDefault="009E484A" w:rsidP="009E484A"/>
    <w:p w14:paraId="497B3C4E" w14:textId="2434EE5A" w:rsidR="009E484A" w:rsidRDefault="009E484A" w:rsidP="009E484A">
      <w:r>
        <w:t xml:space="preserve">Option 2 would, however, allow high-risk chemical facilities and the Department to take advantage of the vetting for terrorist ties already being conducted on affected individuals enrolled in the Transportation Worker Identification Credential (TWIC) Program, Hazardous Materials Endorsement (HME) Program, as well as the NEXUS, Secure Electronic Network for Travelers Rapid Inspection (SENTRI), Free and Secure Trade (FAST), and Global Entry Trusted Traveler Programs.  All of these programs conduct terrorist ties vetting equivalent to the terrorist ties vetting that would be conducted under Option 1.  Under Option 2, high-risk chemical facilities, or their designees (e.g., third parties), could submit information to the Department about affected individuals possessing the appropriate credentials to enable the Department to electronically verify the affected individuals’ enrollments in these other programs.  The Department would subsequently notify the Submitter of the high-risk chemical facility whether </w:t>
      </w:r>
      <w:r>
        <w:lastRenderedPageBreak/>
        <w:t>or not an affected individual’s enrollment in one of these other Department programs was electronically verified.  The Department would also periodically re-verify each affected individual’s continued enrollment in one of these other programs, and notify the appropriate designee of the high-risk chemical facility of significant changes in the status of an affected individual’s enrollment (e.g., if an affected individual who has been enrolled in the HME Program ceases to be enrolled, the Department would change the status of the affected individual in the CSAT Personnel Surety</w:t>
      </w:r>
      <w:r w:rsidR="004E7E8C">
        <w:t xml:space="preserve"> Program </w:t>
      </w:r>
      <w:r>
        <w:t xml:space="preserve">application and notify the Submitter).  Electronic verification and re-verification would enable the Department and the high-risk chemical facility to ensure that an affected individual’s credential or endorsement is appropriate to rely </w:t>
      </w:r>
      <w:r w:rsidR="00FA7854">
        <w:t xml:space="preserve">upon </w:t>
      </w:r>
      <w:r>
        <w:t>in compliance with RBPS 12(iv).</w:t>
      </w:r>
    </w:p>
    <w:p w14:paraId="17C56561" w14:textId="77777777" w:rsidR="009E484A" w:rsidRDefault="009E484A" w:rsidP="009E484A"/>
    <w:p w14:paraId="3F31B9E8" w14:textId="15D63CBA" w:rsidR="009E484A" w:rsidRDefault="004E7E8C" w:rsidP="009E484A">
      <w:r>
        <w:t>T</w:t>
      </w:r>
      <w:r w:rsidR="009E484A">
        <w:t xml:space="preserve">he Department </w:t>
      </w:r>
      <w:r>
        <w:t xml:space="preserve">also </w:t>
      </w:r>
      <w:r w:rsidR="009E484A">
        <w:t xml:space="preserve">plans to offer high-risk chemical facilities a third option.  Under Option 3 – Electronic Verification of TWIC, a high-risk chemical facility (or others acting on </w:t>
      </w:r>
      <w:r w:rsidR="00FA7854">
        <w:t xml:space="preserve">the </w:t>
      </w:r>
      <w:r w:rsidR="00BF0AD4">
        <w:t xml:space="preserve">high-risk chemical </w:t>
      </w:r>
      <w:r w:rsidR="00FA7854">
        <w:t xml:space="preserve">facility’s </w:t>
      </w:r>
      <w:r w:rsidR="009E484A">
        <w:t xml:space="preserve">behalf) would not submit information about affected individuals in possession of TWICs to the Department if the high-risk chemical facility (or others acting on </w:t>
      </w:r>
      <w:r w:rsidR="00FA7854">
        <w:t xml:space="preserve">the </w:t>
      </w:r>
      <w:r w:rsidR="00BF0AD4">
        <w:t xml:space="preserve">high-risk chemical </w:t>
      </w:r>
      <w:r w:rsidR="00FA7854">
        <w:t xml:space="preserve">facility’s </w:t>
      </w:r>
      <w:r w:rsidR="009E484A">
        <w:t>behalf) electronically verify and validate the affected individuals’ TWICs through the use of TWIC readers (or other technology that is periodically updated with revoked card information).  Any high-risk chemical facilities that choose this option would need to describe in their SSPs or ASPs the procedures they will follow if they choose to use TWIC readers for compliance with RBPS 12(iv).</w:t>
      </w:r>
    </w:p>
    <w:p w14:paraId="71B5D358" w14:textId="77777777" w:rsidR="009E484A" w:rsidRDefault="009E484A" w:rsidP="009E484A"/>
    <w:p w14:paraId="6779BD8B" w14:textId="77777777" w:rsidR="00E824CB" w:rsidRDefault="00E824CB" w:rsidP="00E824CB">
      <w:r>
        <w:t xml:space="preserve">In accordance with the CFATS Act of 2014 the Department will offer a fourth option of Visual Verification.  Option </w:t>
      </w:r>
      <w:r w:rsidR="009C369E">
        <w:t>4</w:t>
      </w:r>
      <w:r>
        <w:t xml:space="preserve">, Visual Verification </w:t>
      </w:r>
      <w:r w:rsidR="003A2B7F">
        <w:t>o</w:t>
      </w:r>
      <w:r>
        <w:t xml:space="preserve">f Credentials Conducting Periodic Vetting, complies with section 2102(d)(2)(B) of the Homeland Security Act and </w:t>
      </w:r>
      <w:r w:rsidR="008E5766">
        <w:t xml:space="preserve">will </w:t>
      </w:r>
      <w:r>
        <w:t xml:space="preserve">allow a high risk chemical facility to satisfy its obligation under 6 CFR 27.230(a)(12)(iv) to identify individuals with terrorist ties </w:t>
      </w:r>
      <w:r w:rsidR="008E5766">
        <w:t xml:space="preserve">by </w:t>
      </w:r>
      <w:r>
        <w:t>using any Federal screening program that periodically vets individuals against the TSDB if:</w:t>
      </w:r>
    </w:p>
    <w:p w14:paraId="446970F6" w14:textId="77777777" w:rsidR="00E824CB" w:rsidRDefault="00E824CB" w:rsidP="00E824CB"/>
    <w:p w14:paraId="1C1F63B0" w14:textId="77777777" w:rsidR="00E824CB" w:rsidRDefault="00E824CB" w:rsidP="00845B4E">
      <w:pPr>
        <w:pStyle w:val="ListParagraph"/>
        <w:numPr>
          <w:ilvl w:val="0"/>
          <w:numId w:val="8"/>
        </w:numPr>
        <w:spacing w:line="240" w:lineRule="auto"/>
      </w:pPr>
      <w:r>
        <w:t>The Federal screening program issues a credential</w:t>
      </w:r>
      <w:r w:rsidR="004C7C54">
        <w:t xml:space="preserve"> or document</w:t>
      </w:r>
      <w:r w:rsidR="00776429">
        <w:t>; and</w:t>
      </w:r>
    </w:p>
    <w:p w14:paraId="7B401400" w14:textId="77777777" w:rsidR="00E824CB" w:rsidRDefault="00E824CB" w:rsidP="00845B4E">
      <w:pPr>
        <w:pStyle w:val="ListParagraph"/>
        <w:numPr>
          <w:ilvl w:val="0"/>
          <w:numId w:val="8"/>
        </w:numPr>
        <w:spacing w:line="240" w:lineRule="auto"/>
      </w:pPr>
      <w:r>
        <w:t xml:space="preserve">The high risk chemical </w:t>
      </w:r>
      <w:r w:rsidR="003A2B7F">
        <w:t xml:space="preserve">facility </w:t>
      </w:r>
      <w:r>
        <w:t>is presented  a credential or document by the affected individual</w:t>
      </w:r>
      <w:r w:rsidR="00776429">
        <w:t>;</w:t>
      </w:r>
      <w:r>
        <w:t xml:space="preserve"> and</w:t>
      </w:r>
    </w:p>
    <w:p w14:paraId="644C45A0" w14:textId="77777777" w:rsidR="00E824CB" w:rsidRDefault="00E824CB" w:rsidP="00845B4E">
      <w:pPr>
        <w:pStyle w:val="ListParagraph"/>
        <w:numPr>
          <w:ilvl w:val="0"/>
          <w:numId w:val="8"/>
        </w:numPr>
        <w:spacing w:line="240" w:lineRule="auto"/>
      </w:pPr>
      <w:r>
        <w:t xml:space="preserve">The high risk chemical facility </w:t>
      </w:r>
      <w:r w:rsidR="004C7C54">
        <w:t>(</w:t>
      </w:r>
      <w:r w:rsidR="00B170E5">
        <w:t>in accordance with its SSP or ASP</w:t>
      </w:r>
      <w:r w:rsidR="004C7C54">
        <w:t>)</w:t>
      </w:r>
      <w:r w:rsidR="00B170E5">
        <w:t xml:space="preserve"> visual</w:t>
      </w:r>
      <w:r w:rsidR="004C7C54">
        <w:t>ly</w:t>
      </w:r>
      <w:r w:rsidR="00B170E5">
        <w:t xml:space="preserve"> inspects </w:t>
      </w:r>
      <w:r>
        <w:t xml:space="preserve">the credential or document </w:t>
      </w:r>
      <w:r w:rsidR="00B170E5">
        <w:t xml:space="preserve">to assess whether it </w:t>
      </w:r>
      <w:r>
        <w:t>is current.</w:t>
      </w:r>
    </w:p>
    <w:p w14:paraId="5D17EE41" w14:textId="77777777" w:rsidR="004E7E8C" w:rsidRDefault="004E7E8C" w:rsidP="009E484A"/>
    <w:p w14:paraId="7A1C195D" w14:textId="77777777" w:rsidR="00702A9F" w:rsidRDefault="004C7C54" w:rsidP="009E484A">
      <w:r>
        <w:t>Pursuant to section 2101(d)(2)(B)(i)(II) of the Homeland Security Act, h</w:t>
      </w:r>
      <w:r w:rsidR="009E484A">
        <w:t xml:space="preserve">igh-risk chemical facilities </w:t>
      </w:r>
      <w:r w:rsidR="005B321A">
        <w:t>shall accept credential</w:t>
      </w:r>
      <w:r>
        <w:t>s</w:t>
      </w:r>
      <w:r w:rsidR="005B321A">
        <w:t xml:space="preserve"> from Federal screening programs and address in </w:t>
      </w:r>
      <w:r>
        <w:t>their</w:t>
      </w:r>
      <w:r w:rsidR="005B321A">
        <w:t xml:space="preserve"> </w:t>
      </w:r>
      <w:r w:rsidR="00A12EA7">
        <w:t>SSP</w:t>
      </w:r>
      <w:r>
        <w:t>s</w:t>
      </w:r>
      <w:r w:rsidR="005B321A">
        <w:t xml:space="preserve"> or </w:t>
      </w:r>
      <w:r w:rsidR="00A12EA7">
        <w:t>ASP</w:t>
      </w:r>
      <w:r>
        <w:t>s</w:t>
      </w:r>
      <w:r w:rsidR="005B321A">
        <w:t xml:space="preserve"> the measures </w:t>
      </w:r>
      <w:r>
        <w:t>they</w:t>
      </w:r>
      <w:r w:rsidR="005B321A">
        <w:t xml:space="preserve"> would take to verify that a credential or document is current.  </w:t>
      </w:r>
    </w:p>
    <w:p w14:paraId="2305F840" w14:textId="77777777" w:rsidR="00702A9F" w:rsidRDefault="00702A9F" w:rsidP="009E484A"/>
    <w:p w14:paraId="371185A5" w14:textId="16ADB6D3" w:rsidR="009E484A" w:rsidRDefault="005B321A" w:rsidP="009E484A">
      <w:r w:rsidRPr="005B321A">
        <w:t xml:space="preserve">High-risk chemical facilities </w:t>
      </w:r>
      <w:r w:rsidR="009E484A">
        <w:t xml:space="preserve">would have discretion as to which option(s) to use for an affected individual.  For example, even though a high-risk chemical facility could comply with RBPS 12(iv) for certain affected individuals </w:t>
      </w:r>
      <w:r w:rsidR="000853D0">
        <w:t>(</w:t>
      </w:r>
      <w:r w:rsidR="000853D0" w:rsidRPr="00C53A3C">
        <w:rPr>
          <w:i/>
        </w:rPr>
        <w:t>i.e.</w:t>
      </w:r>
      <w:r w:rsidR="000853D0">
        <w:t xml:space="preserve"> those holding existing credentials</w:t>
      </w:r>
      <w:r w:rsidR="002C355D">
        <w:t xml:space="preserve"> or </w:t>
      </w:r>
      <w:r w:rsidR="000853D0">
        <w:t xml:space="preserve">documents as described above) </w:t>
      </w:r>
      <w:r w:rsidR="009E484A">
        <w:t xml:space="preserve">by using </w:t>
      </w:r>
      <w:r w:rsidR="006F191B">
        <w:t>Option 4</w:t>
      </w:r>
      <w:r w:rsidR="009E484A">
        <w:t xml:space="preserve">, the high-risk chemical facility could choose to use Option </w:t>
      </w:r>
      <w:r>
        <w:t>2 or Option 3</w:t>
      </w:r>
      <w:r w:rsidR="009E484A">
        <w:t xml:space="preserve"> for those affected individuals.  High-risk chemical facilities also may choose to combine Option 1</w:t>
      </w:r>
      <w:r>
        <w:t>,</w:t>
      </w:r>
      <w:r w:rsidR="009E484A">
        <w:t xml:space="preserve"> Option 2</w:t>
      </w:r>
      <w:r>
        <w:t xml:space="preserve">, </w:t>
      </w:r>
      <w:r w:rsidR="009E484A">
        <w:t>Option 3</w:t>
      </w:r>
      <w:r w:rsidR="006F191B">
        <w:t xml:space="preserve"> </w:t>
      </w:r>
      <w:r w:rsidR="00A12EA7">
        <w:t>and/</w:t>
      </w:r>
      <w:r w:rsidR="006F191B">
        <w:t>or Option 4</w:t>
      </w:r>
      <w:r w:rsidR="009E484A">
        <w:t xml:space="preserve">, as appropriate, to ensure that adequate terrorist ties checks are performed on different types of affected individuals (e.g., employees, </w:t>
      </w:r>
      <w:r w:rsidR="009E484A">
        <w:lastRenderedPageBreak/>
        <w:t>contractors, unescorted visitors).  Each high-risk chemical facility will need to describe how it will comply with RBPS 12(iv) in its SSP or ASP.</w:t>
      </w:r>
    </w:p>
    <w:p w14:paraId="3640CEFA" w14:textId="77777777" w:rsidR="009E484A" w:rsidRDefault="009E484A" w:rsidP="009E484A"/>
    <w:p w14:paraId="6F5123F6" w14:textId="214B7B5F" w:rsidR="009E484A" w:rsidRDefault="009E484A" w:rsidP="009E484A">
      <w:r>
        <w:t xml:space="preserve">In addition to the options described above for satisfying RBPS 12(iv), high-risk chemical facilities are welcome to propose alternative or supplemental options not described in this </w:t>
      </w:r>
      <w:r w:rsidR="00A12EA7">
        <w:t>document</w:t>
      </w:r>
      <w:r>
        <w:t xml:space="preserve"> in their SSPs or ASPs.  The Department will assess the adequacy of such alternative or supplemental options on a facility-by-facility basis, in the course of evaluating each facility’s SSP or ASP.</w:t>
      </w:r>
    </w:p>
    <w:p w14:paraId="16DD77BA" w14:textId="77777777" w:rsidR="009E484A" w:rsidRDefault="009E484A" w:rsidP="009E484A"/>
    <w:p w14:paraId="4946C8A7" w14:textId="67C8A042" w:rsidR="009E484A" w:rsidRDefault="009E484A" w:rsidP="009E484A">
      <w:r>
        <w:t xml:space="preserve">High-risk chemical facilities </w:t>
      </w:r>
      <w:r w:rsidR="00FA7854">
        <w:t>may also consider measures</w:t>
      </w:r>
      <w:r>
        <w:t xml:space="preserve"> to address, or minimize the impacts of, compliance with RBPS 12(iv).  For example, high-risk chemical facilities may restrict the numbers and types of persons whom they allow to access their restricted areas and critical assets, thus limiting the number of persons who will need to be checked for terrorist ties.  High-risk chemical facilities also have wide latitude in how they define their restricted areas and critical assets in their SSPs or ASPs, thus potentially limiting the number of persons who will need to be checked for terrorist ties.  High-risk chemical facilities also may choose to escort visitors to restricted areas and critical assets in lieu of performing the background checks required by RBPS 12.</w:t>
      </w:r>
      <w:r>
        <w:rPr>
          <w:rStyle w:val="FootnoteReference"/>
        </w:rPr>
        <w:footnoteReference w:id="6"/>
      </w:r>
    </w:p>
    <w:p w14:paraId="3B8C7D58" w14:textId="77777777" w:rsidR="009E484A" w:rsidRPr="002836C4" w:rsidRDefault="009E484A" w:rsidP="009E484A"/>
    <w:bookmarkEnd w:id="0"/>
    <w:p w14:paraId="17B1682C" w14:textId="77777777" w:rsidR="009E484A" w:rsidRPr="00461896" w:rsidRDefault="009E484A" w:rsidP="009E484A">
      <w:pPr>
        <w:pStyle w:val="Heading3"/>
      </w:pPr>
      <w:r w:rsidRPr="00461896">
        <w:t xml:space="preserve">Relationship </w:t>
      </w:r>
      <w:r>
        <w:t>B</w:t>
      </w:r>
      <w:r w:rsidRPr="00F5137F">
        <w:t>etween</w:t>
      </w:r>
      <w:r w:rsidRPr="00461896">
        <w:t xml:space="preserve"> </w:t>
      </w:r>
      <w:r>
        <w:t>T</w:t>
      </w:r>
      <w:r w:rsidRPr="00461896">
        <w:t>his Information Collection Request and Other CFATS Information Collections</w:t>
      </w:r>
    </w:p>
    <w:p w14:paraId="0BF6133D" w14:textId="77777777" w:rsidR="009E484A" w:rsidRDefault="009E484A" w:rsidP="009E484A">
      <w:pPr>
        <w:spacing w:before="120" w:after="120" w:line="259" w:lineRule="auto"/>
      </w:pPr>
      <w:r w:rsidRPr="00461896">
        <w:t xml:space="preserve">This </w:t>
      </w:r>
      <w:r>
        <w:t xml:space="preserve">ICR </w:t>
      </w:r>
      <w:r w:rsidRPr="00461896">
        <w:t>is associated with 1670-0007</w:t>
      </w:r>
      <w:r w:rsidRPr="00F5137F">
        <w:t>,</w:t>
      </w:r>
      <w:r w:rsidRPr="00461896">
        <w:t xml:space="preserve"> 1670-0014</w:t>
      </w:r>
      <w:r w:rsidRPr="00F5137F">
        <w:t>,</w:t>
      </w:r>
      <w:r w:rsidRPr="00461896">
        <w:t xml:space="preserve"> and 1670-0015</w:t>
      </w:r>
      <w:r w:rsidRPr="00F5137F">
        <w:t>,</w:t>
      </w:r>
      <w:r w:rsidRPr="00461896">
        <w:t xml:space="preserve"> all o</w:t>
      </w:r>
      <w:r>
        <w:t xml:space="preserve">f which describe different </w:t>
      </w:r>
      <w:r w:rsidRPr="00F5137F">
        <w:t xml:space="preserve">information collections </w:t>
      </w:r>
      <w:r>
        <w:t>which support CFATS.</w:t>
      </w:r>
    </w:p>
    <w:p w14:paraId="7A4CC7EC" w14:textId="77777777" w:rsidR="009E484A" w:rsidRDefault="009E484A" w:rsidP="009E484A">
      <w:pPr>
        <w:spacing w:before="120" w:after="120" w:line="259" w:lineRule="auto"/>
      </w:pPr>
      <w:r>
        <w:t xml:space="preserve">1670-0007 is primarily responsible for the collection of information electronically through </w:t>
      </w:r>
      <w:r w:rsidRPr="00F5137F">
        <w:t>CSAT</w:t>
      </w:r>
      <w:r>
        <w:t xml:space="preserve"> from high-risk chemical facilities as part of CFATS.  1670-0007 also covers CSAT user registration and the assignment of user roles within CSAT.  1670-0007 is relevant to the CFATS Personnel Surety Program because the CFATS Personnel Surety Program was designed to enable flexibility in how facilities assign CSAT user roles and responsibilities to match their business operations.</w:t>
      </w:r>
    </w:p>
    <w:p w14:paraId="6E9EB4D9" w14:textId="77777777" w:rsidR="009E484A" w:rsidRDefault="009E484A" w:rsidP="009E484A">
      <w:pPr>
        <w:spacing w:before="120" w:after="120" w:line="259" w:lineRule="auto"/>
      </w:pPr>
      <w:r>
        <w:t>1670-0014 collects information that supports the Department’s management of CFATS communications and notifications to/from high-risk chemical facilities.</w:t>
      </w:r>
    </w:p>
    <w:p w14:paraId="598CDC72" w14:textId="77777777" w:rsidR="009E484A" w:rsidRDefault="009E484A" w:rsidP="009E484A">
      <w:pPr>
        <w:spacing w:before="120" w:after="120" w:line="259" w:lineRule="auto"/>
      </w:pPr>
      <w:r>
        <w:t xml:space="preserve">1670-0015 collects information about </w:t>
      </w:r>
      <w:r w:rsidRPr="00CD5C5A">
        <w:t>Chemical-terrorism Vulnerability Information</w:t>
      </w:r>
      <w:r w:rsidRPr="00F5137F">
        <w:t xml:space="preserve"> </w:t>
      </w:r>
      <w:r>
        <w:t>(CVI), information</w:t>
      </w:r>
      <w:r w:rsidRPr="00F5137F">
        <w:t xml:space="preserve"> </w:t>
      </w:r>
      <w:r>
        <w:t>that is related to the unique information protection regime which ensures that certain information provided by high-risk chemical facilities to the Department is properly protected.</w:t>
      </w:r>
    </w:p>
    <w:p w14:paraId="0BF1E5BF" w14:textId="77777777" w:rsidR="009E484A" w:rsidRPr="00461896" w:rsidRDefault="009E484A" w:rsidP="009E484A">
      <w:pPr>
        <w:pStyle w:val="Heading3"/>
      </w:pPr>
      <w:r>
        <w:t>No Need For Statement B</w:t>
      </w:r>
    </w:p>
    <w:p w14:paraId="5A078C2E" w14:textId="77777777" w:rsidR="009E484A" w:rsidRDefault="009E484A" w:rsidP="009E484A">
      <w:pPr>
        <w:spacing w:before="120" w:after="120" w:line="259" w:lineRule="auto"/>
      </w:pPr>
      <w:r>
        <w:t>T</w:t>
      </w:r>
      <w:r w:rsidRPr="00461896">
        <w:t xml:space="preserve">he CFATS </w:t>
      </w:r>
      <w:r w:rsidRPr="00F5137F">
        <w:t>P</w:t>
      </w:r>
      <w:r>
        <w:t xml:space="preserve">ersonnel </w:t>
      </w:r>
      <w:r w:rsidRPr="00F5137F">
        <w:t>S</w:t>
      </w:r>
      <w:r>
        <w:t>urety</w:t>
      </w:r>
      <w:r w:rsidRPr="00F5137F">
        <w:t xml:space="preserve"> </w:t>
      </w:r>
      <w:r>
        <w:t>P</w:t>
      </w:r>
      <w:r w:rsidRPr="00F5137F">
        <w:t>rogram</w:t>
      </w:r>
      <w:r w:rsidRPr="00461896">
        <w:t xml:space="preserve"> will not use statistical methods on information collected.</w:t>
      </w:r>
    </w:p>
    <w:p w14:paraId="6E999899" w14:textId="77777777" w:rsidR="009E484A" w:rsidRPr="002E0DA6" w:rsidRDefault="009E484A" w:rsidP="009E484A">
      <w:pPr>
        <w:pStyle w:val="Heading2"/>
      </w:pPr>
      <w:r w:rsidRPr="002E0DA6">
        <w:lastRenderedPageBreak/>
        <w:t xml:space="preserve">By </w:t>
      </w:r>
      <w:r>
        <w:t>W</w:t>
      </w:r>
      <w:r w:rsidRPr="002E0DA6">
        <w:t xml:space="preserve">hom, </w:t>
      </w:r>
      <w:r>
        <w:t>H</w:t>
      </w:r>
      <w:r w:rsidRPr="002E0DA6">
        <w:t xml:space="preserve">ow, </w:t>
      </w:r>
      <w:r>
        <w:t>A</w:t>
      </w:r>
      <w:r w:rsidRPr="002E0DA6">
        <w:t xml:space="preserve">nd </w:t>
      </w:r>
      <w:r>
        <w:t>F</w:t>
      </w:r>
      <w:r w:rsidRPr="00382D2E">
        <w:t>or</w:t>
      </w:r>
      <w:r w:rsidRPr="002E0DA6">
        <w:t xml:space="preserve"> </w:t>
      </w:r>
      <w:r>
        <w:t>W</w:t>
      </w:r>
      <w:r w:rsidRPr="002E0DA6">
        <w:t xml:space="preserve">hat </w:t>
      </w:r>
      <w:r>
        <w:t>P</w:t>
      </w:r>
      <w:r w:rsidRPr="002E0DA6">
        <w:t xml:space="preserve">urpose </w:t>
      </w:r>
      <w:r>
        <w:t>T</w:t>
      </w:r>
      <w:r w:rsidRPr="002E0DA6">
        <w:t xml:space="preserve">he </w:t>
      </w:r>
      <w:r>
        <w:t>I</w:t>
      </w:r>
      <w:r w:rsidRPr="002E0DA6">
        <w:t xml:space="preserve">nformation </w:t>
      </w:r>
      <w:r>
        <w:t>I</w:t>
      </w:r>
      <w:r w:rsidRPr="002E0DA6">
        <w:t xml:space="preserve">s </w:t>
      </w:r>
      <w:r>
        <w:t>T</w:t>
      </w:r>
      <w:r w:rsidRPr="002E0DA6">
        <w:t xml:space="preserve">o </w:t>
      </w:r>
      <w:r>
        <w:t>B</w:t>
      </w:r>
      <w:r w:rsidRPr="002E0DA6">
        <w:t xml:space="preserve">e </w:t>
      </w:r>
      <w:r>
        <w:t>U</w:t>
      </w:r>
      <w:r w:rsidRPr="002E0DA6">
        <w:t>sed</w:t>
      </w:r>
    </w:p>
    <w:p w14:paraId="15802843" w14:textId="77777777" w:rsidR="009E484A" w:rsidRPr="00461896" w:rsidRDefault="009E484A" w:rsidP="009E484A">
      <w:pPr>
        <w:pStyle w:val="Heading3"/>
      </w:pPr>
      <w:r w:rsidRPr="00461896">
        <w:t>What</w:t>
      </w:r>
      <w:r>
        <w:t>/Who</w:t>
      </w:r>
      <w:r w:rsidRPr="00461896">
        <w:t xml:space="preserve"> is the Source of the Information?</w:t>
      </w:r>
    </w:p>
    <w:p w14:paraId="70953D6C" w14:textId="723E04B2" w:rsidR="009E484A" w:rsidRDefault="009E484A" w:rsidP="009E484A">
      <w:pPr>
        <w:spacing w:before="120" w:after="120" w:line="259" w:lineRule="auto"/>
      </w:pPr>
      <w:r>
        <w:t>High-risk chemical facilities are responsible for complying with RBPS 12(iv).  However, companies operating multiple high-risk chemical facilities, as well as companies operating only one high-risk chemical facility, may comply with RBPS 12(iv) in a variety of ways.  High-risk chemical facilities, or their parent companies, may choose to comply with RBPS 12(iv) by identifying and submitting the information about affected individuals to the Department directly.  Alternatively, high-risk chemical facilities, or their parent companies, may choose to comply with RBPS 12(iv) by outsourcing the information submission process to third parties.</w:t>
      </w:r>
      <w:r w:rsidR="009C369E">
        <w:t xml:space="preserve">  High-risk chemical facilities may also choose options for compliance with RBPS 12(iv) that do not involve submission of information to </w:t>
      </w:r>
      <w:r w:rsidR="002C355D">
        <w:t>the Department</w:t>
      </w:r>
      <w:r w:rsidR="009C369E">
        <w:t>.</w:t>
      </w:r>
    </w:p>
    <w:p w14:paraId="28624315" w14:textId="4CE1A815" w:rsidR="009E484A" w:rsidRDefault="009E484A" w:rsidP="009E484A">
      <w:pPr>
        <w:spacing w:before="120" w:after="120" w:line="259" w:lineRule="auto"/>
      </w:pPr>
      <w:r>
        <w:t xml:space="preserve">The Department anticipates that many high-risk chemical facilities will rely on businesses that provide contract services (e.g., complex turn-arounds, freight delivery services, lawn mowing) to identify and submit </w:t>
      </w:r>
      <w:r w:rsidR="000976D7">
        <w:t xml:space="preserve">to the Department for vetting, </w:t>
      </w:r>
      <w:r>
        <w:t xml:space="preserve">the appropriate information about affected individuals they employ.  </w:t>
      </w:r>
    </w:p>
    <w:p w14:paraId="5CB4575E" w14:textId="77777777" w:rsidR="009E484A" w:rsidRPr="00576519" w:rsidRDefault="009E484A" w:rsidP="009E484A">
      <w:pPr>
        <w:pStyle w:val="Heading3"/>
      </w:pPr>
      <w:r w:rsidRPr="00576519">
        <w:t>CSAT User Roles and Responsibilities</w:t>
      </w:r>
    </w:p>
    <w:p w14:paraId="0D8889B8" w14:textId="77777777" w:rsidR="009E484A" w:rsidRDefault="009E484A" w:rsidP="009E484A">
      <w:pPr>
        <w:spacing w:before="120" w:after="120" w:line="259" w:lineRule="auto"/>
      </w:pPr>
      <w:r>
        <w:t xml:space="preserve">To minimize the burden of submitting information about affected individuals, under Options 1 and 2 (as described above), high-risk chemical facilities would have wide latitude in assigning CSAT user roles to align with their business operations and/or the business operations of third parties that provide contracted services to them.  Furthermore, the Department intends to structure the CSAT Personnel Surety </w:t>
      </w:r>
      <w:r w:rsidR="004E7E8C">
        <w:t xml:space="preserve">Program </w:t>
      </w:r>
      <w:r>
        <w:t>application to allow designees of high-risk chemical facilities to submit information about affected individuals directly to the Department on behalf of high-risk chemical facilities.</w:t>
      </w:r>
    </w:p>
    <w:p w14:paraId="4A17FFC8" w14:textId="77777777" w:rsidR="009E484A" w:rsidRDefault="009E484A" w:rsidP="009E484A">
      <w:pPr>
        <w:spacing w:before="120" w:after="120" w:line="259" w:lineRule="auto"/>
      </w:pPr>
      <w:r>
        <w:t>High-risk chemical facilities and their designees will be able to structure their CSAT user roles to submit information about affected individuals to the Department in several ways:</w:t>
      </w:r>
    </w:p>
    <w:p w14:paraId="15BC6E61" w14:textId="77777777" w:rsidR="009E484A" w:rsidRDefault="009E484A" w:rsidP="009E484A">
      <w:pPr>
        <w:pStyle w:val="ListParagraph"/>
        <w:numPr>
          <w:ilvl w:val="0"/>
          <w:numId w:val="4"/>
        </w:numPr>
        <w:spacing w:before="120" w:after="120" w:line="259" w:lineRule="auto"/>
      </w:pPr>
      <w:r>
        <w:t>A high-risk chemical facility could directly submit information about affected individuals, and designate one or more officers or employees of the facility with an appropriate CSAT user role; and/or</w:t>
      </w:r>
    </w:p>
    <w:p w14:paraId="78E34717" w14:textId="77777777" w:rsidR="009E484A" w:rsidRDefault="009E484A" w:rsidP="009E484A">
      <w:pPr>
        <w:pStyle w:val="ListParagraph"/>
        <w:numPr>
          <w:ilvl w:val="0"/>
          <w:numId w:val="4"/>
        </w:numPr>
        <w:spacing w:before="120" w:after="120" w:line="259" w:lineRule="auto"/>
      </w:pPr>
      <w:r>
        <w:t>A high-risk chemical facility could ensure the submission of information about affected individuals by designating one or more persons affiliated with a third party (or with multiple third parties); and/or</w:t>
      </w:r>
    </w:p>
    <w:p w14:paraId="422B44FA" w14:textId="77777777" w:rsidR="009E484A" w:rsidRDefault="009E484A" w:rsidP="009E484A">
      <w:pPr>
        <w:pStyle w:val="ListParagraph"/>
        <w:numPr>
          <w:ilvl w:val="0"/>
          <w:numId w:val="4"/>
        </w:numPr>
        <w:spacing w:before="120" w:after="120" w:line="259" w:lineRule="auto"/>
      </w:pPr>
      <w:r>
        <w:t>A company owning several high-risk chemical facilities could consolidate its submission process for affected individuals.  Specifically, the company could designate one or more persons to submit information about affected individuals on behalf of all of the high-risk chemical facilities on a company-wide basis.</w:t>
      </w:r>
    </w:p>
    <w:p w14:paraId="1101FBF9" w14:textId="219A50C8" w:rsidR="009E484A" w:rsidRPr="00576519" w:rsidRDefault="009E484A" w:rsidP="009E484A">
      <w:pPr>
        <w:spacing w:before="120" w:after="120" w:line="259" w:lineRule="auto"/>
      </w:pPr>
      <w:r>
        <w:t>The Department may, upon request, also</w:t>
      </w:r>
      <w:r w:rsidR="005703C4">
        <w:t xml:space="preserve"> </w:t>
      </w:r>
      <w:r>
        <w:t>consider allowing CSAT users the ability to submit information about affected individuals to the Department via a web service.  The ability to submit information about affected individuals via a web service will be provided on a case by case basis</w:t>
      </w:r>
      <w:r w:rsidR="000474BE">
        <w:t>.  T</w:t>
      </w:r>
      <w:r>
        <w:t>he Department</w:t>
      </w:r>
      <w:r w:rsidR="000474BE">
        <w:t xml:space="preserve"> will review all request</w:t>
      </w:r>
      <w:r w:rsidR="000976D7">
        <w:t>s</w:t>
      </w:r>
      <w:r w:rsidR="000474BE">
        <w:t xml:space="preserve"> </w:t>
      </w:r>
      <w:r w:rsidR="005703C4">
        <w:t xml:space="preserve">for feasibility and </w:t>
      </w:r>
      <w:r w:rsidR="000474BE">
        <w:t xml:space="preserve">to ensure appropriate </w:t>
      </w:r>
      <w:r>
        <w:t xml:space="preserve">security and privacy safeguards </w:t>
      </w:r>
      <w:r w:rsidR="009C369E">
        <w:t xml:space="preserve">are in place and </w:t>
      </w:r>
      <w:r>
        <w:t>have been agreed to by the CSAT user.</w:t>
      </w:r>
    </w:p>
    <w:p w14:paraId="142C2812" w14:textId="77777777" w:rsidR="009E484A" w:rsidRDefault="009E484A" w:rsidP="009E484A">
      <w:pPr>
        <w:pStyle w:val="Heading3"/>
      </w:pPr>
      <w:r w:rsidRPr="00461896">
        <w:lastRenderedPageBreak/>
        <w:t>The Purpose for Collecting the Information</w:t>
      </w:r>
    </w:p>
    <w:p w14:paraId="7D09FF3F" w14:textId="77777777" w:rsidR="009E484A" w:rsidRDefault="009E484A" w:rsidP="009E484A">
      <w:pPr>
        <w:spacing w:before="120" w:after="120" w:line="259" w:lineRule="auto"/>
      </w:pPr>
      <w:r w:rsidRPr="00156AFB">
        <w:t xml:space="preserve">The purpose of the CFATS Personnel Surety Program is to identify individuals with terrorist ties that have or are seeking access to the restricted areas and/or critical assets at the nation’s high-risk chemical facilities.  </w:t>
      </w:r>
      <w:r>
        <w:t>T</w:t>
      </w:r>
      <w:r w:rsidRPr="00461896">
        <w:t>h</w:t>
      </w:r>
      <w:r>
        <w:t xml:space="preserve">is ICR </w:t>
      </w:r>
      <w:r w:rsidRPr="00461896">
        <w:t>will allow chemical facilities to comply with RBPS</w:t>
      </w:r>
      <w:r>
        <w:t xml:space="preserve"> </w:t>
      </w:r>
      <w:r w:rsidRPr="00461896">
        <w:t>12(iv)</w:t>
      </w:r>
      <w:r>
        <w:t>.</w:t>
      </w:r>
    </w:p>
    <w:p w14:paraId="03920362" w14:textId="77777777" w:rsidR="009E484A" w:rsidRPr="00F7015B" w:rsidRDefault="009E484A" w:rsidP="009E484A">
      <w:pPr>
        <w:pStyle w:val="Heading2"/>
      </w:pPr>
      <w:r w:rsidRPr="00F7015B">
        <w:t>Use of Improved Information Technology and Burden Reduction</w:t>
      </w:r>
    </w:p>
    <w:p w14:paraId="139884DF" w14:textId="77777777" w:rsidR="009E484A" w:rsidRDefault="009E484A" w:rsidP="009E484A">
      <w:pPr>
        <w:spacing w:before="120" w:after="120" w:line="259" w:lineRule="auto"/>
      </w:pPr>
      <w:r>
        <w:t>The CFATS Personnel Surety Program</w:t>
      </w:r>
      <w:r w:rsidRPr="00102513">
        <w:t xml:space="preserve"> </w:t>
      </w:r>
      <w:r>
        <w:t xml:space="preserve">primarily </w:t>
      </w:r>
      <w:r w:rsidRPr="00102513">
        <w:t>use</w:t>
      </w:r>
      <w:r>
        <w:t xml:space="preserve">s CSAT, which is available to high-risk chemical facilities and to their designees free of charge.  Using CSAT </w:t>
      </w:r>
      <w:r w:rsidRPr="00F5137F">
        <w:t>reduce</w:t>
      </w:r>
      <w:r>
        <w:t>s</w:t>
      </w:r>
      <w:r w:rsidRPr="00102513">
        <w:t xml:space="preserve"> the burden on</w:t>
      </w:r>
      <w:r>
        <w:t xml:space="preserve"> high-risk</w:t>
      </w:r>
      <w:r w:rsidRPr="00102513">
        <w:t xml:space="preserve"> </w:t>
      </w:r>
      <w:r>
        <w:t xml:space="preserve">chemical </w:t>
      </w:r>
      <w:r w:rsidRPr="00102513">
        <w:t xml:space="preserve">facilities by streamlining the </w:t>
      </w:r>
      <w:r>
        <w:t xml:space="preserve">data collection </w:t>
      </w:r>
      <w:r w:rsidRPr="00102513">
        <w:t>process to meet CFATS regulatory obligations</w:t>
      </w:r>
      <w:r>
        <w:t>.</w:t>
      </w:r>
    </w:p>
    <w:p w14:paraId="5D2E1050" w14:textId="3819C49A" w:rsidR="009E484A" w:rsidRDefault="009E484A" w:rsidP="009E484A">
      <w:pPr>
        <w:spacing w:before="120" w:after="120" w:line="259" w:lineRule="auto"/>
      </w:pPr>
      <w:r>
        <w:t>The CFATS Personnel Surety Program also allows high-risk chemical facilities the opportunity to leverage existing TWIC reader technology</w:t>
      </w:r>
      <w:r w:rsidRPr="00FE28CA">
        <w:rPr>
          <w:color w:val="000000"/>
        </w:rPr>
        <w:t xml:space="preserve"> to </w:t>
      </w:r>
      <w:r>
        <w:t xml:space="preserve">electronically verify and validate affected individuals’ TWICs.  </w:t>
      </w:r>
      <w:r w:rsidRPr="004436A8">
        <w:t xml:space="preserve"> </w:t>
      </w:r>
      <w:r>
        <w:t xml:space="preserve">The Department believes that the data submission for RBPS 12(iv) will likely be accomplished in concert with the routine hiring and access control </w:t>
      </w:r>
      <w:r w:rsidRPr="00B205A1">
        <w:t>background check</w:t>
      </w:r>
      <w:r>
        <w:t xml:space="preserve">s related to RBPS 12(i)-(iii) because doing </w:t>
      </w:r>
      <w:r w:rsidR="00FA7854">
        <w:t xml:space="preserve">these checks </w:t>
      </w:r>
      <w:r>
        <w:t xml:space="preserve">in concert </w:t>
      </w:r>
      <w:r w:rsidR="00FA7854">
        <w:t xml:space="preserve">with one another </w:t>
      </w:r>
      <w:r>
        <w:t>is likely to generate the potential for cost savings.</w:t>
      </w:r>
      <w:r>
        <w:rPr>
          <w:rStyle w:val="FootnoteReference"/>
        </w:rPr>
        <w:footnoteReference w:id="7"/>
      </w:r>
    </w:p>
    <w:p w14:paraId="4B34BAD5" w14:textId="77777777" w:rsidR="00776429" w:rsidRDefault="00776429" w:rsidP="00776429">
      <w:pPr>
        <w:spacing w:before="120" w:after="120" w:line="259" w:lineRule="auto"/>
      </w:pPr>
      <w:r>
        <w:t xml:space="preserve">Similarly, for facilities that chose </w:t>
      </w:r>
      <w:r w:rsidR="00A2410B">
        <w:t>O</w:t>
      </w:r>
      <w:r>
        <w:t xml:space="preserve">ption 4 – </w:t>
      </w:r>
      <w:r w:rsidR="00A2410B">
        <w:t>V</w:t>
      </w:r>
      <w:r>
        <w:t xml:space="preserve">isual </w:t>
      </w:r>
      <w:r w:rsidR="00A2410B">
        <w:t>V</w:t>
      </w:r>
      <w:r>
        <w:t>erification</w:t>
      </w:r>
      <w:r w:rsidR="00153559">
        <w:t xml:space="preserve"> of Credentials Conducting Periodic Vetting</w:t>
      </w:r>
      <w:r>
        <w:t xml:space="preserve">, the Department will not collect any data and believes facilities will </w:t>
      </w:r>
      <w:r w:rsidR="00A2410B">
        <w:t>satisfy</w:t>
      </w:r>
      <w:r>
        <w:t xml:space="preserve"> RBPS 12(iv) in concert with routine hiring and access control background checks related to RBPS</w:t>
      </w:r>
      <w:r w:rsidR="00A2410B">
        <w:t>12</w:t>
      </w:r>
      <w:r>
        <w:t xml:space="preserve">(i)-(iii).  </w:t>
      </w:r>
    </w:p>
    <w:p w14:paraId="40F05B30" w14:textId="77777777" w:rsidR="009E484A" w:rsidRPr="00576519" w:rsidRDefault="009E484A" w:rsidP="009E484A">
      <w:pPr>
        <w:pStyle w:val="Heading2"/>
      </w:pPr>
      <w:r w:rsidRPr="00576519">
        <w:t>Efforts to Identify Duplication and Use of Similar Information</w:t>
      </w:r>
    </w:p>
    <w:p w14:paraId="5FE72A29" w14:textId="4F980769" w:rsidR="009E484A" w:rsidRPr="00576519" w:rsidRDefault="009E484A" w:rsidP="009E484A">
      <w:pPr>
        <w:spacing w:before="120" w:after="120" w:line="259" w:lineRule="auto"/>
      </w:pPr>
      <w:r w:rsidRPr="00576519">
        <w:t xml:space="preserve">Under Option 2 (as described above), </w:t>
      </w:r>
      <w:r w:rsidR="009C369E">
        <w:t>t</w:t>
      </w:r>
      <w:r>
        <w:t>he Department</w:t>
      </w:r>
      <w:r w:rsidRPr="00576519">
        <w:t xml:space="preserve"> will not duplicate the vetting of affected individuals against the TSDB under the CFATS Personnel Surety Program, if </w:t>
      </w:r>
      <w:r>
        <w:t>the Department</w:t>
      </w:r>
      <w:r w:rsidRPr="00576519">
        <w:t xml:space="preserve"> can verify the affected individual’s enrollment in the TWIC, HME, or Trusted Traveler Programs.</w:t>
      </w:r>
    </w:p>
    <w:p w14:paraId="42494C0C" w14:textId="77777777" w:rsidR="009E484A" w:rsidRDefault="009E484A" w:rsidP="009E484A">
      <w:pPr>
        <w:spacing w:before="120" w:after="120" w:line="259" w:lineRule="auto"/>
      </w:pPr>
      <w:r w:rsidRPr="00576519">
        <w:t xml:space="preserve">Under Option 3 (as described above), </w:t>
      </w:r>
      <w:r w:rsidRPr="00576519">
        <w:rPr>
          <w:color w:val="000000"/>
        </w:rPr>
        <w:t xml:space="preserve">high-risk chemical facilities </w:t>
      </w:r>
      <w:r w:rsidRPr="00576519">
        <w:t xml:space="preserve">do </w:t>
      </w:r>
      <w:r w:rsidRPr="00576519">
        <w:rPr>
          <w:color w:val="000000"/>
        </w:rPr>
        <w:t>not need to submit information about affected individuals enrolled in the TWIC Program, if the facility opts to e</w:t>
      </w:r>
      <w:r w:rsidRPr="00576519">
        <w:t>lectronically verify and</w:t>
      </w:r>
      <w:r>
        <w:t xml:space="preserve"> validate TWICs through the use of TWIC readers as described in their SSPs or ASPs.</w:t>
      </w:r>
    </w:p>
    <w:p w14:paraId="10F74A72" w14:textId="77777777" w:rsidR="009C369E" w:rsidRDefault="009C369E" w:rsidP="009C369E">
      <w:pPr>
        <w:spacing w:before="120" w:after="120" w:line="259" w:lineRule="auto"/>
        <w:rPr>
          <w:color w:val="000000"/>
        </w:rPr>
      </w:pPr>
      <w:r w:rsidRPr="00576519">
        <w:t>Under Option</w:t>
      </w:r>
      <w:r>
        <w:t xml:space="preserve"> 4</w:t>
      </w:r>
      <w:r w:rsidRPr="00576519">
        <w:t xml:space="preserve"> (as described above), </w:t>
      </w:r>
      <w:r w:rsidRPr="00576519">
        <w:rPr>
          <w:color w:val="000000"/>
        </w:rPr>
        <w:t xml:space="preserve">high-risk chemical facilities </w:t>
      </w:r>
      <w:r w:rsidR="000976D7">
        <w:rPr>
          <w:color w:val="000000"/>
        </w:rPr>
        <w:t>will</w:t>
      </w:r>
      <w:r w:rsidRPr="00576519">
        <w:t xml:space="preserve"> </w:t>
      </w:r>
      <w:r w:rsidRPr="00576519">
        <w:rPr>
          <w:color w:val="000000"/>
        </w:rPr>
        <w:t xml:space="preserve">not </w:t>
      </w:r>
      <w:r w:rsidR="000976D7">
        <w:rPr>
          <w:color w:val="000000"/>
        </w:rPr>
        <w:t xml:space="preserve">be required </w:t>
      </w:r>
      <w:r w:rsidRPr="00576519">
        <w:rPr>
          <w:color w:val="000000"/>
        </w:rPr>
        <w:t xml:space="preserve">to submit information about affected individuals </w:t>
      </w:r>
      <w:r w:rsidR="000853D0">
        <w:rPr>
          <w:color w:val="000000"/>
        </w:rPr>
        <w:t xml:space="preserve">when </w:t>
      </w:r>
      <w:r w:rsidR="00540D78">
        <w:rPr>
          <w:color w:val="000000"/>
        </w:rPr>
        <w:t>they choose to utilize</w:t>
      </w:r>
      <w:r w:rsidR="003A2B7F">
        <w:rPr>
          <w:color w:val="000000"/>
        </w:rPr>
        <w:t xml:space="preserve"> </w:t>
      </w:r>
      <w:r>
        <w:t xml:space="preserve">Visual Verification </w:t>
      </w:r>
      <w:r w:rsidR="003A2B7F">
        <w:t>o</w:t>
      </w:r>
      <w:r>
        <w:t>f Credentials Conducting Periodic Vetting,</w:t>
      </w:r>
      <w:r w:rsidR="00153559">
        <w:t xml:space="preserve"> </w:t>
      </w:r>
      <w:r w:rsidR="000976D7">
        <w:t xml:space="preserve">in accordance </w:t>
      </w:r>
      <w:r>
        <w:t>with section 2102(d)(2)(B) of the Homeland Security Act</w:t>
      </w:r>
      <w:r w:rsidR="003A2B7F">
        <w:t>.</w:t>
      </w:r>
    </w:p>
    <w:p w14:paraId="79EFA1F8" w14:textId="77777777" w:rsidR="009E484A" w:rsidRPr="008D7ACA" w:rsidRDefault="009E484A" w:rsidP="009E484A">
      <w:pPr>
        <w:pStyle w:val="Heading2"/>
      </w:pPr>
      <w:r w:rsidRPr="008D7ACA">
        <w:lastRenderedPageBreak/>
        <w:t>Impact on Small Business or Other Small Entities</w:t>
      </w:r>
    </w:p>
    <w:p w14:paraId="7925ADE3" w14:textId="77777777" w:rsidR="009E484A" w:rsidRDefault="009E484A" w:rsidP="009E484A">
      <w:pPr>
        <w:spacing w:before="120" w:after="120" w:line="259" w:lineRule="auto"/>
      </w:pPr>
      <w:r>
        <w:t>While n</w:t>
      </w:r>
      <w:r w:rsidRPr="002E0DA6">
        <w:t xml:space="preserve">o unique methods will be used to </w:t>
      </w:r>
      <w:r w:rsidRPr="00E5144F">
        <w:t>minimize</w:t>
      </w:r>
      <w:r w:rsidRPr="002E0DA6">
        <w:t xml:space="preserve"> the burden to small businesses</w:t>
      </w:r>
      <w:r>
        <w:t>, small businesses have flexibility in their SSPs or ASPs to choose which security measures they will implement in order to comply with CFATS</w:t>
      </w:r>
      <w:r w:rsidRPr="002E0DA6">
        <w:t>.</w:t>
      </w:r>
    </w:p>
    <w:p w14:paraId="358CD4FA" w14:textId="77777777" w:rsidR="009E484A" w:rsidRPr="00F7015B" w:rsidRDefault="009E484A" w:rsidP="009E484A">
      <w:pPr>
        <w:pStyle w:val="Heading2"/>
      </w:pPr>
      <w:r w:rsidRPr="00F7015B">
        <w:t xml:space="preserve">Consequences of Collecting the Information </w:t>
      </w:r>
      <w:r>
        <w:t>L</w:t>
      </w:r>
      <w:r w:rsidRPr="00F7015B">
        <w:t>ess Frequently</w:t>
      </w:r>
    </w:p>
    <w:p w14:paraId="76D349DE" w14:textId="77777777" w:rsidR="00101A19" w:rsidRDefault="009E484A" w:rsidP="009E484A">
      <w:pPr>
        <w:spacing w:before="120" w:after="120" w:line="259" w:lineRule="auto"/>
      </w:pPr>
      <w:r>
        <w:t>Reducing the frequency of information collection would prevent the Department from acquiring up-to-date information about who has or is seeking access to restricted areas and critical assets at high-risk chemical facilities.  This could prevent an adequate government response in the event that an affected individual with terrorist ties has or seeks to obtain such access.</w:t>
      </w:r>
      <w:r w:rsidR="003A2B7F">
        <w:t xml:space="preserve">  </w:t>
      </w:r>
    </w:p>
    <w:p w14:paraId="22C5BBB1" w14:textId="77777777" w:rsidR="009E484A" w:rsidRDefault="003A2B7F" w:rsidP="009E484A">
      <w:pPr>
        <w:spacing w:before="120" w:after="120" w:line="259" w:lineRule="auto"/>
      </w:pPr>
      <w:r>
        <w:t xml:space="preserve">In accordance with the CFATS Act of 2014 the Department will not require high-risk chemical facilities to submit information about an individual more than </w:t>
      </w:r>
      <w:r w:rsidR="000848ED">
        <w:t xml:space="preserve">one </w:t>
      </w:r>
      <w:r>
        <w:t xml:space="preserve">time.  </w:t>
      </w:r>
    </w:p>
    <w:p w14:paraId="16BE3A76" w14:textId="16611B38" w:rsidR="009E484A" w:rsidRDefault="009E484A" w:rsidP="009E484A">
      <w:pPr>
        <w:pStyle w:val="Heading2"/>
      </w:pPr>
      <w:r w:rsidRPr="004F5797">
        <w:t xml:space="preserve">Special Circumstances Relating to the Guidelines </w:t>
      </w:r>
      <w:r>
        <w:t xml:space="preserve">under </w:t>
      </w:r>
      <w:hyperlink r:id="rId8" w:history="1">
        <w:r w:rsidRPr="004F5797">
          <w:rPr>
            <w:rStyle w:val="Hyperlink"/>
            <w:rFonts w:cs="Arial"/>
          </w:rPr>
          <w:t xml:space="preserve">5 CFR </w:t>
        </w:r>
        <w:r>
          <w:rPr>
            <w:rStyle w:val="Hyperlink"/>
            <w:rFonts w:cs="Arial"/>
          </w:rPr>
          <w:t xml:space="preserve">§ </w:t>
        </w:r>
        <w:r w:rsidRPr="004F5797">
          <w:rPr>
            <w:rStyle w:val="Hyperlink"/>
            <w:rFonts w:cs="Arial"/>
          </w:rPr>
          <w:t>1320.5</w:t>
        </w:r>
      </w:hyperlink>
      <w:r w:rsidRPr="002E7F29">
        <w:rPr>
          <w:rStyle w:val="Heading3Char"/>
        </w:rPr>
        <w:t>(</w:t>
      </w:r>
      <w:r w:rsidR="00101A19" w:rsidRPr="002E7F29">
        <w:rPr>
          <w:rStyle w:val="Heading3Char"/>
        </w:rPr>
        <w:t>d</w:t>
      </w:r>
      <w:r w:rsidRPr="002E7F29">
        <w:rPr>
          <w:rStyle w:val="Heading3Char"/>
        </w:rPr>
        <w:t>)(2)(</w:t>
      </w:r>
      <w:r w:rsidRPr="007B78F1">
        <w:rPr>
          <w:rStyle w:val="Heading3Char"/>
        </w:rPr>
        <w:t>i</w:t>
      </w:r>
      <w:r w:rsidRPr="002E7F29">
        <w:rPr>
          <w:rStyle w:val="Heading3Char"/>
        </w:rPr>
        <w:t>)</w:t>
      </w:r>
    </w:p>
    <w:p w14:paraId="1AD58D72" w14:textId="77777777" w:rsidR="009E484A" w:rsidRDefault="009E484A" w:rsidP="009E484A">
      <w:pPr>
        <w:pStyle w:val="Heading3"/>
      </w:pPr>
      <w:r w:rsidRPr="004F5797">
        <w:t>Requiring respondents to report information to the agency more often than quarterly</w:t>
      </w:r>
    </w:p>
    <w:p w14:paraId="0DA01A52" w14:textId="77777777" w:rsidR="009E484A" w:rsidRDefault="009E484A" w:rsidP="009E484A">
      <w:pPr>
        <w:spacing w:before="120" w:after="120" w:line="259" w:lineRule="auto"/>
      </w:pPr>
      <w:r>
        <w:t xml:space="preserve">Respondents under this collection are the individuals whose information has been submitted to the Department through CSAT by high-risk chemical facilities at which they have or are seeking access to </w:t>
      </w:r>
      <w:r w:rsidRPr="006F758E">
        <w:rPr>
          <w:szCs w:val="22"/>
        </w:rPr>
        <w:t>restricted areas or critical assets</w:t>
      </w:r>
      <w:r>
        <w:rPr>
          <w:szCs w:val="22"/>
        </w:rPr>
        <w:t>.  However, at no time do affected individuals report information directly to the Department;</w:t>
      </w:r>
      <w:r w:rsidRPr="00F5137F">
        <w:rPr>
          <w:szCs w:val="22"/>
        </w:rPr>
        <w:t xml:space="preserve"> </w:t>
      </w:r>
      <w:r>
        <w:rPr>
          <w:szCs w:val="22"/>
        </w:rPr>
        <w:t xml:space="preserve">instead, </w:t>
      </w:r>
      <w:r>
        <w:t>t</w:t>
      </w:r>
      <w:r w:rsidRPr="00F5137F">
        <w:t>he</w:t>
      </w:r>
      <w:r>
        <w:t xml:space="preserve"> actual reporting burden is placed upon high-risk chemical facilities.  The frequency of information submission for high-risk chemical facilities is a function of a number of variables, many of which are under the control of high-risk chemical facilities.  Relevant variables include (but are not limited to) the nature of a facility’s access controls, visitor escorting procedures, and how high-risk chemical facilities choose to define what is and is not a restricted areas and critical assets within their SSP or ASP.</w:t>
      </w:r>
    </w:p>
    <w:p w14:paraId="521E6F57" w14:textId="77777777" w:rsidR="009E484A" w:rsidRDefault="009E484A" w:rsidP="009E484A">
      <w:pPr>
        <w:spacing w:before="120" w:after="120" w:line="259" w:lineRule="auto"/>
      </w:pPr>
      <w:r>
        <w:t xml:space="preserve">Under CFATS, high-risk chemical facilities have wide latitude to choose how to structure and implement </w:t>
      </w:r>
      <w:r w:rsidRPr="00F5137F">
        <w:t>the</w:t>
      </w:r>
      <w:r>
        <w:t xml:space="preserve"> features of their SSPs.  Facilities may structure their SSPs or ASPs so as to minimize the frequency and burden of information submission under the CFATS Personnel Surety Program, if they desire to do so.</w:t>
      </w:r>
    </w:p>
    <w:p w14:paraId="74A2353E" w14:textId="77777777" w:rsidR="009E484A" w:rsidRPr="00F7015B" w:rsidRDefault="009E484A" w:rsidP="009E484A">
      <w:pPr>
        <w:pStyle w:val="Heading2"/>
      </w:pPr>
      <w:r w:rsidRPr="00F7015B">
        <w:t>Comments in Response to the</w:t>
      </w:r>
      <w:r>
        <w:t xml:space="preserve"> Federal Register</w:t>
      </w:r>
      <w:r w:rsidRPr="00F7015B">
        <w:t xml:space="preserve"> Notice and Efforts to Consult Outside the Agency</w:t>
      </w:r>
    </w:p>
    <w:p w14:paraId="0DE18729" w14:textId="2340DBD9" w:rsidR="009E484A" w:rsidRDefault="009E484A" w:rsidP="009E484A">
      <w:r>
        <w:t xml:space="preserve">Prior to the publication of the 60-day notice in March 2013, </w:t>
      </w:r>
      <w:r w:rsidRPr="008B5271">
        <w:t xml:space="preserve">the Department had </w:t>
      </w:r>
      <w:r>
        <w:t>substantial</w:t>
      </w:r>
      <w:r w:rsidRPr="008B5271">
        <w:t xml:space="preserve"> dialogue with key CFATS stakeholders</w:t>
      </w:r>
      <w:r>
        <w:t xml:space="preserve">.  The discussion </w:t>
      </w:r>
      <w:r w:rsidR="00FA7854">
        <w:t>focused on</w:t>
      </w:r>
      <w:r w:rsidR="00FA7854" w:rsidRPr="008B5271">
        <w:t xml:space="preserve"> </w:t>
      </w:r>
      <w:r w:rsidRPr="008B5271">
        <w:t>program design</w:t>
      </w:r>
      <w:r>
        <w:t xml:space="preserve"> issues, the CSAT Personnel Surety </w:t>
      </w:r>
      <w:r w:rsidR="004E7E8C">
        <w:t xml:space="preserve">Program </w:t>
      </w:r>
      <w:r>
        <w:t>application, options the Department</w:t>
      </w:r>
      <w:r w:rsidRPr="008B5271">
        <w:t xml:space="preserve"> ha</w:t>
      </w:r>
      <w:r w:rsidR="00A65DBF">
        <w:t>d</w:t>
      </w:r>
      <w:r w:rsidRPr="008B5271">
        <w:t xml:space="preserve"> been considering</w:t>
      </w:r>
      <w:r>
        <w:t>,</w:t>
      </w:r>
      <w:r w:rsidRPr="008B5271">
        <w:t xml:space="preserve"> and additional options </w:t>
      </w:r>
      <w:r>
        <w:t xml:space="preserve">stakeholders recommended for the Department’s </w:t>
      </w:r>
      <w:r w:rsidRPr="008B5271">
        <w:t>consid</w:t>
      </w:r>
      <w:r>
        <w:t>eration</w:t>
      </w:r>
      <w:r w:rsidRPr="008B5271">
        <w:t>, both in the short and long term.</w:t>
      </w:r>
    </w:p>
    <w:p w14:paraId="03074661" w14:textId="4611E77C" w:rsidR="001A1A65" w:rsidRDefault="009E484A" w:rsidP="009E484A">
      <w:pPr>
        <w:spacing w:before="120" w:after="120" w:line="259" w:lineRule="auto"/>
      </w:pPr>
      <w:r w:rsidRPr="007C0C35">
        <w:lastRenderedPageBreak/>
        <w:t xml:space="preserve">A 60-day public notice for comments was published in the Federal Register on </w:t>
      </w:r>
      <w:r>
        <w:t>March 22</w:t>
      </w:r>
      <w:r w:rsidRPr="007C0C35">
        <w:t>, 20</w:t>
      </w:r>
      <w:r>
        <w:t>13,</w:t>
      </w:r>
      <w:r w:rsidRPr="007C0C35">
        <w:t xml:space="preserve"> at 7</w:t>
      </w:r>
      <w:r>
        <w:t>8</w:t>
      </w:r>
      <w:r w:rsidRPr="007C0C35">
        <w:t xml:space="preserve"> F</w:t>
      </w:r>
      <w:r>
        <w:t>.</w:t>
      </w:r>
      <w:r w:rsidRPr="007C0C35">
        <w:t>R</w:t>
      </w:r>
      <w:r>
        <w:t>.</w:t>
      </w:r>
      <w:r w:rsidRPr="007C0C35">
        <w:t xml:space="preserve"> </w:t>
      </w:r>
      <w:r>
        <w:t>17680</w:t>
      </w:r>
      <w:r w:rsidR="00BF0AD4">
        <w:t xml:space="preserve"> and specifically solicited comments on four standard questions.</w:t>
      </w:r>
      <w:r w:rsidR="00BF0AD4">
        <w:rPr>
          <w:rStyle w:val="FootnoteReference"/>
        </w:rPr>
        <w:footnoteReference w:id="8"/>
      </w:r>
      <w:r>
        <w:t>.  The Department received 28 c</w:t>
      </w:r>
      <w:r w:rsidRPr="007C0C35">
        <w:t>omments</w:t>
      </w:r>
      <w:r>
        <w:t xml:space="preserve"> submitted by the public, which may be found on </w:t>
      </w:r>
      <w:hyperlink r:id="rId9" w:history="1">
        <w:r w:rsidRPr="00ED76C0">
          <w:rPr>
            <w:rStyle w:val="Hyperlink"/>
          </w:rPr>
          <w:t>www.regulations.gov</w:t>
        </w:r>
      </w:hyperlink>
      <w:r>
        <w:t xml:space="preserve"> under Docket ID DHS-2009-0061. The Department’s </w:t>
      </w:r>
      <w:r w:rsidRPr="007C0C35">
        <w:t xml:space="preserve">responses </w:t>
      </w:r>
      <w:r>
        <w:t xml:space="preserve">were included in a </w:t>
      </w:r>
      <w:r w:rsidRPr="00A80B4A">
        <w:t>Paperwork Reduction Act</w:t>
      </w:r>
      <w:r w:rsidRPr="00F5137F">
        <w:t xml:space="preserve"> </w:t>
      </w:r>
      <w:r>
        <w:t>(PRA) 30-day Federal Register notice</w:t>
      </w:r>
      <w:r w:rsidR="001A1A65">
        <w:t xml:space="preserve"> and are briefly summarized below:</w:t>
      </w:r>
    </w:p>
    <w:p w14:paraId="7955F4C5" w14:textId="77777777" w:rsidR="001A1A65" w:rsidRDefault="001A1A65" w:rsidP="001A1A65">
      <w:pPr>
        <w:pStyle w:val="ListParagraph"/>
        <w:numPr>
          <w:ilvl w:val="0"/>
          <w:numId w:val="9"/>
        </w:numPr>
        <w:tabs>
          <w:tab w:val="left" w:pos="-1440"/>
        </w:tabs>
        <w:spacing w:before="120" w:after="120" w:line="259" w:lineRule="auto"/>
      </w:pPr>
      <w:r>
        <w:t>The Department did not receive any comments suggesting that the proposed collection of information was not necessary for the proper performance of the functions of the agency.</w:t>
      </w:r>
    </w:p>
    <w:p w14:paraId="719C2EF0" w14:textId="56360C22" w:rsidR="001A1A65" w:rsidRDefault="001A1A65" w:rsidP="001A1A65">
      <w:pPr>
        <w:pStyle w:val="ListParagraph"/>
        <w:numPr>
          <w:ilvl w:val="0"/>
          <w:numId w:val="9"/>
        </w:numPr>
        <w:tabs>
          <w:tab w:val="left" w:pos="-1440"/>
        </w:tabs>
        <w:spacing w:before="120" w:after="120" w:line="259" w:lineRule="auto"/>
      </w:pPr>
      <w:r>
        <w:t>The Department received s</w:t>
      </w:r>
      <w:r w:rsidR="00BD7C07">
        <w:t xml:space="preserve">ix </w:t>
      </w:r>
      <w:r>
        <w:t xml:space="preserve">comments that related to the accuracy of the agency's estimate of the burden of the proposed collection of information.  Several commenters suggested that the annual turnover rate of 71% for frequent unescorted visitors estimated by the Department in the 60-day notice underestimated the annual turnover rate for delivery personnel.  One commenter suggested that the Department adopt a higher annual turnover rate of 81.75% for all frequent unescorted visitors.  The Department agreed to adopt the higher estimated rate </w:t>
      </w:r>
      <w:r w:rsidR="00BD7C07">
        <w:t xml:space="preserve">of 81.75% </w:t>
      </w:r>
      <w:r>
        <w:t>for frequent unescorted visitor annual turnover. The Department's burden estimates reflect this revised assumption.</w:t>
      </w:r>
    </w:p>
    <w:p w14:paraId="0FC19351" w14:textId="417908AB" w:rsidR="001A1A65" w:rsidRDefault="001A1A65" w:rsidP="001A1A65">
      <w:pPr>
        <w:pStyle w:val="ListParagraph"/>
        <w:numPr>
          <w:ilvl w:val="0"/>
          <w:numId w:val="9"/>
        </w:numPr>
        <w:tabs>
          <w:tab w:val="left" w:pos="-1440"/>
        </w:tabs>
        <w:spacing w:before="120" w:after="120" w:line="259" w:lineRule="auto"/>
      </w:pPr>
      <w:r>
        <w:t xml:space="preserve">The Department received </w:t>
      </w:r>
      <w:r w:rsidR="00BD7C07">
        <w:t xml:space="preserve">two </w:t>
      </w:r>
      <w:r>
        <w:t>comments that related to the quality, utility, and clarity of the information to be collected.  The Department responded with clarifications but did not adjust the ICR as a result of these comments.</w:t>
      </w:r>
    </w:p>
    <w:p w14:paraId="103D5415" w14:textId="1199B626" w:rsidR="001A1A65" w:rsidRDefault="001A1A65" w:rsidP="001A1A65">
      <w:pPr>
        <w:pStyle w:val="ListParagraph"/>
        <w:numPr>
          <w:ilvl w:val="0"/>
          <w:numId w:val="9"/>
        </w:numPr>
        <w:tabs>
          <w:tab w:val="left" w:pos="-1440"/>
        </w:tabs>
        <w:spacing w:before="120" w:after="120" w:line="259" w:lineRule="auto"/>
      </w:pPr>
      <w:r>
        <w:t xml:space="preserve">The Department received </w:t>
      </w:r>
      <w:r w:rsidR="00BD7C07">
        <w:t>two</w:t>
      </w:r>
      <w:r>
        <w:t xml:space="preserve"> comments that related to minimizing the burden of the collection of information on those who are to respond.  The Department responded with clarifications but did not adjust the ICR as a result of these comments.</w:t>
      </w:r>
    </w:p>
    <w:p w14:paraId="1BCF7250" w14:textId="126EF738" w:rsidR="001A1A65" w:rsidRDefault="001A1A65" w:rsidP="001A1A65">
      <w:pPr>
        <w:pStyle w:val="ListParagraph"/>
        <w:numPr>
          <w:ilvl w:val="0"/>
          <w:numId w:val="9"/>
        </w:numPr>
        <w:spacing w:before="120" w:after="120" w:line="259" w:lineRule="auto"/>
      </w:pPr>
      <w:r>
        <w:t xml:space="preserve">The Department received </w:t>
      </w:r>
      <w:r w:rsidR="00BD7C07">
        <w:t xml:space="preserve">35 </w:t>
      </w:r>
      <w:r>
        <w:t xml:space="preserve">comments that were </w:t>
      </w:r>
      <w:r w:rsidR="00BD7C07">
        <w:t xml:space="preserve">outside the scope of the ICR.  </w:t>
      </w:r>
      <w:r>
        <w:t>Among the comments were suggestions that: (1) the Department develop substantially different processes than the processes described by the Department in the CFATS IFR published in April 2007; (2) the Department was not following White House recommendations to promote comparability and reciprocity across credentialing and screening programs; and (3) the collection of information under Option 2 to verify an affected individual's enrollment in the TWIC, HME, and the Trusted Traveler Programs qualifies as a duplicative background check.  The Department did not adjust the ICR as a result of these comments</w:t>
      </w:r>
      <w:r w:rsidR="00BD7C07">
        <w:t xml:space="preserve"> but did provide a response to each comment</w:t>
      </w:r>
      <w:r>
        <w:t>.</w:t>
      </w:r>
    </w:p>
    <w:p w14:paraId="2777386B" w14:textId="18B775ED" w:rsidR="00DE4712" w:rsidRDefault="009E484A" w:rsidP="00DE4712">
      <w:pPr>
        <w:spacing w:before="120" w:after="120" w:line="259" w:lineRule="auto"/>
      </w:pPr>
      <w:r>
        <w:t xml:space="preserve">A 30-day public notice for comments was published in </w:t>
      </w:r>
      <w:r w:rsidRPr="00380C81">
        <w:t>the Federal Register on</w:t>
      </w:r>
      <w:r>
        <w:t xml:space="preserve"> February 3, 2014, at 79 F.R. 6417.</w:t>
      </w:r>
      <w:r w:rsidR="00775340">
        <w:t xml:space="preserve">  The Department received 14 c</w:t>
      </w:r>
      <w:r w:rsidR="00775340" w:rsidRPr="007C0C35">
        <w:t>omments</w:t>
      </w:r>
      <w:r w:rsidR="00775340">
        <w:t xml:space="preserve"> submitted </w:t>
      </w:r>
      <w:r w:rsidR="006723F0">
        <w:t>eleven associations</w:t>
      </w:r>
      <w:r w:rsidR="00775340">
        <w:t xml:space="preserve">, </w:t>
      </w:r>
      <w:r w:rsidR="006723F0">
        <w:t xml:space="preserve">two companies that perform background checks as a service, and one coalition representing multiple unions and other organizations.  The comments may be found on </w:t>
      </w:r>
      <w:hyperlink r:id="rId10" w:history="1">
        <w:r w:rsidR="00775340" w:rsidRPr="00ED76C0">
          <w:rPr>
            <w:rStyle w:val="Hyperlink"/>
          </w:rPr>
          <w:t>www.regulations.gov</w:t>
        </w:r>
      </w:hyperlink>
      <w:r w:rsidR="00775340">
        <w:t xml:space="preserve"> under Docket ID DHS-2012-0061</w:t>
      </w:r>
      <w:r w:rsidR="00DE4712">
        <w:t>.  The 14 comment</w:t>
      </w:r>
      <w:r w:rsidR="00BD7C07">
        <w:t>er</w:t>
      </w:r>
      <w:r w:rsidR="00DE4712">
        <w:t>s reiterated many of the previous comments submitted in response to the 60-day notice</w:t>
      </w:r>
      <w:r w:rsidR="00BD7C07">
        <w:t xml:space="preserve"> that were out of scope</w:t>
      </w:r>
      <w:r w:rsidR="00DE4712">
        <w:t xml:space="preserve">.  The Department responded to each commenter with a letter.  The letters may be viewed in the Docket as well under “Supporting Documents.” Below is a representative sample of the comments and suggestions the </w:t>
      </w:r>
      <w:r w:rsidR="00DE4712">
        <w:lastRenderedPageBreak/>
        <w:t>Department received.  The Department reviewed and considered all the comments carefully. Based on this review, the Department addressed the comments in the response letters and determined that no modification to the ICR is necessary.</w:t>
      </w:r>
    </w:p>
    <w:p w14:paraId="23BC2FED" w14:textId="77777777" w:rsidR="00DE4712" w:rsidRDefault="00DE4712" w:rsidP="00DE4712">
      <w:pPr>
        <w:spacing w:before="120"/>
      </w:pPr>
      <w:r>
        <w:t>Among the comments received were suggestions that the Department:</w:t>
      </w:r>
    </w:p>
    <w:p w14:paraId="0587536B" w14:textId="77777777" w:rsidR="00DE4712" w:rsidRDefault="00DE4712" w:rsidP="00DE4712">
      <w:pPr>
        <w:pStyle w:val="ListParagraph"/>
        <w:numPr>
          <w:ilvl w:val="0"/>
          <w:numId w:val="10"/>
        </w:numPr>
        <w:spacing w:after="120" w:line="259" w:lineRule="auto"/>
      </w:pPr>
      <w:r>
        <w:t>C</w:t>
      </w:r>
      <w:r w:rsidRPr="00F04808">
        <w:t xml:space="preserve">larify the parameters of acceptable technology that is periodically updated using the Cancelled Card List (CCL) to </w:t>
      </w:r>
      <w:r>
        <w:t>electronically verify</w:t>
      </w:r>
      <w:r w:rsidRPr="00F04808">
        <w:t xml:space="preserve"> TWICs</w:t>
      </w:r>
      <w:r>
        <w:t xml:space="preserve"> under Option 3</w:t>
      </w:r>
      <w:r w:rsidRPr="00F04808">
        <w:t>.</w:t>
      </w:r>
    </w:p>
    <w:p w14:paraId="3397EBD1" w14:textId="77777777" w:rsidR="00DE4712" w:rsidRDefault="00DE4712" w:rsidP="00DE4712">
      <w:pPr>
        <w:pStyle w:val="ListParagraph"/>
        <w:numPr>
          <w:ilvl w:val="0"/>
          <w:numId w:val="10"/>
        </w:numPr>
        <w:spacing w:before="120" w:after="120" w:line="259" w:lineRule="auto"/>
      </w:pPr>
      <w:r>
        <w:t>P</w:t>
      </w:r>
      <w:r w:rsidRPr="00F04808">
        <w:t xml:space="preserve">rovide a voluntary option for Tier 3 and Tier 4 facilities to submit </w:t>
      </w:r>
      <w:r>
        <w:t>personally identifiable information</w:t>
      </w:r>
      <w:r w:rsidRPr="00F04808">
        <w:t xml:space="preserve"> on their affected individuals to DHS for TSDB vetting</w:t>
      </w:r>
      <w:r>
        <w:t>.</w:t>
      </w:r>
    </w:p>
    <w:p w14:paraId="663E7063" w14:textId="77777777" w:rsidR="00DE4712" w:rsidRDefault="00DE4712" w:rsidP="00DE4712">
      <w:pPr>
        <w:pStyle w:val="ListParagraph"/>
        <w:numPr>
          <w:ilvl w:val="0"/>
          <w:numId w:val="10"/>
        </w:numPr>
        <w:spacing w:before="120" w:after="120" w:line="259" w:lineRule="auto"/>
      </w:pPr>
      <w:r>
        <w:t>I</w:t>
      </w:r>
      <w:r w:rsidRPr="00F04808">
        <w:t xml:space="preserve">mprove the transparency of the vetting process and ensure that affected individuals are </w:t>
      </w:r>
      <w:r>
        <w:t>vetted</w:t>
      </w:r>
      <w:r w:rsidRPr="00F04808">
        <w:t xml:space="preserve"> prior to be</w:t>
      </w:r>
      <w:r>
        <w:t>ing</w:t>
      </w:r>
      <w:r w:rsidRPr="00F04808">
        <w:t xml:space="preserve"> granted access to restricted areas and critical assets and develop a protocol for notifying the facility in the event of a positive match</w:t>
      </w:r>
      <w:r>
        <w:t>.</w:t>
      </w:r>
    </w:p>
    <w:p w14:paraId="046A8067" w14:textId="77777777" w:rsidR="00DE4712" w:rsidRDefault="00DE4712" w:rsidP="00DE4712">
      <w:pPr>
        <w:pStyle w:val="ListParagraph"/>
        <w:numPr>
          <w:ilvl w:val="0"/>
          <w:numId w:val="10"/>
        </w:numPr>
        <w:spacing w:before="120" w:after="120" w:line="259" w:lineRule="auto"/>
      </w:pPr>
      <w:r>
        <w:t>E</w:t>
      </w:r>
      <w:r w:rsidRPr="00F04808">
        <w:t>xpand the TWIC program to the CFATS community</w:t>
      </w:r>
      <w:r>
        <w:t>.</w:t>
      </w:r>
    </w:p>
    <w:p w14:paraId="04CC9B41" w14:textId="77777777" w:rsidR="00DE4712" w:rsidRDefault="00DE4712" w:rsidP="002E7F29">
      <w:pPr>
        <w:spacing w:before="120" w:after="120"/>
      </w:pPr>
      <w:r>
        <w:t>Other comments expressed concern over programmatic items and suggested that:</w:t>
      </w:r>
    </w:p>
    <w:p w14:paraId="386CCA0E" w14:textId="77777777" w:rsidR="00DE4712" w:rsidRDefault="00DE4712" w:rsidP="002E7F29">
      <w:pPr>
        <w:pStyle w:val="ListParagraph"/>
        <w:numPr>
          <w:ilvl w:val="0"/>
          <w:numId w:val="11"/>
        </w:numPr>
        <w:spacing w:before="120" w:after="120" w:line="240" w:lineRule="auto"/>
      </w:pPr>
      <w:r>
        <w:t>The Department deviated</w:t>
      </w:r>
      <w:r w:rsidRPr="00F04808">
        <w:t xml:space="preserve"> from Congress’ intent by prescribing a program based on compliance and information gathering instead of a system that focuses on making a </w:t>
      </w:r>
      <w:r>
        <w:t>high-risk chemical facility more secure.</w:t>
      </w:r>
    </w:p>
    <w:p w14:paraId="409052D4" w14:textId="3E4F25AA" w:rsidR="00DE4712" w:rsidRDefault="00DE4712" w:rsidP="002E7F29">
      <w:pPr>
        <w:pStyle w:val="ListParagraph"/>
        <w:numPr>
          <w:ilvl w:val="0"/>
          <w:numId w:val="11"/>
        </w:numPr>
        <w:spacing w:before="120" w:after="120" w:line="240" w:lineRule="auto"/>
      </w:pPr>
      <w:r>
        <w:t xml:space="preserve">The </w:t>
      </w:r>
      <w:r w:rsidRPr="00F04808">
        <w:t xml:space="preserve">information collection and submission system </w:t>
      </w:r>
      <w:r>
        <w:t xml:space="preserve">the Department </w:t>
      </w:r>
      <w:r w:rsidRPr="00F04808">
        <w:t>propose</w:t>
      </w:r>
      <w:r w:rsidR="001B0B35">
        <w:t>d</w:t>
      </w:r>
      <w:r w:rsidRPr="00F04808">
        <w:t xml:space="preserve"> </w:t>
      </w:r>
      <w:r w:rsidR="001B0B35">
        <w:t xml:space="preserve">was </w:t>
      </w:r>
      <w:r w:rsidRPr="00F04808">
        <w:t>duplicative of existing programs</w:t>
      </w:r>
      <w:r>
        <w:t xml:space="preserve"> and that </w:t>
      </w:r>
      <w:r w:rsidRPr="00F04808">
        <w:t>the proposed CFATS Personnel Surety Program scheme would</w:t>
      </w:r>
      <w:r>
        <w:t xml:space="preserve"> increase rather than minimize</w:t>
      </w:r>
      <w:r w:rsidRPr="00F04808">
        <w:t xml:space="preserve"> the burden for both industry and </w:t>
      </w:r>
      <w:r>
        <w:t>the Department.</w:t>
      </w:r>
    </w:p>
    <w:p w14:paraId="7BC65D63" w14:textId="1EBA090A" w:rsidR="00DE4712" w:rsidRDefault="00DE4712" w:rsidP="002E7F29">
      <w:pPr>
        <w:pStyle w:val="ListParagraph"/>
        <w:numPr>
          <w:ilvl w:val="0"/>
          <w:numId w:val="11"/>
        </w:numPr>
        <w:spacing w:before="120" w:after="120" w:line="240" w:lineRule="auto"/>
      </w:pPr>
      <w:r>
        <w:t>T</w:t>
      </w:r>
      <w:r w:rsidRPr="00F04808">
        <w:t xml:space="preserve">he Department </w:t>
      </w:r>
      <w:r w:rsidR="001B0B35">
        <w:t>wa</w:t>
      </w:r>
      <w:r w:rsidRPr="00F04808">
        <w:t xml:space="preserve">s attempting to regulate an area where Congress has clearly granted authority to other agencies.  Specifically, that HME-holders should not be subject to any background check if that background check is equivalent to, or less stringent than, the background check required under </w:t>
      </w:r>
      <w:r>
        <w:t>49 USC § 103a(g)(1)(B)(i)(II).</w:t>
      </w:r>
    </w:p>
    <w:p w14:paraId="03F99F05" w14:textId="24BA9163" w:rsidR="00DE4712" w:rsidRDefault="00DE4712" w:rsidP="002E7F29">
      <w:pPr>
        <w:pStyle w:val="ListParagraph"/>
        <w:numPr>
          <w:ilvl w:val="0"/>
          <w:numId w:val="11"/>
        </w:numPr>
        <w:spacing w:before="120" w:after="120" w:line="240" w:lineRule="auto"/>
      </w:pPr>
      <w:r>
        <w:t>I</w:t>
      </w:r>
      <w:r w:rsidRPr="00F04808">
        <w:t xml:space="preserve">t </w:t>
      </w:r>
      <w:r w:rsidR="001B0B35">
        <w:t>wa</w:t>
      </w:r>
      <w:r w:rsidRPr="00F04808">
        <w:t xml:space="preserve">s difficult to understand how electronically verifying enrollment in other programs </w:t>
      </w:r>
      <w:r>
        <w:t>u</w:t>
      </w:r>
      <w:r w:rsidR="001B0B35">
        <w:t>nder Option 2 wa</w:t>
      </w:r>
      <w:r w:rsidRPr="00F04808">
        <w:t xml:space="preserve">s either different </w:t>
      </w:r>
      <w:r>
        <w:t>from</w:t>
      </w:r>
      <w:r w:rsidRPr="00F04808">
        <w:t xml:space="preserve"> visually </w:t>
      </w:r>
      <w:r w:rsidR="001B0B35">
        <w:t>verifying</w:t>
      </w:r>
      <w:r w:rsidRPr="00F04808">
        <w:t xml:space="preserve"> on the TWIC, HME or FAST credentials</w:t>
      </w:r>
      <w:r>
        <w:t xml:space="preserve">, or necessary when visual </w:t>
      </w:r>
      <w:r w:rsidR="001B0B35">
        <w:t>verification</w:t>
      </w:r>
      <w:r>
        <w:t xml:space="preserve"> </w:t>
      </w:r>
      <w:r w:rsidR="001B0B35">
        <w:t>wa</w:t>
      </w:r>
      <w:r>
        <w:t>s possible.</w:t>
      </w:r>
    </w:p>
    <w:p w14:paraId="1A5646A1" w14:textId="77777777" w:rsidR="00DE4712" w:rsidRDefault="00DE4712" w:rsidP="002E7F29">
      <w:pPr>
        <w:pStyle w:val="ListParagraph"/>
        <w:numPr>
          <w:ilvl w:val="0"/>
          <w:numId w:val="11"/>
        </w:numPr>
        <w:spacing w:before="120" w:after="120" w:line="240" w:lineRule="auto"/>
      </w:pPr>
      <w:r>
        <w:t>F</w:t>
      </w:r>
      <w:r w:rsidRPr="00F04808">
        <w:t>or a small facility such as a chemical distributor, purchasing a TWIC reader to leverage Option 3 is</w:t>
      </w:r>
      <w:r>
        <w:t xml:space="preserve"> a</w:t>
      </w:r>
      <w:r w:rsidRPr="00F04808">
        <w:t xml:space="preserve"> cost-prohibitive option</w:t>
      </w:r>
      <w:r>
        <w:t>.</w:t>
      </w:r>
    </w:p>
    <w:p w14:paraId="7AE050B9" w14:textId="4034D8E6" w:rsidR="00DE4712" w:rsidRPr="00F04808" w:rsidRDefault="00DE4712" w:rsidP="002E7F29">
      <w:pPr>
        <w:pStyle w:val="ListParagraph"/>
        <w:numPr>
          <w:ilvl w:val="0"/>
          <w:numId w:val="11"/>
        </w:numPr>
        <w:spacing w:before="120" w:after="120" w:line="240" w:lineRule="auto"/>
      </w:pPr>
      <w:r>
        <w:t>L</w:t>
      </w:r>
      <w:r w:rsidRPr="00F04808">
        <w:t>imiting or restricting areas and/or individuals is highly unrealistic for a small facility with a limited amount of real estate</w:t>
      </w:r>
      <w:r>
        <w:t xml:space="preserve"> </w:t>
      </w:r>
      <w:r w:rsidR="001B0B35">
        <w:t xml:space="preserve">to </w:t>
      </w:r>
      <w:r w:rsidRPr="00F04808">
        <w:t>segment out areas away from visitors</w:t>
      </w:r>
      <w:r>
        <w:t xml:space="preserve"> and/or</w:t>
      </w:r>
      <w:r w:rsidRPr="00F04808">
        <w:t xml:space="preserve"> contractors</w:t>
      </w:r>
      <w:r>
        <w:t>.</w:t>
      </w:r>
    </w:p>
    <w:p w14:paraId="47142F58" w14:textId="3B31D654" w:rsidR="00DE4712" w:rsidRPr="00454879" w:rsidRDefault="00DE4712" w:rsidP="002E7F29">
      <w:pPr>
        <w:spacing w:before="120" w:after="120"/>
      </w:pPr>
      <w:r>
        <w:t xml:space="preserve">Other commenters </w:t>
      </w:r>
      <w:r w:rsidR="001B0B35">
        <w:t xml:space="preserve">detailed </w:t>
      </w:r>
      <w:r>
        <w:t xml:space="preserve">concerns about the </w:t>
      </w:r>
      <w:r w:rsidR="001B0B35">
        <w:t xml:space="preserve">lack of perceived </w:t>
      </w:r>
      <w:r>
        <w:t xml:space="preserve">authority </w:t>
      </w:r>
      <w:r w:rsidR="001B0B35">
        <w:t>to implement the ICR</w:t>
      </w:r>
      <w:r>
        <w:t>.  Commenters questioned:</w:t>
      </w:r>
    </w:p>
    <w:p w14:paraId="6C69153D" w14:textId="3951CA45" w:rsidR="00DE4712" w:rsidRDefault="001B0B35" w:rsidP="002E7F29">
      <w:pPr>
        <w:pStyle w:val="ListParagraph"/>
        <w:numPr>
          <w:ilvl w:val="0"/>
          <w:numId w:val="12"/>
        </w:numPr>
        <w:spacing w:before="120" w:after="120" w:line="240" w:lineRule="auto"/>
      </w:pPr>
      <w:r>
        <w:t>Whether</w:t>
      </w:r>
      <w:r w:rsidR="00DE4712" w:rsidRPr="00454879">
        <w:t xml:space="preserve"> the approval of the CFATS Personnel Surety Program ICR </w:t>
      </w:r>
      <w:r w:rsidR="00DE4712">
        <w:t xml:space="preserve">would </w:t>
      </w:r>
      <w:r w:rsidR="00DE4712" w:rsidRPr="00454879">
        <w:t>modify or extend the scope</w:t>
      </w:r>
      <w:r w:rsidR="00DE4712">
        <w:t xml:space="preserve"> of ISCD’s regulatory authority.</w:t>
      </w:r>
    </w:p>
    <w:p w14:paraId="1660AFF0" w14:textId="18E8D3FD" w:rsidR="00DE4712" w:rsidRDefault="001B0B35" w:rsidP="002E7F29">
      <w:pPr>
        <w:pStyle w:val="ListParagraph"/>
        <w:numPr>
          <w:ilvl w:val="0"/>
          <w:numId w:val="12"/>
        </w:numPr>
        <w:spacing w:before="120" w:after="120" w:line="240" w:lineRule="auto"/>
      </w:pPr>
      <w:r>
        <w:t xml:space="preserve">Whether </w:t>
      </w:r>
      <w:r w:rsidR="00DE4712" w:rsidRPr="00454879">
        <w:t>ISCD ha</w:t>
      </w:r>
      <w:r>
        <w:t>d</w:t>
      </w:r>
      <w:r w:rsidR="00DE4712" w:rsidRPr="00454879">
        <w:t xml:space="preserve"> the necessary authority and expertise to investigate and act upon terrorist incidents</w:t>
      </w:r>
      <w:r w:rsidR="00DE4712">
        <w:t>.</w:t>
      </w:r>
    </w:p>
    <w:p w14:paraId="164A3786" w14:textId="29958B17" w:rsidR="00DE4712" w:rsidRDefault="001B0B35" w:rsidP="002E7F29">
      <w:pPr>
        <w:pStyle w:val="ListParagraph"/>
        <w:numPr>
          <w:ilvl w:val="0"/>
          <w:numId w:val="12"/>
        </w:numPr>
        <w:spacing w:before="120" w:after="120" w:line="240" w:lineRule="auto"/>
      </w:pPr>
      <w:r>
        <w:t>Whether</w:t>
      </w:r>
      <w:r w:rsidR="00DE4712" w:rsidRPr="00454879">
        <w:t xml:space="preserve"> </w:t>
      </w:r>
      <w:r w:rsidR="00DE4712">
        <w:t>t</w:t>
      </w:r>
      <w:r w:rsidR="00DE4712" w:rsidRPr="00454879">
        <w:t>he details of the agency’s planned program for managing the data discussed in this ICR ha</w:t>
      </w:r>
      <w:r>
        <w:t>d</w:t>
      </w:r>
      <w:r w:rsidR="00DE4712" w:rsidRPr="00454879">
        <w:t xml:space="preserve"> been evaluated for consistency against the 9/11 Commission’s recommendations</w:t>
      </w:r>
      <w:r w:rsidR="00DE4712">
        <w:t>.</w:t>
      </w:r>
      <w:r w:rsidR="00DE4712" w:rsidRPr="00454879">
        <w:t xml:space="preserve"> </w:t>
      </w:r>
    </w:p>
    <w:p w14:paraId="3840BF09" w14:textId="1E203109" w:rsidR="00DE4712" w:rsidRDefault="00DE4712" w:rsidP="002E7F29">
      <w:pPr>
        <w:pStyle w:val="ListParagraph"/>
        <w:numPr>
          <w:ilvl w:val="0"/>
          <w:numId w:val="12"/>
        </w:numPr>
        <w:spacing w:before="120" w:after="120" w:line="240" w:lineRule="auto"/>
      </w:pPr>
      <w:r>
        <w:t>W</w:t>
      </w:r>
      <w:r w:rsidRPr="00454879">
        <w:t xml:space="preserve">hat oversight </w:t>
      </w:r>
      <w:r w:rsidR="001B0B35">
        <w:t>wa</w:t>
      </w:r>
      <w:r w:rsidRPr="00454879">
        <w:t>s necessary or expected for the agen</w:t>
      </w:r>
      <w:r>
        <w:t>cy in managing the CFATS Personnel Surety Program.</w:t>
      </w:r>
    </w:p>
    <w:p w14:paraId="26ED8E51" w14:textId="6346F990" w:rsidR="00DE4712" w:rsidRDefault="001B0B35" w:rsidP="002E7F29">
      <w:pPr>
        <w:pStyle w:val="ListParagraph"/>
        <w:numPr>
          <w:ilvl w:val="0"/>
          <w:numId w:val="12"/>
        </w:numPr>
        <w:spacing w:before="120" w:after="120" w:line="240" w:lineRule="auto"/>
      </w:pPr>
      <w:r>
        <w:lastRenderedPageBreak/>
        <w:t xml:space="preserve">Whether </w:t>
      </w:r>
      <w:r w:rsidR="00DE4712">
        <w:t xml:space="preserve"> </w:t>
      </w:r>
      <w:r w:rsidR="00DE4712" w:rsidRPr="00454879">
        <w:t xml:space="preserve">OMB </w:t>
      </w:r>
      <w:r>
        <w:t xml:space="preserve">had </w:t>
      </w:r>
      <w:r w:rsidR="00DE4712">
        <w:t>verified</w:t>
      </w:r>
      <w:r w:rsidR="00DE4712" w:rsidRPr="00454879">
        <w:t xml:space="preserve"> </w:t>
      </w:r>
      <w:r w:rsidR="00DE4712">
        <w:t xml:space="preserve">whether or not </w:t>
      </w:r>
      <w:r w:rsidR="00DE4712" w:rsidRPr="00454879">
        <w:t xml:space="preserve">the objectives </w:t>
      </w:r>
      <w:r w:rsidR="00DE4712">
        <w:t xml:space="preserve">of the CFATS Personnel Surety Program </w:t>
      </w:r>
      <w:r>
        <w:t>was</w:t>
      </w:r>
      <w:r w:rsidR="00DE4712" w:rsidRPr="00454879">
        <w:t xml:space="preserve"> supported by the agency’s statutory authority</w:t>
      </w:r>
      <w:r w:rsidR="00DE4712">
        <w:t>.</w:t>
      </w:r>
    </w:p>
    <w:p w14:paraId="02798F4C" w14:textId="77777777" w:rsidR="00DE4712" w:rsidRPr="00454879" w:rsidRDefault="00DE4712" w:rsidP="002E7F29">
      <w:pPr>
        <w:pStyle w:val="ListParagraph"/>
        <w:numPr>
          <w:ilvl w:val="0"/>
          <w:numId w:val="12"/>
        </w:numPr>
        <w:spacing w:before="120" w:after="120" w:line="240" w:lineRule="auto"/>
      </w:pPr>
      <w:r>
        <w:t xml:space="preserve">Whether </w:t>
      </w:r>
      <w:r w:rsidRPr="00454879">
        <w:t xml:space="preserve">the details of the underlying </w:t>
      </w:r>
      <w:r>
        <w:t xml:space="preserve">activities </w:t>
      </w:r>
      <w:r w:rsidRPr="00454879">
        <w:t>to achieve situational awareness</w:t>
      </w:r>
      <w:r>
        <w:t xml:space="preserve"> about affected individual with terrorist ties should</w:t>
      </w:r>
      <w:r w:rsidRPr="00454879">
        <w:t xml:space="preserve"> be proposed in a </w:t>
      </w:r>
      <w:r>
        <w:t xml:space="preserve">new </w:t>
      </w:r>
      <w:r w:rsidRPr="00454879">
        <w:t>rulemaking</w:t>
      </w:r>
      <w:r>
        <w:t>.</w:t>
      </w:r>
    </w:p>
    <w:p w14:paraId="5B181853" w14:textId="5F1CD040" w:rsidR="009E484A" w:rsidRDefault="00DE4712" w:rsidP="00DE4712">
      <w:pPr>
        <w:spacing w:before="120" w:after="120" w:line="259" w:lineRule="auto"/>
      </w:pPr>
      <w:r>
        <w:t>T</w:t>
      </w:r>
      <w:r w:rsidRPr="00EB6AE9">
        <w:rPr>
          <w:bCs/>
        </w:rPr>
        <w:t>he Department did not modify the ICR as a result of the comments received</w:t>
      </w:r>
      <w:r>
        <w:rPr>
          <w:bCs/>
        </w:rPr>
        <w:t xml:space="preserve"> </w:t>
      </w:r>
      <w:r w:rsidR="001E0D1E">
        <w:rPr>
          <w:bCs/>
        </w:rPr>
        <w:t xml:space="preserve">from the </w:t>
      </w:r>
      <w:r w:rsidR="001E0D1E">
        <w:t>30-day public notice</w:t>
      </w:r>
      <w:r w:rsidR="001E0D1E">
        <w:rPr>
          <w:bCs/>
        </w:rPr>
        <w:t xml:space="preserve"> </w:t>
      </w:r>
      <w:r>
        <w:rPr>
          <w:bCs/>
        </w:rPr>
        <w:t xml:space="preserve">or the passage of the CFATS Act of 2014, </w:t>
      </w:r>
      <w:r w:rsidRPr="00A734C3">
        <w:rPr>
          <w:bCs/>
        </w:rPr>
        <w:t>because the burden estimates of the ICR have not changed as a result of the CFATS Act of 2014 or as a result of any programmatic changes to the CFATS Personnel Surety Program</w:t>
      </w:r>
      <w:r>
        <w:rPr>
          <w:bCs/>
        </w:rPr>
        <w:t>.</w:t>
      </w:r>
      <w:r>
        <w:t xml:space="preserve">   </w:t>
      </w:r>
    </w:p>
    <w:p w14:paraId="4669FDA5" w14:textId="77777777" w:rsidR="009E484A" w:rsidRPr="00F7015B" w:rsidRDefault="009E484A" w:rsidP="009E484A">
      <w:pPr>
        <w:pStyle w:val="Heading2"/>
      </w:pPr>
      <w:r w:rsidRPr="00F7015B">
        <w:t>Explanation of Any Payment or Gift to Respondents</w:t>
      </w:r>
    </w:p>
    <w:p w14:paraId="6B348672" w14:textId="77777777" w:rsidR="009E484A" w:rsidRDefault="009E484A" w:rsidP="009E484A">
      <w:pPr>
        <w:spacing w:before="120" w:after="120" w:line="259" w:lineRule="auto"/>
      </w:pPr>
      <w:r w:rsidRPr="00EA4171">
        <w:t>There is no offer of monetary or material value for this information collection</w:t>
      </w:r>
      <w:r>
        <w:t xml:space="preserve"> process</w:t>
      </w:r>
      <w:r w:rsidRPr="00EA4171">
        <w:t>.</w:t>
      </w:r>
    </w:p>
    <w:p w14:paraId="5916A5A5" w14:textId="77777777" w:rsidR="009E484A" w:rsidRPr="00F7015B" w:rsidRDefault="009E484A" w:rsidP="009E484A">
      <w:pPr>
        <w:pStyle w:val="Heading2"/>
      </w:pPr>
      <w:r w:rsidRPr="00F7015B">
        <w:t>Assurance of Confidentiality Provided to Respondents</w:t>
      </w:r>
    </w:p>
    <w:p w14:paraId="54DD89E0" w14:textId="00D0ED29" w:rsidR="009E484A" w:rsidRDefault="00BB36AA" w:rsidP="009E484A">
      <w:pPr>
        <w:spacing w:before="120" w:after="120" w:line="259" w:lineRule="auto"/>
      </w:pPr>
      <w:r>
        <w:t>T</w:t>
      </w:r>
      <w:r w:rsidRPr="00F662C4">
        <w:t xml:space="preserve">he Department has published the following </w:t>
      </w:r>
      <w:r>
        <w:t>t</w:t>
      </w:r>
      <w:r w:rsidR="00F662C4" w:rsidRPr="00F662C4">
        <w:t xml:space="preserve">o </w:t>
      </w:r>
      <w:r>
        <w:t xml:space="preserve">give </w:t>
      </w:r>
      <w:r w:rsidR="000976D7">
        <w:t xml:space="preserve">respondents </w:t>
      </w:r>
      <w:r w:rsidR="00F662C4" w:rsidRPr="00F662C4">
        <w:t>assurance of confidentiality</w:t>
      </w:r>
      <w:r>
        <w:t>, on information received</w:t>
      </w:r>
      <w:r w:rsidR="00F662C4" w:rsidRPr="00F662C4">
        <w:t>:</w:t>
      </w:r>
    </w:p>
    <w:p w14:paraId="51FF3588" w14:textId="3CD75A1D" w:rsidR="009E484A" w:rsidRDefault="009E484A" w:rsidP="00F662C4">
      <w:pPr>
        <w:pStyle w:val="ListParagraph"/>
        <w:numPr>
          <w:ilvl w:val="0"/>
          <w:numId w:val="2"/>
        </w:numPr>
        <w:spacing w:before="120" w:after="120" w:line="259" w:lineRule="auto"/>
        <w:contextualSpacing w:val="0"/>
      </w:pPr>
      <w:r>
        <w:t>Privacy Impact Assessment (PIA) on the DHS.gov W</w:t>
      </w:r>
      <w:r w:rsidRPr="00F5137F">
        <w:t>eb</w:t>
      </w:r>
      <w:r>
        <w:t xml:space="preserve"> </w:t>
      </w:r>
      <w:r w:rsidRPr="00F5137F">
        <w:t>site</w:t>
      </w:r>
      <w:r>
        <w:t xml:space="preserve"> at </w:t>
      </w:r>
      <w:hyperlink r:id="rId11" w:history="1">
        <w:r w:rsidR="001739C5" w:rsidRPr="00841FD8">
          <w:rPr>
            <w:rStyle w:val="Hyperlink"/>
          </w:rPr>
          <w:t>http://www.dhs.gov/privacy-documents-national-protection-and-programs-directorate-nppd</w:t>
        </w:r>
      </w:hyperlink>
      <w:r w:rsidRPr="00F5137F">
        <w:t>;</w:t>
      </w:r>
    </w:p>
    <w:p w14:paraId="46B59678" w14:textId="2CA8CDD3" w:rsidR="009E484A" w:rsidRDefault="009E484A" w:rsidP="009E484A">
      <w:pPr>
        <w:pStyle w:val="ListParagraph"/>
        <w:numPr>
          <w:ilvl w:val="0"/>
          <w:numId w:val="2"/>
        </w:numPr>
        <w:spacing w:before="120" w:after="120" w:line="259" w:lineRule="auto"/>
        <w:contextualSpacing w:val="0"/>
      </w:pPr>
      <w:r w:rsidRPr="006E1193">
        <w:t xml:space="preserve">System of Records Notice </w:t>
      </w:r>
      <w:r>
        <w:t>that</w:t>
      </w:r>
      <w:r w:rsidRPr="006E1193">
        <w:t xml:space="preserve"> covers </w:t>
      </w:r>
      <w:r w:rsidRPr="00F5137F">
        <w:t>th</w:t>
      </w:r>
      <w:r>
        <w:t xml:space="preserve">e CFATS Personnel Surety Program on June 14, 2011 in the </w:t>
      </w:r>
      <w:r w:rsidRPr="002E7F29">
        <w:t>Federal Register</w:t>
      </w:r>
      <w:r>
        <w:t xml:space="preserve"> at 76 F.R. 34732</w:t>
      </w:r>
      <w:r w:rsidR="006D294A">
        <w:t>,</w:t>
      </w:r>
      <w:r>
        <w:t xml:space="preserve"> </w:t>
      </w:r>
      <w:hyperlink r:id="rId12" w:history="1">
        <w:r w:rsidR="001739C5" w:rsidRPr="001739C5">
          <w:rPr>
            <w:rStyle w:val="Hyperlink"/>
          </w:rPr>
          <w:t>http://www.gpo.gov/fdsys/pkg/FR-2011-06-14/html/2011-14383.htm</w:t>
        </w:r>
      </w:hyperlink>
      <w:r>
        <w:t>; and</w:t>
      </w:r>
    </w:p>
    <w:p w14:paraId="3F5A614B" w14:textId="238A3017" w:rsidR="009E484A" w:rsidRDefault="00F662C4" w:rsidP="00F662C4">
      <w:pPr>
        <w:pStyle w:val="ListParagraph"/>
        <w:numPr>
          <w:ilvl w:val="0"/>
          <w:numId w:val="2"/>
        </w:numPr>
        <w:spacing w:before="120" w:after="120" w:line="259" w:lineRule="auto"/>
        <w:contextualSpacing w:val="0"/>
      </w:pPr>
      <w:r>
        <w:t>A</w:t>
      </w:r>
      <w:r w:rsidR="009E484A">
        <w:t xml:space="preserve"> </w:t>
      </w:r>
      <w:r w:rsidR="006D294A">
        <w:t>Final</w:t>
      </w:r>
      <w:r w:rsidR="009E484A">
        <w:t xml:space="preserve"> Rule that </w:t>
      </w:r>
      <w:r w:rsidR="006D294A">
        <w:t>exempts portions of the CFATS Personnel Surety Program system of records from certain provisions of the</w:t>
      </w:r>
      <w:r w:rsidR="009E484A">
        <w:t xml:space="preserve"> Privacy Act on </w:t>
      </w:r>
      <w:r w:rsidR="006D294A">
        <w:t>May 21</w:t>
      </w:r>
      <w:r w:rsidR="009E484A">
        <w:t>, 201</w:t>
      </w:r>
      <w:r w:rsidR="006D294A">
        <w:t>4</w:t>
      </w:r>
      <w:r w:rsidR="009E484A">
        <w:t xml:space="preserve"> in the </w:t>
      </w:r>
      <w:r w:rsidR="009E484A" w:rsidRPr="002E7F29">
        <w:t>Federal Register</w:t>
      </w:r>
      <w:r w:rsidR="009E484A">
        <w:t xml:space="preserve"> at 7</w:t>
      </w:r>
      <w:r w:rsidR="006D294A">
        <w:t>9</w:t>
      </w:r>
      <w:r w:rsidR="009E484A">
        <w:t xml:space="preserve"> F.R. </w:t>
      </w:r>
      <w:r w:rsidR="006D294A">
        <w:t>29072,</w:t>
      </w:r>
      <w:r w:rsidR="009E484A">
        <w:t xml:space="preserve"> </w:t>
      </w:r>
      <w:hyperlink r:id="rId13" w:history="1">
        <w:r w:rsidR="001739C5" w:rsidRPr="001739C5">
          <w:rPr>
            <w:rStyle w:val="Hyperlink"/>
          </w:rPr>
          <w:t>http://www.gpo.gov/fdsys/pkg/FR-2014-05-21/pdf/2014-11433.pdf</w:t>
        </w:r>
      </w:hyperlink>
      <w:r w:rsidR="009E484A" w:rsidRPr="006E1193">
        <w:t>.</w:t>
      </w:r>
    </w:p>
    <w:p w14:paraId="09536313" w14:textId="77777777" w:rsidR="009E484A" w:rsidRDefault="009E484A" w:rsidP="009E484A">
      <w:pPr>
        <w:spacing w:before="120" w:after="120" w:line="259" w:lineRule="auto"/>
      </w:pPr>
      <w:r w:rsidRPr="00F5137F">
        <w:t xml:space="preserve">These publications discuss the confidentiality of information submitted to </w:t>
      </w:r>
      <w:r>
        <w:t>the Department</w:t>
      </w:r>
      <w:r w:rsidRPr="00F5137F">
        <w:t xml:space="preserve"> as part of the CFATS Personnel Surety Program</w:t>
      </w:r>
      <w:r>
        <w:t xml:space="preserve">.  Additionally, ensuring </w:t>
      </w:r>
      <w:r w:rsidRPr="009B1C7F">
        <w:t>data security</w:t>
      </w:r>
      <w:r>
        <w:t xml:space="preserve"> is</w:t>
      </w:r>
      <w:r w:rsidRPr="00F5137F">
        <w:t xml:space="preserve"> </w:t>
      </w:r>
      <w:r>
        <w:t>the Department</w:t>
      </w:r>
      <w:r w:rsidRPr="006E1193">
        <w:t>’s primary IT design requirement</w:t>
      </w:r>
      <w:r>
        <w:t>.  The Department</w:t>
      </w:r>
      <w:r w:rsidRPr="006E1193">
        <w:t xml:space="preserve"> acknowledges that there is a non-zero risk</w:t>
      </w:r>
      <w:r w:rsidRPr="00F5137F">
        <w:t xml:space="preserve"> when requesting data over the Internet</w:t>
      </w:r>
      <w:r w:rsidRPr="006E1193">
        <w:t>, both to the original transmission and the receiving transmission</w:t>
      </w:r>
      <w:r>
        <w:t>.  The Department</w:t>
      </w:r>
      <w:r w:rsidRPr="006E1193">
        <w:t xml:space="preserve"> has weighed the risk to the data collection approach against the risk to collecting the data through paper submissions and concluded that the </w:t>
      </w:r>
      <w:r>
        <w:t>W</w:t>
      </w:r>
      <w:r w:rsidRPr="00F5137F">
        <w:t>eb</w:t>
      </w:r>
      <w:r w:rsidRPr="006E1193">
        <w:t>-based approach was the best approach given the risk and benefits.</w:t>
      </w:r>
    </w:p>
    <w:p w14:paraId="5F0C87CC" w14:textId="77777777" w:rsidR="009E484A" w:rsidRDefault="009E484A" w:rsidP="009E484A">
      <w:pPr>
        <w:spacing w:before="120" w:after="120" w:line="259" w:lineRule="auto"/>
      </w:pPr>
      <w:r>
        <w:t>The Department</w:t>
      </w:r>
      <w:r w:rsidRPr="006E1193">
        <w:t xml:space="preserve"> has taken a number of steps to protect both the data that will be collected through CSAT and the process of collection</w:t>
      </w:r>
      <w:r>
        <w:t xml:space="preserve">.  </w:t>
      </w:r>
      <w:r w:rsidRPr="006E1193">
        <w:t>The site that the Department will use to collect submissions is equipped with hardware encryption that requires Transport Layer Security (TLS), as mandated by the latest Federal Information Processing Standard (FIPS)</w:t>
      </w:r>
      <w:r>
        <w:t xml:space="preserve">.  </w:t>
      </w:r>
      <w:r w:rsidRPr="006E1193">
        <w:t>The encryption devices have full Common Criteria Evaluation and Validation Scheme (CCEVS) certifications</w:t>
      </w:r>
      <w:r>
        <w:t xml:space="preserve">.  </w:t>
      </w:r>
      <w:r w:rsidRPr="006E1193">
        <w:t>CCEVS is the implementation of the partnership between the National Security Agency</w:t>
      </w:r>
      <w:r w:rsidR="00AE64E2">
        <w:t xml:space="preserve"> (NSA)</w:t>
      </w:r>
      <w:r w:rsidRPr="006E1193">
        <w:t xml:space="preserve"> and the National Institute of Standards (NIST) to certify security hardware and software.</w:t>
      </w:r>
    </w:p>
    <w:p w14:paraId="7EC28A47" w14:textId="77777777" w:rsidR="009E484A" w:rsidRDefault="009E484A" w:rsidP="009E484A">
      <w:pPr>
        <w:spacing w:before="120" w:after="120" w:line="259" w:lineRule="auto"/>
      </w:pPr>
      <w:r>
        <w:lastRenderedPageBreak/>
        <w:t>Finally, CVI is a s</w:t>
      </w:r>
      <w:r w:rsidRPr="00F5137F">
        <w:t xml:space="preserve">ensitive </w:t>
      </w:r>
      <w:r>
        <w:t>b</w:t>
      </w:r>
      <w:r w:rsidRPr="00F5137F">
        <w:t xml:space="preserve">ut </w:t>
      </w:r>
      <w:r>
        <w:t>u</w:t>
      </w:r>
      <w:r w:rsidRPr="00F5137F">
        <w:t>nclassified</w:t>
      </w:r>
      <w:r>
        <w:t xml:space="preserve"> information protection designation established in 6 C.F.R. § 27.400.  Some, but not all, of the information that is generated as part of the CFATS Personnel Surety Program will be CVI.  The information protection and handling requirements contained in 6 C.F.R. § 27.400 will help to ensure the confidentiality of this information.</w:t>
      </w:r>
    </w:p>
    <w:p w14:paraId="083FB896" w14:textId="77777777" w:rsidR="009E484A" w:rsidRPr="00F7015B" w:rsidRDefault="009E484A" w:rsidP="009E484A">
      <w:pPr>
        <w:pStyle w:val="Heading2"/>
      </w:pPr>
      <w:r w:rsidRPr="00F7015B">
        <w:t>Justification for Sensitive Questions</w:t>
      </w:r>
    </w:p>
    <w:p w14:paraId="0F991076" w14:textId="77777777" w:rsidR="009E484A" w:rsidRDefault="009E484A" w:rsidP="009E484A">
      <w:pPr>
        <w:spacing w:before="120" w:after="120" w:line="259" w:lineRule="auto"/>
      </w:pPr>
      <w:r>
        <w:t xml:space="preserve">There are no standard questions of a sensitive nature.  However, the Department may ask questions of a sensitive nature to </w:t>
      </w:r>
      <w:r w:rsidRPr="00C940E4">
        <w:t xml:space="preserve">confirm </w:t>
      </w:r>
      <w:r>
        <w:t>that</w:t>
      </w:r>
      <w:r w:rsidRPr="00C940E4">
        <w:t xml:space="preserve"> </w:t>
      </w:r>
      <w:r>
        <w:t xml:space="preserve">an affected individual is or is not </w:t>
      </w:r>
      <w:r w:rsidRPr="00C940E4">
        <w:t>a match to a known or suspected terrorist in the TSDB</w:t>
      </w:r>
      <w:r>
        <w:t>.</w:t>
      </w:r>
    </w:p>
    <w:p w14:paraId="7E193AA8" w14:textId="77777777" w:rsidR="009E484A" w:rsidRPr="00F7015B" w:rsidRDefault="009E484A" w:rsidP="009E484A">
      <w:pPr>
        <w:pStyle w:val="Heading2"/>
      </w:pPr>
      <w:r w:rsidRPr="00F7015B">
        <w:t>Estimates of Annualized Burden Hours and Costs</w:t>
      </w:r>
    </w:p>
    <w:p w14:paraId="28EC3D4A" w14:textId="77777777" w:rsidR="009E484A" w:rsidRDefault="009E484A" w:rsidP="009E484A">
      <w:pPr>
        <w:pStyle w:val="Heading3"/>
      </w:pPr>
      <w:r>
        <w:t xml:space="preserve">Annualized Burden Hours </w:t>
      </w:r>
      <w:r>
        <w:rPr>
          <w:rFonts w:cs="Times New Roman"/>
        </w:rPr>
        <w:t>and</w:t>
      </w:r>
      <w:r>
        <w:t xml:space="preserve"> Costs</w:t>
      </w:r>
    </w:p>
    <w:p w14:paraId="09F7F5E9" w14:textId="3BFFE380" w:rsidR="009E484A" w:rsidRDefault="009E484A" w:rsidP="009E484A">
      <w:pPr>
        <w:spacing w:before="120" w:after="120" w:line="259" w:lineRule="auto"/>
      </w:pPr>
      <w:r>
        <w:t>This Information Collection estimates the annualized burden and hours for Tier 1 and Tier 2 high-risk chemical facilities.  The Department estimates that this Information Collection will result in a total annualized burden cost of $4,844,000 during the approved collection period as a result of:</w:t>
      </w:r>
      <w:r w:rsidR="0074497D">
        <w:rPr>
          <w:rStyle w:val="FootnoteReference"/>
        </w:rPr>
        <w:footnoteReference w:id="9"/>
      </w:r>
    </w:p>
    <w:p w14:paraId="08A19DB3" w14:textId="48ED8E7C" w:rsidR="009E484A" w:rsidRDefault="009E484A" w:rsidP="009E484A">
      <w:pPr>
        <w:pStyle w:val="ListParagraph"/>
        <w:numPr>
          <w:ilvl w:val="0"/>
          <w:numId w:val="3"/>
        </w:numPr>
        <w:spacing w:before="120" w:after="120" w:line="259" w:lineRule="auto"/>
      </w:pPr>
      <w:r>
        <w:t>Information about 195,000 respondents being submitted</w:t>
      </w:r>
      <w:r w:rsidR="007006A9">
        <w:t xml:space="preserve"> as described in the 30 day notice</w:t>
      </w:r>
    </w:p>
    <w:p w14:paraId="3B2B9C64" w14:textId="77777777" w:rsidR="009E484A" w:rsidRDefault="009E484A" w:rsidP="009E484A">
      <w:pPr>
        <w:pStyle w:val="ListParagraph"/>
        <w:numPr>
          <w:ilvl w:val="0"/>
          <w:numId w:val="3"/>
        </w:numPr>
        <w:spacing w:before="120" w:after="120" w:line="259" w:lineRule="auto"/>
      </w:pPr>
      <w:r>
        <w:t>High-risk chemical facilities expending 0.58 hours per respondent for 113,600 total annualized burden hours; and</w:t>
      </w:r>
    </w:p>
    <w:p w14:paraId="131B834B" w14:textId="77777777" w:rsidR="009E484A" w:rsidRDefault="009E484A" w:rsidP="009E484A">
      <w:pPr>
        <w:pStyle w:val="ListParagraph"/>
        <w:numPr>
          <w:ilvl w:val="0"/>
          <w:numId w:val="3"/>
        </w:numPr>
        <w:spacing w:before="120" w:after="120" w:line="259" w:lineRule="auto"/>
      </w:pPr>
      <w:r>
        <w:t>$399,800 in capital startup costs for some high-risk chemical facilities.</w:t>
      </w:r>
      <w:bookmarkStart w:id="2" w:name="_GoBack"/>
      <w:bookmarkEnd w:id="2"/>
    </w:p>
    <w:p w14:paraId="21889B5B" w14:textId="77777777" w:rsidR="009E484A" w:rsidRDefault="009E484A" w:rsidP="009E484A">
      <w:pPr>
        <w:tabs>
          <w:tab w:val="clear" w:pos="-1440"/>
        </w:tabs>
      </w:pPr>
    </w:p>
    <w:p w14:paraId="10BCB400" w14:textId="77777777" w:rsidR="009E484A" w:rsidRDefault="009E484A" w:rsidP="009E484A">
      <w:pPr>
        <w:spacing w:before="120" w:after="120" w:line="259" w:lineRule="auto"/>
      </w:pPr>
      <w:r w:rsidRPr="00F7015B">
        <w:t>Table</w:t>
      </w:r>
      <w:r>
        <w:t xml:space="preserve"> 3</w:t>
      </w:r>
      <w:r w:rsidRPr="00F7015B">
        <w:t>: Estimated Annualized Burden Hours and Costs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00"/>
        <w:gridCol w:w="1260"/>
        <w:gridCol w:w="1440"/>
        <w:gridCol w:w="1350"/>
        <w:gridCol w:w="1260"/>
        <w:gridCol w:w="1080"/>
        <w:gridCol w:w="1350"/>
      </w:tblGrid>
      <w:tr w:rsidR="009E484A" w:rsidRPr="00DB036A" w14:paraId="2D28F887" w14:textId="77777777" w:rsidTr="00AE64E2">
        <w:trPr>
          <w:cantSplit/>
          <w:tblHeader/>
          <w:jc w:val="center"/>
        </w:trPr>
        <w:tc>
          <w:tcPr>
            <w:tcW w:w="1440" w:type="dxa"/>
            <w:shd w:val="clear" w:color="auto" w:fill="FFFF00"/>
            <w:vAlign w:val="center"/>
          </w:tcPr>
          <w:p w14:paraId="3252117C" w14:textId="77777777" w:rsidR="009E484A" w:rsidRDefault="009E484A" w:rsidP="00AE64E2">
            <w:pPr>
              <w:keepNext/>
              <w:keepLines/>
              <w:jc w:val="center"/>
              <w:rPr>
                <w:b/>
                <w:sz w:val="20"/>
              </w:rPr>
            </w:pPr>
            <w:r w:rsidRPr="00B63F1E">
              <w:rPr>
                <w:b/>
                <w:sz w:val="20"/>
              </w:rPr>
              <w:t>Type of Respondent</w:t>
            </w:r>
          </w:p>
        </w:tc>
        <w:tc>
          <w:tcPr>
            <w:tcW w:w="900" w:type="dxa"/>
            <w:shd w:val="clear" w:color="auto" w:fill="FFFF00"/>
            <w:vAlign w:val="center"/>
          </w:tcPr>
          <w:p w14:paraId="11757F57" w14:textId="77777777" w:rsidR="009E484A" w:rsidRDefault="009E484A" w:rsidP="00AE64E2">
            <w:pPr>
              <w:keepNext/>
              <w:keepLines/>
              <w:jc w:val="center"/>
              <w:rPr>
                <w:b/>
                <w:sz w:val="20"/>
              </w:rPr>
            </w:pPr>
            <w:r w:rsidRPr="00B63F1E">
              <w:rPr>
                <w:b/>
                <w:sz w:val="20"/>
              </w:rPr>
              <w:t>Form #</w:t>
            </w:r>
          </w:p>
        </w:tc>
        <w:tc>
          <w:tcPr>
            <w:tcW w:w="1260" w:type="dxa"/>
            <w:shd w:val="clear" w:color="auto" w:fill="FFFF00"/>
            <w:vAlign w:val="center"/>
          </w:tcPr>
          <w:p w14:paraId="63A2F668" w14:textId="77777777" w:rsidR="009E484A" w:rsidRDefault="009E484A" w:rsidP="00AE64E2">
            <w:pPr>
              <w:keepNext/>
              <w:keepLines/>
              <w:ind w:right="-108"/>
              <w:jc w:val="center"/>
              <w:rPr>
                <w:b/>
                <w:sz w:val="20"/>
              </w:rPr>
            </w:pPr>
            <w:r w:rsidRPr="00B63F1E">
              <w:rPr>
                <w:b/>
                <w:sz w:val="20"/>
              </w:rPr>
              <w:t>No. of Respondents</w:t>
            </w:r>
          </w:p>
        </w:tc>
        <w:tc>
          <w:tcPr>
            <w:tcW w:w="1440" w:type="dxa"/>
            <w:shd w:val="clear" w:color="auto" w:fill="FFFF00"/>
            <w:vAlign w:val="center"/>
          </w:tcPr>
          <w:p w14:paraId="7DD3F0C2" w14:textId="77777777" w:rsidR="009E484A" w:rsidRDefault="009E484A" w:rsidP="00AE64E2">
            <w:pPr>
              <w:keepNext/>
              <w:keepLines/>
              <w:jc w:val="center"/>
              <w:rPr>
                <w:b/>
                <w:sz w:val="20"/>
              </w:rPr>
            </w:pPr>
            <w:r w:rsidRPr="00B63F1E">
              <w:rPr>
                <w:b/>
                <w:sz w:val="20"/>
              </w:rPr>
              <w:t>No. of Responses per Respondent</w:t>
            </w:r>
          </w:p>
        </w:tc>
        <w:tc>
          <w:tcPr>
            <w:tcW w:w="1350" w:type="dxa"/>
            <w:shd w:val="clear" w:color="auto" w:fill="FFFF00"/>
            <w:vAlign w:val="center"/>
          </w:tcPr>
          <w:p w14:paraId="46C841C8" w14:textId="77777777" w:rsidR="009E484A" w:rsidRDefault="009E484A" w:rsidP="00AE64E2">
            <w:pPr>
              <w:keepNext/>
              <w:keepLines/>
              <w:jc w:val="center"/>
              <w:rPr>
                <w:b/>
                <w:sz w:val="20"/>
              </w:rPr>
            </w:pPr>
            <w:r w:rsidRPr="00B63F1E">
              <w:rPr>
                <w:b/>
                <w:sz w:val="20"/>
              </w:rPr>
              <w:t>Avg. Burden per Response (in hours)</w:t>
            </w:r>
          </w:p>
        </w:tc>
        <w:tc>
          <w:tcPr>
            <w:tcW w:w="1260" w:type="dxa"/>
            <w:shd w:val="clear" w:color="auto" w:fill="FFFF00"/>
            <w:vAlign w:val="center"/>
          </w:tcPr>
          <w:p w14:paraId="0B906083" w14:textId="77777777" w:rsidR="009E484A" w:rsidRDefault="009E484A" w:rsidP="00AE64E2">
            <w:pPr>
              <w:keepNext/>
              <w:keepLines/>
              <w:jc w:val="center"/>
              <w:rPr>
                <w:b/>
                <w:sz w:val="20"/>
              </w:rPr>
            </w:pPr>
            <w:r w:rsidRPr="00B63F1E">
              <w:rPr>
                <w:b/>
                <w:sz w:val="20"/>
              </w:rPr>
              <w:t>Total Annual Burden (in hours)</w:t>
            </w:r>
          </w:p>
        </w:tc>
        <w:tc>
          <w:tcPr>
            <w:tcW w:w="1080" w:type="dxa"/>
            <w:shd w:val="clear" w:color="auto" w:fill="FFFF00"/>
            <w:vAlign w:val="center"/>
          </w:tcPr>
          <w:p w14:paraId="3CD346AD" w14:textId="77777777" w:rsidR="009E484A" w:rsidRDefault="009E484A" w:rsidP="00AE64E2">
            <w:pPr>
              <w:keepNext/>
              <w:keepLines/>
              <w:jc w:val="center"/>
              <w:rPr>
                <w:b/>
                <w:sz w:val="20"/>
              </w:rPr>
            </w:pPr>
            <w:r w:rsidRPr="00B63F1E">
              <w:rPr>
                <w:b/>
                <w:sz w:val="20"/>
              </w:rPr>
              <w:t>Avg. Hourly Wage Rate</w:t>
            </w:r>
          </w:p>
        </w:tc>
        <w:tc>
          <w:tcPr>
            <w:tcW w:w="1350" w:type="dxa"/>
            <w:shd w:val="clear" w:color="auto" w:fill="FFFF00"/>
            <w:vAlign w:val="center"/>
          </w:tcPr>
          <w:p w14:paraId="104B2076" w14:textId="77777777" w:rsidR="009E484A" w:rsidRDefault="009E484A" w:rsidP="00AE64E2">
            <w:pPr>
              <w:keepNext/>
              <w:keepLines/>
              <w:jc w:val="center"/>
              <w:rPr>
                <w:b/>
                <w:sz w:val="20"/>
              </w:rPr>
            </w:pPr>
            <w:r w:rsidRPr="00B63F1E">
              <w:rPr>
                <w:b/>
                <w:sz w:val="20"/>
              </w:rPr>
              <w:t>Total Annual Respondent Cost</w:t>
            </w:r>
          </w:p>
        </w:tc>
      </w:tr>
      <w:tr w:rsidR="009E484A" w:rsidRPr="00DB036A" w14:paraId="0CA83D34" w14:textId="77777777" w:rsidTr="00AE64E2">
        <w:trPr>
          <w:cantSplit/>
          <w:tblHeader/>
          <w:jc w:val="center"/>
        </w:trPr>
        <w:tc>
          <w:tcPr>
            <w:tcW w:w="1440" w:type="dxa"/>
            <w:vAlign w:val="center"/>
          </w:tcPr>
          <w:p w14:paraId="17D32C96" w14:textId="77777777" w:rsidR="009E484A" w:rsidRPr="00C0508E" w:rsidRDefault="009E484A" w:rsidP="00AE64E2">
            <w:pPr>
              <w:jc w:val="center"/>
              <w:rPr>
                <w:color w:val="000000"/>
                <w:sz w:val="20"/>
              </w:rPr>
            </w:pPr>
            <w:r w:rsidRPr="00B63F1E">
              <w:rPr>
                <w:color w:val="000000"/>
                <w:sz w:val="20"/>
              </w:rPr>
              <w:t xml:space="preserve">Individuals </w:t>
            </w:r>
            <w:r w:rsidRPr="00C0508E">
              <w:rPr>
                <w:color w:val="000000"/>
                <w:sz w:val="20"/>
                <w:szCs w:val="20"/>
              </w:rPr>
              <w:t>who have, or are seeking access</w:t>
            </w:r>
            <w:r w:rsidRPr="00B63F1E">
              <w:rPr>
                <w:color w:val="000000"/>
                <w:sz w:val="20"/>
              </w:rPr>
              <w:t xml:space="preserve"> to restricted areas or critical assets</w:t>
            </w:r>
          </w:p>
        </w:tc>
        <w:tc>
          <w:tcPr>
            <w:tcW w:w="900" w:type="dxa"/>
            <w:vAlign w:val="center"/>
          </w:tcPr>
          <w:p w14:paraId="1B622C4B" w14:textId="77777777" w:rsidR="009E484A" w:rsidRPr="00DB036A" w:rsidRDefault="009E484A" w:rsidP="00AE64E2">
            <w:pPr>
              <w:jc w:val="center"/>
              <w:rPr>
                <w:sz w:val="20"/>
                <w:szCs w:val="20"/>
              </w:rPr>
            </w:pPr>
          </w:p>
        </w:tc>
        <w:tc>
          <w:tcPr>
            <w:tcW w:w="1260" w:type="dxa"/>
            <w:vAlign w:val="center"/>
          </w:tcPr>
          <w:p w14:paraId="2049FCC2" w14:textId="77777777" w:rsidR="009E484A" w:rsidRPr="00C0508E" w:rsidRDefault="009E484A" w:rsidP="00AE64E2">
            <w:pPr>
              <w:jc w:val="center"/>
              <w:rPr>
                <w:color w:val="000000"/>
                <w:sz w:val="20"/>
              </w:rPr>
            </w:pPr>
            <w:r>
              <w:rPr>
                <w:color w:val="000000"/>
                <w:sz w:val="20"/>
              </w:rPr>
              <w:t>195,000</w:t>
            </w:r>
          </w:p>
        </w:tc>
        <w:tc>
          <w:tcPr>
            <w:tcW w:w="1440" w:type="dxa"/>
            <w:vAlign w:val="center"/>
          </w:tcPr>
          <w:p w14:paraId="51726B34" w14:textId="77777777" w:rsidR="009E484A" w:rsidRPr="00C0508E" w:rsidRDefault="009E484A" w:rsidP="00AE64E2">
            <w:pPr>
              <w:jc w:val="center"/>
              <w:rPr>
                <w:color w:val="000000"/>
                <w:sz w:val="20"/>
              </w:rPr>
            </w:pPr>
            <w:r w:rsidRPr="00B63F1E">
              <w:rPr>
                <w:color w:val="000000"/>
                <w:sz w:val="20"/>
              </w:rPr>
              <w:t>1</w:t>
            </w:r>
          </w:p>
        </w:tc>
        <w:tc>
          <w:tcPr>
            <w:tcW w:w="1350" w:type="dxa"/>
            <w:vAlign w:val="center"/>
          </w:tcPr>
          <w:p w14:paraId="2D8783BB" w14:textId="77777777" w:rsidR="009E484A" w:rsidRPr="00C0508E" w:rsidRDefault="009E484A" w:rsidP="00AE64E2">
            <w:pPr>
              <w:jc w:val="center"/>
              <w:rPr>
                <w:color w:val="000000"/>
                <w:sz w:val="20"/>
              </w:rPr>
            </w:pPr>
            <w:r>
              <w:rPr>
                <w:color w:val="000000"/>
                <w:sz w:val="20"/>
              </w:rPr>
              <w:t>0.58</w:t>
            </w:r>
          </w:p>
          <w:p w14:paraId="42D56E9B" w14:textId="77777777" w:rsidR="009E484A" w:rsidRPr="00C0508E" w:rsidRDefault="009E484A" w:rsidP="00AE64E2">
            <w:pPr>
              <w:jc w:val="center"/>
              <w:rPr>
                <w:color w:val="000000"/>
                <w:sz w:val="20"/>
              </w:rPr>
            </w:pPr>
            <w:r w:rsidRPr="00B63F1E">
              <w:rPr>
                <w:color w:val="000000"/>
                <w:sz w:val="20"/>
              </w:rPr>
              <w:t>(</w:t>
            </w:r>
            <w:r>
              <w:rPr>
                <w:color w:val="000000"/>
                <w:sz w:val="20"/>
              </w:rPr>
              <w:t>34.8</w:t>
            </w:r>
            <w:r w:rsidRPr="00B63F1E">
              <w:rPr>
                <w:color w:val="000000"/>
                <w:sz w:val="20"/>
              </w:rPr>
              <w:t xml:space="preserve"> Minutes)</w:t>
            </w:r>
          </w:p>
        </w:tc>
        <w:tc>
          <w:tcPr>
            <w:tcW w:w="1260" w:type="dxa"/>
            <w:vAlign w:val="center"/>
          </w:tcPr>
          <w:p w14:paraId="110109B4" w14:textId="77777777" w:rsidR="009E484A" w:rsidRPr="00C0508E" w:rsidRDefault="009E484A" w:rsidP="00AE64E2">
            <w:pPr>
              <w:jc w:val="center"/>
              <w:rPr>
                <w:color w:val="000000"/>
                <w:sz w:val="20"/>
              </w:rPr>
            </w:pPr>
            <w:r>
              <w:rPr>
                <w:color w:val="000000"/>
                <w:sz w:val="20"/>
              </w:rPr>
              <w:t>113,600</w:t>
            </w:r>
          </w:p>
        </w:tc>
        <w:tc>
          <w:tcPr>
            <w:tcW w:w="1080" w:type="dxa"/>
            <w:vAlign w:val="center"/>
          </w:tcPr>
          <w:p w14:paraId="6FDDE640" w14:textId="77777777" w:rsidR="009E484A" w:rsidRPr="00C0508E" w:rsidRDefault="009E484A" w:rsidP="00AE64E2">
            <w:pPr>
              <w:jc w:val="center"/>
              <w:rPr>
                <w:color w:val="000000"/>
                <w:sz w:val="20"/>
              </w:rPr>
            </w:pPr>
            <w:r w:rsidRPr="00B63F1E">
              <w:rPr>
                <w:color w:val="000000"/>
                <w:sz w:val="20"/>
              </w:rPr>
              <w:t>$42</w:t>
            </w:r>
          </w:p>
        </w:tc>
        <w:tc>
          <w:tcPr>
            <w:tcW w:w="1350" w:type="dxa"/>
            <w:vAlign w:val="center"/>
          </w:tcPr>
          <w:p w14:paraId="2ED7175E" w14:textId="77777777" w:rsidR="009E484A" w:rsidRPr="00C0508E" w:rsidRDefault="009E484A" w:rsidP="00AE64E2">
            <w:pPr>
              <w:jc w:val="center"/>
              <w:rPr>
                <w:color w:val="000000"/>
                <w:sz w:val="20"/>
              </w:rPr>
            </w:pPr>
            <w:r>
              <w:rPr>
                <w:color w:val="000000"/>
                <w:sz w:val="20"/>
              </w:rPr>
              <w:t>$4,844,000</w:t>
            </w:r>
          </w:p>
        </w:tc>
      </w:tr>
      <w:tr w:rsidR="009E484A" w:rsidRPr="00DB036A" w14:paraId="550DD324" w14:textId="77777777" w:rsidTr="00AE64E2">
        <w:trPr>
          <w:cantSplit/>
          <w:trHeight w:val="503"/>
          <w:tblHeader/>
          <w:jc w:val="center"/>
        </w:trPr>
        <w:tc>
          <w:tcPr>
            <w:tcW w:w="1440" w:type="dxa"/>
            <w:vAlign w:val="center"/>
          </w:tcPr>
          <w:p w14:paraId="2D40B561" w14:textId="77777777" w:rsidR="009E484A" w:rsidRPr="00794EB8" w:rsidRDefault="009E484A" w:rsidP="00AE64E2">
            <w:pPr>
              <w:jc w:val="center"/>
              <w:rPr>
                <w:b/>
                <w:sz w:val="20"/>
              </w:rPr>
            </w:pPr>
            <w:r w:rsidRPr="00B63F1E">
              <w:rPr>
                <w:b/>
                <w:sz w:val="20"/>
              </w:rPr>
              <w:t>Total</w:t>
            </w:r>
          </w:p>
        </w:tc>
        <w:tc>
          <w:tcPr>
            <w:tcW w:w="900" w:type="dxa"/>
            <w:vAlign w:val="center"/>
          </w:tcPr>
          <w:p w14:paraId="267B1AA3" w14:textId="77777777" w:rsidR="009E484A" w:rsidRPr="00794EB8" w:rsidRDefault="009E484A" w:rsidP="00AE64E2">
            <w:pPr>
              <w:jc w:val="center"/>
              <w:rPr>
                <w:b/>
                <w:sz w:val="20"/>
              </w:rPr>
            </w:pPr>
          </w:p>
        </w:tc>
        <w:tc>
          <w:tcPr>
            <w:tcW w:w="1260" w:type="dxa"/>
            <w:vAlign w:val="center"/>
          </w:tcPr>
          <w:p w14:paraId="5BB9B53B" w14:textId="77777777" w:rsidR="009E484A" w:rsidRPr="00794EB8" w:rsidRDefault="009E484A" w:rsidP="00AE64E2">
            <w:pPr>
              <w:jc w:val="center"/>
              <w:rPr>
                <w:b/>
                <w:sz w:val="20"/>
              </w:rPr>
            </w:pPr>
            <w:r>
              <w:rPr>
                <w:b/>
                <w:sz w:val="20"/>
              </w:rPr>
              <w:t>195,000</w:t>
            </w:r>
          </w:p>
        </w:tc>
        <w:tc>
          <w:tcPr>
            <w:tcW w:w="1440" w:type="dxa"/>
            <w:vAlign w:val="center"/>
          </w:tcPr>
          <w:p w14:paraId="7E6A865A" w14:textId="77777777" w:rsidR="009E484A" w:rsidRPr="00794EB8" w:rsidRDefault="009E484A" w:rsidP="00AE64E2">
            <w:pPr>
              <w:jc w:val="center"/>
              <w:rPr>
                <w:b/>
                <w:sz w:val="20"/>
              </w:rPr>
            </w:pPr>
            <w:r w:rsidRPr="00B63F1E">
              <w:rPr>
                <w:b/>
                <w:sz w:val="20"/>
              </w:rPr>
              <w:t>1</w:t>
            </w:r>
          </w:p>
        </w:tc>
        <w:tc>
          <w:tcPr>
            <w:tcW w:w="1350" w:type="dxa"/>
            <w:vAlign w:val="center"/>
          </w:tcPr>
          <w:p w14:paraId="57B11671" w14:textId="77777777" w:rsidR="009E484A" w:rsidRPr="00794EB8" w:rsidRDefault="009E484A" w:rsidP="00AE64E2">
            <w:pPr>
              <w:jc w:val="center"/>
              <w:rPr>
                <w:b/>
                <w:sz w:val="20"/>
              </w:rPr>
            </w:pPr>
            <w:r>
              <w:rPr>
                <w:b/>
                <w:sz w:val="20"/>
              </w:rPr>
              <w:t>0.58</w:t>
            </w:r>
          </w:p>
        </w:tc>
        <w:tc>
          <w:tcPr>
            <w:tcW w:w="1260" w:type="dxa"/>
            <w:vAlign w:val="center"/>
          </w:tcPr>
          <w:p w14:paraId="3FB6CEAF" w14:textId="77777777" w:rsidR="009E484A" w:rsidRPr="00794EB8" w:rsidRDefault="009E484A" w:rsidP="00AE64E2">
            <w:pPr>
              <w:jc w:val="center"/>
              <w:rPr>
                <w:b/>
                <w:sz w:val="20"/>
              </w:rPr>
            </w:pPr>
            <w:r>
              <w:rPr>
                <w:b/>
                <w:sz w:val="20"/>
              </w:rPr>
              <w:t>113,600</w:t>
            </w:r>
          </w:p>
        </w:tc>
        <w:tc>
          <w:tcPr>
            <w:tcW w:w="1080" w:type="dxa"/>
            <w:vAlign w:val="center"/>
          </w:tcPr>
          <w:p w14:paraId="6323DD0C" w14:textId="77777777" w:rsidR="009E484A" w:rsidRPr="00794EB8" w:rsidRDefault="009E484A" w:rsidP="00AE64E2">
            <w:pPr>
              <w:jc w:val="center"/>
              <w:rPr>
                <w:b/>
                <w:sz w:val="20"/>
              </w:rPr>
            </w:pPr>
            <w:r w:rsidRPr="00B63F1E">
              <w:rPr>
                <w:b/>
                <w:sz w:val="20"/>
              </w:rPr>
              <w:t>$42</w:t>
            </w:r>
          </w:p>
        </w:tc>
        <w:tc>
          <w:tcPr>
            <w:tcW w:w="1350" w:type="dxa"/>
            <w:vAlign w:val="center"/>
          </w:tcPr>
          <w:p w14:paraId="71E40E84" w14:textId="77777777" w:rsidR="009E484A" w:rsidRPr="00794EB8" w:rsidRDefault="009E484A" w:rsidP="00AE64E2">
            <w:pPr>
              <w:jc w:val="center"/>
              <w:rPr>
                <w:b/>
                <w:sz w:val="20"/>
              </w:rPr>
            </w:pPr>
            <w:r>
              <w:rPr>
                <w:b/>
                <w:sz w:val="20"/>
              </w:rPr>
              <w:t>$4,844,000</w:t>
            </w:r>
          </w:p>
        </w:tc>
      </w:tr>
    </w:tbl>
    <w:p w14:paraId="0E69E938" w14:textId="77777777" w:rsidR="009E484A" w:rsidRDefault="009E484A" w:rsidP="009E484A">
      <w:pPr>
        <w:pStyle w:val="Heading3"/>
      </w:pPr>
    </w:p>
    <w:p w14:paraId="1024B45B" w14:textId="77777777" w:rsidR="009E484A" w:rsidRDefault="009E484A" w:rsidP="009E484A">
      <w:pPr>
        <w:pStyle w:val="Heading3"/>
      </w:pPr>
      <w:r>
        <w:t>Phased Implementation</w:t>
      </w:r>
    </w:p>
    <w:p w14:paraId="6B27C493" w14:textId="77777777" w:rsidR="009E484A" w:rsidRDefault="009E484A" w:rsidP="009E484A">
      <w:pPr>
        <w:spacing w:before="120" w:after="120" w:line="259" w:lineRule="auto"/>
      </w:pPr>
      <w:bookmarkStart w:id="3" w:name="OLE_LINK1"/>
      <w:r>
        <w:t xml:space="preserve">The initial implementation of the CFATS Personnel Surety Program will be limited to a small number of Tier 1 and Tier 2 high-risk chemical facilities with authorized or approved SSPs or </w:t>
      </w:r>
      <w:r>
        <w:lastRenderedPageBreak/>
        <w:t>ASPs.  Based upon the Department’s judgment about the success of this initial implementation of the CFATS Personnel Surety Program, the Department may expand implementation to additional Tier 1 and Tier 2 groups of high-risk chemical facilities.</w:t>
      </w:r>
    </w:p>
    <w:p w14:paraId="6FAD1A1C" w14:textId="2FA34FD0" w:rsidR="009E484A" w:rsidRDefault="009E484A" w:rsidP="009E484A">
      <w:pPr>
        <w:spacing w:before="120" w:after="120" w:line="259" w:lineRule="auto"/>
      </w:pPr>
      <w:r>
        <w:t xml:space="preserve">Throughout the authorized collection period, the Department will be working with selected high-risk chemical facilities to adjust CSAT as required to reduce their burden and improve usability.  The Department will maintain open communications with the facilities and accept feedback and input as offered by the </w:t>
      </w:r>
      <w:r w:rsidRPr="00ED76C0">
        <w:t xml:space="preserve">high-risk chemical </w:t>
      </w:r>
      <w:r>
        <w:t>facilities.  Generally, the Department intends to expand implementation to additional small groups of facilities and to make IT adjustments to CSAT using a spiral development approach throughout the collection period.  Phased implementation to include additional Tier 1 and Tier 2 high-risk chemical facilities will occur while the Department analyzes facility-level and Department-level burdens in anticipation of submitting a revised ICR prior to the expiration of this I</w:t>
      </w:r>
      <w:r w:rsidRPr="00F5137F">
        <w:t xml:space="preserve">nformation </w:t>
      </w:r>
      <w:r>
        <w:t>C</w:t>
      </w:r>
      <w:r w:rsidRPr="00F5137F">
        <w:t>ollection</w:t>
      </w:r>
      <w:r>
        <w:t>.</w:t>
      </w:r>
      <w:bookmarkEnd w:id="3"/>
    </w:p>
    <w:p w14:paraId="5ECF94CA" w14:textId="153FBB75" w:rsidR="009E484A" w:rsidRPr="00F7015B" w:rsidRDefault="009E484A" w:rsidP="009E484A">
      <w:pPr>
        <w:pStyle w:val="Heading2"/>
      </w:pPr>
      <w:r w:rsidRPr="00F7015B">
        <w:t>Estimates of Other Total Annual Cost Burden to Respondents and Record Keepers</w:t>
      </w:r>
    </w:p>
    <w:p w14:paraId="5C8BE385" w14:textId="77777777" w:rsidR="009E484A" w:rsidRPr="004541EA" w:rsidRDefault="009E484A" w:rsidP="009E484A">
      <w:pPr>
        <w:spacing w:before="120" w:after="120" w:line="254" w:lineRule="auto"/>
      </w:pPr>
      <w:r>
        <w:t xml:space="preserve">There are no other annual costs to respondents or high-risk chemical facilities accounted for in this ICR.  It is assumed that all high-risk chemical </w:t>
      </w:r>
      <w:r w:rsidRPr="004541EA">
        <w:t xml:space="preserve">facilities that submit information to </w:t>
      </w:r>
      <w:r>
        <w:t>the Department</w:t>
      </w:r>
      <w:r w:rsidRPr="004541EA">
        <w:t xml:space="preserve"> will already have the appropriate computer hardware and Internet connections.  </w:t>
      </w:r>
      <w:r>
        <w:t>The Department</w:t>
      </w:r>
      <w:r w:rsidRPr="004541EA">
        <w:t xml:space="preserve"> also assumes high-risk chemical facilities already have in place processes to safeguard information about affected individuals </w:t>
      </w:r>
      <w:r>
        <w:t>submitted to the Department under</w:t>
      </w:r>
      <w:r w:rsidRPr="004541EA">
        <w:t xml:space="preserve"> this ICR.</w:t>
      </w:r>
    </w:p>
    <w:p w14:paraId="7DA452DC" w14:textId="77777777" w:rsidR="009E484A" w:rsidRPr="00F7015B" w:rsidRDefault="009E484A" w:rsidP="009E484A">
      <w:pPr>
        <w:pStyle w:val="Heading2"/>
      </w:pPr>
      <w:r w:rsidRPr="00F7015B">
        <w:t>Annualized Cost to the Federal Government</w:t>
      </w:r>
    </w:p>
    <w:p w14:paraId="240BB131" w14:textId="77777777" w:rsidR="009E484A" w:rsidRPr="00FF4B2F" w:rsidRDefault="009E484A" w:rsidP="009E484A">
      <w:pPr>
        <w:pStyle w:val="Heading3"/>
      </w:pPr>
      <w:r w:rsidRPr="00FF4B2F">
        <w:t>Collection of Information as Part of the CFATS Personnel Surety Program</w:t>
      </w:r>
    </w:p>
    <w:p w14:paraId="6F997499" w14:textId="07639AC8" w:rsidR="009E484A" w:rsidRDefault="009E484A" w:rsidP="009E484A">
      <w:pPr>
        <w:spacing w:before="120" w:after="120" w:line="259" w:lineRule="auto"/>
      </w:pPr>
      <w:r>
        <w:t>All costs to the Federal government to collect the information necessary to the CFATS Personnel Surety Program come from NPPD appropriated funds.  NPPD does not collect fees from high-risk chemical facilities and does not collect fees from affected individuals.</w:t>
      </w:r>
    </w:p>
    <w:p w14:paraId="6D1AFC94" w14:textId="77777777" w:rsidR="009E484A" w:rsidRDefault="009E484A" w:rsidP="009E484A">
      <w:pPr>
        <w:spacing w:before="120" w:after="120" w:line="259" w:lineRule="auto"/>
      </w:pPr>
      <w:r>
        <w:t xml:space="preserve">Under Option 1 or Option 2, NPPD collects information from high-risk chemical facilities or their designees through the CSAT Personnel Surety </w:t>
      </w:r>
      <w:r w:rsidR="004E7E8C">
        <w:t xml:space="preserve">Program </w:t>
      </w:r>
      <w:r>
        <w:t>application.  NPPD estimates the annual Operating and Maintenance (O&amp;M) costs to be $1.79M.</w:t>
      </w:r>
    </w:p>
    <w:p w14:paraId="3F58A24A" w14:textId="77777777" w:rsidR="009E484A" w:rsidRDefault="009E484A" w:rsidP="009E484A">
      <w:pPr>
        <w:tabs>
          <w:tab w:val="clear" w:pos="-1440"/>
        </w:tabs>
      </w:pPr>
      <w:r>
        <w:t>Under Option 1, NPPD submits information to TSA for vetting against the TSDB.  In this ICR NPPD estimates that there will be 195,000 respondents annually.  In addition to the per vet cost of $4.41, NPPD also pays for a portion of shared costs necessary to conduct vetting against the TSDB.  The annual cost for vetting conducted under Option 1 is outlined in Table 4 below.</w:t>
      </w:r>
    </w:p>
    <w:p w14:paraId="4656D9B5" w14:textId="77777777" w:rsidR="009E484A" w:rsidRDefault="009E484A" w:rsidP="009E484A">
      <w:pPr>
        <w:tabs>
          <w:tab w:val="clear" w:pos="-1440"/>
        </w:tabs>
      </w:pPr>
    </w:p>
    <w:p w14:paraId="0CEAD304" w14:textId="77777777" w:rsidR="009E484A" w:rsidRDefault="009E484A" w:rsidP="009E484A">
      <w:pPr>
        <w:spacing w:before="120" w:after="120" w:line="259" w:lineRule="auto"/>
        <w:ind w:left="270"/>
      </w:pPr>
      <w:r>
        <w:t>Table 4</w:t>
      </w:r>
      <w:r w:rsidRPr="00F7015B">
        <w:t xml:space="preserve">: Estimates of Annualized Costs </w:t>
      </w:r>
      <w:r>
        <w:t>Under Option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944"/>
      </w:tblGrid>
      <w:tr w:rsidR="009E484A" w:rsidRPr="00DB036A" w14:paraId="32088089" w14:textId="77777777" w:rsidTr="00AE64E2">
        <w:trPr>
          <w:cantSplit/>
          <w:trHeight w:val="460"/>
          <w:jc w:val="center"/>
        </w:trPr>
        <w:tc>
          <w:tcPr>
            <w:tcW w:w="6840" w:type="dxa"/>
            <w:shd w:val="clear" w:color="auto" w:fill="FFFF00"/>
            <w:vAlign w:val="center"/>
          </w:tcPr>
          <w:p w14:paraId="27AE0743" w14:textId="77777777" w:rsidR="009E484A" w:rsidRPr="000E3572" w:rsidRDefault="009E484A" w:rsidP="00AE64E2">
            <w:pPr>
              <w:tabs>
                <w:tab w:val="center" w:pos="4320"/>
                <w:tab w:val="right" w:pos="8640"/>
              </w:tabs>
              <w:jc w:val="center"/>
              <w:rPr>
                <w:b/>
                <w:sz w:val="20"/>
                <w:highlight w:val="yellow"/>
              </w:rPr>
            </w:pPr>
            <w:r w:rsidRPr="00B63F1E">
              <w:rPr>
                <w:b/>
                <w:sz w:val="20"/>
              </w:rPr>
              <w:t>Expense Type</w:t>
            </w:r>
          </w:p>
        </w:tc>
        <w:tc>
          <w:tcPr>
            <w:tcW w:w="1944" w:type="dxa"/>
            <w:shd w:val="clear" w:color="auto" w:fill="FFFF00"/>
            <w:vAlign w:val="center"/>
          </w:tcPr>
          <w:p w14:paraId="5A5961C4" w14:textId="77777777" w:rsidR="009E484A" w:rsidRPr="000E3572" w:rsidRDefault="009E484A" w:rsidP="00AE64E2">
            <w:pPr>
              <w:tabs>
                <w:tab w:val="center" w:pos="4320"/>
                <w:tab w:val="right" w:pos="8640"/>
              </w:tabs>
              <w:jc w:val="center"/>
              <w:rPr>
                <w:b/>
                <w:sz w:val="20"/>
              </w:rPr>
            </w:pPr>
            <w:r w:rsidRPr="00B63F1E">
              <w:rPr>
                <w:b/>
                <w:sz w:val="20"/>
              </w:rPr>
              <w:t>Annual Costs (dollars)</w:t>
            </w:r>
          </w:p>
        </w:tc>
      </w:tr>
      <w:tr w:rsidR="009E484A" w:rsidRPr="00F7015B" w14:paraId="095CFE35" w14:textId="77777777" w:rsidTr="00AE64E2">
        <w:trPr>
          <w:cantSplit/>
          <w:trHeight w:val="460"/>
          <w:jc w:val="center"/>
        </w:trPr>
        <w:tc>
          <w:tcPr>
            <w:tcW w:w="6840" w:type="dxa"/>
            <w:vAlign w:val="center"/>
          </w:tcPr>
          <w:p w14:paraId="0B37C391" w14:textId="77777777" w:rsidR="009E484A" w:rsidRPr="000E3572" w:rsidRDefault="009E484A" w:rsidP="00AE64E2">
            <w:pPr>
              <w:tabs>
                <w:tab w:val="center" w:pos="4320"/>
                <w:tab w:val="right" w:pos="8640"/>
              </w:tabs>
              <w:rPr>
                <w:sz w:val="20"/>
              </w:rPr>
            </w:pPr>
            <w:r>
              <w:rPr>
                <w:sz w:val="20"/>
              </w:rPr>
              <w:t>TSA Vetting</w:t>
            </w:r>
          </w:p>
        </w:tc>
        <w:tc>
          <w:tcPr>
            <w:tcW w:w="1944" w:type="dxa"/>
            <w:vAlign w:val="center"/>
          </w:tcPr>
          <w:p w14:paraId="75564333" w14:textId="77777777" w:rsidR="009E484A" w:rsidRPr="00B63F1E" w:rsidRDefault="009E484A" w:rsidP="00AE64E2">
            <w:pPr>
              <w:jc w:val="right"/>
              <w:rPr>
                <w:color w:val="000000"/>
                <w:sz w:val="20"/>
              </w:rPr>
            </w:pPr>
            <w:r w:rsidRPr="00B63F1E">
              <w:rPr>
                <w:color w:val="000000"/>
                <w:sz w:val="20"/>
              </w:rPr>
              <w:t>$</w:t>
            </w:r>
            <w:r>
              <w:rPr>
                <w:color w:val="000000"/>
                <w:sz w:val="20"/>
              </w:rPr>
              <w:t>860,000</w:t>
            </w:r>
          </w:p>
        </w:tc>
      </w:tr>
      <w:tr w:rsidR="009E484A" w:rsidRPr="00F7015B" w14:paraId="559F94F1" w14:textId="77777777" w:rsidTr="00AE64E2">
        <w:trPr>
          <w:cantSplit/>
          <w:trHeight w:val="460"/>
          <w:jc w:val="center"/>
        </w:trPr>
        <w:tc>
          <w:tcPr>
            <w:tcW w:w="6840" w:type="dxa"/>
            <w:tcBorders>
              <w:bottom w:val="single" w:sz="4" w:space="0" w:color="auto"/>
            </w:tcBorders>
            <w:vAlign w:val="center"/>
          </w:tcPr>
          <w:p w14:paraId="4F90E256" w14:textId="77777777" w:rsidR="009E484A" w:rsidRPr="00B63F1E" w:rsidRDefault="009E484A" w:rsidP="00AE64E2">
            <w:pPr>
              <w:tabs>
                <w:tab w:val="center" w:pos="4320"/>
                <w:tab w:val="right" w:pos="8640"/>
              </w:tabs>
              <w:rPr>
                <w:sz w:val="20"/>
              </w:rPr>
            </w:pPr>
            <w:r>
              <w:rPr>
                <w:sz w:val="20"/>
              </w:rPr>
              <w:t>TSA Shared Costs</w:t>
            </w:r>
          </w:p>
        </w:tc>
        <w:tc>
          <w:tcPr>
            <w:tcW w:w="1944" w:type="dxa"/>
            <w:tcBorders>
              <w:bottom w:val="single" w:sz="4" w:space="0" w:color="auto"/>
            </w:tcBorders>
            <w:vAlign w:val="center"/>
          </w:tcPr>
          <w:p w14:paraId="0447E818" w14:textId="77777777" w:rsidR="009E484A" w:rsidRPr="00B63F1E" w:rsidRDefault="009E484A" w:rsidP="00AE64E2">
            <w:pPr>
              <w:jc w:val="right"/>
              <w:rPr>
                <w:color w:val="000000"/>
                <w:sz w:val="20"/>
              </w:rPr>
            </w:pPr>
            <w:r>
              <w:rPr>
                <w:color w:val="000000"/>
                <w:sz w:val="20"/>
              </w:rPr>
              <w:t>$1,600,000</w:t>
            </w:r>
          </w:p>
        </w:tc>
      </w:tr>
      <w:tr w:rsidR="009E484A" w:rsidRPr="00F7015B" w14:paraId="4C43529B" w14:textId="77777777" w:rsidTr="00AE64E2">
        <w:trPr>
          <w:cantSplit/>
          <w:trHeight w:val="460"/>
          <w:jc w:val="center"/>
        </w:trPr>
        <w:tc>
          <w:tcPr>
            <w:tcW w:w="6840" w:type="dxa"/>
            <w:tcBorders>
              <w:left w:val="nil"/>
              <w:bottom w:val="nil"/>
              <w:right w:val="nil"/>
            </w:tcBorders>
            <w:vAlign w:val="center"/>
          </w:tcPr>
          <w:p w14:paraId="6621D28A" w14:textId="77777777" w:rsidR="009E484A" w:rsidRPr="00B63F1E" w:rsidRDefault="009E484A" w:rsidP="00AE64E2">
            <w:pPr>
              <w:tabs>
                <w:tab w:val="center" w:pos="4320"/>
                <w:tab w:val="right" w:pos="8640"/>
              </w:tabs>
              <w:jc w:val="right"/>
              <w:rPr>
                <w:b/>
                <w:sz w:val="20"/>
              </w:rPr>
            </w:pPr>
            <w:r w:rsidRPr="00B63F1E">
              <w:rPr>
                <w:b/>
                <w:sz w:val="20"/>
              </w:rPr>
              <w:lastRenderedPageBreak/>
              <w:t>Total</w:t>
            </w:r>
          </w:p>
        </w:tc>
        <w:tc>
          <w:tcPr>
            <w:tcW w:w="1944" w:type="dxa"/>
            <w:tcBorders>
              <w:left w:val="nil"/>
              <w:bottom w:val="nil"/>
              <w:right w:val="nil"/>
            </w:tcBorders>
            <w:vAlign w:val="center"/>
          </w:tcPr>
          <w:p w14:paraId="3A96F50A" w14:textId="77777777" w:rsidR="009E484A" w:rsidRPr="00B34848" w:rsidRDefault="009E484A" w:rsidP="00AE64E2">
            <w:pPr>
              <w:tabs>
                <w:tab w:val="center" w:pos="4320"/>
                <w:tab w:val="right" w:pos="8640"/>
              </w:tabs>
              <w:jc w:val="right"/>
              <w:rPr>
                <w:b/>
                <w:sz w:val="20"/>
              </w:rPr>
            </w:pPr>
            <w:r w:rsidRPr="00B63F1E">
              <w:rPr>
                <w:b/>
                <w:sz w:val="20"/>
              </w:rPr>
              <w:t>$</w:t>
            </w:r>
            <w:r>
              <w:rPr>
                <w:b/>
                <w:sz w:val="20"/>
              </w:rPr>
              <w:t>2,460,000</w:t>
            </w:r>
          </w:p>
        </w:tc>
      </w:tr>
    </w:tbl>
    <w:p w14:paraId="4DC4D335" w14:textId="77777777" w:rsidR="009E484A" w:rsidRDefault="009E484A" w:rsidP="009E484A">
      <w:r>
        <w:t>Under Option 2, NPPD submits information to TSA and CBP to verify enrollment in the TWIC, HME, and Trusted Traveler Programs.  The capability to verify enrollment is paid for by NPPD.  The annual cost to verify enrollment under Option 2 is outlined in the Table 5 below.</w:t>
      </w:r>
    </w:p>
    <w:p w14:paraId="12E77C5C" w14:textId="77777777" w:rsidR="009E484A" w:rsidRPr="000F02C7" w:rsidRDefault="009E484A" w:rsidP="009E484A"/>
    <w:p w14:paraId="559AA2AC" w14:textId="77777777" w:rsidR="00A65DBF" w:rsidRDefault="00A65DBF" w:rsidP="009E484A">
      <w:pPr>
        <w:spacing w:before="120" w:after="120" w:line="259" w:lineRule="auto"/>
        <w:ind w:left="270"/>
      </w:pPr>
    </w:p>
    <w:p w14:paraId="285F84BD" w14:textId="77777777" w:rsidR="00A65DBF" w:rsidRDefault="00A65DBF" w:rsidP="009E484A">
      <w:pPr>
        <w:spacing w:before="120" w:after="120" w:line="259" w:lineRule="auto"/>
        <w:ind w:left="270"/>
      </w:pPr>
    </w:p>
    <w:p w14:paraId="737421D8" w14:textId="77777777" w:rsidR="009E484A" w:rsidRDefault="009E484A" w:rsidP="009E484A">
      <w:pPr>
        <w:spacing w:before="120" w:after="120" w:line="259" w:lineRule="auto"/>
        <w:ind w:left="270"/>
      </w:pPr>
      <w:r>
        <w:t>Table 5</w:t>
      </w:r>
      <w:r w:rsidRPr="00F7015B">
        <w:t xml:space="preserve">: Estimates of Annualized Costs </w:t>
      </w:r>
      <w:r>
        <w:t>Under Option 2</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840"/>
        <w:gridCol w:w="1908"/>
      </w:tblGrid>
      <w:tr w:rsidR="009E484A" w:rsidRPr="00DB036A" w14:paraId="55B381C0" w14:textId="77777777" w:rsidTr="00AE64E2">
        <w:trPr>
          <w:cantSplit/>
          <w:trHeight w:val="460"/>
          <w:jc w:val="center"/>
        </w:trPr>
        <w:tc>
          <w:tcPr>
            <w:tcW w:w="6840" w:type="dxa"/>
            <w:tcBorders>
              <w:top w:val="single" w:sz="4" w:space="0" w:color="auto"/>
              <w:bottom w:val="single" w:sz="4" w:space="0" w:color="auto"/>
              <w:right w:val="single" w:sz="4" w:space="0" w:color="auto"/>
            </w:tcBorders>
            <w:shd w:val="clear" w:color="auto" w:fill="FFFF00"/>
            <w:vAlign w:val="center"/>
          </w:tcPr>
          <w:p w14:paraId="49435DD8" w14:textId="77777777" w:rsidR="009E484A" w:rsidRPr="0061125E" w:rsidRDefault="009E484A" w:rsidP="00AE64E2">
            <w:pPr>
              <w:tabs>
                <w:tab w:val="center" w:pos="4320"/>
                <w:tab w:val="right" w:pos="8640"/>
              </w:tabs>
              <w:jc w:val="center"/>
              <w:rPr>
                <w:b/>
                <w:sz w:val="20"/>
                <w:highlight w:val="yellow"/>
              </w:rPr>
            </w:pPr>
            <w:r w:rsidRPr="00B63F1E">
              <w:rPr>
                <w:b/>
                <w:sz w:val="20"/>
              </w:rPr>
              <w:t>Expense Type</w:t>
            </w:r>
          </w:p>
        </w:tc>
        <w:tc>
          <w:tcPr>
            <w:tcW w:w="1908" w:type="dxa"/>
            <w:tcBorders>
              <w:top w:val="single" w:sz="4" w:space="0" w:color="auto"/>
              <w:left w:val="single" w:sz="4" w:space="0" w:color="auto"/>
              <w:bottom w:val="single" w:sz="4" w:space="0" w:color="auto"/>
            </w:tcBorders>
            <w:shd w:val="clear" w:color="auto" w:fill="FFFF00"/>
            <w:vAlign w:val="center"/>
          </w:tcPr>
          <w:p w14:paraId="38740368" w14:textId="77777777" w:rsidR="009E484A" w:rsidRPr="0061125E" w:rsidRDefault="009E484A" w:rsidP="00AE64E2">
            <w:pPr>
              <w:tabs>
                <w:tab w:val="center" w:pos="4320"/>
                <w:tab w:val="right" w:pos="8640"/>
              </w:tabs>
              <w:jc w:val="center"/>
              <w:rPr>
                <w:b/>
                <w:sz w:val="20"/>
              </w:rPr>
            </w:pPr>
            <w:r w:rsidRPr="00B63F1E">
              <w:rPr>
                <w:b/>
                <w:sz w:val="20"/>
              </w:rPr>
              <w:t>Annual Costs (dollars)</w:t>
            </w:r>
          </w:p>
        </w:tc>
      </w:tr>
      <w:tr w:rsidR="009E484A" w:rsidRPr="00F7015B" w14:paraId="5687B786" w14:textId="77777777" w:rsidTr="00AE64E2">
        <w:trPr>
          <w:cantSplit/>
          <w:trHeight w:val="460"/>
          <w:jc w:val="center"/>
        </w:trPr>
        <w:tc>
          <w:tcPr>
            <w:tcW w:w="6840" w:type="dxa"/>
            <w:tcBorders>
              <w:top w:val="single" w:sz="4" w:space="0" w:color="auto"/>
              <w:bottom w:val="single" w:sz="4" w:space="0" w:color="auto"/>
              <w:right w:val="single" w:sz="4" w:space="0" w:color="auto"/>
            </w:tcBorders>
            <w:vAlign w:val="center"/>
          </w:tcPr>
          <w:p w14:paraId="62857BD7" w14:textId="77777777" w:rsidR="009E484A" w:rsidRPr="0061125E" w:rsidRDefault="009E484A" w:rsidP="00AE64E2">
            <w:pPr>
              <w:tabs>
                <w:tab w:val="center" w:pos="4320"/>
                <w:tab w:val="right" w:pos="8640"/>
              </w:tabs>
              <w:rPr>
                <w:sz w:val="20"/>
              </w:rPr>
            </w:pPr>
            <w:r w:rsidRPr="00B63F1E">
              <w:rPr>
                <w:color w:val="000000"/>
                <w:sz w:val="20"/>
              </w:rPr>
              <w:t xml:space="preserve">TSA </w:t>
            </w:r>
            <w:r>
              <w:rPr>
                <w:color w:val="000000"/>
                <w:sz w:val="20"/>
              </w:rPr>
              <w:t>Verification of Enrollment</w:t>
            </w:r>
          </w:p>
        </w:tc>
        <w:tc>
          <w:tcPr>
            <w:tcW w:w="1908" w:type="dxa"/>
            <w:tcBorders>
              <w:top w:val="single" w:sz="4" w:space="0" w:color="auto"/>
              <w:left w:val="single" w:sz="4" w:space="0" w:color="auto"/>
              <w:bottom w:val="single" w:sz="4" w:space="0" w:color="auto"/>
            </w:tcBorders>
            <w:vAlign w:val="center"/>
          </w:tcPr>
          <w:p w14:paraId="35ECBFD2" w14:textId="77777777" w:rsidR="009E484A" w:rsidRPr="00B63F1E" w:rsidRDefault="009E484A" w:rsidP="00AE64E2">
            <w:pPr>
              <w:jc w:val="right"/>
              <w:rPr>
                <w:color w:val="000000"/>
                <w:sz w:val="20"/>
              </w:rPr>
            </w:pPr>
            <w:r w:rsidRPr="00B63F1E">
              <w:rPr>
                <w:color w:val="000000"/>
                <w:sz w:val="20"/>
              </w:rPr>
              <w:t>$</w:t>
            </w:r>
            <w:r>
              <w:rPr>
                <w:color w:val="000000"/>
                <w:sz w:val="20"/>
              </w:rPr>
              <w:t>80,000</w:t>
            </w:r>
          </w:p>
        </w:tc>
      </w:tr>
      <w:tr w:rsidR="009E484A" w:rsidRPr="00F7015B" w14:paraId="4C1293BC" w14:textId="77777777" w:rsidTr="00AE64E2">
        <w:trPr>
          <w:cantSplit/>
          <w:trHeight w:val="460"/>
          <w:jc w:val="center"/>
        </w:trPr>
        <w:tc>
          <w:tcPr>
            <w:tcW w:w="6840" w:type="dxa"/>
            <w:tcBorders>
              <w:top w:val="single" w:sz="4" w:space="0" w:color="auto"/>
              <w:bottom w:val="single" w:sz="4" w:space="0" w:color="auto"/>
              <w:right w:val="single" w:sz="4" w:space="0" w:color="auto"/>
            </w:tcBorders>
            <w:vAlign w:val="center"/>
          </w:tcPr>
          <w:p w14:paraId="2F988086" w14:textId="77777777" w:rsidR="009E484A" w:rsidRPr="00B63F1E" w:rsidDel="00B11C3A" w:rsidRDefault="009E484A" w:rsidP="00AE64E2">
            <w:pPr>
              <w:tabs>
                <w:tab w:val="center" w:pos="4320"/>
                <w:tab w:val="right" w:pos="8640"/>
              </w:tabs>
              <w:rPr>
                <w:sz w:val="20"/>
              </w:rPr>
            </w:pPr>
            <w:r>
              <w:rPr>
                <w:color w:val="000000"/>
                <w:sz w:val="20"/>
              </w:rPr>
              <w:t>CBP</w:t>
            </w:r>
            <w:r w:rsidRPr="00B63F1E">
              <w:rPr>
                <w:color w:val="000000"/>
                <w:sz w:val="20"/>
              </w:rPr>
              <w:t xml:space="preserve"> </w:t>
            </w:r>
            <w:r>
              <w:rPr>
                <w:color w:val="000000"/>
                <w:sz w:val="20"/>
              </w:rPr>
              <w:t>Verification of Enrollment</w:t>
            </w:r>
          </w:p>
        </w:tc>
        <w:tc>
          <w:tcPr>
            <w:tcW w:w="1908" w:type="dxa"/>
            <w:tcBorders>
              <w:top w:val="single" w:sz="4" w:space="0" w:color="auto"/>
              <w:left w:val="single" w:sz="4" w:space="0" w:color="auto"/>
              <w:bottom w:val="single" w:sz="4" w:space="0" w:color="auto"/>
            </w:tcBorders>
            <w:vAlign w:val="center"/>
          </w:tcPr>
          <w:p w14:paraId="08875D4A" w14:textId="77777777" w:rsidR="009E484A" w:rsidRPr="00B63F1E" w:rsidRDefault="009E484A" w:rsidP="00AE64E2">
            <w:pPr>
              <w:jc w:val="right"/>
              <w:rPr>
                <w:color w:val="000000"/>
                <w:sz w:val="20"/>
              </w:rPr>
            </w:pPr>
            <w:r>
              <w:rPr>
                <w:color w:val="000000"/>
                <w:sz w:val="20"/>
              </w:rPr>
              <w:t>$17,000</w:t>
            </w:r>
          </w:p>
        </w:tc>
      </w:tr>
      <w:tr w:rsidR="009E484A" w:rsidRPr="00F7015B" w14:paraId="2AFB8D90" w14:textId="77777777" w:rsidTr="00AE64E2">
        <w:trPr>
          <w:cantSplit/>
          <w:trHeight w:val="460"/>
          <w:jc w:val="center"/>
        </w:trPr>
        <w:tc>
          <w:tcPr>
            <w:tcW w:w="6840" w:type="dxa"/>
            <w:tcBorders>
              <w:top w:val="single" w:sz="4" w:space="0" w:color="auto"/>
              <w:left w:val="nil"/>
              <w:bottom w:val="nil"/>
              <w:right w:val="nil"/>
            </w:tcBorders>
            <w:vAlign w:val="center"/>
          </w:tcPr>
          <w:p w14:paraId="7FBA6172" w14:textId="77777777" w:rsidR="009E484A" w:rsidRPr="00B63F1E" w:rsidRDefault="009E484A" w:rsidP="00AE64E2">
            <w:pPr>
              <w:tabs>
                <w:tab w:val="center" w:pos="4320"/>
                <w:tab w:val="right" w:pos="8640"/>
              </w:tabs>
              <w:jc w:val="right"/>
              <w:rPr>
                <w:b/>
                <w:sz w:val="20"/>
              </w:rPr>
            </w:pPr>
            <w:r w:rsidRPr="00B63F1E">
              <w:rPr>
                <w:b/>
                <w:sz w:val="20"/>
              </w:rPr>
              <w:t>Total</w:t>
            </w:r>
          </w:p>
        </w:tc>
        <w:tc>
          <w:tcPr>
            <w:tcW w:w="1908" w:type="dxa"/>
            <w:tcBorders>
              <w:top w:val="single" w:sz="4" w:space="0" w:color="auto"/>
              <w:left w:val="nil"/>
              <w:bottom w:val="nil"/>
              <w:right w:val="nil"/>
            </w:tcBorders>
            <w:vAlign w:val="center"/>
          </w:tcPr>
          <w:p w14:paraId="2C393D90" w14:textId="77777777" w:rsidR="009E484A" w:rsidRPr="00B63F1E" w:rsidRDefault="009E484A" w:rsidP="00AE64E2">
            <w:pPr>
              <w:tabs>
                <w:tab w:val="left" w:pos="0"/>
                <w:tab w:val="center" w:pos="4320"/>
                <w:tab w:val="right" w:pos="8640"/>
              </w:tabs>
              <w:jc w:val="right"/>
              <w:rPr>
                <w:b/>
                <w:sz w:val="20"/>
              </w:rPr>
            </w:pPr>
            <w:r w:rsidRPr="00B63F1E">
              <w:rPr>
                <w:b/>
                <w:sz w:val="20"/>
              </w:rPr>
              <w:t>$</w:t>
            </w:r>
            <w:r>
              <w:rPr>
                <w:b/>
                <w:sz w:val="20"/>
              </w:rPr>
              <w:t>97,000</w:t>
            </w:r>
          </w:p>
        </w:tc>
      </w:tr>
    </w:tbl>
    <w:p w14:paraId="0F729566" w14:textId="77777777" w:rsidR="000976D7" w:rsidRDefault="000976D7" w:rsidP="000976D7">
      <w:pPr>
        <w:spacing w:before="120" w:after="120" w:line="259" w:lineRule="auto"/>
      </w:pPr>
    </w:p>
    <w:p w14:paraId="39DA137E" w14:textId="77777777" w:rsidR="000976D7" w:rsidRDefault="000976D7" w:rsidP="000976D7">
      <w:pPr>
        <w:spacing w:before="120" w:after="120" w:line="259" w:lineRule="auto"/>
      </w:pPr>
    </w:p>
    <w:p w14:paraId="7E2A8D67" w14:textId="77777777" w:rsidR="009E484A" w:rsidRDefault="009E484A" w:rsidP="000976D7">
      <w:pPr>
        <w:spacing w:before="120" w:after="120" w:line="259" w:lineRule="auto"/>
      </w:pPr>
      <w:r>
        <w:t xml:space="preserve">A summary of </w:t>
      </w:r>
      <w:r w:rsidRPr="006C7606">
        <w:t xml:space="preserve">the annual </w:t>
      </w:r>
      <w:r>
        <w:t xml:space="preserve">federal </w:t>
      </w:r>
      <w:r w:rsidRPr="006C7606">
        <w:t xml:space="preserve">cost is </w:t>
      </w:r>
      <w:r>
        <w:t>outlined below in Table 6.</w:t>
      </w:r>
    </w:p>
    <w:p w14:paraId="417FB74E" w14:textId="77777777" w:rsidR="009E484A" w:rsidRDefault="009E484A" w:rsidP="000976D7">
      <w:pPr>
        <w:spacing w:before="120" w:after="120" w:line="259" w:lineRule="auto"/>
        <w:ind w:left="270"/>
      </w:pPr>
      <w:r>
        <w:t>Table 6</w:t>
      </w:r>
      <w:r w:rsidRPr="00F7015B">
        <w:t xml:space="preserve">: </w:t>
      </w:r>
      <w:r>
        <w:t xml:space="preserve">Summary of </w:t>
      </w:r>
      <w:r w:rsidRPr="00F7015B">
        <w:t xml:space="preserve">Annualized </w:t>
      </w:r>
      <w:r>
        <w:t>Federal Costs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840"/>
        <w:gridCol w:w="1908"/>
      </w:tblGrid>
      <w:tr w:rsidR="009E484A" w:rsidRPr="00DB036A" w14:paraId="3D289057" w14:textId="77777777" w:rsidTr="00AE64E2">
        <w:trPr>
          <w:cantSplit/>
          <w:trHeight w:val="460"/>
          <w:jc w:val="center"/>
        </w:trPr>
        <w:tc>
          <w:tcPr>
            <w:tcW w:w="6840" w:type="dxa"/>
            <w:tcBorders>
              <w:top w:val="single" w:sz="4" w:space="0" w:color="auto"/>
              <w:bottom w:val="single" w:sz="4" w:space="0" w:color="auto"/>
              <w:right w:val="single" w:sz="4" w:space="0" w:color="auto"/>
            </w:tcBorders>
            <w:shd w:val="clear" w:color="auto" w:fill="FFFF00"/>
            <w:vAlign w:val="center"/>
          </w:tcPr>
          <w:p w14:paraId="5BA81429" w14:textId="77777777" w:rsidR="009E484A" w:rsidRPr="0061125E" w:rsidRDefault="009E484A" w:rsidP="00AE64E2">
            <w:pPr>
              <w:tabs>
                <w:tab w:val="center" w:pos="4320"/>
                <w:tab w:val="right" w:pos="8640"/>
              </w:tabs>
              <w:jc w:val="center"/>
              <w:rPr>
                <w:b/>
                <w:sz w:val="20"/>
                <w:highlight w:val="yellow"/>
              </w:rPr>
            </w:pPr>
            <w:r w:rsidRPr="00B63F1E">
              <w:rPr>
                <w:b/>
                <w:sz w:val="20"/>
              </w:rPr>
              <w:t>Expense Type</w:t>
            </w:r>
          </w:p>
        </w:tc>
        <w:tc>
          <w:tcPr>
            <w:tcW w:w="1908" w:type="dxa"/>
            <w:tcBorders>
              <w:top w:val="single" w:sz="4" w:space="0" w:color="auto"/>
              <w:left w:val="single" w:sz="4" w:space="0" w:color="auto"/>
              <w:bottom w:val="single" w:sz="4" w:space="0" w:color="auto"/>
            </w:tcBorders>
            <w:shd w:val="clear" w:color="auto" w:fill="FFFF00"/>
            <w:vAlign w:val="center"/>
          </w:tcPr>
          <w:p w14:paraId="5A1A4727" w14:textId="77777777" w:rsidR="009E484A" w:rsidRPr="0061125E" w:rsidRDefault="009E484A" w:rsidP="00AE64E2">
            <w:pPr>
              <w:tabs>
                <w:tab w:val="center" w:pos="4320"/>
                <w:tab w:val="right" w:pos="8640"/>
              </w:tabs>
              <w:jc w:val="center"/>
              <w:rPr>
                <w:b/>
                <w:sz w:val="20"/>
              </w:rPr>
            </w:pPr>
            <w:r w:rsidRPr="00B63F1E">
              <w:rPr>
                <w:b/>
                <w:sz w:val="20"/>
              </w:rPr>
              <w:t>Annual Costs (dollars)</w:t>
            </w:r>
          </w:p>
        </w:tc>
      </w:tr>
      <w:tr w:rsidR="009E484A" w:rsidRPr="00F7015B" w14:paraId="1D3010F5" w14:textId="77777777" w:rsidTr="00AE64E2">
        <w:trPr>
          <w:cantSplit/>
          <w:trHeight w:val="460"/>
          <w:jc w:val="center"/>
        </w:trPr>
        <w:tc>
          <w:tcPr>
            <w:tcW w:w="6840" w:type="dxa"/>
            <w:tcBorders>
              <w:top w:val="single" w:sz="4" w:space="0" w:color="auto"/>
              <w:bottom w:val="single" w:sz="4" w:space="0" w:color="auto"/>
              <w:right w:val="single" w:sz="4" w:space="0" w:color="auto"/>
            </w:tcBorders>
            <w:vAlign w:val="center"/>
          </w:tcPr>
          <w:p w14:paraId="58362608" w14:textId="77777777" w:rsidR="009E484A" w:rsidRPr="0061125E" w:rsidRDefault="009E484A" w:rsidP="00AE64E2">
            <w:pPr>
              <w:tabs>
                <w:tab w:val="center" w:pos="4320"/>
                <w:tab w:val="right" w:pos="8640"/>
              </w:tabs>
              <w:rPr>
                <w:sz w:val="20"/>
              </w:rPr>
            </w:pPr>
            <w:r>
              <w:rPr>
                <w:color w:val="000000"/>
                <w:sz w:val="20"/>
              </w:rPr>
              <w:t>Direct NPPD IT O&amp;M</w:t>
            </w:r>
          </w:p>
        </w:tc>
        <w:tc>
          <w:tcPr>
            <w:tcW w:w="1908" w:type="dxa"/>
            <w:tcBorders>
              <w:top w:val="single" w:sz="4" w:space="0" w:color="auto"/>
              <w:left w:val="single" w:sz="4" w:space="0" w:color="auto"/>
              <w:bottom w:val="single" w:sz="4" w:space="0" w:color="auto"/>
            </w:tcBorders>
            <w:vAlign w:val="center"/>
          </w:tcPr>
          <w:p w14:paraId="305DE53D" w14:textId="77777777" w:rsidR="009E484A" w:rsidRPr="00B63F1E" w:rsidRDefault="009E484A" w:rsidP="00AE64E2">
            <w:pPr>
              <w:jc w:val="right"/>
              <w:rPr>
                <w:color w:val="000000"/>
                <w:sz w:val="20"/>
              </w:rPr>
            </w:pPr>
            <w:r w:rsidRPr="00B63F1E">
              <w:rPr>
                <w:color w:val="000000"/>
                <w:sz w:val="20"/>
              </w:rPr>
              <w:t>$</w:t>
            </w:r>
            <w:r>
              <w:rPr>
                <w:color w:val="000000"/>
                <w:sz w:val="20"/>
              </w:rPr>
              <w:t>1,790,000</w:t>
            </w:r>
          </w:p>
        </w:tc>
      </w:tr>
      <w:tr w:rsidR="009E484A" w:rsidRPr="00F7015B" w14:paraId="1F4C854B" w14:textId="77777777" w:rsidTr="00AE64E2">
        <w:trPr>
          <w:cantSplit/>
          <w:trHeight w:val="460"/>
          <w:jc w:val="center"/>
        </w:trPr>
        <w:tc>
          <w:tcPr>
            <w:tcW w:w="6840" w:type="dxa"/>
            <w:tcBorders>
              <w:top w:val="single" w:sz="4" w:space="0" w:color="auto"/>
              <w:bottom w:val="single" w:sz="4" w:space="0" w:color="auto"/>
              <w:right w:val="single" w:sz="4" w:space="0" w:color="auto"/>
            </w:tcBorders>
            <w:vAlign w:val="center"/>
          </w:tcPr>
          <w:p w14:paraId="58073888" w14:textId="77777777" w:rsidR="009E484A" w:rsidRPr="00B63F1E" w:rsidDel="00B11C3A" w:rsidRDefault="009E484A" w:rsidP="00AE64E2">
            <w:pPr>
              <w:tabs>
                <w:tab w:val="center" w:pos="4320"/>
                <w:tab w:val="right" w:pos="8640"/>
              </w:tabs>
              <w:rPr>
                <w:sz w:val="20"/>
              </w:rPr>
            </w:pPr>
            <w:r>
              <w:rPr>
                <w:color w:val="000000"/>
                <w:sz w:val="20"/>
              </w:rPr>
              <w:t>Annual Option 1 Costs</w:t>
            </w:r>
          </w:p>
        </w:tc>
        <w:tc>
          <w:tcPr>
            <w:tcW w:w="1908" w:type="dxa"/>
            <w:tcBorders>
              <w:top w:val="single" w:sz="4" w:space="0" w:color="auto"/>
              <w:left w:val="single" w:sz="4" w:space="0" w:color="auto"/>
              <w:bottom w:val="single" w:sz="4" w:space="0" w:color="auto"/>
            </w:tcBorders>
            <w:vAlign w:val="center"/>
          </w:tcPr>
          <w:p w14:paraId="281095B8" w14:textId="77777777" w:rsidR="009E484A" w:rsidRPr="00B63F1E" w:rsidRDefault="009E484A" w:rsidP="00AE64E2">
            <w:pPr>
              <w:jc w:val="right"/>
              <w:rPr>
                <w:color w:val="000000"/>
                <w:sz w:val="20"/>
              </w:rPr>
            </w:pPr>
            <w:r>
              <w:rPr>
                <w:color w:val="000000"/>
                <w:sz w:val="20"/>
              </w:rPr>
              <w:t>$2,460,000</w:t>
            </w:r>
          </w:p>
        </w:tc>
      </w:tr>
      <w:tr w:rsidR="009E484A" w:rsidRPr="00F7015B" w14:paraId="4B36A14F" w14:textId="77777777" w:rsidTr="00AE64E2">
        <w:trPr>
          <w:cantSplit/>
          <w:trHeight w:val="460"/>
          <w:jc w:val="center"/>
        </w:trPr>
        <w:tc>
          <w:tcPr>
            <w:tcW w:w="6840" w:type="dxa"/>
            <w:tcBorders>
              <w:top w:val="single" w:sz="4" w:space="0" w:color="auto"/>
              <w:bottom w:val="single" w:sz="4" w:space="0" w:color="auto"/>
              <w:right w:val="single" w:sz="4" w:space="0" w:color="auto"/>
            </w:tcBorders>
            <w:vAlign w:val="center"/>
          </w:tcPr>
          <w:p w14:paraId="55A252BB" w14:textId="77777777" w:rsidR="009E484A" w:rsidRDefault="009E484A" w:rsidP="00AE64E2">
            <w:pPr>
              <w:tabs>
                <w:tab w:val="center" w:pos="4320"/>
                <w:tab w:val="right" w:pos="8640"/>
              </w:tabs>
              <w:rPr>
                <w:color w:val="000000"/>
                <w:sz w:val="20"/>
              </w:rPr>
            </w:pPr>
            <w:r>
              <w:rPr>
                <w:color w:val="000000"/>
                <w:sz w:val="20"/>
              </w:rPr>
              <w:t>Annual Option 2 Costs</w:t>
            </w:r>
          </w:p>
        </w:tc>
        <w:tc>
          <w:tcPr>
            <w:tcW w:w="1908" w:type="dxa"/>
            <w:tcBorders>
              <w:top w:val="single" w:sz="4" w:space="0" w:color="auto"/>
              <w:left w:val="single" w:sz="4" w:space="0" w:color="auto"/>
              <w:bottom w:val="single" w:sz="4" w:space="0" w:color="auto"/>
            </w:tcBorders>
            <w:vAlign w:val="center"/>
          </w:tcPr>
          <w:p w14:paraId="4F4CAA85" w14:textId="77777777" w:rsidR="009E484A" w:rsidRDefault="009E484A" w:rsidP="00AE64E2">
            <w:pPr>
              <w:jc w:val="right"/>
              <w:rPr>
                <w:color w:val="000000"/>
                <w:sz w:val="20"/>
              </w:rPr>
            </w:pPr>
            <w:r>
              <w:rPr>
                <w:color w:val="000000"/>
                <w:sz w:val="20"/>
              </w:rPr>
              <w:t>$97,000</w:t>
            </w:r>
          </w:p>
        </w:tc>
      </w:tr>
      <w:tr w:rsidR="009E484A" w:rsidRPr="00F7015B" w14:paraId="2441FD0A" w14:textId="77777777" w:rsidTr="00AE64E2">
        <w:trPr>
          <w:cantSplit/>
          <w:trHeight w:val="460"/>
          <w:jc w:val="center"/>
        </w:trPr>
        <w:tc>
          <w:tcPr>
            <w:tcW w:w="6840" w:type="dxa"/>
            <w:tcBorders>
              <w:top w:val="single" w:sz="4" w:space="0" w:color="auto"/>
              <w:left w:val="nil"/>
              <w:bottom w:val="nil"/>
              <w:right w:val="nil"/>
            </w:tcBorders>
            <w:vAlign w:val="center"/>
          </w:tcPr>
          <w:p w14:paraId="09D72A3F" w14:textId="77777777" w:rsidR="009E484A" w:rsidRPr="00B63F1E" w:rsidRDefault="009E484A" w:rsidP="00AE64E2">
            <w:pPr>
              <w:tabs>
                <w:tab w:val="center" w:pos="4320"/>
                <w:tab w:val="right" w:pos="8640"/>
              </w:tabs>
              <w:jc w:val="right"/>
              <w:rPr>
                <w:b/>
                <w:sz w:val="20"/>
              </w:rPr>
            </w:pPr>
            <w:r w:rsidRPr="00B63F1E">
              <w:rPr>
                <w:b/>
                <w:sz w:val="20"/>
              </w:rPr>
              <w:t>Total</w:t>
            </w:r>
          </w:p>
        </w:tc>
        <w:tc>
          <w:tcPr>
            <w:tcW w:w="1908" w:type="dxa"/>
            <w:tcBorders>
              <w:top w:val="single" w:sz="4" w:space="0" w:color="auto"/>
              <w:left w:val="nil"/>
              <w:bottom w:val="nil"/>
              <w:right w:val="nil"/>
            </w:tcBorders>
            <w:vAlign w:val="center"/>
          </w:tcPr>
          <w:p w14:paraId="1E7C5E7F" w14:textId="77777777" w:rsidR="009E484A" w:rsidRPr="00B63F1E" w:rsidRDefault="009E484A" w:rsidP="00AE64E2">
            <w:pPr>
              <w:tabs>
                <w:tab w:val="left" w:pos="0"/>
                <w:tab w:val="center" w:pos="4320"/>
                <w:tab w:val="right" w:pos="8640"/>
              </w:tabs>
              <w:jc w:val="right"/>
              <w:rPr>
                <w:b/>
                <w:sz w:val="20"/>
              </w:rPr>
            </w:pPr>
            <w:r w:rsidRPr="00B63F1E">
              <w:rPr>
                <w:b/>
                <w:sz w:val="20"/>
              </w:rPr>
              <w:t>$</w:t>
            </w:r>
            <w:r>
              <w:rPr>
                <w:b/>
                <w:sz w:val="20"/>
              </w:rPr>
              <w:t>4,347,000</w:t>
            </w:r>
          </w:p>
        </w:tc>
      </w:tr>
    </w:tbl>
    <w:p w14:paraId="12952660" w14:textId="77777777" w:rsidR="009E484A" w:rsidRPr="00FF4B2F" w:rsidRDefault="009E484A" w:rsidP="009E484A">
      <w:pPr>
        <w:spacing w:before="120" w:after="120" w:line="259" w:lineRule="auto"/>
        <w:rPr>
          <w:b/>
          <w:smallCaps/>
        </w:rPr>
      </w:pPr>
      <w:r w:rsidRPr="00FF4B2F">
        <w:rPr>
          <w:b/>
          <w:smallCaps/>
        </w:rPr>
        <w:t>Initial Capital Costs</w:t>
      </w:r>
    </w:p>
    <w:p w14:paraId="7EEDFE1F" w14:textId="13359585" w:rsidR="009E484A" w:rsidRDefault="009E484A" w:rsidP="009E484A">
      <w:pPr>
        <w:spacing w:before="120" w:after="120" w:line="259" w:lineRule="auto"/>
      </w:pPr>
      <w:r>
        <w:t xml:space="preserve">Initial capital costs for the </w:t>
      </w:r>
      <w:r w:rsidRPr="00E5768E">
        <w:t xml:space="preserve">CSAT Personnel Surety </w:t>
      </w:r>
      <w:r>
        <w:t>P</w:t>
      </w:r>
      <w:r w:rsidRPr="00F5137F">
        <w:t>rogram</w:t>
      </w:r>
      <w:r>
        <w:t xml:space="preserve"> have already been expended.  The initial capital costs directly incurred by NPPD w</w:t>
      </w:r>
      <w:r w:rsidR="00A65DBF">
        <w:t>ere</w:t>
      </w:r>
      <w:r>
        <w:t xml:space="preserve"> $4,177,000.  NPPD also expended $1,110,146 at TSA, and $60,000 at CBP.  The initial capital costs are outlined in Table 7 below.</w:t>
      </w:r>
    </w:p>
    <w:p w14:paraId="0B3AF5E2" w14:textId="77777777" w:rsidR="009E484A" w:rsidRDefault="009E484A" w:rsidP="009E484A">
      <w:pPr>
        <w:spacing w:before="120" w:after="120" w:line="259" w:lineRule="auto"/>
      </w:pPr>
    </w:p>
    <w:p w14:paraId="6FF79413" w14:textId="77777777" w:rsidR="009E484A" w:rsidRDefault="009E484A" w:rsidP="009E484A">
      <w:pPr>
        <w:spacing w:before="120" w:after="120" w:line="259" w:lineRule="auto"/>
        <w:ind w:left="270"/>
      </w:pPr>
      <w:r>
        <w:t>Table 7</w:t>
      </w:r>
      <w:r w:rsidRPr="00F7015B">
        <w:t xml:space="preserve">: </w:t>
      </w:r>
      <w:r>
        <w:t>Initial Capital Costs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840"/>
        <w:gridCol w:w="1908"/>
      </w:tblGrid>
      <w:tr w:rsidR="009E484A" w:rsidRPr="00DB036A" w14:paraId="727EBC49" w14:textId="77777777" w:rsidTr="00AE64E2">
        <w:trPr>
          <w:cantSplit/>
          <w:trHeight w:val="460"/>
          <w:jc w:val="center"/>
        </w:trPr>
        <w:tc>
          <w:tcPr>
            <w:tcW w:w="6840" w:type="dxa"/>
            <w:tcBorders>
              <w:top w:val="single" w:sz="4" w:space="0" w:color="auto"/>
              <w:bottom w:val="single" w:sz="4" w:space="0" w:color="auto"/>
              <w:right w:val="single" w:sz="4" w:space="0" w:color="auto"/>
            </w:tcBorders>
            <w:shd w:val="clear" w:color="auto" w:fill="FFFF00"/>
            <w:vAlign w:val="center"/>
          </w:tcPr>
          <w:p w14:paraId="07F886DB" w14:textId="77777777" w:rsidR="009E484A" w:rsidRPr="00673D9F" w:rsidRDefault="009E484A" w:rsidP="00AE64E2">
            <w:pPr>
              <w:tabs>
                <w:tab w:val="center" w:pos="4320"/>
                <w:tab w:val="right" w:pos="8640"/>
              </w:tabs>
              <w:jc w:val="center"/>
              <w:rPr>
                <w:b/>
                <w:sz w:val="20"/>
              </w:rPr>
            </w:pPr>
            <w:r w:rsidRPr="00B63F1E">
              <w:rPr>
                <w:b/>
                <w:sz w:val="20"/>
              </w:rPr>
              <w:t>Expense Type</w:t>
            </w:r>
          </w:p>
        </w:tc>
        <w:tc>
          <w:tcPr>
            <w:tcW w:w="1908" w:type="dxa"/>
            <w:tcBorders>
              <w:top w:val="single" w:sz="4" w:space="0" w:color="auto"/>
              <w:left w:val="single" w:sz="4" w:space="0" w:color="auto"/>
              <w:bottom w:val="single" w:sz="4" w:space="0" w:color="auto"/>
            </w:tcBorders>
            <w:shd w:val="clear" w:color="auto" w:fill="FFFF00"/>
            <w:vAlign w:val="center"/>
          </w:tcPr>
          <w:p w14:paraId="645A2D0A" w14:textId="77777777" w:rsidR="009E484A" w:rsidRPr="00673D9F" w:rsidRDefault="009E484A" w:rsidP="00AE64E2">
            <w:pPr>
              <w:tabs>
                <w:tab w:val="center" w:pos="4320"/>
                <w:tab w:val="right" w:pos="8640"/>
              </w:tabs>
              <w:jc w:val="center"/>
              <w:rPr>
                <w:b/>
                <w:sz w:val="20"/>
              </w:rPr>
            </w:pPr>
            <w:r w:rsidRPr="00B63F1E">
              <w:rPr>
                <w:b/>
                <w:sz w:val="20"/>
              </w:rPr>
              <w:t>Annual Costs (dollars)</w:t>
            </w:r>
          </w:p>
        </w:tc>
      </w:tr>
      <w:tr w:rsidR="009E484A" w:rsidRPr="00F7015B" w14:paraId="03E02A67" w14:textId="77777777" w:rsidTr="00AE64E2">
        <w:trPr>
          <w:cantSplit/>
          <w:trHeight w:val="460"/>
          <w:jc w:val="center"/>
        </w:trPr>
        <w:tc>
          <w:tcPr>
            <w:tcW w:w="6840" w:type="dxa"/>
            <w:tcBorders>
              <w:top w:val="single" w:sz="4" w:space="0" w:color="auto"/>
              <w:bottom w:val="single" w:sz="4" w:space="0" w:color="auto"/>
              <w:right w:val="single" w:sz="4" w:space="0" w:color="auto"/>
            </w:tcBorders>
            <w:vAlign w:val="center"/>
          </w:tcPr>
          <w:p w14:paraId="030A2CB1" w14:textId="77777777" w:rsidR="009E484A" w:rsidRPr="00673D9F" w:rsidRDefault="009E484A" w:rsidP="00AE64E2">
            <w:pPr>
              <w:rPr>
                <w:sz w:val="20"/>
              </w:rPr>
            </w:pPr>
            <w:r>
              <w:rPr>
                <w:color w:val="000000"/>
                <w:sz w:val="20"/>
              </w:rPr>
              <w:t>NPPD direct costs</w:t>
            </w:r>
          </w:p>
        </w:tc>
        <w:tc>
          <w:tcPr>
            <w:tcW w:w="1908" w:type="dxa"/>
            <w:tcBorders>
              <w:top w:val="single" w:sz="4" w:space="0" w:color="auto"/>
              <w:left w:val="single" w:sz="4" w:space="0" w:color="auto"/>
              <w:bottom w:val="single" w:sz="4" w:space="0" w:color="auto"/>
            </w:tcBorders>
            <w:vAlign w:val="center"/>
          </w:tcPr>
          <w:p w14:paraId="386132A1" w14:textId="77777777" w:rsidR="009E484A" w:rsidRPr="00B63F1E" w:rsidRDefault="009E484A" w:rsidP="00AE64E2">
            <w:pPr>
              <w:jc w:val="right"/>
              <w:rPr>
                <w:color w:val="000000"/>
                <w:sz w:val="20"/>
              </w:rPr>
            </w:pPr>
            <w:r w:rsidRPr="00B63F1E">
              <w:rPr>
                <w:color w:val="000000"/>
                <w:sz w:val="20"/>
              </w:rPr>
              <w:t>$</w:t>
            </w:r>
            <w:r>
              <w:rPr>
                <w:color w:val="000000"/>
                <w:sz w:val="20"/>
              </w:rPr>
              <w:t>4,177,000</w:t>
            </w:r>
          </w:p>
        </w:tc>
      </w:tr>
      <w:tr w:rsidR="009E484A" w:rsidRPr="00601BE5" w14:paraId="30C1EE1A" w14:textId="77777777" w:rsidTr="00AE64E2">
        <w:trPr>
          <w:cantSplit/>
          <w:trHeight w:val="460"/>
          <w:jc w:val="center"/>
        </w:trPr>
        <w:tc>
          <w:tcPr>
            <w:tcW w:w="6840" w:type="dxa"/>
            <w:tcBorders>
              <w:top w:val="single" w:sz="4" w:space="0" w:color="auto"/>
              <w:bottom w:val="single" w:sz="4" w:space="0" w:color="auto"/>
              <w:right w:val="single" w:sz="4" w:space="0" w:color="auto"/>
            </w:tcBorders>
            <w:vAlign w:val="center"/>
          </w:tcPr>
          <w:p w14:paraId="49C768B7" w14:textId="77777777" w:rsidR="009E484A" w:rsidRPr="00234DBC" w:rsidRDefault="009E484A" w:rsidP="00AE64E2">
            <w:pPr>
              <w:rPr>
                <w:sz w:val="20"/>
                <w:szCs w:val="20"/>
              </w:rPr>
            </w:pPr>
            <w:r w:rsidRPr="00234DBC">
              <w:rPr>
                <w:color w:val="000000"/>
                <w:sz w:val="20"/>
                <w:szCs w:val="20"/>
              </w:rPr>
              <w:t>NPPD funds at TSA</w:t>
            </w:r>
          </w:p>
        </w:tc>
        <w:tc>
          <w:tcPr>
            <w:tcW w:w="1908" w:type="dxa"/>
            <w:tcBorders>
              <w:top w:val="single" w:sz="4" w:space="0" w:color="auto"/>
              <w:left w:val="single" w:sz="4" w:space="0" w:color="auto"/>
              <w:bottom w:val="single" w:sz="4" w:space="0" w:color="auto"/>
            </w:tcBorders>
            <w:vAlign w:val="center"/>
          </w:tcPr>
          <w:p w14:paraId="02091046" w14:textId="77777777" w:rsidR="009E484A" w:rsidRPr="00234DBC" w:rsidRDefault="009E484A" w:rsidP="00AE64E2">
            <w:pPr>
              <w:jc w:val="right"/>
              <w:rPr>
                <w:color w:val="000000"/>
                <w:sz w:val="20"/>
                <w:szCs w:val="20"/>
              </w:rPr>
            </w:pPr>
            <w:r w:rsidRPr="00234DBC">
              <w:rPr>
                <w:color w:val="000000"/>
                <w:sz w:val="20"/>
                <w:szCs w:val="20"/>
              </w:rPr>
              <w:t>$</w:t>
            </w:r>
            <w:r w:rsidRPr="00601BE5">
              <w:rPr>
                <w:sz w:val="20"/>
                <w:szCs w:val="20"/>
              </w:rPr>
              <w:t>1,110,146</w:t>
            </w:r>
          </w:p>
        </w:tc>
      </w:tr>
      <w:tr w:rsidR="009E484A" w:rsidRPr="00F7015B" w14:paraId="41845589" w14:textId="77777777" w:rsidTr="00AE64E2">
        <w:trPr>
          <w:cantSplit/>
          <w:trHeight w:val="460"/>
          <w:jc w:val="center"/>
        </w:trPr>
        <w:tc>
          <w:tcPr>
            <w:tcW w:w="6840" w:type="dxa"/>
            <w:tcBorders>
              <w:top w:val="single" w:sz="4" w:space="0" w:color="auto"/>
              <w:bottom w:val="single" w:sz="4" w:space="0" w:color="auto"/>
              <w:right w:val="single" w:sz="4" w:space="0" w:color="auto"/>
            </w:tcBorders>
            <w:vAlign w:val="center"/>
          </w:tcPr>
          <w:p w14:paraId="1AD8166B" w14:textId="77777777" w:rsidR="009E484A" w:rsidRPr="00B63F1E" w:rsidRDefault="009E484A" w:rsidP="00AE64E2">
            <w:pPr>
              <w:rPr>
                <w:sz w:val="20"/>
              </w:rPr>
            </w:pPr>
            <w:r>
              <w:rPr>
                <w:color w:val="000000"/>
                <w:sz w:val="20"/>
              </w:rPr>
              <w:lastRenderedPageBreak/>
              <w:t>NPPD funds at CBP</w:t>
            </w:r>
          </w:p>
        </w:tc>
        <w:tc>
          <w:tcPr>
            <w:tcW w:w="1908" w:type="dxa"/>
            <w:tcBorders>
              <w:top w:val="single" w:sz="4" w:space="0" w:color="auto"/>
              <w:left w:val="single" w:sz="4" w:space="0" w:color="auto"/>
              <w:bottom w:val="single" w:sz="4" w:space="0" w:color="auto"/>
            </w:tcBorders>
            <w:vAlign w:val="center"/>
          </w:tcPr>
          <w:p w14:paraId="6EE0CF79" w14:textId="77777777" w:rsidR="009E484A" w:rsidRPr="00B63F1E" w:rsidRDefault="009E484A" w:rsidP="00AE64E2">
            <w:pPr>
              <w:jc w:val="right"/>
              <w:rPr>
                <w:color w:val="000000"/>
                <w:sz w:val="20"/>
              </w:rPr>
            </w:pPr>
            <w:r>
              <w:rPr>
                <w:color w:val="000000"/>
                <w:sz w:val="20"/>
              </w:rPr>
              <w:t>$60,000</w:t>
            </w:r>
          </w:p>
        </w:tc>
      </w:tr>
      <w:tr w:rsidR="009E484A" w:rsidRPr="00F7015B" w14:paraId="2D937E6B" w14:textId="77777777" w:rsidTr="00AE64E2">
        <w:trPr>
          <w:cantSplit/>
          <w:trHeight w:val="460"/>
          <w:jc w:val="center"/>
        </w:trPr>
        <w:tc>
          <w:tcPr>
            <w:tcW w:w="6840" w:type="dxa"/>
            <w:tcBorders>
              <w:top w:val="single" w:sz="4" w:space="0" w:color="auto"/>
              <w:left w:val="nil"/>
              <w:bottom w:val="nil"/>
              <w:right w:val="nil"/>
            </w:tcBorders>
            <w:vAlign w:val="center"/>
          </w:tcPr>
          <w:p w14:paraId="0CD236EC" w14:textId="77777777" w:rsidR="009E484A" w:rsidRPr="00B34848" w:rsidRDefault="009E484A" w:rsidP="00AE64E2">
            <w:pPr>
              <w:tabs>
                <w:tab w:val="center" w:pos="4320"/>
                <w:tab w:val="right" w:pos="8640"/>
              </w:tabs>
              <w:jc w:val="right"/>
              <w:rPr>
                <w:b/>
                <w:sz w:val="20"/>
              </w:rPr>
            </w:pPr>
            <w:r w:rsidRPr="00B63F1E">
              <w:rPr>
                <w:b/>
                <w:sz w:val="20"/>
              </w:rPr>
              <w:t>Total</w:t>
            </w:r>
          </w:p>
        </w:tc>
        <w:tc>
          <w:tcPr>
            <w:tcW w:w="1908" w:type="dxa"/>
            <w:tcBorders>
              <w:top w:val="single" w:sz="4" w:space="0" w:color="auto"/>
              <w:left w:val="nil"/>
              <w:bottom w:val="nil"/>
              <w:right w:val="nil"/>
            </w:tcBorders>
            <w:vAlign w:val="center"/>
          </w:tcPr>
          <w:p w14:paraId="7791C084" w14:textId="77777777" w:rsidR="009E484A" w:rsidRPr="00B34848" w:rsidRDefault="009E484A" w:rsidP="00AE64E2">
            <w:pPr>
              <w:tabs>
                <w:tab w:val="center" w:pos="4320"/>
                <w:tab w:val="right" w:pos="8640"/>
              </w:tabs>
              <w:jc w:val="right"/>
              <w:rPr>
                <w:b/>
                <w:sz w:val="20"/>
              </w:rPr>
            </w:pPr>
            <w:r w:rsidRPr="00B63F1E">
              <w:rPr>
                <w:b/>
                <w:sz w:val="20"/>
              </w:rPr>
              <w:t>$</w:t>
            </w:r>
            <w:r>
              <w:rPr>
                <w:b/>
                <w:sz w:val="20"/>
              </w:rPr>
              <w:t>5,347,146</w:t>
            </w:r>
          </w:p>
        </w:tc>
      </w:tr>
    </w:tbl>
    <w:p w14:paraId="0E658918" w14:textId="77777777" w:rsidR="009E484A" w:rsidRDefault="009E484A" w:rsidP="009E484A">
      <w:pPr>
        <w:pStyle w:val="Heading3"/>
      </w:pPr>
      <w:r>
        <w:t>Total Federal Government Costs</w:t>
      </w:r>
    </w:p>
    <w:p w14:paraId="6849165D" w14:textId="77777777" w:rsidR="009E484A" w:rsidRDefault="009E484A" w:rsidP="009E484A">
      <w:pPr>
        <w:spacing w:before="120" w:after="120" w:line="259" w:lineRule="auto"/>
      </w:pPr>
      <w:r>
        <w:t>T</w:t>
      </w:r>
      <w:r w:rsidRPr="00F5137F">
        <w:t>he</w:t>
      </w:r>
      <w:r w:rsidRPr="00797391">
        <w:t xml:space="preserve"> estimated total annual operating cost to the United States </w:t>
      </w:r>
      <w:r>
        <w:t>G</w:t>
      </w:r>
      <w:r w:rsidRPr="00797391">
        <w:t xml:space="preserve">overnment for </w:t>
      </w:r>
      <w:r>
        <w:t xml:space="preserve">collecting </w:t>
      </w:r>
      <w:r w:rsidRPr="00797391">
        <w:t xml:space="preserve">and </w:t>
      </w:r>
      <w:r>
        <w:t>screening information under the CFATS Personnel Surety Program</w:t>
      </w:r>
      <w:r w:rsidRPr="00797391">
        <w:t xml:space="preserve"> is $</w:t>
      </w:r>
      <w:r>
        <w:t>4,347,000,</w:t>
      </w:r>
      <w:r w:rsidRPr="00797391">
        <w:t xml:space="preserve"> in addition to an estima</w:t>
      </w:r>
      <w:r>
        <w:t>ted initial capital cost of $5,347,146.</w:t>
      </w:r>
    </w:p>
    <w:p w14:paraId="56EBD3E9" w14:textId="77777777" w:rsidR="009E484A" w:rsidRPr="00F7015B" w:rsidRDefault="009E484A" w:rsidP="009E484A">
      <w:pPr>
        <w:pStyle w:val="Heading2"/>
      </w:pPr>
      <w:r w:rsidRPr="00F7015B">
        <w:t>Explanation for Program Changes or Adjustments</w:t>
      </w:r>
    </w:p>
    <w:p w14:paraId="302D8197" w14:textId="77777777" w:rsidR="009E484A" w:rsidRDefault="009E484A" w:rsidP="009E484A">
      <w:pPr>
        <w:spacing w:before="120" w:after="120" w:line="259" w:lineRule="auto"/>
      </w:pPr>
      <w:r>
        <w:t>The CFATS Personnel Surety Program is a new collection.</w:t>
      </w:r>
    </w:p>
    <w:p w14:paraId="5CD13F91" w14:textId="77777777" w:rsidR="009E484A" w:rsidRPr="00F7015B" w:rsidRDefault="009E484A" w:rsidP="009E484A">
      <w:pPr>
        <w:pStyle w:val="Heading2"/>
      </w:pPr>
      <w:r w:rsidRPr="00F7015B">
        <w:t>Plans for Tabulation and Publication and Project Time Schedule</w:t>
      </w:r>
    </w:p>
    <w:p w14:paraId="628082FA" w14:textId="77777777" w:rsidR="009E484A" w:rsidRDefault="009E484A" w:rsidP="009E484A">
      <w:pPr>
        <w:spacing w:before="120" w:after="120" w:line="259" w:lineRule="auto"/>
      </w:pPr>
      <w:r w:rsidRPr="006E1193">
        <w:t>No</w:t>
      </w:r>
      <w:r>
        <w:t xml:space="preserve"> plans exist for the publication of data collected under this information collection for statistical use, tabulation, or statistical analysis.</w:t>
      </w:r>
    </w:p>
    <w:p w14:paraId="772DA0D6" w14:textId="77777777" w:rsidR="009E484A" w:rsidRPr="00F7015B" w:rsidRDefault="009E484A" w:rsidP="009E484A">
      <w:pPr>
        <w:pStyle w:val="Heading2"/>
      </w:pPr>
      <w:r w:rsidRPr="00F7015B">
        <w:t>Reason(s) Display of OMB Expiration Date is Inappropriate</w:t>
      </w:r>
    </w:p>
    <w:p w14:paraId="2C8020CA" w14:textId="77777777" w:rsidR="009E484A" w:rsidRDefault="009E484A" w:rsidP="009E484A">
      <w:pPr>
        <w:spacing w:before="120" w:after="120" w:line="259" w:lineRule="auto"/>
      </w:pPr>
      <w:r>
        <w:t xml:space="preserve">The CFATS Personnel Surety Program will display the expiration date for OMB approval of this information collection in the CSAT Personnel Surety </w:t>
      </w:r>
      <w:r w:rsidR="004E7E8C">
        <w:t xml:space="preserve">Program </w:t>
      </w:r>
      <w:r>
        <w:t>application.</w:t>
      </w:r>
    </w:p>
    <w:p w14:paraId="4A76A05A" w14:textId="77777777" w:rsidR="009E484A" w:rsidRPr="00F7015B" w:rsidRDefault="009E484A" w:rsidP="009E484A">
      <w:pPr>
        <w:pStyle w:val="Heading2"/>
      </w:pPr>
      <w:r w:rsidRPr="00F7015B">
        <w:t>Exceptions to Certification for Paperwork Reduction Act Submissions</w:t>
      </w:r>
    </w:p>
    <w:p w14:paraId="43F274A9" w14:textId="77777777" w:rsidR="009E484A" w:rsidRDefault="009E484A" w:rsidP="009E484A">
      <w:pPr>
        <w:spacing w:before="120" w:after="120" w:line="259" w:lineRule="auto"/>
      </w:pPr>
      <w:r>
        <w:t xml:space="preserve">The Department is requesting from OMB an exception for the CFATS Personnel Surety Program to the </w:t>
      </w:r>
      <w:r w:rsidRPr="00F5137F">
        <w:t>PRA</w:t>
      </w:r>
      <w:r>
        <w:t xml:space="preserve"> requirement, as contained in 5 CFR 1320.8(b)(3), which requires Federal agencies to confirm that their information collections provide certain reasonable notices under the PRA to affected individuals.  If this exception is granted, the Department will be relieved of the potential obligation to require high-risk chemical facilities to collect signatures or other positive affirmations of these notices from affected individuals.  Whether or not this exception is granted, the Department will still require high-risk facilities to affirm that the required Privacy Act notice has been provided to affected individuals before personal information is collected.</w:t>
      </w:r>
    </w:p>
    <w:p w14:paraId="47725AAD" w14:textId="77777777" w:rsidR="009E484A" w:rsidRDefault="009E484A" w:rsidP="009E484A">
      <w:pPr>
        <w:spacing w:before="120" w:after="120" w:line="259" w:lineRule="auto"/>
      </w:pPr>
      <w:r>
        <w:t>The Department’s request for an exception to the requirement under 5 CFR 1320.8(b)(3) would not exempt high-risk chemical facilities from having to adhere to applicable Federal, State, local, or tribal laws, or to regulations or policies pertaining to the privacy of affected individuals.</w:t>
      </w:r>
    </w:p>
    <w:p w14:paraId="090D6C2D" w14:textId="77777777" w:rsidR="00AE64E2" w:rsidRDefault="00AE64E2"/>
    <w:sectPr w:rsidR="00AE64E2" w:rsidSect="00AE64E2">
      <w:footerReference w:type="default" r:id="rId14"/>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88CB9" w14:textId="77777777" w:rsidR="008C43B5" w:rsidRDefault="008C43B5" w:rsidP="009E484A">
      <w:r>
        <w:separator/>
      </w:r>
    </w:p>
  </w:endnote>
  <w:endnote w:type="continuationSeparator" w:id="0">
    <w:p w14:paraId="04DCE5A8" w14:textId="77777777" w:rsidR="008C43B5" w:rsidRDefault="008C43B5" w:rsidP="009E484A">
      <w:r>
        <w:continuationSeparator/>
      </w:r>
    </w:p>
  </w:endnote>
  <w:endnote w:type="continuationNotice" w:id="1">
    <w:p w14:paraId="55FD186B" w14:textId="77777777" w:rsidR="008C43B5" w:rsidRDefault="008C4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3BB2C" w14:textId="194B8470" w:rsidR="00AE64E2" w:rsidRDefault="00AE64E2" w:rsidP="00AE64E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B4872" w14:textId="77777777" w:rsidR="008C43B5" w:rsidRDefault="008C43B5" w:rsidP="009E484A">
      <w:r>
        <w:separator/>
      </w:r>
    </w:p>
  </w:footnote>
  <w:footnote w:type="continuationSeparator" w:id="0">
    <w:p w14:paraId="79419758" w14:textId="77777777" w:rsidR="008C43B5" w:rsidRDefault="008C43B5" w:rsidP="009E484A">
      <w:r>
        <w:continuationSeparator/>
      </w:r>
    </w:p>
  </w:footnote>
  <w:footnote w:type="continuationNotice" w:id="1">
    <w:p w14:paraId="1FC5B357" w14:textId="77777777" w:rsidR="008C43B5" w:rsidRDefault="008C43B5"/>
  </w:footnote>
  <w:footnote w:id="2">
    <w:p w14:paraId="5C45C49A" w14:textId="77777777" w:rsidR="00AE64E2" w:rsidRDefault="00AE64E2" w:rsidP="009E484A">
      <w:pPr>
        <w:pStyle w:val="FootnoteText"/>
      </w:pPr>
      <w:r>
        <w:rPr>
          <w:rStyle w:val="FootnoteReference"/>
        </w:rPr>
        <w:footnoteRef/>
      </w:r>
      <w:r>
        <w:t xml:space="preserve"> </w:t>
      </w:r>
      <w:r w:rsidRPr="00D45258">
        <w:rPr>
          <w:i/>
        </w:rPr>
        <w:t>See</w:t>
      </w:r>
      <w:r>
        <w:t xml:space="preserve"> 72 FR 17688.</w:t>
      </w:r>
    </w:p>
  </w:footnote>
  <w:footnote w:id="3">
    <w:p w14:paraId="7B94320A" w14:textId="1C693E25" w:rsidR="00AE64E2" w:rsidRPr="007E108B" w:rsidRDefault="00AE64E2" w:rsidP="009E484A">
      <w:pPr>
        <w:ind w:right="1440"/>
        <w:rPr>
          <w:sz w:val="20"/>
          <w:szCs w:val="20"/>
        </w:rPr>
      </w:pPr>
      <w:r w:rsidRPr="007E108B">
        <w:rPr>
          <w:rStyle w:val="FootnoteReference"/>
          <w:sz w:val="20"/>
          <w:szCs w:val="20"/>
        </w:rPr>
        <w:footnoteRef/>
      </w:r>
      <w:r w:rsidRPr="007E108B">
        <w:rPr>
          <w:sz w:val="20"/>
          <w:szCs w:val="20"/>
        </w:rPr>
        <w:t xml:space="preserve"> </w:t>
      </w:r>
      <w:r w:rsidRPr="002956D1">
        <w:rPr>
          <w:sz w:val="20"/>
          <w:szCs w:val="20"/>
        </w:rPr>
        <w:t>6 CFR 27.230(a)(12).</w:t>
      </w:r>
    </w:p>
  </w:footnote>
  <w:footnote w:id="4">
    <w:p w14:paraId="7F50B1A0" w14:textId="77777777" w:rsidR="00AE64E2" w:rsidRDefault="00AE64E2" w:rsidP="009E484A">
      <w:pPr>
        <w:pStyle w:val="FootnoteText"/>
      </w:pPr>
      <w:r>
        <w:rPr>
          <w:rStyle w:val="FootnoteReference"/>
        </w:rPr>
        <w:footnoteRef/>
      </w:r>
      <w:r>
        <w:t xml:space="preserve"> </w:t>
      </w:r>
      <w:r w:rsidRPr="00D45258">
        <w:rPr>
          <w:i/>
        </w:rPr>
        <w:t>See</w:t>
      </w:r>
      <w:r>
        <w:t xml:space="preserve"> 72 FR 17688, 17709 (April 9, 2007).</w:t>
      </w:r>
    </w:p>
  </w:footnote>
  <w:footnote w:id="5">
    <w:p w14:paraId="55BB3B0A" w14:textId="77777777" w:rsidR="00AE64E2" w:rsidRDefault="00AE64E2" w:rsidP="009E484A">
      <w:pPr>
        <w:pStyle w:val="FootnoteText"/>
      </w:pPr>
      <w:r>
        <w:rPr>
          <w:rStyle w:val="FootnoteReference"/>
        </w:rPr>
        <w:footnoteRef/>
      </w:r>
      <w:r>
        <w:t xml:space="preserve"> </w:t>
      </w:r>
      <w:r w:rsidRPr="00D45258">
        <w:rPr>
          <w:i/>
        </w:rPr>
        <w:t>See</w:t>
      </w:r>
      <w:r>
        <w:t xml:space="preserve"> 72 FR 17688, 17709 (April 9, 2007).</w:t>
      </w:r>
    </w:p>
  </w:footnote>
  <w:footnote w:id="6">
    <w:p w14:paraId="0AD4C87A" w14:textId="0C81DAF3" w:rsidR="00AE64E2" w:rsidRDefault="00AE64E2" w:rsidP="009E484A">
      <w:pPr>
        <w:pStyle w:val="FootnoteText"/>
      </w:pPr>
      <w:r>
        <w:rPr>
          <w:rStyle w:val="FootnoteReference"/>
        </w:rPr>
        <w:footnoteRef/>
      </w:r>
      <w:r>
        <w:t xml:space="preserve"> For example, high-risk chemical facilities could propose in their SSPs or ASPs traditional escorting solutions and/or innovative escorting alternatives such as video monitoring, as appropriate, to address the unique security risks present at each facility.</w:t>
      </w:r>
    </w:p>
  </w:footnote>
  <w:footnote w:id="7">
    <w:p w14:paraId="201B9BA2" w14:textId="77777777" w:rsidR="00AE64E2" w:rsidRPr="00D42180" w:rsidRDefault="00AE64E2" w:rsidP="009E484A">
      <w:pPr>
        <w:pStyle w:val="FootnoteText"/>
      </w:pPr>
      <w:r w:rsidRPr="00F057C3">
        <w:rPr>
          <w:rStyle w:val="FootnoteReference"/>
        </w:rPr>
        <w:footnoteRef/>
      </w:r>
      <w:r w:rsidRPr="00D42180">
        <w:t xml:space="preserve"> This ICR does not estimate the potential cost savings high</w:t>
      </w:r>
      <w:r>
        <w:t>-</w:t>
      </w:r>
      <w:r w:rsidRPr="00D42180">
        <w:t>risk chemical facilities or their designees could achieve as a result of submitting data in concert with the other routine hiring and access control background checks related to RBPS 12(i</w:t>
      </w:r>
      <w:r>
        <w:t>)</w:t>
      </w:r>
      <w:r w:rsidRPr="00D42180">
        <w:t>-</w:t>
      </w:r>
      <w:r>
        <w:t>(</w:t>
      </w:r>
      <w:r w:rsidRPr="00D42180">
        <w:t xml:space="preserve">iii) because </w:t>
      </w:r>
      <w:r>
        <w:t xml:space="preserve">the scope of this ICR is limited to the Department’s obligation to estimate </w:t>
      </w:r>
      <w:r w:rsidRPr="00D42180">
        <w:t>the burden of submitting information about affected individuals to identify terrorist ties</w:t>
      </w:r>
      <w:r>
        <w:t xml:space="preserve"> under RBPS 12(iv) in accordance with the Paperwork Reduction Act</w:t>
      </w:r>
      <w:r w:rsidRPr="00D42180">
        <w:t>.</w:t>
      </w:r>
    </w:p>
  </w:footnote>
  <w:footnote w:id="8">
    <w:p w14:paraId="37EA4E7F" w14:textId="5BEC70FD" w:rsidR="00BF0AD4" w:rsidRDefault="00BF0AD4" w:rsidP="00BF0AD4">
      <w:pPr>
        <w:pStyle w:val="FootnoteText"/>
      </w:pPr>
      <w:r>
        <w:rPr>
          <w:rStyle w:val="FootnoteReference"/>
        </w:rPr>
        <w:footnoteRef/>
      </w:r>
      <w:r>
        <w:t xml:space="preserve"> The four questions the Department solicited comments, along with the comments received and</w:t>
      </w:r>
      <w:r w:rsidR="00BD7C07">
        <w:t xml:space="preserve"> </w:t>
      </w:r>
      <w:r>
        <w:t>th</w:t>
      </w:r>
      <w:r w:rsidR="00BD7C07">
        <w:t>e</w:t>
      </w:r>
      <w:r>
        <w:t xml:space="preserve"> Department’s responses may be viewed at </w:t>
      </w:r>
      <w:hyperlink r:id="rId1" w:history="1">
        <w:r w:rsidRPr="00B71D75">
          <w:rPr>
            <w:rStyle w:val="Hyperlink"/>
          </w:rPr>
          <w:t>http://www.federalregister.gov/a/2014-02082/p-214</w:t>
        </w:r>
      </w:hyperlink>
      <w:r>
        <w:t>.</w:t>
      </w:r>
    </w:p>
  </w:footnote>
  <w:footnote w:id="9">
    <w:p w14:paraId="62C7760C" w14:textId="642A5426" w:rsidR="0074497D" w:rsidRDefault="0074497D">
      <w:pPr>
        <w:pStyle w:val="FootnoteText"/>
      </w:pPr>
      <w:r>
        <w:rPr>
          <w:rStyle w:val="FootnoteReference"/>
        </w:rPr>
        <w:footnoteRef/>
      </w:r>
      <w:r>
        <w:t xml:space="preserve"> The basis and methodology for these estimates can be found in the 30-day notice at </w:t>
      </w:r>
      <w:hyperlink r:id="rId2" w:history="1">
        <w:r w:rsidRPr="00264692">
          <w:rPr>
            <w:rStyle w:val="Hyperlink"/>
          </w:rPr>
          <w:t>https://www.federalregister.gov/articles/2014/02/03/2014-02082/chemical-facility-anti-terrorism-standards-personnel-surety-program</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51A9C"/>
    <w:multiLevelType w:val="hybridMultilevel"/>
    <w:tmpl w:val="368E69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F6A44"/>
    <w:multiLevelType w:val="hybridMultilevel"/>
    <w:tmpl w:val="3F90C9A4"/>
    <w:lvl w:ilvl="0" w:tplc="9FE0BA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87A66"/>
    <w:multiLevelType w:val="hybridMultilevel"/>
    <w:tmpl w:val="4D58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53070"/>
    <w:multiLevelType w:val="hybridMultilevel"/>
    <w:tmpl w:val="E272C7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4FB36D8"/>
    <w:multiLevelType w:val="hybridMultilevel"/>
    <w:tmpl w:val="7050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B0782"/>
    <w:multiLevelType w:val="hybridMultilevel"/>
    <w:tmpl w:val="74AE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E66DE"/>
    <w:multiLevelType w:val="hybridMultilevel"/>
    <w:tmpl w:val="6000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E42A2"/>
    <w:multiLevelType w:val="hybridMultilevel"/>
    <w:tmpl w:val="F3BC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30B51"/>
    <w:multiLevelType w:val="hybridMultilevel"/>
    <w:tmpl w:val="86FAB81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64BE08B5"/>
    <w:multiLevelType w:val="hybridMultilevel"/>
    <w:tmpl w:val="63460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107559"/>
    <w:multiLevelType w:val="hybridMultilevel"/>
    <w:tmpl w:val="4C72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34B72"/>
    <w:multiLevelType w:val="hybridMultilevel"/>
    <w:tmpl w:val="17C68100"/>
    <w:lvl w:ilvl="0" w:tplc="70480538">
      <w:start w:val="1"/>
      <w:numFmt w:val="decimal"/>
      <w:pStyle w:val="Heading2"/>
      <w:lvlText w:val="%1."/>
      <w:lvlJc w:val="left"/>
      <w:pPr>
        <w:tabs>
          <w:tab w:val="num" w:pos="540"/>
        </w:tabs>
        <w:ind w:left="540" w:hanging="54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3"/>
  </w:num>
  <w:num w:numId="3">
    <w:abstractNumId w:val="8"/>
  </w:num>
  <w:num w:numId="4">
    <w:abstractNumId w:val="1"/>
  </w:num>
  <w:num w:numId="5">
    <w:abstractNumId w:val="5"/>
  </w:num>
  <w:num w:numId="6">
    <w:abstractNumId w:val="4"/>
  </w:num>
  <w:num w:numId="7">
    <w:abstractNumId w:val="9"/>
  </w:num>
  <w:num w:numId="8">
    <w:abstractNumId w:val="0"/>
  </w:num>
  <w:num w:numId="9">
    <w:abstractNumId w:val="2"/>
  </w:num>
  <w:num w:numId="10">
    <w:abstractNumId w:val="1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4A"/>
    <w:rsid w:val="000016C1"/>
    <w:rsid w:val="000474BE"/>
    <w:rsid w:val="00083800"/>
    <w:rsid w:val="000848ED"/>
    <w:rsid w:val="000853D0"/>
    <w:rsid w:val="000976D7"/>
    <w:rsid w:val="000A0532"/>
    <w:rsid w:val="000A3353"/>
    <w:rsid w:val="000D730F"/>
    <w:rsid w:val="00101A19"/>
    <w:rsid w:val="00153559"/>
    <w:rsid w:val="001739C5"/>
    <w:rsid w:val="001A1A65"/>
    <w:rsid w:val="001B0B35"/>
    <w:rsid w:val="001B1C9C"/>
    <w:rsid w:val="001E0D1E"/>
    <w:rsid w:val="002014A3"/>
    <w:rsid w:val="00202606"/>
    <w:rsid w:val="0023007B"/>
    <w:rsid w:val="00287EC5"/>
    <w:rsid w:val="002C355D"/>
    <w:rsid w:val="002D6C1B"/>
    <w:rsid w:val="002E7F29"/>
    <w:rsid w:val="002F7ED8"/>
    <w:rsid w:val="003177C4"/>
    <w:rsid w:val="00321561"/>
    <w:rsid w:val="00332DD8"/>
    <w:rsid w:val="00370193"/>
    <w:rsid w:val="003A26A2"/>
    <w:rsid w:val="003A2B7F"/>
    <w:rsid w:val="003A4544"/>
    <w:rsid w:val="00410960"/>
    <w:rsid w:val="004A7791"/>
    <w:rsid w:val="004B189C"/>
    <w:rsid w:val="004C7C54"/>
    <w:rsid w:val="004E7E8C"/>
    <w:rsid w:val="00540D78"/>
    <w:rsid w:val="00542BF7"/>
    <w:rsid w:val="005703C4"/>
    <w:rsid w:val="00595C5B"/>
    <w:rsid w:val="005B00E7"/>
    <w:rsid w:val="005B321A"/>
    <w:rsid w:val="005C6AE0"/>
    <w:rsid w:val="005C70DE"/>
    <w:rsid w:val="005F11BF"/>
    <w:rsid w:val="00621D89"/>
    <w:rsid w:val="006723F0"/>
    <w:rsid w:val="006A3E8F"/>
    <w:rsid w:val="006D294A"/>
    <w:rsid w:val="006D563A"/>
    <w:rsid w:val="006F191B"/>
    <w:rsid w:val="007006A9"/>
    <w:rsid w:val="00702A9F"/>
    <w:rsid w:val="0074497D"/>
    <w:rsid w:val="0077002E"/>
    <w:rsid w:val="00775340"/>
    <w:rsid w:val="00776429"/>
    <w:rsid w:val="007B78F1"/>
    <w:rsid w:val="007E0B77"/>
    <w:rsid w:val="00812E54"/>
    <w:rsid w:val="00834C39"/>
    <w:rsid w:val="00843643"/>
    <w:rsid w:val="00845B4E"/>
    <w:rsid w:val="008572F3"/>
    <w:rsid w:val="0088485C"/>
    <w:rsid w:val="008A5D5D"/>
    <w:rsid w:val="008C43B5"/>
    <w:rsid w:val="008E5766"/>
    <w:rsid w:val="00906293"/>
    <w:rsid w:val="00906B0A"/>
    <w:rsid w:val="009447F2"/>
    <w:rsid w:val="0094611F"/>
    <w:rsid w:val="009C369E"/>
    <w:rsid w:val="009E484A"/>
    <w:rsid w:val="00A00678"/>
    <w:rsid w:val="00A12EA7"/>
    <w:rsid w:val="00A13A97"/>
    <w:rsid w:val="00A2410B"/>
    <w:rsid w:val="00A3202F"/>
    <w:rsid w:val="00A40E5B"/>
    <w:rsid w:val="00A65DBF"/>
    <w:rsid w:val="00A70762"/>
    <w:rsid w:val="00A717D0"/>
    <w:rsid w:val="00A80CAA"/>
    <w:rsid w:val="00AA1F09"/>
    <w:rsid w:val="00AE50DC"/>
    <w:rsid w:val="00AE64E2"/>
    <w:rsid w:val="00B14284"/>
    <w:rsid w:val="00B170E5"/>
    <w:rsid w:val="00B2253F"/>
    <w:rsid w:val="00B741F6"/>
    <w:rsid w:val="00B821AF"/>
    <w:rsid w:val="00B857AF"/>
    <w:rsid w:val="00BA5A9B"/>
    <w:rsid w:val="00BB3574"/>
    <w:rsid w:val="00BB36AA"/>
    <w:rsid w:val="00BD7C07"/>
    <w:rsid w:val="00BF0AD4"/>
    <w:rsid w:val="00BF278E"/>
    <w:rsid w:val="00BF4D65"/>
    <w:rsid w:val="00C12013"/>
    <w:rsid w:val="00C265EB"/>
    <w:rsid w:val="00C85D5C"/>
    <w:rsid w:val="00CA78E3"/>
    <w:rsid w:val="00D32624"/>
    <w:rsid w:val="00D6177B"/>
    <w:rsid w:val="00D62D61"/>
    <w:rsid w:val="00DA4696"/>
    <w:rsid w:val="00DE4712"/>
    <w:rsid w:val="00E16898"/>
    <w:rsid w:val="00E210E9"/>
    <w:rsid w:val="00E824CB"/>
    <w:rsid w:val="00EA3781"/>
    <w:rsid w:val="00EA5719"/>
    <w:rsid w:val="00EF36D3"/>
    <w:rsid w:val="00F04D47"/>
    <w:rsid w:val="00F2761C"/>
    <w:rsid w:val="00F662C4"/>
    <w:rsid w:val="00F872F2"/>
    <w:rsid w:val="00FA7854"/>
    <w:rsid w:val="00FF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4A87C"/>
  <w15:docId w15:val="{86207CD9-926D-4C9E-80B7-13451931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84A"/>
    <w:pPr>
      <w:tabs>
        <w:tab w:val="left" w:pos="-1440"/>
      </w:tab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9"/>
    <w:qFormat/>
    <w:rsid w:val="009E484A"/>
    <w:pPr>
      <w:keepNext/>
      <w:tabs>
        <w:tab w:val="clear" w:pos="-1440"/>
        <w:tab w:val="left" w:pos="0"/>
      </w:tabs>
      <w:spacing w:before="240" w:after="60"/>
      <w:ind w:hanging="540"/>
      <w:outlineLvl w:val="0"/>
    </w:pPr>
    <w:rPr>
      <w:rFonts w:cs="Arial"/>
      <w:b/>
      <w:bCs/>
      <w:smallCaps/>
      <w:kern w:val="32"/>
      <w:sz w:val="32"/>
      <w:szCs w:val="32"/>
    </w:rPr>
  </w:style>
  <w:style w:type="paragraph" w:styleId="Heading2">
    <w:name w:val="heading 2"/>
    <w:basedOn w:val="Normal"/>
    <w:next w:val="Normal"/>
    <w:link w:val="Heading2Char"/>
    <w:autoRedefine/>
    <w:uiPriority w:val="99"/>
    <w:qFormat/>
    <w:rsid w:val="009E484A"/>
    <w:pPr>
      <w:keepNext/>
      <w:keepLines/>
      <w:numPr>
        <w:numId w:val="1"/>
      </w:numPr>
      <w:tabs>
        <w:tab w:val="clear" w:pos="-1440"/>
        <w:tab w:val="clear" w:pos="540"/>
        <w:tab w:val="num" w:pos="0"/>
      </w:tabs>
      <w:spacing w:before="240" w:after="60"/>
      <w:ind w:left="0" w:right="-187" w:hanging="547"/>
      <w:outlineLvl w:val="1"/>
    </w:pPr>
    <w:rPr>
      <w:rFonts w:cs="Arial"/>
      <w:b/>
      <w:bCs/>
      <w:i/>
      <w:iCs/>
      <w:smallCaps/>
      <w:sz w:val="28"/>
      <w:szCs w:val="28"/>
    </w:rPr>
  </w:style>
  <w:style w:type="paragraph" w:styleId="Heading3">
    <w:name w:val="heading 3"/>
    <w:basedOn w:val="Normal"/>
    <w:next w:val="Normal"/>
    <w:link w:val="Heading3Char"/>
    <w:autoRedefine/>
    <w:uiPriority w:val="99"/>
    <w:qFormat/>
    <w:rsid w:val="009E484A"/>
    <w:pPr>
      <w:keepNext/>
      <w:keepLines/>
      <w:spacing w:before="120" w:after="60"/>
      <w:outlineLvl w:val="2"/>
    </w:pPr>
    <w:rPr>
      <w:rFonts w:ascii="Times New Roman Bold" w:hAnsi="Times New Roman Bold" w:cs="Arial"/>
      <w:b/>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484A"/>
    <w:rPr>
      <w:rFonts w:ascii="Times New Roman" w:eastAsia="Times New Roman" w:hAnsi="Times New Roman" w:cs="Arial"/>
      <w:b/>
      <w:bCs/>
      <w:smallCaps/>
      <w:kern w:val="32"/>
      <w:sz w:val="32"/>
      <w:szCs w:val="32"/>
    </w:rPr>
  </w:style>
  <w:style w:type="character" w:customStyle="1" w:styleId="Heading2Char">
    <w:name w:val="Heading 2 Char"/>
    <w:basedOn w:val="DefaultParagraphFont"/>
    <w:link w:val="Heading2"/>
    <w:uiPriority w:val="99"/>
    <w:rsid w:val="009E484A"/>
    <w:rPr>
      <w:rFonts w:ascii="Times New Roman" w:eastAsia="Times New Roman" w:hAnsi="Times New Roman" w:cs="Arial"/>
      <w:b/>
      <w:bCs/>
      <w:i/>
      <w:iCs/>
      <w:smallCaps/>
      <w:sz w:val="28"/>
      <w:szCs w:val="28"/>
    </w:rPr>
  </w:style>
  <w:style w:type="character" w:customStyle="1" w:styleId="Heading3Char">
    <w:name w:val="Heading 3 Char"/>
    <w:basedOn w:val="DefaultParagraphFont"/>
    <w:link w:val="Heading3"/>
    <w:uiPriority w:val="99"/>
    <w:rsid w:val="009E484A"/>
    <w:rPr>
      <w:rFonts w:ascii="Times New Roman Bold" w:eastAsia="Times New Roman" w:hAnsi="Times New Roman Bold" w:cs="Arial"/>
      <w:b/>
      <w:bCs/>
      <w:smallCaps/>
      <w:sz w:val="24"/>
      <w:szCs w:val="26"/>
    </w:rPr>
  </w:style>
  <w:style w:type="character" w:styleId="Hyperlink">
    <w:name w:val="Hyperlink"/>
    <w:basedOn w:val="DefaultParagraphFont"/>
    <w:uiPriority w:val="99"/>
    <w:rsid w:val="009E484A"/>
    <w:rPr>
      <w:rFonts w:cs="Times New Roman"/>
      <w:color w:val="0000FF"/>
      <w:u w:val="single"/>
    </w:rPr>
  </w:style>
  <w:style w:type="paragraph" w:styleId="FootnoteText">
    <w:name w:val="footnote text"/>
    <w:basedOn w:val="Normal"/>
    <w:link w:val="FootnoteTextChar"/>
    <w:rsid w:val="009E484A"/>
    <w:rPr>
      <w:sz w:val="20"/>
      <w:szCs w:val="20"/>
    </w:rPr>
  </w:style>
  <w:style w:type="character" w:customStyle="1" w:styleId="FootnoteTextChar">
    <w:name w:val="Footnote Text Char"/>
    <w:basedOn w:val="DefaultParagraphFont"/>
    <w:link w:val="FootnoteText"/>
    <w:rsid w:val="009E484A"/>
    <w:rPr>
      <w:rFonts w:ascii="Times New Roman" w:eastAsia="Times New Roman" w:hAnsi="Times New Roman" w:cs="Times New Roman"/>
      <w:sz w:val="20"/>
      <w:szCs w:val="20"/>
    </w:rPr>
  </w:style>
  <w:style w:type="character" w:styleId="FootnoteReference">
    <w:name w:val="footnote reference"/>
    <w:basedOn w:val="DefaultParagraphFont"/>
    <w:rsid w:val="009E484A"/>
    <w:rPr>
      <w:rFonts w:cs="Times New Roman"/>
      <w:vertAlign w:val="superscript"/>
    </w:rPr>
  </w:style>
  <w:style w:type="paragraph" w:customStyle="1" w:styleId="Title1">
    <w:name w:val="Title 1"/>
    <w:basedOn w:val="Normal"/>
    <w:autoRedefine/>
    <w:uiPriority w:val="99"/>
    <w:rsid w:val="009E484A"/>
    <w:pPr>
      <w:tabs>
        <w:tab w:val="clear" w:pos="-1440"/>
      </w:tabs>
      <w:jc w:val="center"/>
    </w:pPr>
    <w:rPr>
      <w:b/>
      <w:bCs/>
      <w:sz w:val="28"/>
      <w:szCs w:val="20"/>
    </w:rPr>
  </w:style>
  <w:style w:type="paragraph" w:styleId="ListParagraph">
    <w:name w:val="List Paragraph"/>
    <w:basedOn w:val="Normal"/>
    <w:uiPriority w:val="34"/>
    <w:qFormat/>
    <w:rsid w:val="009E484A"/>
    <w:pPr>
      <w:tabs>
        <w:tab w:val="clear" w:pos="-1440"/>
      </w:tabs>
      <w:spacing w:line="480" w:lineRule="auto"/>
      <w:ind w:left="720"/>
      <w:contextualSpacing/>
    </w:pPr>
  </w:style>
  <w:style w:type="paragraph" w:styleId="BalloonText">
    <w:name w:val="Balloon Text"/>
    <w:basedOn w:val="Normal"/>
    <w:link w:val="BalloonTextChar"/>
    <w:uiPriority w:val="99"/>
    <w:semiHidden/>
    <w:unhideWhenUsed/>
    <w:rsid w:val="009E484A"/>
    <w:rPr>
      <w:rFonts w:ascii="Tahoma" w:hAnsi="Tahoma" w:cs="Tahoma"/>
      <w:sz w:val="16"/>
      <w:szCs w:val="16"/>
    </w:rPr>
  </w:style>
  <w:style w:type="character" w:customStyle="1" w:styleId="BalloonTextChar">
    <w:name w:val="Balloon Text Char"/>
    <w:basedOn w:val="DefaultParagraphFont"/>
    <w:link w:val="BalloonText"/>
    <w:uiPriority w:val="99"/>
    <w:semiHidden/>
    <w:rsid w:val="009E484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14284"/>
    <w:rPr>
      <w:sz w:val="16"/>
      <w:szCs w:val="16"/>
    </w:rPr>
  </w:style>
  <w:style w:type="paragraph" w:styleId="CommentText">
    <w:name w:val="annotation text"/>
    <w:basedOn w:val="Normal"/>
    <w:link w:val="CommentTextChar"/>
    <w:uiPriority w:val="99"/>
    <w:unhideWhenUsed/>
    <w:rsid w:val="00B14284"/>
    <w:rPr>
      <w:sz w:val="20"/>
      <w:szCs w:val="20"/>
    </w:rPr>
  </w:style>
  <w:style w:type="character" w:customStyle="1" w:styleId="CommentTextChar">
    <w:name w:val="Comment Text Char"/>
    <w:basedOn w:val="DefaultParagraphFont"/>
    <w:link w:val="CommentText"/>
    <w:uiPriority w:val="99"/>
    <w:rsid w:val="00B142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11BF"/>
    <w:rPr>
      <w:b/>
      <w:bCs/>
    </w:rPr>
  </w:style>
  <w:style w:type="character" w:customStyle="1" w:styleId="CommentSubjectChar">
    <w:name w:val="Comment Subject Char"/>
    <w:basedOn w:val="CommentTextChar"/>
    <w:link w:val="CommentSubject"/>
    <w:uiPriority w:val="99"/>
    <w:semiHidden/>
    <w:rsid w:val="005F11B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E0B77"/>
    <w:rPr>
      <w:color w:val="800080" w:themeColor="followedHyperlink"/>
      <w:u w:val="single"/>
    </w:rPr>
  </w:style>
  <w:style w:type="paragraph" w:styleId="Header">
    <w:name w:val="header"/>
    <w:basedOn w:val="Normal"/>
    <w:link w:val="HeaderChar"/>
    <w:uiPriority w:val="99"/>
    <w:unhideWhenUsed/>
    <w:rsid w:val="003A26A2"/>
    <w:pPr>
      <w:tabs>
        <w:tab w:val="clear" w:pos="-1440"/>
        <w:tab w:val="center" w:pos="4680"/>
        <w:tab w:val="right" w:pos="9360"/>
      </w:tabs>
    </w:pPr>
  </w:style>
  <w:style w:type="character" w:customStyle="1" w:styleId="HeaderChar">
    <w:name w:val="Header Char"/>
    <w:basedOn w:val="DefaultParagraphFont"/>
    <w:link w:val="Header"/>
    <w:uiPriority w:val="99"/>
    <w:rsid w:val="003A26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6D7"/>
    <w:pPr>
      <w:tabs>
        <w:tab w:val="clear" w:pos="-1440"/>
        <w:tab w:val="center" w:pos="4680"/>
        <w:tab w:val="right" w:pos="9360"/>
      </w:tabs>
    </w:pPr>
  </w:style>
  <w:style w:type="character" w:customStyle="1" w:styleId="FooterChar">
    <w:name w:val="Footer Char"/>
    <w:basedOn w:val="DefaultParagraphFont"/>
    <w:link w:val="Footer"/>
    <w:uiPriority w:val="99"/>
    <w:rsid w:val="000976D7"/>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4497D"/>
    <w:rPr>
      <w:sz w:val="20"/>
      <w:szCs w:val="20"/>
    </w:rPr>
  </w:style>
  <w:style w:type="character" w:customStyle="1" w:styleId="EndnoteTextChar">
    <w:name w:val="Endnote Text Char"/>
    <w:basedOn w:val="DefaultParagraphFont"/>
    <w:link w:val="EndnoteText"/>
    <w:uiPriority w:val="99"/>
    <w:semiHidden/>
    <w:rsid w:val="0074497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449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3e641ef7952f1515311c839278386ed2&amp;rgn=div5&amp;view=text&amp;node=5:3.0.2.3.9&amp;idno=5" TargetMode="External"/><Relationship Id="rId13" Type="http://schemas.openxmlformats.org/officeDocument/2006/relationships/hyperlink" Target="http://www.gpo.gov/fdsys/pkg/FR-2014-05-21/pdf/2014-1143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FR-2011-06-14/html/2011-14383.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gov/privacy-documents-national-protection-and-programs-directorate-npp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gister.gov/articles/2014/02/03/2014-02082/chemical-facility-anti-terrorism-standards-personnel-surety-program" TargetMode="External"/><Relationship Id="rId1" Type="http://schemas.openxmlformats.org/officeDocument/2006/relationships/hyperlink" Target="http://www.federalregister.gov/a/2014-02082/p-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AC716-8D8B-4BE7-A3CE-00BC97EE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6118</Words>
  <Characters>34876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40913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Hortega, Josiah</dc:creator>
  <cp:lastModifiedBy>Stasko, Molly (CTR)</cp:lastModifiedBy>
  <cp:revision>3</cp:revision>
  <cp:lastPrinted>2015-04-24T12:55:00Z</cp:lastPrinted>
  <dcterms:created xsi:type="dcterms:W3CDTF">2015-08-25T12:44:00Z</dcterms:created>
  <dcterms:modified xsi:type="dcterms:W3CDTF">2015-08-25T12:56:00Z</dcterms:modified>
</cp:coreProperties>
</file>