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98D12" w14:textId="77777777" w:rsidR="00B3407F" w:rsidRPr="00B16372" w:rsidRDefault="00B3407F" w:rsidP="0092596C">
      <w:pPr>
        <w:spacing w:after="0" w:line="240" w:lineRule="auto"/>
        <w:jc w:val="center"/>
        <w:rPr>
          <w:rFonts w:ascii="Times New Roman" w:hAnsi="Times New Roman"/>
          <w:sz w:val="24"/>
          <w:szCs w:val="24"/>
        </w:rPr>
      </w:pPr>
      <w:r w:rsidRPr="00B16372">
        <w:rPr>
          <w:rFonts w:ascii="Times New Roman" w:hAnsi="Times New Roman"/>
          <w:sz w:val="24"/>
          <w:szCs w:val="24"/>
        </w:rPr>
        <w:t>Supporting Statement</w:t>
      </w:r>
    </w:p>
    <w:p w14:paraId="64898D13" w14:textId="77777777" w:rsidR="00B3407F" w:rsidRPr="00B16372" w:rsidRDefault="00B3407F" w:rsidP="0092596C">
      <w:pPr>
        <w:spacing w:after="0" w:line="240" w:lineRule="auto"/>
        <w:jc w:val="center"/>
        <w:rPr>
          <w:rFonts w:ascii="Times New Roman" w:hAnsi="Times New Roman"/>
          <w:b/>
          <w:sz w:val="24"/>
          <w:szCs w:val="24"/>
        </w:rPr>
      </w:pPr>
      <w:r w:rsidRPr="00B16372">
        <w:rPr>
          <w:rFonts w:ascii="Times New Roman" w:hAnsi="Times New Roman"/>
          <w:b/>
          <w:sz w:val="24"/>
          <w:szCs w:val="24"/>
        </w:rPr>
        <w:t>FERC-725</w:t>
      </w:r>
      <w:r w:rsidR="007A7A19">
        <w:rPr>
          <w:rFonts w:ascii="Times New Roman" w:hAnsi="Times New Roman"/>
          <w:b/>
          <w:sz w:val="24"/>
          <w:szCs w:val="24"/>
        </w:rPr>
        <w:t>P</w:t>
      </w:r>
      <w:r w:rsidRPr="00B16372">
        <w:rPr>
          <w:rFonts w:ascii="Times New Roman" w:hAnsi="Times New Roman"/>
          <w:b/>
          <w:sz w:val="24"/>
          <w:szCs w:val="24"/>
        </w:rPr>
        <w:t>, Mandatory Reliability Standards</w:t>
      </w:r>
      <w:r w:rsidR="006E33D4">
        <w:rPr>
          <w:rFonts w:ascii="Times New Roman" w:hAnsi="Times New Roman"/>
          <w:b/>
          <w:sz w:val="24"/>
          <w:szCs w:val="24"/>
        </w:rPr>
        <w:t>: Reliability Standard</w:t>
      </w:r>
      <w:r w:rsidR="00212FCA">
        <w:rPr>
          <w:rFonts w:ascii="Times New Roman" w:hAnsi="Times New Roman"/>
          <w:b/>
          <w:sz w:val="24"/>
          <w:szCs w:val="24"/>
        </w:rPr>
        <w:t xml:space="preserve"> </w:t>
      </w:r>
      <w:r w:rsidR="007A7A19">
        <w:rPr>
          <w:rFonts w:ascii="Times New Roman" w:hAnsi="Times New Roman"/>
          <w:b/>
          <w:sz w:val="24"/>
          <w:szCs w:val="24"/>
        </w:rPr>
        <w:t>PRC-005-2</w:t>
      </w:r>
    </w:p>
    <w:p w14:paraId="64898D14" w14:textId="77777777" w:rsidR="00C25EF3" w:rsidRPr="00B16372" w:rsidRDefault="00C25EF3" w:rsidP="00C25EF3">
      <w:pPr>
        <w:spacing w:after="0" w:line="240" w:lineRule="auto"/>
        <w:jc w:val="center"/>
        <w:rPr>
          <w:rFonts w:ascii="Times New Roman" w:hAnsi="Times New Roman"/>
          <w:sz w:val="24"/>
          <w:szCs w:val="24"/>
        </w:rPr>
      </w:pPr>
      <w:r>
        <w:rPr>
          <w:rFonts w:ascii="Times New Roman" w:hAnsi="Times New Roman"/>
          <w:sz w:val="24"/>
          <w:szCs w:val="24"/>
        </w:rPr>
        <w:t>(</w:t>
      </w:r>
      <w:r w:rsidRPr="007A7A19">
        <w:rPr>
          <w:rFonts w:ascii="Times New Roman" w:hAnsi="Times New Roman"/>
          <w:sz w:val="24"/>
          <w:szCs w:val="24"/>
        </w:rPr>
        <w:t>Protection System Maintenance Reliability Standard</w:t>
      </w:r>
      <w:r>
        <w:rPr>
          <w:rFonts w:ascii="Times New Roman" w:hAnsi="Times New Roman"/>
          <w:sz w:val="24"/>
          <w:szCs w:val="24"/>
        </w:rPr>
        <w:t xml:space="preserve">), </w:t>
      </w:r>
    </w:p>
    <w:p w14:paraId="64898D15" w14:textId="2D6BF5B8" w:rsidR="00B3407F" w:rsidRPr="00B16372" w:rsidRDefault="00750E89" w:rsidP="0092596C">
      <w:pPr>
        <w:spacing w:after="0" w:line="240" w:lineRule="auto"/>
        <w:jc w:val="center"/>
        <w:rPr>
          <w:rFonts w:ascii="Times New Roman" w:hAnsi="Times New Roman"/>
          <w:sz w:val="24"/>
          <w:szCs w:val="24"/>
        </w:rPr>
      </w:pPr>
      <w:r>
        <w:rPr>
          <w:rFonts w:ascii="Times New Roman" w:hAnsi="Times New Roman"/>
          <w:sz w:val="24"/>
          <w:szCs w:val="24"/>
        </w:rPr>
        <w:t>Final Rule</w:t>
      </w:r>
      <w:r w:rsidR="00AF32F2" w:rsidRPr="00B16372">
        <w:rPr>
          <w:rFonts w:ascii="Times New Roman" w:hAnsi="Times New Roman"/>
          <w:sz w:val="24"/>
          <w:szCs w:val="24"/>
        </w:rPr>
        <w:t xml:space="preserve"> in</w:t>
      </w:r>
      <w:r w:rsidR="00B3407F" w:rsidRPr="00B16372">
        <w:rPr>
          <w:rFonts w:ascii="Times New Roman" w:hAnsi="Times New Roman"/>
          <w:sz w:val="24"/>
          <w:szCs w:val="24"/>
        </w:rPr>
        <w:t xml:space="preserve"> RM1</w:t>
      </w:r>
      <w:r w:rsidR="007A7A19">
        <w:rPr>
          <w:rFonts w:ascii="Times New Roman" w:hAnsi="Times New Roman"/>
          <w:sz w:val="24"/>
          <w:szCs w:val="24"/>
        </w:rPr>
        <w:t>3</w:t>
      </w:r>
      <w:r w:rsidR="00B3407F" w:rsidRPr="00B16372">
        <w:rPr>
          <w:rFonts w:ascii="Times New Roman" w:hAnsi="Times New Roman"/>
          <w:sz w:val="24"/>
          <w:szCs w:val="24"/>
        </w:rPr>
        <w:t>-</w:t>
      </w:r>
      <w:r w:rsidR="007A7A19">
        <w:rPr>
          <w:rFonts w:ascii="Times New Roman" w:hAnsi="Times New Roman"/>
          <w:sz w:val="24"/>
          <w:szCs w:val="24"/>
        </w:rPr>
        <w:t>7</w:t>
      </w:r>
      <w:r w:rsidR="00B3407F" w:rsidRPr="00B16372">
        <w:rPr>
          <w:rFonts w:ascii="Times New Roman" w:hAnsi="Times New Roman"/>
          <w:sz w:val="24"/>
          <w:szCs w:val="24"/>
        </w:rPr>
        <w:t>-000</w:t>
      </w:r>
    </w:p>
    <w:p w14:paraId="64898D16" w14:textId="77777777" w:rsidR="00FD66F1" w:rsidRPr="00B16372" w:rsidRDefault="00FD66F1" w:rsidP="0092596C">
      <w:pPr>
        <w:spacing w:after="0" w:line="240" w:lineRule="auto"/>
        <w:rPr>
          <w:rFonts w:ascii="Times New Roman" w:hAnsi="Times New Roman" w:cs="Times New Roman"/>
          <w:sz w:val="24"/>
          <w:szCs w:val="24"/>
        </w:rPr>
      </w:pPr>
    </w:p>
    <w:p w14:paraId="64898D17" w14:textId="66CB8331" w:rsidR="00333EE2" w:rsidRDefault="00333EE2" w:rsidP="00333EE2">
      <w:pPr>
        <w:spacing w:after="0" w:line="240" w:lineRule="auto"/>
        <w:rPr>
          <w:rFonts w:ascii="Times New Roman" w:hAnsi="Times New Roman"/>
          <w:sz w:val="24"/>
          <w:szCs w:val="24"/>
        </w:rPr>
      </w:pPr>
      <w:r>
        <w:rPr>
          <w:rFonts w:ascii="Times New Roman" w:hAnsi="Times New Roman" w:cs="Times New Roman"/>
          <w:sz w:val="24"/>
          <w:szCs w:val="24"/>
        </w:rPr>
        <w:t xml:space="preserve">In </w:t>
      </w:r>
      <w:r w:rsidR="007A7A19">
        <w:rPr>
          <w:rFonts w:ascii="Times New Roman" w:hAnsi="Times New Roman" w:cs="Times New Roman"/>
          <w:sz w:val="24"/>
          <w:szCs w:val="24"/>
        </w:rPr>
        <w:t xml:space="preserve">Docket </w:t>
      </w:r>
      <w:r>
        <w:rPr>
          <w:rFonts w:ascii="Times New Roman" w:hAnsi="Times New Roman" w:cs="Times New Roman"/>
          <w:sz w:val="24"/>
          <w:szCs w:val="24"/>
        </w:rPr>
        <w:t>RM13-</w:t>
      </w:r>
      <w:r w:rsidR="007A7A19">
        <w:rPr>
          <w:rFonts w:ascii="Times New Roman" w:hAnsi="Times New Roman" w:cs="Times New Roman"/>
          <w:sz w:val="24"/>
          <w:szCs w:val="24"/>
        </w:rPr>
        <w:t>7</w:t>
      </w:r>
      <w:r w:rsidR="005B4642">
        <w:rPr>
          <w:rFonts w:ascii="Times New Roman" w:hAnsi="Times New Roman" w:cs="Times New Roman"/>
          <w:sz w:val="24"/>
          <w:szCs w:val="24"/>
        </w:rPr>
        <w:t xml:space="preserve"> </w:t>
      </w:r>
      <w:r w:rsidR="007A7A19">
        <w:rPr>
          <w:rFonts w:ascii="Times New Roman" w:hAnsi="Times New Roman" w:cs="Times New Roman"/>
          <w:sz w:val="24"/>
          <w:szCs w:val="24"/>
        </w:rPr>
        <w:t>t</w:t>
      </w:r>
      <w:r w:rsidR="007A7A19" w:rsidRPr="007A7A19">
        <w:rPr>
          <w:rFonts w:ascii="Times New Roman" w:hAnsi="Times New Roman" w:cs="Times New Roman"/>
          <w:sz w:val="24"/>
          <w:szCs w:val="24"/>
        </w:rPr>
        <w:t>he Commission approve</w:t>
      </w:r>
      <w:r w:rsidR="00750E89">
        <w:rPr>
          <w:rFonts w:ascii="Times New Roman" w:hAnsi="Times New Roman" w:cs="Times New Roman"/>
          <w:sz w:val="24"/>
          <w:szCs w:val="24"/>
        </w:rPr>
        <w:t>s</w:t>
      </w:r>
      <w:r w:rsidR="007A7A19" w:rsidRPr="007A7A19">
        <w:rPr>
          <w:rFonts w:ascii="Times New Roman" w:hAnsi="Times New Roman" w:cs="Times New Roman"/>
          <w:sz w:val="24"/>
          <w:szCs w:val="24"/>
        </w:rPr>
        <w:t xml:space="preserve"> Reliability Standard PRC-005-2, which replace</w:t>
      </w:r>
      <w:r w:rsidR="00750E89">
        <w:rPr>
          <w:rFonts w:ascii="Times New Roman" w:hAnsi="Times New Roman" w:cs="Times New Roman"/>
          <w:sz w:val="24"/>
          <w:szCs w:val="24"/>
        </w:rPr>
        <w:t>s</w:t>
      </w:r>
      <w:r w:rsidR="007A7A19" w:rsidRPr="007A7A19">
        <w:rPr>
          <w:rFonts w:ascii="Times New Roman" w:hAnsi="Times New Roman" w:cs="Times New Roman"/>
          <w:sz w:val="24"/>
          <w:szCs w:val="24"/>
        </w:rPr>
        <w:t xml:space="preserve"> PRC-005-1.1b (Transmission and Generation Protection System Maintenance and Testing), PRC-008-0 (</w:t>
      </w:r>
      <w:proofErr w:type="spellStart"/>
      <w:r w:rsidR="007A7A19" w:rsidRPr="007A7A19">
        <w:rPr>
          <w:rFonts w:ascii="Times New Roman" w:hAnsi="Times New Roman" w:cs="Times New Roman"/>
          <w:sz w:val="24"/>
          <w:szCs w:val="24"/>
        </w:rPr>
        <w:t>Underfrequency</w:t>
      </w:r>
      <w:proofErr w:type="spellEnd"/>
      <w:r w:rsidR="007A7A19" w:rsidRPr="007A7A19">
        <w:rPr>
          <w:rFonts w:ascii="Times New Roman" w:hAnsi="Times New Roman" w:cs="Times New Roman"/>
          <w:sz w:val="24"/>
          <w:szCs w:val="24"/>
        </w:rPr>
        <w:t xml:space="preserve"> Load Shedding Equipment Maintenance), PRC-011-0 (</w:t>
      </w:r>
      <w:proofErr w:type="spellStart"/>
      <w:r w:rsidR="007A7A19" w:rsidRPr="007A7A19">
        <w:rPr>
          <w:rFonts w:ascii="Times New Roman" w:hAnsi="Times New Roman" w:cs="Times New Roman"/>
          <w:sz w:val="24"/>
          <w:szCs w:val="24"/>
        </w:rPr>
        <w:t>Undervoltage</w:t>
      </w:r>
      <w:proofErr w:type="spellEnd"/>
      <w:r w:rsidR="007A7A19" w:rsidRPr="007A7A19">
        <w:rPr>
          <w:rFonts w:ascii="Times New Roman" w:hAnsi="Times New Roman" w:cs="Times New Roman"/>
          <w:sz w:val="24"/>
          <w:szCs w:val="24"/>
        </w:rPr>
        <w:t xml:space="preserve"> Load Shedding Equipment Maintenance) and PRC-017-0 (Special Protection System Maintenance and Testing).  The Reliability Standard combines the requirements for maintenance and testing of protection systems, special protection systems, </w:t>
      </w:r>
      <w:proofErr w:type="spellStart"/>
      <w:r w:rsidR="007A7A19" w:rsidRPr="007A7A19">
        <w:rPr>
          <w:rFonts w:ascii="Times New Roman" w:hAnsi="Times New Roman" w:cs="Times New Roman"/>
          <w:sz w:val="24"/>
          <w:szCs w:val="24"/>
        </w:rPr>
        <w:t>underfrequency</w:t>
      </w:r>
      <w:proofErr w:type="spellEnd"/>
      <w:r w:rsidR="007A7A19" w:rsidRPr="007A7A19">
        <w:rPr>
          <w:rFonts w:ascii="Times New Roman" w:hAnsi="Times New Roman" w:cs="Times New Roman"/>
          <w:sz w:val="24"/>
          <w:szCs w:val="24"/>
        </w:rPr>
        <w:t xml:space="preserve"> load shedding equipment, and </w:t>
      </w:r>
      <w:proofErr w:type="spellStart"/>
      <w:r w:rsidR="007A7A19" w:rsidRPr="007A7A19">
        <w:rPr>
          <w:rFonts w:ascii="Times New Roman" w:hAnsi="Times New Roman" w:cs="Times New Roman"/>
          <w:sz w:val="24"/>
          <w:szCs w:val="24"/>
        </w:rPr>
        <w:t>undervoltage</w:t>
      </w:r>
      <w:proofErr w:type="spellEnd"/>
      <w:r w:rsidR="007A7A19" w:rsidRPr="007A7A19">
        <w:rPr>
          <w:rFonts w:ascii="Times New Roman" w:hAnsi="Times New Roman" w:cs="Times New Roman"/>
          <w:sz w:val="24"/>
          <w:szCs w:val="24"/>
        </w:rPr>
        <w:t xml:space="preserve"> load shedding equipment into one, comprehensive standard.  In addition, the Reliability Standard sets out minimum maintenance activities and maximum maintenance intervals for the various components of these systems, but also allows applicable entities to adopt performance-based maintenance intervals in certain circumstances.</w:t>
      </w:r>
    </w:p>
    <w:p w14:paraId="64898D18" w14:textId="77777777" w:rsidR="00333EE2" w:rsidRDefault="00333EE2" w:rsidP="00333EE2">
      <w:pPr>
        <w:spacing w:after="0" w:line="240" w:lineRule="auto"/>
        <w:rPr>
          <w:rFonts w:ascii="Times New Roman" w:hAnsi="Times New Roman"/>
          <w:sz w:val="24"/>
          <w:szCs w:val="24"/>
        </w:rPr>
      </w:pPr>
    </w:p>
    <w:p w14:paraId="64898D19" w14:textId="25CA0094" w:rsidR="0081469B" w:rsidRDefault="00333EE2" w:rsidP="0081469B">
      <w:pPr>
        <w:spacing w:after="0" w:line="240" w:lineRule="auto"/>
        <w:rPr>
          <w:rFonts w:ascii="Times New Roman" w:hAnsi="Times New Roman"/>
          <w:sz w:val="24"/>
          <w:szCs w:val="24"/>
        </w:rPr>
      </w:pPr>
      <w:r>
        <w:rPr>
          <w:rFonts w:ascii="Times New Roman" w:hAnsi="Times New Roman"/>
          <w:sz w:val="24"/>
          <w:szCs w:val="24"/>
        </w:rPr>
        <w:t>The underlying information collection requireme</w:t>
      </w:r>
      <w:r w:rsidR="007A7A19">
        <w:rPr>
          <w:rFonts w:ascii="Times New Roman" w:hAnsi="Times New Roman"/>
          <w:sz w:val="24"/>
          <w:szCs w:val="24"/>
        </w:rPr>
        <w:t xml:space="preserve">nts in the Reliability Standard </w:t>
      </w:r>
      <w:r>
        <w:rPr>
          <w:rFonts w:ascii="Times New Roman" w:hAnsi="Times New Roman"/>
          <w:sz w:val="24"/>
          <w:szCs w:val="24"/>
        </w:rPr>
        <w:t>(</w:t>
      </w:r>
      <w:r w:rsidR="007A7A19">
        <w:rPr>
          <w:rFonts w:ascii="Times New Roman" w:hAnsi="Times New Roman"/>
          <w:sz w:val="24"/>
          <w:szCs w:val="24"/>
        </w:rPr>
        <w:t>PRC-005-2</w:t>
      </w:r>
      <w:r>
        <w:rPr>
          <w:rFonts w:ascii="Times New Roman" w:hAnsi="Times New Roman"/>
          <w:sz w:val="24"/>
          <w:szCs w:val="24"/>
        </w:rPr>
        <w:t>) are approved by OMB under FERC-725A (</w:t>
      </w:r>
      <w:r w:rsidR="001F1AD2">
        <w:rPr>
          <w:rFonts w:ascii="Times New Roman" w:hAnsi="Times New Roman"/>
          <w:sz w:val="24"/>
          <w:szCs w:val="24"/>
        </w:rPr>
        <w:t>OMB Control No.</w:t>
      </w:r>
      <w:r>
        <w:rPr>
          <w:rFonts w:ascii="Times New Roman" w:hAnsi="Times New Roman"/>
          <w:sz w:val="24"/>
          <w:szCs w:val="24"/>
        </w:rPr>
        <w:t>1902-0244).</w:t>
      </w:r>
    </w:p>
    <w:p w14:paraId="64898D1A" w14:textId="77777777" w:rsidR="0081469B" w:rsidRDefault="0081469B" w:rsidP="0081469B">
      <w:pPr>
        <w:spacing w:after="0" w:line="240" w:lineRule="auto"/>
        <w:rPr>
          <w:rFonts w:ascii="Times New Roman" w:hAnsi="Times New Roman"/>
          <w:sz w:val="24"/>
          <w:szCs w:val="24"/>
        </w:rPr>
      </w:pPr>
    </w:p>
    <w:p w14:paraId="64898D1B" w14:textId="282D37D3" w:rsidR="00333EE2" w:rsidRPr="00E16E70" w:rsidRDefault="00333EE2" w:rsidP="007A7A19">
      <w:pPr>
        <w:spacing w:after="0" w:line="240" w:lineRule="auto"/>
        <w:rPr>
          <w:rFonts w:ascii="Times New Roman" w:hAnsi="Times New Roman" w:cs="Times New Roman"/>
          <w:sz w:val="24"/>
          <w:szCs w:val="24"/>
        </w:rPr>
      </w:pPr>
      <w:r>
        <w:rPr>
          <w:rFonts w:ascii="Times New Roman" w:hAnsi="Times New Roman"/>
          <w:sz w:val="24"/>
          <w:szCs w:val="24"/>
        </w:rPr>
        <w:t>We are submitting this proposed rule under a new collection number and control number because of other rulemakings</w:t>
      </w:r>
      <w:r w:rsidR="003D2DC4">
        <w:rPr>
          <w:rFonts w:ascii="Times New Roman" w:hAnsi="Times New Roman"/>
          <w:sz w:val="24"/>
          <w:szCs w:val="24"/>
        </w:rPr>
        <w:t>,</w:t>
      </w:r>
      <w:r>
        <w:rPr>
          <w:rFonts w:ascii="Times New Roman" w:hAnsi="Times New Roman"/>
          <w:sz w:val="24"/>
          <w:szCs w:val="24"/>
        </w:rPr>
        <w:t xml:space="preserve"> </w:t>
      </w:r>
      <w:r w:rsidR="003D2DC4">
        <w:rPr>
          <w:rFonts w:ascii="Times New Roman" w:hAnsi="Times New Roman"/>
          <w:sz w:val="24"/>
          <w:szCs w:val="24"/>
        </w:rPr>
        <w:t xml:space="preserve">currently pending review at OMB, </w:t>
      </w:r>
      <w:r>
        <w:rPr>
          <w:rFonts w:ascii="Times New Roman" w:hAnsi="Times New Roman"/>
          <w:sz w:val="24"/>
          <w:szCs w:val="24"/>
        </w:rPr>
        <w:t>also affecting the FERC-725A collection.  This new collection (</w:t>
      </w:r>
      <w:r w:rsidR="007A7A19">
        <w:rPr>
          <w:rFonts w:ascii="Times New Roman" w:hAnsi="Times New Roman"/>
          <w:sz w:val="24"/>
          <w:szCs w:val="24"/>
        </w:rPr>
        <w:t>FERC-725P</w:t>
      </w:r>
      <w:r>
        <w:rPr>
          <w:rFonts w:ascii="Times New Roman" w:hAnsi="Times New Roman"/>
          <w:sz w:val="24"/>
          <w:szCs w:val="24"/>
        </w:rPr>
        <w:t>) will only contain the information collection requiremen</w:t>
      </w:r>
      <w:r w:rsidR="00750E89">
        <w:rPr>
          <w:rFonts w:ascii="Times New Roman" w:hAnsi="Times New Roman"/>
          <w:sz w:val="24"/>
          <w:szCs w:val="24"/>
        </w:rPr>
        <w:t>ts that are part of the final</w:t>
      </w:r>
      <w:r>
        <w:rPr>
          <w:rFonts w:ascii="Times New Roman" w:hAnsi="Times New Roman"/>
          <w:sz w:val="24"/>
          <w:szCs w:val="24"/>
        </w:rPr>
        <w:t xml:space="preserve"> rule in</w:t>
      </w:r>
      <w:r w:rsidR="00190012">
        <w:rPr>
          <w:rFonts w:ascii="Times New Roman" w:hAnsi="Times New Roman"/>
          <w:sz w:val="24"/>
          <w:szCs w:val="24"/>
        </w:rPr>
        <w:t xml:space="preserve"> RM13-7</w:t>
      </w:r>
      <w:r>
        <w:rPr>
          <w:rFonts w:ascii="Times New Roman" w:hAnsi="Times New Roman"/>
          <w:sz w:val="24"/>
          <w:szCs w:val="24"/>
        </w:rPr>
        <w:t>.</w:t>
      </w:r>
      <w:r w:rsidR="00190012" w:rsidRPr="00E16E70">
        <w:rPr>
          <w:rFonts w:ascii="Times New Roman" w:hAnsi="Times New Roman" w:cs="Times New Roman"/>
          <w:sz w:val="24"/>
          <w:szCs w:val="24"/>
        </w:rPr>
        <w:t xml:space="preserve"> </w:t>
      </w:r>
    </w:p>
    <w:p w14:paraId="64898D1C" w14:textId="77777777" w:rsidR="0002242D" w:rsidRPr="00B16372" w:rsidRDefault="0002242D" w:rsidP="0092596C">
      <w:pPr>
        <w:spacing w:after="0" w:line="240" w:lineRule="auto"/>
        <w:rPr>
          <w:rFonts w:ascii="Times New Roman" w:hAnsi="Times New Roman" w:cs="Times New Roman"/>
          <w:sz w:val="24"/>
          <w:szCs w:val="24"/>
        </w:rPr>
      </w:pPr>
    </w:p>
    <w:p w14:paraId="64898D1D" w14:textId="77777777" w:rsidR="00A72E7B" w:rsidRPr="00B16372" w:rsidRDefault="00A72E7B"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CIRCUMSTANCES THAT MAKE THE COLLECTION OF INFORMATION NECESSARY</w:t>
      </w:r>
    </w:p>
    <w:p w14:paraId="64898D1E" w14:textId="77777777" w:rsidR="00A72E7B" w:rsidRPr="00B16372" w:rsidRDefault="00A72E7B" w:rsidP="0092596C">
      <w:pPr>
        <w:spacing w:after="0" w:line="240" w:lineRule="auto"/>
        <w:rPr>
          <w:rFonts w:ascii="Times New Roman" w:hAnsi="Times New Roman" w:cs="Times New Roman"/>
          <w:sz w:val="24"/>
          <w:szCs w:val="24"/>
        </w:rPr>
      </w:pPr>
    </w:p>
    <w:p w14:paraId="64898D1F" w14:textId="5184E49D" w:rsidR="00DF401D" w:rsidRPr="00B16372" w:rsidRDefault="00DF401D" w:rsidP="0092596C">
      <w:pPr>
        <w:pStyle w:val="FERCparanumber"/>
        <w:widowControl/>
        <w:numPr>
          <w:ilvl w:val="0"/>
          <w:numId w:val="0"/>
        </w:numPr>
        <w:spacing w:line="240" w:lineRule="auto"/>
        <w:rPr>
          <w:sz w:val="24"/>
        </w:rPr>
      </w:pPr>
      <w:r w:rsidRPr="00B16372">
        <w:rPr>
          <w:sz w:val="24"/>
        </w:rPr>
        <w:t>On August 8, 2005, The Electricity Modernization Act of 2005, which is Title XII of the Energy Policy Act of 2005 (EPAct 2005), was enacted into law.</w:t>
      </w:r>
      <w:r w:rsidRPr="00B16372">
        <w:rPr>
          <w:rStyle w:val="FootnoteReference"/>
          <w:sz w:val="24"/>
          <w:vertAlign w:val="superscript"/>
        </w:rPr>
        <w:footnoteReference w:id="1"/>
      </w:r>
      <w:r w:rsidRPr="00B16372">
        <w:rPr>
          <w:sz w:val="24"/>
        </w:rPr>
        <w:t xml:space="preserve">  EPAct 2005 added a new section 215 to the Federal Power Act (FPA), which requires a Commission-certified Electric Reliability Organization (ERO) to develop mandatory and enforceable Reliability Standards, which are subject to Commission review and approval.  Once approved</w:t>
      </w:r>
      <w:r w:rsidR="0081469B">
        <w:rPr>
          <w:sz w:val="24"/>
        </w:rPr>
        <w:t>,</w:t>
      </w:r>
      <w:r w:rsidRPr="00B16372">
        <w:rPr>
          <w:sz w:val="24"/>
        </w:rPr>
        <w:t xml:space="preserve"> the Reliability Standards m</w:t>
      </w:r>
      <w:r w:rsidR="00F9136F">
        <w:rPr>
          <w:sz w:val="24"/>
        </w:rPr>
        <w:t>ust</w:t>
      </w:r>
      <w:r w:rsidRPr="00B16372">
        <w:rPr>
          <w:sz w:val="24"/>
        </w:rPr>
        <w:t xml:space="preserve"> be enforced by the ERO subject to Commission oversight. </w:t>
      </w:r>
    </w:p>
    <w:p w14:paraId="64898D20" w14:textId="77777777" w:rsidR="00DF401D" w:rsidRPr="00B16372" w:rsidRDefault="00DF401D" w:rsidP="0092596C">
      <w:pPr>
        <w:spacing w:after="0" w:line="240" w:lineRule="auto"/>
        <w:rPr>
          <w:rFonts w:ascii="Times New Roman" w:hAnsi="Times New Roman" w:cs="Times New Roman"/>
          <w:sz w:val="24"/>
          <w:szCs w:val="24"/>
        </w:rPr>
      </w:pPr>
    </w:p>
    <w:p w14:paraId="64898D21" w14:textId="7243335F" w:rsidR="00190012" w:rsidRDefault="00E05FA3" w:rsidP="00190012">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On March 16, 2007, in Order No. 693, pursuant to section 215(d) of the FPA, the Commission approved 83 of 107 proposed Reliability Standards, six of the eight proposed regional differences, and the North American Electric Reliability Corporation (NERC) </w:t>
      </w:r>
      <w:r w:rsidRPr="00B16372">
        <w:rPr>
          <w:rFonts w:ascii="Times New Roman" w:hAnsi="Times New Roman" w:cs="Times New Roman"/>
          <w:i/>
          <w:sz w:val="24"/>
          <w:szCs w:val="24"/>
        </w:rPr>
        <w:t>Glossary of Terms Used in Reliability Standards</w:t>
      </w:r>
      <w:r w:rsidRPr="00B16372">
        <w:rPr>
          <w:rFonts w:ascii="Times New Roman" w:hAnsi="Times New Roman" w:cs="Times New Roman"/>
          <w:sz w:val="24"/>
          <w:szCs w:val="24"/>
        </w:rPr>
        <w:t xml:space="preserve"> (NERC Glossary), </w:t>
      </w:r>
      <w:r w:rsidR="00190012" w:rsidRPr="00190012">
        <w:rPr>
          <w:rFonts w:ascii="Times New Roman" w:hAnsi="Times New Roman" w:cs="Times New Roman"/>
          <w:sz w:val="24"/>
          <w:szCs w:val="24"/>
        </w:rPr>
        <w:t xml:space="preserve">including initial versions of four protection system and load-shedding-related maintenance standards </w:t>
      </w:r>
      <w:r w:rsidR="00AF0A0B">
        <w:rPr>
          <w:rFonts w:ascii="Times New Roman" w:hAnsi="Times New Roman" w:cs="Times New Roman"/>
          <w:sz w:val="24"/>
          <w:szCs w:val="24"/>
        </w:rPr>
        <w:t>(</w:t>
      </w:r>
      <w:r w:rsidR="00190012" w:rsidRPr="00190012">
        <w:rPr>
          <w:rFonts w:ascii="Times New Roman" w:hAnsi="Times New Roman" w:cs="Times New Roman"/>
          <w:i/>
          <w:sz w:val="24"/>
          <w:szCs w:val="24"/>
        </w:rPr>
        <w:t xml:space="preserve">i.e., </w:t>
      </w:r>
      <w:r w:rsidR="00190012" w:rsidRPr="00190012">
        <w:rPr>
          <w:rFonts w:ascii="Times New Roman" w:hAnsi="Times New Roman" w:cs="Times New Roman"/>
          <w:sz w:val="24"/>
          <w:szCs w:val="24"/>
        </w:rPr>
        <w:t>PRC-005-1, PRC-008-0, PRC-011-0, and PRC-017-0.</w:t>
      </w:r>
      <w:r w:rsidR="00190012" w:rsidRPr="00190012">
        <w:rPr>
          <w:rFonts w:ascii="Times New Roman" w:hAnsi="Times New Roman" w:cs="Times New Roman"/>
          <w:b/>
          <w:sz w:val="24"/>
          <w:szCs w:val="24"/>
          <w:vertAlign w:val="superscript"/>
        </w:rPr>
        <w:footnoteReference w:id="2"/>
      </w:r>
      <w:r w:rsidR="00AF0A0B">
        <w:rPr>
          <w:rFonts w:ascii="Times New Roman" w:hAnsi="Times New Roman" w:cs="Times New Roman"/>
          <w:sz w:val="24"/>
          <w:szCs w:val="24"/>
        </w:rPr>
        <w:t>)</w:t>
      </w:r>
      <w:r w:rsidR="00190012" w:rsidRPr="00190012">
        <w:rPr>
          <w:rFonts w:ascii="Times New Roman" w:hAnsi="Times New Roman" w:cs="Times New Roman"/>
          <w:sz w:val="24"/>
          <w:szCs w:val="24"/>
        </w:rPr>
        <w:t xml:space="preserve"> </w:t>
      </w:r>
    </w:p>
    <w:p w14:paraId="64898D22" w14:textId="77777777" w:rsidR="00190012" w:rsidRPr="00190012" w:rsidRDefault="00190012" w:rsidP="00190012">
      <w:pPr>
        <w:spacing w:after="0" w:line="240" w:lineRule="auto"/>
        <w:rPr>
          <w:rFonts w:ascii="Times New Roman" w:hAnsi="Times New Roman" w:cs="Times New Roman"/>
          <w:sz w:val="24"/>
          <w:szCs w:val="24"/>
        </w:rPr>
      </w:pPr>
    </w:p>
    <w:p w14:paraId="64898D23" w14:textId="77777777" w:rsidR="00190012" w:rsidRPr="00190012" w:rsidRDefault="00190012" w:rsidP="00190012">
      <w:pPr>
        <w:spacing w:after="0" w:line="240" w:lineRule="auto"/>
        <w:rPr>
          <w:rFonts w:ascii="Times New Roman" w:eastAsia="Times New Roman" w:hAnsi="Times New Roman" w:cs="Times New Roman"/>
          <w:sz w:val="24"/>
          <w:szCs w:val="24"/>
        </w:rPr>
      </w:pPr>
      <w:r w:rsidRPr="00190012">
        <w:rPr>
          <w:rFonts w:ascii="Times New Roman" w:eastAsia="Times New Roman" w:hAnsi="Times New Roman" w:cs="Times New Roman"/>
          <w:sz w:val="24"/>
          <w:szCs w:val="24"/>
        </w:rPr>
        <w:t xml:space="preserve">In approving these protection system-related Reliability Standards, the Commission directed NERC to develop or to consider a number of modifications.  Specifically, the Commission directed NERC to (1) develop a revision to PRC-005-1 incorporating a maximum time interval during which to conduct maintenance and testing of protection systems, and (2) consider combining into one standard the various maintenance and testing requirements for all of the maintenance and testing-related Reliability Standards for protection systems, </w:t>
      </w:r>
      <w:proofErr w:type="spellStart"/>
      <w:r w:rsidRPr="00190012">
        <w:rPr>
          <w:rFonts w:ascii="Times New Roman" w:eastAsia="Times New Roman" w:hAnsi="Times New Roman" w:cs="Times New Roman"/>
          <w:sz w:val="24"/>
          <w:szCs w:val="24"/>
        </w:rPr>
        <w:t>underfrequency</w:t>
      </w:r>
      <w:proofErr w:type="spellEnd"/>
      <w:r w:rsidRPr="00190012">
        <w:rPr>
          <w:rFonts w:ascii="Times New Roman" w:eastAsia="Times New Roman" w:hAnsi="Times New Roman" w:cs="Times New Roman"/>
          <w:sz w:val="24"/>
          <w:szCs w:val="24"/>
        </w:rPr>
        <w:t xml:space="preserve"> load shedding (UFLS) equipment and </w:t>
      </w:r>
      <w:proofErr w:type="spellStart"/>
      <w:r w:rsidRPr="00190012">
        <w:rPr>
          <w:rFonts w:ascii="Times New Roman" w:eastAsia="Times New Roman" w:hAnsi="Times New Roman" w:cs="Times New Roman"/>
          <w:sz w:val="24"/>
          <w:szCs w:val="24"/>
        </w:rPr>
        <w:t>undervoltage</w:t>
      </w:r>
      <w:proofErr w:type="spellEnd"/>
      <w:r w:rsidRPr="00190012">
        <w:rPr>
          <w:rFonts w:ascii="Times New Roman" w:eastAsia="Times New Roman" w:hAnsi="Times New Roman" w:cs="Times New Roman"/>
          <w:sz w:val="24"/>
          <w:szCs w:val="24"/>
        </w:rPr>
        <w:t xml:space="preserve"> load shedding (UVLS) equipment.</w:t>
      </w:r>
      <w:r w:rsidRPr="00190012">
        <w:rPr>
          <w:rFonts w:ascii="Times New Roman" w:eastAsia="Times New Roman" w:hAnsi="Times New Roman" w:cs="Times New Roman"/>
          <w:b/>
          <w:sz w:val="24"/>
          <w:szCs w:val="24"/>
          <w:vertAlign w:val="superscript"/>
        </w:rPr>
        <w:footnoteReference w:id="3"/>
      </w:r>
      <w:r w:rsidRPr="00190012">
        <w:rPr>
          <w:rFonts w:ascii="Times New Roman" w:eastAsia="Times New Roman" w:hAnsi="Times New Roman" w:cs="Times New Roman"/>
          <w:sz w:val="24"/>
          <w:szCs w:val="24"/>
        </w:rPr>
        <w:t xml:space="preserve">  </w:t>
      </w:r>
    </w:p>
    <w:p w14:paraId="64898D24" w14:textId="77777777" w:rsidR="00190012" w:rsidRDefault="00190012" w:rsidP="00190012">
      <w:pPr>
        <w:spacing w:after="0" w:line="240" w:lineRule="auto"/>
        <w:rPr>
          <w:rFonts w:ascii="Times New Roman" w:eastAsia="Times New Roman" w:hAnsi="Times New Roman" w:cs="Times New Roman"/>
          <w:sz w:val="24"/>
          <w:szCs w:val="24"/>
        </w:rPr>
      </w:pPr>
    </w:p>
    <w:p w14:paraId="64898D25" w14:textId="77777777" w:rsidR="00190012" w:rsidRPr="00190012" w:rsidRDefault="00190012" w:rsidP="00190012">
      <w:pPr>
        <w:spacing w:after="0" w:line="240" w:lineRule="auto"/>
        <w:rPr>
          <w:rFonts w:ascii="Times New Roman" w:eastAsia="Times New Roman" w:hAnsi="Times New Roman" w:cs="Times New Roman"/>
          <w:sz w:val="24"/>
          <w:szCs w:val="24"/>
        </w:rPr>
      </w:pPr>
      <w:r w:rsidRPr="00190012">
        <w:rPr>
          <w:rFonts w:ascii="Times New Roman" w:eastAsia="Times New Roman" w:hAnsi="Times New Roman" w:cs="Times New Roman"/>
          <w:sz w:val="24"/>
          <w:szCs w:val="24"/>
        </w:rPr>
        <w:t>In a subsequent order, issued in response to NERC’s request for approval of its interpretation of PRC-005-1 (Order No. 758), the Commission issued three additional directives, addressing deficiencies in the existing version of Reliability Standard PRC-005.</w:t>
      </w:r>
      <w:r w:rsidRPr="00190012">
        <w:rPr>
          <w:rFonts w:ascii="Times New Roman" w:eastAsia="Times New Roman" w:hAnsi="Times New Roman" w:cs="Times New Roman"/>
          <w:b/>
          <w:sz w:val="24"/>
          <w:szCs w:val="24"/>
          <w:vertAlign w:val="superscript"/>
        </w:rPr>
        <w:footnoteReference w:id="4"/>
      </w:r>
      <w:r w:rsidRPr="00190012">
        <w:rPr>
          <w:rFonts w:ascii="Times New Roman" w:eastAsia="Times New Roman" w:hAnsi="Times New Roman" w:cs="Times New Roman"/>
          <w:sz w:val="24"/>
          <w:szCs w:val="24"/>
        </w:rPr>
        <w:t xml:space="preserve">  The Commission directed NERC to modify Reliability Standard PRC-005-1, through its standards development process, to (1) identify and include the auxiliary relays and non-electrical sensing devices designed to sense or take action against any abnormal system condition that will affect reliable operation (such as sudden pressure relays); (2) include specific requirements for maintenance and testing of reclosing relays that affect the reliable operation of the bulk-power system; and (3) include specific requirements for maintenance and testing of DC control circuitry. </w:t>
      </w:r>
    </w:p>
    <w:p w14:paraId="64898D26" w14:textId="77777777" w:rsidR="00E05FA3" w:rsidRDefault="00E05FA3" w:rsidP="0092596C">
      <w:pPr>
        <w:spacing w:after="0" w:line="240" w:lineRule="auto"/>
        <w:rPr>
          <w:rFonts w:ascii="Times New Roman" w:eastAsia="Times New Roman" w:hAnsi="Times New Roman" w:cs="Times New Roman"/>
          <w:sz w:val="24"/>
          <w:szCs w:val="24"/>
        </w:rPr>
      </w:pPr>
    </w:p>
    <w:p w14:paraId="64898D27" w14:textId="397B2502" w:rsidR="00190012" w:rsidRPr="00190012" w:rsidRDefault="00190012" w:rsidP="00190012">
      <w:pPr>
        <w:spacing w:after="0" w:line="240" w:lineRule="auto"/>
        <w:rPr>
          <w:rFonts w:ascii="Times New Roman" w:eastAsia="Times New Roman" w:hAnsi="Times New Roman" w:cs="Times New Roman"/>
          <w:sz w:val="24"/>
          <w:szCs w:val="24"/>
        </w:rPr>
      </w:pPr>
      <w:r w:rsidRPr="00190012">
        <w:rPr>
          <w:rFonts w:ascii="Times New Roman" w:eastAsia="Times New Roman" w:hAnsi="Times New Roman" w:cs="Times New Roman"/>
          <w:sz w:val="24"/>
          <w:szCs w:val="24"/>
        </w:rPr>
        <w:t>On February 26, 2013, NERC submitted a petition seeking approval of Reliability Standard PRC-005-2, six new definitions associated with that standard, and a proposed implementation plan that includes retirement of the four currently-effective Reliability Standards that address maintenance and testing of transmission and generation protection systems, UFLS and UVLS equipment, and special pro</w:t>
      </w:r>
      <w:r w:rsidR="00D913E8">
        <w:rPr>
          <w:rFonts w:ascii="Times New Roman" w:eastAsia="Times New Roman" w:hAnsi="Times New Roman" w:cs="Times New Roman"/>
          <w:sz w:val="24"/>
          <w:szCs w:val="24"/>
        </w:rPr>
        <w:t>tection systems.  NERC maintained</w:t>
      </w:r>
      <w:r w:rsidRPr="00190012">
        <w:rPr>
          <w:rFonts w:ascii="Times New Roman" w:eastAsia="Times New Roman" w:hAnsi="Times New Roman" w:cs="Times New Roman"/>
          <w:sz w:val="24"/>
          <w:szCs w:val="24"/>
        </w:rPr>
        <w:t xml:space="preserve"> that the Reliability Standard not only consolidates the four currently-effective standards into a single standard, but also addresses the directives in Order No. 693 related to those standards.</w:t>
      </w:r>
      <w:r w:rsidRPr="00190012">
        <w:rPr>
          <w:rFonts w:ascii="Times New Roman" w:eastAsia="Times New Roman" w:hAnsi="Times New Roman" w:cs="Times New Roman"/>
          <w:b/>
          <w:sz w:val="24"/>
          <w:szCs w:val="24"/>
          <w:vertAlign w:val="superscript"/>
        </w:rPr>
        <w:footnoteReference w:id="5"/>
      </w:r>
    </w:p>
    <w:p w14:paraId="64898D28" w14:textId="77777777" w:rsidR="00190012" w:rsidRDefault="00190012" w:rsidP="00190012">
      <w:pPr>
        <w:spacing w:after="0" w:line="240" w:lineRule="auto"/>
        <w:rPr>
          <w:rFonts w:ascii="Times New Roman" w:eastAsia="Times New Roman" w:hAnsi="Times New Roman" w:cs="Times New Roman"/>
          <w:sz w:val="24"/>
          <w:szCs w:val="24"/>
        </w:rPr>
      </w:pPr>
    </w:p>
    <w:p w14:paraId="64898D29" w14:textId="57A8F5E0" w:rsidR="00190012" w:rsidRDefault="00D913E8" w:rsidP="001900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NERC said</w:t>
      </w:r>
      <w:r w:rsidR="00190012" w:rsidRPr="00190012">
        <w:rPr>
          <w:rFonts w:ascii="Times New Roman" w:eastAsia="Times New Roman" w:hAnsi="Times New Roman" w:cs="Times New Roman"/>
          <w:sz w:val="24"/>
          <w:szCs w:val="24"/>
        </w:rPr>
        <w:t xml:space="preserve"> that the proposed standard will improve reliability by: </w:t>
      </w:r>
    </w:p>
    <w:p w14:paraId="64898D2A" w14:textId="77777777" w:rsidR="00190012" w:rsidRPr="00190012" w:rsidRDefault="00190012" w:rsidP="00190012">
      <w:pPr>
        <w:spacing w:after="0" w:line="240" w:lineRule="auto"/>
        <w:rPr>
          <w:rFonts w:ascii="Times New Roman" w:eastAsia="Times New Roman" w:hAnsi="Times New Roman" w:cs="Times New Roman"/>
          <w:sz w:val="24"/>
          <w:szCs w:val="24"/>
        </w:rPr>
      </w:pPr>
    </w:p>
    <w:p w14:paraId="63795148" w14:textId="77777777" w:rsidR="0096162C" w:rsidRDefault="00190012" w:rsidP="0096162C">
      <w:pPr>
        <w:pStyle w:val="ListParagraph"/>
        <w:numPr>
          <w:ilvl w:val="0"/>
          <w:numId w:val="19"/>
        </w:numPr>
        <w:spacing w:after="0" w:line="240" w:lineRule="auto"/>
        <w:rPr>
          <w:rFonts w:ascii="Times New Roman" w:eastAsia="Times New Roman" w:hAnsi="Times New Roman" w:cs="Times New Roman"/>
          <w:sz w:val="24"/>
          <w:szCs w:val="24"/>
        </w:rPr>
      </w:pPr>
      <w:r w:rsidRPr="0096162C">
        <w:rPr>
          <w:rFonts w:ascii="Times New Roman" w:eastAsia="Times New Roman" w:hAnsi="Times New Roman" w:cs="Times New Roman"/>
          <w:sz w:val="24"/>
          <w:szCs w:val="24"/>
        </w:rPr>
        <w:t>(</w:t>
      </w:r>
      <w:proofErr w:type="spellStart"/>
      <w:r w:rsidRPr="0096162C">
        <w:rPr>
          <w:rFonts w:ascii="Times New Roman" w:eastAsia="Times New Roman" w:hAnsi="Times New Roman" w:cs="Times New Roman"/>
          <w:sz w:val="24"/>
          <w:szCs w:val="24"/>
        </w:rPr>
        <w:t>i</w:t>
      </w:r>
      <w:proofErr w:type="spellEnd"/>
      <w:r w:rsidRPr="0096162C">
        <w:rPr>
          <w:rFonts w:ascii="Times New Roman" w:eastAsia="Times New Roman" w:hAnsi="Times New Roman" w:cs="Times New Roman"/>
          <w:sz w:val="24"/>
          <w:szCs w:val="24"/>
        </w:rPr>
        <w:t xml:space="preserve">) defining and establishing criteria for a Protection System Maintenance Program; </w:t>
      </w:r>
    </w:p>
    <w:p w14:paraId="1324E8FA" w14:textId="77777777" w:rsidR="0096162C" w:rsidRDefault="00190012" w:rsidP="0096162C">
      <w:pPr>
        <w:pStyle w:val="ListParagraph"/>
        <w:numPr>
          <w:ilvl w:val="0"/>
          <w:numId w:val="19"/>
        </w:numPr>
        <w:spacing w:after="0" w:line="240" w:lineRule="auto"/>
        <w:rPr>
          <w:rFonts w:ascii="Times New Roman" w:eastAsia="Times New Roman" w:hAnsi="Times New Roman" w:cs="Times New Roman"/>
          <w:sz w:val="24"/>
          <w:szCs w:val="24"/>
        </w:rPr>
      </w:pPr>
      <w:r w:rsidRPr="0096162C">
        <w:rPr>
          <w:rFonts w:ascii="Times New Roman" w:eastAsia="Times New Roman" w:hAnsi="Times New Roman" w:cs="Times New Roman"/>
          <w:sz w:val="24"/>
          <w:szCs w:val="24"/>
        </w:rPr>
        <w:t xml:space="preserve">(ii) reducing the risk of Protection System </w:t>
      </w:r>
      <w:proofErr w:type="spellStart"/>
      <w:r w:rsidRPr="0096162C">
        <w:rPr>
          <w:rFonts w:ascii="Times New Roman" w:eastAsia="Times New Roman" w:hAnsi="Times New Roman" w:cs="Times New Roman"/>
          <w:sz w:val="24"/>
          <w:szCs w:val="24"/>
        </w:rPr>
        <w:t>Misoperations</w:t>
      </w:r>
      <w:proofErr w:type="spellEnd"/>
      <w:r w:rsidRPr="0096162C">
        <w:rPr>
          <w:rFonts w:ascii="Times New Roman" w:eastAsia="Times New Roman" w:hAnsi="Times New Roman" w:cs="Times New Roman"/>
          <w:sz w:val="24"/>
          <w:szCs w:val="24"/>
        </w:rPr>
        <w:t xml:space="preserve">; </w:t>
      </w:r>
    </w:p>
    <w:p w14:paraId="51AC72CB" w14:textId="77777777" w:rsidR="0096162C" w:rsidRDefault="00190012" w:rsidP="0096162C">
      <w:pPr>
        <w:pStyle w:val="ListParagraph"/>
        <w:numPr>
          <w:ilvl w:val="0"/>
          <w:numId w:val="19"/>
        </w:numPr>
        <w:spacing w:after="0" w:line="240" w:lineRule="auto"/>
        <w:rPr>
          <w:rFonts w:ascii="Times New Roman" w:eastAsia="Times New Roman" w:hAnsi="Times New Roman" w:cs="Times New Roman"/>
          <w:sz w:val="24"/>
          <w:szCs w:val="24"/>
        </w:rPr>
      </w:pPr>
      <w:r w:rsidRPr="0096162C">
        <w:rPr>
          <w:rFonts w:ascii="Times New Roman" w:eastAsia="Times New Roman" w:hAnsi="Times New Roman" w:cs="Times New Roman"/>
          <w:sz w:val="24"/>
          <w:szCs w:val="24"/>
        </w:rPr>
        <w:lastRenderedPageBreak/>
        <w:t xml:space="preserve">(iii) clearly stating the applicability of the Requirements in proposed PRC-005-2 to certain Functional Entities and Facilities; </w:t>
      </w:r>
    </w:p>
    <w:p w14:paraId="64DC9CD6" w14:textId="77777777" w:rsidR="0096162C" w:rsidRDefault="00190012" w:rsidP="0096162C">
      <w:pPr>
        <w:pStyle w:val="ListParagraph"/>
        <w:numPr>
          <w:ilvl w:val="0"/>
          <w:numId w:val="19"/>
        </w:numPr>
        <w:spacing w:after="0" w:line="240" w:lineRule="auto"/>
        <w:rPr>
          <w:rFonts w:ascii="Times New Roman" w:eastAsia="Times New Roman" w:hAnsi="Times New Roman" w:cs="Times New Roman"/>
          <w:sz w:val="24"/>
          <w:szCs w:val="24"/>
        </w:rPr>
      </w:pPr>
      <w:r w:rsidRPr="0096162C">
        <w:rPr>
          <w:rFonts w:ascii="Times New Roman" w:eastAsia="Times New Roman" w:hAnsi="Times New Roman" w:cs="Times New Roman"/>
          <w:sz w:val="24"/>
          <w:szCs w:val="24"/>
        </w:rPr>
        <w:t xml:space="preserve">(iv) establishing Requirements for time-based maintenance programs that include maximum allowable maintenance intervals for all relevant devices; </w:t>
      </w:r>
    </w:p>
    <w:p w14:paraId="64898D2B" w14:textId="7E7999AD" w:rsidR="00190012" w:rsidRPr="008E644C" w:rsidRDefault="00190012" w:rsidP="0096162C">
      <w:pPr>
        <w:pStyle w:val="ListParagraph"/>
        <w:numPr>
          <w:ilvl w:val="0"/>
          <w:numId w:val="19"/>
        </w:numPr>
        <w:spacing w:after="0" w:line="240" w:lineRule="auto"/>
        <w:rPr>
          <w:rFonts w:ascii="Times New Roman" w:eastAsia="Times New Roman" w:hAnsi="Times New Roman" w:cs="Times New Roman"/>
          <w:sz w:val="24"/>
          <w:szCs w:val="24"/>
        </w:rPr>
      </w:pPr>
      <w:r w:rsidRPr="0096162C">
        <w:rPr>
          <w:rFonts w:ascii="Times New Roman" w:eastAsia="Times New Roman" w:hAnsi="Times New Roman" w:cs="Times New Roman"/>
          <w:sz w:val="24"/>
          <w:szCs w:val="24"/>
        </w:rPr>
        <w:t>and (v) establishing Requirements for condition-based and performance-based maintenance programs where hands-on maintenance intervals are adjusted to reflect the known and reported condition or the historical performance, respectively, of the relevant devices.</w:t>
      </w:r>
      <w:r w:rsidRPr="00190012">
        <w:rPr>
          <w:b/>
          <w:vertAlign w:val="superscript"/>
        </w:rPr>
        <w:footnoteReference w:id="6"/>
      </w:r>
      <w:r w:rsidRPr="008E644C">
        <w:rPr>
          <w:rFonts w:ascii="Times New Roman" w:eastAsia="Times New Roman" w:hAnsi="Times New Roman" w:cs="Times New Roman"/>
          <w:sz w:val="24"/>
          <w:szCs w:val="24"/>
        </w:rPr>
        <w:t xml:space="preserve">   </w:t>
      </w:r>
    </w:p>
    <w:p w14:paraId="64898D2C" w14:textId="77777777" w:rsidR="00EB3E6F" w:rsidRPr="00B16372" w:rsidRDefault="00EB3E6F" w:rsidP="0092596C">
      <w:pPr>
        <w:spacing w:after="0" w:line="240" w:lineRule="auto"/>
        <w:rPr>
          <w:rFonts w:ascii="Times New Roman" w:hAnsi="Times New Roman" w:cs="Times New Roman"/>
          <w:sz w:val="24"/>
          <w:szCs w:val="24"/>
        </w:rPr>
      </w:pPr>
    </w:p>
    <w:p w14:paraId="64898D2D" w14:textId="77777777" w:rsidR="00A72E7B"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HOW, BY WHOM, AND FOR WHAT PURPOSE THE INFORMATION IS TO BE USED AND THE CONSEQUENCES OF NOT COLLECTING THE INFORMATION</w:t>
      </w:r>
    </w:p>
    <w:p w14:paraId="64898D2E" w14:textId="77777777" w:rsidR="009A6326" w:rsidRDefault="009A6326" w:rsidP="009A6326">
      <w:pPr>
        <w:spacing w:after="0" w:line="240" w:lineRule="auto"/>
        <w:rPr>
          <w:rFonts w:ascii="Times New Roman" w:hAnsi="Times New Roman" w:cs="Times New Roman"/>
          <w:sz w:val="24"/>
          <w:szCs w:val="24"/>
        </w:rPr>
      </w:pPr>
    </w:p>
    <w:p w14:paraId="64898D2F" w14:textId="07ED87A4" w:rsidR="009A6326" w:rsidRDefault="009A6326" w:rsidP="009A63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Reliability Standard PRC-005-2 applies to entities registered with NERC as distribution providers, generation owners, and transmission owners. </w:t>
      </w:r>
    </w:p>
    <w:p w14:paraId="64898D30" w14:textId="77777777" w:rsidR="00D119C3" w:rsidRDefault="00D119C3" w:rsidP="009A63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4898D31" w14:textId="657BBFA9" w:rsidR="00EB3E6F" w:rsidRDefault="00F55597" w:rsidP="0092596C">
      <w:pPr>
        <w:spacing w:after="0" w:line="240" w:lineRule="auto"/>
        <w:rPr>
          <w:rFonts w:ascii="Times New Roman" w:hAnsi="Times New Roman" w:cs="Times New Roman"/>
          <w:sz w:val="24"/>
          <w:szCs w:val="24"/>
        </w:rPr>
      </w:pPr>
      <w:r w:rsidRPr="00F55597">
        <w:rPr>
          <w:rFonts w:ascii="Times New Roman" w:hAnsi="Times New Roman" w:cs="Times New Roman"/>
          <w:sz w:val="24"/>
          <w:szCs w:val="24"/>
        </w:rPr>
        <w:t>Reliability Standard PRC-005-2 includes specific requirements about the minimum maintenance activities required for each type of applicable component as well as a maximum time interval during which the maintenance must be completed.  Because</w:t>
      </w:r>
      <w:r w:rsidR="0096162C">
        <w:rPr>
          <w:rFonts w:ascii="Times New Roman" w:hAnsi="Times New Roman" w:cs="Times New Roman"/>
          <w:sz w:val="24"/>
          <w:szCs w:val="24"/>
        </w:rPr>
        <w:t xml:space="preserve"> NERC designed</w:t>
      </w:r>
      <w:r w:rsidRPr="00F55597">
        <w:rPr>
          <w:rFonts w:ascii="Times New Roman" w:hAnsi="Times New Roman" w:cs="Times New Roman"/>
          <w:sz w:val="24"/>
          <w:szCs w:val="24"/>
        </w:rPr>
        <w:t xml:space="preserve"> the specific requirements to reflect common industry practice, entities are not expected to experience a meaningful change in actual maintenance and documentation practices.  However, </w:t>
      </w:r>
      <w:r w:rsidR="004F7A4D">
        <w:rPr>
          <w:rFonts w:ascii="Times New Roman" w:hAnsi="Times New Roman" w:cs="Times New Roman"/>
          <w:sz w:val="24"/>
          <w:szCs w:val="24"/>
        </w:rPr>
        <w:t>a</w:t>
      </w:r>
      <w:r w:rsidR="004F7A4D" w:rsidRPr="00B62DC2">
        <w:rPr>
          <w:rFonts w:ascii="Times New Roman" w:hAnsi="Times New Roman" w:cs="Times New Roman"/>
          <w:sz w:val="24"/>
          <w:szCs w:val="24"/>
        </w:rPr>
        <w:t>ffected entities must perform a one-time review of their existing protection system maintenance program to ensure that it contains at a minimum the activities listed in Tables 1 through 3 in Reliability Standard PRC-005-2 and that the activities are performed within the maximum interval listed in Tables 1 through 3.  If the existing protection system maintenance program does not meet the criteria in Reliability Standard PRC-005-2, the entity will have to make certain adjustments to the program.</w:t>
      </w:r>
    </w:p>
    <w:p w14:paraId="64898D32" w14:textId="77777777" w:rsidR="00D119C3" w:rsidRDefault="00D119C3" w:rsidP="0092596C">
      <w:pPr>
        <w:spacing w:after="0" w:line="240" w:lineRule="auto"/>
        <w:rPr>
          <w:rFonts w:ascii="Times New Roman" w:hAnsi="Times New Roman" w:cs="Times New Roman"/>
          <w:sz w:val="24"/>
          <w:szCs w:val="24"/>
        </w:rPr>
      </w:pPr>
    </w:p>
    <w:p w14:paraId="64898D33" w14:textId="77777777" w:rsidR="00D119C3" w:rsidRDefault="00D119C3" w:rsidP="00D119C3">
      <w:pPr>
        <w:spacing w:after="0" w:line="240" w:lineRule="auto"/>
        <w:rPr>
          <w:rFonts w:ascii="Times New Roman" w:hAnsi="Times New Roman" w:cs="Times New Roman"/>
          <w:sz w:val="24"/>
          <w:szCs w:val="24"/>
        </w:rPr>
      </w:pPr>
      <w:r>
        <w:rPr>
          <w:rFonts w:ascii="Times New Roman" w:hAnsi="Times New Roman" w:cs="Times New Roman"/>
          <w:sz w:val="24"/>
          <w:szCs w:val="24"/>
        </w:rPr>
        <w:t>Protection systems must be maintained and tested at regular intervals to insure they will operate as intended when called upon and that maintenance intervals vary depending on the type and nature of the protection system, as well as the reliability impact of a potential failure of that system.  The new information collection requirements in PRC-005-2 help meet the need to ensure that protection systems are well maintained and tested.  Without these new requirements there is an increased chance of protection systems not functioning properly.</w:t>
      </w:r>
    </w:p>
    <w:p w14:paraId="64898D34" w14:textId="77777777" w:rsidR="00F55597" w:rsidRPr="00B16372" w:rsidRDefault="00F55597" w:rsidP="0092596C">
      <w:pPr>
        <w:spacing w:after="0" w:line="240" w:lineRule="auto"/>
        <w:rPr>
          <w:rFonts w:ascii="Times New Roman" w:hAnsi="Times New Roman" w:cs="Times New Roman"/>
          <w:sz w:val="24"/>
          <w:szCs w:val="24"/>
        </w:rPr>
      </w:pPr>
    </w:p>
    <w:p w14:paraId="64898D35"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ANY CONSIDERATION OF THE USE OF IMPROVED INFORMATION TECHNOLOGY TO REDUCE THE BURDEN AND TECHNICAL OR LEGAL OBSTACLES TO REDUCING BURDEN</w:t>
      </w:r>
    </w:p>
    <w:p w14:paraId="64898D36" w14:textId="77777777" w:rsidR="00EB3E6F" w:rsidRPr="00B16372" w:rsidRDefault="00EB3E6F" w:rsidP="0092596C">
      <w:pPr>
        <w:spacing w:after="0" w:line="240" w:lineRule="auto"/>
        <w:rPr>
          <w:rFonts w:ascii="Times New Roman" w:hAnsi="Times New Roman" w:cs="Times New Roman"/>
          <w:sz w:val="24"/>
          <w:szCs w:val="24"/>
        </w:rPr>
      </w:pPr>
    </w:p>
    <w:p w14:paraId="64898D37" w14:textId="2F43CEA8" w:rsidR="00C00D70" w:rsidRPr="00B16372" w:rsidRDefault="00C00D7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 use of current or improved technology is not covered in Reliability Standards and is</w:t>
      </w:r>
      <w:r w:rsidR="00FC54B6">
        <w:rPr>
          <w:rFonts w:ascii="Times New Roman" w:hAnsi="Times New Roman" w:cs="Times New Roman"/>
          <w:sz w:val="24"/>
          <w:szCs w:val="24"/>
        </w:rPr>
        <w:t xml:space="preserve">, </w:t>
      </w:r>
      <w:r w:rsidRPr="00B16372">
        <w:rPr>
          <w:rFonts w:ascii="Times New Roman" w:hAnsi="Times New Roman" w:cs="Times New Roman"/>
          <w:sz w:val="24"/>
          <w:szCs w:val="24"/>
        </w:rPr>
        <w:t>therefore</w:t>
      </w:r>
      <w:r w:rsidR="00FC54B6">
        <w:rPr>
          <w:rFonts w:ascii="Times New Roman" w:hAnsi="Times New Roman" w:cs="Times New Roman"/>
          <w:sz w:val="24"/>
          <w:szCs w:val="24"/>
        </w:rPr>
        <w:t>,</w:t>
      </w:r>
      <w:r w:rsidRPr="00B16372">
        <w:rPr>
          <w:rFonts w:ascii="Times New Roman" w:hAnsi="Times New Roman" w:cs="Times New Roman"/>
          <w:sz w:val="24"/>
          <w:szCs w:val="24"/>
        </w:rPr>
        <w:t xml:space="preserve"> left to the discretion of each reporting entity.</w:t>
      </w:r>
    </w:p>
    <w:p w14:paraId="64898D38" w14:textId="77777777" w:rsidR="00EB3E6F" w:rsidRPr="00B16372" w:rsidRDefault="00EB3E6F" w:rsidP="0092596C">
      <w:pPr>
        <w:spacing w:after="0" w:line="240" w:lineRule="auto"/>
        <w:rPr>
          <w:rFonts w:ascii="Times New Roman" w:hAnsi="Times New Roman" w:cs="Times New Roman"/>
          <w:sz w:val="24"/>
          <w:szCs w:val="24"/>
        </w:rPr>
      </w:pPr>
    </w:p>
    <w:p w14:paraId="64898D39"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lastRenderedPageBreak/>
        <w:t>DESCRIBE EFFORTS TO IDENTIF</w:t>
      </w:r>
      <w:r w:rsidR="00E05FA3" w:rsidRPr="00B16372">
        <w:rPr>
          <w:rFonts w:ascii="Times New Roman" w:hAnsi="Times New Roman" w:cs="Times New Roman"/>
          <w:b/>
          <w:sz w:val="24"/>
          <w:szCs w:val="24"/>
        </w:rPr>
        <w:t>Y</w:t>
      </w:r>
      <w:r w:rsidRPr="00B16372">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4898D3A" w14:textId="77777777" w:rsidR="00EB3E6F" w:rsidRPr="00B16372" w:rsidRDefault="00EB3E6F" w:rsidP="0092596C">
      <w:pPr>
        <w:spacing w:after="0" w:line="240" w:lineRule="auto"/>
        <w:rPr>
          <w:rFonts w:ascii="Times New Roman" w:hAnsi="Times New Roman" w:cs="Times New Roman"/>
          <w:sz w:val="24"/>
          <w:szCs w:val="24"/>
        </w:rPr>
      </w:pPr>
    </w:p>
    <w:p w14:paraId="64898D3B" w14:textId="77777777" w:rsidR="00EB3E6F" w:rsidRPr="00B16372" w:rsidRDefault="00C00D7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 information collection requirements are unique to this reliability standard and to this information collection.  The Commission does not know of any duplication in the requirements.</w:t>
      </w:r>
    </w:p>
    <w:p w14:paraId="64898D3C" w14:textId="77777777" w:rsidR="00C00D70" w:rsidRPr="00B16372" w:rsidRDefault="00C00D70" w:rsidP="0092596C">
      <w:pPr>
        <w:spacing w:after="0" w:line="240" w:lineRule="auto"/>
        <w:rPr>
          <w:rFonts w:ascii="Times New Roman" w:hAnsi="Times New Roman" w:cs="Times New Roman"/>
          <w:sz w:val="24"/>
          <w:szCs w:val="24"/>
        </w:rPr>
      </w:pPr>
    </w:p>
    <w:p w14:paraId="64898D3D"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METHODS USED TO MINIMIZE THE BURDEN IN COLLECTION OF INFORMATION INVOLVING SMALL ENTITIES</w:t>
      </w:r>
    </w:p>
    <w:p w14:paraId="64898D3E" w14:textId="77777777" w:rsidR="00EB3E6F" w:rsidRPr="00B16372" w:rsidRDefault="00EB3E6F" w:rsidP="0092596C">
      <w:pPr>
        <w:spacing w:after="0" w:line="240" w:lineRule="auto"/>
        <w:rPr>
          <w:rFonts w:ascii="Times New Roman" w:hAnsi="Times New Roman" w:cs="Times New Roman"/>
          <w:sz w:val="24"/>
          <w:szCs w:val="24"/>
        </w:rPr>
      </w:pPr>
    </w:p>
    <w:p w14:paraId="64898D3F" w14:textId="7A57A721" w:rsidR="00D8341B" w:rsidRDefault="00D8341B" w:rsidP="00D834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D8341B">
        <w:rPr>
          <w:rFonts w:ascii="Times New Roman" w:hAnsi="Times New Roman" w:cs="Times New Roman"/>
          <w:sz w:val="24"/>
          <w:szCs w:val="24"/>
        </w:rPr>
        <w:t>Reliability Standard PRC-005-2 would apply to 867 individual entities (the number of entities registered as a distribution provider, a generator owner, a transmission owner, or any combination of those three functional entities).  Comparison of the NERC Compliance Registry</w:t>
      </w:r>
      <w:r w:rsidR="008E644C">
        <w:rPr>
          <w:rFonts w:ascii="Times New Roman" w:hAnsi="Times New Roman" w:cs="Times New Roman"/>
          <w:sz w:val="24"/>
          <w:szCs w:val="24"/>
        </w:rPr>
        <w:t xml:space="preserve"> </w:t>
      </w:r>
      <w:r w:rsidR="008E644C">
        <w:rPr>
          <w:rFonts w:ascii="Times New Roman" w:hAnsi="Times New Roman" w:cs="Times New Roman"/>
          <w:sz w:val="24"/>
          <w:szCs w:val="24"/>
        </w:rPr>
        <w:t>(as of June 10, 2013)</w:t>
      </w:r>
      <w:r w:rsidRPr="00D8341B">
        <w:rPr>
          <w:rFonts w:ascii="Times New Roman" w:hAnsi="Times New Roman" w:cs="Times New Roman"/>
          <w:sz w:val="24"/>
          <w:szCs w:val="24"/>
        </w:rPr>
        <w:t xml:space="preserve"> with data submitted to the Energy Information Administration on Form EIA-861 indicates that, of these entities, 230 may qualify as small entities.</w:t>
      </w:r>
      <w:r w:rsidRPr="00D8341B">
        <w:rPr>
          <w:rFonts w:ascii="Times New Roman" w:hAnsi="Times New Roman" w:cs="Times New Roman"/>
          <w:b/>
          <w:sz w:val="24"/>
          <w:szCs w:val="24"/>
          <w:vertAlign w:val="superscript"/>
        </w:rPr>
        <w:footnoteReference w:id="7"/>
      </w:r>
      <w:r w:rsidRPr="00D8341B">
        <w:rPr>
          <w:rFonts w:ascii="Times New Roman" w:hAnsi="Times New Roman" w:cs="Times New Roman"/>
          <w:sz w:val="24"/>
          <w:szCs w:val="24"/>
        </w:rPr>
        <w:t xml:space="preserve">  Of the 230 small entities, 90 are registered as a combination of distribution providers, generator owners and transmission owners, but it is assumed that each entity would have only one comprehensive program to review.  </w:t>
      </w:r>
    </w:p>
    <w:p w14:paraId="64898D40" w14:textId="77777777" w:rsidR="00D8341B" w:rsidRPr="00D8341B" w:rsidRDefault="00D8341B" w:rsidP="00D8341B">
      <w:pPr>
        <w:spacing w:after="0" w:line="240" w:lineRule="auto"/>
        <w:rPr>
          <w:rFonts w:ascii="Times New Roman" w:hAnsi="Times New Roman" w:cs="Times New Roman"/>
          <w:sz w:val="24"/>
          <w:szCs w:val="24"/>
        </w:rPr>
      </w:pPr>
    </w:p>
    <w:p w14:paraId="64898D41" w14:textId="2B1E520E" w:rsidR="00D8341B" w:rsidRPr="00D8341B" w:rsidRDefault="00D8341B" w:rsidP="00D8341B">
      <w:pPr>
        <w:spacing w:after="0" w:line="240" w:lineRule="auto"/>
        <w:rPr>
          <w:rFonts w:ascii="Times New Roman" w:hAnsi="Times New Roman" w:cs="Times New Roman"/>
          <w:sz w:val="24"/>
          <w:szCs w:val="24"/>
        </w:rPr>
      </w:pPr>
      <w:r w:rsidRPr="00D8341B">
        <w:rPr>
          <w:rFonts w:ascii="Times New Roman" w:hAnsi="Times New Roman" w:cs="Times New Roman"/>
          <w:sz w:val="24"/>
          <w:szCs w:val="24"/>
        </w:rPr>
        <w:t xml:space="preserve">The Commission estimates that, on average, each of the 230 small entities affected will have a one-time cost of $560 representing a one-time review of the program for each entity </w:t>
      </w:r>
      <w:r w:rsidR="00FC54B6">
        <w:rPr>
          <w:rFonts w:ascii="Times New Roman" w:hAnsi="Times New Roman" w:cs="Times New Roman"/>
          <w:sz w:val="24"/>
          <w:szCs w:val="24"/>
        </w:rPr>
        <w:t>(</w:t>
      </w:r>
      <w:r w:rsidRPr="00D8341B">
        <w:rPr>
          <w:rFonts w:ascii="Times New Roman" w:hAnsi="Times New Roman" w:cs="Times New Roman"/>
          <w:sz w:val="24"/>
          <w:szCs w:val="24"/>
        </w:rPr>
        <w:t xml:space="preserve">consisting of 8 man-hours at $70/hour as explained </w:t>
      </w:r>
      <w:r>
        <w:rPr>
          <w:rFonts w:ascii="Times New Roman" w:hAnsi="Times New Roman" w:cs="Times New Roman"/>
          <w:sz w:val="24"/>
          <w:szCs w:val="24"/>
        </w:rPr>
        <w:t>below in #12</w:t>
      </w:r>
      <w:r w:rsidR="00FC54B6">
        <w:rPr>
          <w:rFonts w:ascii="Times New Roman" w:hAnsi="Times New Roman" w:cs="Times New Roman"/>
          <w:sz w:val="24"/>
          <w:szCs w:val="24"/>
        </w:rPr>
        <w:t>)</w:t>
      </w:r>
      <w:r w:rsidRPr="00D8341B">
        <w:rPr>
          <w:rFonts w:ascii="Times New Roman" w:hAnsi="Times New Roman" w:cs="Times New Roman"/>
          <w:sz w:val="24"/>
          <w:szCs w:val="24"/>
        </w:rPr>
        <w:t xml:space="preserve">. </w:t>
      </w:r>
    </w:p>
    <w:p w14:paraId="64898D42" w14:textId="77777777" w:rsidR="00C00D70" w:rsidRPr="00B16372" w:rsidRDefault="00C00D70" w:rsidP="0092596C">
      <w:pPr>
        <w:spacing w:after="0" w:line="240" w:lineRule="auto"/>
        <w:rPr>
          <w:rFonts w:ascii="Times New Roman" w:hAnsi="Times New Roman" w:cs="Times New Roman"/>
          <w:sz w:val="24"/>
          <w:szCs w:val="24"/>
        </w:rPr>
      </w:pPr>
    </w:p>
    <w:p w14:paraId="64898D43" w14:textId="77777777" w:rsidR="00C00D70" w:rsidRPr="00B16372" w:rsidRDefault="00C00D7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In general, small entities may </w:t>
      </w:r>
      <w:r w:rsidR="00B86284" w:rsidRPr="00B16372">
        <w:rPr>
          <w:rFonts w:ascii="Times New Roman" w:hAnsi="Times New Roman" w:cs="Times New Roman"/>
          <w:sz w:val="24"/>
          <w:szCs w:val="24"/>
        </w:rPr>
        <w:t xml:space="preserve">reduce their burden by taking part in a joint registration organization or </w:t>
      </w:r>
      <w:r w:rsidRPr="00B16372">
        <w:rPr>
          <w:rFonts w:ascii="Times New Roman" w:hAnsi="Times New Roman" w:cs="Times New Roman"/>
          <w:sz w:val="24"/>
          <w:szCs w:val="24"/>
        </w:rPr>
        <w:t>a coordinated functional registration</w:t>
      </w:r>
      <w:r w:rsidR="00B86284" w:rsidRPr="00B16372">
        <w:rPr>
          <w:rFonts w:ascii="Times New Roman" w:hAnsi="Times New Roman" w:cs="Times New Roman"/>
          <w:sz w:val="24"/>
          <w:szCs w:val="24"/>
        </w:rPr>
        <w:t>.  These options allow an entity to share its compliance burden with other entities.</w:t>
      </w:r>
    </w:p>
    <w:p w14:paraId="64898D44" w14:textId="77777777" w:rsidR="00EB3E6F" w:rsidRPr="00B16372" w:rsidRDefault="00EB3E6F" w:rsidP="0092596C">
      <w:pPr>
        <w:spacing w:after="0" w:line="240" w:lineRule="auto"/>
        <w:rPr>
          <w:rFonts w:ascii="Times New Roman" w:hAnsi="Times New Roman" w:cs="Times New Roman"/>
          <w:sz w:val="24"/>
          <w:szCs w:val="24"/>
        </w:rPr>
      </w:pPr>
    </w:p>
    <w:p w14:paraId="64898D45"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CONSEQUENCE TO FEDERAL PROGRAM IF COLLECTION WERE CONDUCTED LESS FREQUENTLY</w:t>
      </w:r>
    </w:p>
    <w:p w14:paraId="64898D46" w14:textId="77777777" w:rsidR="00EB3E6F" w:rsidRPr="00B16372" w:rsidRDefault="00EB3E6F" w:rsidP="0092596C">
      <w:pPr>
        <w:spacing w:after="0" w:line="240" w:lineRule="auto"/>
        <w:rPr>
          <w:rFonts w:ascii="Times New Roman" w:hAnsi="Times New Roman" w:cs="Times New Roman"/>
          <w:sz w:val="24"/>
          <w:szCs w:val="24"/>
        </w:rPr>
      </w:pPr>
    </w:p>
    <w:p w14:paraId="64898D47" w14:textId="77777777" w:rsidR="00EB3E6F" w:rsidRPr="00B16372" w:rsidRDefault="00B86284"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If this standard and the associated information collection requirements were performed less frequently</w:t>
      </w:r>
      <w:r w:rsidR="004B01EE">
        <w:rPr>
          <w:rFonts w:ascii="Times New Roman" w:hAnsi="Times New Roman" w:cs="Times New Roman"/>
          <w:sz w:val="24"/>
          <w:szCs w:val="24"/>
        </w:rPr>
        <w:t>,</w:t>
      </w:r>
      <w:r w:rsidRPr="00B16372">
        <w:rPr>
          <w:rFonts w:ascii="Times New Roman" w:hAnsi="Times New Roman" w:cs="Times New Roman"/>
          <w:sz w:val="24"/>
          <w:szCs w:val="24"/>
        </w:rPr>
        <w:t xml:space="preserve"> the</w:t>
      </w:r>
      <w:r w:rsidR="004B01EE">
        <w:rPr>
          <w:rFonts w:ascii="Times New Roman" w:hAnsi="Times New Roman" w:cs="Times New Roman"/>
          <w:sz w:val="24"/>
          <w:szCs w:val="24"/>
        </w:rPr>
        <w:t xml:space="preserve"> reduction </w:t>
      </w:r>
      <w:r w:rsidR="002E48FF">
        <w:rPr>
          <w:rFonts w:ascii="Times New Roman" w:hAnsi="Times New Roman" w:cs="Times New Roman"/>
          <w:sz w:val="24"/>
          <w:szCs w:val="24"/>
        </w:rPr>
        <w:t>in protection system maintenance</w:t>
      </w:r>
      <w:r w:rsidR="004B01EE">
        <w:rPr>
          <w:rFonts w:ascii="Times New Roman" w:hAnsi="Times New Roman" w:cs="Times New Roman"/>
          <w:sz w:val="24"/>
          <w:szCs w:val="24"/>
        </w:rPr>
        <w:t xml:space="preserve"> would likely</w:t>
      </w:r>
      <w:r w:rsidRPr="00B16372">
        <w:rPr>
          <w:rFonts w:ascii="Times New Roman" w:hAnsi="Times New Roman" w:cs="Times New Roman"/>
          <w:sz w:val="24"/>
          <w:szCs w:val="24"/>
        </w:rPr>
        <w:t xml:space="preserve"> lead to </w:t>
      </w:r>
      <w:r w:rsidR="002E48FF">
        <w:rPr>
          <w:rFonts w:ascii="Times New Roman" w:hAnsi="Times New Roman" w:cs="Times New Roman"/>
          <w:sz w:val="24"/>
          <w:szCs w:val="24"/>
        </w:rPr>
        <w:t>lower system reliability</w:t>
      </w:r>
      <w:r w:rsidRPr="00B16372">
        <w:rPr>
          <w:rFonts w:ascii="Times New Roman" w:hAnsi="Times New Roman" w:cs="Times New Roman"/>
          <w:sz w:val="24"/>
          <w:szCs w:val="24"/>
        </w:rPr>
        <w:t>.</w:t>
      </w:r>
    </w:p>
    <w:p w14:paraId="64898D48" w14:textId="77777777" w:rsidR="00B86284" w:rsidRPr="00B16372" w:rsidRDefault="00B86284" w:rsidP="0092596C">
      <w:pPr>
        <w:spacing w:after="0" w:line="240" w:lineRule="auto"/>
        <w:rPr>
          <w:rFonts w:ascii="Times New Roman" w:hAnsi="Times New Roman" w:cs="Times New Roman"/>
          <w:sz w:val="24"/>
          <w:szCs w:val="24"/>
        </w:rPr>
      </w:pPr>
    </w:p>
    <w:p w14:paraId="64898D49"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EXPLAIN ANY SPECIAL CIRCUMSTANCES RELATING TO THE INFORMATION COLLECTION</w:t>
      </w:r>
    </w:p>
    <w:p w14:paraId="64898D4A" w14:textId="77777777" w:rsidR="00EB3E6F" w:rsidRPr="00B16372" w:rsidRDefault="00EB3E6F" w:rsidP="0092596C">
      <w:pPr>
        <w:spacing w:after="0" w:line="240" w:lineRule="auto"/>
        <w:rPr>
          <w:rFonts w:ascii="Times New Roman" w:hAnsi="Times New Roman" w:cs="Times New Roman"/>
          <w:sz w:val="24"/>
          <w:szCs w:val="24"/>
        </w:rPr>
      </w:pPr>
    </w:p>
    <w:p w14:paraId="64898D4B" w14:textId="77777777" w:rsidR="00F82DB7" w:rsidRPr="009468C0" w:rsidRDefault="00F82DB7" w:rsidP="00F82DB7">
      <w:pPr>
        <w:spacing w:after="0" w:line="240" w:lineRule="auto"/>
        <w:rPr>
          <w:rFonts w:ascii="Times New Roman" w:hAnsi="Times New Roman"/>
          <w:sz w:val="24"/>
          <w:szCs w:val="24"/>
        </w:rPr>
      </w:pPr>
      <w:r w:rsidRPr="009468C0">
        <w:rPr>
          <w:rFonts w:ascii="Times New Roman" w:hAnsi="Times New Roman"/>
          <w:sz w:val="24"/>
          <w:szCs w:val="24"/>
        </w:rPr>
        <w:t xml:space="preserve">There </w:t>
      </w:r>
      <w:r>
        <w:rPr>
          <w:rFonts w:ascii="Times New Roman" w:hAnsi="Times New Roman"/>
          <w:sz w:val="24"/>
          <w:szCs w:val="24"/>
        </w:rPr>
        <w:t xml:space="preserve">is a </w:t>
      </w:r>
      <w:r w:rsidRPr="009468C0">
        <w:rPr>
          <w:rFonts w:ascii="Times New Roman" w:hAnsi="Times New Roman"/>
          <w:sz w:val="24"/>
          <w:szCs w:val="24"/>
        </w:rPr>
        <w:t xml:space="preserve">special circumstance as described in 5 CFR 1320.5(d)(2) related to </w:t>
      </w:r>
      <w:r>
        <w:rPr>
          <w:rFonts w:ascii="Times New Roman" w:hAnsi="Times New Roman"/>
          <w:sz w:val="24"/>
          <w:szCs w:val="24"/>
        </w:rPr>
        <w:t>record retention</w:t>
      </w:r>
      <w:r w:rsidRPr="009468C0">
        <w:rPr>
          <w:rFonts w:ascii="Times New Roman" w:hAnsi="Times New Roman"/>
          <w:sz w:val="24"/>
          <w:szCs w:val="24"/>
        </w:rPr>
        <w:t>.</w:t>
      </w:r>
    </w:p>
    <w:p w14:paraId="64898D4C" w14:textId="77777777" w:rsidR="00F82DB7" w:rsidRPr="009468C0" w:rsidRDefault="00F82DB7" w:rsidP="00F82DB7">
      <w:pPr>
        <w:spacing w:after="0" w:line="240" w:lineRule="auto"/>
        <w:rPr>
          <w:rFonts w:ascii="Times New Roman" w:hAnsi="Times New Roman"/>
          <w:sz w:val="24"/>
          <w:szCs w:val="24"/>
        </w:rPr>
      </w:pPr>
    </w:p>
    <w:p w14:paraId="64898D4D" w14:textId="453EC039" w:rsidR="00F82DB7" w:rsidRDefault="00F82DB7" w:rsidP="00F82DB7">
      <w:pPr>
        <w:spacing w:after="0" w:line="240" w:lineRule="auto"/>
        <w:rPr>
          <w:rFonts w:ascii="Times New Roman" w:hAnsi="Times New Roman"/>
          <w:sz w:val="24"/>
          <w:szCs w:val="24"/>
        </w:rPr>
      </w:pPr>
      <w:r>
        <w:rPr>
          <w:rFonts w:ascii="Times New Roman" w:hAnsi="Times New Roman"/>
          <w:sz w:val="24"/>
          <w:szCs w:val="24"/>
        </w:rPr>
        <w:t>The Reliability Standard puts in place minimum maintenance activities and maximum equipment test intervals (4 months to 12 years) and a mechanism to use performance</w:t>
      </w:r>
      <w:r w:rsidR="00C51F82">
        <w:rPr>
          <w:rFonts w:ascii="Times New Roman" w:hAnsi="Times New Roman"/>
          <w:sz w:val="24"/>
          <w:szCs w:val="24"/>
        </w:rPr>
        <w:t>-</w:t>
      </w:r>
      <w:r>
        <w:rPr>
          <w:rFonts w:ascii="Times New Roman" w:hAnsi="Times New Roman"/>
          <w:sz w:val="24"/>
          <w:szCs w:val="24"/>
        </w:rPr>
        <w:t>based maintenance to more conclusively adjust maintenance intervals.</w:t>
      </w:r>
      <w:r w:rsidRPr="00F82DB7">
        <w:rPr>
          <w:rStyle w:val="FootnoteReference"/>
          <w:rFonts w:ascii="Times New Roman" w:hAnsi="Times New Roman"/>
          <w:sz w:val="24"/>
          <w:szCs w:val="24"/>
          <w:vertAlign w:val="superscript"/>
        </w:rPr>
        <w:footnoteReference w:id="8"/>
      </w:r>
      <w:r>
        <w:rPr>
          <w:rFonts w:ascii="Times New Roman" w:hAnsi="Times New Roman"/>
          <w:sz w:val="24"/>
          <w:szCs w:val="24"/>
        </w:rPr>
        <w:t xml:space="preserve">  The Reliability Standard states the following about data retention:</w:t>
      </w:r>
    </w:p>
    <w:p w14:paraId="64898D4E" w14:textId="77777777" w:rsidR="00F82DB7" w:rsidRDefault="00F82DB7" w:rsidP="00F82DB7">
      <w:pPr>
        <w:spacing w:after="0" w:line="240" w:lineRule="auto"/>
        <w:rPr>
          <w:rFonts w:ascii="Times New Roman" w:hAnsi="Times New Roman"/>
          <w:sz w:val="24"/>
          <w:szCs w:val="24"/>
        </w:rPr>
      </w:pPr>
    </w:p>
    <w:p w14:paraId="64898D4F" w14:textId="77777777" w:rsidR="00F82DB7" w:rsidRDefault="00F82DB7" w:rsidP="00F82DB7">
      <w:pPr>
        <w:autoSpaceDE w:val="0"/>
        <w:autoSpaceDN w:val="0"/>
        <w:adjustRightInd w:val="0"/>
        <w:spacing w:after="0" w:line="240" w:lineRule="auto"/>
        <w:ind w:left="720"/>
        <w:rPr>
          <w:rFonts w:ascii="Times New Roman" w:hAnsi="Times New Roman" w:cs="Times New Roman"/>
          <w:sz w:val="24"/>
          <w:szCs w:val="24"/>
        </w:rPr>
      </w:pPr>
      <w:r w:rsidRPr="0049259F">
        <w:rPr>
          <w:rFonts w:ascii="Times New Roman" w:hAnsi="Times New Roman" w:cs="Times New Roman"/>
          <w:sz w:val="24"/>
          <w:szCs w:val="24"/>
        </w:rPr>
        <w:t>The Transmission Owner, Generator Owner, and Distribution Provider shall each keep documentation of the two most recent performances of each distinct maintenance activity for the Protection System Component, or all performances of each distinct maintenance activity for the Protection System Component since the previous scheduled audit date, whichever is longer.</w:t>
      </w:r>
    </w:p>
    <w:p w14:paraId="64898D50" w14:textId="77777777" w:rsidR="00F82DB7" w:rsidRDefault="00F82DB7" w:rsidP="00F82DB7">
      <w:pPr>
        <w:autoSpaceDE w:val="0"/>
        <w:autoSpaceDN w:val="0"/>
        <w:adjustRightInd w:val="0"/>
        <w:spacing w:after="0" w:line="240" w:lineRule="auto"/>
        <w:rPr>
          <w:rFonts w:ascii="Times New Roman" w:hAnsi="Times New Roman" w:cs="Times New Roman"/>
          <w:sz w:val="24"/>
          <w:szCs w:val="24"/>
        </w:rPr>
      </w:pPr>
    </w:p>
    <w:p w14:paraId="64898D51" w14:textId="77777777" w:rsidR="00F82DB7" w:rsidRPr="0049259F" w:rsidRDefault="00F82DB7" w:rsidP="00F82DB7">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Based on the above, entities may have to retain some documentation for as long as 24 years</w:t>
      </w:r>
      <w:r w:rsidR="00D8341B">
        <w:rPr>
          <w:rFonts w:ascii="Times New Roman" w:hAnsi="Times New Roman" w:cs="Times New Roman"/>
          <w:sz w:val="24"/>
          <w:szCs w:val="24"/>
        </w:rPr>
        <w:t>, which is significantly longer than the 3-year maximum period OMB stipulates</w:t>
      </w:r>
      <w:r>
        <w:rPr>
          <w:rFonts w:ascii="Times New Roman" w:hAnsi="Times New Roman" w:cs="Times New Roman"/>
          <w:sz w:val="24"/>
          <w:szCs w:val="24"/>
        </w:rPr>
        <w:t xml:space="preserve">.  </w:t>
      </w:r>
    </w:p>
    <w:p w14:paraId="64898D52" w14:textId="77777777" w:rsidR="00F82DB7" w:rsidRDefault="00F82DB7" w:rsidP="00F82DB7">
      <w:pPr>
        <w:spacing w:after="0" w:line="240" w:lineRule="auto"/>
        <w:rPr>
          <w:rFonts w:ascii="Times New Roman" w:hAnsi="Times New Roman"/>
          <w:sz w:val="24"/>
          <w:szCs w:val="24"/>
        </w:rPr>
      </w:pPr>
    </w:p>
    <w:p w14:paraId="64898D53" w14:textId="77777777" w:rsidR="00F82DB7" w:rsidRDefault="00F82DB7" w:rsidP="00F82DB7">
      <w:pPr>
        <w:spacing w:after="0" w:line="240" w:lineRule="auto"/>
        <w:rPr>
          <w:rFonts w:ascii="Times New Roman" w:hAnsi="Times New Roman"/>
          <w:sz w:val="24"/>
          <w:szCs w:val="24"/>
        </w:rPr>
      </w:pPr>
      <w:r>
        <w:rPr>
          <w:rFonts w:ascii="Times New Roman" w:hAnsi="Times New Roman"/>
          <w:sz w:val="24"/>
          <w:szCs w:val="24"/>
        </w:rPr>
        <w:t xml:space="preserve">NERC explains in its petition (Exhibit F) its justification for the test/maintenance intervals: </w:t>
      </w:r>
    </w:p>
    <w:p w14:paraId="64898D54" w14:textId="77777777" w:rsidR="00F82DB7" w:rsidRDefault="00F82DB7" w:rsidP="00F82DB7">
      <w:pPr>
        <w:spacing w:after="0" w:line="240" w:lineRule="auto"/>
        <w:rPr>
          <w:rFonts w:ascii="Times New Roman" w:hAnsi="Times New Roman"/>
          <w:sz w:val="24"/>
          <w:szCs w:val="24"/>
        </w:rPr>
      </w:pPr>
    </w:p>
    <w:p w14:paraId="64898D55" w14:textId="77777777" w:rsidR="00F82DB7" w:rsidRDefault="00F82DB7" w:rsidP="00F82DB7">
      <w:pPr>
        <w:spacing w:after="0" w:line="240" w:lineRule="auto"/>
        <w:ind w:left="720"/>
        <w:rPr>
          <w:rFonts w:ascii="Times New Roman" w:hAnsi="Times New Roman"/>
          <w:sz w:val="24"/>
          <w:szCs w:val="24"/>
        </w:rPr>
      </w:pPr>
      <w:r w:rsidRPr="0049259F">
        <w:rPr>
          <w:rFonts w:ascii="Times New Roman" w:hAnsi="Times New Roman"/>
          <w:sz w:val="24"/>
          <w:szCs w:val="24"/>
        </w:rPr>
        <w:t xml:space="preserve">The PRC-005-2 Standard Drafting Team </w:t>
      </w:r>
      <w:r>
        <w:rPr>
          <w:rFonts w:ascii="Times New Roman" w:hAnsi="Times New Roman"/>
          <w:sz w:val="24"/>
          <w:szCs w:val="24"/>
        </w:rPr>
        <w:t xml:space="preserve">based its maximum test interval </w:t>
      </w:r>
      <w:r w:rsidRPr="0049259F">
        <w:rPr>
          <w:rFonts w:ascii="Times New Roman" w:hAnsi="Times New Roman"/>
          <w:sz w:val="24"/>
          <w:szCs w:val="24"/>
        </w:rPr>
        <w:t>recommendations for the various</w:t>
      </w:r>
      <w:r>
        <w:rPr>
          <w:rFonts w:ascii="Times New Roman" w:hAnsi="Times New Roman"/>
          <w:sz w:val="24"/>
          <w:szCs w:val="24"/>
        </w:rPr>
        <w:t xml:space="preserve"> </w:t>
      </w:r>
      <w:r w:rsidRPr="0049259F">
        <w:rPr>
          <w:rFonts w:ascii="Times New Roman" w:hAnsi="Times New Roman"/>
          <w:sz w:val="24"/>
          <w:szCs w:val="24"/>
        </w:rPr>
        <w:t>classes of protective relays in the System Protection and Control Task Force (SPCTF) white paper</w:t>
      </w:r>
      <w:r>
        <w:rPr>
          <w:rFonts w:ascii="Times New Roman" w:hAnsi="Times New Roman"/>
          <w:sz w:val="24"/>
          <w:szCs w:val="24"/>
        </w:rPr>
        <w:t xml:space="preserve"> </w:t>
      </w:r>
      <w:r w:rsidRPr="0049259F">
        <w:rPr>
          <w:rFonts w:ascii="Times New Roman" w:hAnsi="Times New Roman"/>
          <w:sz w:val="24"/>
          <w:szCs w:val="24"/>
        </w:rPr>
        <w:t>“Protection System Maintenance” dated September 13, 2007 and on the collective experience from the</w:t>
      </w:r>
      <w:r>
        <w:rPr>
          <w:rFonts w:ascii="Times New Roman" w:hAnsi="Times New Roman"/>
          <w:sz w:val="24"/>
          <w:szCs w:val="24"/>
        </w:rPr>
        <w:t xml:space="preserve"> </w:t>
      </w:r>
      <w:r w:rsidRPr="0049259F">
        <w:rPr>
          <w:rFonts w:ascii="Times New Roman" w:hAnsi="Times New Roman"/>
          <w:sz w:val="24"/>
          <w:szCs w:val="24"/>
        </w:rPr>
        <w:t xml:space="preserve">entities on the drafting team. </w:t>
      </w:r>
      <w:r>
        <w:rPr>
          <w:rFonts w:ascii="Times New Roman" w:hAnsi="Times New Roman"/>
          <w:sz w:val="24"/>
          <w:szCs w:val="24"/>
        </w:rPr>
        <w:t xml:space="preserve"> </w:t>
      </w:r>
      <w:r w:rsidRPr="0049259F">
        <w:rPr>
          <w:rFonts w:ascii="Times New Roman" w:hAnsi="Times New Roman"/>
          <w:sz w:val="24"/>
          <w:szCs w:val="24"/>
        </w:rPr>
        <w:t>The SPCTF recommended a 5 year interval for BES unmonitored</w:t>
      </w:r>
      <w:r>
        <w:rPr>
          <w:rFonts w:ascii="Times New Roman" w:hAnsi="Times New Roman"/>
          <w:sz w:val="24"/>
          <w:szCs w:val="24"/>
        </w:rPr>
        <w:t xml:space="preserve"> </w:t>
      </w:r>
      <w:r w:rsidRPr="0049259F">
        <w:rPr>
          <w:rFonts w:ascii="Times New Roman" w:hAnsi="Times New Roman"/>
          <w:sz w:val="24"/>
          <w:szCs w:val="24"/>
        </w:rPr>
        <w:t xml:space="preserve">electromechanical relays but allowed some grace periods for extenuating conditions. </w:t>
      </w:r>
      <w:r>
        <w:rPr>
          <w:rFonts w:ascii="Times New Roman" w:hAnsi="Times New Roman"/>
          <w:sz w:val="24"/>
          <w:szCs w:val="24"/>
        </w:rPr>
        <w:t xml:space="preserve"> </w:t>
      </w:r>
      <w:r w:rsidRPr="0049259F">
        <w:rPr>
          <w:rFonts w:ascii="Times New Roman" w:hAnsi="Times New Roman"/>
          <w:sz w:val="24"/>
          <w:szCs w:val="24"/>
        </w:rPr>
        <w:t>The PRC-005-2</w:t>
      </w:r>
      <w:r>
        <w:rPr>
          <w:rFonts w:ascii="Times New Roman" w:hAnsi="Times New Roman"/>
          <w:sz w:val="24"/>
          <w:szCs w:val="24"/>
        </w:rPr>
        <w:t xml:space="preserve"> </w:t>
      </w:r>
      <w:r w:rsidRPr="0049259F">
        <w:rPr>
          <w:rFonts w:ascii="Times New Roman" w:hAnsi="Times New Roman"/>
          <w:sz w:val="24"/>
          <w:szCs w:val="24"/>
        </w:rPr>
        <w:t>drafting team modified the interval to 6 years to align with power plant outage scheduling without any</w:t>
      </w:r>
      <w:r>
        <w:rPr>
          <w:rFonts w:ascii="Times New Roman" w:hAnsi="Times New Roman"/>
          <w:sz w:val="24"/>
          <w:szCs w:val="24"/>
        </w:rPr>
        <w:t xml:space="preserve"> </w:t>
      </w:r>
      <w:r w:rsidRPr="0049259F">
        <w:rPr>
          <w:rFonts w:ascii="Times New Roman" w:hAnsi="Times New Roman"/>
          <w:sz w:val="24"/>
          <w:szCs w:val="24"/>
        </w:rPr>
        <w:t xml:space="preserve">grace period. </w:t>
      </w:r>
      <w:r>
        <w:rPr>
          <w:rFonts w:ascii="Times New Roman" w:hAnsi="Times New Roman"/>
          <w:sz w:val="24"/>
          <w:szCs w:val="24"/>
        </w:rPr>
        <w:t xml:space="preserve"> </w:t>
      </w:r>
      <w:r w:rsidRPr="0049259F">
        <w:rPr>
          <w:rFonts w:ascii="Times New Roman" w:hAnsi="Times New Roman"/>
          <w:sz w:val="24"/>
          <w:szCs w:val="24"/>
        </w:rPr>
        <w:t>The maintenance intervals proposed by the PRC-005-2 drafting team are not significantly</w:t>
      </w:r>
      <w:r>
        <w:rPr>
          <w:rFonts w:ascii="Times New Roman" w:hAnsi="Times New Roman"/>
          <w:sz w:val="24"/>
          <w:szCs w:val="24"/>
        </w:rPr>
        <w:t xml:space="preserve"> </w:t>
      </w:r>
      <w:r w:rsidRPr="0049259F">
        <w:rPr>
          <w:rFonts w:ascii="Times New Roman" w:hAnsi="Times New Roman"/>
          <w:sz w:val="24"/>
          <w:szCs w:val="24"/>
        </w:rPr>
        <w:t>different than industry averages when grace periods and outage scheduling are considered.</w:t>
      </w:r>
    </w:p>
    <w:p w14:paraId="64898D56" w14:textId="77777777" w:rsidR="00F82DB7" w:rsidRPr="0049259F" w:rsidRDefault="00F82DB7" w:rsidP="00F82DB7">
      <w:pPr>
        <w:spacing w:after="0" w:line="240" w:lineRule="auto"/>
        <w:ind w:left="720"/>
        <w:rPr>
          <w:rFonts w:ascii="Times New Roman" w:hAnsi="Times New Roman"/>
          <w:sz w:val="24"/>
          <w:szCs w:val="24"/>
        </w:rPr>
      </w:pPr>
    </w:p>
    <w:p w14:paraId="64898D57" w14:textId="77777777" w:rsidR="00F82DB7" w:rsidRDefault="00F82DB7" w:rsidP="00F82DB7">
      <w:pPr>
        <w:spacing w:after="0" w:line="240" w:lineRule="auto"/>
        <w:ind w:left="720"/>
        <w:rPr>
          <w:rFonts w:ascii="Times New Roman" w:hAnsi="Times New Roman"/>
          <w:sz w:val="24"/>
          <w:szCs w:val="24"/>
        </w:rPr>
      </w:pPr>
      <w:r w:rsidRPr="0049259F">
        <w:rPr>
          <w:rFonts w:ascii="Times New Roman" w:hAnsi="Times New Roman"/>
          <w:sz w:val="24"/>
          <w:szCs w:val="24"/>
        </w:rPr>
        <w:t>The drafting team incorporated the ability of new technologies to allow the industry to significantly</w:t>
      </w:r>
      <w:r>
        <w:rPr>
          <w:rFonts w:ascii="Times New Roman" w:hAnsi="Times New Roman"/>
          <w:sz w:val="24"/>
          <w:szCs w:val="24"/>
        </w:rPr>
        <w:t xml:space="preserve"> </w:t>
      </w:r>
      <w:r w:rsidRPr="0049259F">
        <w:rPr>
          <w:rFonts w:ascii="Times New Roman" w:hAnsi="Times New Roman"/>
          <w:sz w:val="24"/>
          <w:szCs w:val="24"/>
        </w:rPr>
        <w:t>extend the maintenance intervals by utilizing the monitoring capability of microprocessor based</w:t>
      </w:r>
      <w:r>
        <w:rPr>
          <w:rFonts w:ascii="Times New Roman" w:hAnsi="Times New Roman"/>
          <w:sz w:val="24"/>
          <w:szCs w:val="24"/>
        </w:rPr>
        <w:t xml:space="preserve"> </w:t>
      </w:r>
      <w:r w:rsidRPr="0049259F">
        <w:rPr>
          <w:rFonts w:ascii="Times New Roman" w:hAnsi="Times New Roman"/>
          <w:sz w:val="24"/>
          <w:szCs w:val="24"/>
        </w:rPr>
        <w:t>components. When proper monitoring is applied, the protective system maintenance personnel will be</w:t>
      </w:r>
      <w:r>
        <w:rPr>
          <w:rFonts w:ascii="Times New Roman" w:hAnsi="Times New Roman"/>
          <w:sz w:val="24"/>
          <w:szCs w:val="24"/>
        </w:rPr>
        <w:t xml:space="preserve"> </w:t>
      </w:r>
      <w:r w:rsidRPr="0049259F">
        <w:rPr>
          <w:rFonts w:ascii="Times New Roman" w:hAnsi="Times New Roman"/>
          <w:sz w:val="24"/>
          <w:szCs w:val="24"/>
        </w:rPr>
        <w:t xml:space="preserve">notified immediately when a protective relay or instrument transformer fails. </w:t>
      </w:r>
      <w:r>
        <w:rPr>
          <w:rFonts w:ascii="Times New Roman" w:hAnsi="Times New Roman"/>
          <w:sz w:val="24"/>
          <w:szCs w:val="24"/>
        </w:rPr>
        <w:t xml:space="preserve"> </w:t>
      </w:r>
      <w:r w:rsidRPr="0049259F">
        <w:rPr>
          <w:rFonts w:ascii="Times New Roman" w:hAnsi="Times New Roman"/>
          <w:sz w:val="24"/>
          <w:szCs w:val="24"/>
        </w:rPr>
        <w:t>PRC005-2 allows a 12 year</w:t>
      </w:r>
      <w:r>
        <w:rPr>
          <w:rFonts w:ascii="Times New Roman" w:hAnsi="Times New Roman"/>
          <w:sz w:val="24"/>
          <w:szCs w:val="24"/>
        </w:rPr>
        <w:t xml:space="preserve"> </w:t>
      </w:r>
      <w:r w:rsidRPr="0049259F">
        <w:rPr>
          <w:rFonts w:ascii="Times New Roman" w:hAnsi="Times New Roman"/>
          <w:sz w:val="24"/>
          <w:szCs w:val="24"/>
        </w:rPr>
        <w:t>interval on relays that are properly monitored since these devices will alarm for a failure when they have</w:t>
      </w:r>
      <w:r>
        <w:rPr>
          <w:rFonts w:ascii="Times New Roman" w:hAnsi="Times New Roman"/>
          <w:sz w:val="24"/>
          <w:szCs w:val="24"/>
        </w:rPr>
        <w:t xml:space="preserve"> </w:t>
      </w:r>
      <w:r w:rsidRPr="0049259F">
        <w:rPr>
          <w:rFonts w:ascii="Times New Roman" w:hAnsi="Times New Roman"/>
          <w:sz w:val="24"/>
          <w:szCs w:val="24"/>
        </w:rPr>
        <w:t xml:space="preserve">a problem as opposed to unmonitored relays experiencing an unidentified failure. </w:t>
      </w:r>
      <w:r>
        <w:rPr>
          <w:rFonts w:ascii="Times New Roman" w:hAnsi="Times New Roman"/>
          <w:sz w:val="24"/>
          <w:szCs w:val="24"/>
        </w:rPr>
        <w:t xml:space="preserve"> </w:t>
      </w:r>
      <w:r w:rsidRPr="0049259F">
        <w:rPr>
          <w:rFonts w:ascii="Times New Roman" w:hAnsi="Times New Roman"/>
          <w:sz w:val="24"/>
          <w:szCs w:val="24"/>
        </w:rPr>
        <w:t>Advanced monitoring</w:t>
      </w:r>
      <w:r>
        <w:rPr>
          <w:rFonts w:ascii="Times New Roman" w:hAnsi="Times New Roman"/>
          <w:sz w:val="24"/>
          <w:szCs w:val="24"/>
        </w:rPr>
        <w:t xml:space="preserve"> </w:t>
      </w:r>
      <w:r w:rsidRPr="0049259F">
        <w:rPr>
          <w:rFonts w:ascii="Times New Roman" w:hAnsi="Times New Roman"/>
          <w:sz w:val="24"/>
          <w:szCs w:val="24"/>
        </w:rPr>
        <w:t>techniques also allow other equipment intervals to be extended as detailed in the tables in the standard.</w:t>
      </w:r>
      <w:r>
        <w:rPr>
          <w:rFonts w:ascii="Times New Roman" w:hAnsi="Times New Roman"/>
          <w:sz w:val="24"/>
          <w:szCs w:val="24"/>
        </w:rPr>
        <w:t xml:space="preserve">  </w:t>
      </w:r>
      <w:r w:rsidRPr="0049259F">
        <w:rPr>
          <w:rFonts w:ascii="Times New Roman" w:hAnsi="Times New Roman"/>
          <w:sz w:val="24"/>
          <w:szCs w:val="24"/>
        </w:rPr>
        <w:t>The entities will have to document the applied monitoring techniques to utilize the longer test intervals.</w:t>
      </w:r>
      <w:r>
        <w:rPr>
          <w:rFonts w:ascii="Times New Roman" w:hAnsi="Times New Roman"/>
          <w:sz w:val="24"/>
          <w:szCs w:val="24"/>
        </w:rPr>
        <w:t xml:space="preserve">  </w:t>
      </w:r>
      <w:r w:rsidRPr="0049259F">
        <w:rPr>
          <w:rFonts w:ascii="Times New Roman" w:hAnsi="Times New Roman"/>
          <w:sz w:val="24"/>
          <w:szCs w:val="24"/>
        </w:rPr>
        <w:t>The drafting team believes that the application of new monitoring techniques (even with the longer test</w:t>
      </w:r>
      <w:r>
        <w:rPr>
          <w:rFonts w:ascii="Times New Roman" w:hAnsi="Times New Roman"/>
          <w:sz w:val="24"/>
          <w:szCs w:val="24"/>
        </w:rPr>
        <w:t xml:space="preserve"> </w:t>
      </w:r>
      <w:r w:rsidRPr="0049259F">
        <w:rPr>
          <w:rFonts w:ascii="Times New Roman" w:hAnsi="Times New Roman"/>
          <w:sz w:val="24"/>
          <w:szCs w:val="24"/>
        </w:rPr>
        <w:t>intervals) will provide better reliability than strictly time-based intervals used in the past.</w:t>
      </w:r>
    </w:p>
    <w:p w14:paraId="64898D58" w14:textId="77777777" w:rsidR="00F82DB7" w:rsidRDefault="00F82DB7" w:rsidP="00F82DB7">
      <w:pPr>
        <w:spacing w:after="0" w:line="240" w:lineRule="auto"/>
        <w:rPr>
          <w:rFonts w:ascii="Times New Roman" w:hAnsi="Times New Roman"/>
          <w:sz w:val="24"/>
          <w:szCs w:val="24"/>
        </w:rPr>
      </w:pPr>
    </w:p>
    <w:p w14:paraId="64898D59" w14:textId="77777777" w:rsidR="00F82DB7" w:rsidRDefault="00F82DB7" w:rsidP="00F82DB7">
      <w:pPr>
        <w:spacing w:after="0" w:line="240" w:lineRule="auto"/>
        <w:rPr>
          <w:rFonts w:ascii="Times New Roman" w:hAnsi="Times New Roman"/>
          <w:sz w:val="24"/>
          <w:szCs w:val="24"/>
        </w:rPr>
      </w:pPr>
      <w:r>
        <w:rPr>
          <w:rFonts w:ascii="Times New Roman" w:hAnsi="Times New Roman"/>
          <w:sz w:val="24"/>
          <w:szCs w:val="24"/>
        </w:rPr>
        <w:t>The fact that the standard allows for such a lengthy test/maintenance interval should actual</w:t>
      </w:r>
      <w:r w:rsidR="002A3817">
        <w:rPr>
          <w:rFonts w:ascii="Times New Roman" w:hAnsi="Times New Roman"/>
          <w:sz w:val="24"/>
          <w:szCs w:val="24"/>
        </w:rPr>
        <w:t>ly</w:t>
      </w:r>
      <w:r>
        <w:rPr>
          <w:rFonts w:ascii="Times New Roman" w:hAnsi="Times New Roman"/>
          <w:sz w:val="24"/>
          <w:szCs w:val="24"/>
        </w:rPr>
        <w:t xml:space="preserve"> serve to lessen the compliance burden on entities than if the interval was shorter.  The </w:t>
      </w:r>
      <w:r>
        <w:rPr>
          <w:rFonts w:ascii="Times New Roman" w:hAnsi="Times New Roman"/>
          <w:sz w:val="24"/>
          <w:szCs w:val="24"/>
        </w:rPr>
        <w:lastRenderedPageBreak/>
        <w:t xml:space="preserve">accompanying data retention requirement is simply to ensure that an entity is following the appropriate test/maintenance schedule. </w:t>
      </w:r>
      <w:r w:rsidR="00990149">
        <w:rPr>
          <w:rFonts w:ascii="Times New Roman" w:hAnsi="Times New Roman"/>
          <w:sz w:val="24"/>
          <w:szCs w:val="24"/>
        </w:rPr>
        <w:t xml:space="preserve"> FERC has submitted a justification for “substantial need” as a supplemental document to this collection.</w:t>
      </w:r>
      <w:r>
        <w:rPr>
          <w:rFonts w:ascii="Times New Roman" w:hAnsi="Times New Roman"/>
          <w:sz w:val="24"/>
          <w:szCs w:val="24"/>
        </w:rPr>
        <w:t xml:space="preserve">   </w:t>
      </w:r>
    </w:p>
    <w:p w14:paraId="64898D5A" w14:textId="77777777" w:rsidR="00F82DB7" w:rsidRDefault="00F82DB7" w:rsidP="00F82DB7">
      <w:pPr>
        <w:spacing w:after="0" w:line="240" w:lineRule="auto"/>
        <w:rPr>
          <w:rFonts w:ascii="Times New Roman" w:hAnsi="Times New Roman"/>
          <w:sz w:val="24"/>
          <w:szCs w:val="24"/>
        </w:rPr>
      </w:pPr>
    </w:p>
    <w:p w14:paraId="64898D5B" w14:textId="77777777" w:rsidR="00F82DB7" w:rsidRDefault="00F82DB7" w:rsidP="00F82DB7">
      <w:pPr>
        <w:spacing w:after="0" w:line="240" w:lineRule="auto"/>
        <w:rPr>
          <w:rFonts w:ascii="Times New Roman" w:hAnsi="Times New Roman"/>
          <w:sz w:val="24"/>
          <w:szCs w:val="24"/>
        </w:rPr>
      </w:pPr>
      <w:r>
        <w:rPr>
          <w:rFonts w:ascii="Times New Roman" w:hAnsi="Times New Roman"/>
          <w:sz w:val="24"/>
          <w:szCs w:val="24"/>
        </w:rPr>
        <w:t>For other requirements in the Reliability Standard, some entities may have to retain information for longer than three years.  This is simply because an audit (normally every three years) may be scheduled such that the period since the last audit is slightly longer than three years.</w:t>
      </w:r>
    </w:p>
    <w:p w14:paraId="64898D5C" w14:textId="77777777" w:rsidR="00F82DB7" w:rsidRPr="009468C0" w:rsidRDefault="00F82DB7" w:rsidP="00F82DB7">
      <w:pPr>
        <w:spacing w:after="0" w:line="240" w:lineRule="auto"/>
        <w:rPr>
          <w:rFonts w:ascii="Times New Roman" w:hAnsi="Times New Roman"/>
          <w:sz w:val="24"/>
          <w:szCs w:val="24"/>
        </w:rPr>
      </w:pPr>
    </w:p>
    <w:p w14:paraId="64898D5D" w14:textId="13611C15" w:rsidR="00F82DB7" w:rsidRDefault="00F82DB7" w:rsidP="00F82DB7">
      <w:pPr>
        <w:spacing w:after="0" w:line="240" w:lineRule="auto"/>
        <w:rPr>
          <w:rFonts w:ascii="Times New Roman" w:hAnsi="Times New Roman"/>
          <w:sz w:val="24"/>
          <w:szCs w:val="24"/>
          <w:highlight w:val="yellow"/>
        </w:rPr>
      </w:pPr>
      <w:r>
        <w:rPr>
          <w:rFonts w:ascii="Times New Roman" w:hAnsi="Times New Roman"/>
          <w:sz w:val="24"/>
          <w:szCs w:val="24"/>
        </w:rPr>
        <w:t>This special circumstance is</w:t>
      </w:r>
      <w:r w:rsidRPr="009468C0">
        <w:rPr>
          <w:rFonts w:ascii="Times New Roman" w:hAnsi="Times New Roman"/>
          <w:sz w:val="24"/>
          <w:szCs w:val="24"/>
        </w:rPr>
        <w:t xml:space="preserve"> ne</w:t>
      </w:r>
      <w:r>
        <w:rPr>
          <w:rFonts w:ascii="Times New Roman" w:hAnsi="Times New Roman"/>
          <w:sz w:val="24"/>
          <w:szCs w:val="24"/>
        </w:rPr>
        <w:t>cessary for the audit program which supports the reliable operation of the bulk power system</w:t>
      </w:r>
      <w:r w:rsidRPr="009468C0">
        <w:rPr>
          <w:rFonts w:ascii="Times New Roman" w:hAnsi="Times New Roman"/>
          <w:sz w:val="24"/>
          <w:szCs w:val="24"/>
        </w:rPr>
        <w:t>.</w:t>
      </w:r>
      <w:r>
        <w:rPr>
          <w:rFonts w:ascii="Times New Roman" w:hAnsi="Times New Roman"/>
          <w:sz w:val="24"/>
          <w:szCs w:val="24"/>
        </w:rPr>
        <w:t xml:space="preserve"> </w:t>
      </w:r>
    </w:p>
    <w:p w14:paraId="64898D5E" w14:textId="77777777" w:rsidR="00EB3E6F" w:rsidRPr="00B16372" w:rsidRDefault="00EB3E6F" w:rsidP="0092596C">
      <w:pPr>
        <w:spacing w:after="0" w:line="240" w:lineRule="auto"/>
        <w:rPr>
          <w:rFonts w:ascii="Times New Roman" w:hAnsi="Times New Roman" w:cs="Times New Roman"/>
          <w:sz w:val="24"/>
          <w:szCs w:val="24"/>
        </w:rPr>
      </w:pPr>
    </w:p>
    <w:p w14:paraId="64898D5F"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EFFORTS TO CONSULT OUTSIDE THE AGENCY: SUMMARIZE PUBLIC COMMENTS AND THE AGENCY’S RESPONSE</w:t>
      </w:r>
    </w:p>
    <w:p w14:paraId="64898D60" w14:textId="77777777" w:rsidR="00EB3E6F" w:rsidRPr="00B16372" w:rsidRDefault="00EB3E6F" w:rsidP="0092596C">
      <w:pPr>
        <w:spacing w:after="0" w:line="240" w:lineRule="auto"/>
        <w:rPr>
          <w:rFonts w:ascii="Times New Roman" w:hAnsi="Times New Roman" w:cs="Times New Roman"/>
          <w:sz w:val="24"/>
          <w:szCs w:val="24"/>
        </w:rPr>
      </w:pPr>
    </w:p>
    <w:p w14:paraId="64898D61" w14:textId="1874DD27" w:rsidR="0072126E" w:rsidRDefault="0072126E" w:rsidP="0092596C">
      <w:pPr>
        <w:spacing w:after="0" w:line="240" w:lineRule="auto"/>
        <w:rPr>
          <w:rFonts w:ascii="Times New Roman" w:hAnsi="Times New Roman"/>
          <w:sz w:val="24"/>
          <w:szCs w:val="24"/>
        </w:rPr>
      </w:pPr>
      <w:r w:rsidRPr="00B16372">
        <w:rPr>
          <w:rFonts w:ascii="Times New Roman" w:hAnsi="Times New Roman"/>
          <w:bCs/>
          <w:sz w:val="24"/>
          <w:szCs w:val="24"/>
        </w:rPr>
        <w:t>The ERO process to establish Reliability Standards is a collaborative process with the ERO, Regional Entities and other stakeholders</w:t>
      </w:r>
      <w:r w:rsidR="00C51F82">
        <w:rPr>
          <w:rFonts w:ascii="Times New Roman" w:hAnsi="Times New Roman"/>
          <w:bCs/>
          <w:sz w:val="24"/>
          <w:szCs w:val="24"/>
        </w:rPr>
        <w:t>.  This process involves</w:t>
      </w:r>
      <w:r w:rsidRPr="00B16372">
        <w:rPr>
          <w:rFonts w:ascii="Times New Roman" w:hAnsi="Times New Roman"/>
          <w:bCs/>
          <w:sz w:val="24"/>
          <w:szCs w:val="24"/>
        </w:rPr>
        <w:t xml:space="preserve"> developing and reviewing drafts, providing comments with the final proposed standard submitted to the FERC for review and approval.</w:t>
      </w:r>
      <w:r w:rsidRPr="00B16372">
        <w:rPr>
          <w:rFonts w:ascii="Times New Roman" w:hAnsi="Times New Roman"/>
          <w:b/>
          <w:bCs/>
          <w:sz w:val="24"/>
          <w:szCs w:val="24"/>
          <w:vertAlign w:val="superscript"/>
        </w:rPr>
        <w:footnoteReference w:id="9"/>
      </w:r>
      <w:r w:rsidRPr="00B16372">
        <w:rPr>
          <w:rFonts w:ascii="Times New Roman" w:hAnsi="Times New Roman"/>
          <w:bCs/>
          <w:sz w:val="24"/>
          <w:szCs w:val="24"/>
        </w:rPr>
        <w:t xml:space="preserve">  In addition, each FERC rulemaking (both proposed and final rules) is published in the </w:t>
      </w:r>
      <w:r w:rsidRPr="00B16372">
        <w:rPr>
          <w:rFonts w:ascii="Times New Roman" w:hAnsi="Times New Roman"/>
          <w:bCs/>
          <w:sz w:val="24"/>
          <w:szCs w:val="24"/>
          <w:u w:val="single"/>
        </w:rPr>
        <w:t>Federal Register</w:t>
      </w:r>
      <w:r w:rsidRPr="00B16372">
        <w:rPr>
          <w:rFonts w:ascii="Times New Roman" w:hAnsi="Times New Roman"/>
          <w:bCs/>
          <w:sz w:val="24"/>
          <w:szCs w:val="24"/>
        </w:rPr>
        <w:t xml:space="preserve">, thereby providing public utilities and licensees, state commissions, Federal agencies, and other interested parties an opportunity to submit data, views, comments or suggestions concerning the proposed collection of data. </w:t>
      </w:r>
      <w:r w:rsidRPr="00B16372">
        <w:rPr>
          <w:rFonts w:ascii="Times New Roman" w:hAnsi="Times New Roman"/>
          <w:sz w:val="24"/>
          <w:szCs w:val="24"/>
        </w:rPr>
        <w:t xml:space="preserve"> The proposed rule was published in the Federal Register </w:t>
      </w:r>
      <w:r w:rsidRPr="00BB71CF">
        <w:rPr>
          <w:rFonts w:ascii="Times New Roman" w:hAnsi="Times New Roman"/>
          <w:sz w:val="24"/>
          <w:szCs w:val="24"/>
        </w:rPr>
        <w:t xml:space="preserve">on </w:t>
      </w:r>
      <w:r w:rsidR="00AC488E" w:rsidRPr="00BB71CF">
        <w:rPr>
          <w:rFonts w:ascii="Times New Roman" w:hAnsi="Times New Roman"/>
          <w:sz w:val="24"/>
          <w:szCs w:val="24"/>
        </w:rPr>
        <w:t>July</w:t>
      </w:r>
      <w:r w:rsidR="00DF56DA" w:rsidRPr="00BB71CF">
        <w:rPr>
          <w:rFonts w:ascii="Times New Roman" w:hAnsi="Times New Roman"/>
          <w:sz w:val="24"/>
          <w:szCs w:val="24"/>
        </w:rPr>
        <w:t xml:space="preserve"> </w:t>
      </w:r>
      <w:r w:rsidR="00BB71CF" w:rsidRPr="00BB71CF">
        <w:rPr>
          <w:rFonts w:ascii="Times New Roman" w:hAnsi="Times New Roman"/>
          <w:sz w:val="24"/>
          <w:szCs w:val="24"/>
        </w:rPr>
        <w:t>24, 2013 (78 FR 44475</w:t>
      </w:r>
      <w:r w:rsidRPr="00DF56DA">
        <w:rPr>
          <w:rFonts w:ascii="Times New Roman" w:hAnsi="Times New Roman"/>
          <w:sz w:val="24"/>
          <w:szCs w:val="24"/>
        </w:rPr>
        <w:t>).</w:t>
      </w:r>
    </w:p>
    <w:p w14:paraId="54B65968" w14:textId="77777777" w:rsidR="00186941" w:rsidRDefault="00186941" w:rsidP="0092596C">
      <w:pPr>
        <w:spacing w:after="0" w:line="240" w:lineRule="auto"/>
        <w:rPr>
          <w:rFonts w:ascii="Times New Roman" w:hAnsi="Times New Roman"/>
          <w:sz w:val="24"/>
          <w:szCs w:val="24"/>
        </w:rPr>
      </w:pPr>
    </w:p>
    <w:p w14:paraId="45865F42" w14:textId="4136E53C" w:rsidR="00186941" w:rsidRDefault="00186941" w:rsidP="0092596C">
      <w:pPr>
        <w:spacing w:after="0" w:line="240" w:lineRule="auto"/>
        <w:rPr>
          <w:rFonts w:ascii="Times New Roman" w:hAnsi="Times New Roman"/>
          <w:sz w:val="24"/>
          <w:szCs w:val="24"/>
        </w:rPr>
      </w:pPr>
      <w:r>
        <w:rPr>
          <w:rFonts w:ascii="Times New Roman" w:hAnsi="Times New Roman"/>
          <w:sz w:val="24"/>
          <w:szCs w:val="24"/>
        </w:rPr>
        <w:t>In response to the proposed rule the Commission received seven sets of comments.</w:t>
      </w:r>
      <w:r w:rsidR="00C65304">
        <w:rPr>
          <w:rFonts w:ascii="Times New Roman" w:hAnsi="Times New Roman"/>
          <w:sz w:val="24"/>
          <w:szCs w:val="24"/>
        </w:rPr>
        <w:t xml:space="preserve">  No commenters discussed the information collection requirements or burden estimates.</w:t>
      </w:r>
      <w:r>
        <w:rPr>
          <w:rFonts w:ascii="Times New Roman" w:hAnsi="Times New Roman"/>
          <w:sz w:val="24"/>
          <w:szCs w:val="24"/>
        </w:rPr>
        <w:t xml:space="preserve">  </w:t>
      </w:r>
    </w:p>
    <w:p w14:paraId="098990DB" w14:textId="77777777" w:rsidR="00C65304" w:rsidRDefault="00C65304" w:rsidP="0092596C">
      <w:pPr>
        <w:spacing w:after="0" w:line="240" w:lineRule="auto"/>
        <w:rPr>
          <w:rFonts w:ascii="Times New Roman" w:hAnsi="Times New Roman"/>
          <w:sz w:val="24"/>
          <w:szCs w:val="24"/>
        </w:rPr>
      </w:pPr>
    </w:p>
    <w:p w14:paraId="68F6695E" w14:textId="77777777" w:rsidR="00C65304" w:rsidRPr="00C65304" w:rsidRDefault="00C65304" w:rsidP="00C65304">
      <w:pPr>
        <w:spacing w:after="0" w:line="240" w:lineRule="auto"/>
        <w:rPr>
          <w:rFonts w:ascii="Times New Roman" w:hAnsi="Times New Roman"/>
          <w:b/>
          <w:sz w:val="24"/>
          <w:szCs w:val="24"/>
        </w:rPr>
      </w:pPr>
      <w:r w:rsidRPr="00C65304">
        <w:rPr>
          <w:rFonts w:ascii="Times New Roman" w:hAnsi="Times New Roman"/>
          <w:sz w:val="24"/>
          <w:szCs w:val="24"/>
        </w:rPr>
        <w:t>Most commenters generally support the Commission’s proposed approval of PRC-005-2.  ITC “supports NERC’s proposal as improving Bulk Electric System reliability and promoting efficiency through consolidation [of protection system-related standards] into a single Standard.”</w:t>
      </w:r>
      <w:r w:rsidRPr="00C65304">
        <w:rPr>
          <w:rFonts w:ascii="Times New Roman" w:hAnsi="Times New Roman"/>
          <w:b/>
          <w:sz w:val="24"/>
          <w:szCs w:val="24"/>
          <w:vertAlign w:val="superscript"/>
        </w:rPr>
        <w:footnoteReference w:id="10"/>
      </w:r>
      <w:r w:rsidRPr="00C65304">
        <w:rPr>
          <w:rFonts w:ascii="Times New Roman" w:hAnsi="Times New Roman"/>
          <w:sz w:val="24"/>
          <w:szCs w:val="24"/>
        </w:rPr>
        <w:t xml:space="preserve">  The Bureau of Reclamation states that the revised standard “is a significant improvement over the current PRC-005-1 standard because the current standard is more likely to penalize an entity that develops an ambitious maintenance program than an entity that has a less robust maintenance program.”</w:t>
      </w:r>
      <w:r w:rsidRPr="00C65304">
        <w:rPr>
          <w:rFonts w:ascii="Times New Roman" w:hAnsi="Times New Roman"/>
          <w:b/>
          <w:sz w:val="24"/>
          <w:szCs w:val="24"/>
          <w:vertAlign w:val="superscript"/>
        </w:rPr>
        <w:footnoteReference w:id="11"/>
      </w:r>
    </w:p>
    <w:p w14:paraId="33C7B1A8" w14:textId="77777777" w:rsidR="00C65304" w:rsidRDefault="00C65304" w:rsidP="00C65304">
      <w:pPr>
        <w:spacing w:after="0" w:line="240" w:lineRule="auto"/>
        <w:rPr>
          <w:rFonts w:ascii="Times New Roman" w:hAnsi="Times New Roman"/>
          <w:sz w:val="24"/>
          <w:szCs w:val="24"/>
        </w:rPr>
      </w:pPr>
    </w:p>
    <w:p w14:paraId="503517FC" w14:textId="77777777" w:rsidR="00C65304" w:rsidRPr="00C65304" w:rsidRDefault="00C65304" w:rsidP="00C65304">
      <w:pPr>
        <w:spacing w:after="0" w:line="240" w:lineRule="auto"/>
        <w:rPr>
          <w:rFonts w:ascii="Times New Roman" w:hAnsi="Times New Roman"/>
          <w:b/>
          <w:sz w:val="24"/>
          <w:szCs w:val="24"/>
        </w:rPr>
      </w:pPr>
      <w:r w:rsidRPr="00C65304">
        <w:rPr>
          <w:rFonts w:ascii="Times New Roman" w:hAnsi="Times New Roman"/>
          <w:sz w:val="24"/>
          <w:szCs w:val="24"/>
        </w:rPr>
        <w:t>Duke Energy, however, asks that the Commission reject the revised standard.  Duke Energy argues that PRC-005-2 improperly expands the applicability of the protection system maintenance standard because, “as written, it could also apply to Protection Systems which detect faults on the Bulk Electric System (BES), but which don’t affect the reliable operation of the BES.”</w:t>
      </w:r>
      <w:r w:rsidRPr="00C65304">
        <w:rPr>
          <w:rFonts w:ascii="Times New Roman" w:hAnsi="Times New Roman"/>
          <w:b/>
          <w:sz w:val="24"/>
          <w:szCs w:val="24"/>
          <w:vertAlign w:val="superscript"/>
        </w:rPr>
        <w:footnoteReference w:id="12"/>
      </w:r>
      <w:r w:rsidRPr="00C65304">
        <w:rPr>
          <w:rFonts w:ascii="Times New Roman" w:hAnsi="Times New Roman"/>
          <w:sz w:val="24"/>
          <w:szCs w:val="24"/>
        </w:rPr>
        <w:t xml:space="preserve">  Duke Energy argues that the Reliability Standard, as written, would apply to one of </w:t>
      </w:r>
      <w:r w:rsidRPr="00C65304">
        <w:rPr>
          <w:rFonts w:ascii="Times New Roman" w:hAnsi="Times New Roman"/>
          <w:sz w:val="24"/>
          <w:szCs w:val="24"/>
        </w:rPr>
        <w:lastRenderedPageBreak/>
        <w:t>Duke Energy’s typical protection schemes for dispersed, non-BES generation at distribution stations, because the relays involved are designed to detect faults on the BES although these particular protection schemes do not operate BES elements or interrupt network current flow from the BES.</w:t>
      </w:r>
      <w:r w:rsidRPr="00C65304">
        <w:rPr>
          <w:rFonts w:ascii="Times New Roman" w:hAnsi="Times New Roman"/>
          <w:b/>
          <w:sz w:val="24"/>
          <w:szCs w:val="24"/>
          <w:vertAlign w:val="superscript"/>
        </w:rPr>
        <w:footnoteReference w:id="13"/>
      </w:r>
      <w:r w:rsidRPr="00C65304">
        <w:rPr>
          <w:rFonts w:ascii="Times New Roman" w:hAnsi="Times New Roman"/>
          <w:sz w:val="24"/>
          <w:szCs w:val="24"/>
        </w:rPr>
        <w:t xml:space="preserve">  Duke Energy maintains that these protection schemes initiate shutdown of non-BES generation only, and should not properly be covered under a protection system maintenance Reliability Standard.  Duke Energy accordingly requests that the Commission remand the standard to NERC with a directive to limit applicability of the standard to protection systems and elements thereof “which affect the reliable operation of those BES Elements” on which they detect faults.</w:t>
      </w:r>
      <w:r w:rsidRPr="00C65304">
        <w:rPr>
          <w:rFonts w:ascii="Times New Roman" w:hAnsi="Times New Roman"/>
          <w:b/>
          <w:sz w:val="24"/>
          <w:szCs w:val="24"/>
          <w:vertAlign w:val="superscript"/>
        </w:rPr>
        <w:footnoteReference w:id="14"/>
      </w:r>
      <w:r w:rsidRPr="00C65304">
        <w:rPr>
          <w:rFonts w:ascii="Times New Roman" w:hAnsi="Times New Roman"/>
          <w:sz w:val="24"/>
          <w:szCs w:val="24"/>
        </w:rPr>
        <w:t xml:space="preserve">  </w:t>
      </w:r>
    </w:p>
    <w:p w14:paraId="30F9ACA7" w14:textId="77777777" w:rsidR="00C65304" w:rsidRDefault="00C65304" w:rsidP="00C65304">
      <w:pPr>
        <w:spacing w:after="0" w:line="240" w:lineRule="auto"/>
        <w:rPr>
          <w:rFonts w:ascii="Times New Roman" w:hAnsi="Times New Roman"/>
          <w:sz w:val="24"/>
          <w:szCs w:val="24"/>
        </w:rPr>
      </w:pPr>
    </w:p>
    <w:p w14:paraId="54C45C25" w14:textId="0CA2C232" w:rsidR="00C65304" w:rsidRPr="00C65304" w:rsidRDefault="0085046D" w:rsidP="00C65304">
      <w:pPr>
        <w:spacing w:after="0" w:line="240" w:lineRule="auto"/>
        <w:rPr>
          <w:rFonts w:ascii="Times New Roman" w:hAnsi="Times New Roman"/>
          <w:b/>
          <w:sz w:val="24"/>
          <w:szCs w:val="24"/>
        </w:rPr>
      </w:pPr>
      <w:r>
        <w:rPr>
          <w:rFonts w:ascii="Times New Roman" w:hAnsi="Times New Roman"/>
          <w:sz w:val="24"/>
          <w:szCs w:val="24"/>
        </w:rPr>
        <w:t xml:space="preserve">In the Commission’s final rule approving the standard, it found </w:t>
      </w:r>
      <w:r w:rsidR="00C65304" w:rsidRPr="00C65304">
        <w:rPr>
          <w:rFonts w:ascii="Times New Roman" w:hAnsi="Times New Roman"/>
          <w:sz w:val="24"/>
          <w:szCs w:val="24"/>
        </w:rPr>
        <w:t xml:space="preserve">that Reliability Standard PRC-005-2 will enhance reliability as compared to the currently existing standards, and agree with ITC that PRC-005-2 promotes efficiency by consolidating protection system maintenance requirements into a single standard.  Consistent with the NOPR, we believe that Reliability Standard PRC-005-2 should reduce the risk of protection system </w:t>
      </w:r>
      <w:proofErr w:type="spellStart"/>
      <w:r w:rsidR="00C65304" w:rsidRPr="00C65304">
        <w:rPr>
          <w:rFonts w:ascii="Times New Roman" w:hAnsi="Times New Roman"/>
          <w:sz w:val="24"/>
          <w:szCs w:val="24"/>
        </w:rPr>
        <w:t>misoperations</w:t>
      </w:r>
      <w:proofErr w:type="spellEnd"/>
      <w:r w:rsidR="00C65304" w:rsidRPr="00C65304">
        <w:rPr>
          <w:rFonts w:ascii="Times New Roman" w:hAnsi="Times New Roman"/>
          <w:sz w:val="24"/>
          <w:szCs w:val="24"/>
        </w:rPr>
        <w:t xml:space="preserve"> by setting out minimum maintenance activities and maximum maintenance time intervals for individual components of protection systems.</w:t>
      </w:r>
      <w:r w:rsidR="00C65304" w:rsidRPr="00C65304">
        <w:rPr>
          <w:rFonts w:ascii="Times New Roman" w:hAnsi="Times New Roman"/>
          <w:b/>
          <w:sz w:val="24"/>
          <w:szCs w:val="24"/>
          <w:vertAlign w:val="superscript"/>
        </w:rPr>
        <w:footnoteReference w:id="15"/>
      </w:r>
      <w:r w:rsidR="00C65304" w:rsidRPr="00C65304">
        <w:rPr>
          <w:rFonts w:ascii="Times New Roman" w:hAnsi="Times New Roman"/>
          <w:sz w:val="24"/>
          <w:szCs w:val="24"/>
        </w:rPr>
        <w:t xml:space="preserve">  In addition, </w:t>
      </w:r>
      <w:r>
        <w:rPr>
          <w:rFonts w:ascii="Times New Roman" w:hAnsi="Times New Roman"/>
          <w:sz w:val="24"/>
          <w:szCs w:val="24"/>
        </w:rPr>
        <w:t xml:space="preserve">the Commission stated </w:t>
      </w:r>
      <w:r w:rsidR="00C65304" w:rsidRPr="00C65304">
        <w:rPr>
          <w:rFonts w:ascii="Times New Roman" w:hAnsi="Times New Roman"/>
          <w:sz w:val="24"/>
          <w:szCs w:val="24"/>
        </w:rPr>
        <w:t xml:space="preserve">that PRC-005-2 will improve reliability by establishing requirements for condition-based and performance-based maintenance programs where maintenance intervals are adjusted to reflect the known and reported condition or the historical performance of the relevant devices.  Finally, </w:t>
      </w:r>
      <w:r>
        <w:rPr>
          <w:rFonts w:ascii="Times New Roman" w:hAnsi="Times New Roman"/>
          <w:sz w:val="24"/>
          <w:szCs w:val="24"/>
        </w:rPr>
        <w:t xml:space="preserve">the Commission </w:t>
      </w:r>
      <w:r w:rsidR="00C65304" w:rsidRPr="00C65304">
        <w:rPr>
          <w:rFonts w:ascii="Times New Roman" w:hAnsi="Times New Roman"/>
          <w:sz w:val="24"/>
          <w:szCs w:val="24"/>
        </w:rPr>
        <w:t>agree</w:t>
      </w:r>
      <w:r>
        <w:rPr>
          <w:rFonts w:ascii="Times New Roman" w:hAnsi="Times New Roman"/>
          <w:sz w:val="24"/>
          <w:szCs w:val="24"/>
        </w:rPr>
        <w:t>d</w:t>
      </w:r>
      <w:r w:rsidR="00C65304" w:rsidRPr="00C65304">
        <w:rPr>
          <w:rFonts w:ascii="Times New Roman" w:hAnsi="Times New Roman"/>
          <w:sz w:val="24"/>
          <w:szCs w:val="24"/>
        </w:rPr>
        <w:t xml:space="preserve"> with the Bureau of Reclamation that the revised standard removes the potential disincentive, inherent in the existing protection system maintenance standards, to adopt more aggressive maintenance programs because compliance is currently measured against each individual company’s adopted program rather than against industry standards or minimums.  </w:t>
      </w:r>
    </w:p>
    <w:p w14:paraId="507B9B17" w14:textId="77777777" w:rsidR="00C65304" w:rsidRDefault="00C65304" w:rsidP="00C65304">
      <w:pPr>
        <w:spacing w:after="0" w:line="240" w:lineRule="auto"/>
        <w:rPr>
          <w:rFonts w:ascii="Times New Roman" w:hAnsi="Times New Roman"/>
          <w:sz w:val="24"/>
          <w:szCs w:val="24"/>
        </w:rPr>
      </w:pPr>
    </w:p>
    <w:p w14:paraId="7D86E1EB" w14:textId="4377E7BE" w:rsidR="00C65304" w:rsidRDefault="0085046D" w:rsidP="00C65304">
      <w:pPr>
        <w:spacing w:after="0" w:line="240" w:lineRule="auto"/>
        <w:rPr>
          <w:rFonts w:ascii="Times New Roman" w:hAnsi="Times New Roman"/>
          <w:sz w:val="24"/>
          <w:szCs w:val="24"/>
        </w:rPr>
      </w:pPr>
      <w:r>
        <w:rPr>
          <w:rFonts w:ascii="Times New Roman" w:hAnsi="Times New Roman"/>
          <w:sz w:val="24"/>
          <w:szCs w:val="24"/>
        </w:rPr>
        <w:t xml:space="preserve">The Commission was </w:t>
      </w:r>
      <w:r w:rsidR="00C65304" w:rsidRPr="00C65304">
        <w:rPr>
          <w:rFonts w:ascii="Times New Roman" w:hAnsi="Times New Roman"/>
          <w:sz w:val="24"/>
          <w:szCs w:val="24"/>
        </w:rPr>
        <w:t xml:space="preserve">not persuaded by Duke Energy that remand of the Reliability Standard is required.  Duke Energy argues that PRC-005-2 will bring a new set of protection system schemes under NERC’s protection system maintenance standard requirements.  </w:t>
      </w:r>
      <w:r>
        <w:rPr>
          <w:rFonts w:ascii="Times New Roman" w:hAnsi="Times New Roman"/>
          <w:sz w:val="24"/>
          <w:szCs w:val="24"/>
        </w:rPr>
        <w:t xml:space="preserve">The Commission </w:t>
      </w:r>
      <w:r w:rsidR="00C65304" w:rsidRPr="00C65304">
        <w:rPr>
          <w:rFonts w:ascii="Times New Roman" w:hAnsi="Times New Roman"/>
          <w:sz w:val="24"/>
          <w:szCs w:val="24"/>
        </w:rPr>
        <w:t>decline</w:t>
      </w:r>
      <w:r>
        <w:rPr>
          <w:rFonts w:ascii="Times New Roman" w:hAnsi="Times New Roman"/>
          <w:sz w:val="24"/>
          <w:szCs w:val="24"/>
        </w:rPr>
        <w:t>d</w:t>
      </w:r>
      <w:r w:rsidR="00C65304" w:rsidRPr="00C65304">
        <w:rPr>
          <w:rFonts w:ascii="Times New Roman" w:hAnsi="Times New Roman"/>
          <w:sz w:val="24"/>
          <w:szCs w:val="24"/>
        </w:rPr>
        <w:t xml:space="preserve"> to make any specific determination about the applicability of this standard to specific elements or types of elements.  Rather, Duke Energy may seek to raise concerns regarding applicability of the Reliability Standard to specific system elements with NERC or the relevant Regional Entity.</w:t>
      </w:r>
    </w:p>
    <w:p w14:paraId="5ED46854" w14:textId="77777777" w:rsidR="000447C0" w:rsidRDefault="000447C0" w:rsidP="00C65304">
      <w:pPr>
        <w:spacing w:after="0" w:line="240" w:lineRule="auto"/>
        <w:rPr>
          <w:rFonts w:ascii="Times New Roman" w:hAnsi="Times New Roman"/>
          <w:sz w:val="24"/>
          <w:szCs w:val="24"/>
        </w:rPr>
      </w:pPr>
    </w:p>
    <w:p w14:paraId="15B33B94" w14:textId="4C29ED90" w:rsidR="000447C0" w:rsidRPr="00B16372" w:rsidRDefault="000447C0" w:rsidP="00C65304">
      <w:pPr>
        <w:spacing w:after="0" w:line="240" w:lineRule="auto"/>
        <w:rPr>
          <w:rFonts w:ascii="Times New Roman" w:hAnsi="Times New Roman"/>
          <w:sz w:val="24"/>
          <w:szCs w:val="24"/>
        </w:rPr>
      </w:pPr>
      <w:r>
        <w:rPr>
          <w:rFonts w:ascii="Times New Roman" w:hAnsi="Times New Roman"/>
          <w:sz w:val="24"/>
          <w:szCs w:val="24"/>
        </w:rPr>
        <w:t xml:space="preserve">All other comments and the Commission’s response to those comments are included in the final rule document included with this submission as a supplemental document.  </w:t>
      </w:r>
    </w:p>
    <w:p w14:paraId="64898D62" w14:textId="77777777" w:rsidR="00EB3E6F" w:rsidRPr="00B16372" w:rsidRDefault="00EB3E6F" w:rsidP="0092596C">
      <w:pPr>
        <w:spacing w:after="0" w:line="240" w:lineRule="auto"/>
        <w:rPr>
          <w:rFonts w:ascii="Times New Roman" w:hAnsi="Times New Roman" w:cs="Times New Roman"/>
          <w:sz w:val="24"/>
          <w:szCs w:val="24"/>
        </w:rPr>
      </w:pPr>
    </w:p>
    <w:p w14:paraId="64898D63" w14:textId="77777777" w:rsidR="00EB3E6F"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EXPLAIN ANY PAYMENT OR GIFTS TO RESPONDENTS</w:t>
      </w:r>
    </w:p>
    <w:p w14:paraId="64898D64" w14:textId="77777777" w:rsidR="00D80FBD" w:rsidRPr="00B16372" w:rsidRDefault="00D80FBD" w:rsidP="0092596C">
      <w:pPr>
        <w:spacing w:after="0" w:line="240" w:lineRule="auto"/>
        <w:rPr>
          <w:rFonts w:ascii="Times New Roman" w:hAnsi="Times New Roman" w:cs="Times New Roman"/>
          <w:sz w:val="24"/>
          <w:szCs w:val="24"/>
        </w:rPr>
      </w:pPr>
    </w:p>
    <w:p w14:paraId="64898D65" w14:textId="77777777" w:rsidR="0072126E" w:rsidRPr="00B16372" w:rsidRDefault="0072126E" w:rsidP="0092596C">
      <w:pPr>
        <w:spacing w:after="0" w:line="240" w:lineRule="auto"/>
        <w:rPr>
          <w:rFonts w:ascii="Times New Roman" w:hAnsi="Times New Roman"/>
          <w:sz w:val="24"/>
          <w:szCs w:val="24"/>
        </w:rPr>
      </w:pPr>
      <w:r w:rsidRPr="00B16372">
        <w:rPr>
          <w:rFonts w:ascii="Times New Roman" w:hAnsi="Times New Roman"/>
          <w:sz w:val="24"/>
          <w:szCs w:val="24"/>
        </w:rPr>
        <w:t>The Commission does not make payments or provide gifts for respondents related to this collection.</w:t>
      </w:r>
    </w:p>
    <w:p w14:paraId="64898D66" w14:textId="77777777" w:rsidR="00D80FBD" w:rsidRPr="00B16372" w:rsidRDefault="00D80FBD" w:rsidP="0092596C">
      <w:pPr>
        <w:spacing w:after="0" w:line="240" w:lineRule="auto"/>
        <w:rPr>
          <w:rFonts w:ascii="Times New Roman" w:hAnsi="Times New Roman" w:cs="Times New Roman"/>
          <w:sz w:val="24"/>
          <w:szCs w:val="24"/>
        </w:rPr>
      </w:pPr>
    </w:p>
    <w:p w14:paraId="64898D67" w14:textId="77777777"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lastRenderedPageBreak/>
        <w:t>DESCRIBE ANY ASSURANCE OF CONFIDENTIALITY PROVIDED TO RESPONDENTS</w:t>
      </w:r>
    </w:p>
    <w:p w14:paraId="64898D68" w14:textId="77777777" w:rsidR="00182858" w:rsidRDefault="00182858" w:rsidP="0092596C">
      <w:pPr>
        <w:spacing w:after="0" w:line="240" w:lineRule="auto"/>
        <w:rPr>
          <w:rFonts w:ascii="Times New Roman" w:hAnsi="Times New Roman" w:cs="Times New Roman"/>
          <w:sz w:val="24"/>
          <w:szCs w:val="24"/>
        </w:rPr>
      </w:pPr>
    </w:p>
    <w:p w14:paraId="64898D69" w14:textId="77777777" w:rsidR="00D80FBD" w:rsidRPr="00B16372" w:rsidRDefault="004552E9"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There are no specific assurances of confidentiality mentioned to respondents.</w:t>
      </w:r>
    </w:p>
    <w:p w14:paraId="64898D6A" w14:textId="77777777" w:rsidR="00D80FBD" w:rsidRPr="00B16372" w:rsidRDefault="00D80FBD" w:rsidP="0092596C">
      <w:pPr>
        <w:spacing w:after="0" w:line="240" w:lineRule="auto"/>
        <w:rPr>
          <w:rFonts w:ascii="Times New Roman" w:hAnsi="Times New Roman" w:cs="Times New Roman"/>
          <w:sz w:val="24"/>
          <w:szCs w:val="24"/>
        </w:rPr>
      </w:pPr>
    </w:p>
    <w:p w14:paraId="64898D6B" w14:textId="77777777"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PROVIDE ADDITIONAL JUSTIFICATION FOR ANY QUESTIONS OF A SENSITIVE NATURE</w:t>
      </w:r>
    </w:p>
    <w:p w14:paraId="64898D6C" w14:textId="77777777" w:rsidR="00D80FBD" w:rsidRPr="00B16372" w:rsidRDefault="00D80FBD" w:rsidP="0092596C">
      <w:pPr>
        <w:spacing w:after="0" w:line="240" w:lineRule="auto"/>
        <w:rPr>
          <w:rFonts w:ascii="Times New Roman" w:hAnsi="Times New Roman" w:cs="Times New Roman"/>
          <w:sz w:val="24"/>
          <w:szCs w:val="24"/>
        </w:rPr>
      </w:pPr>
    </w:p>
    <w:p w14:paraId="64898D6D" w14:textId="77777777" w:rsidR="00A4336A" w:rsidRPr="00B16372" w:rsidRDefault="00A4336A" w:rsidP="0092596C">
      <w:pPr>
        <w:spacing w:after="0" w:line="240" w:lineRule="auto"/>
        <w:rPr>
          <w:rFonts w:ascii="Times New Roman" w:hAnsi="Times New Roman"/>
          <w:sz w:val="24"/>
          <w:szCs w:val="24"/>
        </w:rPr>
      </w:pPr>
      <w:r w:rsidRPr="00B16372">
        <w:rPr>
          <w:rFonts w:ascii="Times New Roman" w:hAnsi="Times New Roman"/>
          <w:sz w:val="24"/>
          <w:szCs w:val="24"/>
        </w:rPr>
        <w:t>This collection does not include any questions of a sensitive nature.</w:t>
      </w:r>
    </w:p>
    <w:p w14:paraId="64898D6E" w14:textId="77777777" w:rsidR="00D80FBD" w:rsidRPr="00B16372" w:rsidRDefault="00D80FBD" w:rsidP="0092596C">
      <w:pPr>
        <w:spacing w:after="0" w:line="240" w:lineRule="auto"/>
        <w:rPr>
          <w:rFonts w:ascii="Times New Roman" w:hAnsi="Times New Roman" w:cs="Times New Roman"/>
          <w:sz w:val="24"/>
          <w:szCs w:val="24"/>
        </w:rPr>
      </w:pPr>
    </w:p>
    <w:p w14:paraId="64898D6F" w14:textId="77777777"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ESTIMATED BURDEN OF COLLECTION OF INFORMATION</w:t>
      </w:r>
    </w:p>
    <w:p w14:paraId="64898D70" w14:textId="77777777" w:rsidR="00A4336A" w:rsidRPr="00B16372" w:rsidRDefault="00A4336A" w:rsidP="0092596C">
      <w:pPr>
        <w:spacing w:after="0" w:line="240" w:lineRule="auto"/>
        <w:rPr>
          <w:rFonts w:ascii="Times New Roman" w:hAnsi="Times New Roman" w:cs="Times New Roman"/>
          <w:sz w:val="24"/>
          <w:szCs w:val="24"/>
        </w:rPr>
      </w:pPr>
    </w:p>
    <w:p w14:paraId="64898D71" w14:textId="5654EB6C" w:rsidR="00B62DC2" w:rsidRPr="00B62DC2" w:rsidRDefault="00B62DC2" w:rsidP="00B62DC2">
      <w:pPr>
        <w:spacing w:after="0" w:line="240" w:lineRule="auto"/>
        <w:rPr>
          <w:rFonts w:ascii="Times New Roman" w:hAnsi="Times New Roman" w:cs="Times New Roman"/>
          <w:sz w:val="24"/>
          <w:szCs w:val="24"/>
        </w:rPr>
      </w:pPr>
      <w:r w:rsidRPr="00B62DC2">
        <w:rPr>
          <w:rFonts w:ascii="Times New Roman" w:hAnsi="Times New Roman" w:cs="Times New Roman"/>
          <w:sz w:val="24"/>
          <w:szCs w:val="24"/>
        </w:rPr>
        <w:t xml:space="preserve">Reliability Standard PRC-005-2 includes specific requirements about the minimum maintenance activities required for each type of applicable component as well as a maximum time interval during which the maintenance must be completed.  Because the specific requirements were designed to reflect common industry practice, entities are not expected to experience a meaningful change in actual maintenance and documentation practices.  However, applicable entities will have to perform a one-time review of their current protection system maintenance programs to ensure that they meet the requirements of the revised standard PRC-005-2.  Accordingly, all expected information collection costs are expected to be limited to the first year of implementation of the revised standard.  </w:t>
      </w:r>
    </w:p>
    <w:p w14:paraId="64898D72" w14:textId="77777777" w:rsidR="00B62DC2" w:rsidRDefault="00B62DC2" w:rsidP="00B62DC2">
      <w:pPr>
        <w:spacing w:after="0" w:line="240" w:lineRule="auto"/>
        <w:rPr>
          <w:rFonts w:ascii="Times New Roman" w:hAnsi="Times New Roman" w:cs="Times New Roman"/>
          <w:sz w:val="24"/>
          <w:szCs w:val="24"/>
        </w:rPr>
      </w:pPr>
    </w:p>
    <w:p w14:paraId="64898D73" w14:textId="77777777" w:rsidR="00B62DC2" w:rsidRPr="00B62DC2" w:rsidRDefault="00B62DC2" w:rsidP="00B62DC2">
      <w:pPr>
        <w:spacing w:after="0" w:line="240" w:lineRule="auto"/>
        <w:rPr>
          <w:rFonts w:ascii="Times New Roman" w:hAnsi="Times New Roman" w:cs="Times New Roman"/>
          <w:sz w:val="24"/>
          <w:szCs w:val="24"/>
        </w:rPr>
      </w:pPr>
      <w:r w:rsidRPr="00B62DC2">
        <w:rPr>
          <w:rFonts w:ascii="Times New Roman" w:hAnsi="Times New Roman" w:cs="Times New Roman"/>
          <w:sz w:val="24"/>
          <w:szCs w:val="24"/>
        </w:rPr>
        <w:t>Our estimate below regarding the number of respondents is based on the NERC compliance registry as of June 10, 2013.  According to the compliance registry, 544 entities are registered as distribution providers, 898 entities are registered as generation owners, and 346 entities are registered as transmission owners within the United States.  However, due to significant overlap, the total number of affected entities (</w:t>
      </w:r>
      <w:r w:rsidRPr="00B62DC2">
        <w:rPr>
          <w:rFonts w:ascii="Times New Roman" w:hAnsi="Times New Roman" w:cs="Times New Roman"/>
          <w:i/>
          <w:sz w:val="24"/>
          <w:szCs w:val="24"/>
        </w:rPr>
        <w:t xml:space="preserve">i.e., </w:t>
      </w:r>
      <w:r w:rsidRPr="00B62DC2">
        <w:rPr>
          <w:rFonts w:ascii="Times New Roman" w:hAnsi="Times New Roman" w:cs="Times New Roman"/>
          <w:sz w:val="24"/>
          <w:szCs w:val="24"/>
        </w:rPr>
        <w:t xml:space="preserve">entities registered as a distribution provider, a generation owner, a transmission owner, or some combination of these three functional entities) is 867 entities.  </w:t>
      </w:r>
    </w:p>
    <w:p w14:paraId="64898D74" w14:textId="77777777" w:rsidR="00B62DC2" w:rsidRPr="00B62DC2" w:rsidRDefault="00B62DC2" w:rsidP="00B62DC2">
      <w:pPr>
        <w:spacing w:after="0" w:line="240" w:lineRule="auto"/>
        <w:rPr>
          <w:rFonts w:ascii="Times New Roman" w:hAnsi="Times New Roman" w:cs="Times New Roman"/>
          <w:sz w:val="24"/>
          <w:szCs w:val="24"/>
        </w:rPr>
      </w:pPr>
      <w:r w:rsidRPr="00B62DC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511"/>
        <w:gridCol w:w="1424"/>
        <w:gridCol w:w="1455"/>
        <w:gridCol w:w="1447"/>
        <w:gridCol w:w="1282"/>
      </w:tblGrid>
      <w:tr w:rsidR="00B62DC2" w:rsidRPr="00B62DC2" w14:paraId="64898D81" w14:textId="77777777" w:rsidTr="003D69FC">
        <w:trPr>
          <w:cantSplit/>
        </w:trPr>
        <w:tc>
          <w:tcPr>
            <w:tcW w:w="245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4898D75" w14:textId="77777777" w:rsidR="00B62DC2" w:rsidRPr="00B62DC2" w:rsidRDefault="00B62DC2" w:rsidP="00B62DC2">
            <w:pPr>
              <w:spacing w:after="0" w:line="240" w:lineRule="auto"/>
              <w:rPr>
                <w:rFonts w:ascii="Times New Roman" w:hAnsi="Times New Roman" w:cs="Times New Roman"/>
                <w:b/>
                <w:sz w:val="24"/>
                <w:szCs w:val="24"/>
              </w:rPr>
            </w:pPr>
            <w:r w:rsidRPr="00B62DC2">
              <w:rPr>
                <w:rFonts w:ascii="Times New Roman" w:hAnsi="Times New Roman" w:cs="Times New Roman"/>
                <w:b/>
                <w:sz w:val="24"/>
                <w:szCs w:val="24"/>
              </w:rPr>
              <w:t>Requirement</w:t>
            </w:r>
          </w:p>
        </w:tc>
        <w:tc>
          <w:tcPr>
            <w:tcW w:w="151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4898D76"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Number of Affected Entities</w:t>
            </w:r>
          </w:p>
          <w:p w14:paraId="64898D77"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(1)</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4898D78"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Number of PSMP</w:t>
            </w:r>
            <w:r w:rsidR="00376399" w:rsidRPr="00DE1A72">
              <w:rPr>
                <w:rStyle w:val="FootnoteReference"/>
                <w:rFonts w:ascii="Times New Roman" w:hAnsi="Times New Roman" w:cs="Times New Roman"/>
                <w:b/>
                <w:sz w:val="24"/>
                <w:szCs w:val="24"/>
                <w:vertAlign w:val="superscript"/>
              </w:rPr>
              <w:footnoteReference w:id="16"/>
            </w:r>
            <w:r w:rsidRPr="00B62DC2">
              <w:rPr>
                <w:rFonts w:ascii="Times New Roman" w:hAnsi="Times New Roman" w:cs="Times New Roman"/>
                <w:b/>
                <w:sz w:val="24"/>
                <w:szCs w:val="24"/>
              </w:rPr>
              <w:t xml:space="preserve"> Reviewed  Per Entity</w:t>
            </w:r>
          </w:p>
          <w:p w14:paraId="64898D79"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4898D7A"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Average</w:t>
            </w:r>
          </w:p>
          <w:p w14:paraId="64898D7B"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Number of  Hours per Review</w:t>
            </w:r>
          </w:p>
          <w:p w14:paraId="64898D7C"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(3)</w:t>
            </w:r>
          </w:p>
        </w:tc>
        <w:tc>
          <w:tcPr>
            <w:tcW w:w="144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4898D7D"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Total Burden Hours</w:t>
            </w:r>
          </w:p>
          <w:p w14:paraId="64898D7E" w14:textId="77777777" w:rsidR="003D69FC"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t>(1)*(2)*(3)</w:t>
            </w:r>
          </w:p>
          <w:p w14:paraId="64898D7F" w14:textId="77777777" w:rsidR="00B62DC2" w:rsidRPr="00B62DC2" w:rsidRDefault="003D69FC" w:rsidP="003D69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82" w:type="dxa"/>
            <w:tcBorders>
              <w:top w:val="single" w:sz="4" w:space="0" w:color="auto"/>
              <w:left w:val="single" w:sz="4" w:space="0" w:color="auto"/>
              <w:bottom w:val="single" w:sz="4" w:space="0" w:color="auto"/>
              <w:right w:val="single" w:sz="4" w:space="0" w:color="auto"/>
            </w:tcBorders>
            <w:shd w:val="clear" w:color="auto" w:fill="D9D9D9"/>
            <w:vAlign w:val="bottom"/>
          </w:tcPr>
          <w:p w14:paraId="64898D80" w14:textId="77777777" w:rsidR="00B62DC2" w:rsidRPr="00B62DC2" w:rsidRDefault="00B62DC2" w:rsidP="003D69FC">
            <w:pPr>
              <w:spacing w:after="0" w:line="240" w:lineRule="auto"/>
              <w:jc w:val="center"/>
              <w:rPr>
                <w:rFonts w:ascii="Times New Roman" w:hAnsi="Times New Roman" w:cs="Times New Roman"/>
                <w:b/>
                <w:sz w:val="24"/>
                <w:szCs w:val="24"/>
              </w:rPr>
            </w:pPr>
            <w:r w:rsidRPr="00B62DC2">
              <w:rPr>
                <w:rFonts w:ascii="Times New Roman" w:hAnsi="Times New Roman" w:cs="Times New Roman"/>
                <w:b/>
                <w:sz w:val="24"/>
                <w:szCs w:val="24"/>
              </w:rPr>
              <w:br/>
            </w:r>
            <w:r w:rsidR="003D69FC">
              <w:rPr>
                <w:rFonts w:ascii="Times New Roman" w:hAnsi="Times New Roman" w:cs="Times New Roman"/>
                <w:b/>
                <w:sz w:val="24"/>
                <w:szCs w:val="24"/>
              </w:rPr>
              <w:t xml:space="preserve">Total Cost </w:t>
            </w:r>
            <w:r w:rsidR="003D69FC">
              <w:rPr>
                <w:rFonts w:ascii="Times New Roman" w:hAnsi="Times New Roman" w:cs="Times New Roman"/>
                <w:b/>
                <w:sz w:val="24"/>
                <w:szCs w:val="24"/>
              </w:rPr>
              <w:br/>
              <w:t>(4)</w:t>
            </w:r>
            <w:r w:rsidRPr="00B62DC2">
              <w:rPr>
                <w:rFonts w:ascii="Times New Roman" w:hAnsi="Times New Roman" w:cs="Times New Roman"/>
                <w:b/>
                <w:sz w:val="24"/>
                <w:szCs w:val="24"/>
              </w:rPr>
              <w:t>*$70</w:t>
            </w:r>
            <w:r w:rsidRPr="00B62DC2">
              <w:rPr>
                <w:rFonts w:ascii="Times New Roman" w:hAnsi="Times New Roman" w:cs="Times New Roman"/>
                <w:sz w:val="24"/>
                <w:szCs w:val="24"/>
                <w:vertAlign w:val="superscript"/>
              </w:rPr>
              <w:footnoteReference w:id="17"/>
            </w:r>
          </w:p>
        </w:tc>
      </w:tr>
      <w:tr w:rsidR="00B62DC2" w:rsidRPr="00B62DC2" w14:paraId="64898D88" w14:textId="77777777" w:rsidTr="003D69FC">
        <w:trPr>
          <w:cantSplit/>
          <w:trHeight w:val="930"/>
        </w:trPr>
        <w:tc>
          <w:tcPr>
            <w:tcW w:w="2457" w:type="dxa"/>
            <w:tcBorders>
              <w:top w:val="single" w:sz="4" w:space="0" w:color="auto"/>
              <w:left w:val="single" w:sz="4" w:space="0" w:color="auto"/>
              <w:bottom w:val="single" w:sz="4" w:space="0" w:color="auto"/>
              <w:right w:val="single" w:sz="4" w:space="0" w:color="auto"/>
            </w:tcBorders>
            <w:vAlign w:val="center"/>
            <w:hideMark/>
          </w:tcPr>
          <w:p w14:paraId="64898D82" w14:textId="77777777" w:rsidR="00B62DC2" w:rsidRPr="00B62DC2" w:rsidRDefault="00B62DC2" w:rsidP="00B62DC2">
            <w:pPr>
              <w:spacing w:after="0" w:line="240" w:lineRule="auto"/>
              <w:rPr>
                <w:rFonts w:ascii="Times New Roman" w:hAnsi="Times New Roman" w:cs="Times New Roman"/>
                <w:sz w:val="24"/>
                <w:szCs w:val="24"/>
              </w:rPr>
            </w:pPr>
            <w:r w:rsidRPr="00B62DC2">
              <w:rPr>
                <w:rFonts w:ascii="Times New Roman" w:hAnsi="Times New Roman" w:cs="Times New Roman"/>
                <w:b/>
                <w:sz w:val="24"/>
                <w:szCs w:val="24"/>
              </w:rPr>
              <w:t>One time review and adjustment of existing protection system maintenance program</w:t>
            </w:r>
            <w:r w:rsidRPr="00B62DC2">
              <w:rPr>
                <w:rFonts w:ascii="Times New Roman" w:hAnsi="Times New Roman" w:cs="Times New Roman"/>
                <w:sz w:val="24"/>
                <w:szCs w:val="24"/>
              </w:rPr>
              <w:t xml:space="preserve"> </w:t>
            </w:r>
          </w:p>
        </w:tc>
        <w:tc>
          <w:tcPr>
            <w:tcW w:w="1511" w:type="dxa"/>
            <w:tcBorders>
              <w:top w:val="single" w:sz="4" w:space="0" w:color="auto"/>
              <w:left w:val="single" w:sz="4" w:space="0" w:color="auto"/>
              <w:bottom w:val="single" w:sz="4" w:space="0" w:color="auto"/>
              <w:right w:val="single" w:sz="4" w:space="0" w:color="auto"/>
            </w:tcBorders>
            <w:vAlign w:val="bottom"/>
            <w:hideMark/>
          </w:tcPr>
          <w:p w14:paraId="64898D83" w14:textId="77777777" w:rsidR="00B62DC2" w:rsidRPr="00B62DC2" w:rsidRDefault="00B62DC2" w:rsidP="003D69FC">
            <w:pPr>
              <w:spacing w:after="0" w:line="240" w:lineRule="auto"/>
              <w:jc w:val="right"/>
              <w:rPr>
                <w:rFonts w:ascii="Times New Roman" w:hAnsi="Times New Roman" w:cs="Times New Roman"/>
                <w:sz w:val="24"/>
                <w:szCs w:val="24"/>
              </w:rPr>
            </w:pPr>
            <w:r w:rsidRPr="00B62DC2">
              <w:rPr>
                <w:rFonts w:ascii="Times New Roman" w:hAnsi="Times New Roman" w:cs="Times New Roman"/>
                <w:sz w:val="24"/>
                <w:szCs w:val="24"/>
              </w:rPr>
              <w:t xml:space="preserve">867 </w:t>
            </w:r>
          </w:p>
        </w:tc>
        <w:tc>
          <w:tcPr>
            <w:tcW w:w="1424" w:type="dxa"/>
            <w:tcBorders>
              <w:top w:val="single" w:sz="4" w:space="0" w:color="auto"/>
              <w:left w:val="single" w:sz="4" w:space="0" w:color="auto"/>
              <w:bottom w:val="single" w:sz="4" w:space="0" w:color="auto"/>
              <w:right w:val="single" w:sz="4" w:space="0" w:color="auto"/>
            </w:tcBorders>
            <w:vAlign w:val="bottom"/>
            <w:hideMark/>
          </w:tcPr>
          <w:p w14:paraId="64898D84" w14:textId="77777777" w:rsidR="00B62DC2" w:rsidRPr="00B62DC2" w:rsidRDefault="00B62DC2" w:rsidP="003D69FC">
            <w:pPr>
              <w:spacing w:after="0" w:line="240" w:lineRule="auto"/>
              <w:jc w:val="right"/>
              <w:rPr>
                <w:rFonts w:ascii="Times New Roman" w:hAnsi="Times New Roman" w:cs="Times New Roman"/>
                <w:sz w:val="24"/>
                <w:szCs w:val="24"/>
              </w:rPr>
            </w:pPr>
            <w:r w:rsidRPr="00B62DC2">
              <w:rPr>
                <w:rFonts w:ascii="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bottom"/>
            <w:hideMark/>
          </w:tcPr>
          <w:p w14:paraId="64898D85" w14:textId="77777777" w:rsidR="00B62DC2" w:rsidRPr="00B62DC2" w:rsidRDefault="00B62DC2" w:rsidP="003D69FC">
            <w:pPr>
              <w:spacing w:after="0" w:line="240" w:lineRule="auto"/>
              <w:jc w:val="right"/>
              <w:rPr>
                <w:rFonts w:ascii="Times New Roman" w:hAnsi="Times New Roman" w:cs="Times New Roman"/>
                <w:sz w:val="24"/>
                <w:szCs w:val="24"/>
              </w:rPr>
            </w:pPr>
            <w:r w:rsidRPr="00B62DC2">
              <w:rPr>
                <w:rFonts w:ascii="Times New Roman" w:hAnsi="Times New Roman" w:cs="Times New Roman"/>
                <w:sz w:val="24"/>
                <w:szCs w:val="24"/>
              </w:rPr>
              <w:t xml:space="preserve">8 </w:t>
            </w:r>
          </w:p>
        </w:tc>
        <w:tc>
          <w:tcPr>
            <w:tcW w:w="1447" w:type="dxa"/>
            <w:tcBorders>
              <w:top w:val="single" w:sz="4" w:space="0" w:color="auto"/>
              <w:left w:val="single" w:sz="4" w:space="0" w:color="auto"/>
              <w:bottom w:val="single" w:sz="4" w:space="0" w:color="auto"/>
              <w:right w:val="single" w:sz="4" w:space="0" w:color="auto"/>
            </w:tcBorders>
            <w:vAlign w:val="bottom"/>
          </w:tcPr>
          <w:p w14:paraId="64898D86" w14:textId="77777777" w:rsidR="00B62DC2" w:rsidRPr="00B62DC2" w:rsidRDefault="00B62DC2" w:rsidP="003D69FC">
            <w:pPr>
              <w:spacing w:after="0" w:line="240" w:lineRule="auto"/>
              <w:jc w:val="right"/>
              <w:rPr>
                <w:rFonts w:ascii="Times New Roman" w:hAnsi="Times New Roman" w:cs="Times New Roman"/>
                <w:sz w:val="24"/>
                <w:szCs w:val="24"/>
              </w:rPr>
            </w:pPr>
            <w:r w:rsidRPr="00B62DC2">
              <w:rPr>
                <w:rFonts w:ascii="Times New Roman" w:hAnsi="Times New Roman" w:cs="Times New Roman"/>
                <w:sz w:val="24"/>
                <w:szCs w:val="24"/>
              </w:rPr>
              <w:t>6,936</w:t>
            </w:r>
          </w:p>
        </w:tc>
        <w:tc>
          <w:tcPr>
            <w:tcW w:w="1282" w:type="dxa"/>
            <w:tcBorders>
              <w:top w:val="single" w:sz="4" w:space="0" w:color="auto"/>
              <w:left w:val="single" w:sz="4" w:space="0" w:color="auto"/>
              <w:bottom w:val="single" w:sz="4" w:space="0" w:color="auto"/>
              <w:right w:val="single" w:sz="4" w:space="0" w:color="auto"/>
            </w:tcBorders>
            <w:vAlign w:val="bottom"/>
          </w:tcPr>
          <w:p w14:paraId="64898D87" w14:textId="77777777" w:rsidR="00B62DC2" w:rsidRPr="00B62DC2" w:rsidRDefault="00B62DC2" w:rsidP="003D69FC">
            <w:pPr>
              <w:spacing w:after="0" w:line="240" w:lineRule="auto"/>
              <w:jc w:val="right"/>
              <w:rPr>
                <w:rFonts w:ascii="Times New Roman" w:hAnsi="Times New Roman" w:cs="Times New Roman"/>
                <w:b/>
                <w:sz w:val="24"/>
                <w:szCs w:val="24"/>
              </w:rPr>
            </w:pPr>
            <w:r w:rsidRPr="00B62DC2">
              <w:rPr>
                <w:rFonts w:ascii="Times New Roman" w:hAnsi="Times New Roman" w:cs="Times New Roman"/>
                <w:b/>
                <w:sz w:val="24"/>
                <w:szCs w:val="24"/>
              </w:rPr>
              <w:t xml:space="preserve">$485,520 </w:t>
            </w:r>
          </w:p>
        </w:tc>
      </w:tr>
    </w:tbl>
    <w:p w14:paraId="64898D89" w14:textId="77777777" w:rsidR="00D80FBD" w:rsidRPr="00B16372" w:rsidRDefault="00D80FBD" w:rsidP="0092596C">
      <w:pPr>
        <w:spacing w:after="0" w:line="240" w:lineRule="auto"/>
        <w:rPr>
          <w:rFonts w:ascii="Times New Roman" w:hAnsi="Times New Roman" w:cs="Times New Roman"/>
          <w:sz w:val="24"/>
          <w:szCs w:val="24"/>
        </w:rPr>
      </w:pPr>
    </w:p>
    <w:p w14:paraId="64898D8A" w14:textId="77777777" w:rsidR="00D80FBD" w:rsidRPr="00B16372" w:rsidRDefault="00E636D7"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 OF THE TOTAL ANNUAL COST BURDEN TO RESPONDENTS</w:t>
      </w:r>
    </w:p>
    <w:p w14:paraId="64898D8B" w14:textId="77777777" w:rsidR="00E636D7" w:rsidRPr="00B16372" w:rsidRDefault="00E636D7" w:rsidP="0092596C">
      <w:pPr>
        <w:spacing w:after="0" w:line="240" w:lineRule="auto"/>
        <w:rPr>
          <w:rFonts w:ascii="Times New Roman" w:hAnsi="Times New Roman" w:cs="Times New Roman"/>
          <w:sz w:val="24"/>
          <w:szCs w:val="24"/>
        </w:rPr>
      </w:pPr>
    </w:p>
    <w:p w14:paraId="64898D8C" w14:textId="77777777" w:rsidR="004552E9" w:rsidRPr="00B16372" w:rsidRDefault="004552E9" w:rsidP="0092596C">
      <w:pPr>
        <w:spacing w:after="0" w:line="240" w:lineRule="auto"/>
        <w:rPr>
          <w:rFonts w:ascii="Times New Roman" w:hAnsi="Times New Roman"/>
          <w:sz w:val="24"/>
          <w:szCs w:val="24"/>
        </w:rPr>
      </w:pPr>
      <w:r w:rsidRPr="00B16372">
        <w:rPr>
          <w:rFonts w:ascii="Times New Roman" w:hAnsi="Times New Roman"/>
          <w:sz w:val="24"/>
          <w:szCs w:val="24"/>
        </w:rPr>
        <w:t xml:space="preserve">There is no start-up or other non-labor hour cost associated with this final rule.  We assume that the information collection requirements associated with this final rule can be completed by entities using existing hardware and software.     </w:t>
      </w:r>
    </w:p>
    <w:p w14:paraId="64898D8D" w14:textId="77777777" w:rsidR="00E636D7" w:rsidRPr="00B16372" w:rsidRDefault="00E636D7" w:rsidP="0092596C">
      <w:pPr>
        <w:spacing w:after="0" w:line="240" w:lineRule="auto"/>
        <w:rPr>
          <w:rFonts w:ascii="Times New Roman" w:hAnsi="Times New Roman" w:cs="Times New Roman"/>
          <w:sz w:val="24"/>
          <w:szCs w:val="24"/>
        </w:rPr>
      </w:pPr>
    </w:p>
    <w:p w14:paraId="64898D8E" w14:textId="77777777" w:rsidR="00E636D7" w:rsidRPr="00B16372"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ESTIMATED ANNUALIZED COST TO FEDERAL GOVERNMENT</w:t>
      </w:r>
    </w:p>
    <w:p w14:paraId="64898D8F" w14:textId="77777777" w:rsidR="00A276F5" w:rsidRPr="00B16372" w:rsidRDefault="00A276F5" w:rsidP="0092596C">
      <w:pPr>
        <w:spacing w:after="0" w:line="240" w:lineRule="auto"/>
        <w:rPr>
          <w:rFonts w:ascii="Times New Roman" w:hAnsi="Times New Roman" w:cs="Times New Roman"/>
          <w:sz w:val="24"/>
          <w:szCs w:val="24"/>
        </w:rPr>
      </w:pPr>
    </w:p>
    <w:p w14:paraId="64898D90" w14:textId="460BFF40" w:rsidR="004552E9" w:rsidRPr="00B16372" w:rsidRDefault="004552E9" w:rsidP="0092596C">
      <w:pPr>
        <w:spacing w:after="0" w:line="240" w:lineRule="auto"/>
        <w:rPr>
          <w:rFonts w:ascii="Times New Roman" w:hAnsi="Times New Roman"/>
          <w:sz w:val="24"/>
          <w:szCs w:val="24"/>
        </w:rPr>
      </w:pPr>
      <w:r w:rsidRPr="00B16372">
        <w:rPr>
          <w:rFonts w:ascii="Times New Roman" w:hAnsi="Times New Roman"/>
          <w:sz w:val="24"/>
          <w:szCs w:val="24"/>
        </w:rPr>
        <w:t>The Regional Entities and NERC do most of the data processing, monitoring and compliance work for Reliability Standards.  Any involv</w:t>
      </w:r>
      <w:bookmarkStart w:id="0" w:name="_GoBack"/>
      <w:bookmarkEnd w:id="0"/>
      <w:r w:rsidRPr="00B16372">
        <w:rPr>
          <w:rFonts w:ascii="Times New Roman" w:hAnsi="Times New Roman"/>
          <w:sz w:val="24"/>
          <w:szCs w:val="24"/>
        </w:rPr>
        <w:t xml:space="preserve">ement by the Commission is covered under the FERC-725 collection (1902-0225) and is not part of this </w:t>
      </w:r>
      <w:r w:rsidR="00312547">
        <w:rPr>
          <w:rFonts w:ascii="Times New Roman" w:hAnsi="Times New Roman"/>
          <w:sz w:val="24"/>
          <w:szCs w:val="24"/>
        </w:rPr>
        <w:t xml:space="preserve">information collection </w:t>
      </w:r>
      <w:r w:rsidRPr="00B16372">
        <w:rPr>
          <w:rFonts w:ascii="Times New Roman" w:hAnsi="Times New Roman"/>
          <w:sz w:val="24"/>
          <w:szCs w:val="24"/>
        </w:rPr>
        <w:t xml:space="preserve">request or </w:t>
      </w:r>
      <w:r w:rsidR="00312547">
        <w:rPr>
          <w:rFonts w:ascii="Times New Roman" w:hAnsi="Times New Roman"/>
          <w:sz w:val="24"/>
          <w:szCs w:val="24"/>
        </w:rPr>
        <w:t xml:space="preserve">clearance </w:t>
      </w:r>
      <w:r w:rsidRPr="00B16372">
        <w:rPr>
          <w:rFonts w:ascii="Times New Roman" w:hAnsi="Times New Roman"/>
          <w:sz w:val="24"/>
          <w:szCs w:val="24"/>
        </w:rPr>
        <w:t xml:space="preserve">package.  </w:t>
      </w:r>
    </w:p>
    <w:p w14:paraId="64898D91" w14:textId="77777777" w:rsidR="004552E9" w:rsidRPr="00B16372" w:rsidRDefault="004552E9" w:rsidP="0092596C">
      <w:pPr>
        <w:spacing w:after="0" w:line="240" w:lineRule="auto"/>
        <w:rPr>
          <w:rFonts w:ascii="Times New Roman" w:hAnsi="Times New Roman"/>
          <w:sz w:val="24"/>
          <w:szCs w:val="24"/>
        </w:rPr>
      </w:pPr>
    </w:p>
    <w:p w14:paraId="64898D92" w14:textId="77777777" w:rsidR="00A276F5" w:rsidRPr="00B16372" w:rsidRDefault="004552E9" w:rsidP="0092596C">
      <w:pPr>
        <w:spacing w:after="0" w:line="240" w:lineRule="auto"/>
        <w:rPr>
          <w:rFonts w:ascii="Times New Roman" w:hAnsi="Times New Roman" w:cs="Times New Roman"/>
          <w:sz w:val="24"/>
          <w:szCs w:val="24"/>
        </w:rPr>
      </w:pPr>
      <w:r w:rsidRPr="00B16372">
        <w:rPr>
          <w:rFonts w:ascii="Times New Roman" w:hAnsi="Times New Roman"/>
          <w:sz w:val="24"/>
          <w:szCs w:val="24"/>
        </w:rPr>
        <w:t>The Commission does incur the costs associated with obtaining OMB clearance under the Paperwork Reduction Act for this Collection.  FERC estimates</w:t>
      </w:r>
      <w:r w:rsidR="00DB14A2">
        <w:rPr>
          <w:rFonts w:ascii="Times New Roman" w:hAnsi="Times New Roman"/>
          <w:sz w:val="24"/>
          <w:szCs w:val="24"/>
        </w:rPr>
        <w:t xml:space="preserve"> $2,250 as</w:t>
      </w:r>
      <w:r w:rsidRPr="00B16372">
        <w:rPr>
          <w:rFonts w:ascii="Times New Roman" w:hAnsi="Times New Roman"/>
          <w:sz w:val="24"/>
          <w:szCs w:val="24"/>
        </w:rPr>
        <w:t xml:space="preserve"> the annual cost</w:t>
      </w:r>
      <w:r w:rsidR="00DB14A2">
        <w:rPr>
          <w:rFonts w:ascii="Times New Roman" w:hAnsi="Times New Roman"/>
          <w:sz w:val="24"/>
          <w:szCs w:val="24"/>
        </w:rPr>
        <w:t xml:space="preserve"> for this effort</w:t>
      </w:r>
      <w:r w:rsidRPr="00B16372">
        <w:rPr>
          <w:rFonts w:ascii="Times New Roman" w:hAnsi="Times New Roman"/>
          <w:sz w:val="24"/>
          <w:szCs w:val="24"/>
        </w:rPr>
        <w:t>.</w:t>
      </w:r>
      <w:r w:rsidRPr="00B16372">
        <w:rPr>
          <w:rStyle w:val="FootnoteReference"/>
          <w:rFonts w:ascii="Times New Roman" w:hAnsi="Times New Roman"/>
          <w:sz w:val="24"/>
          <w:szCs w:val="24"/>
          <w:vertAlign w:val="superscript"/>
        </w:rPr>
        <w:footnoteReference w:id="18"/>
      </w:r>
    </w:p>
    <w:p w14:paraId="64898D93" w14:textId="77777777" w:rsidR="00A276F5" w:rsidRPr="00B16372" w:rsidRDefault="00A276F5" w:rsidP="0092596C">
      <w:pPr>
        <w:spacing w:after="0" w:line="240" w:lineRule="auto"/>
        <w:rPr>
          <w:rFonts w:ascii="Times New Roman" w:hAnsi="Times New Roman" w:cs="Times New Roman"/>
          <w:sz w:val="24"/>
          <w:szCs w:val="24"/>
        </w:rPr>
      </w:pPr>
    </w:p>
    <w:p w14:paraId="64898D94" w14:textId="77777777" w:rsidR="00A276F5" w:rsidRPr="00DB14A2"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REASONS FOR CHANGES IN BURDEN INCLUDING THE NEED FOR ANY INCREASE</w:t>
      </w:r>
    </w:p>
    <w:p w14:paraId="64898D95" w14:textId="77777777" w:rsidR="00DB14A2" w:rsidRPr="00DB14A2" w:rsidRDefault="00DB14A2" w:rsidP="00DB14A2">
      <w:pPr>
        <w:spacing w:after="0" w:line="240" w:lineRule="auto"/>
        <w:rPr>
          <w:rFonts w:ascii="Times New Roman" w:hAnsi="Times New Roman" w:cs="Times New Roman"/>
          <w:sz w:val="24"/>
          <w:szCs w:val="24"/>
          <w:u w:val="single"/>
        </w:rPr>
      </w:pPr>
    </w:p>
    <w:p w14:paraId="64898D96" w14:textId="66091151" w:rsidR="00DF739D" w:rsidRDefault="00DF739D"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The change in burden is the re</w:t>
      </w:r>
      <w:r w:rsidR="006835EB">
        <w:rPr>
          <w:rFonts w:ascii="Times New Roman" w:hAnsi="Times New Roman" w:cs="Times New Roman"/>
          <w:sz w:val="24"/>
          <w:szCs w:val="24"/>
        </w:rPr>
        <w:t xml:space="preserve">sult of </w:t>
      </w:r>
      <w:r w:rsidR="008B0A37">
        <w:rPr>
          <w:rFonts w:ascii="Times New Roman" w:hAnsi="Times New Roman" w:cs="Times New Roman"/>
          <w:sz w:val="24"/>
          <w:szCs w:val="24"/>
        </w:rPr>
        <w:t>new provisions related to the</w:t>
      </w:r>
      <w:r w:rsidR="006835EB">
        <w:rPr>
          <w:rFonts w:ascii="Times New Roman" w:hAnsi="Times New Roman" w:cs="Times New Roman"/>
          <w:sz w:val="24"/>
          <w:szCs w:val="24"/>
        </w:rPr>
        <w:t xml:space="preserve"> </w:t>
      </w:r>
      <w:r w:rsidR="008B0A37">
        <w:rPr>
          <w:rFonts w:ascii="Times New Roman" w:hAnsi="Times New Roman" w:cs="Times New Roman"/>
          <w:sz w:val="24"/>
          <w:szCs w:val="24"/>
        </w:rPr>
        <w:t>PRC-005-2</w:t>
      </w:r>
      <w:r>
        <w:rPr>
          <w:rFonts w:ascii="Times New Roman" w:hAnsi="Times New Roman" w:cs="Times New Roman"/>
          <w:sz w:val="24"/>
          <w:szCs w:val="24"/>
        </w:rPr>
        <w:t xml:space="preserve"> Reliability Standard.  </w:t>
      </w:r>
      <w:r w:rsidR="008B0A37">
        <w:rPr>
          <w:rFonts w:ascii="Times New Roman" w:hAnsi="Times New Roman" w:cs="Times New Roman"/>
          <w:sz w:val="24"/>
          <w:szCs w:val="24"/>
        </w:rPr>
        <w:t xml:space="preserve">The increase in burden is necessary </w:t>
      </w:r>
      <w:r w:rsidR="008F3AD3">
        <w:rPr>
          <w:rFonts w:ascii="Times New Roman" w:hAnsi="Times New Roman" w:cs="Times New Roman"/>
          <w:sz w:val="24"/>
          <w:szCs w:val="24"/>
        </w:rPr>
        <w:t xml:space="preserve">so that respondents review and update their </w:t>
      </w:r>
      <w:r w:rsidR="008F3AD3" w:rsidRPr="00B62DC2">
        <w:rPr>
          <w:rFonts w:ascii="Times New Roman" w:hAnsi="Times New Roman" w:cs="Times New Roman"/>
          <w:sz w:val="24"/>
          <w:szCs w:val="24"/>
        </w:rPr>
        <w:t>protection system maintenance programs</w:t>
      </w:r>
      <w:r w:rsidR="00CC086F">
        <w:rPr>
          <w:rFonts w:ascii="Times New Roman" w:hAnsi="Times New Roman" w:cs="Times New Roman"/>
          <w:sz w:val="24"/>
          <w:szCs w:val="24"/>
        </w:rPr>
        <w:t xml:space="preserve"> according to the new standard</w:t>
      </w:r>
      <w:r w:rsidR="008F3AD3">
        <w:rPr>
          <w:rFonts w:ascii="Times New Roman" w:hAnsi="Times New Roman" w:cs="Times New Roman"/>
          <w:sz w:val="24"/>
          <w:szCs w:val="24"/>
        </w:rPr>
        <w:t xml:space="preserve">. </w:t>
      </w:r>
    </w:p>
    <w:p w14:paraId="64898D97" w14:textId="77777777" w:rsidR="00DF739D" w:rsidRDefault="00DF739D" w:rsidP="0092596C">
      <w:pPr>
        <w:spacing w:after="0" w:line="240" w:lineRule="auto"/>
        <w:rPr>
          <w:rFonts w:ascii="Times New Roman" w:hAnsi="Times New Roman" w:cs="Times New Roman"/>
          <w:sz w:val="24"/>
          <w:szCs w:val="24"/>
        </w:rPr>
      </w:pPr>
    </w:p>
    <w:p w14:paraId="64898D98" w14:textId="2C875FF5" w:rsidR="0092596C" w:rsidRDefault="0092596C"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table shows burden inventory</w:t>
      </w:r>
      <w:r w:rsidR="008B0A37">
        <w:rPr>
          <w:rFonts w:ascii="Times New Roman" w:hAnsi="Times New Roman" w:cs="Times New Roman"/>
          <w:sz w:val="24"/>
          <w:szCs w:val="24"/>
        </w:rPr>
        <w:t xml:space="preserve"> for the new FERC-725P</w:t>
      </w:r>
      <w:r w:rsidR="00DF56DA">
        <w:rPr>
          <w:rFonts w:ascii="Times New Roman" w:hAnsi="Times New Roman" w:cs="Times New Roman"/>
          <w:sz w:val="24"/>
          <w:szCs w:val="24"/>
        </w:rPr>
        <w:t xml:space="preserve"> </w:t>
      </w:r>
      <w:r>
        <w:rPr>
          <w:rFonts w:ascii="Times New Roman" w:hAnsi="Times New Roman" w:cs="Times New Roman"/>
          <w:sz w:val="24"/>
          <w:szCs w:val="24"/>
        </w:rPr>
        <w:t xml:space="preserve">because of the </w:t>
      </w:r>
      <w:r w:rsidR="00717279">
        <w:rPr>
          <w:rFonts w:ascii="Times New Roman" w:hAnsi="Times New Roman" w:cs="Times New Roman"/>
          <w:sz w:val="24"/>
          <w:szCs w:val="24"/>
        </w:rPr>
        <w:t>final</w:t>
      </w:r>
      <w:r>
        <w:rPr>
          <w:rFonts w:ascii="Times New Roman" w:hAnsi="Times New Roman" w:cs="Times New Roman"/>
          <w:sz w:val="24"/>
          <w:szCs w:val="24"/>
        </w:rPr>
        <w:t xml:space="preserve"> rule.</w:t>
      </w:r>
    </w:p>
    <w:p w14:paraId="64898D99" w14:textId="77777777" w:rsidR="0092596C" w:rsidRDefault="0092596C" w:rsidP="0092596C">
      <w:pPr>
        <w:spacing w:after="0" w:line="240" w:lineRule="auto"/>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92596C" w:rsidRPr="000A6548" w14:paraId="64898D9F" w14:textId="77777777" w:rsidTr="0092596C">
        <w:trPr>
          <w:trHeight w:val="870"/>
        </w:trPr>
        <w:tc>
          <w:tcPr>
            <w:tcW w:w="2679" w:type="dxa"/>
            <w:shd w:val="clear" w:color="auto" w:fill="D9D9D9"/>
            <w:vAlign w:val="bottom"/>
          </w:tcPr>
          <w:p w14:paraId="64898D9A"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FERC-725</w:t>
            </w:r>
            <w:r w:rsidR="003D69FC" w:rsidRPr="000A6548">
              <w:rPr>
                <w:rFonts w:ascii="Times New Roman" w:hAnsi="Times New Roman"/>
                <w:b/>
                <w:sz w:val="24"/>
                <w:szCs w:val="24"/>
              </w:rPr>
              <w:t>P</w:t>
            </w:r>
          </w:p>
        </w:tc>
        <w:tc>
          <w:tcPr>
            <w:tcW w:w="1461" w:type="dxa"/>
            <w:shd w:val="clear" w:color="auto" w:fill="D9D9D9"/>
            <w:vAlign w:val="bottom"/>
          </w:tcPr>
          <w:p w14:paraId="64898D9B"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Total Request</w:t>
            </w:r>
          </w:p>
        </w:tc>
        <w:tc>
          <w:tcPr>
            <w:tcW w:w="1620" w:type="dxa"/>
            <w:shd w:val="clear" w:color="auto" w:fill="D9D9D9"/>
            <w:vAlign w:val="bottom"/>
          </w:tcPr>
          <w:p w14:paraId="64898D9C"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Previously Approved</w:t>
            </w:r>
          </w:p>
        </w:tc>
        <w:tc>
          <w:tcPr>
            <w:tcW w:w="1800" w:type="dxa"/>
            <w:shd w:val="clear" w:color="auto" w:fill="D9D9D9"/>
            <w:vAlign w:val="bottom"/>
          </w:tcPr>
          <w:p w14:paraId="64898D9D"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Change due to Adjustment in Estimate</w:t>
            </w:r>
          </w:p>
        </w:tc>
        <w:tc>
          <w:tcPr>
            <w:tcW w:w="1800" w:type="dxa"/>
            <w:shd w:val="clear" w:color="auto" w:fill="D9D9D9"/>
            <w:vAlign w:val="bottom"/>
          </w:tcPr>
          <w:p w14:paraId="64898D9E"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Change Due to Agency Discretion</w:t>
            </w:r>
          </w:p>
        </w:tc>
      </w:tr>
      <w:tr w:rsidR="0092596C" w:rsidRPr="000A6548" w14:paraId="64898DA5" w14:textId="77777777" w:rsidTr="0092596C">
        <w:trPr>
          <w:trHeight w:val="591"/>
        </w:trPr>
        <w:tc>
          <w:tcPr>
            <w:tcW w:w="2679" w:type="dxa"/>
          </w:tcPr>
          <w:p w14:paraId="64898DA0" w14:textId="77777777" w:rsidR="0092596C" w:rsidRPr="000A6548" w:rsidRDefault="0092596C" w:rsidP="0092596C">
            <w:pPr>
              <w:spacing w:after="0" w:line="240" w:lineRule="auto"/>
              <w:jc w:val="center"/>
              <w:rPr>
                <w:rFonts w:ascii="Times New Roman" w:hAnsi="Times New Roman"/>
                <w:sz w:val="24"/>
                <w:szCs w:val="24"/>
              </w:rPr>
            </w:pPr>
            <w:r w:rsidRPr="000A6548">
              <w:rPr>
                <w:rFonts w:ascii="Times New Roman" w:hAnsi="Times New Roman"/>
                <w:sz w:val="24"/>
                <w:szCs w:val="24"/>
              </w:rPr>
              <w:t>Annual Number of Responses</w:t>
            </w:r>
          </w:p>
        </w:tc>
        <w:tc>
          <w:tcPr>
            <w:tcW w:w="1461" w:type="dxa"/>
            <w:vAlign w:val="center"/>
          </w:tcPr>
          <w:p w14:paraId="64898DA1" w14:textId="77777777" w:rsidR="0092596C" w:rsidRPr="000A6548" w:rsidRDefault="003D69FC" w:rsidP="0092596C">
            <w:pPr>
              <w:spacing w:after="0" w:line="240" w:lineRule="auto"/>
              <w:jc w:val="right"/>
              <w:rPr>
                <w:rFonts w:ascii="Times New Roman" w:hAnsi="Times New Roman"/>
                <w:sz w:val="24"/>
                <w:szCs w:val="24"/>
              </w:rPr>
            </w:pPr>
            <w:r w:rsidRPr="000A6548">
              <w:rPr>
                <w:rFonts w:ascii="Times New Roman" w:hAnsi="Times New Roman"/>
                <w:sz w:val="24"/>
                <w:szCs w:val="24"/>
              </w:rPr>
              <w:t>867</w:t>
            </w:r>
          </w:p>
        </w:tc>
        <w:tc>
          <w:tcPr>
            <w:tcW w:w="1620" w:type="dxa"/>
            <w:vAlign w:val="center"/>
          </w:tcPr>
          <w:p w14:paraId="64898DA2" w14:textId="77777777" w:rsidR="0092596C" w:rsidRPr="000A6548" w:rsidRDefault="00580974"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64898DA3" w14:textId="77777777" w:rsidR="0092596C" w:rsidRPr="000A6548" w:rsidRDefault="0092596C"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64898DA4" w14:textId="77777777" w:rsidR="0092596C" w:rsidRPr="000A6548" w:rsidRDefault="003D69FC" w:rsidP="0092596C">
            <w:pPr>
              <w:spacing w:after="0" w:line="240" w:lineRule="auto"/>
              <w:jc w:val="right"/>
              <w:rPr>
                <w:rFonts w:ascii="Times New Roman" w:hAnsi="Times New Roman"/>
                <w:sz w:val="24"/>
                <w:szCs w:val="24"/>
              </w:rPr>
            </w:pPr>
            <w:r w:rsidRPr="000A6548">
              <w:rPr>
                <w:rFonts w:ascii="Times New Roman" w:hAnsi="Times New Roman"/>
                <w:sz w:val="24"/>
                <w:szCs w:val="24"/>
              </w:rPr>
              <w:t>867</w:t>
            </w:r>
          </w:p>
        </w:tc>
      </w:tr>
      <w:tr w:rsidR="0092596C" w:rsidRPr="000A6548" w14:paraId="64898DAB" w14:textId="77777777" w:rsidTr="0092596C">
        <w:trPr>
          <w:trHeight w:val="575"/>
        </w:trPr>
        <w:tc>
          <w:tcPr>
            <w:tcW w:w="2679" w:type="dxa"/>
          </w:tcPr>
          <w:p w14:paraId="64898DA6" w14:textId="77777777" w:rsidR="0092596C" w:rsidRPr="000A6548" w:rsidRDefault="0092596C" w:rsidP="0092596C">
            <w:pPr>
              <w:spacing w:after="0" w:line="240" w:lineRule="auto"/>
              <w:jc w:val="center"/>
              <w:rPr>
                <w:rFonts w:ascii="Times New Roman" w:hAnsi="Times New Roman"/>
                <w:sz w:val="24"/>
                <w:szCs w:val="24"/>
              </w:rPr>
            </w:pPr>
            <w:r w:rsidRPr="000A6548">
              <w:rPr>
                <w:rFonts w:ascii="Times New Roman" w:hAnsi="Times New Roman"/>
                <w:sz w:val="24"/>
                <w:szCs w:val="24"/>
              </w:rPr>
              <w:t>Annual Time Burden (</w:t>
            </w:r>
            <w:proofErr w:type="spellStart"/>
            <w:r w:rsidRPr="000A6548">
              <w:rPr>
                <w:rFonts w:ascii="Times New Roman" w:hAnsi="Times New Roman"/>
                <w:sz w:val="24"/>
                <w:szCs w:val="24"/>
              </w:rPr>
              <w:t>Hr</w:t>
            </w:r>
            <w:proofErr w:type="spellEnd"/>
            <w:r w:rsidRPr="000A6548">
              <w:rPr>
                <w:rFonts w:ascii="Times New Roman" w:hAnsi="Times New Roman"/>
                <w:sz w:val="24"/>
                <w:szCs w:val="24"/>
              </w:rPr>
              <w:t>)</w:t>
            </w:r>
          </w:p>
        </w:tc>
        <w:tc>
          <w:tcPr>
            <w:tcW w:w="1461" w:type="dxa"/>
            <w:vAlign w:val="center"/>
          </w:tcPr>
          <w:p w14:paraId="64898DA7" w14:textId="77777777" w:rsidR="0092596C" w:rsidRPr="000A6548" w:rsidRDefault="003D69FC" w:rsidP="0092596C">
            <w:pPr>
              <w:spacing w:after="0" w:line="240" w:lineRule="auto"/>
              <w:jc w:val="right"/>
              <w:rPr>
                <w:rFonts w:ascii="Times New Roman" w:hAnsi="Times New Roman"/>
                <w:sz w:val="24"/>
                <w:szCs w:val="24"/>
              </w:rPr>
            </w:pPr>
            <w:r w:rsidRPr="000A6548">
              <w:rPr>
                <w:rFonts w:ascii="Times New Roman" w:hAnsi="Times New Roman"/>
                <w:sz w:val="24"/>
                <w:szCs w:val="24"/>
              </w:rPr>
              <w:t>6,936</w:t>
            </w:r>
          </w:p>
        </w:tc>
        <w:tc>
          <w:tcPr>
            <w:tcW w:w="1620" w:type="dxa"/>
            <w:vAlign w:val="center"/>
          </w:tcPr>
          <w:p w14:paraId="64898DA8" w14:textId="77777777" w:rsidR="0092596C" w:rsidRPr="000A6548" w:rsidRDefault="00580974"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64898DA9" w14:textId="77777777" w:rsidR="0092596C" w:rsidRPr="000A6548" w:rsidRDefault="0092596C"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64898DAA" w14:textId="77777777" w:rsidR="0092596C" w:rsidRPr="000A6548" w:rsidRDefault="003D69FC" w:rsidP="0092596C">
            <w:pPr>
              <w:spacing w:after="0" w:line="240" w:lineRule="auto"/>
              <w:jc w:val="right"/>
              <w:rPr>
                <w:rFonts w:ascii="Times New Roman" w:hAnsi="Times New Roman"/>
                <w:sz w:val="24"/>
                <w:szCs w:val="24"/>
              </w:rPr>
            </w:pPr>
            <w:r w:rsidRPr="000A6548">
              <w:rPr>
                <w:rFonts w:ascii="Times New Roman" w:hAnsi="Times New Roman"/>
                <w:sz w:val="24"/>
                <w:szCs w:val="24"/>
              </w:rPr>
              <w:t>6,936</w:t>
            </w:r>
          </w:p>
        </w:tc>
      </w:tr>
      <w:tr w:rsidR="0092596C" w:rsidRPr="000A6548" w14:paraId="64898DB1" w14:textId="77777777" w:rsidTr="0092596C">
        <w:trPr>
          <w:trHeight w:val="295"/>
        </w:trPr>
        <w:tc>
          <w:tcPr>
            <w:tcW w:w="2679" w:type="dxa"/>
          </w:tcPr>
          <w:p w14:paraId="64898DAC" w14:textId="77777777" w:rsidR="0092596C" w:rsidRPr="000A6548" w:rsidRDefault="0092596C" w:rsidP="0092596C">
            <w:pPr>
              <w:spacing w:after="0" w:line="240" w:lineRule="auto"/>
              <w:jc w:val="center"/>
              <w:rPr>
                <w:rFonts w:ascii="Times New Roman" w:hAnsi="Times New Roman"/>
                <w:sz w:val="24"/>
                <w:szCs w:val="24"/>
              </w:rPr>
            </w:pPr>
            <w:r w:rsidRPr="000A6548">
              <w:rPr>
                <w:rFonts w:ascii="Times New Roman" w:hAnsi="Times New Roman"/>
                <w:sz w:val="24"/>
                <w:szCs w:val="24"/>
              </w:rPr>
              <w:t>Annual Cost Burden ($)</w:t>
            </w:r>
          </w:p>
        </w:tc>
        <w:tc>
          <w:tcPr>
            <w:tcW w:w="1461" w:type="dxa"/>
            <w:vAlign w:val="center"/>
          </w:tcPr>
          <w:p w14:paraId="64898DAD" w14:textId="77777777" w:rsidR="0092596C" w:rsidRPr="000A6548" w:rsidRDefault="00580974"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620" w:type="dxa"/>
            <w:vAlign w:val="center"/>
          </w:tcPr>
          <w:p w14:paraId="64898DAE" w14:textId="77777777" w:rsidR="0092596C" w:rsidRPr="000A6548" w:rsidRDefault="00580974"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64898DAF" w14:textId="77777777" w:rsidR="0092596C" w:rsidRPr="000A6548" w:rsidRDefault="0092596C"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64898DB0" w14:textId="77777777" w:rsidR="0092596C" w:rsidRPr="000A6548" w:rsidRDefault="00580974"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r>
    </w:tbl>
    <w:p w14:paraId="64898DB2" w14:textId="77777777" w:rsidR="0092596C" w:rsidRPr="0092596C" w:rsidRDefault="0092596C" w:rsidP="0092596C">
      <w:pPr>
        <w:spacing w:after="0" w:line="240" w:lineRule="auto"/>
        <w:rPr>
          <w:rFonts w:ascii="Times New Roman" w:hAnsi="Times New Roman" w:cs="Times New Roman"/>
          <w:sz w:val="24"/>
          <w:szCs w:val="24"/>
        </w:rPr>
      </w:pPr>
    </w:p>
    <w:p w14:paraId="64898DB3" w14:textId="77777777" w:rsidR="00970FE4" w:rsidRPr="00B16372" w:rsidRDefault="00970FE4" w:rsidP="0092596C">
      <w:pPr>
        <w:spacing w:after="0" w:line="240" w:lineRule="auto"/>
        <w:rPr>
          <w:rFonts w:ascii="Times New Roman" w:hAnsi="Times New Roman" w:cs="Times New Roman"/>
          <w:sz w:val="24"/>
          <w:szCs w:val="24"/>
        </w:rPr>
      </w:pPr>
    </w:p>
    <w:p w14:paraId="64898DB4" w14:textId="77777777" w:rsidR="00A276F5"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TIME SCHEDULE FOR PUBLICATION OF DATA</w:t>
      </w:r>
    </w:p>
    <w:p w14:paraId="64898DB5" w14:textId="77777777" w:rsidR="00826750" w:rsidRPr="00B16372" w:rsidRDefault="00826750" w:rsidP="0092596C">
      <w:pPr>
        <w:spacing w:after="0" w:line="240" w:lineRule="auto"/>
        <w:rPr>
          <w:rFonts w:ascii="Times New Roman" w:hAnsi="Times New Roman" w:cs="Times New Roman"/>
          <w:sz w:val="24"/>
          <w:szCs w:val="24"/>
        </w:rPr>
      </w:pPr>
    </w:p>
    <w:p w14:paraId="64898DB6" w14:textId="77777777" w:rsidR="00414F32" w:rsidRPr="00B16372" w:rsidRDefault="0082675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There are no data publications as part of this collection</w:t>
      </w:r>
    </w:p>
    <w:p w14:paraId="64898DB7" w14:textId="77777777" w:rsidR="00414F32" w:rsidRPr="00B16372" w:rsidRDefault="00414F32" w:rsidP="0092596C">
      <w:pPr>
        <w:spacing w:after="0" w:line="240" w:lineRule="auto"/>
        <w:rPr>
          <w:rFonts w:ascii="Times New Roman" w:hAnsi="Times New Roman" w:cs="Times New Roman"/>
          <w:sz w:val="24"/>
          <w:szCs w:val="24"/>
        </w:rPr>
      </w:pPr>
    </w:p>
    <w:p w14:paraId="64898DB8" w14:textId="77777777" w:rsidR="00414F32"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lastRenderedPageBreak/>
        <w:t>DISPLAY OF EXPIRATION DATE</w:t>
      </w:r>
    </w:p>
    <w:p w14:paraId="64898DB9" w14:textId="77777777" w:rsidR="00414F32" w:rsidRPr="00B16372" w:rsidRDefault="00414F32" w:rsidP="0092596C">
      <w:pPr>
        <w:spacing w:after="0" w:line="240" w:lineRule="auto"/>
        <w:rPr>
          <w:rFonts w:ascii="Times New Roman" w:hAnsi="Times New Roman" w:cs="Times New Roman"/>
          <w:sz w:val="24"/>
          <w:szCs w:val="24"/>
        </w:rPr>
      </w:pPr>
    </w:p>
    <w:p w14:paraId="64898DBA" w14:textId="77777777" w:rsidR="00B16372" w:rsidRPr="00B16372" w:rsidRDefault="00B16372"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It is not appropriate to display the expiration date because the information is not collected on a preformatted form or in any format that would allow for such a display.</w:t>
      </w:r>
    </w:p>
    <w:p w14:paraId="64898DBB" w14:textId="77777777" w:rsidR="00414F32" w:rsidRPr="00B16372" w:rsidRDefault="00414F32" w:rsidP="0092596C">
      <w:pPr>
        <w:spacing w:after="0" w:line="240" w:lineRule="auto"/>
        <w:rPr>
          <w:rFonts w:ascii="Times New Roman" w:hAnsi="Times New Roman" w:cs="Times New Roman"/>
          <w:sz w:val="24"/>
          <w:szCs w:val="24"/>
        </w:rPr>
      </w:pPr>
    </w:p>
    <w:p w14:paraId="64898DBC" w14:textId="77777777" w:rsidR="00414F32"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EXCEPTIONS TO THE CERTIFICATION STATEMENT</w:t>
      </w:r>
    </w:p>
    <w:p w14:paraId="64898DBD" w14:textId="77777777" w:rsidR="0057700F" w:rsidRPr="00B16372" w:rsidRDefault="0057700F" w:rsidP="0092596C">
      <w:pPr>
        <w:spacing w:after="0" w:line="240" w:lineRule="auto"/>
        <w:rPr>
          <w:rFonts w:ascii="Times New Roman" w:hAnsi="Times New Roman" w:cs="Times New Roman"/>
          <w:b/>
          <w:sz w:val="24"/>
          <w:szCs w:val="24"/>
        </w:rPr>
      </w:pPr>
    </w:p>
    <w:p w14:paraId="64898DBE" w14:textId="1CC21C42" w:rsidR="00970FE4" w:rsidRPr="00B16372" w:rsidRDefault="00B16372" w:rsidP="0092596C">
      <w:pPr>
        <w:spacing w:after="0" w:line="240" w:lineRule="auto"/>
        <w:rPr>
          <w:rFonts w:ascii="Times New Roman" w:hAnsi="Times New Roman" w:cs="Times New Roman"/>
          <w:sz w:val="24"/>
          <w:szCs w:val="24"/>
        </w:rPr>
      </w:pPr>
      <w:r w:rsidRPr="00B16372">
        <w:rPr>
          <w:rFonts w:ascii="Times New Roman" w:eastAsia="Calibri" w:hAnsi="Times New Roman" w:cs="Times New Roman"/>
          <w:sz w:val="24"/>
          <w:szCs w:val="24"/>
        </w:rPr>
        <w:t>The Commission does not use statistical methods for this collection.  Therefore</w:t>
      </w:r>
      <w:r w:rsidR="003D69FC">
        <w:rPr>
          <w:rFonts w:ascii="Times New Roman" w:eastAsia="Calibri" w:hAnsi="Times New Roman" w:cs="Times New Roman"/>
          <w:sz w:val="24"/>
          <w:szCs w:val="24"/>
        </w:rPr>
        <w:t>,</w:t>
      </w:r>
      <w:r w:rsidRPr="00B16372">
        <w:rPr>
          <w:rFonts w:ascii="Times New Roman" w:eastAsia="Calibri" w:hAnsi="Times New Roman" w:cs="Times New Roman"/>
          <w:sz w:val="24"/>
          <w:szCs w:val="24"/>
        </w:rPr>
        <w:t xml:space="preserve"> the Commission does not certify that the collection uses statistical methods.</w:t>
      </w:r>
      <w:r w:rsidR="00717279">
        <w:rPr>
          <w:rFonts w:ascii="Times New Roman" w:eastAsia="Calibri" w:hAnsi="Times New Roman" w:cs="Times New Roman"/>
          <w:sz w:val="24"/>
          <w:szCs w:val="24"/>
        </w:rPr>
        <w:t xml:space="preserve">  Also, the one-time review of existing programs does not reduce the burden on small entities.  </w:t>
      </w:r>
    </w:p>
    <w:p w14:paraId="64898DBF" w14:textId="77777777" w:rsidR="00414F32" w:rsidRPr="00B16372" w:rsidRDefault="00414F32" w:rsidP="0092596C">
      <w:pPr>
        <w:spacing w:after="0" w:line="240" w:lineRule="auto"/>
        <w:rPr>
          <w:rFonts w:ascii="Times New Roman" w:hAnsi="Times New Roman" w:cs="Times New Roman"/>
          <w:sz w:val="24"/>
          <w:szCs w:val="24"/>
        </w:rPr>
      </w:pPr>
    </w:p>
    <w:sectPr w:rsidR="00414F32" w:rsidRPr="00B1637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050C3" w14:textId="77777777" w:rsidR="00FC3BF3" w:rsidRDefault="00FC3BF3" w:rsidP="00FD66F1">
      <w:pPr>
        <w:spacing w:after="0" w:line="240" w:lineRule="auto"/>
      </w:pPr>
      <w:r>
        <w:separator/>
      </w:r>
    </w:p>
  </w:endnote>
  <w:endnote w:type="continuationSeparator" w:id="0">
    <w:p w14:paraId="6D15E9E0" w14:textId="77777777" w:rsidR="00FC3BF3" w:rsidRDefault="00FC3BF3"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64898DC8" w14:textId="77777777" w:rsidR="004A468A" w:rsidRPr="000A6548" w:rsidRDefault="004A468A">
        <w:pPr>
          <w:pStyle w:val="Footer"/>
          <w:jc w:val="right"/>
          <w:rPr>
            <w:rFonts w:ascii="Times New Roman" w:hAnsi="Times New Roman" w:cs="Times New Roman"/>
          </w:rPr>
        </w:pPr>
        <w:r w:rsidRPr="000A6548">
          <w:rPr>
            <w:rFonts w:ascii="Times New Roman" w:hAnsi="Times New Roman" w:cs="Times New Roman"/>
          </w:rPr>
          <w:fldChar w:fldCharType="begin"/>
        </w:r>
        <w:r w:rsidRPr="000A6548">
          <w:rPr>
            <w:rFonts w:ascii="Times New Roman" w:hAnsi="Times New Roman" w:cs="Times New Roman"/>
          </w:rPr>
          <w:instrText xml:space="preserve"> PAGE   \* MERGEFORMAT </w:instrText>
        </w:r>
        <w:r w:rsidRPr="000A6548">
          <w:rPr>
            <w:rFonts w:ascii="Times New Roman" w:hAnsi="Times New Roman" w:cs="Times New Roman"/>
          </w:rPr>
          <w:fldChar w:fldCharType="separate"/>
        </w:r>
        <w:r w:rsidR="008E644C">
          <w:rPr>
            <w:rFonts w:ascii="Times New Roman" w:hAnsi="Times New Roman" w:cs="Times New Roman"/>
            <w:noProof/>
          </w:rPr>
          <w:t>9</w:t>
        </w:r>
        <w:r w:rsidRPr="000A6548">
          <w:rPr>
            <w:rFonts w:ascii="Times New Roman" w:hAnsi="Times New Roman" w:cs="Times New Roman"/>
            <w:noProof/>
          </w:rPr>
          <w:fldChar w:fldCharType="end"/>
        </w:r>
      </w:p>
    </w:sdtContent>
  </w:sdt>
  <w:p w14:paraId="64898DC9" w14:textId="77777777" w:rsidR="004A468A" w:rsidRDefault="004A4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61AEC" w14:textId="77777777" w:rsidR="00FC3BF3" w:rsidRDefault="00FC3BF3" w:rsidP="00FD66F1">
      <w:pPr>
        <w:spacing w:after="0" w:line="240" w:lineRule="auto"/>
      </w:pPr>
      <w:r>
        <w:separator/>
      </w:r>
    </w:p>
  </w:footnote>
  <w:footnote w:type="continuationSeparator" w:id="0">
    <w:p w14:paraId="352B88A0" w14:textId="77777777" w:rsidR="00FC3BF3" w:rsidRDefault="00FC3BF3" w:rsidP="00FD66F1">
      <w:pPr>
        <w:spacing w:after="0" w:line="240" w:lineRule="auto"/>
      </w:pPr>
      <w:r>
        <w:continuationSeparator/>
      </w:r>
    </w:p>
  </w:footnote>
  <w:footnote w:id="1">
    <w:p w14:paraId="64898DCA" w14:textId="77777777" w:rsidR="004A468A" w:rsidRPr="009A6041" w:rsidRDefault="004A468A" w:rsidP="009A6041">
      <w:pPr>
        <w:pStyle w:val="FootnoteText"/>
        <w:spacing w:after="240"/>
        <w:ind w:firstLine="720"/>
        <w:rPr>
          <w:sz w:val="22"/>
          <w:szCs w:val="22"/>
        </w:rPr>
      </w:pPr>
      <w:r w:rsidRPr="009A6041">
        <w:rPr>
          <w:rStyle w:val="FootnoteReference"/>
          <w:b/>
          <w:sz w:val="22"/>
          <w:szCs w:val="22"/>
          <w:vertAlign w:val="superscript"/>
        </w:rPr>
        <w:footnoteRef/>
      </w:r>
      <w:r w:rsidRPr="009A6041">
        <w:rPr>
          <w:sz w:val="22"/>
          <w:szCs w:val="22"/>
        </w:rPr>
        <w:t xml:space="preserve"> The Energy Policy Act of 2005, Pub. L. No 109-58, Title XII, Subtitle A, 119 Stat. 594, 941 (2005), codified at 16 U.S.C. 824o (2000).</w:t>
      </w:r>
    </w:p>
  </w:footnote>
  <w:footnote w:id="2">
    <w:p w14:paraId="64898DCB" w14:textId="77777777" w:rsidR="004A468A" w:rsidRPr="009A6041" w:rsidRDefault="004A468A" w:rsidP="009A6041">
      <w:pPr>
        <w:pStyle w:val="FootnoteText"/>
        <w:spacing w:after="240"/>
        <w:ind w:firstLine="720"/>
        <w:rPr>
          <w:b/>
          <w:sz w:val="22"/>
          <w:szCs w:val="22"/>
        </w:rPr>
      </w:pPr>
      <w:r w:rsidRPr="000A6548">
        <w:rPr>
          <w:rStyle w:val="FootnoteReference"/>
          <w:sz w:val="22"/>
          <w:szCs w:val="22"/>
          <w:vertAlign w:val="superscript"/>
        </w:rPr>
        <w:footnoteRef/>
      </w:r>
      <w:r w:rsidRPr="009A6041">
        <w:rPr>
          <w:sz w:val="22"/>
          <w:szCs w:val="22"/>
        </w:rPr>
        <w:t xml:space="preserve"> Order No. 693, FERC Stats. &amp; </w:t>
      </w:r>
      <w:proofErr w:type="spellStart"/>
      <w:r w:rsidRPr="009A6041">
        <w:rPr>
          <w:sz w:val="22"/>
          <w:szCs w:val="22"/>
        </w:rPr>
        <w:t>Regs</w:t>
      </w:r>
      <w:proofErr w:type="spellEnd"/>
      <w:r w:rsidRPr="009A6041">
        <w:rPr>
          <w:sz w:val="22"/>
          <w:szCs w:val="22"/>
        </w:rPr>
        <w:t xml:space="preserve">. ¶ 31,242 at PP 1474, 1492, 1497, and 1514.  </w:t>
      </w:r>
    </w:p>
  </w:footnote>
  <w:footnote w:id="3">
    <w:p w14:paraId="64898DCC" w14:textId="77777777" w:rsidR="004A468A" w:rsidRPr="009A6041" w:rsidRDefault="004A468A" w:rsidP="009A6041">
      <w:pPr>
        <w:pStyle w:val="FootnoteText"/>
        <w:spacing w:after="240"/>
        <w:ind w:firstLine="720"/>
        <w:rPr>
          <w:sz w:val="22"/>
          <w:szCs w:val="22"/>
        </w:rPr>
      </w:pPr>
      <w:r w:rsidRPr="000A6548">
        <w:rPr>
          <w:rStyle w:val="FootnoteReference"/>
          <w:sz w:val="22"/>
          <w:szCs w:val="22"/>
          <w:vertAlign w:val="superscript"/>
        </w:rPr>
        <w:footnoteRef/>
      </w:r>
      <w:r w:rsidRPr="009A6041">
        <w:rPr>
          <w:sz w:val="22"/>
          <w:szCs w:val="22"/>
        </w:rPr>
        <w:t xml:space="preserve"> In Order No 763, the Commission approved Reliability Standard PRC-006-1 pertaining to “</w:t>
      </w:r>
      <w:proofErr w:type="spellStart"/>
      <w:r w:rsidRPr="009A6041">
        <w:rPr>
          <w:sz w:val="22"/>
          <w:szCs w:val="22"/>
        </w:rPr>
        <w:t>underfrequency</w:t>
      </w:r>
      <w:proofErr w:type="spellEnd"/>
      <w:r w:rsidRPr="009A6041">
        <w:rPr>
          <w:sz w:val="22"/>
          <w:szCs w:val="22"/>
        </w:rPr>
        <w:t xml:space="preserve"> load shedding” which also encompasses “</w:t>
      </w:r>
      <w:proofErr w:type="spellStart"/>
      <w:r w:rsidRPr="009A6041">
        <w:rPr>
          <w:sz w:val="22"/>
          <w:szCs w:val="22"/>
        </w:rPr>
        <w:t>undervoltage</w:t>
      </w:r>
      <w:proofErr w:type="spellEnd"/>
      <w:r w:rsidRPr="009A6041">
        <w:rPr>
          <w:sz w:val="22"/>
          <w:szCs w:val="22"/>
        </w:rPr>
        <w:t xml:space="preserve"> load shedding.”  </w:t>
      </w:r>
      <w:r w:rsidRPr="009A6041">
        <w:rPr>
          <w:i/>
          <w:sz w:val="22"/>
          <w:szCs w:val="22"/>
        </w:rPr>
        <w:t xml:space="preserve">Automatic </w:t>
      </w:r>
      <w:proofErr w:type="spellStart"/>
      <w:r w:rsidRPr="009A6041">
        <w:rPr>
          <w:i/>
          <w:sz w:val="22"/>
          <w:szCs w:val="22"/>
        </w:rPr>
        <w:t>Underfrequency</w:t>
      </w:r>
      <w:proofErr w:type="spellEnd"/>
      <w:r w:rsidRPr="009A6041">
        <w:rPr>
          <w:i/>
          <w:sz w:val="22"/>
          <w:szCs w:val="22"/>
        </w:rPr>
        <w:t xml:space="preserve"> Load Shedding and Load Shedding Plans Reliability Standards</w:t>
      </w:r>
      <w:r w:rsidRPr="009A6041">
        <w:rPr>
          <w:sz w:val="22"/>
          <w:szCs w:val="22"/>
        </w:rPr>
        <w:t xml:space="preserve">, Order No. 763, 139 FERC ¶ 61, 098 (2012).   </w:t>
      </w:r>
    </w:p>
  </w:footnote>
  <w:footnote w:id="4">
    <w:p w14:paraId="64898DCD" w14:textId="77777777" w:rsidR="004A468A" w:rsidRPr="009A6041" w:rsidRDefault="004A468A" w:rsidP="009A6041">
      <w:pPr>
        <w:pStyle w:val="FootnoteText"/>
        <w:spacing w:after="240"/>
        <w:ind w:firstLine="720"/>
        <w:rPr>
          <w:sz w:val="22"/>
          <w:szCs w:val="22"/>
        </w:rPr>
      </w:pPr>
      <w:r w:rsidRPr="000A6548">
        <w:rPr>
          <w:rStyle w:val="FootnoteReference"/>
          <w:sz w:val="22"/>
          <w:szCs w:val="22"/>
          <w:vertAlign w:val="superscript"/>
        </w:rPr>
        <w:footnoteRef/>
      </w:r>
      <w:r w:rsidRPr="009A6041">
        <w:rPr>
          <w:sz w:val="22"/>
          <w:szCs w:val="22"/>
        </w:rPr>
        <w:t xml:space="preserve"> </w:t>
      </w:r>
      <w:r w:rsidRPr="009A6041">
        <w:rPr>
          <w:i/>
          <w:sz w:val="22"/>
          <w:szCs w:val="22"/>
        </w:rPr>
        <w:t xml:space="preserve">Interpretation of Protection System Reliability Standard, </w:t>
      </w:r>
      <w:r w:rsidRPr="009A6041">
        <w:rPr>
          <w:sz w:val="22"/>
          <w:szCs w:val="22"/>
        </w:rPr>
        <w:t xml:space="preserve">138 FERC ¶ 61,094 (2012) (Order No. 758).  </w:t>
      </w:r>
    </w:p>
  </w:footnote>
  <w:footnote w:id="5">
    <w:p w14:paraId="64898DCE" w14:textId="77777777" w:rsidR="004A468A" w:rsidRPr="009A6041" w:rsidRDefault="004A468A" w:rsidP="009A6041">
      <w:pPr>
        <w:pStyle w:val="FootnoteText"/>
        <w:spacing w:after="240"/>
        <w:ind w:firstLine="720"/>
        <w:rPr>
          <w:sz w:val="22"/>
          <w:szCs w:val="22"/>
        </w:rPr>
      </w:pPr>
      <w:r w:rsidRPr="000A6548">
        <w:rPr>
          <w:rStyle w:val="FootnoteReference"/>
          <w:sz w:val="22"/>
          <w:szCs w:val="22"/>
          <w:vertAlign w:val="superscript"/>
        </w:rPr>
        <w:footnoteRef/>
      </w:r>
      <w:r w:rsidRPr="009A6041">
        <w:rPr>
          <w:sz w:val="22"/>
          <w:szCs w:val="22"/>
        </w:rPr>
        <w:t xml:space="preserve"> NERC Petition at 2.  </w:t>
      </w:r>
      <w:r w:rsidRPr="009A6041">
        <w:rPr>
          <w:i/>
          <w:sz w:val="22"/>
          <w:szCs w:val="22"/>
        </w:rPr>
        <w:t>See also</w:t>
      </w:r>
      <w:r w:rsidRPr="009A6041">
        <w:rPr>
          <w:sz w:val="22"/>
          <w:szCs w:val="22"/>
        </w:rPr>
        <w:t xml:space="preserve"> NERC Petition at 11 where NERC states that while additional directives related to the PRC-005 Reliability Standard were issued by the Commission in a subsequent order, Order No. 758, these directives are being addressed in future projects related to PRC-005.</w:t>
      </w:r>
    </w:p>
  </w:footnote>
  <w:footnote w:id="6">
    <w:p w14:paraId="64898DCF" w14:textId="77777777" w:rsidR="004A468A" w:rsidRPr="009A6041" w:rsidRDefault="004A468A" w:rsidP="009A6041">
      <w:pPr>
        <w:pStyle w:val="FootnoteText"/>
        <w:spacing w:after="240"/>
        <w:ind w:firstLine="720"/>
        <w:rPr>
          <w:i/>
          <w:sz w:val="22"/>
          <w:szCs w:val="22"/>
        </w:rPr>
      </w:pPr>
      <w:r w:rsidRPr="000A6548">
        <w:rPr>
          <w:rStyle w:val="FootnoteReference"/>
          <w:sz w:val="22"/>
          <w:szCs w:val="22"/>
          <w:vertAlign w:val="superscript"/>
        </w:rPr>
        <w:footnoteRef/>
      </w:r>
      <w:r w:rsidRPr="009A6041">
        <w:rPr>
          <w:sz w:val="22"/>
          <w:szCs w:val="22"/>
        </w:rPr>
        <w:t xml:space="preserve"> </w:t>
      </w:r>
      <w:r w:rsidRPr="009A6041">
        <w:rPr>
          <w:i/>
          <w:sz w:val="22"/>
          <w:szCs w:val="22"/>
        </w:rPr>
        <w:t xml:space="preserve">Id. </w:t>
      </w:r>
    </w:p>
  </w:footnote>
  <w:footnote w:id="7">
    <w:p w14:paraId="64898DD0" w14:textId="77777777" w:rsidR="004A468A" w:rsidRDefault="004A468A" w:rsidP="000A6548">
      <w:pPr>
        <w:pStyle w:val="FootnoteText"/>
        <w:ind w:firstLine="720"/>
        <w:rPr>
          <w:sz w:val="26"/>
          <w:szCs w:val="26"/>
        </w:rPr>
      </w:pPr>
      <w:r w:rsidRPr="000A6548">
        <w:rPr>
          <w:rStyle w:val="FootnoteReference"/>
          <w:vertAlign w:val="superscript"/>
        </w:rPr>
        <w:footnoteRef/>
      </w:r>
      <w:r>
        <w:rPr>
          <w:rStyle w:val="FootnoteReference"/>
        </w:rPr>
        <w:t xml:space="preserve"> </w:t>
      </w:r>
      <w:r>
        <w:rPr>
          <w:szCs w:val="26"/>
        </w:rPr>
        <w:t xml:space="preserve">The RFA definition of “small entity” refers to the definition provided in the Small Business Act (SBA), which defines a “small business concern” as a business that is independently owned and operated and that is not dominant in its field of operation.  </w:t>
      </w:r>
      <w:r>
        <w:rPr>
          <w:i/>
          <w:szCs w:val="26"/>
        </w:rPr>
        <w:t>See</w:t>
      </w:r>
      <w:r>
        <w:rPr>
          <w:szCs w:val="26"/>
        </w:rPr>
        <w:t xml:space="preserve"> 15 U.S.C. 632 (2006).  According to the Small Business Administration, an electric utility is defined as “small” if, including its affiliates, it is primarily engaged in the generation, transmission, and/or distribution of electric energy for sale and its total electric output for the preceding fiscal year did not exceed 4 million megawatt hours.</w:t>
      </w:r>
    </w:p>
  </w:footnote>
  <w:footnote w:id="8">
    <w:p w14:paraId="64898DD1" w14:textId="77777777" w:rsidR="004A468A" w:rsidRDefault="004A468A" w:rsidP="00F82DB7">
      <w:pPr>
        <w:pStyle w:val="FootnoteText"/>
        <w:ind w:firstLine="720"/>
      </w:pPr>
      <w:r w:rsidRPr="000A6548">
        <w:rPr>
          <w:rStyle w:val="FootnoteReference"/>
          <w:vertAlign w:val="superscript"/>
        </w:rPr>
        <w:footnoteRef/>
      </w:r>
      <w:r>
        <w:t xml:space="preserve"> NERC Petition at Exhibit F.</w:t>
      </w:r>
    </w:p>
  </w:footnote>
  <w:footnote w:id="9">
    <w:p w14:paraId="64898DD2" w14:textId="77777777" w:rsidR="004A468A" w:rsidRPr="009A6041" w:rsidRDefault="004A468A" w:rsidP="009A6041">
      <w:pPr>
        <w:pStyle w:val="FootnoteText"/>
        <w:spacing w:after="240"/>
        <w:ind w:firstLine="720"/>
        <w:rPr>
          <w:sz w:val="22"/>
          <w:szCs w:val="22"/>
        </w:rPr>
      </w:pPr>
      <w:r w:rsidRPr="009A6041">
        <w:rPr>
          <w:rStyle w:val="FootnoteReference"/>
          <w:b/>
          <w:sz w:val="22"/>
          <w:szCs w:val="22"/>
          <w:vertAlign w:val="superscript"/>
        </w:rPr>
        <w:footnoteRef/>
      </w:r>
      <w:r w:rsidRPr="009A6041">
        <w:rPr>
          <w:sz w:val="22"/>
          <w:szCs w:val="22"/>
        </w:rPr>
        <w:t xml:space="preserve"> Details of the current ERO Reliability Standard processes are available on the NERC website at </w:t>
      </w:r>
      <w:hyperlink r:id="rId1" w:history="1">
        <w:r w:rsidRPr="009A6041">
          <w:rPr>
            <w:rStyle w:val="Hyperlink"/>
            <w:sz w:val="22"/>
            <w:szCs w:val="22"/>
          </w:rPr>
          <w:t>http://www.nerc.com/pa/Stand/Resources/Documents/Appendix3AStandardsProcessesManual.pdf</w:t>
        </w:r>
      </w:hyperlink>
      <w:r w:rsidRPr="009A6041">
        <w:rPr>
          <w:sz w:val="22"/>
          <w:szCs w:val="22"/>
        </w:rPr>
        <w:t xml:space="preserve"> </w:t>
      </w:r>
    </w:p>
  </w:footnote>
  <w:footnote w:id="10">
    <w:p w14:paraId="565DE302" w14:textId="77777777" w:rsidR="004A468A" w:rsidRDefault="004A468A" w:rsidP="00C65304">
      <w:pPr>
        <w:pStyle w:val="FootnoteText"/>
      </w:pPr>
      <w:r>
        <w:rPr>
          <w:rStyle w:val="FootnoteReference"/>
        </w:rPr>
        <w:footnoteRef/>
      </w:r>
      <w:r>
        <w:t xml:space="preserve"> ITC Comments at 4. </w:t>
      </w:r>
    </w:p>
  </w:footnote>
  <w:footnote w:id="11">
    <w:p w14:paraId="6ADAA37C" w14:textId="77777777" w:rsidR="004A468A" w:rsidRDefault="004A468A" w:rsidP="00C65304">
      <w:pPr>
        <w:pStyle w:val="FootnoteText"/>
      </w:pPr>
      <w:r>
        <w:rPr>
          <w:rStyle w:val="FootnoteReference"/>
        </w:rPr>
        <w:footnoteRef/>
      </w:r>
      <w:r>
        <w:t xml:space="preserve"> Bureau of Reclamation Comments at 1. </w:t>
      </w:r>
    </w:p>
  </w:footnote>
  <w:footnote w:id="12">
    <w:p w14:paraId="60BEAB21" w14:textId="77777777" w:rsidR="004A468A" w:rsidRDefault="004A468A" w:rsidP="00C65304">
      <w:pPr>
        <w:pStyle w:val="FootnoteText"/>
      </w:pPr>
      <w:r>
        <w:rPr>
          <w:rStyle w:val="FootnoteReference"/>
        </w:rPr>
        <w:footnoteRef/>
      </w:r>
      <w:r>
        <w:t xml:space="preserve"> Duke Energy Comments at 2.  In particular, Duke Energy cites to applicability section 4.2.1, which pertains to “protection systems that are installed for the purpose of detecting Faults on BES Elements (lines, buses, transformers, etc.).”</w:t>
      </w:r>
    </w:p>
  </w:footnote>
  <w:footnote w:id="13">
    <w:p w14:paraId="0DB7FE2A" w14:textId="77777777" w:rsidR="004A468A" w:rsidRPr="00161F09" w:rsidRDefault="004A468A" w:rsidP="00C65304">
      <w:pPr>
        <w:pStyle w:val="FootnoteText"/>
      </w:pPr>
      <w:r>
        <w:rPr>
          <w:rStyle w:val="FootnoteReference"/>
        </w:rPr>
        <w:footnoteRef/>
      </w:r>
      <w:r>
        <w:t xml:space="preserve"> </w:t>
      </w:r>
      <w:r>
        <w:rPr>
          <w:i/>
        </w:rPr>
        <w:t xml:space="preserve">Id. </w:t>
      </w:r>
      <w:r>
        <w:t>at 3-4.</w:t>
      </w:r>
    </w:p>
  </w:footnote>
  <w:footnote w:id="14">
    <w:p w14:paraId="669E3752" w14:textId="77777777" w:rsidR="004A468A" w:rsidRPr="007D1C99" w:rsidRDefault="004A468A" w:rsidP="00C65304">
      <w:pPr>
        <w:pStyle w:val="FootnoteText"/>
      </w:pPr>
      <w:r>
        <w:rPr>
          <w:rStyle w:val="FootnoteReference"/>
        </w:rPr>
        <w:footnoteRef/>
      </w:r>
      <w:r>
        <w:t xml:space="preserve"> </w:t>
      </w:r>
      <w:r>
        <w:rPr>
          <w:i/>
        </w:rPr>
        <w:t>Id.</w:t>
      </w:r>
      <w:r>
        <w:t xml:space="preserve"> at 4. </w:t>
      </w:r>
    </w:p>
  </w:footnote>
  <w:footnote w:id="15">
    <w:p w14:paraId="5EBD291E" w14:textId="77777777" w:rsidR="004A468A" w:rsidRDefault="004A468A" w:rsidP="00C65304">
      <w:pPr>
        <w:pStyle w:val="FootnoteText"/>
      </w:pPr>
      <w:r>
        <w:rPr>
          <w:rStyle w:val="FootnoteReference"/>
        </w:rPr>
        <w:footnoteRef/>
      </w:r>
      <w:r>
        <w:t xml:space="preserve"> </w:t>
      </w:r>
      <w:r w:rsidRPr="00281881">
        <w:rPr>
          <w:i/>
        </w:rPr>
        <w:t>See</w:t>
      </w:r>
      <w:r>
        <w:t xml:space="preserve"> NOPR, 144 FERC ¶ 61,055 at P 2.</w:t>
      </w:r>
    </w:p>
  </w:footnote>
  <w:footnote w:id="16">
    <w:p w14:paraId="64898DD3" w14:textId="77777777" w:rsidR="004A468A" w:rsidRDefault="004A468A" w:rsidP="00DE1A72">
      <w:pPr>
        <w:pStyle w:val="FootnoteText"/>
        <w:ind w:firstLine="720"/>
      </w:pPr>
      <w:r w:rsidRPr="00DE1A72">
        <w:rPr>
          <w:rStyle w:val="FootnoteReference"/>
          <w:vertAlign w:val="superscript"/>
        </w:rPr>
        <w:footnoteRef/>
      </w:r>
      <w:r>
        <w:t xml:space="preserve"> PSMP = Protection System Maintenance Program</w:t>
      </w:r>
    </w:p>
  </w:footnote>
  <w:footnote w:id="17">
    <w:p w14:paraId="64898DD4" w14:textId="77777777" w:rsidR="004A468A" w:rsidRPr="009A6041" w:rsidRDefault="004A468A" w:rsidP="009A6041">
      <w:pPr>
        <w:pStyle w:val="FootnoteText"/>
        <w:spacing w:after="240"/>
        <w:ind w:firstLine="720"/>
        <w:rPr>
          <w:b/>
          <w:color w:val="000000"/>
          <w:sz w:val="22"/>
          <w:szCs w:val="22"/>
        </w:rPr>
      </w:pPr>
      <w:r w:rsidRPr="009A6041">
        <w:rPr>
          <w:rStyle w:val="FootnoteReference"/>
          <w:sz w:val="22"/>
          <w:szCs w:val="22"/>
          <w:vertAlign w:val="superscript"/>
        </w:rPr>
        <w:footnoteRef/>
      </w:r>
      <w:r w:rsidRPr="009A6041">
        <w:rPr>
          <w:sz w:val="22"/>
          <w:szCs w:val="22"/>
        </w:rPr>
        <w:t xml:space="preserve"> This figure is the average of the salary plus benefits for a manager and an engineer.  The figures are taken from the Bureau of Labor and Statistics at (http://bls.gov/oes/current/naics3_221000.htm).  </w:t>
      </w:r>
    </w:p>
  </w:footnote>
  <w:footnote w:id="18">
    <w:p w14:paraId="64898DD5" w14:textId="77777777" w:rsidR="004A468A" w:rsidRPr="009A6041" w:rsidRDefault="004A468A" w:rsidP="009A6041">
      <w:pPr>
        <w:pStyle w:val="FootnoteText"/>
        <w:spacing w:after="240"/>
        <w:ind w:firstLine="720"/>
        <w:rPr>
          <w:sz w:val="22"/>
          <w:szCs w:val="22"/>
        </w:rPr>
      </w:pPr>
      <w:r w:rsidRPr="009A6041">
        <w:rPr>
          <w:rStyle w:val="FootnoteReference"/>
          <w:b/>
          <w:sz w:val="22"/>
          <w:szCs w:val="22"/>
          <w:vertAlign w:val="superscript"/>
        </w:rPr>
        <w:footnoteRef/>
      </w:r>
      <w:r w:rsidRPr="009A6041">
        <w:rPr>
          <w:sz w:val="22"/>
          <w:szCs w:val="22"/>
        </w:rPr>
        <w:t xml:space="preserve"> This is based on an estimate of work done by the Information Clearance team and other FERC staff as well as a small non-labor cost related to publishing material in the Federal Register.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8DC4" w14:textId="640BBDF9" w:rsidR="004A468A" w:rsidRDefault="004A468A" w:rsidP="00B3407F">
    <w:pPr>
      <w:pStyle w:val="Header"/>
      <w:rPr>
        <w:rFonts w:ascii="Times New Roman" w:hAnsi="Times New Roman"/>
        <w:sz w:val="24"/>
        <w:szCs w:val="24"/>
      </w:rPr>
    </w:pPr>
    <w:r>
      <w:rPr>
        <w:rFonts w:ascii="Times New Roman" w:hAnsi="Times New Roman"/>
        <w:sz w:val="24"/>
        <w:szCs w:val="24"/>
      </w:rPr>
      <w:t xml:space="preserve">FERC-725P (OMB Control No.: 1902-0269) </w:t>
    </w:r>
  </w:p>
  <w:p w14:paraId="64898DC5" w14:textId="49D427E3" w:rsidR="004A468A" w:rsidRDefault="004A468A" w:rsidP="00B3407F">
    <w:pPr>
      <w:pStyle w:val="Header"/>
      <w:rPr>
        <w:rFonts w:ascii="Times New Roman" w:hAnsi="Times New Roman"/>
        <w:sz w:val="24"/>
        <w:szCs w:val="24"/>
      </w:rPr>
    </w:pPr>
    <w:r>
      <w:rPr>
        <w:rFonts w:ascii="Times New Roman" w:hAnsi="Times New Roman"/>
        <w:sz w:val="24"/>
        <w:szCs w:val="24"/>
      </w:rPr>
      <w:t>Docket No. RM13-7</w:t>
    </w:r>
    <w:r w:rsidRPr="001F1AD2">
      <w:rPr>
        <w:rFonts w:ascii="Times New Roman" w:hAnsi="Times New Roman"/>
        <w:sz w:val="24"/>
        <w:szCs w:val="24"/>
      </w:rPr>
      <w:t xml:space="preserve"> </w:t>
    </w:r>
    <w:r>
      <w:rPr>
        <w:rFonts w:ascii="Times New Roman" w:hAnsi="Times New Roman"/>
        <w:sz w:val="24"/>
        <w:szCs w:val="24"/>
      </w:rPr>
      <w:t xml:space="preserve">Final Rule issued July 18, 2013 </w:t>
    </w:r>
  </w:p>
  <w:p w14:paraId="64898DC6" w14:textId="77777777" w:rsidR="004A468A" w:rsidRDefault="004A468A" w:rsidP="00B3407F">
    <w:pPr>
      <w:pStyle w:val="Header"/>
      <w:rPr>
        <w:rFonts w:ascii="Times New Roman" w:hAnsi="Times New Roman"/>
        <w:sz w:val="24"/>
        <w:szCs w:val="24"/>
      </w:rPr>
    </w:pPr>
    <w:r w:rsidRPr="009A2394">
      <w:rPr>
        <w:rFonts w:ascii="Times New Roman" w:hAnsi="Times New Roman"/>
        <w:sz w:val="24"/>
        <w:szCs w:val="24"/>
      </w:rPr>
      <w:t xml:space="preserve">RIN: </w:t>
    </w:r>
    <w:r w:rsidRPr="003D11E0">
      <w:rPr>
        <w:rFonts w:ascii="Times New Roman" w:hAnsi="Times New Roman"/>
        <w:sz w:val="24"/>
        <w:szCs w:val="24"/>
      </w:rPr>
      <w:t>1902-AE74</w:t>
    </w:r>
  </w:p>
  <w:p w14:paraId="64898DC7" w14:textId="77777777" w:rsidR="004A468A" w:rsidRDefault="004A468A" w:rsidP="00B34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E80CF9"/>
    <w:multiLevelType w:val="hybridMultilevel"/>
    <w:tmpl w:val="C65E7E40"/>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nsid w:val="44B80F8F"/>
    <w:multiLevelType w:val="hybridMultilevel"/>
    <w:tmpl w:val="C9A670E4"/>
    <w:lvl w:ilvl="0" w:tplc="45CC17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0A27DB"/>
    <w:multiLevelType w:val="hybridMultilevel"/>
    <w:tmpl w:val="91AE5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893EE1"/>
    <w:multiLevelType w:val="hybridMultilevel"/>
    <w:tmpl w:val="FEB892D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9">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1"/>
  </w:num>
  <w:num w:numId="3">
    <w:abstractNumId w:val="15"/>
  </w:num>
  <w:num w:numId="4">
    <w:abstractNumId w:val="17"/>
  </w:num>
  <w:num w:numId="5">
    <w:abstractNumId w:val="19"/>
  </w:num>
  <w:num w:numId="6">
    <w:abstractNumId w:val="18"/>
  </w:num>
  <w:num w:numId="7">
    <w:abstractNumId w:val="10"/>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2CBE"/>
    <w:rsid w:val="000042C0"/>
    <w:rsid w:val="0002242D"/>
    <w:rsid w:val="00035845"/>
    <w:rsid w:val="00043264"/>
    <w:rsid w:val="000447C0"/>
    <w:rsid w:val="00071E8E"/>
    <w:rsid w:val="000A6548"/>
    <w:rsid w:val="000B0C37"/>
    <w:rsid w:val="000E4604"/>
    <w:rsid w:val="00143103"/>
    <w:rsid w:val="00165CDB"/>
    <w:rsid w:val="0017787C"/>
    <w:rsid w:val="00181727"/>
    <w:rsid w:val="00182858"/>
    <w:rsid w:val="00185730"/>
    <w:rsid w:val="00186941"/>
    <w:rsid w:val="00190012"/>
    <w:rsid w:val="001C300E"/>
    <w:rsid w:val="001F1AD2"/>
    <w:rsid w:val="00212FCA"/>
    <w:rsid w:val="00216634"/>
    <w:rsid w:val="002249B4"/>
    <w:rsid w:val="00231EBD"/>
    <w:rsid w:val="0026674D"/>
    <w:rsid w:val="002800F3"/>
    <w:rsid w:val="002A3817"/>
    <w:rsid w:val="002B13E2"/>
    <w:rsid w:val="002B37D3"/>
    <w:rsid w:val="002E48FF"/>
    <w:rsid w:val="00312547"/>
    <w:rsid w:val="00324D7D"/>
    <w:rsid w:val="00333EE2"/>
    <w:rsid w:val="00376399"/>
    <w:rsid w:val="003B25DD"/>
    <w:rsid w:val="003D11E0"/>
    <w:rsid w:val="003D2DC4"/>
    <w:rsid w:val="003D69FC"/>
    <w:rsid w:val="00414F32"/>
    <w:rsid w:val="00415C53"/>
    <w:rsid w:val="00451BC6"/>
    <w:rsid w:val="004552E9"/>
    <w:rsid w:val="004779B9"/>
    <w:rsid w:val="004A468A"/>
    <w:rsid w:val="004B01EE"/>
    <w:rsid w:val="004C4C89"/>
    <w:rsid w:val="004F6977"/>
    <w:rsid w:val="004F7A4D"/>
    <w:rsid w:val="00504E92"/>
    <w:rsid w:val="00522F69"/>
    <w:rsid w:val="00530462"/>
    <w:rsid w:val="0053287C"/>
    <w:rsid w:val="005335A7"/>
    <w:rsid w:val="00571C5E"/>
    <w:rsid w:val="0057700F"/>
    <w:rsid w:val="00577124"/>
    <w:rsid w:val="00580974"/>
    <w:rsid w:val="005A2792"/>
    <w:rsid w:val="005B4642"/>
    <w:rsid w:val="005B77CE"/>
    <w:rsid w:val="005E7290"/>
    <w:rsid w:val="005F1C3C"/>
    <w:rsid w:val="006166FA"/>
    <w:rsid w:val="00653BD5"/>
    <w:rsid w:val="00664BC0"/>
    <w:rsid w:val="006835EB"/>
    <w:rsid w:val="00690136"/>
    <w:rsid w:val="006E33D4"/>
    <w:rsid w:val="006E6BF1"/>
    <w:rsid w:val="00717279"/>
    <w:rsid w:val="0072126E"/>
    <w:rsid w:val="00730307"/>
    <w:rsid w:val="00734692"/>
    <w:rsid w:val="00750E89"/>
    <w:rsid w:val="007518B7"/>
    <w:rsid w:val="00763EAE"/>
    <w:rsid w:val="00764D4D"/>
    <w:rsid w:val="00773AEB"/>
    <w:rsid w:val="00787670"/>
    <w:rsid w:val="007A2F92"/>
    <w:rsid w:val="007A7A19"/>
    <w:rsid w:val="007E7C0F"/>
    <w:rsid w:val="007F2CD9"/>
    <w:rsid w:val="0081469B"/>
    <w:rsid w:val="00824B30"/>
    <w:rsid w:val="00826750"/>
    <w:rsid w:val="0085046D"/>
    <w:rsid w:val="008619E1"/>
    <w:rsid w:val="00871BA4"/>
    <w:rsid w:val="00876F75"/>
    <w:rsid w:val="00883F19"/>
    <w:rsid w:val="008A21A4"/>
    <w:rsid w:val="008B0A37"/>
    <w:rsid w:val="008B703B"/>
    <w:rsid w:val="008C288D"/>
    <w:rsid w:val="008E644C"/>
    <w:rsid w:val="008E70CD"/>
    <w:rsid w:val="008F3AD3"/>
    <w:rsid w:val="00913A8B"/>
    <w:rsid w:val="0092596C"/>
    <w:rsid w:val="0096162C"/>
    <w:rsid w:val="00970FE4"/>
    <w:rsid w:val="0098144A"/>
    <w:rsid w:val="00990149"/>
    <w:rsid w:val="009A2394"/>
    <w:rsid w:val="009A6041"/>
    <w:rsid w:val="009A6326"/>
    <w:rsid w:val="009E1190"/>
    <w:rsid w:val="009E68B7"/>
    <w:rsid w:val="009F358B"/>
    <w:rsid w:val="00A22222"/>
    <w:rsid w:val="00A276F5"/>
    <w:rsid w:val="00A4336A"/>
    <w:rsid w:val="00A548BE"/>
    <w:rsid w:val="00A72E7B"/>
    <w:rsid w:val="00A968FB"/>
    <w:rsid w:val="00A96B65"/>
    <w:rsid w:val="00AC488E"/>
    <w:rsid w:val="00AC5B54"/>
    <w:rsid w:val="00AD3DE5"/>
    <w:rsid w:val="00AF0A0B"/>
    <w:rsid w:val="00AF32F2"/>
    <w:rsid w:val="00B1381C"/>
    <w:rsid w:val="00B16372"/>
    <w:rsid w:val="00B3407F"/>
    <w:rsid w:val="00B5301A"/>
    <w:rsid w:val="00B62DC2"/>
    <w:rsid w:val="00B86284"/>
    <w:rsid w:val="00BA1C7D"/>
    <w:rsid w:val="00BA5743"/>
    <w:rsid w:val="00BA7C56"/>
    <w:rsid w:val="00BB71CF"/>
    <w:rsid w:val="00BC302C"/>
    <w:rsid w:val="00C00D70"/>
    <w:rsid w:val="00C01698"/>
    <w:rsid w:val="00C25EF3"/>
    <w:rsid w:val="00C510DD"/>
    <w:rsid w:val="00C51F82"/>
    <w:rsid w:val="00C57485"/>
    <w:rsid w:val="00C60EDC"/>
    <w:rsid w:val="00C65304"/>
    <w:rsid w:val="00C867EB"/>
    <w:rsid w:val="00CA495F"/>
    <w:rsid w:val="00CA4F8C"/>
    <w:rsid w:val="00CA59C3"/>
    <w:rsid w:val="00CB5C60"/>
    <w:rsid w:val="00CC086F"/>
    <w:rsid w:val="00CD061C"/>
    <w:rsid w:val="00CD7DBB"/>
    <w:rsid w:val="00CE34E4"/>
    <w:rsid w:val="00CF734E"/>
    <w:rsid w:val="00D037AB"/>
    <w:rsid w:val="00D05A7F"/>
    <w:rsid w:val="00D119C3"/>
    <w:rsid w:val="00D20588"/>
    <w:rsid w:val="00D31FF3"/>
    <w:rsid w:val="00D734E6"/>
    <w:rsid w:val="00D80FBD"/>
    <w:rsid w:val="00D8341B"/>
    <w:rsid w:val="00D913E8"/>
    <w:rsid w:val="00DB14A2"/>
    <w:rsid w:val="00DC4E36"/>
    <w:rsid w:val="00DE1A72"/>
    <w:rsid w:val="00DF401D"/>
    <w:rsid w:val="00DF56DA"/>
    <w:rsid w:val="00DF739D"/>
    <w:rsid w:val="00E05FA3"/>
    <w:rsid w:val="00E11CA6"/>
    <w:rsid w:val="00E14565"/>
    <w:rsid w:val="00E20612"/>
    <w:rsid w:val="00E37D76"/>
    <w:rsid w:val="00E57AAC"/>
    <w:rsid w:val="00E636D7"/>
    <w:rsid w:val="00E77D58"/>
    <w:rsid w:val="00E87A4F"/>
    <w:rsid w:val="00EB1FF5"/>
    <w:rsid w:val="00EB3E6F"/>
    <w:rsid w:val="00EC0232"/>
    <w:rsid w:val="00ED5560"/>
    <w:rsid w:val="00F12DC2"/>
    <w:rsid w:val="00F152DF"/>
    <w:rsid w:val="00F55597"/>
    <w:rsid w:val="00F82DB7"/>
    <w:rsid w:val="00F9136F"/>
    <w:rsid w:val="00FB16E6"/>
    <w:rsid w:val="00FC1142"/>
    <w:rsid w:val="00FC3BF3"/>
    <w:rsid w:val="00FC54B6"/>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9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uiPriority w:val="99"/>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uiPriority w:val="99"/>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062">
      <w:bodyDiv w:val="1"/>
      <w:marLeft w:val="0"/>
      <w:marRight w:val="0"/>
      <w:marTop w:val="0"/>
      <w:marBottom w:val="0"/>
      <w:divBdr>
        <w:top w:val="none" w:sz="0" w:space="0" w:color="auto"/>
        <w:left w:val="none" w:sz="0" w:space="0" w:color="auto"/>
        <w:bottom w:val="none" w:sz="0" w:space="0" w:color="auto"/>
        <w:right w:val="none" w:sz="0" w:space="0" w:color="auto"/>
      </w:divBdr>
    </w:div>
    <w:div w:id="202983013">
      <w:bodyDiv w:val="1"/>
      <w:marLeft w:val="0"/>
      <w:marRight w:val="0"/>
      <w:marTop w:val="0"/>
      <w:marBottom w:val="0"/>
      <w:divBdr>
        <w:top w:val="none" w:sz="0" w:space="0" w:color="auto"/>
        <w:left w:val="none" w:sz="0" w:space="0" w:color="auto"/>
        <w:bottom w:val="none" w:sz="0" w:space="0" w:color="auto"/>
        <w:right w:val="none" w:sz="0" w:space="0" w:color="auto"/>
      </w:divBdr>
    </w:div>
    <w:div w:id="436288447">
      <w:bodyDiv w:val="1"/>
      <w:marLeft w:val="0"/>
      <w:marRight w:val="0"/>
      <w:marTop w:val="0"/>
      <w:marBottom w:val="0"/>
      <w:divBdr>
        <w:top w:val="none" w:sz="0" w:space="0" w:color="auto"/>
        <w:left w:val="none" w:sz="0" w:space="0" w:color="auto"/>
        <w:bottom w:val="none" w:sz="0" w:space="0" w:color="auto"/>
        <w:right w:val="none" w:sz="0" w:space="0" w:color="auto"/>
      </w:divBdr>
    </w:div>
    <w:div w:id="524827324">
      <w:bodyDiv w:val="1"/>
      <w:marLeft w:val="0"/>
      <w:marRight w:val="0"/>
      <w:marTop w:val="0"/>
      <w:marBottom w:val="0"/>
      <w:divBdr>
        <w:top w:val="none" w:sz="0" w:space="0" w:color="auto"/>
        <w:left w:val="none" w:sz="0" w:space="0" w:color="auto"/>
        <w:bottom w:val="none" w:sz="0" w:space="0" w:color="auto"/>
        <w:right w:val="none" w:sz="0" w:space="0" w:color="auto"/>
      </w:divBdr>
    </w:div>
    <w:div w:id="609314428">
      <w:bodyDiv w:val="1"/>
      <w:marLeft w:val="0"/>
      <w:marRight w:val="0"/>
      <w:marTop w:val="0"/>
      <w:marBottom w:val="0"/>
      <w:divBdr>
        <w:top w:val="none" w:sz="0" w:space="0" w:color="auto"/>
        <w:left w:val="none" w:sz="0" w:space="0" w:color="auto"/>
        <w:bottom w:val="none" w:sz="0" w:space="0" w:color="auto"/>
        <w:right w:val="none" w:sz="0" w:space="0" w:color="auto"/>
      </w:divBdr>
    </w:div>
    <w:div w:id="1328752263">
      <w:bodyDiv w:val="1"/>
      <w:marLeft w:val="0"/>
      <w:marRight w:val="0"/>
      <w:marTop w:val="0"/>
      <w:marBottom w:val="0"/>
      <w:divBdr>
        <w:top w:val="none" w:sz="0" w:space="0" w:color="auto"/>
        <w:left w:val="none" w:sz="0" w:space="0" w:color="auto"/>
        <w:bottom w:val="none" w:sz="0" w:space="0" w:color="auto"/>
        <w:right w:val="none" w:sz="0" w:space="0" w:color="auto"/>
      </w:divBdr>
    </w:div>
    <w:div w:id="1473787175">
      <w:bodyDiv w:val="1"/>
      <w:marLeft w:val="0"/>
      <w:marRight w:val="0"/>
      <w:marTop w:val="0"/>
      <w:marBottom w:val="0"/>
      <w:divBdr>
        <w:top w:val="none" w:sz="0" w:space="0" w:color="auto"/>
        <w:left w:val="none" w:sz="0" w:space="0" w:color="auto"/>
        <w:bottom w:val="none" w:sz="0" w:space="0" w:color="auto"/>
        <w:right w:val="none" w:sz="0" w:space="0" w:color="auto"/>
      </w:divBdr>
    </w:div>
    <w:div w:id="1716660428">
      <w:bodyDiv w:val="1"/>
      <w:marLeft w:val="0"/>
      <w:marRight w:val="0"/>
      <w:marTop w:val="0"/>
      <w:marBottom w:val="0"/>
      <w:divBdr>
        <w:top w:val="none" w:sz="0" w:space="0" w:color="auto"/>
        <w:left w:val="none" w:sz="0" w:space="0" w:color="auto"/>
        <w:bottom w:val="none" w:sz="0" w:space="0" w:color="auto"/>
        <w:right w:val="none" w:sz="0" w:space="0" w:color="auto"/>
      </w:divBdr>
    </w:div>
    <w:div w:id="2010138141">
      <w:bodyDiv w:val="1"/>
      <w:marLeft w:val="0"/>
      <w:marRight w:val="0"/>
      <w:marTop w:val="0"/>
      <w:marBottom w:val="0"/>
      <w:divBdr>
        <w:top w:val="none" w:sz="0" w:space="0" w:color="auto"/>
        <w:left w:val="none" w:sz="0" w:space="0" w:color="auto"/>
        <w:bottom w:val="none" w:sz="0" w:space="0" w:color="auto"/>
        <w:right w:val="none" w:sz="0" w:space="0" w:color="auto"/>
      </w:divBdr>
    </w:div>
    <w:div w:id="20660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Resources/Documents/Appendix3AStandardsProcesses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725P</_x0031__x002e__x0020_Collection_x0020_Number>
    <Date xmlns="d6eefc7d-9817-4fa6-84d5-3bc009be21b8">2013-12-19T05:00:00+00:00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RM13-7</_x0031__x002e__x0020_Docket_x0020_Number>
    <_x0033__x002e__x0020_Collection_x0020_Number xmlns="d6eefc7d-9817-4fa6-84d5-3bc009be2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17" ma:contentTypeDescription="Create a new document." ma:contentTypeScope="" ma:versionID="3e01748a2d8b0fca8a68d5658130a62e">
  <xsd:schema xmlns:xsd="http://www.w3.org/2001/XMLSchema" xmlns:p="http://schemas.microsoft.com/office/2006/metadata/properties" xmlns:ns2="d6eefc7d-9817-4fa6-84d5-3bc009be21b8" targetNamespace="http://schemas.microsoft.com/office/2006/metadata/properties" ma:root="true" ma:fieldsID="eb9f0dec035541e61c5545f4119c673a"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dms="http://schemas.microsoft.com/office/2006/documentManagement/types" targetNamespace="d6eefc7d-9817-4fa6-84d5-3bc009be21b8" elementFormDefault="qualified">
    <xsd:import namespace="http://schemas.microsoft.com/office/2006/documentManagement/type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ement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07C1-993F-4A66-96F1-4BD6F6DA61C5}">
  <ds:schemaRefs>
    <ds:schemaRef ds:uri="http://schemas.microsoft.com/sharepoint/v3/contenttype/forms"/>
  </ds:schemaRefs>
</ds:datastoreItem>
</file>

<file path=customXml/itemProps2.xml><?xml version="1.0" encoding="utf-8"?>
<ds:datastoreItem xmlns:ds="http://schemas.openxmlformats.org/officeDocument/2006/customXml" ds:itemID="{32CF3819-25B7-4D18-B6FE-91A14B8D013A}">
  <ds:schemaRefs>
    <ds:schemaRef ds:uri="http://schemas.microsoft.com/office/2006/metadata/properties"/>
    <ds:schemaRef ds:uri="d6eefc7d-9817-4fa6-84d5-3bc009be21b8"/>
  </ds:schemaRefs>
</ds:datastoreItem>
</file>

<file path=customXml/itemProps3.xml><?xml version="1.0" encoding="utf-8"?>
<ds:datastoreItem xmlns:ds="http://schemas.openxmlformats.org/officeDocument/2006/customXml" ds:itemID="{724D1F21-7740-4BD7-97D2-D08BDFE4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396EBF-E6C0-4A24-B597-5FE9D44B32F0}">
  <ds:schemaRefs>
    <ds:schemaRef ds:uri="http://schemas.microsoft.com/office/2006/metadata/customXsn"/>
  </ds:schemaRefs>
</ds:datastoreItem>
</file>

<file path=customXml/itemProps5.xml><?xml version="1.0" encoding="utf-8"?>
<ds:datastoreItem xmlns:ds="http://schemas.openxmlformats.org/officeDocument/2006/customXml" ds:itemID="{6E4D600D-C2B4-42F6-A242-98AF45E4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6D93C5E</Template>
  <TotalTime>0</TotalTime>
  <Pages>10</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2013-12-27T18:35:00Z</dcterms:created>
  <dcterms:modified xsi:type="dcterms:W3CDTF">2013-12-30T18:33:00Z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1013853704</vt:i4>
  </property>
  <property fmtid="{D5CDD505-2E9C-101B-9397-08002B2CF9AE}" pid="3" name="_NewReviewCycle">
    <vt:lpwstr/>
  </property>
  <property fmtid="{D5CDD505-2E9C-101B-9397-08002B2CF9AE}" pid="4" name="ContentTypeId">
    <vt:lpwstr>0x0101003837EBEE62F2E248B8AD112B0E89FEBA</vt:lpwstr>
  </property>
  <property fmtid="{D5CDD505-2E9C-101B-9397-08002B2CF9AE}" pid="5" name="_PreviousAdHocReviewCycleID">
    <vt:i4>-164510060</vt:i4>
  </property>
  <property fmtid="{D5CDD505-2E9C-101B-9397-08002B2CF9AE}" pid="6" name="_ReviewingToolsShownOnce">
    <vt:lpwstr/>
  </property>
</Properties>
</file>