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Pr="0055035F" w:rsidRDefault="007934E5" w:rsidP="00A7661C">
      <w:pPr>
        <w:tabs>
          <w:tab w:val="center" w:pos="4680"/>
        </w:tabs>
        <w:jc w:val="center"/>
        <w:rPr>
          <w:b/>
          <w:bCs/>
        </w:rPr>
      </w:pPr>
      <w:r w:rsidRPr="0055035F">
        <w:rPr>
          <w:b/>
          <w:bCs/>
        </w:rPr>
        <w:fldChar w:fldCharType="begin"/>
      </w:r>
      <w:r w:rsidR="00CA4CD6" w:rsidRPr="0055035F">
        <w:rPr>
          <w:b/>
          <w:bCs/>
        </w:rPr>
        <w:instrText>tc \l2 "SF</w:instrText>
      </w:r>
      <w:r w:rsidRPr="0055035F">
        <w:rPr>
          <w:b/>
          <w:bCs/>
        </w:rPr>
        <w:fldChar w:fldCharType="end"/>
      </w:r>
      <w:r w:rsidR="00CA4CD6" w:rsidRPr="0055035F">
        <w:rPr>
          <w:b/>
          <w:bCs/>
        </w:rPr>
        <w:t>SUPPORTING STATEMENT</w:t>
      </w:r>
    </w:p>
    <w:p w:rsidR="00CA4CD6" w:rsidRPr="0055035F" w:rsidRDefault="00CA4CD6" w:rsidP="00504745">
      <w:pPr>
        <w:tabs>
          <w:tab w:val="center" w:pos="4680"/>
        </w:tabs>
        <w:outlineLvl w:val="0"/>
      </w:pPr>
      <w:r w:rsidRPr="0055035F">
        <w:rPr>
          <w:b/>
          <w:bCs/>
        </w:rPr>
        <w:tab/>
        <w:t>ENVIRONMENTAL PROTECTION AGENCY</w:t>
      </w:r>
    </w:p>
    <w:p w:rsidR="00CA4CD6" w:rsidRPr="0055035F" w:rsidRDefault="00CA4CD6">
      <w:pPr>
        <w:tabs>
          <w:tab w:val="center" w:pos="4680"/>
        </w:tabs>
      </w:pPr>
      <w:r w:rsidRPr="0055035F">
        <w:tab/>
      </w:r>
    </w:p>
    <w:p w:rsidR="00CA4CD6" w:rsidRPr="0055035F" w:rsidRDefault="0055035F">
      <w:r w:rsidRPr="0055035F">
        <w:rPr>
          <w:b/>
        </w:rPr>
        <w:t xml:space="preserve">NSPS for Electric Utility Steam Generating Units (40 CFR </w:t>
      </w:r>
      <w:r w:rsidR="00187885">
        <w:rPr>
          <w:b/>
        </w:rPr>
        <w:t>P</w:t>
      </w:r>
      <w:r w:rsidRPr="0055035F">
        <w:rPr>
          <w:b/>
        </w:rPr>
        <w:t xml:space="preserve">art 60, </w:t>
      </w:r>
      <w:r w:rsidR="00187885">
        <w:rPr>
          <w:b/>
        </w:rPr>
        <w:t>S</w:t>
      </w:r>
      <w:r w:rsidRPr="0055035F">
        <w:rPr>
          <w:b/>
        </w:rPr>
        <w:t xml:space="preserve">ubpart </w:t>
      </w:r>
      <w:proofErr w:type="spellStart"/>
      <w:r w:rsidRPr="0055035F">
        <w:rPr>
          <w:b/>
        </w:rPr>
        <w:t>Da</w:t>
      </w:r>
      <w:proofErr w:type="spellEnd"/>
      <w:r w:rsidRPr="0055035F">
        <w:rPr>
          <w:b/>
        </w:rPr>
        <w:t xml:space="preserve">) </w:t>
      </w:r>
      <w:r w:rsidR="002B29A5" w:rsidRPr="0055035F">
        <w:rPr>
          <w:b/>
        </w:rPr>
        <w:t>(Renewal)</w:t>
      </w:r>
    </w:p>
    <w:p w:rsidR="00CA4CD6" w:rsidRPr="0055035F" w:rsidRDefault="00CA4CD6"/>
    <w:p w:rsidR="00CA4CD6" w:rsidRPr="0055035F" w:rsidRDefault="00CA4CD6" w:rsidP="00504745">
      <w:pPr>
        <w:outlineLvl w:val="0"/>
        <w:rPr>
          <w:b/>
          <w:bCs/>
        </w:rPr>
      </w:pPr>
      <w:r w:rsidRPr="0055035F">
        <w:rPr>
          <w:b/>
          <w:bCs/>
        </w:rPr>
        <w:t>1.  Identification of the Information Collection</w:t>
      </w:r>
    </w:p>
    <w:p w:rsidR="00CA4CD6" w:rsidRPr="0055035F" w:rsidRDefault="00CA4CD6">
      <w:pPr>
        <w:rPr>
          <w:b/>
          <w:bCs/>
        </w:rPr>
      </w:pPr>
    </w:p>
    <w:p w:rsidR="00CA4CD6" w:rsidRPr="0055035F" w:rsidRDefault="00CA4CD6">
      <w:pPr>
        <w:ind w:firstLine="720"/>
        <w:rPr>
          <w:b/>
          <w:bCs/>
        </w:rPr>
      </w:pPr>
      <w:r w:rsidRPr="0055035F">
        <w:rPr>
          <w:b/>
          <w:bCs/>
        </w:rPr>
        <w:t>1(a</w:t>
      </w:r>
      <w:proofErr w:type="gramStart"/>
      <w:r w:rsidRPr="0055035F">
        <w:rPr>
          <w:b/>
          <w:bCs/>
        </w:rPr>
        <w:t>)  Title</w:t>
      </w:r>
      <w:proofErr w:type="gramEnd"/>
      <w:r w:rsidRPr="0055035F">
        <w:rPr>
          <w:b/>
          <w:bCs/>
        </w:rPr>
        <w:t xml:space="preserve"> of the Information Collection</w:t>
      </w:r>
    </w:p>
    <w:p w:rsidR="00CA4CD6" w:rsidRPr="0055035F" w:rsidRDefault="00CA4CD6">
      <w:pPr>
        <w:rPr>
          <w:b/>
          <w:bCs/>
        </w:rPr>
      </w:pPr>
    </w:p>
    <w:p w:rsidR="00CA4CD6" w:rsidRPr="0055035F" w:rsidRDefault="0055035F" w:rsidP="002B29A5">
      <w:pPr>
        <w:rPr>
          <w:bCs/>
        </w:rPr>
      </w:pPr>
      <w:r w:rsidRPr="0055035F">
        <w:rPr>
          <w:bCs/>
        </w:rPr>
        <w:t xml:space="preserve">NSPS for Electric Utility Steam Generating Units (40 CFR </w:t>
      </w:r>
      <w:r w:rsidR="00187885">
        <w:rPr>
          <w:bCs/>
        </w:rPr>
        <w:t>P</w:t>
      </w:r>
      <w:r w:rsidRPr="0055035F">
        <w:rPr>
          <w:bCs/>
        </w:rPr>
        <w:t xml:space="preserve">art 60, </w:t>
      </w:r>
      <w:r w:rsidR="00187885">
        <w:rPr>
          <w:bCs/>
        </w:rPr>
        <w:t>S</w:t>
      </w:r>
      <w:r w:rsidRPr="0055035F">
        <w:rPr>
          <w:bCs/>
        </w:rPr>
        <w:t xml:space="preserve">ubpart </w:t>
      </w:r>
      <w:proofErr w:type="spellStart"/>
      <w:r w:rsidRPr="0055035F">
        <w:rPr>
          <w:bCs/>
        </w:rPr>
        <w:t>Da</w:t>
      </w:r>
      <w:proofErr w:type="spellEnd"/>
      <w:r w:rsidRPr="0055035F">
        <w:rPr>
          <w:bCs/>
        </w:rPr>
        <w:t>)</w:t>
      </w:r>
      <w:r>
        <w:rPr>
          <w:bCs/>
        </w:rPr>
        <w:t xml:space="preserve"> </w:t>
      </w:r>
      <w:r w:rsidR="002B29A5" w:rsidRPr="0055035F">
        <w:rPr>
          <w:bCs/>
        </w:rPr>
        <w:t>(Renewal), EPA ICR Number</w:t>
      </w:r>
      <w:r>
        <w:rPr>
          <w:bCs/>
        </w:rPr>
        <w:t xml:space="preserve"> 1053.11</w:t>
      </w:r>
      <w:r w:rsidR="002B29A5" w:rsidRPr="0055035F">
        <w:rPr>
          <w:bCs/>
        </w:rPr>
        <w:t xml:space="preserve">, OMB Control Number </w:t>
      </w:r>
      <w:r>
        <w:rPr>
          <w:bCs/>
        </w:rPr>
        <w:t>2060-0023</w:t>
      </w:r>
      <w:r w:rsidR="002B29A5" w:rsidRPr="0055035F">
        <w:rPr>
          <w:bCs/>
        </w:rPr>
        <w:t xml:space="preserve">. </w:t>
      </w:r>
    </w:p>
    <w:p w:rsidR="00CA4CD6" w:rsidRPr="0055035F" w:rsidRDefault="00CA4CD6">
      <w:pPr>
        <w:rPr>
          <w:b/>
          <w:bCs/>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p>
    <w:p w:rsidR="00CA4CD6" w:rsidRDefault="00CA4CD6">
      <w:pPr>
        <w:ind w:firstLine="720"/>
        <w:rPr>
          <w:color w:val="000000"/>
        </w:rPr>
      </w:pPr>
      <w:r>
        <w:rPr>
          <w:color w:val="000000"/>
        </w:rPr>
        <w:t>The</w:t>
      </w:r>
      <w:r w:rsidR="00951167" w:rsidRPr="00951167">
        <w:t xml:space="preserve"> </w:t>
      </w:r>
      <w:r w:rsidR="00951167" w:rsidRPr="00951167">
        <w:rPr>
          <w:color w:val="000000"/>
        </w:rPr>
        <w:t>New Source Performance Standards (NSPS)</w:t>
      </w:r>
      <w:r w:rsidR="00951167">
        <w:rPr>
          <w:color w:val="000000"/>
        </w:rPr>
        <w:t xml:space="preserve"> f</w:t>
      </w:r>
      <w:r>
        <w:rPr>
          <w:color w:val="000000"/>
        </w:rPr>
        <w:t xml:space="preserve">or </w:t>
      </w:r>
      <w:r w:rsidR="004F458F" w:rsidRPr="0055035F">
        <w:rPr>
          <w:bCs/>
        </w:rPr>
        <w:t>Electric Utility Steam Generating Units</w:t>
      </w:r>
      <w:r w:rsidR="004F458F" w:rsidDel="004F458F">
        <w:rPr>
          <w:color w:val="000000"/>
        </w:rPr>
        <w:t xml:space="preserve"> </w:t>
      </w:r>
      <w:r w:rsidR="004F458F">
        <w:rPr>
          <w:color w:val="000000"/>
        </w:rPr>
        <w:t>(</w:t>
      </w:r>
      <w:r w:rsidR="00951167" w:rsidRPr="00951167">
        <w:rPr>
          <w:color w:val="000000"/>
        </w:rPr>
        <w:t xml:space="preserve">40 CFR </w:t>
      </w:r>
      <w:r w:rsidR="00951167">
        <w:rPr>
          <w:color w:val="000000"/>
        </w:rPr>
        <w:t xml:space="preserve">part </w:t>
      </w:r>
      <w:r w:rsidR="00951167" w:rsidRPr="00951167">
        <w:rPr>
          <w:color w:val="000000"/>
        </w:rPr>
        <w:t xml:space="preserve">60, subpart </w:t>
      </w:r>
      <w:proofErr w:type="spellStart"/>
      <w:r w:rsidR="00951167" w:rsidRPr="00951167">
        <w:rPr>
          <w:color w:val="000000"/>
        </w:rPr>
        <w:t>Da</w:t>
      </w:r>
      <w:proofErr w:type="spellEnd"/>
      <w:r w:rsidR="004F458F">
        <w:rPr>
          <w:color w:val="000000"/>
        </w:rPr>
        <w:t>)</w:t>
      </w:r>
      <w:r>
        <w:rPr>
          <w:color w:val="000000"/>
        </w:rPr>
        <w:t xml:space="preserve"> were</w:t>
      </w:r>
      <w:r w:rsidR="004F458F">
        <w:rPr>
          <w:color w:val="000000"/>
        </w:rPr>
        <w:t>:</w:t>
      </w:r>
      <w:r>
        <w:rPr>
          <w:color w:val="000000"/>
        </w:rPr>
        <w:t xml:space="preserve"> proposed on</w:t>
      </w:r>
      <w:r w:rsidR="00951167">
        <w:rPr>
          <w:color w:val="000000"/>
        </w:rPr>
        <w:t xml:space="preserve"> </w:t>
      </w:r>
      <w:r w:rsidR="00951167" w:rsidRPr="00951167">
        <w:rPr>
          <w:color w:val="000000"/>
        </w:rPr>
        <w:t>September 18, 1978</w:t>
      </w:r>
      <w:r w:rsidR="004F458F">
        <w:rPr>
          <w:color w:val="000000"/>
        </w:rPr>
        <w:t>;</w:t>
      </w:r>
      <w:r>
        <w:rPr>
          <w:color w:val="000000"/>
        </w:rPr>
        <w:t xml:space="preserve"> promulgated on </w:t>
      </w:r>
      <w:r w:rsidR="00951167" w:rsidRPr="00951167">
        <w:rPr>
          <w:color w:val="000000"/>
        </w:rPr>
        <w:t>June 11, 1979</w:t>
      </w:r>
      <w:r w:rsidR="00951167">
        <w:rPr>
          <w:color w:val="000000"/>
        </w:rPr>
        <w:t xml:space="preserve"> (44 </w:t>
      </w:r>
      <w:r w:rsidR="00951167" w:rsidRPr="0064712D">
        <w:rPr>
          <w:color w:val="000000"/>
          <w:u w:val="single"/>
        </w:rPr>
        <w:t>FR</w:t>
      </w:r>
      <w:r w:rsidR="00951167">
        <w:rPr>
          <w:color w:val="000000"/>
        </w:rPr>
        <w:t xml:space="preserve"> 33613)</w:t>
      </w:r>
      <w:r w:rsidR="004F458F">
        <w:rPr>
          <w:color w:val="000000"/>
        </w:rPr>
        <w:t>;</w:t>
      </w:r>
      <w:r w:rsidR="002E5EC2">
        <w:rPr>
          <w:color w:val="000000"/>
        </w:rPr>
        <w:t xml:space="preserve"> and was last</w:t>
      </w:r>
      <w:r w:rsidR="004F458F">
        <w:rPr>
          <w:color w:val="000000"/>
        </w:rPr>
        <w:t>-</w:t>
      </w:r>
      <w:r w:rsidR="002E5EC2">
        <w:rPr>
          <w:color w:val="000000"/>
        </w:rPr>
        <w:t>amended on February 16, 2012</w:t>
      </w:r>
      <w:r>
        <w:rPr>
          <w:color w:val="000000"/>
        </w:rPr>
        <w:t xml:space="preserve">.  These regulations apply </w:t>
      </w:r>
      <w:r w:rsidR="00724BC7">
        <w:rPr>
          <w:color w:val="000000"/>
        </w:rPr>
        <w:t xml:space="preserve">to </w:t>
      </w:r>
      <w:r w:rsidR="00951167" w:rsidRPr="00951167">
        <w:rPr>
          <w:color w:val="000000"/>
        </w:rPr>
        <w:t xml:space="preserve">electric utility steam generating units capable of combusting more than 73 megawatts (MW) heat input of fossil fuel commencing construction, modification, or reconstruction after the date of proposal.  </w:t>
      </w:r>
      <w:r>
        <w:rPr>
          <w:color w:val="000000"/>
        </w:rPr>
        <w:t xml:space="preserve">This information is being collected to assure compliance with </w:t>
      </w:r>
      <w:r w:rsidR="00951167" w:rsidRPr="00951167">
        <w:rPr>
          <w:color w:val="000000"/>
        </w:rPr>
        <w:t xml:space="preserve">40 CFR </w:t>
      </w:r>
      <w:proofErr w:type="gramStart"/>
      <w:r w:rsidR="00951167" w:rsidRPr="00951167">
        <w:rPr>
          <w:color w:val="000000"/>
        </w:rPr>
        <w:t>part</w:t>
      </w:r>
      <w:proofErr w:type="gramEnd"/>
      <w:r w:rsidR="00951167" w:rsidRPr="00951167">
        <w:rPr>
          <w:color w:val="000000"/>
        </w:rPr>
        <w:t xml:space="preserve"> 60, subpart Da</w:t>
      </w:r>
      <w:r>
        <w:rPr>
          <w:color w:val="000000"/>
        </w:rPr>
        <w:t>.</w:t>
      </w:r>
    </w:p>
    <w:p w:rsidR="00CA4CD6" w:rsidRDefault="00CA4CD6">
      <w:pPr>
        <w:rPr>
          <w:color w:val="000000"/>
        </w:rPr>
      </w:pPr>
    </w:p>
    <w:p w:rsidR="00CA4CD6" w:rsidRDefault="00CA4CD6">
      <w:pPr>
        <w:ind w:firstLine="720"/>
        <w:rPr>
          <w:color w:val="000000"/>
        </w:rPr>
      </w:pPr>
      <w:r>
        <w:rPr>
          <w:color w:val="000000"/>
        </w:rPr>
        <w:t>In general, all</w:t>
      </w:r>
      <w:r w:rsidR="001F39FC">
        <w:rPr>
          <w:color w:val="000000"/>
        </w:rPr>
        <w:t xml:space="preserve"> NSPS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AD1D52">
        <w:rPr>
          <w:color w:val="000000"/>
        </w:rPr>
        <w:t xml:space="preserve">    </w:t>
      </w:r>
      <w:r>
        <w:rPr>
          <w:color w:val="000000"/>
        </w:rPr>
        <w:t>the operation of an affected facility, or any period during which the monitoring system is inoperative.  These notifications, reports, and records are essential in determining compliance, and are required of all affected facilities subject to</w:t>
      </w:r>
      <w:r w:rsidR="001F39FC">
        <w:rPr>
          <w:color w:val="000000"/>
        </w:rPr>
        <w:t xml:space="preserve"> NSPS</w:t>
      </w:r>
      <w:r>
        <w:rPr>
          <w:color w:val="000000"/>
        </w:rPr>
        <w:t>.</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least</w:t>
      </w:r>
      <w:r w:rsidR="001F39FC">
        <w:rPr>
          <w:color w:val="000000"/>
        </w:rPr>
        <w:t xml:space="preserve"> two</w:t>
      </w:r>
      <w:r>
        <w:rPr>
          <w:color w:val="000000"/>
        </w:rPr>
        <w:t xml:space="preserve"> years following the date of such measurements, maintenance reports, and records.  All reports are sent to the delegated state or local authority.  </w:t>
      </w:r>
      <w:r w:rsidR="00AD1D52">
        <w:rPr>
          <w:color w:val="000000"/>
        </w:rPr>
        <w:t xml:space="preserve"> </w:t>
      </w:r>
      <w:r>
        <w:rPr>
          <w:color w:val="000000"/>
        </w:rPr>
        <w:t>In the event that there is no such delegated authority, the reports are sent directly to the U</w:t>
      </w:r>
      <w:r w:rsidR="00AD1D52">
        <w:rPr>
          <w:color w:val="000000"/>
        </w:rPr>
        <w:t>.</w:t>
      </w:r>
      <w:r>
        <w:rPr>
          <w:color w:val="000000"/>
        </w:rPr>
        <w:t xml:space="preserve"> S</w:t>
      </w:r>
      <w:r w:rsidR="00AD1D52">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1F39FC">
        <w:rPr>
          <w:color w:val="000000"/>
        </w:rPr>
        <w:t xml:space="preserve">is </w:t>
      </w:r>
      <w:r>
        <w:rPr>
          <w:color w:val="000000"/>
        </w:rPr>
        <w:t>an average of</w:t>
      </w:r>
      <w:r w:rsidR="001F39FC">
        <w:rPr>
          <w:color w:val="000000"/>
        </w:rPr>
        <w:t xml:space="preserve"> </w:t>
      </w:r>
      <w:r w:rsidR="00AD1D52">
        <w:rPr>
          <w:color w:val="000000"/>
        </w:rPr>
        <w:t xml:space="preserve">         </w:t>
      </w:r>
      <w:r w:rsidR="001F39FC">
        <w:rPr>
          <w:color w:val="000000"/>
        </w:rPr>
        <w:t xml:space="preserve">one </w:t>
      </w:r>
      <w:r>
        <w:rPr>
          <w:color w:val="000000"/>
        </w:rPr>
        <w:t xml:space="preserve">affected </w:t>
      </w:r>
      <w:r w:rsidR="001F39FC">
        <w:rPr>
          <w:color w:val="000000"/>
        </w:rPr>
        <w:t xml:space="preserve">facility </w:t>
      </w:r>
      <w:r>
        <w:rPr>
          <w:color w:val="000000"/>
        </w:rPr>
        <w:t>at each plant site</w:t>
      </w:r>
      <w:r w:rsidR="001F39FC">
        <w:rPr>
          <w:color w:val="000000"/>
        </w:rPr>
        <w:t xml:space="preserve">, </w:t>
      </w:r>
      <w:r>
        <w:rPr>
          <w:color w:val="000000"/>
        </w:rPr>
        <w:t>and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F39FC"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an average of</w:t>
      </w:r>
      <w:r w:rsidR="001F39FC">
        <w:rPr>
          <w:color w:val="000000"/>
        </w:rPr>
        <w:t xml:space="preserve"> </w:t>
      </w:r>
      <w:r w:rsidR="000B4B54">
        <w:rPr>
          <w:color w:val="000000"/>
        </w:rPr>
        <w:t>699</w:t>
      </w:r>
      <w:r w:rsidR="001F39FC">
        <w:rPr>
          <w:color w:val="000000"/>
        </w:rPr>
        <w:t xml:space="preserve"> </w:t>
      </w:r>
      <w:r w:rsidR="00CA4CD6">
        <w:rPr>
          <w:color w:val="000000"/>
        </w:rPr>
        <w:t xml:space="preserve">respondents </w:t>
      </w:r>
      <w:r>
        <w:rPr>
          <w:color w:val="000000"/>
        </w:rPr>
        <w:t>per year will be subject to the</w:t>
      </w:r>
      <w:r w:rsidR="00AD1D52">
        <w:rPr>
          <w:color w:val="000000"/>
        </w:rPr>
        <w:t>se</w:t>
      </w:r>
      <w:r>
        <w:rPr>
          <w:color w:val="000000"/>
        </w:rPr>
        <w:t xml:space="preserve"> standard</w:t>
      </w:r>
      <w:r w:rsidR="00AD1D52">
        <w:rPr>
          <w:color w:val="000000"/>
        </w:rPr>
        <w:t>s</w:t>
      </w:r>
      <w:r w:rsidR="00CA4CD6">
        <w:rPr>
          <w:color w:val="000000"/>
        </w:rPr>
        <w:t>, and</w:t>
      </w:r>
      <w:r w:rsidR="001F39FC">
        <w:rPr>
          <w:color w:val="000000"/>
        </w:rPr>
        <w:t xml:space="preserve"> 11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standard.</w:t>
      </w:r>
    </w:p>
    <w:p w:rsidR="001F39FC" w:rsidRPr="00432CB7" w:rsidRDefault="001F39FC">
      <w:pPr>
        <w:pBdr>
          <w:top w:val="single" w:sz="6" w:space="0" w:color="FFFFFF"/>
          <w:left w:val="single" w:sz="6" w:space="0" w:color="FFFFFF"/>
          <w:bottom w:val="single" w:sz="6" w:space="0" w:color="FFFFFF"/>
          <w:right w:val="single" w:sz="6" w:space="0" w:color="FFFFFF"/>
        </w:pBdr>
        <w:ind w:firstLine="720"/>
      </w:pPr>
    </w:p>
    <w:p w:rsidR="00CA4CD6" w:rsidRPr="00432CB7" w:rsidRDefault="0064712D">
      <w:pPr>
        <w:pBdr>
          <w:top w:val="single" w:sz="6" w:space="0" w:color="FFFFFF"/>
          <w:left w:val="single" w:sz="6" w:space="0" w:color="FFFFFF"/>
          <w:bottom w:val="single" w:sz="6" w:space="0" w:color="FFFFFF"/>
          <w:right w:val="single" w:sz="6" w:space="0" w:color="FFFFFF"/>
        </w:pBdr>
        <w:ind w:firstLine="720"/>
      </w:pPr>
      <w:r>
        <w:t>The Office of Management of Budget (</w:t>
      </w:r>
      <w:r w:rsidR="00CA4CD6" w:rsidRPr="00432CB7">
        <w:t>OMB</w:t>
      </w:r>
      <w:r>
        <w:t>)</w:t>
      </w:r>
      <w:r w:rsidR="00CA4CD6" w:rsidRPr="00432CB7">
        <w:t xml:space="preserve"> approved the currently active ICR without any </w:t>
      </w:r>
      <w:r w:rsidR="001F39FC" w:rsidRPr="00432CB7">
        <w:t>“</w:t>
      </w:r>
      <w:r w:rsidR="00CA4CD6" w:rsidRPr="00432CB7">
        <w:t>Terms of Clearance.</w:t>
      </w:r>
      <w:r w:rsidR="001F39FC" w:rsidRPr="00432CB7">
        <w:t>”</w:t>
      </w:r>
    </w:p>
    <w:p w:rsidR="009D6567" w:rsidRPr="00432CB7" w:rsidRDefault="009D6567">
      <w:pPr>
        <w:pBdr>
          <w:top w:val="single" w:sz="6" w:space="0" w:color="FFFFFF"/>
          <w:left w:val="single" w:sz="6" w:space="0" w:color="FFFFFF"/>
          <w:bottom w:val="single" w:sz="6" w:space="0" w:color="FFFFFF"/>
          <w:right w:val="single" w:sz="6" w:space="0" w:color="FFFFFF"/>
        </w:pBdr>
        <w:ind w:firstLine="720"/>
      </w:pPr>
    </w:p>
    <w:p w:rsidR="00CA4CD6" w:rsidRPr="00187885" w:rsidRDefault="009D6567" w:rsidP="002B29A5">
      <w:r w:rsidRPr="00432CB7">
        <w:tab/>
      </w:r>
      <w:r w:rsidR="001F39FC" w:rsidRPr="00432CB7">
        <w:t>There are approximately 6</w:t>
      </w:r>
      <w:r w:rsidR="000B4B54">
        <w:t>99</w:t>
      </w:r>
      <w:r w:rsidR="001F39FC" w:rsidRPr="00432CB7">
        <w:t xml:space="preserve"> electric utility steam generating facilities in the United States, which are publicly owned and operated by the electric utility steam generating industry.  </w:t>
      </w:r>
      <w:r w:rsidR="001F39FC" w:rsidRPr="00432CB7">
        <w:lastRenderedPageBreak/>
        <w:t>No facilities are owned by</w:t>
      </w:r>
      <w:r w:rsidR="008C67B8">
        <w:t xml:space="preserve"> any</w:t>
      </w:r>
      <w:r w:rsidR="001F39FC" w:rsidRPr="00432CB7">
        <w:t xml:space="preserve"> state, local, </w:t>
      </w:r>
      <w:r w:rsidR="008C67B8">
        <w:t xml:space="preserve">or </w:t>
      </w:r>
      <w:r w:rsidR="001F39FC" w:rsidRPr="00432CB7">
        <w:t>tribal</w:t>
      </w:r>
      <w:r w:rsidR="008C67B8">
        <w:t xml:space="preserve"> entities</w:t>
      </w:r>
      <w:r w:rsidR="001F39FC" w:rsidRPr="00187885">
        <w:t xml:space="preserve">, or </w:t>
      </w:r>
      <w:r w:rsidR="008C67B8">
        <w:t xml:space="preserve">by </w:t>
      </w:r>
      <w:r w:rsidR="001F39FC" w:rsidRPr="00187885">
        <w:t xml:space="preserve">the Federal Government.  </w:t>
      </w:r>
      <w:r w:rsidR="008C67B8">
        <w:t xml:space="preserve">    </w:t>
      </w:r>
      <w:r w:rsidR="001F39FC" w:rsidRPr="00187885">
        <w:t>All</w:t>
      </w:r>
      <w:r w:rsidR="00F70F0B">
        <w:t xml:space="preserve"> </w:t>
      </w:r>
      <w:r w:rsidR="008C67B8">
        <w:t xml:space="preserve">these facilities </w:t>
      </w:r>
      <w:r w:rsidR="00F70F0B">
        <w:t xml:space="preserve">are owned and </w:t>
      </w:r>
      <w:r w:rsidR="001F39FC" w:rsidRPr="00187885">
        <w:t>operated solely by privately owned, for-profit businesses.</w:t>
      </w:r>
      <w:r w:rsidR="00187885" w:rsidRPr="00187885">
        <w:t xml:space="preserve">  </w:t>
      </w:r>
      <w:r w:rsidR="008C67B8">
        <w:t xml:space="preserve">  </w:t>
      </w:r>
      <w:r w:rsidR="00187885" w:rsidRPr="00187885">
        <w:t xml:space="preserve">The </w:t>
      </w:r>
      <w:r w:rsidR="008C67B8">
        <w:t>“</w:t>
      </w:r>
      <w:r w:rsidR="002B29A5" w:rsidRPr="00187885">
        <w:t>burden</w:t>
      </w:r>
      <w:r w:rsidR="008C67B8">
        <w:t>”</w:t>
      </w:r>
      <w:r w:rsidR="004A4B25" w:rsidRPr="00187885">
        <w:t xml:space="preserve"> to the “Affected Public” may be found </w:t>
      </w:r>
      <w:r w:rsidR="00F70F0B">
        <w:t xml:space="preserve">below </w:t>
      </w:r>
      <w:r w:rsidR="004A4B25" w:rsidRPr="00187885">
        <w:t>in Table 1</w:t>
      </w:r>
      <w:r w:rsidR="002B29A5" w:rsidRPr="00187885">
        <w:t>: Annual Respondent Burden and Cost –</w:t>
      </w:r>
      <w:r w:rsidR="00187885" w:rsidRPr="00187885">
        <w:t xml:space="preserve"> NSPS for Electric Utility Steam Generating Units (40 CFR Part 60, Subpart </w:t>
      </w:r>
      <w:proofErr w:type="spellStart"/>
      <w:r w:rsidR="00187885" w:rsidRPr="00187885">
        <w:t>Da</w:t>
      </w:r>
      <w:proofErr w:type="spellEnd"/>
      <w:r w:rsidR="00187885" w:rsidRPr="00187885">
        <w:t xml:space="preserve">) (Renewal).  </w:t>
      </w:r>
      <w:r w:rsidR="001F39FC" w:rsidRPr="00187885">
        <w:t>T</w:t>
      </w:r>
      <w:r w:rsidRPr="00187885">
        <w:t xml:space="preserve">he </w:t>
      </w:r>
      <w:r w:rsidR="008C67B8">
        <w:t>“</w:t>
      </w:r>
      <w:r w:rsidR="004A4B25" w:rsidRPr="00187885">
        <w:t>burden</w:t>
      </w:r>
      <w:r w:rsidR="008C67B8">
        <w:t>”</w:t>
      </w:r>
      <w:r w:rsidR="004A4B25" w:rsidRPr="00187885">
        <w:t xml:space="preserve"> to the </w:t>
      </w:r>
      <w:r w:rsidRPr="00187885">
        <w:t xml:space="preserve">Federal Government is attributed entirely to work </w:t>
      </w:r>
      <w:r w:rsidR="008C67B8">
        <w:t xml:space="preserve">either </w:t>
      </w:r>
      <w:r w:rsidRPr="00187885">
        <w:t xml:space="preserve">performed by </w:t>
      </w:r>
      <w:r w:rsidR="00ED07EE">
        <w:t xml:space="preserve">either </w:t>
      </w:r>
      <w:r w:rsidR="00187885" w:rsidRPr="00187885">
        <w:t>F</w:t>
      </w:r>
      <w:r w:rsidRPr="00187885">
        <w:t>ederal employees</w:t>
      </w:r>
      <w:r w:rsidR="004A4B25" w:rsidRPr="00187885">
        <w:t xml:space="preserve"> or government contractor</w:t>
      </w:r>
      <w:r w:rsidR="00187885" w:rsidRPr="00187885">
        <w:t xml:space="preserve">s, and may be found </w:t>
      </w:r>
      <w:r w:rsidR="00F70F0B">
        <w:t xml:space="preserve">below </w:t>
      </w:r>
      <w:r w:rsidR="00187885" w:rsidRPr="00187885">
        <w:t xml:space="preserve">in </w:t>
      </w:r>
      <w:r w:rsidR="004A4B25" w:rsidRPr="00187885">
        <w:t xml:space="preserve">Table 2: </w:t>
      </w:r>
      <w:r w:rsidR="002B29A5" w:rsidRPr="00187885">
        <w:t>Average Annual EPA Burden and Cost –</w:t>
      </w:r>
      <w:r w:rsidR="00187885" w:rsidRPr="00187885">
        <w:t xml:space="preserve"> NSPS for Electric Utility Steam Generating Units (40 CFR Part 60, Subpart </w:t>
      </w:r>
      <w:proofErr w:type="spellStart"/>
      <w:r w:rsidR="00187885" w:rsidRPr="00187885">
        <w:t>Da</w:t>
      </w:r>
      <w:proofErr w:type="spellEnd"/>
      <w:r w:rsidR="00187885" w:rsidRPr="00187885">
        <w:t>) (Renewal).</w:t>
      </w:r>
    </w:p>
    <w:p w:rsidR="002B29A5" w:rsidRPr="00187885" w:rsidRDefault="002B29A5" w:rsidP="002B29A5"/>
    <w:p w:rsidR="00CA4CD6" w:rsidRPr="00187885" w:rsidRDefault="00CA4CD6" w:rsidP="00504745">
      <w:pPr>
        <w:pBdr>
          <w:top w:val="single" w:sz="6" w:space="0" w:color="FFFFFF"/>
          <w:left w:val="single" w:sz="6" w:space="0" w:color="FFFFFF"/>
          <w:bottom w:val="single" w:sz="6" w:space="0" w:color="FFFFFF"/>
          <w:right w:val="single" w:sz="6" w:space="0" w:color="FFFFFF"/>
        </w:pBdr>
        <w:outlineLvl w:val="0"/>
      </w:pPr>
      <w:r w:rsidRPr="00187885">
        <w:rPr>
          <w:b/>
          <w:bCs/>
        </w:rPr>
        <w:t>2.  Need for and Use of the Collection</w:t>
      </w:r>
    </w:p>
    <w:p w:rsidR="00CA4CD6" w:rsidRPr="00085021" w:rsidRDefault="00CA4CD6">
      <w:pPr>
        <w:pBdr>
          <w:top w:val="single" w:sz="6" w:space="0" w:color="FFFFFF"/>
          <w:left w:val="single" w:sz="6" w:space="0" w:color="FFFFFF"/>
          <w:bottom w:val="single" w:sz="6" w:space="0" w:color="FFFFFF"/>
          <w:right w:val="single" w:sz="6" w:space="0" w:color="FFFFFF"/>
        </w:pBdr>
      </w:pPr>
    </w:p>
    <w:p w:rsidR="00CA4CD6" w:rsidRPr="00085021" w:rsidRDefault="00CA4CD6">
      <w:pPr>
        <w:pBdr>
          <w:top w:val="single" w:sz="6" w:space="0" w:color="FFFFFF"/>
          <w:left w:val="single" w:sz="6" w:space="0" w:color="FFFFFF"/>
          <w:bottom w:val="single" w:sz="6" w:space="0" w:color="FFFFFF"/>
          <w:right w:val="single" w:sz="6" w:space="0" w:color="FFFFFF"/>
        </w:pBdr>
        <w:ind w:firstLine="720"/>
        <w:rPr>
          <w:b/>
          <w:bCs/>
        </w:rPr>
      </w:pPr>
      <w:r w:rsidRPr="00085021">
        <w:rPr>
          <w:b/>
          <w:bCs/>
        </w:rPr>
        <w:t>2(a</w:t>
      </w:r>
      <w:proofErr w:type="gramStart"/>
      <w:r w:rsidRPr="00085021">
        <w:rPr>
          <w:b/>
          <w:bCs/>
        </w:rPr>
        <w:t>)  Need</w:t>
      </w:r>
      <w:proofErr w:type="gramEnd"/>
      <w:r w:rsidRPr="00085021">
        <w:rPr>
          <w:b/>
          <w:bCs/>
        </w:rPr>
        <w:t>/Authority for the Collection</w:t>
      </w:r>
    </w:p>
    <w:p w:rsidR="00CA4CD6" w:rsidRPr="00085021" w:rsidRDefault="00CA4CD6">
      <w:pPr>
        <w:pBdr>
          <w:top w:val="single" w:sz="6" w:space="0" w:color="FFFFFF"/>
          <w:left w:val="single" w:sz="6" w:space="0" w:color="FFFFFF"/>
          <w:bottom w:val="single" w:sz="6" w:space="0" w:color="FFFFFF"/>
          <w:right w:val="single" w:sz="6" w:space="0" w:color="FFFFFF"/>
        </w:pBdr>
      </w:pPr>
    </w:p>
    <w:p w:rsidR="00CA4CD6" w:rsidRPr="00085021" w:rsidRDefault="00CA4CD6">
      <w:pPr>
        <w:pBdr>
          <w:top w:val="single" w:sz="6" w:space="0" w:color="FFFFFF"/>
          <w:left w:val="single" w:sz="6" w:space="0" w:color="FFFFFF"/>
          <w:bottom w:val="single" w:sz="6" w:space="0" w:color="FFFFFF"/>
          <w:right w:val="single" w:sz="6" w:space="0" w:color="FFFFFF"/>
        </w:pBdr>
        <w:ind w:firstLine="720"/>
      </w:pPr>
      <w:r w:rsidRPr="00085021">
        <w:t xml:space="preserve">The EPA is charged under Section 111 of the Clean Air Act (CAA), as amended, to establish standards of performance for new stationary sources that reflect: </w:t>
      </w:r>
    </w:p>
    <w:p w:rsidR="00CA4CD6" w:rsidRPr="00085021" w:rsidRDefault="00CA4CD6">
      <w:pPr>
        <w:pBdr>
          <w:top w:val="single" w:sz="6" w:space="0" w:color="FFFFFF"/>
          <w:left w:val="single" w:sz="6" w:space="0" w:color="FFFFFF"/>
          <w:bottom w:val="single" w:sz="6" w:space="0" w:color="FFFFFF"/>
          <w:right w:val="single" w:sz="6" w:space="0" w:color="FFFFFF"/>
        </w:pBdr>
      </w:pPr>
    </w:p>
    <w:p w:rsidR="00CA4CD6" w:rsidRPr="00085021" w:rsidRDefault="00CA4CD6">
      <w:pPr>
        <w:pBdr>
          <w:top w:val="single" w:sz="6" w:space="0" w:color="FFFFFF"/>
          <w:left w:val="single" w:sz="6" w:space="0" w:color="FFFFFF"/>
          <w:bottom w:val="single" w:sz="6" w:space="0" w:color="FFFFFF"/>
          <w:right w:val="single" w:sz="6" w:space="0" w:color="FFFFFF"/>
        </w:pBdr>
        <w:ind w:left="1440" w:right="1440"/>
      </w:pPr>
      <w:r w:rsidRPr="00085021">
        <w:rPr>
          <w:b/>
          <w:bCs/>
        </w:rPr>
        <w:t>. . .</w:t>
      </w:r>
      <w:r w:rsidRPr="00085021">
        <w:t xml:space="preserve"> </w:t>
      </w:r>
      <w:proofErr w:type="gramStart"/>
      <w:r w:rsidRPr="00085021">
        <w:t>application</w:t>
      </w:r>
      <w:proofErr w:type="gramEnd"/>
      <w:r w:rsidRPr="00085021">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rsidRPr="00085021">
        <w:t>)(</w:t>
      </w:r>
      <w:proofErr w:type="gramEnd"/>
      <w:r w:rsidRPr="00085021">
        <w:t>l).</w:t>
      </w:r>
    </w:p>
    <w:p w:rsidR="00CA4CD6" w:rsidRPr="00085021" w:rsidRDefault="00CA4CD6">
      <w:pPr>
        <w:pBdr>
          <w:top w:val="single" w:sz="6" w:space="0" w:color="FFFFFF"/>
          <w:left w:val="single" w:sz="6" w:space="0" w:color="FFFFFF"/>
          <w:bottom w:val="single" w:sz="6" w:space="0" w:color="FFFFFF"/>
          <w:right w:val="single" w:sz="6" w:space="0" w:color="FFFFFF"/>
        </w:pBdr>
      </w:pPr>
    </w:p>
    <w:p w:rsidR="00085021" w:rsidRPr="00085021" w:rsidRDefault="00CA4CD6" w:rsidP="00085021">
      <w:pPr>
        <w:pBdr>
          <w:top w:val="single" w:sz="6" w:space="0" w:color="FFFFFF"/>
          <w:left w:val="single" w:sz="6" w:space="0" w:color="FFFFFF"/>
          <w:bottom w:val="single" w:sz="6" w:space="0" w:color="FFFFFF"/>
          <w:right w:val="single" w:sz="6" w:space="0" w:color="FFFFFF"/>
        </w:pBdr>
      </w:pPr>
      <w:r w:rsidRPr="00085021">
        <w:t>The Agency refers to this charge as selecting the best demonstrated technology (BDT).  Section 111 also requires that the Administrator review and, if appropriate, revise such standards every four years.</w:t>
      </w:r>
    </w:p>
    <w:p w:rsidR="00085021" w:rsidRPr="00085021" w:rsidRDefault="00085021" w:rsidP="00085021">
      <w:pPr>
        <w:pBdr>
          <w:top w:val="single" w:sz="6" w:space="0" w:color="FFFFFF"/>
          <w:left w:val="single" w:sz="6" w:space="0" w:color="FFFFFF"/>
          <w:bottom w:val="single" w:sz="6" w:space="0" w:color="FFFFFF"/>
          <w:right w:val="single" w:sz="6" w:space="0" w:color="FFFFFF"/>
        </w:pBdr>
      </w:pPr>
    </w:p>
    <w:p w:rsidR="00CA4CD6" w:rsidRPr="00085021" w:rsidRDefault="00CA4CD6">
      <w:pPr>
        <w:pBdr>
          <w:top w:val="single" w:sz="6" w:space="0" w:color="FFFFFF"/>
          <w:left w:val="single" w:sz="6" w:space="0" w:color="FFFFFF"/>
          <w:bottom w:val="single" w:sz="6" w:space="0" w:color="FFFFFF"/>
          <w:right w:val="single" w:sz="6" w:space="0" w:color="FFFFFF"/>
        </w:pBdr>
        <w:ind w:firstLine="720"/>
      </w:pPr>
      <w:r w:rsidRPr="00085021">
        <w:t xml:space="preserve"> In addition, section 114(a) states that the Administrator may require any owner/operator subject to any requirement of this Act to: </w:t>
      </w:r>
    </w:p>
    <w:p w:rsidR="00CA4CD6" w:rsidRPr="00085021" w:rsidRDefault="00CA4CD6">
      <w:pPr>
        <w:pBdr>
          <w:top w:val="single" w:sz="6" w:space="0" w:color="FFFFFF"/>
          <w:left w:val="single" w:sz="6" w:space="0" w:color="FFFFFF"/>
          <w:bottom w:val="single" w:sz="6" w:space="0" w:color="FFFFFF"/>
          <w:right w:val="single" w:sz="6" w:space="0" w:color="FFFFFF"/>
        </w:pBdr>
      </w:pPr>
    </w:p>
    <w:p w:rsidR="00CA4CD6" w:rsidRPr="00085021" w:rsidRDefault="00CA4CD6">
      <w:pPr>
        <w:pBdr>
          <w:top w:val="single" w:sz="6" w:space="0" w:color="FFFFFF"/>
          <w:left w:val="single" w:sz="6" w:space="0" w:color="FFFFFF"/>
          <w:bottom w:val="single" w:sz="6" w:space="0" w:color="FFFFFF"/>
          <w:right w:val="single" w:sz="6" w:space="0" w:color="FFFFFF"/>
        </w:pBdr>
        <w:ind w:left="1440" w:right="1440"/>
      </w:pPr>
      <w:r w:rsidRPr="0008502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CC6422">
        <w:t>strator may reasonably require.</w:t>
      </w:r>
    </w:p>
    <w:p w:rsidR="00CA4CD6" w:rsidRPr="00085021" w:rsidRDefault="00CA4CD6">
      <w:pPr>
        <w:pBdr>
          <w:top w:val="single" w:sz="6" w:space="0" w:color="FFFFFF"/>
          <w:left w:val="single" w:sz="6" w:space="0" w:color="FFFFFF"/>
          <w:bottom w:val="single" w:sz="6" w:space="0" w:color="FFFFFF"/>
          <w:right w:val="single" w:sz="6" w:space="0" w:color="FFFFFF"/>
        </w:pBdr>
      </w:pPr>
    </w:p>
    <w:p w:rsidR="00CA4CD6" w:rsidRPr="00CC6422" w:rsidRDefault="00CA4CD6">
      <w:pPr>
        <w:pBdr>
          <w:top w:val="single" w:sz="6" w:space="0" w:color="FFFFFF"/>
          <w:left w:val="single" w:sz="6" w:space="0" w:color="FFFFFF"/>
          <w:bottom w:val="single" w:sz="6" w:space="0" w:color="FFFFFF"/>
          <w:right w:val="single" w:sz="6" w:space="0" w:color="FFFFFF"/>
        </w:pBdr>
        <w:ind w:firstLine="720"/>
      </w:pPr>
      <w:r w:rsidRPr="00085021">
        <w:t>In the Administrator's judgment</w:t>
      </w:r>
      <w:r>
        <w:rPr>
          <w:color w:val="000000"/>
        </w:rPr>
        <w:t>,</w:t>
      </w:r>
      <w:r w:rsidR="00CC6422">
        <w:rPr>
          <w:color w:val="000000"/>
        </w:rPr>
        <w:t xml:space="preserve"> </w:t>
      </w:r>
      <w:r w:rsidR="00CC6422" w:rsidRPr="00CC6422">
        <w:rPr>
          <w:color w:val="000000"/>
        </w:rPr>
        <w:t>sulfur dioxide (SO</w:t>
      </w:r>
      <w:r w:rsidR="00CC6422" w:rsidRPr="00CC6422">
        <w:rPr>
          <w:color w:val="000000"/>
          <w:vertAlign w:val="subscript"/>
        </w:rPr>
        <w:t>2</w:t>
      </w:r>
      <w:r w:rsidR="00CC6422" w:rsidRPr="00CC6422">
        <w:rPr>
          <w:color w:val="000000"/>
        </w:rPr>
        <w:t>), particulate matter (PM), and nitrogen oxide (</w:t>
      </w:r>
      <w:proofErr w:type="spellStart"/>
      <w:r w:rsidR="00CC6422" w:rsidRPr="00CC6422">
        <w:rPr>
          <w:color w:val="000000"/>
        </w:rPr>
        <w:t>NO</w:t>
      </w:r>
      <w:r w:rsidR="00CC6422" w:rsidRPr="00CC6422">
        <w:rPr>
          <w:color w:val="000000"/>
          <w:vertAlign w:val="subscript"/>
        </w:rPr>
        <w:t>x</w:t>
      </w:r>
      <w:proofErr w:type="spellEnd"/>
      <w:r w:rsidR="00CC6422" w:rsidRPr="00CC6422">
        <w:rPr>
          <w:color w:val="000000"/>
        </w:rPr>
        <w:t>)</w:t>
      </w:r>
      <w:r w:rsidR="00CC6422">
        <w:rPr>
          <w:color w:val="000000"/>
        </w:rPr>
        <w:t xml:space="preserve"> </w:t>
      </w:r>
      <w:r>
        <w:rPr>
          <w:color w:val="000000"/>
        </w:rPr>
        <w:t>emissions from</w:t>
      </w:r>
      <w:r w:rsidR="00CC6422">
        <w:rPr>
          <w:color w:val="000000"/>
        </w:rPr>
        <w:t xml:space="preserve"> </w:t>
      </w:r>
      <w:r w:rsidR="00CC6422" w:rsidRPr="00CC6422">
        <w:rPr>
          <w:color w:val="000000"/>
        </w:rPr>
        <w:t>electric utility steam generating units</w:t>
      </w:r>
      <w:r>
        <w:rPr>
          <w:color w:val="000000"/>
        </w:rPr>
        <w:t xml:space="preserve"> cause or contribute to </w:t>
      </w:r>
      <w:r>
        <w:rPr>
          <w:color w:val="000000"/>
        </w:rPr>
        <w:lastRenderedPageBreak/>
        <w:t xml:space="preserve">air pollution that may reasonably be anticipated to endanger </w:t>
      </w:r>
      <w:r w:rsidRPr="00CC6422">
        <w:t>public health or welfare.  Therefore, the</w:t>
      </w:r>
      <w:r w:rsidR="00CC6422" w:rsidRPr="00CC6422">
        <w:t xml:space="preserve"> NSPS </w:t>
      </w:r>
      <w:r w:rsidRPr="00CC6422">
        <w:t xml:space="preserve">were promulgated for this source category at </w:t>
      </w:r>
      <w:r w:rsidR="00CC6422" w:rsidRPr="00CC6422">
        <w:t xml:space="preserve">40 CFR </w:t>
      </w:r>
      <w:proofErr w:type="gramStart"/>
      <w:r w:rsidR="00CC6422" w:rsidRPr="00CC6422">
        <w:t>part</w:t>
      </w:r>
      <w:proofErr w:type="gramEnd"/>
      <w:r w:rsidR="00CC6422" w:rsidRPr="00CC6422">
        <w:t xml:space="preserve"> 60, subpart Da</w:t>
      </w:r>
      <w:r w:rsidRPr="00CC6422">
        <w:t>.</w:t>
      </w:r>
    </w:p>
    <w:p w:rsidR="00CA4CD6" w:rsidRPr="00CC6422" w:rsidRDefault="00CA4CD6">
      <w:pPr>
        <w:pBdr>
          <w:top w:val="single" w:sz="6" w:space="0" w:color="FFFFFF"/>
          <w:left w:val="single" w:sz="6" w:space="0" w:color="FFFFFF"/>
          <w:bottom w:val="single" w:sz="6" w:space="0" w:color="FFFFFF"/>
          <w:right w:val="single" w:sz="6" w:space="0" w:color="FFFFFF"/>
        </w:pBdr>
        <w:ind w:firstLine="720"/>
      </w:pPr>
    </w:p>
    <w:p w:rsidR="00CA4CD6" w:rsidRPr="00CC6422" w:rsidRDefault="00CA4CD6">
      <w:pPr>
        <w:pBdr>
          <w:top w:val="single" w:sz="6" w:space="0" w:color="FFFFFF"/>
          <w:left w:val="single" w:sz="6" w:space="0" w:color="FFFFFF"/>
          <w:bottom w:val="single" w:sz="6" w:space="0" w:color="FFFFFF"/>
          <w:right w:val="single" w:sz="6" w:space="0" w:color="FFFFFF"/>
        </w:pBdr>
        <w:ind w:firstLine="720"/>
      </w:pPr>
      <w:r w:rsidRPr="00CC6422">
        <w:rPr>
          <w:b/>
          <w:bCs/>
        </w:rPr>
        <w:t>2(b</w:t>
      </w:r>
      <w:proofErr w:type="gramStart"/>
      <w:r w:rsidRPr="00CC6422">
        <w:rPr>
          <w:b/>
          <w:bCs/>
        </w:rPr>
        <w:t>)  Practical</w:t>
      </w:r>
      <w:proofErr w:type="gramEnd"/>
      <w:r w:rsidRPr="00CC6422">
        <w:rPr>
          <w:b/>
          <w:bCs/>
        </w:rPr>
        <w:t xml:space="preserve"> Utility/Users of the Data</w:t>
      </w:r>
    </w:p>
    <w:p w:rsidR="00CA4CD6" w:rsidRPr="00CC6422"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CC6422">
        <w:rPr>
          <w:color w:val="000000"/>
        </w:rPr>
        <w:t xml:space="preserve"> requirements in the</w:t>
      </w:r>
      <w:r w:rsidR="001E1E82">
        <w:rPr>
          <w:color w:val="000000"/>
        </w:rPr>
        <w:t>se</w:t>
      </w:r>
      <w:r w:rsidR="00CC6422">
        <w:rPr>
          <w:color w:val="000000"/>
        </w:rPr>
        <w:t xml:space="preserve"> standard</w:t>
      </w:r>
      <w:r w:rsidR="001E1E82">
        <w:rPr>
          <w:color w:val="000000"/>
        </w:rPr>
        <w:t>s</w:t>
      </w:r>
      <w:r w:rsidR="00CC6422">
        <w:rPr>
          <w:color w:val="000000"/>
        </w:rPr>
        <w:t xml:space="preserve"> ensure</w:t>
      </w:r>
      <w:r>
        <w:rPr>
          <w:color w:val="000000"/>
        </w:rPr>
        <w:t xml:space="preserve"> compliance with the applicable regulations which were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CC6422"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 xml:space="preserve">s initial capability to comply </w:t>
      </w:r>
      <w:r w:rsidR="00CC6422">
        <w:rPr>
          <w:color w:val="000000"/>
        </w:rPr>
        <w:t>with the emission standard</w:t>
      </w:r>
      <w:r w:rsidR="001E1E82">
        <w:rPr>
          <w:color w:val="000000"/>
        </w:rPr>
        <w:t>s</w:t>
      </w:r>
      <w:r>
        <w:rPr>
          <w:color w:val="000000"/>
        </w:rPr>
        <w:t xml:space="preserve">. </w:t>
      </w:r>
      <w:r w:rsidR="00CC6422">
        <w:rPr>
          <w:color w:val="000000"/>
        </w:rPr>
        <w:t xml:space="preserve"> </w:t>
      </w:r>
      <w:r>
        <w:rPr>
          <w:color w:val="000000"/>
        </w:rPr>
        <w:t xml:space="preserve">Continuous </w:t>
      </w:r>
      <w:r w:rsidRPr="00CC6422">
        <w:t xml:space="preserve">emission monitors are used to ensure </w:t>
      </w:r>
      <w:r w:rsidR="00CC6422" w:rsidRPr="00CC6422">
        <w:t>compliance with the standard</w:t>
      </w:r>
      <w:r w:rsidR="001E1E82">
        <w:t>s</w:t>
      </w:r>
      <w:r w:rsidR="00CC6422" w:rsidRPr="00CC6422">
        <w:t xml:space="preserve"> </w:t>
      </w:r>
      <w:r w:rsidRPr="00CC6422">
        <w:t xml:space="preserve">at all times. </w:t>
      </w:r>
      <w:r w:rsidR="00CC6422" w:rsidRPr="00CC6422">
        <w:t xml:space="preserve"> During the performance test a record of the operating parameters under which compliance was achieved may be recorded and used to determine compliance in place of a continuous emission monitor.</w:t>
      </w:r>
    </w:p>
    <w:p w:rsidR="00CA4CD6" w:rsidRPr="00CC6422" w:rsidRDefault="00CA4CD6">
      <w:pPr>
        <w:pBdr>
          <w:top w:val="single" w:sz="6" w:space="0" w:color="FFFFFF"/>
          <w:left w:val="single" w:sz="6" w:space="0" w:color="FFFFFF"/>
          <w:bottom w:val="single" w:sz="6" w:space="0" w:color="FFFFFF"/>
          <w:right w:val="single" w:sz="6" w:space="0" w:color="FFFFFF"/>
        </w:pBdr>
      </w:pPr>
    </w:p>
    <w:p w:rsidR="00CA4CD6" w:rsidRPr="00CC6422" w:rsidRDefault="00CA4CD6">
      <w:pPr>
        <w:pBdr>
          <w:top w:val="single" w:sz="6" w:space="0" w:color="FFFFFF"/>
          <w:left w:val="single" w:sz="6" w:space="0" w:color="FFFFFF"/>
          <w:bottom w:val="single" w:sz="6" w:space="0" w:color="FFFFFF"/>
          <w:right w:val="single" w:sz="6" w:space="0" w:color="FFFFFF"/>
        </w:pBdr>
        <w:ind w:firstLine="720"/>
      </w:pPr>
      <w:r w:rsidRPr="00CC6422">
        <w:t>The notifications required in the standard are used to inform the Agency or delegated authority when a source becomes subject to the requirements of the regulations.  The reviewing authority may then inspect the source to check if the</w:t>
      </w:r>
      <w:r w:rsidR="00CC6422" w:rsidRPr="00CC6422">
        <w:t xml:space="preserve"> pollution control devices are properly installed and operated, that leaks are being detected and repaired, </w:t>
      </w:r>
      <w:r w:rsidRPr="00CC6422">
        <w:t xml:space="preserve">and </w:t>
      </w:r>
      <w:r w:rsidR="00CC6422">
        <w:t xml:space="preserve">that </w:t>
      </w:r>
      <w:r w:rsidR="00CC6422" w:rsidRPr="00CC6422">
        <w:t xml:space="preserve">the </w:t>
      </w:r>
      <w:r w:rsidRPr="00CC6422">
        <w:t>standard</w:t>
      </w:r>
      <w:r w:rsidR="00CC6422" w:rsidRPr="00CC6422">
        <w:t xml:space="preserve"> is </w:t>
      </w:r>
      <w:r w:rsidR="00CC6422">
        <w:t xml:space="preserve">being met.  </w:t>
      </w:r>
      <w:r w:rsidRPr="00CC6422">
        <w:t>The performance test may also be observed.</w:t>
      </w:r>
    </w:p>
    <w:p w:rsidR="00CA4CD6" w:rsidRPr="00CC6422" w:rsidRDefault="00CA4CD6">
      <w:pPr>
        <w:pBdr>
          <w:top w:val="single" w:sz="6" w:space="0" w:color="FFFFFF"/>
          <w:left w:val="single" w:sz="6" w:space="0" w:color="FFFFFF"/>
          <w:bottom w:val="single" w:sz="6" w:space="0" w:color="FFFFFF"/>
          <w:right w:val="single" w:sz="6" w:space="0" w:color="FFFFFF"/>
        </w:pBdr>
        <w:ind w:firstLine="720"/>
      </w:pPr>
    </w:p>
    <w:p w:rsidR="00606DEF" w:rsidRDefault="00CA4CD6" w:rsidP="00CC6422">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required</w:t>
      </w:r>
      <w:r w:rsidR="00CC6422">
        <w:rPr>
          <w:color w:val="000000"/>
        </w:rPr>
        <w:t xml:space="preserve"> semiannual and quarterly </w:t>
      </w:r>
      <w:r>
        <w:rPr>
          <w:color w:val="000000"/>
        </w:rPr>
        <w:t>reports are used to determine periods of excess emissions, identify problems at the facility, verify operation/maintenance procedures</w:t>
      </w:r>
      <w:r w:rsidR="00CC6422">
        <w:rPr>
          <w:color w:val="000000"/>
        </w:rPr>
        <w:t>,</w:t>
      </w:r>
      <w:r>
        <w:rPr>
          <w:color w:val="000000"/>
        </w:rPr>
        <w:t xml:space="preserve">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C36CCC">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w:t>
      </w:r>
      <w:r w:rsidR="00CC6422" w:rsidRPr="00CC6422">
        <w:rPr>
          <w:color w:val="000000"/>
        </w:rPr>
        <w:t>40 CFR part 60, subpart Da</w:t>
      </w:r>
      <w:r w:rsidR="00CC6422">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C36CCC">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32CB7"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1E1E82">
        <w:rPr>
          <w:color w:val="000000"/>
        </w:rPr>
        <w:t xml:space="preserve">does not </w:t>
      </w:r>
      <w:r>
        <w:rPr>
          <w:color w:val="000000"/>
        </w:rPr>
        <w:t>exist.</w:t>
      </w:r>
    </w:p>
    <w:p w:rsidR="00CA4CD6" w:rsidRPr="00432CB7" w:rsidRDefault="00CA4CD6">
      <w:pPr>
        <w:pBdr>
          <w:top w:val="single" w:sz="6" w:space="0" w:color="FFFFFF"/>
          <w:left w:val="single" w:sz="6" w:space="0" w:color="FFFFFF"/>
          <w:bottom w:val="single" w:sz="6" w:space="0" w:color="FFFFFF"/>
          <w:right w:val="single" w:sz="6" w:space="0" w:color="FFFFFF"/>
        </w:pBdr>
      </w:pPr>
    </w:p>
    <w:p w:rsidR="00CA4CD6" w:rsidRPr="00432CB7" w:rsidRDefault="00CA4CD6">
      <w:pPr>
        <w:pBdr>
          <w:top w:val="single" w:sz="6" w:space="0" w:color="FFFFFF"/>
          <w:left w:val="single" w:sz="6" w:space="0" w:color="FFFFFF"/>
          <w:bottom w:val="single" w:sz="6" w:space="0" w:color="FFFFFF"/>
          <w:right w:val="single" w:sz="6" w:space="0" w:color="FFFFFF"/>
        </w:pBdr>
        <w:ind w:firstLine="720"/>
      </w:pPr>
      <w:r w:rsidRPr="00432CB7">
        <w:rPr>
          <w:b/>
          <w:bCs/>
        </w:rPr>
        <w:t>3(b</w:t>
      </w:r>
      <w:proofErr w:type="gramStart"/>
      <w:r w:rsidRPr="00432CB7">
        <w:rPr>
          <w:b/>
          <w:bCs/>
        </w:rPr>
        <w:t>)  Public</w:t>
      </w:r>
      <w:proofErr w:type="gramEnd"/>
      <w:r w:rsidRPr="00432CB7">
        <w:rPr>
          <w:b/>
          <w:bCs/>
        </w:rPr>
        <w:t xml:space="preserve"> Notice Required Prior to ICR Submission to OMB</w:t>
      </w:r>
    </w:p>
    <w:p w:rsidR="00CA4CD6" w:rsidRPr="00432CB7" w:rsidRDefault="00CA4CD6">
      <w:pPr>
        <w:pBdr>
          <w:top w:val="single" w:sz="6" w:space="0" w:color="FFFFFF"/>
          <w:left w:val="single" w:sz="6" w:space="0" w:color="FFFFFF"/>
          <w:bottom w:val="single" w:sz="6" w:space="0" w:color="FFFFFF"/>
          <w:right w:val="single" w:sz="6" w:space="0" w:color="FFFFFF"/>
        </w:pBdr>
      </w:pPr>
    </w:p>
    <w:p w:rsidR="00EE761C" w:rsidRPr="00432CB7" w:rsidRDefault="00CA4CD6" w:rsidP="00EE761C">
      <w:pPr>
        <w:pBdr>
          <w:top w:val="single" w:sz="6" w:space="0" w:color="FFFFFF"/>
          <w:left w:val="single" w:sz="6" w:space="0" w:color="FFFFFF"/>
          <w:bottom w:val="single" w:sz="6" w:space="0" w:color="FFFFFF"/>
          <w:right w:val="single" w:sz="6" w:space="0" w:color="FFFFFF"/>
        </w:pBdr>
        <w:ind w:firstLine="720"/>
      </w:pPr>
      <w:r w:rsidRPr="00432CB7">
        <w:t xml:space="preserve">An announcement of a public comment period for the renewal of this ICR was published in the </w:t>
      </w:r>
      <w:r w:rsidRPr="00432CB7">
        <w:rPr>
          <w:u w:val="single"/>
        </w:rPr>
        <w:t>Federal Register</w:t>
      </w:r>
      <w:r w:rsidRPr="00432CB7">
        <w:t xml:space="preserve"> </w:t>
      </w:r>
      <w:r w:rsidR="00CC6422" w:rsidRPr="00432CB7">
        <w:t xml:space="preserve">(78 </w:t>
      </w:r>
      <w:r w:rsidR="00CC6422" w:rsidRPr="0064712D">
        <w:rPr>
          <w:u w:val="single"/>
        </w:rPr>
        <w:t>FR</w:t>
      </w:r>
      <w:r w:rsidR="00CC6422" w:rsidRPr="00432CB7">
        <w:t xml:space="preserve"> 33409) on June 4, 2013.  </w:t>
      </w:r>
      <w:r w:rsidRPr="00432CB7">
        <w:t xml:space="preserve">No comments were received on the burden published in the </w:t>
      </w:r>
      <w:r w:rsidRPr="00432CB7">
        <w:rPr>
          <w:u w:val="single"/>
        </w:rPr>
        <w:t>Federal Register</w:t>
      </w:r>
      <w:r w:rsidRPr="00432CB7">
        <w:t xml:space="preserve">. </w:t>
      </w:r>
    </w:p>
    <w:p w:rsidR="00CA4CD6" w:rsidRPr="00432CB7" w:rsidRDefault="00CA4CD6">
      <w:pPr>
        <w:pBdr>
          <w:top w:val="single" w:sz="6" w:space="0" w:color="FFFFFF"/>
          <w:left w:val="single" w:sz="6" w:space="0" w:color="FFFFFF"/>
          <w:bottom w:val="single" w:sz="6" w:space="0" w:color="FFFFFF"/>
          <w:right w:val="single" w:sz="6" w:space="0" w:color="FFFFFF"/>
        </w:pBdr>
      </w:pPr>
    </w:p>
    <w:p w:rsidR="00123889" w:rsidRPr="00CC6422" w:rsidRDefault="00123889" w:rsidP="000B4B54">
      <w:pPr>
        <w:keepNext/>
        <w:keepLines/>
        <w:pBdr>
          <w:top w:val="single" w:sz="6" w:space="0" w:color="FFFFFF"/>
          <w:left w:val="single" w:sz="6" w:space="0" w:color="FFFFFF"/>
          <w:bottom w:val="single" w:sz="6" w:space="0" w:color="FFFFFF"/>
          <w:right w:val="single" w:sz="6" w:space="0" w:color="FFFFFF"/>
        </w:pBdr>
        <w:ind w:firstLine="720"/>
      </w:pPr>
      <w:r w:rsidRPr="00CC6422">
        <w:rPr>
          <w:b/>
          <w:bCs/>
        </w:rPr>
        <w:lastRenderedPageBreak/>
        <w:t>3(c</w:t>
      </w:r>
      <w:proofErr w:type="gramStart"/>
      <w:r w:rsidRPr="00CC6422">
        <w:rPr>
          <w:b/>
          <w:bCs/>
        </w:rPr>
        <w:t>)  Consultations</w:t>
      </w:r>
      <w:proofErr w:type="gramEnd"/>
    </w:p>
    <w:p w:rsidR="00E53137" w:rsidRPr="00CC6422" w:rsidRDefault="00E53137" w:rsidP="000B4B54">
      <w:pPr>
        <w:keepNext/>
        <w:keepLines/>
        <w:spacing w:line="244" w:lineRule="exact"/>
      </w:pPr>
    </w:p>
    <w:p w:rsidR="00CC6422" w:rsidRDefault="00CC6422" w:rsidP="000B4B54">
      <w:pPr>
        <w:keepNext/>
        <w:keepLines/>
        <w:ind w:firstLine="720"/>
      </w:pPr>
      <w:r w:rsidRPr="00CC6422">
        <w:t>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w:t>
      </w:r>
      <w:r w:rsidR="009F2FCE">
        <w:t>s</w:t>
      </w:r>
      <w:r w:rsidRPr="00CC6422">
        <w:t>, is the Online Tracking Information System (OTIS) which is operated and maintained by the EPA Office of Compliance.</w:t>
      </w:r>
      <w:r>
        <w:t xml:space="preserve"> </w:t>
      </w:r>
      <w:r w:rsidRPr="00CC6422">
        <w:t xml:space="preserve"> OTIS is the EPA database for the collection, maintenance, and retrieval of all compliance data.</w:t>
      </w:r>
    </w:p>
    <w:p w:rsidR="00CC6422" w:rsidRDefault="00CC6422" w:rsidP="00CC6422">
      <w:pPr>
        <w:widowControl/>
        <w:ind w:firstLine="720"/>
      </w:pPr>
    </w:p>
    <w:p w:rsidR="00CC6422" w:rsidRDefault="00CC6422" w:rsidP="00AA6255">
      <w:pPr>
        <w:ind w:firstLine="720"/>
      </w:pPr>
      <w:r w:rsidRPr="00CC6422">
        <w:t>Consultations with industry representatives (i.e., respondents) were conducted to determine if there is any way for EPA to reduce the recordkeeping and reporting burden or improve the language in the standard to make it easier to comply.  In developing this ICR, EPA contacted</w:t>
      </w:r>
      <w:r w:rsidR="00B86A37">
        <w:t>: 1)</w:t>
      </w:r>
      <w:r w:rsidRPr="00CC6422">
        <w:t xml:space="preserve"> the</w:t>
      </w:r>
      <w:r w:rsidR="00D36079">
        <w:t xml:space="preserve"> </w:t>
      </w:r>
      <w:r w:rsidR="00D36079" w:rsidRPr="00D36079">
        <w:t>Electric Power Research Institute (EPRI)</w:t>
      </w:r>
      <w:r w:rsidR="00B86A37">
        <w:t>,</w:t>
      </w:r>
      <w:r w:rsidRPr="00CC6422">
        <w:t xml:space="preserve"> at </w:t>
      </w:r>
      <w:r w:rsidR="00D36079" w:rsidRPr="00D36079">
        <w:t>(650) 855-2521</w:t>
      </w:r>
      <w:r w:rsidR="00B86A37">
        <w:t xml:space="preserve">; </w:t>
      </w:r>
      <w:r w:rsidRPr="00CC6422">
        <w:t xml:space="preserve">and </w:t>
      </w:r>
      <w:r w:rsidR="00B86A37">
        <w:t xml:space="preserve">2) </w:t>
      </w:r>
      <w:r w:rsidR="00D36079">
        <w:t xml:space="preserve">the </w:t>
      </w:r>
      <w:r w:rsidR="00D36079" w:rsidRPr="00D36079">
        <w:t>Department of Energy</w:t>
      </w:r>
      <w:r w:rsidR="00B86A37">
        <w:t>,</w:t>
      </w:r>
      <w:r w:rsidR="00D36079">
        <w:t xml:space="preserve"> </w:t>
      </w:r>
      <w:r w:rsidRPr="00CC6422">
        <w:t xml:space="preserve">at </w:t>
      </w:r>
      <w:r w:rsidR="00D36079" w:rsidRPr="00D36079">
        <w:t>(202) 586-3548</w:t>
      </w:r>
      <w:r w:rsidR="00D36079">
        <w:t xml:space="preserve">.  </w:t>
      </w:r>
    </w:p>
    <w:p w:rsidR="00AA6255" w:rsidRPr="00CC6422" w:rsidRDefault="00AA6255" w:rsidP="00AA6255">
      <w:pPr>
        <w:ind w:firstLine="720"/>
      </w:pPr>
    </w:p>
    <w:p w:rsidR="00CC6422" w:rsidRPr="00CC6422" w:rsidRDefault="00CC6422" w:rsidP="00CC6422">
      <w:pPr>
        <w:ind w:firstLine="720"/>
      </w:pPr>
      <w:r w:rsidRPr="00CC6422">
        <w:t xml:space="preserve">It is our policy to respond after a thorough review of comments received since the last ICR renewal as well as those submitted in response to the first </w:t>
      </w:r>
      <w:r w:rsidRPr="00B05520">
        <w:rPr>
          <w:u w:val="single"/>
        </w:rPr>
        <w:t>Federal Register</w:t>
      </w:r>
      <w:r w:rsidRPr="00CC6422">
        <w:t xml:space="preserve"> notice.</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32CB7" w:rsidRDefault="00CA4CD6">
      <w:pPr>
        <w:pBdr>
          <w:top w:val="single" w:sz="6" w:space="0" w:color="FFFFFF"/>
          <w:left w:val="single" w:sz="6" w:space="0" w:color="FFFFFF"/>
          <w:bottom w:val="single" w:sz="6" w:space="0" w:color="FFFFFF"/>
          <w:right w:val="single" w:sz="6" w:space="0" w:color="FFFFFF"/>
        </w:pBdr>
        <w:ind w:firstLine="720"/>
      </w:pPr>
      <w:r>
        <w:rPr>
          <w:b/>
          <w:bCs/>
          <w:color w:val="000000"/>
        </w:rPr>
        <w:t>3(e</w:t>
      </w:r>
      <w:proofErr w:type="gramStart"/>
      <w:r>
        <w:rPr>
          <w:b/>
          <w:bCs/>
          <w:color w:val="000000"/>
        </w:rPr>
        <w:t>)  General</w:t>
      </w:r>
      <w:proofErr w:type="gramEnd"/>
      <w:r>
        <w:rPr>
          <w:b/>
          <w:bCs/>
          <w:color w:val="000000"/>
        </w:rPr>
        <w:t xml:space="preserve"> Guidelines</w:t>
      </w:r>
    </w:p>
    <w:p w:rsidR="00CA4CD6" w:rsidRPr="00432CB7" w:rsidRDefault="00CA4CD6">
      <w:pPr>
        <w:pBdr>
          <w:top w:val="single" w:sz="6" w:space="0" w:color="FFFFFF"/>
          <w:left w:val="single" w:sz="6" w:space="0" w:color="FFFFFF"/>
          <w:bottom w:val="single" w:sz="6" w:space="0" w:color="FFFFFF"/>
          <w:right w:val="single" w:sz="6" w:space="0" w:color="FFFFFF"/>
        </w:pBdr>
      </w:pPr>
    </w:p>
    <w:p w:rsidR="00CA4CD6" w:rsidRDefault="00101B40">
      <w:pPr>
        <w:pBdr>
          <w:top w:val="single" w:sz="6" w:space="0" w:color="FFFFFF"/>
          <w:left w:val="single" w:sz="6" w:space="0" w:color="FFFFFF"/>
          <w:bottom w:val="single" w:sz="6" w:space="0" w:color="FFFFFF"/>
          <w:right w:val="single" w:sz="6" w:space="0" w:color="FFFFFF"/>
        </w:pBdr>
        <w:ind w:firstLine="720"/>
      </w:pPr>
      <w:r w:rsidRPr="00432CB7">
        <w:t>T</w:t>
      </w:r>
      <w:r w:rsidR="00CA4CD6" w:rsidRPr="00432CB7">
        <w:t xml:space="preserve">hese reporting or recordkeeping requirements </w:t>
      </w:r>
      <w:r w:rsidRPr="00432CB7">
        <w:t xml:space="preserve">do not </w:t>
      </w:r>
      <w:r w:rsidR="00CA4CD6" w:rsidRPr="00432CB7">
        <w:t xml:space="preserve">violate any of the regulations </w:t>
      </w:r>
      <w:r w:rsidR="00206932" w:rsidRPr="00432CB7">
        <w:t>promulgated by</w:t>
      </w:r>
      <w:r w:rsidRPr="00432CB7">
        <w:t xml:space="preserve"> </w:t>
      </w:r>
      <w:r w:rsidR="00CA4CD6" w:rsidRPr="00432CB7">
        <w:t xml:space="preserve">OMB </w:t>
      </w:r>
      <w:r w:rsidRPr="00432CB7">
        <w:t>under</w:t>
      </w:r>
      <w:r w:rsidR="00CA4CD6" w:rsidRPr="00432CB7">
        <w:t xml:space="preserve"> 5 CFR part 1320, section 1320.5.</w:t>
      </w:r>
    </w:p>
    <w:p w:rsidR="00DE2DF3" w:rsidRDefault="00DE2DF3">
      <w:pPr>
        <w:pBdr>
          <w:top w:val="single" w:sz="6" w:space="0" w:color="FFFFFF"/>
          <w:left w:val="single" w:sz="6" w:space="0" w:color="FFFFFF"/>
          <w:bottom w:val="single" w:sz="6" w:space="0" w:color="FFFFFF"/>
          <w:right w:val="single" w:sz="6" w:space="0" w:color="FFFFFF"/>
        </w:pBdr>
        <w:ind w:firstLine="720"/>
      </w:pPr>
    </w:p>
    <w:p w:rsidR="00DE2DF3" w:rsidRPr="00432CB7" w:rsidRDefault="00DE2DF3" w:rsidP="00B31772">
      <w:pPr>
        <w:pBdr>
          <w:top w:val="single" w:sz="6" w:space="0" w:color="FFFFFF"/>
          <w:left w:val="single" w:sz="6" w:space="0" w:color="FFFFFF"/>
          <w:bottom w:val="single" w:sz="6" w:space="0" w:color="FFFFFF"/>
          <w:right w:val="single" w:sz="6" w:space="0" w:color="FFFFFF"/>
        </w:pBdr>
        <w:ind w:firstLine="720"/>
      </w:pPr>
      <w:r w:rsidRPr="002B2D0B">
        <w:t>These standards require the respondents to maintain all records, including reports and notifications for at least five years.  This is consistent with the General Provisions as applied to the standards.  EPA believes that the five</w:t>
      </w:r>
      <w:r w:rsidR="009F2FCE">
        <w:t>-</w:t>
      </w:r>
      <w:r w:rsidRPr="002B2D0B">
        <w:t>year records retention requirement is consistent the Part 70 permit program and the five</w:t>
      </w:r>
      <w:r>
        <w:t>-</w:t>
      </w:r>
      <w:r w:rsidRPr="002B2D0B">
        <w:t>year statute of limitations on which the permit program is based.  The retention of records for five</w:t>
      </w:r>
      <w:r w:rsidR="009F2FCE">
        <w:t xml:space="preserve"> </w:t>
      </w:r>
      <w:r w:rsidRPr="002B2D0B">
        <w:t>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Pr="00432CB7" w:rsidRDefault="00CA4CD6">
      <w:pPr>
        <w:pBdr>
          <w:top w:val="single" w:sz="6" w:space="0" w:color="FFFFFF"/>
          <w:left w:val="single" w:sz="6" w:space="0" w:color="FFFFFF"/>
          <w:bottom w:val="single" w:sz="6" w:space="0" w:color="FFFFFF"/>
          <w:right w:val="single" w:sz="6" w:space="0" w:color="FFFFFF"/>
        </w:pBdr>
      </w:pPr>
    </w:p>
    <w:p w:rsidR="00CA4CD6" w:rsidRPr="00432CB7" w:rsidRDefault="00CA4CD6">
      <w:pPr>
        <w:pBdr>
          <w:top w:val="single" w:sz="6" w:space="0" w:color="FFFFFF"/>
          <w:left w:val="single" w:sz="6" w:space="0" w:color="FFFFFF"/>
          <w:bottom w:val="single" w:sz="6" w:space="0" w:color="FFFFFF"/>
          <w:right w:val="single" w:sz="6" w:space="0" w:color="FFFFFF"/>
        </w:pBdr>
        <w:ind w:firstLine="720"/>
      </w:pPr>
      <w:r w:rsidRPr="00432CB7">
        <w:rPr>
          <w:b/>
          <w:bCs/>
        </w:rPr>
        <w:t>3(f</w:t>
      </w:r>
      <w:proofErr w:type="gramStart"/>
      <w:r w:rsidRPr="00432CB7">
        <w:rPr>
          <w:b/>
          <w:bCs/>
        </w:rPr>
        <w:t>)  Confidentiality</w:t>
      </w:r>
      <w:proofErr w:type="gramEnd"/>
    </w:p>
    <w:p w:rsidR="00CA4CD6" w:rsidRPr="00432CB7"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32CB7">
        <w:t>Any information submitted to the Agency</w:t>
      </w:r>
      <w:r>
        <w:rPr>
          <w:color w:val="000000"/>
        </w:rPr>
        <w:t xml:space="preserve"> for which a claim of confidentiality is made </w:t>
      </w:r>
      <w:r>
        <w:rPr>
          <w:color w:val="000000"/>
        </w:rPr>
        <w:lastRenderedPageBreak/>
        <w:t xml:space="preserve">will be safeguarded according to the Agency policies set forth in Title 40, chapter 1, part 2, subpart B - Confidentiality of Business Information </w:t>
      </w:r>
      <w:r w:rsidR="00DE2DF3">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E66577" w:rsidRDefault="00CA4CD6">
      <w:pPr>
        <w:pBdr>
          <w:top w:val="single" w:sz="6" w:space="0" w:color="FFFFFF"/>
          <w:left w:val="single" w:sz="6" w:space="0" w:color="FFFFFF"/>
          <w:bottom w:val="single" w:sz="6" w:space="0" w:color="FFFFFF"/>
          <w:right w:val="single" w:sz="6" w:space="0" w:color="FFFFFF"/>
        </w:pBdr>
        <w:ind w:firstLine="720"/>
      </w:pPr>
      <w:r>
        <w:rPr>
          <w:b/>
          <w:bCs/>
          <w:color w:val="000000"/>
        </w:rPr>
        <w:t>4(a</w:t>
      </w:r>
      <w:proofErr w:type="gramStart"/>
      <w:r>
        <w:rPr>
          <w:b/>
          <w:bCs/>
          <w:color w:val="000000"/>
        </w:rPr>
        <w:t>)  Respondents</w:t>
      </w:r>
      <w:proofErr w:type="gramEnd"/>
      <w:r>
        <w:rPr>
          <w:b/>
          <w:bCs/>
          <w:color w:val="000000"/>
        </w:rPr>
        <w:t>/SIC Codes</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CA4CD6" w:rsidP="00432CB7">
      <w:pPr>
        <w:pBdr>
          <w:top w:val="single" w:sz="6" w:space="0" w:color="FFFFFF"/>
          <w:left w:val="single" w:sz="6" w:space="0" w:color="FFFFFF"/>
          <w:bottom w:val="single" w:sz="6" w:space="0" w:color="FFFFFF"/>
          <w:right w:val="single" w:sz="6" w:space="0" w:color="FFFFFF"/>
        </w:pBdr>
        <w:ind w:firstLine="720"/>
      </w:pPr>
      <w:r w:rsidRPr="00E66577">
        <w:t>The respondents to the recordkeeping and reporting requirements are</w:t>
      </w:r>
      <w:r w:rsidR="00432CB7" w:rsidRPr="00E66577">
        <w:t xml:space="preserve"> owners or operators of electric utility steam generating units.</w:t>
      </w:r>
      <w:r w:rsidRPr="00E66577">
        <w:t xml:space="preserve"> </w:t>
      </w:r>
      <w:r w:rsidR="00432CB7" w:rsidRPr="00E66577">
        <w:t xml:space="preserve"> </w:t>
      </w:r>
      <w:r w:rsidRPr="00E66577">
        <w:t xml:space="preserve">The </w:t>
      </w:r>
      <w:r w:rsidR="00CF2B37" w:rsidRPr="00E66577">
        <w:t>United States Standard Industrial Classification (</w:t>
      </w:r>
      <w:r w:rsidRPr="00E66577">
        <w:t>SIC</w:t>
      </w:r>
      <w:r w:rsidR="00CF2B37" w:rsidRPr="00E66577">
        <w:t>)</w:t>
      </w:r>
      <w:r w:rsidRPr="00E66577">
        <w:t xml:space="preserve"> code for the respondents affected by the standards is </w:t>
      </w:r>
      <w:r w:rsidR="00432CB7" w:rsidRPr="00E66577">
        <w:t xml:space="preserve">4911, </w:t>
      </w:r>
      <w:r w:rsidRPr="00E66577">
        <w:t>which corresponds to the North American Industry Classification System</w:t>
      </w:r>
      <w:r w:rsidR="00CF2B37" w:rsidRPr="00E66577">
        <w:t xml:space="preserve"> (NAICS</w:t>
      </w:r>
      <w:r w:rsidRPr="00E66577">
        <w:t xml:space="preserve">) </w:t>
      </w:r>
      <w:r w:rsidR="000137ED" w:rsidRPr="00E66577">
        <w:t xml:space="preserve">code </w:t>
      </w:r>
      <w:r w:rsidR="00432CB7" w:rsidRPr="00E66577">
        <w:t>221112</w:t>
      </w:r>
      <w:r w:rsidR="0064712D">
        <w:t xml:space="preserve"> for Fossil Fuel Electric Power Generation</w:t>
      </w:r>
      <w:r w:rsidR="00432CB7" w:rsidRPr="00E66577">
        <w:t>.</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CA4CD6">
      <w:pPr>
        <w:pBdr>
          <w:top w:val="single" w:sz="6" w:space="0" w:color="FFFFFF"/>
          <w:left w:val="single" w:sz="6" w:space="0" w:color="FFFFFF"/>
          <w:bottom w:val="single" w:sz="6" w:space="0" w:color="FFFFFF"/>
          <w:right w:val="single" w:sz="6" w:space="0" w:color="FFFFFF"/>
        </w:pBdr>
        <w:ind w:firstLine="720"/>
      </w:pPr>
      <w:r w:rsidRPr="00E66577">
        <w:rPr>
          <w:b/>
          <w:bCs/>
        </w:rPr>
        <w:t>4(b</w:t>
      </w:r>
      <w:proofErr w:type="gramStart"/>
      <w:r w:rsidRPr="00E66577">
        <w:rPr>
          <w:b/>
          <w:bCs/>
        </w:rPr>
        <w:t>)  Information</w:t>
      </w:r>
      <w:proofErr w:type="gramEnd"/>
      <w:r w:rsidRPr="00E66577">
        <w:rPr>
          <w:b/>
          <w:bCs/>
        </w:rPr>
        <w:t xml:space="preserve"> Requested</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E66577">
        <w:rPr>
          <w:b/>
          <w:bCs/>
        </w:rPr>
        <w:t>(</w:t>
      </w:r>
      <w:proofErr w:type="spellStart"/>
      <w:r w:rsidRPr="00E66577">
        <w:rPr>
          <w:b/>
          <w:bCs/>
        </w:rPr>
        <w:t>i</w:t>
      </w:r>
      <w:proofErr w:type="spellEnd"/>
      <w:r w:rsidRPr="00E66577">
        <w:rPr>
          <w:b/>
          <w:bCs/>
        </w:rPr>
        <w:t>)  Data Items</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817E8B">
      <w:pPr>
        <w:pBdr>
          <w:top w:val="single" w:sz="6" w:space="0" w:color="FFFFFF"/>
          <w:left w:val="single" w:sz="6" w:space="0" w:color="FFFFFF"/>
          <w:bottom w:val="single" w:sz="6" w:space="0" w:color="FFFFFF"/>
          <w:right w:val="single" w:sz="6" w:space="0" w:color="FFFFFF"/>
        </w:pBdr>
        <w:ind w:firstLine="720"/>
      </w:pPr>
      <w:r w:rsidRPr="00E66577">
        <w:t>I</w:t>
      </w:r>
      <w:r w:rsidR="00CA4CD6" w:rsidRPr="00E66577">
        <w:t>n this ICR</w:t>
      </w:r>
      <w:r w:rsidRPr="00E66577">
        <w:t>, all the data</w:t>
      </w:r>
      <w:r w:rsidR="00CA4CD6" w:rsidRPr="00E66577">
        <w:t xml:space="preserve"> </w:t>
      </w:r>
      <w:r w:rsidRPr="00E66577">
        <w:t xml:space="preserve">that is </w:t>
      </w:r>
      <w:r w:rsidR="00CA4CD6" w:rsidRPr="00E66577">
        <w:t xml:space="preserve">recorded or reported </w:t>
      </w:r>
      <w:r w:rsidRPr="00E66577">
        <w:t>is</w:t>
      </w:r>
      <w:r w:rsidR="00CA4CD6" w:rsidRPr="00E66577">
        <w:t xml:space="preserve"> required by</w:t>
      </w:r>
      <w:r w:rsidR="005B79A3" w:rsidRPr="00E66577">
        <w:t xml:space="preserve"> </w:t>
      </w:r>
      <w:r w:rsidR="0064712D">
        <w:t xml:space="preserve">the </w:t>
      </w:r>
      <w:r w:rsidR="005B79A3" w:rsidRPr="00E66577">
        <w:t xml:space="preserve">NSPS for Electric Utility Steam Generating Units (40 CFR Part 60, Subpart </w:t>
      </w:r>
      <w:proofErr w:type="spellStart"/>
      <w:r w:rsidR="005B79A3" w:rsidRPr="00E66577">
        <w:t>Da</w:t>
      </w:r>
      <w:proofErr w:type="spellEnd"/>
      <w:r w:rsidR="005B79A3" w:rsidRPr="00E66577">
        <w:t>)</w:t>
      </w:r>
      <w:r w:rsidR="00CA4CD6" w:rsidRPr="00E66577">
        <w:t xml:space="preserve">.  </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CA4CD6">
      <w:pPr>
        <w:pBdr>
          <w:top w:val="single" w:sz="6" w:space="0" w:color="FFFFFF"/>
          <w:left w:val="single" w:sz="6" w:space="0" w:color="FFFFFF"/>
          <w:bottom w:val="single" w:sz="6" w:space="0" w:color="FFFFFF"/>
          <w:right w:val="single" w:sz="6" w:space="0" w:color="FFFFFF"/>
        </w:pBdr>
        <w:ind w:firstLine="720"/>
      </w:pPr>
      <w:r w:rsidRPr="00E66577">
        <w:t>A source must make the following reports:</w:t>
      </w:r>
    </w:p>
    <w:p w:rsidR="00CA4CD6" w:rsidRPr="00E66577"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7020"/>
        <w:gridCol w:w="2340"/>
      </w:tblGrid>
      <w:tr w:rsidR="00A73600" w:rsidRPr="00E66577" w:rsidTr="005B79A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E66577" w:rsidRDefault="00CA4CD6">
            <w:pPr>
              <w:spacing w:line="120" w:lineRule="exact"/>
            </w:pPr>
          </w:p>
          <w:p w:rsidR="00CA4CD6" w:rsidRPr="00E6657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E66577">
              <w:rPr>
                <w:b/>
              </w:rPr>
              <w:t>Notification</w:t>
            </w:r>
            <w:r w:rsidR="006E4A6E" w:rsidRPr="00E66577">
              <w:rPr>
                <w:b/>
              </w:rPr>
              <w:t>s</w:t>
            </w:r>
            <w:r w:rsidR="005B79A3" w:rsidRPr="00E66577">
              <w:rPr>
                <w:b/>
              </w:rPr>
              <w:t>/Reports</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Notification of construction or reconstruction</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60.7(a)(1)</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60.7(a)(3)</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Notification of 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60.8(a), 60.49a(a)</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60.8(d)</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60.7(a)(5)</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Monitoring system performance</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60.7(c), 60.49a(</w:t>
            </w:r>
            <w:proofErr w:type="spellStart"/>
            <w:r w:rsidRPr="00E66577">
              <w:t>i</w:t>
            </w:r>
            <w:proofErr w:type="spellEnd"/>
            <w:r w:rsidRPr="00E66577">
              <w:t>)</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60.7(a)(4)</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Daily operating parameter – emission controls</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60.49a(b)</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Monitoring system – minimum emissions data</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60.49a(c)</w:t>
            </w:r>
          </w:p>
        </w:tc>
      </w:tr>
      <w:tr w:rsidR="005B79A3" w:rsidRPr="00E66577" w:rsidTr="005B79A3">
        <w:trPr>
          <w:jc w:val="center"/>
        </w:trPr>
        <w:tc>
          <w:tcPr>
            <w:tcW w:w="702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Control system malfunction</w:t>
            </w:r>
          </w:p>
        </w:tc>
        <w:tc>
          <w:tcPr>
            <w:tcW w:w="234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60.49a(d)</w:t>
            </w:r>
          </w:p>
        </w:tc>
      </w:tr>
      <w:tr w:rsidR="005B79A3" w:rsidRPr="00E66577" w:rsidTr="005B79A3">
        <w:trPr>
          <w:jc w:val="center"/>
        </w:trPr>
        <w:tc>
          <w:tcPr>
            <w:tcW w:w="702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lastRenderedPageBreak/>
              <w:t>Fuel treatment credit – SO</w:t>
            </w:r>
            <w:r w:rsidRPr="00E66577">
              <w:rPr>
                <w:vertAlign w:val="subscript"/>
              </w:rPr>
              <w:t>2</w:t>
            </w:r>
          </w:p>
        </w:tc>
        <w:tc>
          <w:tcPr>
            <w:tcW w:w="234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60.49a(e)</w:t>
            </w:r>
          </w:p>
        </w:tc>
      </w:tr>
      <w:tr w:rsidR="005B79A3" w:rsidRPr="00E66577" w:rsidTr="005B79A3">
        <w:trPr>
          <w:jc w:val="center"/>
        </w:trPr>
        <w:tc>
          <w:tcPr>
            <w:tcW w:w="702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Data unavailability (SO</w:t>
            </w:r>
            <w:r w:rsidRPr="00E66577">
              <w:rPr>
                <w:vertAlign w:val="subscript"/>
              </w:rPr>
              <w:t>2</w:t>
            </w:r>
            <w:r w:rsidRPr="00E66577">
              <w:t xml:space="preserve">, </w:t>
            </w:r>
            <w:proofErr w:type="spellStart"/>
            <w:r w:rsidRPr="00E66577">
              <w:t>NO</w:t>
            </w:r>
            <w:r w:rsidRPr="00E66577">
              <w:rPr>
                <w:vertAlign w:val="subscript"/>
              </w:rPr>
              <w:t>x</w:t>
            </w:r>
            <w:proofErr w:type="spellEnd"/>
            <w:r w:rsidRPr="00E66577">
              <w:t>)</w:t>
            </w:r>
          </w:p>
        </w:tc>
        <w:tc>
          <w:tcPr>
            <w:tcW w:w="234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60.49a(f)</w:t>
            </w:r>
          </w:p>
        </w:tc>
      </w:tr>
      <w:tr w:rsidR="005B79A3" w:rsidRPr="00E66577" w:rsidTr="005B79A3">
        <w:trPr>
          <w:jc w:val="center"/>
        </w:trPr>
        <w:tc>
          <w:tcPr>
            <w:tcW w:w="702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Minimum data requirements</w:t>
            </w:r>
          </w:p>
        </w:tc>
        <w:tc>
          <w:tcPr>
            <w:tcW w:w="234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60.49a(g)</w:t>
            </w:r>
          </w:p>
        </w:tc>
      </w:tr>
      <w:tr w:rsidR="005B79A3" w:rsidRPr="00E66577" w:rsidTr="005B79A3">
        <w:trPr>
          <w:jc w:val="center"/>
        </w:trPr>
        <w:tc>
          <w:tcPr>
            <w:tcW w:w="702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Excess emissions</w:t>
            </w:r>
          </w:p>
        </w:tc>
        <w:tc>
          <w:tcPr>
            <w:tcW w:w="2340" w:type="dxa"/>
            <w:tcBorders>
              <w:top w:val="single" w:sz="7" w:space="0" w:color="000000"/>
              <w:left w:val="single" w:sz="7" w:space="0" w:color="000000"/>
              <w:bottom w:val="single" w:sz="7" w:space="0" w:color="000000"/>
              <w:right w:val="single" w:sz="7" w:space="0" w:color="000000"/>
            </w:tcBorders>
          </w:tcPr>
          <w:p w:rsidR="005B79A3" w:rsidRPr="00E66577" w:rsidRDefault="00D600B8" w:rsidP="005B79A3">
            <w:pPr>
              <w:pBdr>
                <w:top w:val="single" w:sz="6" w:space="0" w:color="FFFFFF"/>
                <w:left w:val="single" w:sz="6" w:space="0" w:color="FFFFFF"/>
                <w:bottom w:val="single" w:sz="6" w:space="0" w:color="FFFFFF"/>
                <w:right w:val="single" w:sz="6" w:space="0" w:color="FFFFFF"/>
              </w:pBdr>
              <w:spacing w:after="58"/>
            </w:pPr>
            <w:r>
              <w:t>60.7(c), 60.49a</w:t>
            </w:r>
            <w:r w:rsidR="005B79A3" w:rsidRPr="00E66577">
              <w:t>(h)</w:t>
            </w:r>
          </w:p>
        </w:tc>
      </w:tr>
      <w:tr w:rsidR="005B79A3" w:rsidRPr="00E66577" w:rsidTr="005B79A3">
        <w:trPr>
          <w:jc w:val="center"/>
        </w:trPr>
        <w:tc>
          <w:tcPr>
            <w:tcW w:w="702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Quarterly reporting</w:t>
            </w:r>
          </w:p>
        </w:tc>
        <w:tc>
          <w:tcPr>
            <w:tcW w:w="2340" w:type="dxa"/>
            <w:tcBorders>
              <w:top w:val="single" w:sz="7" w:space="0" w:color="000000"/>
              <w:left w:val="single" w:sz="7" w:space="0" w:color="000000"/>
              <w:bottom w:val="single" w:sz="7" w:space="0" w:color="000000"/>
              <w:right w:val="single" w:sz="7" w:space="0" w:color="000000"/>
            </w:tcBorders>
          </w:tcPr>
          <w:p w:rsidR="005B79A3" w:rsidRPr="00E66577" w:rsidRDefault="005B79A3" w:rsidP="005B79A3">
            <w:pPr>
              <w:pBdr>
                <w:top w:val="single" w:sz="6" w:space="0" w:color="FFFFFF"/>
                <w:left w:val="single" w:sz="6" w:space="0" w:color="FFFFFF"/>
                <w:bottom w:val="single" w:sz="6" w:space="0" w:color="FFFFFF"/>
                <w:right w:val="single" w:sz="6" w:space="0" w:color="FFFFFF"/>
              </w:pBdr>
              <w:spacing w:after="58"/>
            </w:pPr>
            <w:r w:rsidRPr="00E66577">
              <w:t>60.49a(j)</w:t>
            </w:r>
          </w:p>
        </w:tc>
      </w:tr>
      <w:tr w:rsidR="00CA4CD6" w:rsidRPr="00E6657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Semiannual reporting</w:t>
            </w:r>
          </w:p>
        </w:tc>
        <w:tc>
          <w:tcPr>
            <w:tcW w:w="234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60.49a(</w:t>
            </w:r>
            <w:proofErr w:type="spellStart"/>
            <w:r w:rsidRPr="00E66577">
              <w:t>i</w:t>
            </w:r>
            <w:proofErr w:type="spellEnd"/>
            <w:r w:rsidRPr="00E66577">
              <w:t>)</w:t>
            </w:r>
          </w:p>
        </w:tc>
      </w:tr>
    </w:tbl>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CA4CD6" w:rsidP="000B4B54">
      <w:pPr>
        <w:keepNext/>
        <w:keepLines/>
        <w:pBdr>
          <w:top w:val="single" w:sz="6" w:space="0" w:color="FFFFFF"/>
          <w:left w:val="single" w:sz="6" w:space="0" w:color="FFFFFF"/>
          <w:bottom w:val="single" w:sz="6" w:space="0" w:color="FFFFFF"/>
          <w:right w:val="single" w:sz="6" w:space="0" w:color="FFFFFF"/>
        </w:pBdr>
        <w:ind w:firstLine="720"/>
      </w:pPr>
      <w:r w:rsidRPr="00E66577">
        <w:t>A source must keep the following records:</w:t>
      </w:r>
    </w:p>
    <w:p w:rsidR="00CA4CD6" w:rsidRPr="00E66577" w:rsidRDefault="00CA4CD6" w:rsidP="000B4B54">
      <w:pPr>
        <w:keepNext/>
        <w:keepLines/>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tblPr>
      <w:tblGrid>
        <w:gridCol w:w="7110"/>
        <w:gridCol w:w="2250"/>
      </w:tblGrid>
      <w:tr w:rsidR="00A73600" w:rsidRPr="00E66577" w:rsidTr="005B79A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E66577" w:rsidRDefault="00CA4CD6" w:rsidP="000B4B54">
            <w:pPr>
              <w:keepNext/>
              <w:keepLines/>
              <w:spacing w:line="120" w:lineRule="exact"/>
            </w:pPr>
          </w:p>
          <w:p w:rsidR="00CA4CD6" w:rsidRPr="00E66577" w:rsidRDefault="00CA4CD6" w:rsidP="000B4B54">
            <w:pPr>
              <w:keepNext/>
              <w:keepLines/>
              <w:pBdr>
                <w:top w:val="single" w:sz="6" w:space="0" w:color="FFFFFF"/>
                <w:left w:val="single" w:sz="6" w:space="0" w:color="FFFFFF"/>
                <w:bottom w:val="single" w:sz="6" w:space="0" w:color="FFFFFF"/>
                <w:right w:val="single" w:sz="6" w:space="0" w:color="FFFFFF"/>
              </w:pBdr>
              <w:spacing w:after="58"/>
              <w:jc w:val="center"/>
              <w:rPr>
                <w:b/>
              </w:rPr>
            </w:pPr>
            <w:r w:rsidRPr="00E66577">
              <w:rPr>
                <w:b/>
              </w:rPr>
              <w:t>Recordkeeping</w:t>
            </w:r>
          </w:p>
        </w:tc>
      </w:tr>
      <w:tr w:rsidR="00CA4CD6" w:rsidRPr="00E66577">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Maintain records of startups, shutdowns,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60.7(b)</w:t>
            </w:r>
          </w:p>
        </w:tc>
      </w:tr>
      <w:tr w:rsidR="00CA4CD6" w:rsidRPr="00E66577">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Reporting requirements</w:t>
            </w:r>
          </w:p>
        </w:tc>
        <w:tc>
          <w:tcPr>
            <w:tcW w:w="225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60.49a</w:t>
            </w:r>
          </w:p>
        </w:tc>
      </w:tr>
      <w:tr w:rsidR="00CA4CD6" w:rsidRPr="00E66577">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Emissions monitoring</w:t>
            </w:r>
          </w:p>
        </w:tc>
        <w:tc>
          <w:tcPr>
            <w:tcW w:w="225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60.47a</w:t>
            </w:r>
          </w:p>
        </w:tc>
      </w:tr>
      <w:tr w:rsidR="00CA4CD6" w:rsidRPr="00E66577">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Maintain all records for two years</w:t>
            </w:r>
          </w:p>
        </w:tc>
        <w:tc>
          <w:tcPr>
            <w:tcW w:w="2250" w:type="dxa"/>
            <w:tcBorders>
              <w:top w:val="single" w:sz="7" w:space="0" w:color="000000"/>
              <w:left w:val="single" w:sz="7" w:space="0" w:color="000000"/>
              <w:bottom w:val="single" w:sz="7" w:space="0" w:color="000000"/>
              <w:right w:val="single" w:sz="7" w:space="0" w:color="000000"/>
            </w:tcBorders>
          </w:tcPr>
          <w:p w:rsidR="00CA4CD6" w:rsidRPr="00E66577" w:rsidRDefault="005B79A3">
            <w:pPr>
              <w:pBdr>
                <w:top w:val="single" w:sz="6" w:space="0" w:color="FFFFFF"/>
                <w:left w:val="single" w:sz="6" w:space="0" w:color="FFFFFF"/>
                <w:bottom w:val="single" w:sz="6" w:space="0" w:color="FFFFFF"/>
                <w:right w:val="single" w:sz="6" w:space="0" w:color="FFFFFF"/>
              </w:pBdr>
              <w:spacing w:after="58"/>
            </w:pPr>
            <w:r w:rsidRPr="00E66577">
              <w:t>60.7(f)</w:t>
            </w:r>
          </w:p>
        </w:tc>
      </w:tr>
    </w:tbl>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CA4CD6" w:rsidP="00504745">
      <w:pPr>
        <w:pBdr>
          <w:top w:val="single" w:sz="6" w:space="0" w:color="FFFFFF"/>
          <w:left w:val="single" w:sz="6" w:space="0" w:color="FFFFFF"/>
          <w:bottom w:val="single" w:sz="6" w:space="0" w:color="FFFFFF"/>
          <w:right w:val="single" w:sz="6" w:space="0" w:color="FFFFFF"/>
        </w:pBdr>
        <w:outlineLvl w:val="0"/>
      </w:pPr>
      <w:r w:rsidRPr="00E66577">
        <w:rPr>
          <w:u w:val="single"/>
        </w:rPr>
        <w:t>Electronic Reporting</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2743D2">
      <w:pPr>
        <w:pBdr>
          <w:top w:val="single" w:sz="6" w:space="0" w:color="FFFFFF"/>
          <w:left w:val="single" w:sz="6" w:space="0" w:color="FFFFFF"/>
          <w:bottom w:val="single" w:sz="6" w:space="0" w:color="FFFFFF"/>
          <w:right w:val="single" w:sz="6" w:space="0" w:color="FFFFFF"/>
        </w:pBdr>
        <w:ind w:firstLine="720"/>
      </w:pPr>
      <w:r w:rsidRPr="00E66577">
        <w:t>Some of the r</w:t>
      </w:r>
      <w:r w:rsidR="00CA4CD6" w:rsidRPr="00E66577">
        <w:t xml:space="preserve">espondents are using monitoring equipment that automatically records parameter data.  Although personnel at the affected facility must </w:t>
      </w:r>
      <w:r w:rsidRPr="00E66577">
        <w:t xml:space="preserve">still </w:t>
      </w:r>
      <w:r w:rsidR="00CA4CD6" w:rsidRPr="00E66577">
        <w:t xml:space="preserve">evaluate the data, internal automation has significantly reduced the burden associated with monitoring and recordkeeping at </w:t>
      </w:r>
      <w:r w:rsidRPr="00E66577">
        <w:t>a</w:t>
      </w:r>
      <w:r w:rsidR="00CA4CD6" w:rsidRPr="00E66577">
        <w:t xml:space="preserve"> plant site. </w:t>
      </w:r>
    </w:p>
    <w:p w:rsidR="00CA4CD6" w:rsidRPr="00E66577" w:rsidRDefault="005B79A3" w:rsidP="005B79A3">
      <w:pPr>
        <w:pBdr>
          <w:top w:val="single" w:sz="6" w:space="0" w:color="FFFFFF"/>
          <w:left w:val="single" w:sz="6" w:space="0" w:color="FFFFFF"/>
          <w:bottom w:val="single" w:sz="6" w:space="0" w:color="FFFFFF"/>
          <w:right w:val="single" w:sz="6" w:space="0" w:color="FFFFFF"/>
        </w:pBdr>
        <w:tabs>
          <w:tab w:val="left" w:pos="6463"/>
        </w:tabs>
      </w:pPr>
      <w:r w:rsidRPr="00E66577">
        <w:tab/>
      </w:r>
    </w:p>
    <w:p w:rsidR="00CA4CD6" w:rsidRPr="00E66577" w:rsidRDefault="00CA4CD6">
      <w:pPr>
        <w:pBdr>
          <w:top w:val="single" w:sz="6" w:space="0" w:color="FFFFFF"/>
          <w:left w:val="single" w:sz="6" w:space="0" w:color="FFFFFF"/>
          <w:bottom w:val="single" w:sz="6" w:space="0" w:color="FFFFFF"/>
          <w:right w:val="single" w:sz="6" w:space="0" w:color="FFFFFF"/>
        </w:pBdr>
        <w:ind w:firstLine="720"/>
      </w:pPr>
      <w:r w:rsidRPr="00E66577">
        <w:t>Also, regulatory agencies in cooperation with th</w:t>
      </w:r>
      <w:r w:rsidR="00724BC7" w:rsidRPr="00E66577">
        <w:t>e respondents</w:t>
      </w:r>
      <w:r w:rsidRPr="00E66577">
        <w:t xml:space="preserve"> continue to create reporting systems to transmit data electronically.  However, electronic reporting systems are still not widely used.  At this time, it is estimated that approximately 10 percent of the respon</w:t>
      </w:r>
      <w:r w:rsidR="005B79A3" w:rsidRPr="00E66577">
        <w:t>dents use electronic reporting.</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E66577">
        <w:rPr>
          <w:b/>
          <w:bCs/>
        </w:rPr>
        <w:t>(ii)  Respondent Activities</w:t>
      </w:r>
      <w:r w:rsidRPr="00E66577">
        <w:rPr>
          <w:b/>
          <w:bCs/>
        </w:rPr>
        <w:tab/>
      </w:r>
    </w:p>
    <w:p w:rsidR="00CA4CD6" w:rsidRPr="00E66577" w:rsidRDefault="00CA4CD6">
      <w:pPr>
        <w:pBdr>
          <w:top w:val="single" w:sz="6" w:space="0" w:color="FFFFFF"/>
          <w:left w:val="single" w:sz="6" w:space="0" w:color="FFFFFF"/>
          <w:bottom w:val="single" w:sz="6" w:space="0" w:color="FFFFFF"/>
          <w:right w:val="single" w:sz="6" w:space="0" w:color="FFFFFF"/>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9360"/>
      </w:tblGrid>
      <w:tr w:rsidR="00CA4CD6" w:rsidRPr="00E66577" w:rsidTr="000B4B54">
        <w:trPr>
          <w:tblHeader/>
          <w:jc w:val="center"/>
        </w:trPr>
        <w:tc>
          <w:tcPr>
            <w:tcW w:w="9360" w:type="dxa"/>
          </w:tcPr>
          <w:p w:rsidR="00CA4CD6" w:rsidRPr="00E66577" w:rsidRDefault="00CA4CD6">
            <w:pPr>
              <w:spacing w:line="120" w:lineRule="exact"/>
            </w:pPr>
          </w:p>
          <w:p w:rsidR="00CA4CD6" w:rsidRPr="00E66577"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E66577">
              <w:rPr>
                <w:b/>
                <w:bCs/>
              </w:rPr>
              <w:t>Respondent Activities</w:t>
            </w:r>
          </w:p>
        </w:tc>
      </w:tr>
      <w:tr w:rsidR="00CA4CD6" w:rsidRPr="00E66577" w:rsidTr="000B4B54">
        <w:trPr>
          <w:jc w:val="center"/>
        </w:trPr>
        <w:tc>
          <w:tcPr>
            <w:tcW w:w="9360" w:type="dxa"/>
          </w:tcPr>
          <w:p w:rsidR="00CA4CD6" w:rsidRPr="00E66577" w:rsidRDefault="00CA4CD6">
            <w:pPr>
              <w:spacing w:line="120" w:lineRule="exact"/>
              <w:rPr>
                <w:b/>
                <w:bCs/>
              </w:rPr>
            </w:pPr>
          </w:p>
          <w:p w:rsidR="00CA4CD6" w:rsidRPr="00E66577" w:rsidRDefault="00CA4CD6">
            <w:pPr>
              <w:pBdr>
                <w:top w:val="single" w:sz="6" w:space="0" w:color="FFFFFF"/>
                <w:left w:val="single" w:sz="6" w:space="0" w:color="FFFFFF"/>
                <w:bottom w:val="single" w:sz="6" w:space="0" w:color="FFFFFF"/>
                <w:right w:val="single" w:sz="6" w:space="0" w:color="FFFFFF"/>
              </w:pBdr>
              <w:spacing w:after="55"/>
            </w:pPr>
            <w:r w:rsidRPr="00E66577">
              <w:t>Read instructions.</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5B79A3" w:rsidP="005B79A3">
            <w:pPr>
              <w:pBdr>
                <w:top w:val="single" w:sz="6" w:space="0" w:color="FFFFFF"/>
                <w:left w:val="single" w:sz="6" w:space="0" w:color="FFFFFF"/>
                <w:bottom w:val="single" w:sz="6" w:space="0" w:color="FFFFFF"/>
                <w:right w:val="single" w:sz="6" w:space="0" w:color="FFFFFF"/>
              </w:pBdr>
              <w:spacing w:after="55"/>
            </w:pPr>
            <w:r w:rsidRPr="00E66577">
              <w:t>Install, calibrate, maintain, and operate continuous monitoring system (CMS) for opacity, or for pressure drop and liquid supply pressure for wet scrubber.</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CA4CD6" w:rsidP="005B79A3">
            <w:pPr>
              <w:pBdr>
                <w:top w:val="single" w:sz="6" w:space="0" w:color="FFFFFF"/>
                <w:left w:val="single" w:sz="6" w:space="0" w:color="FFFFFF"/>
                <w:bottom w:val="single" w:sz="6" w:space="0" w:color="FFFFFF"/>
                <w:right w:val="single" w:sz="6" w:space="0" w:color="FFFFFF"/>
              </w:pBdr>
              <w:spacing w:after="55"/>
            </w:pPr>
            <w:r w:rsidRPr="00E66577">
              <w:t>Perform initial performance test, Reference Method</w:t>
            </w:r>
            <w:r w:rsidR="005B79A3" w:rsidRPr="00E66577">
              <w:t xml:space="preserve"> 3B, 5, 9, and 19</w:t>
            </w:r>
            <w:r w:rsidRPr="00E66577">
              <w:t xml:space="preserve">, and repeat performance </w:t>
            </w:r>
            <w:r w:rsidRPr="00E66577">
              <w:lastRenderedPageBreak/>
              <w:t>tests if necessary.</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CA4CD6">
            <w:pPr>
              <w:pBdr>
                <w:top w:val="single" w:sz="6" w:space="0" w:color="FFFFFF"/>
                <w:left w:val="single" w:sz="6" w:space="0" w:color="FFFFFF"/>
                <w:bottom w:val="single" w:sz="6" w:space="0" w:color="FFFFFF"/>
                <w:right w:val="single" w:sz="6" w:space="0" w:color="FFFFFF"/>
              </w:pBdr>
              <w:spacing w:after="55"/>
            </w:pPr>
            <w:r w:rsidRPr="00E66577">
              <w:t>Write the notifications and reports listed above.</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CA4CD6">
            <w:pPr>
              <w:pBdr>
                <w:top w:val="single" w:sz="6" w:space="0" w:color="FFFFFF"/>
                <w:left w:val="single" w:sz="6" w:space="0" w:color="FFFFFF"/>
                <w:bottom w:val="single" w:sz="6" w:space="0" w:color="FFFFFF"/>
                <w:right w:val="single" w:sz="6" w:space="0" w:color="FFFFFF"/>
              </w:pBdr>
              <w:spacing w:after="55"/>
            </w:pPr>
            <w:r w:rsidRPr="00E66577">
              <w:t>Enter information required to be recorded above.</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CA4CD6">
            <w:pPr>
              <w:pBdr>
                <w:top w:val="single" w:sz="6" w:space="0" w:color="FFFFFF"/>
                <w:left w:val="single" w:sz="6" w:space="0" w:color="FFFFFF"/>
                <w:bottom w:val="single" w:sz="6" w:space="0" w:color="FFFFFF"/>
                <w:right w:val="single" w:sz="6" w:space="0" w:color="FFFFFF"/>
              </w:pBdr>
              <w:spacing w:after="55"/>
            </w:pPr>
            <w:r w:rsidRPr="00E66577">
              <w:t>Submit the required reports developing, acquiring, installing, and utilizing technology and systems for the purpose of collecting, validating, and verifying information.</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CA4CD6">
            <w:pPr>
              <w:pBdr>
                <w:top w:val="single" w:sz="6" w:space="0" w:color="FFFFFF"/>
                <w:left w:val="single" w:sz="6" w:space="0" w:color="FFFFFF"/>
                <w:bottom w:val="single" w:sz="6" w:space="0" w:color="FFFFFF"/>
                <w:right w:val="single" w:sz="6" w:space="0" w:color="FFFFFF"/>
              </w:pBdr>
              <w:spacing w:after="55"/>
            </w:pPr>
            <w:r w:rsidRPr="00E66577">
              <w:t>Develop, acquire, install, and utilize technology and systems for the purpose of processing and maintaining information.</w:t>
            </w:r>
          </w:p>
        </w:tc>
      </w:tr>
      <w:tr w:rsidR="00E66577" w:rsidRPr="00E66577" w:rsidTr="000B4B54">
        <w:trPr>
          <w:jc w:val="center"/>
        </w:trPr>
        <w:tc>
          <w:tcPr>
            <w:tcW w:w="9360" w:type="dxa"/>
          </w:tcPr>
          <w:p w:rsidR="00E66577" w:rsidRPr="00E66577" w:rsidRDefault="00E66577" w:rsidP="000B4B54">
            <w:pPr>
              <w:keepNext/>
              <w:keepLines/>
              <w:spacing w:line="120" w:lineRule="exact"/>
            </w:pPr>
          </w:p>
          <w:p w:rsidR="00E66577" w:rsidRPr="00E66577" w:rsidRDefault="00E66577" w:rsidP="000B4B54">
            <w:pPr>
              <w:keepNext/>
              <w:keepLines/>
              <w:pBdr>
                <w:top w:val="single" w:sz="6" w:space="0" w:color="FFFFFF"/>
                <w:left w:val="single" w:sz="6" w:space="0" w:color="FFFFFF"/>
                <w:bottom w:val="single" w:sz="6" w:space="0" w:color="FFFFFF"/>
                <w:right w:val="single" w:sz="6" w:space="0" w:color="FFFFFF"/>
              </w:pBdr>
              <w:spacing w:after="55"/>
            </w:pPr>
            <w:r w:rsidRPr="00E66577">
              <w:t>Develop, acquire, install, and utilize technology and systems for the purpose of disclosing and providing information.</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E66577" w:rsidP="00E66577">
            <w:pPr>
              <w:pBdr>
                <w:top w:val="single" w:sz="6" w:space="0" w:color="FFFFFF"/>
                <w:left w:val="single" w:sz="6" w:space="0" w:color="FFFFFF"/>
                <w:bottom w:val="single" w:sz="6" w:space="0" w:color="FFFFFF"/>
                <w:right w:val="single" w:sz="6" w:space="0" w:color="FFFFFF"/>
              </w:pBdr>
              <w:spacing w:after="55"/>
            </w:pPr>
            <w:r w:rsidRPr="00E66577">
              <w:t>Adjust the existing ways to comply with any previously applicable instructions and requirements.</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CA4CD6">
            <w:pPr>
              <w:pBdr>
                <w:top w:val="single" w:sz="6" w:space="0" w:color="FFFFFF"/>
                <w:left w:val="single" w:sz="6" w:space="0" w:color="FFFFFF"/>
                <w:bottom w:val="single" w:sz="6" w:space="0" w:color="FFFFFF"/>
                <w:right w:val="single" w:sz="6" w:space="0" w:color="FFFFFF"/>
              </w:pBdr>
              <w:spacing w:after="55"/>
            </w:pPr>
            <w:r w:rsidRPr="00E66577">
              <w:t>Train personnel to be able to respond to a collection of information.</w:t>
            </w:r>
          </w:p>
        </w:tc>
      </w:tr>
      <w:tr w:rsidR="00CA4CD6" w:rsidRPr="00E66577" w:rsidTr="000B4B54">
        <w:trPr>
          <w:jc w:val="center"/>
        </w:trPr>
        <w:tc>
          <w:tcPr>
            <w:tcW w:w="9360" w:type="dxa"/>
          </w:tcPr>
          <w:p w:rsidR="00CA4CD6" w:rsidRPr="00E66577" w:rsidRDefault="00CA4CD6">
            <w:pPr>
              <w:spacing w:line="120" w:lineRule="exact"/>
            </w:pPr>
          </w:p>
          <w:p w:rsidR="00CA4CD6" w:rsidRPr="00E66577" w:rsidRDefault="00CA4CD6">
            <w:pPr>
              <w:pBdr>
                <w:top w:val="single" w:sz="6" w:space="0" w:color="FFFFFF"/>
                <w:left w:val="single" w:sz="6" w:space="0" w:color="FFFFFF"/>
                <w:bottom w:val="single" w:sz="6" w:space="0" w:color="FFFFFF"/>
                <w:right w:val="single" w:sz="6" w:space="0" w:color="FFFFFF"/>
              </w:pBdr>
              <w:spacing w:after="74"/>
            </w:pPr>
            <w:r w:rsidRPr="00E66577">
              <w:t>Transmit, or otherwise disclose the information.</w:t>
            </w:r>
          </w:p>
        </w:tc>
      </w:tr>
    </w:tbl>
    <w:p w:rsidR="00CA4CD6" w:rsidRPr="00E66577" w:rsidRDefault="00CA4CD6">
      <w:pPr>
        <w:pBdr>
          <w:top w:val="single" w:sz="6" w:space="0" w:color="FFFFFF"/>
          <w:left w:val="single" w:sz="6" w:space="0" w:color="FFFFFF"/>
          <w:bottom w:val="single" w:sz="6" w:space="0" w:color="FFFFFF"/>
          <w:right w:val="single" w:sz="6" w:space="0" w:color="FFFFFF"/>
        </w:pBdr>
      </w:pPr>
    </w:p>
    <w:p w:rsidR="00606DEF" w:rsidRPr="00E66577" w:rsidRDefault="00CF2B37" w:rsidP="00CF2B37">
      <w:pPr>
        <w:pBdr>
          <w:top w:val="single" w:sz="6" w:space="0" w:color="FFFFFF"/>
          <w:left w:val="single" w:sz="6" w:space="0" w:color="FFFFFF"/>
          <w:bottom w:val="single" w:sz="6" w:space="0" w:color="FFFFFF"/>
          <w:right w:val="single" w:sz="6" w:space="0" w:color="FFFFFF"/>
        </w:pBdr>
        <w:ind w:firstLine="720"/>
      </w:pPr>
      <w:r w:rsidRPr="00E66577">
        <w:t xml:space="preserve">Currently sources are using monitoring and reporting equipment that provide parameter data in an automated way </w:t>
      </w:r>
      <w:r w:rsidR="008B61E8">
        <w:t>(</w:t>
      </w:r>
      <w:r w:rsidRPr="00E66577">
        <w:t>e.g., continuous parameter monitoring system</w:t>
      </w:r>
      <w:r w:rsidR="008B61E8">
        <w:t>)</w:t>
      </w:r>
      <w:r w:rsidRPr="00E66577">
        <w:t xml:space="preserve">.  Although personnel at the source still need to evaluate the data, this type of monitoring equipment has significantly reduced the burden associated with monitoring and recordkeeping. </w:t>
      </w:r>
    </w:p>
    <w:p w:rsidR="00CF2B37" w:rsidRPr="00E66577" w:rsidRDefault="00CF2B37">
      <w:pPr>
        <w:pBdr>
          <w:top w:val="single" w:sz="6" w:space="0" w:color="FFFFFF"/>
          <w:left w:val="single" w:sz="6" w:space="0" w:color="FFFFFF"/>
          <w:bottom w:val="single" w:sz="6" w:space="0" w:color="FFFFFF"/>
          <w:right w:val="single" w:sz="6" w:space="0" w:color="FFFFFF"/>
        </w:pBdr>
        <w:rPr>
          <w:b/>
          <w:bCs/>
        </w:rPr>
      </w:pPr>
    </w:p>
    <w:p w:rsidR="00CA4CD6" w:rsidRPr="00E66577"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E66577">
        <w:rPr>
          <w:b/>
          <w:bCs/>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B27186" w:rsidRDefault="00CA4CD6" w:rsidP="00B2718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B2718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rsidTr="00B27186">
        <w:trPr>
          <w:trHeight w:val="370"/>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E66577" w:rsidTr="00B27186">
        <w:trPr>
          <w:trHeight w:val="325"/>
        </w:trPr>
        <w:tc>
          <w:tcPr>
            <w:tcW w:w="9360" w:type="dxa"/>
            <w:tcBorders>
              <w:top w:val="single" w:sz="7" w:space="0" w:color="000000"/>
              <w:left w:val="single" w:sz="7" w:space="0" w:color="000000"/>
              <w:bottom w:val="single" w:sz="6" w:space="0" w:color="FFFFFF"/>
              <w:right w:val="single" w:sz="7" w:space="0" w:color="000000"/>
            </w:tcBorders>
          </w:tcPr>
          <w:p w:rsidR="00E66577" w:rsidRDefault="00E66577" w:rsidP="009220B7">
            <w:pPr>
              <w:spacing w:line="120" w:lineRule="exact"/>
              <w:rPr>
                <w:color w:val="000000"/>
              </w:rPr>
            </w:pPr>
          </w:p>
          <w:p w:rsidR="00E66577" w:rsidRDefault="00E66577" w:rsidP="009220B7">
            <w:pPr>
              <w:pBdr>
                <w:top w:val="single" w:sz="6" w:space="0" w:color="FFFFFF"/>
                <w:left w:val="single" w:sz="6" w:space="0" w:color="FFFFFF"/>
                <w:bottom w:val="single" w:sz="6" w:space="0" w:color="FFFFFF"/>
                <w:right w:val="single" w:sz="6" w:space="0" w:color="FFFFFF"/>
              </w:pBdr>
              <w:spacing w:after="52"/>
              <w:rPr>
                <w:color w:val="000000"/>
              </w:rPr>
            </w:pPr>
            <w:r w:rsidRPr="00E66577">
              <w:rPr>
                <w:color w:val="000000"/>
              </w:rP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lastRenderedPageBreak/>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E66577" w:rsidRDefault="00CA4CD6">
      <w:pPr>
        <w:pBdr>
          <w:top w:val="single" w:sz="6" w:space="0" w:color="FFFFFF"/>
          <w:left w:val="single" w:sz="6" w:space="0" w:color="FFFFFF"/>
          <w:bottom w:val="single" w:sz="6" w:space="0" w:color="FFFFFF"/>
          <w:right w:val="single" w:sz="6" w:space="0" w:color="FFFFFF"/>
        </w:pBdr>
        <w:ind w:firstLine="720"/>
      </w:pPr>
      <w:r>
        <w:rPr>
          <w:b/>
          <w:bCs/>
          <w:color w:val="000000"/>
        </w:rPr>
        <w:t>5</w:t>
      </w:r>
      <w:r w:rsidRPr="00E66577">
        <w:rPr>
          <w:b/>
          <w:bCs/>
        </w:rPr>
        <w:t>(b</w:t>
      </w:r>
      <w:proofErr w:type="gramStart"/>
      <w:r w:rsidRPr="00E66577">
        <w:rPr>
          <w:b/>
          <w:bCs/>
        </w:rPr>
        <w:t>)  Collection</w:t>
      </w:r>
      <w:proofErr w:type="gramEnd"/>
      <w:r w:rsidRPr="00E66577">
        <w:rPr>
          <w:b/>
          <w:bCs/>
        </w:rPr>
        <w:t xml:space="preserve"> Methodology and Management</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Pr="00E66577" w:rsidRDefault="00E66577" w:rsidP="000B4B54">
      <w:pPr>
        <w:widowControl/>
        <w:pBdr>
          <w:top w:val="single" w:sz="6" w:space="0" w:color="FFFFFF"/>
          <w:left w:val="single" w:sz="6" w:space="0" w:color="FFFFFF"/>
          <w:bottom w:val="single" w:sz="6" w:space="0" w:color="FFFFFF"/>
          <w:right w:val="single" w:sz="6" w:space="0" w:color="FFFFFF"/>
        </w:pBdr>
        <w:ind w:firstLine="720"/>
      </w:pPr>
      <w:r w:rsidRPr="00E66577">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w:t>
      </w:r>
      <w:r w:rsidR="00CA4CD6" w:rsidRPr="00E66577">
        <w:t>Data and records maintained by the respondents are tabulated and published for use in compliance and enforcement programs.</w:t>
      </w:r>
      <w:r w:rsidRPr="00E66577">
        <w:t xml:space="preserve">  The semiannual reports are used for problem identification, as a check on source operation and maintenance, and for compliance determinations.</w:t>
      </w:r>
    </w:p>
    <w:p w:rsidR="00CA4CD6" w:rsidRPr="00E66577"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E66577">
        <w:rPr>
          <w:color w:val="000000"/>
        </w:rPr>
        <w:t xml:space="preserve">two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E66577" w:rsidRPr="00E66577" w:rsidRDefault="00E66577" w:rsidP="00E66577">
      <w:pPr>
        <w:pBdr>
          <w:top w:val="single" w:sz="6" w:space="0" w:color="FFFFFF"/>
          <w:left w:val="single" w:sz="6" w:space="0" w:color="FFFFFF"/>
          <w:bottom w:val="single" w:sz="6" w:space="0" w:color="FFFFFF"/>
          <w:right w:val="single" w:sz="6" w:space="0" w:color="FFFFFF"/>
        </w:pBdr>
        <w:ind w:firstLine="720"/>
        <w:rPr>
          <w:color w:val="000000"/>
        </w:rPr>
      </w:pPr>
      <w:r w:rsidRPr="00E66577">
        <w:rPr>
          <w:color w:val="000000"/>
        </w:rPr>
        <w:t xml:space="preserve">The majority of the respondents are large entities (i.e., large businesses).  However, </w:t>
      </w:r>
      <w:r w:rsidR="009F2FCE">
        <w:rPr>
          <w:color w:val="000000"/>
        </w:rPr>
        <w:t xml:space="preserve">     </w:t>
      </w:r>
      <w:r w:rsidRPr="00E66577">
        <w:rPr>
          <w:color w:val="000000"/>
        </w:rPr>
        <w:t xml:space="preserve">the impact on small entities (i.e., small businesses,) was taken into consideration during the development of the regulation.  According to the EPA 2006 Final Rule (71 </w:t>
      </w:r>
      <w:r w:rsidRPr="009F2FCE">
        <w:rPr>
          <w:color w:val="000000"/>
          <w:u w:val="single"/>
        </w:rPr>
        <w:t>FR</w:t>
      </w:r>
      <w:r w:rsidRPr="00E66577">
        <w:rPr>
          <w:color w:val="000000"/>
        </w:rPr>
        <w:t xml:space="preserve"> 9865) regarding amendments proposed to 40 CFR part 60, subparts </w:t>
      </w:r>
      <w:proofErr w:type="spellStart"/>
      <w:r w:rsidRPr="00E66577">
        <w:rPr>
          <w:color w:val="000000"/>
        </w:rPr>
        <w:t>Da</w:t>
      </w:r>
      <w:proofErr w:type="spellEnd"/>
      <w:r w:rsidRPr="00E66577">
        <w:rPr>
          <w:color w:val="000000"/>
        </w:rPr>
        <w:t>, Db, and Dc, on February 28, 2005,</w:t>
      </w:r>
      <w:r w:rsidR="009F2FCE">
        <w:rPr>
          <w:color w:val="000000"/>
        </w:rPr>
        <w:t xml:space="preserve">         </w:t>
      </w:r>
      <w:r w:rsidRPr="00E66577">
        <w:rPr>
          <w:color w:val="000000"/>
        </w:rPr>
        <w:t xml:space="preserve"> “ . . . at most, one entity out of five new entities in the industry may be small entities.”  Applying this data to the respondent universe for this ICR results in approximately 1</w:t>
      </w:r>
      <w:r w:rsidR="00273212">
        <w:rPr>
          <w:color w:val="000000"/>
        </w:rPr>
        <w:t>42</w:t>
      </w:r>
      <w:r w:rsidRPr="00E66577">
        <w:rPr>
          <w:color w:val="000000"/>
        </w:rPr>
        <w:t xml:space="preserve"> small entities impacted by this ICR.</w:t>
      </w:r>
      <w:r w:rsidR="00273212">
        <w:rPr>
          <w:color w:val="000000"/>
        </w:rPr>
        <w:t xml:space="preserve"> </w:t>
      </w:r>
    </w:p>
    <w:p w:rsidR="00E66577" w:rsidRPr="00E66577" w:rsidRDefault="00E66577" w:rsidP="00E66577">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E66577">
      <w:pPr>
        <w:pBdr>
          <w:top w:val="single" w:sz="6" w:space="0" w:color="FFFFFF"/>
          <w:left w:val="single" w:sz="6" w:space="0" w:color="FFFFFF"/>
          <w:bottom w:val="single" w:sz="6" w:space="0" w:color="FFFFFF"/>
          <w:right w:val="single" w:sz="6" w:space="0" w:color="FFFFFF"/>
        </w:pBdr>
        <w:ind w:firstLine="720"/>
        <w:rPr>
          <w:b/>
          <w:bCs/>
          <w:color w:val="000000"/>
        </w:rPr>
      </w:pPr>
      <w:r w:rsidRPr="00E66577">
        <w:rPr>
          <w:color w:val="000000"/>
        </w:rPr>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in </w:t>
      </w:r>
      <w:r w:rsidR="007A458D">
        <w:rPr>
          <w:color w:val="000000"/>
        </w:rPr>
        <w:t xml:space="preserve">below </w:t>
      </w:r>
      <w:r>
        <w:rPr>
          <w:color w:val="000000"/>
        </w:rPr>
        <w:t>Table 1</w:t>
      </w:r>
      <w:r w:rsidR="00E66577" w:rsidRPr="00E66577">
        <w:rPr>
          <w:color w:val="000000"/>
        </w:rPr>
        <w:t xml:space="preserve">: Annual Respondent Burden and Cost – NSPS for Electric Utility Steam Generating Units (40 CFR Part 60, Subpart </w:t>
      </w:r>
      <w:proofErr w:type="spellStart"/>
      <w:r w:rsidR="00E66577" w:rsidRPr="00E66577">
        <w:rPr>
          <w:color w:val="000000"/>
        </w:rPr>
        <w:t>Da</w:t>
      </w:r>
      <w:proofErr w:type="spellEnd"/>
      <w:r w:rsidR="00E66577" w:rsidRPr="00E66577">
        <w:rPr>
          <w:color w:val="000000"/>
        </w:rPr>
        <w:t>)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6F5E7C">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s is estimated to be</w:t>
      </w:r>
      <w:r w:rsidR="004E5911">
        <w:rPr>
          <w:color w:val="000000"/>
        </w:rPr>
        <w:t xml:space="preserve"> </w:t>
      </w:r>
      <w:r w:rsidR="004E5911" w:rsidRPr="004E5911">
        <w:rPr>
          <w:color w:val="000000"/>
        </w:rPr>
        <w:t>168,258</w:t>
      </w:r>
      <w:r w:rsidR="00A139D3">
        <w:rPr>
          <w:color w:val="000000"/>
        </w:rPr>
        <w:t xml:space="preserve"> hours</w:t>
      </w:r>
      <w:r w:rsidR="004C701D">
        <w:rPr>
          <w:color w:val="000000"/>
        </w:rPr>
        <w:t xml:space="preserve"> (</w:t>
      </w:r>
      <w:r>
        <w:rPr>
          <w:color w:val="000000"/>
        </w:rPr>
        <w:t>Total Labor Hours from Table 1</w:t>
      </w:r>
      <w:r w:rsidR="00A139D3">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E66577">
        <w:rPr>
          <w:color w:val="000000"/>
        </w:rPr>
        <w:t xml:space="preserve"> NSPS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273212">
        <w:rPr>
          <w:color w:val="000000"/>
        </w:rPr>
        <w:t>3</w:t>
      </w:r>
      <w:r w:rsidR="004F6FCD">
        <w:rPr>
          <w:color w:val="000000"/>
        </w:rPr>
        <w:t>.</w:t>
      </w:r>
      <w:r w:rsidR="00273212">
        <w:rPr>
          <w:color w:val="000000"/>
        </w:rPr>
        <w:t>04</w:t>
      </w:r>
      <w:r>
        <w:rPr>
          <w:color w:val="000000"/>
        </w:rPr>
        <w:t xml:space="preserve"> ($5</w:t>
      </w:r>
      <w:r w:rsidR="00E72D70">
        <w:rPr>
          <w:color w:val="000000"/>
        </w:rPr>
        <w:t>8</w:t>
      </w:r>
      <w:r w:rsidR="004F6FCD">
        <w:rPr>
          <w:color w:val="000000"/>
        </w:rPr>
        <w:t>.</w:t>
      </w:r>
      <w:r w:rsidR="00273212">
        <w:rPr>
          <w:color w:val="000000"/>
        </w:rPr>
        <w:t>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273212">
        <w:rPr>
          <w:color w:val="000000"/>
        </w:rPr>
        <w:t>2</w:t>
      </w:r>
      <w:r>
        <w:rPr>
          <w:color w:val="000000"/>
        </w:rPr>
        <w:t xml:space="preserve"> ($4</w:t>
      </w:r>
      <w:r w:rsidR="00E72D70">
        <w:rPr>
          <w:color w:val="000000"/>
        </w:rPr>
        <w:t>8</w:t>
      </w:r>
      <w:r>
        <w:rPr>
          <w:color w:val="000000"/>
        </w:rPr>
        <w:t>.</w:t>
      </w:r>
      <w:r w:rsidR="00E72D70">
        <w:rPr>
          <w:color w:val="000000"/>
        </w:rPr>
        <w:t>2</w:t>
      </w:r>
      <w:r w:rsidR="00273212">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273212">
        <w:rPr>
          <w:color w:val="000000"/>
        </w:rPr>
        <w:t>1</w:t>
      </w:r>
      <w:r>
        <w:rPr>
          <w:color w:val="000000"/>
        </w:rPr>
        <w:t>.</w:t>
      </w:r>
      <w:r w:rsidR="00273212">
        <w:rPr>
          <w:color w:val="000000"/>
        </w:rPr>
        <w:t>18</w:t>
      </w:r>
      <w:r>
        <w:rPr>
          <w:color w:val="000000"/>
        </w:rPr>
        <w:t xml:space="preserve"> ($2</w:t>
      </w:r>
      <w:r w:rsidR="00102B52">
        <w:rPr>
          <w:color w:val="000000"/>
        </w:rPr>
        <w:t>4</w:t>
      </w:r>
      <w:r>
        <w:rPr>
          <w:color w:val="000000"/>
        </w:rPr>
        <w:t>.</w:t>
      </w:r>
      <w:r w:rsidR="00273212">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273212">
        <w:rPr>
          <w:color w:val="000000"/>
        </w:rPr>
        <w:t>March 2013</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A27BDB" w:rsidRDefault="00A27BD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EE761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w:t>
      </w:r>
      <w:r w:rsidR="00A27BDB">
        <w:rPr>
          <w:color w:val="000000"/>
        </w:rPr>
        <w:t>,</w:t>
      </w:r>
      <w:r>
        <w:rPr>
          <w:color w:val="000000"/>
        </w:rPr>
        <w:t xml:space="preserve"> which are addressed elsewhere in this ICR</w:t>
      </w:r>
      <w:r w:rsidR="00A27BDB">
        <w:rPr>
          <w:color w:val="000000"/>
        </w:rPr>
        <w:t>,</w:t>
      </w:r>
      <w:r>
        <w:rPr>
          <w:color w:val="000000"/>
        </w:rPr>
        <w:t xml:space="preserve"> and the costs associated with continuous monitoring.  Th</w:t>
      </w:r>
      <w:r w:rsidR="00A27BDB">
        <w:rPr>
          <w:color w:val="000000"/>
        </w:rPr>
        <w:t>e capital/startup costs are one</w:t>
      </w:r>
      <w:r>
        <w:rPr>
          <w:color w:val="000000"/>
        </w:rPr>
        <w:t>time costs when a facility becomes subject to the regulation.  The annual operation and maintenance costs are the ongoing costs to maintain the monitor</w:t>
      </w:r>
      <w:r w:rsidR="004E5911">
        <w:rPr>
          <w:color w:val="000000"/>
        </w:rPr>
        <w:t>s</w:t>
      </w:r>
      <w:r>
        <w:rPr>
          <w:color w:val="000000"/>
        </w:rPr>
        <w:t xml:space="preserve"> and other costs su</w:t>
      </w:r>
      <w:r w:rsidR="00A21516">
        <w:rPr>
          <w:color w:val="000000"/>
        </w:rPr>
        <w:t>ch as photocopying and postage.</w:t>
      </w:r>
    </w:p>
    <w:p w:rsidR="00EE761C" w:rsidRDefault="00EE761C" w:rsidP="00EE761C">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A21516">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tc>
          <w:tcPr>
            <w:tcW w:w="11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E942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rsidP="00E9429F">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E942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E942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E942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E942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E942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Pr="00A21516" w:rsidRDefault="00CA4CD6">
            <w:pPr>
              <w:spacing w:line="120" w:lineRule="exact"/>
              <w:rPr>
                <w:color w:val="000000"/>
                <w:sz w:val="20"/>
                <w:szCs w:val="20"/>
              </w:rPr>
            </w:pPr>
          </w:p>
          <w:p w:rsidR="00CA4CD6" w:rsidRPr="00A2151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A21516">
              <w:rPr>
                <w:color w:val="000000"/>
                <w:sz w:val="20"/>
                <w:szCs w:val="20"/>
              </w:rPr>
              <w:t>(G)</w:t>
            </w:r>
          </w:p>
          <w:p w:rsidR="00CA4CD6" w:rsidRPr="00A21516" w:rsidRDefault="00CA4CD6" w:rsidP="00E9429F">
            <w:pPr>
              <w:pBdr>
                <w:top w:val="single" w:sz="6" w:space="0" w:color="FFFFFF"/>
                <w:left w:val="single" w:sz="6" w:space="0" w:color="FFFFFF"/>
                <w:bottom w:val="single" w:sz="6" w:space="0" w:color="FFFFFF"/>
                <w:right w:val="single" w:sz="6" w:space="0" w:color="FFFFFF"/>
              </w:pBdr>
              <w:jc w:val="center"/>
              <w:rPr>
                <w:color w:val="000000"/>
                <w:sz w:val="20"/>
                <w:szCs w:val="20"/>
              </w:rPr>
            </w:pPr>
            <w:r w:rsidRPr="00A21516">
              <w:rPr>
                <w:color w:val="000000"/>
                <w:sz w:val="20"/>
                <w:szCs w:val="20"/>
              </w:rPr>
              <w:t>Total O&amp;M,</w:t>
            </w:r>
          </w:p>
          <w:p w:rsidR="00CA4CD6" w:rsidRPr="00A21516" w:rsidRDefault="00CA4CD6" w:rsidP="00E942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21516">
              <w:rPr>
                <w:color w:val="000000"/>
                <w:sz w:val="20"/>
                <w:szCs w:val="20"/>
              </w:rPr>
              <w:t>(E X F)</w:t>
            </w:r>
          </w:p>
        </w:tc>
      </w:tr>
      <w:tr w:rsidR="00CA4CD6">
        <w:tc>
          <w:tcPr>
            <w:tcW w:w="1170" w:type="dxa"/>
            <w:tcBorders>
              <w:top w:val="single" w:sz="7" w:space="0" w:color="000000"/>
              <w:left w:val="single" w:sz="7" w:space="0" w:color="000000"/>
              <w:bottom w:val="single" w:sz="7" w:space="0" w:color="000000"/>
              <w:right w:val="single" w:sz="6" w:space="0" w:color="FFFFFF"/>
            </w:tcBorders>
          </w:tcPr>
          <w:p w:rsidR="00CA4CD6" w:rsidRDefault="00CA4CD6">
            <w:pPr>
              <w:spacing w:line="120" w:lineRule="exact"/>
              <w:rPr>
                <w:color w:val="000000"/>
                <w:sz w:val="20"/>
                <w:szCs w:val="20"/>
              </w:rPr>
            </w:pPr>
          </w:p>
          <w:p w:rsidR="00CA4CD6" w:rsidRDefault="00A21516">
            <w:pPr>
              <w:pBdr>
                <w:top w:val="single" w:sz="6" w:space="0" w:color="FFFFFF"/>
                <w:left w:val="single" w:sz="6" w:space="0" w:color="FFFFFF"/>
                <w:bottom w:val="single" w:sz="6" w:space="0" w:color="FFFFFF"/>
                <w:right w:val="single" w:sz="6" w:space="0" w:color="FFFFFF"/>
              </w:pBdr>
              <w:spacing w:after="72"/>
              <w:rPr>
                <w:color w:val="000000"/>
                <w:sz w:val="20"/>
                <w:szCs w:val="20"/>
              </w:rPr>
            </w:pPr>
            <w:r w:rsidRPr="00A21516">
              <w:rPr>
                <w:color w:val="000000"/>
                <w:sz w:val="20"/>
                <w:szCs w:val="20"/>
              </w:rPr>
              <w:t>SO</w:t>
            </w:r>
            <w:r w:rsidRPr="00A21516">
              <w:rPr>
                <w:color w:val="000000"/>
                <w:sz w:val="20"/>
                <w:szCs w:val="20"/>
                <w:vertAlign w:val="subscript"/>
              </w:rPr>
              <w:t>2</w:t>
            </w:r>
            <w:r w:rsidRPr="00A21516">
              <w:rPr>
                <w:color w:val="000000"/>
                <w:sz w:val="20"/>
                <w:szCs w:val="20"/>
              </w:rPr>
              <w:t xml:space="preserve">, PM, and </w:t>
            </w:r>
            <w:proofErr w:type="spellStart"/>
            <w:r w:rsidRPr="00A21516">
              <w:rPr>
                <w:color w:val="000000"/>
                <w:sz w:val="20"/>
                <w:szCs w:val="20"/>
              </w:rPr>
              <w:t>NO</w:t>
            </w:r>
            <w:r w:rsidRPr="00A21516">
              <w:rPr>
                <w:color w:val="000000"/>
                <w:sz w:val="20"/>
                <w:szCs w:val="20"/>
                <w:vertAlign w:val="subscript"/>
              </w:rPr>
              <w:t>x</w:t>
            </w:r>
            <w:proofErr w:type="spellEnd"/>
          </w:p>
        </w:tc>
        <w:tc>
          <w:tcPr>
            <w:tcW w:w="1440" w:type="dxa"/>
            <w:tcBorders>
              <w:top w:val="single" w:sz="7" w:space="0" w:color="000000"/>
              <w:left w:val="single" w:sz="7" w:space="0" w:color="000000"/>
              <w:bottom w:val="single" w:sz="7" w:space="0" w:color="000000"/>
              <w:right w:val="single" w:sz="6" w:space="0" w:color="FFFFFF"/>
            </w:tcBorders>
          </w:tcPr>
          <w:p w:rsidR="00CA4CD6" w:rsidRDefault="00CA4CD6" w:rsidP="00A21516">
            <w:pPr>
              <w:spacing w:line="120" w:lineRule="exact"/>
              <w:jc w:val="center"/>
              <w:rPr>
                <w:color w:val="000000"/>
                <w:sz w:val="20"/>
                <w:szCs w:val="20"/>
              </w:rPr>
            </w:pPr>
          </w:p>
          <w:p w:rsidR="00CA4CD6" w:rsidRDefault="00A21516" w:rsidP="00A2151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$200,000</w:t>
            </w:r>
          </w:p>
        </w:tc>
        <w:tc>
          <w:tcPr>
            <w:tcW w:w="1350" w:type="dxa"/>
            <w:tcBorders>
              <w:top w:val="single" w:sz="7" w:space="0" w:color="000000"/>
              <w:left w:val="single" w:sz="7" w:space="0" w:color="000000"/>
              <w:bottom w:val="single" w:sz="7" w:space="0" w:color="000000"/>
              <w:right w:val="single" w:sz="6" w:space="0" w:color="FFFFFF"/>
            </w:tcBorders>
          </w:tcPr>
          <w:p w:rsidR="00CA4CD6" w:rsidRDefault="00CA4CD6" w:rsidP="00A21516">
            <w:pPr>
              <w:spacing w:line="120" w:lineRule="exact"/>
              <w:jc w:val="center"/>
              <w:rPr>
                <w:color w:val="000000"/>
                <w:sz w:val="20"/>
                <w:szCs w:val="20"/>
              </w:rPr>
            </w:pPr>
          </w:p>
          <w:p w:rsidR="00CA4CD6" w:rsidRDefault="00A21516" w:rsidP="00A2151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11</w:t>
            </w:r>
          </w:p>
        </w:tc>
        <w:tc>
          <w:tcPr>
            <w:tcW w:w="1440" w:type="dxa"/>
            <w:tcBorders>
              <w:top w:val="single" w:sz="7" w:space="0" w:color="000000"/>
              <w:left w:val="single" w:sz="7" w:space="0" w:color="000000"/>
              <w:bottom w:val="single" w:sz="7" w:space="0" w:color="000000"/>
              <w:right w:val="single" w:sz="6" w:space="0" w:color="FFFFFF"/>
            </w:tcBorders>
          </w:tcPr>
          <w:p w:rsidR="00CA4CD6" w:rsidRDefault="00CA4CD6" w:rsidP="00A21516">
            <w:pPr>
              <w:spacing w:line="120" w:lineRule="exact"/>
              <w:jc w:val="center"/>
              <w:rPr>
                <w:color w:val="000000"/>
                <w:sz w:val="20"/>
                <w:szCs w:val="20"/>
              </w:rPr>
            </w:pPr>
          </w:p>
          <w:p w:rsidR="00CA4CD6" w:rsidRDefault="00A21516" w:rsidP="00A2151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$2,200,000</w:t>
            </w:r>
          </w:p>
        </w:tc>
        <w:tc>
          <w:tcPr>
            <w:tcW w:w="1350" w:type="dxa"/>
            <w:tcBorders>
              <w:top w:val="single" w:sz="7" w:space="0" w:color="000000"/>
              <w:left w:val="single" w:sz="7" w:space="0" w:color="000000"/>
              <w:bottom w:val="single" w:sz="7" w:space="0" w:color="000000"/>
              <w:right w:val="single" w:sz="6" w:space="0" w:color="FFFFFF"/>
            </w:tcBorders>
          </w:tcPr>
          <w:p w:rsidR="00CA4CD6" w:rsidRDefault="00CA4CD6" w:rsidP="00A21516">
            <w:pPr>
              <w:spacing w:line="120" w:lineRule="exact"/>
              <w:jc w:val="center"/>
              <w:rPr>
                <w:color w:val="000000"/>
                <w:sz w:val="20"/>
                <w:szCs w:val="20"/>
              </w:rPr>
            </w:pPr>
          </w:p>
          <w:p w:rsidR="00CA4CD6" w:rsidRDefault="00A21516" w:rsidP="00A2151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$15,000</w:t>
            </w:r>
          </w:p>
        </w:tc>
        <w:tc>
          <w:tcPr>
            <w:tcW w:w="1260" w:type="dxa"/>
            <w:tcBorders>
              <w:top w:val="single" w:sz="7" w:space="0" w:color="000000"/>
              <w:left w:val="single" w:sz="7" w:space="0" w:color="000000"/>
              <w:bottom w:val="single" w:sz="7" w:space="0" w:color="000000"/>
              <w:right w:val="single" w:sz="6" w:space="0" w:color="FFFFFF"/>
            </w:tcBorders>
          </w:tcPr>
          <w:p w:rsidR="00CA4CD6" w:rsidRPr="00A21516" w:rsidRDefault="00CA4CD6" w:rsidP="00A21516">
            <w:pPr>
              <w:spacing w:line="120" w:lineRule="exact"/>
              <w:jc w:val="center"/>
              <w:rPr>
                <w:color w:val="000000"/>
                <w:sz w:val="20"/>
                <w:szCs w:val="20"/>
                <w:highlight w:val="yellow"/>
              </w:rPr>
            </w:pPr>
          </w:p>
          <w:p w:rsidR="00CA4CD6" w:rsidRPr="00A21516" w:rsidRDefault="00D813A6" w:rsidP="00A21516">
            <w:pPr>
              <w:pBdr>
                <w:top w:val="single" w:sz="6" w:space="0" w:color="FFFFFF"/>
                <w:left w:val="single" w:sz="6" w:space="0" w:color="FFFFFF"/>
                <w:bottom w:val="single" w:sz="6" w:space="0" w:color="FFFFFF"/>
                <w:right w:val="single" w:sz="6" w:space="0" w:color="FFFFFF"/>
              </w:pBdr>
              <w:spacing w:after="72"/>
              <w:jc w:val="center"/>
              <w:rPr>
                <w:color w:val="000000"/>
                <w:sz w:val="20"/>
                <w:szCs w:val="20"/>
                <w:highlight w:val="yellow"/>
              </w:rPr>
            </w:pPr>
            <w:r w:rsidRPr="00D813A6">
              <w:rPr>
                <w:color w:val="000000"/>
                <w:sz w:val="20"/>
                <w:szCs w:val="20"/>
              </w:rPr>
              <w:t>699</w:t>
            </w:r>
          </w:p>
        </w:tc>
        <w:tc>
          <w:tcPr>
            <w:tcW w:w="1350" w:type="dxa"/>
            <w:tcBorders>
              <w:top w:val="single" w:sz="7" w:space="0" w:color="000000"/>
              <w:left w:val="single" w:sz="7" w:space="0" w:color="000000"/>
              <w:bottom w:val="single" w:sz="7" w:space="0" w:color="000000"/>
              <w:right w:val="single" w:sz="7" w:space="0" w:color="000000"/>
            </w:tcBorders>
          </w:tcPr>
          <w:p w:rsidR="00CA4CD6" w:rsidRPr="00A21516" w:rsidRDefault="00CA4CD6" w:rsidP="00A21516">
            <w:pPr>
              <w:spacing w:line="120" w:lineRule="exact"/>
              <w:jc w:val="center"/>
              <w:rPr>
                <w:color w:val="000000"/>
                <w:sz w:val="20"/>
                <w:szCs w:val="20"/>
              </w:rPr>
            </w:pPr>
          </w:p>
          <w:p w:rsidR="00CA4CD6" w:rsidRPr="00A21516" w:rsidRDefault="00D813A6" w:rsidP="00A2151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D813A6">
              <w:rPr>
                <w:color w:val="000000"/>
                <w:sz w:val="20"/>
                <w:szCs w:val="20"/>
              </w:rPr>
              <w:t>$10,485,000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A21516">
        <w:rPr>
          <w:color w:val="000000"/>
        </w:rPr>
        <w:t>2,200,000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4342F6" w:rsidRPr="004342F6">
        <w:rPr>
          <w:color w:val="000000"/>
        </w:rPr>
        <w:t>10,485,000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4342F6">
        <w:rPr>
          <w:color w:val="000000"/>
        </w:rPr>
        <w:t>12,685,000</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4E5911" w:rsidRPr="004E5911">
        <w:rPr>
          <w:color w:val="000000"/>
        </w:rPr>
        <w:t>741,360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9019B">
        <w:rPr>
          <w:color w:val="000000"/>
        </w:rPr>
        <w:t>3</w:t>
      </w:r>
      <w:r>
        <w:rPr>
          <w:color w:val="000000"/>
        </w:rPr>
        <w:t xml:space="preserve"> General Schedule</w:t>
      </w:r>
      <w:r w:rsidR="007A458D">
        <w:rPr>
          <w:color w:val="000000"/>
        </w:rPr>
        <w:t>,</w:t>
      </w:r>
      <w:r>
        <w:rPr>
          <w:color w:val="000000"/>
        </w:rPr>
        <w:t xml:space="preserve"> which excludes locality</w:t>
      </w:r>
      <w:r w:rsidR="00B63559">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Table 2</w:t>
      </w:r>
      <w:r w:rsidR="008D521C" w:rsidRPr="008D521C">
        <w:rPr>
          <w:color w:val="000000"/>
        </w:rPr>
        <w:t xml:space="preserve">: Average Annual EPA Burden and Cost – NSPS for Electric Utility Steam Generating Units (40 CFR Part 60, Subpart </w:t>
      </w:r>
      <w:proofErr w:type="spellStart"/>
      <w:r w:rsidR="008D521C" w:rsidRPr="008D521C">
        <w:rPr>
          <w:color w:val="000000"/>
        </w:rPr>
        <w:t>Da</w:t>
      </w:r>
      <w:proofErr w:type="spellEnd"/>
      <w:r w:rsidR="008D521C" w:rsidRPr="008D521C">
        <w:rPr>
          <w:color w:val="000000"/>
        </w:rPr>
        <w:t>) (Renewal)</w:t>
      </w:r>
      <w:r w:rsidR="008D521C">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9429F" w:rsidRDefault="00E9429F">
      <w:pPr>
        <w:pBdr>
          <w:top w:val="single" w:sz="6" w:space="0" w:color="FFFFFF"/>
          <w:left w:val="single" w:sz="6" w:space="0" w:color="FFFFFF"/>
          <w:bottom w:val="single" w:sz="6" w:space="0" w:color="FFFFFF"/>
          <w:right w:val="single" w:sz="6" w:space="0" w:color="FFFFFF"/>
        </w:pBdr>
        <w:rPr>
          <w:color w:val="000000"/>
        </w:rPr>
      </w:pPr>
    </w:p>
    <w:p w:rsidR="00E9429F" w:rsidRDefault="00E9429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4E5911" w:rsidRDefault="00CA4CD6">
      <w:pPr>
        <w:pBdr>
          <w:top w:val="single" w:sz="6" w:space="0" w:color="FFFFFF"/>
          <w:left w:val="single" w:sz="6" w:space="0" w:color="FFFFFF"/>
          <w:bottom w:val="single" w:sz="6" w:space="0" w:color="FFFFFF"/>
          <w:right w:val="single" w:sz="6" w:space="0" w:color="FFFFFF"/>
        </w:pBdr>
        <w:ind w:firstLine="720"/>
      </w:pPr>
      <w:r>
        <w:rPr>
          <w:color w:val="000000"/>
        </w:rPr>
        <w:t>Based on our research for this ICR, on average over the next three years, approximately</w:t>
      </w:r>
      <w:r w:rsidR="004E5911">
        <w:rPr>
          <w:color w:val="000000"/>
        </w:rPr>
        <w:t xml:space="preserve"> 699 </w:t>
      </w:r>
      <w:r>
        <w:rPr>
          <w:color w:val="000000"/>
        </w:rPr>
        <w:t>existing respondents will be subject to the standard.  It is estimated that an additional</w:t>
      </w:r>
      <w:r w:rsidR="004E5911">
        <w:rPr>
          <w:color w:val="000000"/>
        </w:rPr>
        <w:t xml:space="preserve"> 11 </w:t>
      </w:r>
      <w:r>
        <w:rPr>
          <w:color w:val="000000"/>
        </w:rPr>
        <w:t xml:space="preserve">respondents per year will </w:t>
      </w:r>
      <w:r w:rsidRPr="004E5911">
        <w:t>become subject.  The overall</w:t>
      </w:r>
      <w:r w:rsidR="00896B85">
        <w:t>,</w:t>
      </w:r>
      <w:r w:rsidRPr="004E5911">
        <w:t xml:space="preserve"> average number of responden</w:t>
      </w:r>
      <w:r w:rsidR="0035325B" w:rsidRPr="004E5911">
        <w:t>ts, as shown in the table below,</w:t>
      </w:r>
      <w:r w:rsidRPr="004E5911">
        <w:t xml:space="preserve"> is</w:t>
      </w:r>
      <w:r w:rsidR="004E5911" w:rsidRPr="004E5911">
        <w:t xml:space="preserve"> 710 </w:t>
      </w:r>
      <w:r w:rsidRPr="004E5911">
        <w:t>per year.</w:t>
      </w:r>
    </w:p>
    <w:p w:rsidR="00CA4CD6" w:rsidRPr="004E5911"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4E5911">
        <w:t>The number of respondents</w:t>
      </w:r>
      <w:r>
        <w:rPr>
          <w:color w:val="000000"/>
        </w:rPr>
        <w:t xml:space="preserve">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30"/>
        <w:gridCol w:w="1349"/>
        <w:gridCol w:w="2070"/>
        <w:gridCol w:w="1981"/>
        <w:gridCol w:w="1529"/>
      </w:tblGrid>
      <w:tr w:rsidR="00A73600" w:rsidTr="00E9429F">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Default="00CA4CD6" w:rsidP="004E5911">
            <w:pPr>
              <w:keepNext/>
              <w:keepLines/>
              <w:spacing w:line="120" w:lineRule="exact"/>
              <w:rPr>
                <w:color w:val="000000"/>
              </w:rPr>
            </w:pPr>
          </w:p>
          <w:p w:rsidR="00CA4CD6" w:rsidRDefault="00CA4CD6" w:rsidP="004E5911">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E9429F">
        <w:tc>
          <w:tcPr>
            <w:tcW w:w="90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A4CD6" w:rsidP="004E5911">
            <w:pPr>
              <w:pBdr>
                <w:top w:val="single" w:sz="6" w:space="0" w:color="FFFFFF"/>
                <w:left w:val="single" w:sz="6" w:space="0" w:color="FFFFFF"/>
                <w:bottom w:val="single" w:sz="6" w:space="0" w:color="FFFFFF"/>
                <w:right w:val="single" w:sz="6" w:space="0" w:color="FFFFFF"/>
              </w:pBdr>
              <w:rPr>
                <w:sz w:val="20"/>
                <w:szCs w:val="20"/>
              </w:rPr>
            </w:pPr>
          </w:p>
          <w:p w:rsidR="00CA4CD6" w:rsidRPr="00C26DD7" w:rsidRDefault="00CA4CD6" w:rsidP="004E5911">
            <w:pPr>
              <w:pBdr>
                <w:top w:val="single" w:sz="6" w:space="0" w:color="FFFFFF"/>
                <w:left w:val="single" w:sz="6" w:space="0" w:color="FFFFFF"/>
                <w:bottom w:val="single" w:sz="6" w:space="0" w:color="FFFFFF"/>
                <w:right w:val="single" w:sz="6" w:space="0" w:color="FFFFFF"/>
              </w:pBdr>
              <w:spacing w:after="52"/>
              <w:jc w:val="center"/>
              <w:rPr>
                <w:sz w:val="20"/>
                <w:szCs w:val="20"/>
              </w:rPr>
            </w:pPr>
            <w:r w:rsidRPr="00C26DD7">
              <w:rPr>
                <w:sz w:val="20"/>
                <w:szCs w:val="20"/>
              </w:rPr>
              <w:t>Year</w:t>
            </w:r>
          </w:p>
        </w:tc>
        <w:tc>
          <w:tcPr>
            <w:tcW w:w="153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20"/>
                <w:szCs w:val="20"/>
              </w:rPr>
            </w:pPr>
          </w:p>
          <w:p w:rsidR="00CA4CD6" w:rsidRPr="00C26DD7" w:rsidRDefault="00CA4CD6" w:rsidP="00E9429F">
            <w:pPr>
              <w:pBdr>
                <w:top w:val="single" w:sz="6" w:space="0" w:color="FFFFFF"/>
                <w:left w:val="single" w:sz="6" w:space="0" w:color="FFFFFF"/>
                <w:bottom w:val="single" w:sz="6" w:space="0" w:color="FFFFFF"/>
                <w:right w:val="single" w:sz="6" w:space="0" w:color="FFFFFF"/>
              </w:pBdr>
              <w:jc w:val="center"/>
              <w:rPr>
                <w:sz w:val="20"/>
                <w:szCs w:val="20"/>
              </w:rPr>
            </w:pPr>
            <w:r w:rsidRPr="00C26DD7">
              <w:rPr>
                <w:sz w:val="20"/>
                <w:szCs w:val="20"/>
              </w:rPr>
              <w:t>(A)</w:t>
            </w:r>
          </w:p>
          <w:p w:rsidR="00CA4CD6" w:rsidRPr="00C26DD7" w:rsidRDefault="00CA4CD6" w:rsidP="00E9429F">
            <w:pPr>
              <w:pBdr>
                <w:top w:val="single" w:sz="6" w:space="0" w:color="FFFFFF"/>
                <w:left w:val="single" w:sz="6" w:space="0" w:color="FFFFFF"/>
                <w:bottom w:val="single" w:sz="6" w:space="0" w:color="FFFFFF"/>
                <w:right w:val="single" w:sz="6" w:space="0" w:color="FFFFFF"/>
              </w:pBdr>
              <w:spacing w:after="52"/>
              <w:jc w:val="center"/>
              <w:rPr>
                <w:sz w:val="20"/>
                <w:szCs w:val="20"/>
              </w:rPr>
            </w:pPr>
            <w:r w:rsidRPr="00C26DD7">
              <w:rPr>
                <w:sz w:val="20"/>
                <w:szCs w:val="20"/>
              </w:rPr>
              <w:t xml:space="preserve">Number of New Respondents </w:t>
            </w:r>
            <w:r w:rsidRPr="00C26DD7">
              <w:rPr>
                <w:sz w:val="20"/>
                <w:szCs w:val="20"/>
                <w:vertAlign w:val="superscript"/>
              </w:rPr>
              <w:t>1</w:t>
            </w:r>
          </w:p>
        </w:tc>
        <w:tc>
          <w:tcPr>
            <w:tcW w:w="134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20"/>
                <w:szCs w:val="20"/>
              </w:rPr>
            </w:pPr>
          </w:p>
          <w:p w:rsidR="00CA4CD6" w:rsidRPr="00C26DD7" w:rsidRDefault="00CA4CD6" w:rsidP="004E5911">
            <w:pPr>
              <w:pBdr>
                <w:top w:val="single" w:sz="6" w:space="0" w:color="FFFFFF"/>
                <w:left w:val="single" w:sz="6" w:space="0" w:color="FFFFFF"/>
                <w:bottom w:val="single" w:sz="6" w:space="0" w:color="FFFFFF"/>
                <w:right w:val="single" w:sz="6" w:space="0" w:color="FFFFFF"/>
              </w:pBdr>
              <w:jc w:val="center"/>
              <w:rPr>
                <w:sz w:val="20"/>
                <w:szCs w:val="20"/>
              </w:rPr>
            </w:pPr>
            <w:r w:rsidRPr="00C26DD7">
              <w:rPr>
                <w:sz w:val="20"/>
                <w:szCs w:val="20"/>
              </w:rPr>
              <w:t>(B)</w:t>
            </w:r>
          </w:p>
          <w:p w:rsidR="00CA4CD6" w:rsidRPr="00C26DD7" w:rsidRDefault="00CA4CD6" w:rsidP="00E9429F">
            <w:pPr>
              <w:pBdr>
                <w:top w:val="single" w:sz="6" w:space="0" w:color="FFFFFF"/>
                <w:left w:val="single" w:sz="6" w:space="0" w:color="FFFFFF"/>
                <w:bottom w:val="single" w:sz="6" w:space="0" w:color="FFFFFF"/>
                <w:right w:val="single" w:sz="6" w:space="0" w:color="FFFFFF"/>
              </w:pBdr>
              <w:spacing w:after="52"/>
              <w:jc w:val="center"/>
              <w:rPr>
                <w:sz w:val="20"/>
                <w:szCs w:val="20"/>
              </w:rPr>
            </w:pPr>
            <w:r w:rsidRPr="00C26DD7">
              <w:rPr>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20"/>
                <w:szCs w:val="20"/>
              </w:rPr>
            </w:pPr>
          </w:p>
          <w:p w:rsidR="00CA4CD6" w:rsidRPr="00C26DD7" w:rsidRDefault="00CA4CD6" w:rsidP="004E5911">
            <w:pPr>
              <w:pBdr>
                <w:top w:val="single" w:sz="6" w:space="0" w:color="FFFFFF"/>
                <w:left w:val="single" w:sz="6" w:space="0" w:color="FFFFFF"/>
                <w:bottom w:val="single" w:sz="6" w:space="0" w:color="FFFFFF"/>
                <w:right w:val="single" w:sz="6" w:space="0" w:color="FFFFFF"/>
              </w:pBdr>
              <w:jc w:val="center"/>
              <w:rPr>
                <w:sz w:val="20"/>
                <w:szCs w:val="20"/>
              </w:rPr>
            </w:pPr>
            <w:r w:rsidRPr="00C26DD7">
              <w:rPr>
                <w:sz w:val="20"/>
                <w:szCs w:val="20"/>
              </w:rPr>
              <w:t>(C)</w:t>
            </w:r>
          </w:p>
          <w:p w:rsidR="00CA4CD6" w:rsidRPr="00C26DD7" w:rsidRDefault="00CA4CD6" w:rsidP="00E9429F">
            <w:pPr>
              <w:pBdr>
                <w:top w:val="single" w:sz="6" w:space="0" w:color="FFFFFF"/>
                <w:left w:val="single" w:sz="6" w:space="0" w:color="FFFFFF"/>
                <w:bottom w:val="single" w:sz="6" w:space="0" w:color="FFFFFF"/>
                <w:right w:val="single" w:sz="6" w:space="0" w:color="FFFFFF"/>
              </w:pBdr>
              <w:spacing w:after="52"/>
              <w:jc w:val="center"/>
              <w:rPr>
                <w:sz w:val="20"/>
                <w:szCs w:val="20"/>
              </w:rPr>
            </w:pPr>
            <w:r w:rsidRPr="00C26DD7">
              <w:rPr>
                <w:sz w:val="20"/>
                <w:szCs w:val="20"/>
              </w:rPr>
              <w:t>Number of Existing  Respondents that keep records but do not submit reports</w:t>
            </w:r>
          </w:p>
        </w:tc>
        <w:tc>
          <w:tcPr>
            <w:tcW w:w="1981"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20"/>
                <w:szCs w:val="20"/>
              </w:rPr>
            </w:pPr>
          </w:p>
          <w:p w:rsidR="00CA4CD6" w:rsidRPr="00C26DD7" w:rsidRDefault="00CA4CD6" w:rsidP="004E5911">
            <w:pPr>
              <w:pBdr>
                <w:top w:val="single" w:sz="6" w:space="0" w:color="FFFFFF"/>
                <w:left w:val="single" w:sz="6" w:space="0" w:color="FFFFFF"/>
                <w:bottom w:val="single" w:sz="6" w:space="0" w:color="FFFFFF"/>
                <w:right w:val="single" w:sz="6" w:space="0" w:color="FFFFFF"/>
              </w:pBdr>
              <w:jc w:val="center"/>
              <w:rPr>
                <w:sz w:val="20"/>
                <w:szCs w:val="20"/>
              </w:rPr>
            </w:pPr>
            <w:r w:rsidRPr="00C26DD7">
              <w:rPr>
                <w:sz w:val="20"/>
                <w:szCs w:val="20"/>
              </w:rPr>
              <w:t>(D)</w:t>
            </w:r>
          </w:p>
          <w:p w:rsidR="00CA4CD6" w:rsidRPr="00C26DD7" w:rsidRDefault="00CA4CD6" w:rsidP="00E9429F">
            <w:pPr>
              <w:pBdr>
                <w:top w:val="single" w:sz="6" w:space="0" w:color="FFFFFF"/>
                <w:left w:val="single" w:sz="6" w:space="0" w:color="FFFFFF"/>
                <w:bottom w:val="single" w:sz="6" w:space="0" w:color="FFFFFF"/>
                <w:right w:val="single" w:sz="6" w:space="0" w:color="FFFFFF"/>
              </w:pBdr>
              <w:spacing w:after="52"/>
              <w:jc w:val="center"/>
              <w:rPr>
                <w:sz w:val="20"/>
                <w:szCs w:val="20"/>
              </w:rPr>
            </w:pPr>
            <w:r w:rsidRPr="00C26DD7">
              <w:rPr>
                <w:sz w:val="20"/>
                <w:szCs w:val="20"/>
              </w:rPr>
              <w:t>Number of Existing Respondents That Are Also New Respondents</w:t>
            </w:r>
          </w:p>
        </w:tc>
        <w:tc>
          <w:tcPr>
            <w:tcW w:w="152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20"/>
                <w:szCs w:val="20"/>
              </w:rPr>
            </w:pPr>
          </w:p>
          <w:p w:rsidR="00CA4CD6" w:rsidRPr="00C26DD7" w:rsidRDefault="00CA4CD6" w:rsidP="004E5911">
            <w:pPr>
              <w:pBdr>
                <w:top w:val="single" w:sz="6" w:space="0" w:color="FFFFFF"/>
                <w:left w:val="single" w:sz="6" w:space="0" w:color="FFFFFF"/>
                <w:bottom w:val="single" w:sz="6" w:space="0" w:color="FFFFFF"/>
                <w:right w:val="single" w:sz="6" w:space="0" w:color="FFFFFF"/>
              </w:pBdr>
              <w:jc w:val="center"/>
              <w:rPr>
                <w:sz w:val="20"/>
                <w:szCs w:val="20"/>
              </w:rPr>
            </w:pPr>
            <w:r w:rsidRPr="00C26DD7">
              <w:rPr>
                <w:sz w:val="20"/>
                <w:szCs w:val="20"/>
              </w:rPr>
              <w:t>(E)</w:t>
            </w:r>
          </w:p>
          <w:p w:rsidR="00CA4CD6" w:rsidRPr="00C26DD7" w:rsidRDefault="00CA4CD6" w:rsidP="00E9429F">
            <w:pPr>
              <w:pBdr>
                <w:top w:val="single" w:sz="6" w:space="0" w:color="FFFFFF"/>
                <w:left w:val="single" w:sz="6" w:space="0" w:color="FFFFFF"/>
                <w:bottom w:val="single" w:sz="6" w:space="0" w:color="FFFFFF"/>
                <w:right w:val="single" w:sz="6" w:space="0" w:color="FFFFFF"/>
              </w:pBdr>
              <w:jc w:val="center"/>
              <w:rPr>
                <w:sz w:val="20"/>
                <w:szCs w:val="20"/>
              </w:rPr>
            </w:pPr>
            <w:r w:rsidRPr="00C26DD7">
              <w:rPr>
                <w:sz w:val="20"/>
                <w:szCs w:val="20"/>
              </w:rPr>
              <w:t>Number of Respondents</w:t>
            </w:r>
          </w:p>
          <w:p w:rsidR="00CA4CD6" w:rsidRPr="00C26DD7" w:rsidRDefault="00CA4CD6" w:rsidP="00E9429F">
            <w:pPr>
              <w:pBdr>
                <w:top w:val="single" w:sz="6" w:space="0" w:color="FFFFFF"/>
                <w:left w:val="single" w:sz="6" w:space="0" w:color="FFFFFF"/>
                <w:bottom w:val="single" w:sz="6" w:space="0" w:color="FFFFFF"/>
                <w:right w:val="single" w:sz="6" w:space="0" w:color="FFFFFF"/>
              </w:pBdr>
              <w:spacing w:after="52"/>
              <w:jc w:val="center"/>
              <w:rPr>
                <w:sz w:val="20"/>
                <w:szCs w:val="20"/>
              </w:rPr>
            </w:pPr>
            <w:r w:rsidRPr="00C26DD7">
              <w:rPr>
                <w:sz w:val="20"/>
                <w:szCs w:val="20"/>
              </w:rPr>
              <w:t>(E=A+B+C-D)</w:t>
            </w:r>
          </w:p>
        </w:tc>
      </w:tr>
      <w:tr w:rsidR="00CA4CD6" w:rsidTr="00E9429F">
        <w:tc>
          <w:tcPr>
            <w:tcW w:w="90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20"/>
                <w:szCs w:val="20"/>
              </w:rPr>
            </w:pPr>
          </w:p>
          <w:p w:rsidR="00CA4CD6" w:rsidRPr="00C26DD7" w:rsidRDefault="00CA4CD6"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1</w:t>
            </w:r>
          </w:p>
        </w:tc>
        <w:tc>
          <w:tcPr>
            <w:tcW w:w="153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A21516"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11</w:t>
            </w:r>
          </w:p>
        </w:tc>
        <w:tc>
          <w:tcPr>
            <w:tcW w:w="134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A21516"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688</w:t>
            </w:r>
          </w:p>
        </w:tc>
        <w:tc>
          <w:tcPr>
            <w:tcW w:w="207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0</w:t>
            </w:r>
          </w:p>
        </w:tc>
        <w:tc>
          <w:tcPr>
            <w:tcW w:w="1981"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0</w:t>
            </w:r>
          </w:p>
        </w:tc>
        <w:tc>
          <w:tcPr>
            <w:tcW w:w="152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699</w:t>
            </w:r>
          </w:p>
        </w:tc>
      </w:tr>
      <w:tr w:rsidR="00CA4CD6" w:rsidTr="00E9429F">
        <w:tc>
          <w:tcPr>
            <w:tcW w:w="90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A4CD6"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A21516"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11</w:t>
            </w:r>
          </w:p>
        </w:tc>
        <w:tc>
          <w:tcPr>
            <w:tcW w:w="134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699</w:t>
            </w:r>
          </w:p>
        </w:tc>
        <w:tc>
          <w:tcPr>
            <w:tcW w:w="207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0</w:t>
            </w:r>
          </w:p>
        </w:tc>
        <w:tc>
          <w:tcPr>
            <w:tcW w:w="1981"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0</w:t>
            </w:r>
          </w:p>
        </w:tc>
        <w:tc>
          <w:tcPr>
            <w:tcW w:w="152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52"/>
              <w:jc w:val="center"/>
              <w:rPr>
                <w:sz w:val="18"/>
                <w:szCs w:val="18"/>
              </w:rPr>
            </w:pPr>
            <w:r w:rsidRPr="00C26DD7">
              <w:rPr>
                <w:sz w:val="18"/>
                <w:szCs w:val="18"/>
              </w:rPr>
              <w:t>710</w:t>
            </w:r>
          </w:p>
        </w:tc>
      </w:tr>
      <w:tr w:rsidR="00CA4CD6" w:rsidTr="00E9429F">
        <w:tc>
          <w:tcPr>
            <w:tcW w:w="90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A4CD6"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3</w:t>
            </w:r>
          </w:p>
        </w:tc>
        <w:tc>
          <w:tcPr>
            <w:tcW w:w="153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A21516"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11</w:t>
            </w:r>
          </w:p>
        </w:tc>
        <w:tc>
          <w:tcPr>
            <w:tcW w:w="134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710</w:t>
            </w:r>
          </w:p>
        </w:tc>
        <w:tc>
          <w:tcPr>
            <w:tcW w:w="207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0</w:t>
            </w:r>
          </w:p>
        </w:tc>
        <w:tc>
          <w:tcPr>
            <w:tcW w:w="1981"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0</w:t>
            </w:r>
          </w:p>
        </w:tc>
        <w:tc>
          <w:tcPr>
            <w:tcW w:w="152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721</w:t>
            </w:r>
          </w:p>
        </w:tc>
      </w:tr>
      <w:tr w:rsidR="00CA4CD6" w:rsidTr="00E9429F">
        <w:tc>
          <w:tcPr>
            <w:tcW w:w="90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A4CD6"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Average</w:t>
            </w:r>
          </w:p>
        </w:tc>
        <w:tc>
          <w:tcPr>
            <w:tcW w:w="153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11</w:t>
            </w:r>
          </w:p>
        </w:tc>
        <w:tc>
          <w:tcPr>
            <w:tcW w:w="134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699</w:t>
            </w:r>
          </w:p>
        </w:tc>
        <w:tc>
          <w:tcPr>
            <w:tcW w:w="2070"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0</w:t>
            </w:r>
          </w:p>
        </w:tc>
        <w:tc>
          <w:tcPr>
            <w:tcW w:w="1981"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0</w:t>
            </w:r>
          </w:p>
        </w:tc>
        <w:tc>
          <w:tcPr>
            <w:tcW w:w="1529" w:type="dxa"/>
            <w:tcBorders>
              <w:top w:val="single" w:sz="4" w:space="0" w:color="auto"/>
              <w:left w:val="single" w:sz="4" w:space="0" w:color="auto"/>
              <w:bottom w:val="single" w:sz="4" w:space="0" w:color="auto"/>
              <w:right w:val="single" w:sz="4" w:space="0" w:color="auto"/>
            </w:tcBorders>
          </w:tcPr>
          <w:p w:rsidR="00CA4CD6" w:rsidRPr="00C26DD7" w:rsidRDefault="00CA4CD6" w:rsidP="004E5911">
            <w:pPr>
              <w:spacing w:line="120" w:lineRule="exact"/>
              <w:rPr>
                <w:sz w:val="18"/>
                <w:szCs w:val="18"/>
              </w:rPr>
            </w:pPr>
          </w:p>
          <w:p w:rsidR="00CA4CD6" w:rsidRPr="00C26DD7" w:rsidRDefault="00C26DD7" w:rsidP="004E5911">
            <w:pPr>
              <w:pBdr>
                <w:top w:val="single" w:sz="6" w:space="0" w:color="FFFFFF"/>
                <w:left w:val="single" w:sz="6" w:space="0" w:color="FFFFFF"/>
                <w:bottom w:val="single" w:sz="6" w:space="0" w:color="FFFFFF"/>
                <w:right w:val="single" w:sz="6" w:space="0" w:color="FFFFFF"/>
              </w:pBdr>
              <w:spacing w:after="72"/>
              <w:jc w:val="center"/>
              <w:rPr>
                <w:sz w:val="18"/>
                <w:szCs w:val="18"/>
              </w:rPr>
            </w:pPr>
            <w:r w:rsidRPr="00C26DD7">
              <w:rPr>
                <w:sz w:val="18"/>
                <w:szCs w:val="18"/>
              </w:rPr>
              <w:t>710</w:t>
            </w:r>
          </w:p>
        </w:tc>
      </w:tr>
    </w:tbl>
    <w:p w:rsidR="00CA4CD6" w:rsidRPr="00A21516"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 xml:space="preserve">New respondent include sources </w:t>
      </w:r>
      <w:r w:rsidRPr="00A21516">
        <w:rPr>
          <w:sz w:val="20"/>
          <w:szCs w:val="20"/>
        </w:rPr>
        <w:t>with constructed, reconstructed and modified affected facilities.  In this standard existing respondent</w:t>
      </w:r>
      <w:r w:rsidR="00A21516" w:rsidRPr="00A21516">
        <w:rPr>
          <w:sz w:val="20"/>
          <w:szCs w:val="20"/>
        </w:rPr>
        <w:t>s submit initial notifications.</w:t>
      </w:r>
    </w:p>
    <w:p w:rsidR="00CA4CD6" w:rsidRPr="00A21516" w:rsidRDefault="00CA4CD6" w:rsidP="00A21516">
      <w:pPr>
        <w:pBdr>
          <w:top w:val="single" w:sz="6" w:space="0" w:color="FFFFFF"/>
          <w:left w:val="single" w:sz="6" w:space="0" w:color="FFFFFF"/>
          <w:bottom w:val="single" w:sz="6" w:space="0" w:color="FFFFFF"/>
          <w:right w:val="single" w:sz="6" w:space="0" w:color="FFFFFF"/>
        </w:pBdr>
        <w:ind w:firstLine="720"/>
      </w:pPr>
    </w:p>
    <w:p w:rsidR="00CA4CD6" w:rsidRPr="00AE1AE5" w:rsidRDefault="002B29A7">
      <w:pPr>
        <w:pBdr>
          <w:top w:val="single" w:sz="6" w:space="0" w:color="FFFFFF"/>
          <w:left w:val="single" w:sz="6" w:space="0" w:color="FFFFFF"/>
          <w:bottom w:val="single" w:sz="6" w:space="0" w:color="FFFFFF"/>
          <w:right w:val="single" w:sz="6" w:space="0" w:color="FFFFFF"/>
        </w:pBdr>
        <w:ind w:firstLine="720"/>
      </w:pPr>
      <w:r w:rsidRPr="00A21516">
        <w:t>C</w:t>
      </w:r>
      <w:r w:rsidR="00CA4CD6" w:rsidRPr="00A21516">
        <w:t>olumn D is subtracted</w:t>
      </w:r>
      <w:r w:rsidRPr="00A21516">
        <w:t xml:space="preserve"> to </w:t>
      </w:r>
      <w:r w:rsidRPr="00AE1AE5">
        <w:t>avoid double-counting respondents</w:t>
      </w:r>
      <w:r w:rsidR="00CA4CD6" w:rsidRPr="00AE1AE5">
        <w:t>.</w:t>
      </w:r>
      <w:r w:rsidRPr="00AE1AE5">
        <w:t xml:space="preserve">  </w:t>
      </w:r>
      <w:r w:rsidR="00CA4CD6" w:rsidRPr="00AE1AE5">
        <w:t>As shown above, the average Number of Respondents over the three year period of this ICR is</w:t>
      </w:r>
      <w:r w:rsidR="00AE1AE5" w:rsidRPr="00AE1AE5">
        <w:t xml:space="preserve"> 710</w:t>
      </w:r>
      <w:r w:rsidR="00507EC5" w:rsidRPr="00AE1AE5">
        <w:t xml:space="preserve">. </w:t>
      </w:r>
    </w:p>
    <w:p w:rsidR="00CA4CD6" w:rsidRPr="00AE1AE5" w:rsidRDefault="00CA4CD6">
      <w:pPr>
        <w:pBdr>
          <w:top w:val="single" w:sz="6" w:space="0" w:color="FFFFFF"/>
          <w:left w:val="single" w:sz="6" w:space="0" w:color="FFFFFF"/>
          <w:bottom w:val="single" w:sz="6" w:space="0" w:color="FFFFFF"/>
          <w:right w:val="single" w:sz="6" w:space="0" w:color="FFFFFF"/>
        </w:pBdr>
      </w:pPr>
    </w:p>
    <w:p w:rsidR="00CA4CD6" w:rsidRPr="00AE1AE5" w:rsidRDefault="00CA4CD6">
      <w:pPr>
        <w:pBdr>
          <w:top w:val="single" w:sz="6" w:space="0" w:color="FFFFFF"/>
          <w:left w:val="single" w:sz="6" w:space="0" w:color="FFFFFF"/>
          <w:bottom w:val="single" w:sz="6" w:space="0" w:color="FFFFFF"/>
          <w:right w:val="single" w:sz="6" w:space="0" w:color="FFFFFF"/>
        </w:pBdr>
        <w:ind w:firstLine="720"/>
      </w:pPr>
      <w:r w:rsidRPr="00AE1AE5">
        <w:t>The total number of annual responses</w:t>
      </w:r>
      <w:r>
        <w:rPr>
          <w:color w:val="000000"/>
        </w:rPr>
        <w:t xml:space="preserve"> per year is calculated using the following table:</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420"/>
        <w:gridCol w:w="1260"/>
        <w:gridCol w:w="1350"/>
        <w:gridCol w:w="1890"/>
        <w:gridCol w:w="1260"/>
      </w:tblGrid>
      <w:tr w:rsidR="00A73600" w:rsidTr="00AE1AE5">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E9429F">
        <w:tc>
          <w:tcPr>
            <w:tcW w:w="342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35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A4CD6" w:rsidTr="00E9429F">
        <w:tc>
          <w:tcPr>
            <w:tcW w:w="3420" w:type="dxa"/>
          </w:tcPr>
          <w:p w:rsidR="00CA4CD6" w:rsidRDefault="00CA4CD6" w:rsidP="00AE1AE5">
            <w:pPr>
              <w:spacing w:line="120" w:lineRule="exact"/>
              <w:rPr>
                <w:color w:val="000000"/>
                <w:sz w:val="18"/>
                <w:szCs w:val="18"/>
              </w:rPr>
            </w:pPr>
          </w:p>
          <w:p w:rsidR="00CA4CD6" w:rsidRDefault="00AE1AE5" w:rsidP="00AE1AE5">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AE1AE5">
              <w:rPr>
                <w:color w:val="000000"/>
                <w:sz w:val="18"/>
                <w:szCs w:val="18"/>
              </w:rPr>
              <w:t>Notification of construction/</w:t>
            </w:r>
            <w:r>
              <w:rPr>
                <w:color w:val="000000"/>
                <w:sz w:val="18"/>
                <w:szCs w:val="18"/>
              </w:rPr>
              <w:t xml:space="preserve"> </w:t>
            </w:r>
            <w:r w:rsidRPr="00AE1AE5">
              <w:rPr>
                <w:color w:val="000000"/>
                <w:sz w:val="18"/>
                <w:szCs w:val="18"/>
              </w:rPr>
              <w:t>reconstruction</w:t>
            </w:r>
          </w:p>
        </w:tc>
        <w:tc>
          <w:tcPr>
            <w:tcW w:w="126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w:t>
            </w:r>
          </w:p>
        </w:tc>
        <w:tc>
          <w:tcPr>
            <w:tcW w:w="135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w:t>
            </w:r>
          </w:p>
        </w:tc>
      </w:tr>
      <w:tr w:rsidR="00CA4CD6" w:rsidTr="00E9429F">
        <w:tc>
          <w:tcPr>
            <w:tcW w:w="3420" w:type="dxa"/>
          </w:tcPr>
          <w:p w:rsidR="00CA4CD6" w:rsidRDefault="00CA4CD6" w:rsidP="00AE1AE5">
            <w:pPr>
              <w:spacing w:line="120" w:lineRule="exact"/>
              <w:rPr>
                <w:color w:val="000000"/>
                <w:sz w:val="18"/>
                <w:szCs w:val="18"/>
              </w:rPr>
            </w:pPr>
          </w:p>
          <w:p w:rsidR="00CA4CD6" w:rsidRDefault="00AE1AE5" w:rsidP="00AE1AE5">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AE1AE5">
              <w:rPr>
                <w:color w:val="000000"/>
                <w:sz w:val="18"/>
                <w:szCs w:val="18"/>
              </w:rPr>
              <w:t>Notification of actual startup</w:t>
            </w:r>
          </w:p>
        </w:tc>
        <w:tc>
          <w:tcPr>
            <w:tcW w:w="126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w:t>
            </w:r>
          </w:p>
        </w:tc>
        <w:tc>
          <w:tcPr>
            <w:tcW w:w="135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AE1AE5" w:rsidP="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w:t>
            </w:r>
          </w:p>
        </w:tc>
      </w:tr>
      <w:tr w:rsidR="00CA4CD6" w:rsidTr="00E9429F">
        <w:tc>
          <w:tcPr>
            <w:tcW w:w="3420" w:type="dxa"/>
          </w:tcPr>
          <w:p w:rsidR="00CA4CD6" w:rsidRDefault="00CA4CD6" w:rsidP="00AE1AE5">
            <w:pPr>
              <w:spacing w:line="120" w:lineRule="exact"/>
              <w:rPr>
                <w:color w:val="000000"/>
                <w:sz w:val="18"/>
                <w:szCs w:val="18"/>
              </w:rPr>
            </w:pPr>
          </w:p>
          <w:p w:rsidR="00CA4CD6" w:rsidRDefault="00AE1AE5" w:rsidP="00AE1AE5">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AE1AE5">
              <w:rPr>
                <w:color w:val="000000"/>
                <w:sz w:val="18"/>
                <w:szCs w:val="18"/>
              </w:rPr>
              <w:t>Notify of initial performance test</w:t>
            </w:r>
          </w:p>
        </w:tc>
        <w:tc>
          <w:tcPr>
            <w:tcW w:w="126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w:t>
            </w:r>
          </w:p>
        </w:tc>
        <w:tc>
          <w:tcPr>
            <w:tcW w:w="135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r w:rsidR="00360960">
              <w:rPr>
                <w:color w:val="000000"/>
                <w:sz w:val="18"/>
                <w:szCs w:val="18"/>
              </w:rPr>
              <w:t>.</w:t>
            </w:r>
            <w:r>
              <w:rPr>
                <w:color w:val="000000"/>
                <w:sz w:val="18"/>
                <w:szCs w:val="18"/>
              </w:rPr>
              <w:t>2</w:t>
            </w:r>
          </w:p>
        </w:tc>
        <w:tc>
          <w:tcPr>
            <w:tcW w:w="189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13.2</w:t>
            </w:r>
          </w:p>
        </w:tc>
      </w:tr>
      <w:tr w:rsidR="00CA4CD6" w:rsidTr="00E9429F">
        <w:tc>
          <w:tcPr>
            <w:tcW w:w="3420" w:type="dxa"/>
          </w:tcPr>
          <w:p w:rsidR="00CA4CD6" w:rsidRDefault="00CA4CD6" w:rsidP="00AE1AE5">
            <w:pPr>
              <w:spacing w:line="120" w:lineRule="exact"/>
              <w:rPr>
                <w:color w:val="000000"/>
                <w:sz w:val="18"/>
                <w:szCs w:val="18"/>
              </w:rPr>
            </w:pPr>
          </w:p>
          <w:p w:rsidR="00CA4CD6" w:rsidRDefault="00AE1AE5" w:rsidP="00AE1AE5">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AE1AE5">
              <w:rPr>
                <w:color w:val="000000"/>
                <w:sz w:val="18"/>
                <w:szCs w:val="18"/>
              </w:rPr>
              <w:t>Notification of demonstration of CMS</w:t>
            </w:r>
          </w:p>
        </w:tc>
        <w:tc>
          <w:tcPr>
            <w:tcW w:w="126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11</w:t>
            </w:r>
          </w:p>
        </w:tc>
        <w:tc>
          <w:tcPr>
            <w:tcW w:w="135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Pr="00390D52" w:rsidRDefault="00CA4CD6">
            <w:pPr>
              <w:spacing w:line="120" w:lineRule="exact"/>
              <w:rPr>
                <w:color w:val="000000"/>
                <w:sz w:val="18"/>
                <w:szCs w:val="18"/>
              </w:rPr>
            </w:pPr>
          </w:p>
          <w:p w:rsidR="00CA4CD6" w:rsidRPr="00390D52"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390D52">
              <w:rPr>
                <w:color w:val="000000"/>
                <w:sz w:val="18"/>
                <w:szCs w:val="18"/>
              </w:rPr>
              <w:t>11</w:t>
            </w:r>
          </w:p>
        </w:tc>
      </w:tr>
      <w:tr w:rsidR="00AE1AE5" w:rsidTr="00E9429F">
        <w:tc>
          <w:tcPr>
            <w:tcW w:w="3420" w:type="dxa"/>
          </w:tcPr>
          <w:p w:rsidR="00AE1AE5" w:rsidRDefault="00AE1AE5" w:rsidP="00AE1AE5">
            <w:pPr>
              <w:spacing w:line="120" w:lineRule="exact"/>
              <w:rPr>
                <w:color w:val="000000"/>
                <w:sz w:val="18"/>
                <w:szCs w:val="18"/>
              </w:rPr>
            </w:pPr>
          </w:p>
          <w:p w:rsidR="00AE1AE5" w:rsidRDefault="00AE1AE5" w:rsidP="00AE1AE5">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lastRenderedPageBreak/>
              <w:t>Semiannual report</w:t>
            </w:r>
          </w:p>
        </w:tc>
        <w:tc>
          <w:tcPr>
            <w:tcW w:w="1260" w:type="dxa"/>
          </w:tcPr>
          <w:p w:rsidR="00AE1AE5" w:rsidRPr="00AE1AE5" w:rsidRDefault="00AE1AE5" w:rsidP="009220B7">
            <w:pPr>
              <w:spacing w:line="120" w:lineRule="exact"/>
              <w:rPr>
                <w:color w:val="000000"/>
                <w:sz w:val="18"/>
                <w:szCs w:val="18"/>
                <w:highlight w:val="yellow"/>
              </w:rPr>
            </w:pPr>
          </w:p>
          <w:p w:rsidR="00AE1AE5" w:rsidRPr="00AE1AE5" w:rsidRDefault="00390D52" w:rsidP="00390D52">
            <w:pPr>
              <w:pBdr>
                <w:top w:val="single" w:sz="6" w:space="0" w:color="FFFFFF"/>
                <w:left w:val="single" w:sz="6" w:space="0" w:color="FFFFFF"/>
                <w:bottom w:val="single" w:sz="6" w:space="0" w:color="FFFFFF"/>
                <w:right w:val="single" w:sz="6" w:space="0" w:color="FFFFFF"/>
              </w:pBdr>
              <w:spacing w:after="52"/>
              <w:jc w:val="center"/>
              <w:rPr>
                <w:color w:val="000000"/>
                <w:sz w:val="18"/>
                <w:szCs w:val="18"/>
                <w:highlight w:val="yellow"/>
              </w:rPr>
            </w:pPr>
            <w:r w:rsidRPr="00390D52">
              <w:rPr>
                <w:color w:val="000000"/>
                <w:sz w:val="18"/>
                <w:szCs w:val="18"/>
              </w:rPr>
              <w:lastRenderedPageBreak/>
              <w:t>559.2</w:t>
            </w:r>
          </w:p>
        </w:tc>
        <w:tc>
          <w:tcPr>
            <w:tcW w:w="1350" w:type="dxa"/>
          </w:tcPr>
          <w:p w:rsidR="00AE1AE5" w:rsidRDefault="00AE1AE5" w:rsidP="009220B7">
            <w:pPr>
              <w:spacing w:line="120" w:lineRule="exact"/>
              <w:rPr>
                <w:color w:val="000000"/>
                <w:sz w:val="18"/>
                <w:szCs w:val="18"/>
              </w:rPr>
            </w:pPr>
          </w:p>
          <w:p w:rsidR="00AE1AE5" w:rsidRDefault="00AE1AE5" w:rsidP="009220B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lastRenderedPageBreak/>
              <w:t>2</w:t>
            </w:r>
          </w:p>
        </w:tc>
        <w:tc>
          <w:tcPr>
            <w:tcW w:w="1890" w:type="dxa"/>
          </w:tcPr>
          <w:p w:rsidR="00AE1AE5" w:rsidRDefault="00AE1AE5" w:rsidP="009220B7">
            <w:pPr>
              <w:spacing w:line="120" w:lineRule="exact"/>
              <w:rPr>
                <w:color w:val="000000"/>
                <w:sz w:val="18"/>
                <w:szCs w:val="18"/>
              </w:rPr>
            </w:pPr>
          </w:p>
          <w:p w:rsidR="00AE1AE5" w:rsidRDefault="00AE1AE5" w:rsidP="009220B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lastRenderedPageBreak/>
              <w:t>0</w:t>
            </w:r>
          </w:p>
        </w:tc>
        <w:tc>
          <w:tcPr>
            <w:tcW w:w="1260" w:type="dxa"/>
          </w:tcPr>
          <w:p w:rsidR="00AE1AE5" w:rsidRPr="00390D52" w:rsidRDefault="00AE1AE5" w:rsidP="009220B7">
            <w:pPr>
              <w:spacing w:line="120" w:lineRule="exact"/>
              <w:rPr>
                <w:color w:val="000000"/>
                <w:sz w:val="18"/>
                <w:szCs w:val="18"/>
              </w:rPr>
            </w:pPr>
          </w:p>
          <w:p w:rsidR="00AE1AE5" w:rsidRPr="00390D52" w:rsidRDefault="00390D52" w:rsidP="00390D5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lastRenderedPageBreak/>
              <w:t>1,118.</w:t>
            </w:r>
            <w:r w:rsidR="00AE1AE5" w:rsidRPr="00390D52">
              <w:rPr>
                <w:color w:val="000000"/>
                <w:sz w:val="18"/>
                <w:szCs w:val="18"/>
              </w:rPr>
              <w:t>4</w:t>
            </w:r>
          </w:p>
        </w:tc>
      </w:tr>
      <w:tr w:rsidR="00CA4CD6" w:rsidTr="00E9429F">
        <w:tc>
          <w:tcPr>
            <w:tcW w:w="3420" w:type="dxa"/>
          </w:tcPr>
          <w:p w:rsidR="00CA4CD6" w:rsidRDefault="00CA4CD6" w:rsidP="00AE1AE5">
            <w:pPr>
              <w:spacing w:line="120" w:lineRule="exact"/>
              <w:rPr>
                <w:color w:val="000000"/>
                <w:sz w:val="18"/>
                <w:szCs w:val="18"/>
              </w:rPr>
            </w:pPr>
          </w:p>
          <w:p w:rsidR="00CA4CD6" w:rsidRDefault="00AE1AE5" w:rsidP="00AE1AE5">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 xml:space="preserve">Quarterly </w:t>
            </w:r>
            <w:r w:rsidRPr="00AE1AE5">
              <w:rPr>
                <w:color w:val="000000"/>
                <w:sz w:val="18"/>
                <w:szCs w:val="18"/>
              </w:rPr>
              <w:t>report</w:t>
            </w:r>
          </w:p>
        </w:tc>
        <w:tc>
          <w:tcPr>
            <w:tcW w:w="1260" w:type="dxa"/>
          </w:tcPr>
          <w:p w:rsidR="00CA4CD6" w:rsidRPr="00AE1AE5" w:rsidRDefault="00CA4CD6">
            <w:pPr>
              <w:spacing w:line="120" w:lineRule="exact"/>
              <w:rPr>
                <w:color w:val="000000"/>
                <w:sz w:val="18"/>
                <w:szCs w:val="18"/>
                <w:highlight w:val="yellow"/>
              </w:rPr>
            </w:pPr>
          </w:p>
          <w:p w:rsidR="00CA4CD6" w:rsidRPr="00AE1AE5" w:rsidRDefault="00390D52">
            <w:pPr>
              <w:pBdr>
                <w:top w:val="single" w:sz="6" w:space="0" w:color="FFFFFF"/>
                <w:left w:val="single" w:sz="6" w:space="0" w:color="FFFFFF"/>
                <w:bottom w:val="single" w:sz="6" w:space="0" w:color="FFFFFF"/>
                <w:right w:val="single" w:sz="6" w:space="0" w:color="FFFFFF"/>
              </w:pBdr>
              <w:spacing w:after="52"/>
              <w:jc w:val="center"/>
              <w:rPr>
                <w:color w:val="000000"/>
                <w:sz w:val="18"/>
                <w:szCs w:val="18"/>
                <w:highlight w:val="yellow"/>
              </w:rPr>
            </w:pPr>
            <w:r w:rsidRPr="00390D52">
              <w:rPr>
                <w:color w:val="000000"/>
                <w:sz w:val="18"/>
                <w:szCs w:val="18"/>
              </w:rPr>
              <w:t>139.8</w:t>
            </w:r>
          </w:p>
        </w:tc>
        <w:tc>
          <w:tcPr>
            <w:tcW w:w="135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1890" w:type="dxa"/>
          </w:tcPr>
          <w:p w:rsidR="00CA4CD6" w:rsidRDefault="00CA4CD6">
            <w:pPr>
              <w:spacing w:line="120" w:lineRule="exact"/>
              <w:rPr>
                <w:color w:val="000000"/>
                <w:sz w:val="18"/>
                <w:szCs w:val="18"/>
              </w:rPr>
            </w:pPr>
          </w:p>
          <w:p w:rsidR="00CA4CD6"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Pr="00390D52" w:rsidRDefault="00CA4CD6">
            <w:pPr>
              <w:spacing w:line="120" w:lineRule="exact"/>
              <w:rPr>
                <w:color w:val="000000"/>
                <w:sz w:val="18"/>
                <w:szCs w:val="18"/>
              </w:rPr>
            </w:pPr>
          </w:p>
          <w:p w:rsidR="00CA4CD6" w:rsidRPr="00390D52" w:rsidRDefault="00AE1AE5">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390D52">
              <w:rPr>
                <w:color w:val="000000"/>
                <w:sz w:val="18"/>
                <w:szCs w:val="18"/>
              </w:rPr>
              <w:t>5</w:t>
            </w:r>
            <w:r w:rsidR="00390D52">
              <w:rPr>
                <w:color w:val="000000"/>
                <w:sz w:val="18"/>
                <w:szCs w:val="18"/>
              </w:rPr>
              <w:t>59.2</w:t>
            </w:r>
          </w:p>
        </w:tc>
      </w:tr>
      <w:tr w:rsidR="00CA4CD6" w:rsidTr="00E9429F">
        <w:tc>
          <w:tcPr>
            <w:tcW w:w="3420" w:type="dxa"/>
          </w:tcPr>
          <w:p w:rsidR="00CA4CD6" w:rsidRDefault="00CA4CD6" w:rsidP="00AE1AE5">
            <w:pPr>
              <w:spacing w:line="120" w:lineRule="exact"/>
              <w:rPr>
                <w:color w:val="000000"/>
                <w:sz w:val="18"/>
                <w:szCs w:val="18"/>
              </w:rPr>
            </w:pPr>
          </w:p>
          <w:p w:rsidR="00CA4CD6" w:rsidRDefault="00CA4CD6" w:rsidP="00AE1AE5">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35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Pr="006F409F" w:rsidRDefault="00CA4CD6">
            <w:pPr>
              <w:spacing w:line="120" w:lineRule="exact"/>
              <w:rPr>
                <w:b/>
                <w:color w:val="000000"/>
                <w:sz w:val="18"/>
                <w:szCs w:val="18"/>
              </w:rPr>
            </w:pPr>
          </w:p>
          <w:p w:rsidR="00CA4CD6" w:rsidRPr="006F409F" w:rsidRDefault="00CA4CD6" w:rsidP="006F409F">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6F409F">
              <w:rPr>
                <w:b/>
                <w:color w:val="000000"/>
                <w:sz w:val="18"/>
                <w:szCs w:val="18"/>
              </w:rPr>
              <w:t>Total</w:t>
            </w:r>
            <w:r w:rsidR="00390D52" w:rsidRPr="006F409F">
              <w:rPr>
                <w:b/>
                <w:color w:val="000000"/>
                <w:sz w:val="18"/>
                <w:szCs w:val="18"/>
              </w:rPr>
              <w:t xml:space="preserve"> </w:t>
            </w:r>
          </w:p>
        </w:tc>
        <w:tc>
          <w:tcPr>
            <w:tcW w:w="1260" w:type="dxa"/>
          </w:tcPr>
          <w:p w:rsidR="00CA4CD6" w:rsidRPr="006F409F" w:rsidRDefault="00CA4CD6">
            <w:pPr>
              <w:spacing w:line="120" w:lineRule="exact"/>
              <w:rPr>
                <w:b/>
                <w:color w:val="000000"/>
                <w:sz w:val="18"/>
                <w:szCs w:val="18"/>
              </w:rPr>
            </w:pPr>
          </w:p>
          <w:p w:rsidR="00CA4CD6" w:rsidRPr="006F409F" w:rsidRDefault="00390D52" w:rsidP="006F409F">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6F409F">
              <w:rPr>
                <w:b/>
                <w:sz w:val="18"/>
                <w:szCs w:val="18"/>
              </w:rPr>
              <w:t>1,72</w:t>
            </w:r>
            <w:r w:rsidR="006F409F" w:rsidRPr="006F409F">
              <w:rPr>
                <w:b/>
                <w:sz w:val="18"/>
                <w:szCs w:val="18"/>
              </w:rPr>
              <w:t>3.8</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390D52"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390D52">
        <w:t>Responses is</w:t>
      </w:r>
      <w:r w:rsidR="00390D52" w:rsidRPr="00390D52">
        <w:t xml:space="preserve"> 1,724</w:t>
      </w:r>
      <w:r w:rsidR="006F409F">
        <w:t xml:space="preserve"> (rounded)</w:t>
      </w:r>
      <w:r w:rsidRPr="00390D52">
        <w:t>.</w:t>
      </w:r>
    </w:p>
    <w:p w:rsidR="00CA4CD6" w:rsidRPr="00390D52" w:rsidRDefault="00CA4CD6">
      <w:pPr>
        <w:pBdr>
          <w:top w:val="single" w:sz="6" w:space="0" w:color="FFFFFF"/>
          <w:left w:val="single" w:sz="6" w:space="0" w:color="FFFFFF"/>
          <w:bottom w:val="single" w:sz="6" w:space="0" w:color="FFFFFF"/>
          <w:right w:val="single" w:sz="6" w:space="0" w:color="FFFFFF"/>
        </w:pBdr>
      </w:pPr>
    </w:p>
    <w:p w:rsidR="00CA4CD6" w:rsidRDefault="00CA4CD6" w:rsidP="008D521C">
      <w:pPr>
        <w:pBdr>
          <w:top w:val="single" w:sz="6" w:space="0" w:color="FFFFFF"/>
          <w:left w:val="single" w:sz="6" w:space="0" w:color="FFFFFF"/>
          <w:bottom w:val="single" w:sz="6" w:space="0" w:color="FFFFFF"/>
          <w:right w:val="single" w:sz="6" w:space="0" w:color="FFFFFF"/>
        </w:pBdr>
        <w:ind w:firstLine="720"/>
        <w:rPr>
          <w:color w:val="FF0000"/>
        </w:rPr>
      </w:pPr>
      <w:r w:rsidRPr="00390D52">
        <w:t>Th</w:t>
      </w:r>
      <w:r w:rsidR="00AE1AE5" w:rsidRPr="00390D52">
        <w:t xml:space="preserve">e total annual labor costs are </w:t>
      </w:r>
      <w:r w:rsidR="00390D52">
        <w:t>$</w:t>
      </w:r>
      <w:r w:rsidR="00390D52" w:rsidRPr="00390D52">
        <w:t>16,458,496</w:t>
      </w:r>
      <w:r w:rsidRPr="00390D52">
        <w:t>.</w:t>
      </w:r>
      <w:r w:rsidR="00507EC5" w:rsidRPr="00390D52">
        <w:t xml:space="preserve">  </w:t>
      </w:r>
      <w:r w:rsidRPr="00390D52">
        <w:t>Details regarding</w:t>
      </w:r>
      <w:r>
        <w:rPr>
          <w:color w:val="000000"/>
        </w:rPr>
        <w:t xml:space="preserve"> these estimates may be found </w:t>
      </w:r>
      <w:r w:rsidR="007A458D">
        <w:rPr>
          <w:color w:val="000000"/>
        </w:rPr>
        <w:t xml:space="preserve">below </w:t>
      </w:r>
      <w:r w:rsidR="0035325B">
        <w:rPr>
          <w:color w:val="000000"/>
        </w:rPr>
        <w:t>in Table 1</w:t>
      </w:r>
      <w:r w:rsidR="008D521C" w:rsidRPr="008D521C">
        <w:rPr>
          <w:color w:val="000000"/>
        </w:rPr>
        <w:t xml:space="preserve">: Annual Respondent Burden and Cost – NSPS for Electric Utility Steam Generating Units (40 CFR Part 60, Subpart </w:t>
      </w:r>
      <w:proofErr w:type="spellStart"/>
      <w:r w:rsidR="008D521C" w:rsidRPr="008D521C">
        <w:rPr>
          <w:color w:val="000000"/>
        </w:rPr>
        <w:t>Da</w:t>
      </w:r>
      <w:proofErr w:type="spellEnd"/>
      <w:r w:rsidR="008D521C" w:rsidRPr="008D521C">
        <w:rPr>
          <w:color w:val="000000"/>
        </w:rPr>
        <w:t>) (Renewal)</w:t>
      </w:r>
      <w:r>
        <w:rPr>
          <w:color w:val="000000"/>
        </w:rPr>
        <w:t>.</w:t>
      </w:r>
      <w:r w:rsidR="008D521C">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Pr="00AE1AE5"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AE1AE5">
        <w:t>The detailed bottom line burden hours and cost calculations for the respondents and the Agency are shown in Tables 1 and 2</w:t>
      </w:r>
      <w:r w:rsidR="00FE2099" w:rsidRPr="00AE1AE5">
        <w:t xml:space="preserve"> below</w:t>
      </w:r>
      <w:r w:rsidRPr="00AE1AE5">
        <w:t>, r</w:t>
      </w:r>
      <w:r>
        <w:rPr>
          <w:color w:val="000000"/>
        </w:rPr>
        <w:t xml:space="preserve">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Pr="00AE1AE5" w:rsidRDefault="00CA4CD6">
      <w:pPr>
        <w:pBdr>
          <w:top w:val="single" w:sz="6" w:space="0" w:color="FFFFFF"/>
          <w:left w:val="single" w:sz="6" w:space="0" w:color="FFFFFF"/>
          <w:bottom w:val="single" w:sz="6" w:space="0" w:color="FFFFFF"/>
          <w:right w:val="single" w:sz="6" w:space="0" w:color="FFFFFF"/>
        </w:pBdr>
      </w:pPr>
    </w:p>
    <w:p w:rsidR="00144F35" w:rsidRPr="00AE1AE5" w:rsidRDefault="00CA4CD6" w:rsidP="0021722B">
      <w:pPr>
        <w:pBdr>
          <w:top w:val="single" w:sz="6" w:space="0" w:color="FFFFFF"/>
          <w:left w:val="single" w:sz="6" w:space="0" w:color="FFFFFF"/>
          <w:bottom w:val="single" w:sz="6" w:space="0" w:color="FFFFFF"/>
          <w:right w:val="single" w:sz="6" w:space="0" w:color="FFFFFF"/>
        </w:pBdr>
        <w:ind w:firstLine="720"/>
      </w:pPr>
      <w:r w:rsidRPr="00AE1AE5">
        <w:t xml:space="preserve">The total annual labor </w:t>
      </w:r>
      <w:r w:rsidR="002C416A" w:rsidRPr="00AE1AE5">
        <w:t>hours are</w:t>
      </w:r>
      <w:r w:rsidR="00390D52">
        <w:t xml:space="preserve"> </w:t>
      </w:r>
      <w:r w:rsidR="00390D52" w:rsidRPr="00390D52">
        <w:t>168,258</w:t>
      </w:r>
      <w:r w:rsidR="008E050B">
        <w:t xml:space="preserve"> </w:t>
      </w:r>
      <w:r w:rsidR="00896B85">
        <w:t xml:space="preserve">hours </w:t>
      </w:r>
      <w:r w:rsidR="008E050B">
        <w:t>at a cost of $16,458,496</w:t>
      </w:r>
      <w:r w:rsidRPr="00AE1AE5">
        <w:t>.</w:t>
      </w:r>
      <w:r w:rsidR="00507EC5" w:rsidRPr="00AE1AE5">
        <w:t xml:space="preserve">  </w:t>
      </w:r>
      <w:r w:rsidRPr="00AE1AE5">
        <w:t xml:space="preserve">Details regarding these estimates may be found </w:t>
      </w:r>
      <w:r w:rsidR="008E050B">
        <w:t xml:space="preserve">below </w:t>
      </w:r>
      <w:r w:rsidRPr="00AE1AE5">
        <w:t>in Table 1</w:t>
      </w:r>
      <w:r w:rsidR="008D521C" w:rsidRPr="00AE1AE5">
        <w:t xml:space="preserve">: Annual Respondent Burden and Cost – NSPS for Electric Utility Steam Generating Units (40 CFR Part 60, Subpart </w:t>
      </w:r>
      <w:proofErr w:type="spellStart"/>
      <w:r w:rsidR="008D521C" w:rsidRPr="00AE1AE5">
        <w:t>Da</w:t>
      </w:r>
      <w:proofErr w:type="spellEnd"/>
      <w:r w:rsidR="008D521C" w:rsidRPr="00AE1AE5">
        <w:t>) (Renewal).</w:t>
      </w:r>
      <w:r w:rsidRPr="00AE1AE5">
        <w:t xml:space="preserve"> </w:t>
      </w:r>
    </w:p>
    <w:p w:rsidR="00144F35" w:rsidRPr="00AE1AE5"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AE1AE5" w:rsidRDefault="00CA4CD6" w:rsidP="0021722B">
      <w:pPr>
        <w:pBdr>
          <w:top w:val="single" w:sz="6" w:space="0" w:color="FFFFFF"/>
          <w:left w:val="single" w:sz="6" w:space="0" w:color="FFFFFF"/>
          <w:bottom w:val="single" w:sz="6" w:space="0" w:color="FFFFFF"/>
          <w:right w:val="single" w:sz="6" w:space="0" w:color="FFFFFF"/>
        </w:pBdr>
        <w:ind w:firstLine="720"/>
      </w:pPr>
      <w:r w:rsidRPr="00AE1AE5">
        <w:t>Furthermore, the annual public reporting and recordkeeping burden for this collection of information is estimated to average</w:t>
      </w:r>
      <w:r w:rsidR="00390D52">
        <w:t xml:space="preserve"> 98 h</w:t>
      </w:r>
      <w:r w:rsidRPr="00AE1AE5">
        <w:t>ours per response</w:t>
      </w:r>
      <w:r w:rsidR="0021722B" w:rsidRPr="00AE1AE5">
        <w:t>.</w:t>
      </w:r>
    </w:p>
    <w:p w:rsidR="0021722B" w:rsidRPr="00AE1AE5"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AE1AE5" w:rsidRDefault="00CA4CD6">
      <w:pPr>
        <w:pBdr>
          <w:top w:val="single" w:sz="6" w:space="0" w:color="FFFFFF"/>
          <w:left w:val="single" w:sz="6" w:space="0" w:color="FFFFFF"/>
          <w:bottom w:val="single" w:sz="6" w:space="0" w:color="FFFFFF"/>
          <w:right w:val="single" w:sz="6" w:space="0" w:color="FFFFFF"/>
        </w:pBdr>
        <w:ind w:firstLine="720"/>
      </w:pPr>
      <w:r w:rsidRPr="00AE1AE5">
        <w:t>The total annual capital/startup and O&amp;M costs to the regulated entity are</w:t>
      </w:r>
      <w:r w:rsidR="00390D52">
        <w:t xml:space="preserve"> </w:t>
      </w:r>
      <w:r w:rsidR="00390D52" w:rsidRPr="00390D52">
        <w:t>$12,685,000</w:t>
      </w:r>
      <w:r w:rsidR="00507EC5" w:rsidRPr="00AE1AE5">
        <w:t xml:space="preserve">.  </w:t>
      </w:r>
      <w:r w:rsidRPr="00AE1AE5">
        <w:t>The cost calculations are detailed in Section 6(b</w:t>
      </w:r>
      <w:proofErr w:type="gramStart"/>
      <w:r w:rsidRPr="00AE1AE5">
        <w:t>)(</w:t>
      </w:r>
      <w:proofErr w:type="gramEnd"/>
      <w:r w:rsidRPr="00AE1AE5">
        <w:t>iii), Capital/Startup vs. Operation and Maintenance (O&amp;M) Costs.</w:t>
      </w:r>
    </w:p>
    <w:p w:rsidR="00CA4CD6" w:rsidRPr="00AE1AE5" w:rsidRDefault="00CA4CD6">
      <w:pPr>
        <w:pBdr>
          <w:top w:val="single" w:sz="6" w:space="0" w:color="FFFFFF"/>
          <w:left w:val="single" w:sz="6" w:space="0" w:color="FFFFFF"/>
          <w:bottom w:val="single" w:sz="6" w:space="0" w:color="FFFFFF"/>
          <w:right w:val="single" w:sz="6" w:space="0" w:color="FFFFFF"/>
        </w:pBdr>
        <w:ind w:firstLine="2160"/>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AE1AE5">
        <w:rPr>
          <w:b/>
          <w:bCs/>
        </w:rPr>
        <w:t>(ii) The Agency</w:t>
      </w:r>
      <w:r>
        <w:rPr>
          <w:b/>
          <w:bCs/>
          <w:color w:val="000000"/>
        </w:rPr>
        <w:t xml:space="preserve">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AE1AE5"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The average annual Age</w:t>
      </w:r>
      <w:r w:rsidRPr="00AE1AE5">
        <w:t xml:space="preserve">ncy burden and cost over next three years is estimated to be </w:t>
      </w:r>
      <w:r w:rsidR="00390D52" w:rsidRPr="00390D52">
        <w:t>16,451</w:t>
      </w:r>
      <w:r w:rsidR="00390D52">
        <w:t xml:space="preserve"> </w:t>
      </w:r>
      <w:r w:rsidRPr="00AE1AE5">
        <w:t>labor hours at a cost of $</w:t>
      </w:r>
      <w:r w:rsidR="00390D52" w:rsidRPr="00390D52">
        <w:t>741,360</w:t>
      </w:r>
      <w:r w:rsidR="00144F35" w:rsidRPr="00AE1AE5">
        <w:t xml:space="preserve">.  See </w:t>
      </w:r>
      <w:r w:rsidR="008E050B">
        <w:t xml:space="preserve">below </w:t>
      </w:r>
      <w:r w:rsidR="00144F35" w:rsidRPr="00AE1AE5">
        <w:t>Table 2</w:t>
      </w:r>
      <w:r w:rsidR="008D521C" w:rsidRPr="00AE1AE5">
        <w:t xml:space="preserve">: Average Annual EPA Burden and Cost – NSPS for Electric Utility Steam Generating Units (40 CFR </w:t>
      </w:r>
      <w:proofErr w:type="gramStart"/>
      <w:r w:rsidR="008D521C" w:rsidRPr="00AE1AE5">
        <w:t>Part</w:t>
      </w:r>
      <w:proofErr w:type="gramEnd"/>
      <w:r w:rsidR="008D521C" w:rsidRPr="00AE1AE5">
        <w:t xml:space="preserve"> 60, Subpart </w:t>
      </w:r>
      <w:proofErr w:type="spellStart"/>
      <w:r w:rsidR="008D521C" w:rsidRPr="00AE1AE5">
        <w:t>Da</w:t>
      </w:r>
      <w:proofErr w:type="spellEnd"/>
      <w:r w:rsidR="008D521C" w:rsidRPr="00AE1AE5">
        <w:t>) (Renewal).</w:t>
      </w:r>
    </w:p>
    <w:p w:rsidR="00CA4CD6" w:rsidRPr="00AE1AE5" w:rsidRDefault="00CA4CD6">
      <w:pPr>
        <w:pBdr>
          <w:top w:val="single" w:sz="6" w:space="0" w:color="FFFFFF"/>
          <w:left w:val="single" w:sz="6" w:space="0" w:color="FFFFFF"/>
          <w:bottom w:val="single" w:sz="6" w:space="0" w:color="FFFFFF"/>
          <w:right w:val="single" w:sz="6" w:space="0" w:color="FFFFFF"/>
        </w:pBdr>
      </w:pPr>
    </w:p>
    <w:p w:rsidR="00CA4CD6" w:rsidRPr="00390D52" w:rsidRDefault="00CA4CD6">
      <w:pPr>
        <w:pBdr>
          <w:top w:val="single" w:sz="6" w:space="0" w:color="FFFFFF"/>
          <w:left w:val="single" w:sz="6" w:space="0" w:color="FFFFFF"/>
          <w:bottom w:val="single" w:sz="6" w:space="0" w:color="FFFFFF"/>
          <w:right w:val="single" w:sz="6" w:space="0" w:color="FFFFFF"/>
        </w:pBdr>
        <w:ind w:firstLine="720"/>
      </w:pPr>
      <w:r>
        <w:rPr>
          <w:b/>
          <w:bCs/>
          <w:color w:val="000000"/>
        </w:rPr>
        <w:t>6(f</w:t>
      </w:r>
      <w:proofErr w:type="gramStart"/>
      <w:r>
        <w:rPr>
          <w:b/>
          <w:bCs/>
          <w:color w:val="000000"/>
        </w:rPr>
        <w:t>)  Reasons</w:t>
      </w:r>
      <w:proofErr w:type="gramEnd"/>
      <w:r>
        <w:rPr>
          <w:b/>
          <w:bCs/>
          <w:color w:val="000000"/>
        </w:rPr>
        <w:t xml:space="preserve"> for Change </w:t>
      </w:r>
      <w:r w:rsidRPr="00390D52">
        <w:rPr>
          <w:b/>
          <w:bCs/>
        </w:rPr>
        <w:t>in Burden</w:t>
      </w:r>
    </w:p>
    <w:p w:rsidR="00CA4CD6" w:rsidRPr="00390D52" w:rsidRDefault="00CA4CD6">
      <w:pPr>
        <w:pBdr>
          <w:top w:val="single" w:sz="6" w:space="0" w:color="FFFFFF"/>
          <w:left w:val="single" w:sz="6" w:space="0" w:color="FFFFFF"/>
          <w:bottom w:val="single" w:sz="6" w:space="0" w:color="FFFFFF"/>
          <w:right w:val="single" w:sz="6" w:space="0" w:color="FFFFFF"/>
        </w:pBdr>
      </w:pPr>
    </w:p>
    <w:p w:rsidR="00390D52" w:rsidRDefault="00390D52" w:rsidP="00861974">
      <w:pPr>
        <w:pBdr>
          <w:top w:val="single" w:sz="6" w:space="0" w:color="FFFFFF"/>
          <w:left w:val="single" w:sz="6" w:space="0" w:color="FFFFFF"/>
          <w:bottom w:val="single" w:sz="6" w:space="0" w:color="FFFFFF"/>
          <w:right w:val="single" w:sz="6" w:space="0" w:color="FFFFFF"/>
        </w:pBdr>
        <w:ind w:firstLine="720"/>
      </w:pPr>
      <w:r>
        <w:t xml:space="preserve">There is an increase </w:t>
      </w:r>
      <w:r w:rsidR="00861974">
        <w:t xml:space="preserve">of </w:t>
      </w:r>
      <w:r w:rsidR="00861974" w:rsidRPr="00861974">
        <w:t>7,419</w:t>
      </w:r>
      <w:r w:rsidR="00861974">
        <w:t xml:space="preserve"> hours </w:t>
      </w:r>
      <w:r>
        <w:t>i</w:t>
      </w:r>
      <w:r w:rsidR="00861974" w:rsidRPr="00861974">
        <w:t>n the total estimated respondent burden compared with the ICR currently</w:t>
      </w:r>
      <w:r w:rsidR="00896B85">
        <w:t>-</w:t>
      </w:r>
      <w:r w:rsidR="00861974" w:rsidRPr="00861974">
        <w:t xml:space="preserve">approved by OMB. </w:t>
      </w:r>
      <w:r w:rsidR="009220B7">
        <w:t xml:space="preserve">There also is an increase in capital/startup and O&amp;M costs as compared to the previous ICR.  All changes </w:t>
      </w:r>
      <w:r>
        <w:t xml:space="preserve">from the most recently approved ICR </w:t>
      </w:r>
      <w:r w:rsidR="009220B7">
        <w:t xml:space="preserve">are </w:t>
      </w:r>
      <w:r>
        <w:t xml:space="preserve">due to an increase in the number of </w:t>
      </w:r>
      <w:r w:rsidR="00AE273A">
        <w:t xml:space="preserve">existing </w:t>
      </w:r>
      <w:r>
        <w:t xml:space="preserve">sources subject to the standard, and </w:t>
      </w:r>
      <w:r w:rsidR="009220B7">
        <w:t xml:space="preserve">are </w:t>
      </w:r>
      <w:r>
        <w:t xml:space="preserve">not due to any program changes.  The number of </w:t>
      </w:r>
      <w:r w:rsidR="00AE273A">
        <w:t xml:space="preserve">existing </w:t>
      </w:r>
      <w:r>
        <w:t xml:space="preserve">sources has been increased to account for industry </w:t>
      </w:r>
      <w:r>
        <w:lastRenderedPageBreak/>
        <w:t>growth that has occurred since the most recent ICR was approved.</w:t>
      </w:r>
    </w:p>
    <w:p w:rsidR="004C7480" w:rsidRDefault="00390D52" w:rsidP="00F22BDE">
      <w:pPr>
        <w:pBdr>
          <w:top w:val="single" w:sz="6" w:space="0" w:color="FFFFFF"/>
          <w:left w:val="single" w:sz="6" w:space="0" w:color="FFFFFF"/>
          <w:bottom w:val="single" w:sz="6" w:space="0" w:color="FFFFFF"/>
          <w:right w:val="single" w:sz="6" w:space="0" w:color="FFFFFF"/>
        </w:pBdr>
        <w:ind w:firstLine="720"/>
      </w:pPr>
      <w:r>
        <w:t xml:space="preserve"> </w:t>
      </w:r>
    </w:p>
    <w:p w:rsidR="00390D52" w:rsidRDefault="00390D52" w:rsidP="00F22BDE">
      <w:pPr>
        <w:pBdr>
          <w:top w:val="single" w:sz="6" w:space="0" w:color="FFFFFF"/>
          <w:left w:val="single" w:sz="6" w:space="0" w:color="FFFFFF"/>
          <w:bottom w:val="single" w:sz="6" w:space="0" w:color="FFFFFF"/>
          <w:right w:val="single" w:sz="6" w:space="0" w:color="FFFFFF"/>
        </w:pBdr>
        <w:ind w:firstLine="720"/>
      </w:pPr>
      <w:r>
        <w:t>There is also an increase in respondent and Agency burden cost</w:t>
      </w:r>
      <w:r w:rsidR="009220B7">
        <w:t>s</w:t>
      </w:r>
      <w:r>
        <w:t xml:space="preserve"> from the most recently approved ICR due to the use of updated labor rates.  This ICR references labor rates from the Bureau of Labor Statistics to calculate respondent burden costs, and references labor rates from OPM to calculate Agency burden costs.</w:t>
      </w:r>
    </w:p>
    <w:p w:rsidR="00390D52" w:rsidRDefault="00390D52" w:rsidP="00390D52">
      <w:pPr>
        <w:pBdr>
          <w:top w:val="single" w:sz="6" w:space="0" w:color="FFFFFF"/>
          <w:left w:val="single" w:sz="6" w:space="0" w:color="FFFFFF"/>
          <w:bottom w:val="single" w:sz="6" w:space="0" w:color="FFFFFF"/>
          <w:right w:val="single" w:sz="6" w:space="0" w:color="FFFFFF"/>
        </w:pBdr>
        <w:ind w:firstLine="720"/>
      </w:pPr>
    </w:p>
    <w:p w:rsidR="00CA4CD6" w:rsidRDefault="00CA4CD6" w:rsidP="004E5911">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rsidP="004E5911">
      <w:pPr>
        <w:keepNext/>
        <w:keepLines/>
        <w:pBdr>
          <w:top w:val="single" w:sz="6" w:space="0" w:color="FFFFFF"/>
          <w:left w:val="single" w:sz="6" w:space="0" w:color="FFFFFF"/>
          <w:bottom w:val="single" w:sz="6" w:space="0" w:color="FFFFFF"/>
          <w:right w:val="single" w:sz="6" w:space="0" w:color="FFFFFF"/>
        </w:pBdr>
        <w:rPr>
          <w:color w:val="000000"/>
        </w:rPr>
      </w:pPr>
    </w:p>
    <w:p w:rsidR="00CA4CD6" w:rsidRDefault="00CA4CD6" w:rsidP="004E5911">
      <w:pPr>
        <w:keepNext/>
        <w:keepLines/>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390D52">
        <w:rPr>
          <w:color w:val="000000"/>
        </w:rPr>
        <w:t xml:space="preserve"> 98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C50A6" w:rsidRPr="00FC50A6">
        <w:t>EPA-HQ-OECA-2013-0019</w:t>
      </w:r>
      <w:r w:rsidR="00FC50A6">
        <w:t>.</w:t>
      </w:r>
      <w:r w:rsidR="00354C15">
        <w:rPr>
          <w:color w:val="FF0000"/>
        </w:rPr>
        <w:t xml:space="preserve">  </w:t>
      </w:r>
      <w:r w:rsidR="00354C15" w:rsidRPr="00354C15">
        <w:t xml:space="preserve">An electronic version of the public docket is available at </w:t>
      </w:r>
      <w:r w:rsidR="00354C15" w:rsidRPr="00F22BDE">
        <w:rPr>
          <w:u w:val="single"/>
        </w:rPr>
        <w:t>http://www.regulations.gov/</w:t>
      </w:r>
      <w:r w:rsidR="00896B85">
        <w:rPr>
          <w:u w:val="single"/>
        </w:rPr>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proofErr w:type="gramStart"/>
      <w:r w:rsidR="00896B85">
        <w:t xml:space="preserve">WJC </w:t>
      </w:r>
      <w:r w:rsidR="00D95819" w:rsidRPr="000E187E">
        <w:t xml:space="preserve"> West</w:t>
      </w:r>
      <w:proofErr w:type="gramEnd"/>
      <w:r w:rsidR="00D95819" w:rsidRPr="000E187E">
        <w:t xml:space="preserve">,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DF7A1A">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FC50A6" w:rsidRPr="00FC50A6">
        <w:t>EPA-HQ-OECA-2013-0019</w:t>
      </w:r>
      <w:r w:rsidR="00FC50A6">
        <w:t xml:space="preserve"> </w:t>
      </w:r>
      <w:r w:rsidR="00CA4CD6">
        <w:t>and OMB Control Number</w:t>
      </w:r>
      <w:r w:rsidR="00FC50A6">
        <w:t xml:space="preserve"> 2060-0023 </w:t>
      </w:r>
      <w:r w:rsidR="00CA4CD6">
        <w:t xml:space="preserve">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Pr="00A27BDB" w:rsidRDefault="00CA4CD6" w:rsidP="00F340DF">
      <w:r>
        <w:rPr>
          <w:color w:val="000000"/>
        </w:rPr>
        <w:lastRenderedPageBreak/>
        <w:t xml:space="preserve">This part is not applicable because no statistical methods were used in collecting this </w:t>
      </w:r>
      <w:r w:rsidR="00D81B06">
        <w:rPr>
          <w:color w:val="000000"/>
        </w:rPr>
        <w:t>i</w:t>
      </w:r>
      <w:r w:rsidRPr="00A27BDB">
        <w:t>nformation.</w:t>
      </w:r>
    </w:p>
    <w:p w:rsidR="00144F35" w:rsidRPr="00A27BDB" w:rsidRDefault="00144F35" w:rsidP="00F340DF">
      <w:pPr>
        <w:sectPr w:rsidR="00144F35" w:rsidRPr="00A27BDB" w:rsidSect="00A7661C">
          <w:headerReference w:type="default" r:id="rId8"/>
          <w:type w:val="continuous"/>
          <w:pgSz w:w="12240" w:h="15840"/>
          <w:pgMar w:top="1350" w:right="1440" w:bottom="1440" w:left="1440" w:header="1350" w:footer="1440" w:gutter="0"/>
          <w:cols w:space="720"/>
          <w:noEndnote/>
          <w:titlePg/>
          <w:docGrid w:linePitch="326"/>
        </w:sectPr>
      </w:pPr>
    </w:p>
    <w:p w:rsidR="00946A4F" w:rsidRDefault="00144F35" w:rsidP="0039019B">
      <w:pPr>
        <w:jc w:val="center"/>
        <w:outlineLvl w:val="0"/>
        <w:rPr>
          <w:b/>
          <w:bCs/>
        </w:rPr>
      </w:pPr>
      <w:r w:rsidRPr="00A27BDB">
        <w:rPr>
          <w:b/>
          <w:bCs/>
        </w:rPr>
        <w:lastRenderedPageBreak/>
        <w:t>Table 1</w:t>
      </w:r>
      <w:r w:rsidR="008D521C" w:rsidRPr="00A27BDB">
        <w:rPr>
          <w:b/>
          <w:bCs/>
        </w:rPr>
        <w:t xml:space="preserve">: Annual Respondent Burden and Cost – NSPS for Electric Utility Steam Generating Units (40 CFR </w:t>
      </w:r>
      <w:proofErr w:type="gramStart"/>
      <w:r w:rsidR="008D521C" w:rsidRPr="00A27BDB">
        <w:rPr>
          <w:b/>
          <w:bCs/>
        </w:rPr>
        <w:t>Part</w:t>
      </w:r>
      <w:proofErr w:type="gramEnd"/>
      <w:r w:rsidR="008D521C" w:rsidRPr="00A27BDB">
        <w:rPr>
          <w:b/>
          <w:bCs/>
        </w:rPr>
        <w:t xml:space="preserve"> 60, Subpart</w:t>
      </w:r>
    </w:p>
    <w:p w:rsidR="00144F35" w:rsidRPr="00A27BDB" w:rsidRDefault="00946A4F" w:rsidP="00946A4F">
      <w:pPr>
        <w:outlineLvl w:val="0"/>
        <w:rPr>
          <w:b/>
          <w:bCs/>
        </w:rPr>
      </w:pPr>
      <w:r>
        <w:rPr>
          <w:b/>
          <w:bCs/>
        </w:rPr>
        <w:t xml:space="preserve">  </w:t>
      </w:r>
      <w:r w:rsidR="008D521C" w:rsidRPr="00A27BDB">
        <w:rPr>
          <w:b/>
          <w:bCs/>
        </w:rPr>
        <w:t xml:space="preserve"> </w:t>
      </w:r>
      <w:proofErr w:type="spellStart"/>
      <w:r w:rsidR="008D521C" w:rsidRPr="00A27BDB">
        <w:rPr>
          <w:b/>
          <w:bCs/>
        </w:rPr>
        <w:t>Da</w:t>
      </w:r>
      <w:proofErr w:type="spellEnd"/>
      <w:r w:rsidR="008D521C" w:rsidRPr="00A27BDB">
        <w:rPr>
          <w:b/>
          <w:bCs/>
        </w:rPr>
        <w:t>) (Renewal)</w:t>
      </w:r>
    </w:p>
    <w:p w:rsidR="00A7661C" w:rsidRPr="00A27BDB" w:rsidRDefault="00A7661C" w:rsidP="00A7661C"/>
    <w:tbl>
      <w:tblPr>
        <w:tblW w:w="14041" w:type="dxa"/>
        <w:jc w:val="center"/>
        <w:tblInd w:w="-555" w:type="dxa"/>
        <w:tblCellMar>
          <w:left w:w="58" w:type="dxa"/>
          <w:right w:w="58" w:type="dxa"/>
        </w:tblCellMar>
        <w:tblLook w:val="04A0"/>
      </w:tblPr>
      <w:tblGrid>
        <w:gridCol w:w="3961"/>
        <w:gridCol w:w="1333"/>
        <w:gridCol w:w="1457"/>
        <w:gridCol w:w="1423"/>
        <w:gridCol w:w="1260"/>
        <w:gridCol w:w="990"/>
        <w:gridCol w:w="1260"/>
        <w:gridCol w:w="991"/>
        <w:gridCol w:w="1366"/>
      </w:tblGrid>
      <w:tr w:rsidR="00E64215" w:rsidRPr="009220B7" w:rsidTr="009D6B8A">
        <w:trPr>
          <w:trHeight w:val="285"/>
          <w:tblHeader/>
          <w:jc w:val="center"/>
        </w:trPr>
        <w:tc>
          <w:tcPr>
            <w:tcW w:w="39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20B7" w:rsidRDefault="009220B7" w:rsidP="005A4A71">
            <w:pPr>
              <w:widowControl/>
              <w:autoSpaceDE/>
              <w:autoSpaceDN/>
              <w:adjustRightInd/>
              <w:jc w:val="center"/>
              <w:rPr>
                <w:b/>
                <w:bCs/>
                <w:sz w:val="20"/>
                <w:szCs w:val="20"/>
              </w:rPr>
            </w:pPr>
            <w:r w:rsidRPr="009220B7">
              <w:rPr>
                <w:b/>
                <w:bCs/>
                <w:sz w:val="20"/>
                <w:szCs w:val="20"/>
              </w:rPr>
              <w:t>Burden Item</w:t>
            </w:r>
          </w:p>
          <w:p w:rsidR="005A4A71" w:rsidRDefault="005A4A71" w:rsidP="009220B7">
            <w:pPr>
              <w:widowControl/>
              <w:autoSpaceDE/>
              <w:autoSpaceDN/>
              <w:adjustRightInd/>
              <w:jc w:val="center"/>
              <w:rPr>
                <w:b/>
                <w:bCs/>
                <w:sz w:val="20"/>
                <w:szCs w:val="20"/>
              </w:rPr>
            </w:pPr>
          </w:p>
          <w:p w:rsidR="005A4A71" w:rsidRPr="009220B7" w:rsidRDefault="005A4A71" w:rsidP="009220B7">
            <w:pPr>
              <w:widowControl/>
              <w:autoSpaceDE/>
              <w:autoSpaceDN/>
              <w:adjustRightInd/>
              <w:jc w:val="center"/>
              <w:rPr>
                <w:b/>
                <w:bCs/>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A</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B</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F</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G</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9220B7" w:rsidRPr="009220B7" w:rsidRDefault="009220B7" w:rsidP="009220B7">
            <w:pPr>
              <w:widowControl/>
              <w:autoSpaceDE/>
              <w:autoSpaceDN/>
              <w:adjustRightInd/>
              <w:jc w:val="center"/>
              <w:rPr>
                <w:b/>
                <w:bCs/>
                <w:sz w:val="20"/>
                <w:szCs w:val="20"/>
              </w:rPr>
            </w:pPr>
            <w:r w:rsidRPr="009220B7">
              <w:rPr>
                <w:b/>
                <w:bCs/>
                <w:sz w:val="20"/>
                <w:szCs w:val="20"/>
              </w:rPr>
              <w:t>H</w:t>
            </w:r>
          </w:p>
        </w:tc>
      </w:tr>
      <w:tr w:rsidR="00E64215" w:rsidRPr="009220B7" w:rsidTr="009D6B8A">
        <w:trPr>
          <w:trHeight w:val="825"/>
          <w:tblHeader/>
          <w:jc w:val="center"/>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9220B7" w:rsidRPr="009220B7" w:rsidRDefault="009220B7" w:rsidP="009220B7">
            <w:pPr>
              <w:widowControl/>
              <w:autoSpaceDE/>
              <w:autoSpaceDN/>
              <w:adjustRightInd/>
              <w:rPr>
                <w:b/>
                <w:bCs/>
                <w:sz w:val="20"/>
                <w:szCs w:val="20"/>
              </w:rPr>
            </w:pPr>
          </w:p>
        </w:tc>
        <w:tc>
          <w:tcPr>
            <w:tcW w:w="1333" w:type="dxa"/>
            <w:tcBorders>
              <w:top w:val="nil"/>
              <w:left w:val="nil"/>
              <w:bottom w:val="single" w:sz="4" w:space="0" w:color="auto"/>
              <w:right w:val="single" w:sz="4" w:space="0" w:color="auto"/>
            </w:tcBorders>
            <w:shd w:val="clear" w:color="auto" w:fill="auto"/>
            <w:vAlign w:val="bottom"/>
            <w:hideMark/>
          </w:tcPr>
          <w:p w:rsidR="009220B7" w:rsidRDefault="00E64215" w:rsidP="009220B7">
            <w:pPr>
              <w:widowControl/>
              <w:autoSpaceDE/>
              <w:autoSpaceDN/>
              <w:adjustRightInd/>
              <w:jc w:val="center"/>
              <w:rPr>
                <w:b/>
                <w:bCs/>
                <w:sz w:val="20"/>
                <w:szCs w:val="20"/>
              </w:rPr>
            </w:pPr>
            <w:r>
              <w:rPr>
                <w:b/>
                <w:bCs/>
                <w:sz w:val="20"/>
                <w:szCs w:val="20"/>
              </w:rPr>
              <w:t>P</w:t>
            </w:r>
            <w:r w:rsidR="009220B7" w:rsidRPr="009220B7">
              <w:rPr>
                <w:b/>
                <w:bCs/>
                <w:sz w:val="20"/>
                <w:szCs w:val="20"/>
              </w:rPr>
              <w:t xml:space="preserve">erson-hours </w:t>
            </w:r>
          </w:p>
          <w:p w:rsidR="00E64215" w:rsidRDefault="009220B7" w:rsidP="009220B7">
            <w:pPr>
              <w:widowControl/>
              <w:autoSpaceDE/>
              <w:autoSpaceDN/>
              <w:adjustRightInd/>
              <w:jc w:val="center"/>
              <w:rPr>
                <w:b/>
                <w:bCs/>
                <w:sz w:val="20"/>
                <w:szCs w:val="20"/>
              </w:rPr>
            </w:pPr>
            <w:r w:rsidRPr="009220B7">
              <w:rPr>
                <w:b/>
                <w:bCs/>
                <w:sz w:val="20"/>
                <w:szCs w:val="20"/>
              </w:rPr>
              <w:t xml:space="preserve">per </w:t>
            </w:r>
          </w:p>
          <w:p w:rsidR="009220B7" w:rsidRDefault="009220B7" w:rsidP="009220B7">
            <w:pPr>
              <w:widowControl/>
              <w:autoSpaceDE/>
              <w:autoSpaceDN/>
              <w:adjustRightInd/>
              <w:jc w:val="center"/>
              <w:rPr>
                <w:b/>
                <w:bCs/>
                <w:sz w:val="20"/>
                <w:szCs w:val="20"/>
              </w:rPr>
            </w:pPr>
            <w:r w:rsidRPr="009220B7">
              <w:rPr>
                <w:b/>
                <w:bCs/>
                <w:sz w:val="20"/>
                <w:szCs w:val="20"/>
              </w:rPr>
              <w:t>occurrence</w:t>
            </w:r>
          </w:p>
          <w:p w:rsidR="00E64215" w:rsidRPr="009220B7" w:rsidRDefault="00E64215" w:rsidP="00E64215">
            <w:pPr>
              <w:widowControl/>
              <w:autoSpaceDE/>
              <w:autoSpaceDN/>
              <w:adjustRightInd/>
              <w:rPr>
                <w:b/>
                <w:bCs/>
                <w:sz w:val="20"/>
                <w:szCs w:val="20"/>
              </w:rPr>
            </w:pPr>
          </w:p>
        </w:tc>
        <w:tc>
          <w:tcPr>
            <w:tcW w:w="1457" w:type="dxa"/>
            <w:tcBorders>
              <w:top w:val="nil"/>
              <w:left w:val="nil"/>
              <w:bottom w:val="single" w:sz="4" w:space="0" w:color="auto"/>
              <w:right w:val="single" w:sz="4" w:space="0" w:color="auto"/>
            </w:tcBorders>
            <w:shd w:val="clear" w:color="auto" w:fill="auto"/>
            <w:vAlign w:val="bottom"/>
            <w:hideMark/>
          </w:tcPr>
          <w:p w:rsidR="009220B7" w:rsidRDefault="009220B7" w:rsidP="009220B7">
            <w:pPr>
              <w:widowControl/>
              <w:autoSpaceDE/>
              <w:autoSpaceDN/>
              <w:adjustRightInd/>
              <w:jc w:val="center"/>
              <w:rPr>
                <w:b/>
                <w:bCs/>
                <w:sz w:val="20"/>
                <w:szCs w:val="20"/>
              </w:rPr>
            </w:pPr>
            <w:r w:rsidRPr="009220B7">
              <w:rPr>
                <w:b/>
                <w:bCs/>
                <w:sz w:val="20"/>
                <w:szCs w:val="20"/>
              </w:rPr>
              <w:t xml:space="preserve">No. of occurrences </w:t>
            </w:r>
          </w:p>
          <w:p w:rsidR="009220B7" w:rsidRDefault="009220B7" w:rsidP="009220B7">
            <w:pPr>
              <w:widowControl/>
              <w:autoSpaceDE/>
              <w:autoSpaceDN/>
              <w:adjustRightInd/>
              <w:jc w:val="center"/>
              <w:rPr>
                <w:b/>
                <w:bCs/>
                <w:sz w:val="20"/>
                <w:szCs w:val="20"/>
              </w:rPr>
            </w:pPr>
            <w:r w:rsidRPr="009220B7">
              <w:rPr>
                <w:b/>
                <w:bCs/>
                <w:sz w:val="20"/>
                <w:szCs w:val="20"/>
              </w:rPr>
              <w:t xml:space="preserve">per respondent </w:t>
            </w:r>
          </w:p>
          <w:p w:rsidR="009220B7" w:rsidRPr="009220B7" w:rsidRDefault="009220B7" w:rsidP="009220B7">
            <w:pPr>
              <w:widowControl/>
              <w:autoSpaceDE/>
              <w:autoSpaceDN/>
              <w:adjustRightInd/>
              <w:jc w:val="center"/>
              <w:rPr>
                <w:b/>
                <w:bCs/>
                <w:sz w:val="20"/>
                <w:szCs w:val="20"/>
              </w:rPr>
            </w:pPr>
            <w:r w:rsidRPr="009220B7">
              <w:rPr>
                <w:b/>
                <w:bCs/>
                <w:sz w:val="20"/>
                <w:szCs w:val="20"/>
              </w:rPr>
              <w:t>per year</w:t>
            </w:r>
          </w:p>
        </w:tc>
        <w:tc>
          <w:tcPr>
            <w:tcW w:w="1423" w:type="dxa"/>
            <w:tcBorders>
              <w:top w:val="nil"/>
              <w:left w:val="nil"/>
              <w:bottom w:val="single" w:sz="4" w:space="0" w:color="auto"/>
              <w:right w:val="single" w:sz="4" w:space="0" w:color="auto"/>
            </w:tcBorders>
            <w:shd w:val="clear" w:color="auto" w:fill="auto"/>
            <w:vAlign w:val="bottom"/>
            <w:hideMark/>
          </w:tcPr>
          <w:p w:rsidR="009220B7" w:rsidRDefault="00E64215" w:rsidP="009220B7">
            <w:pPr>
              <w:widowControl/>
              <w:autoSpaceDE/>
              <w:autoSpaceDN/>
              <w:adjustRightInd/>
              <w:jc w:val="center"/>
              <w:rPr>
                <w:b/>
                <w:bCs/>
                <w:sz w:val="20"/>
                <w:szCs w:val="20"/>
              </w:rPr>
            </w:pPr>
            <w:r>
              <w:rPr>
                <w:b/>
                <w:bCs/>
                <w:sz w:val="20"/>
                <w:szCs w:val="20"/>
              </w:rPr>
              <w:t>P</w:t>
            </w:r>
            <w:r w:rsidR="009220B7" w:rsidRPr="009220B7">
              <w:rPr>
                <w:b/>
                <w:bCs/>
                <w:sz w:val="20"/>
                <w:szCs w:val="20"/>
              </w:rPr>
              <w:t xml:space="preserve">erson-hours </w:t>
            </w:r>
          </w:p>
          <w:p w:rsidR="009220B7" w:rsidRDefault="009220B7" w:rsidP="009220B7">
            <w:pPr>
              <w:widowControl/>
              <w:autoSpaceDE/>
              <w:autoSpaceDN/>
              <w:adjustRightInd/>
              <w:jc w:val="center"/>
              <w:rPr>
                <w:b/>
                <w:bCs/>
                <w:sz w:val="20"/>
                <w:szCs w:val="20"/>
              </w:rPr>
            </w:pPr>
            <w:r w:rsidRPr="009220B7">
              <w:rPr>
                <w:b/>
                <w:bCs/>
                <w:sz w:val="20"/>
                <w:szCs w:val="20"/>
              </w:rPr>
              <w:t xml:space="preserve">per respondent </w:t>
            </w:r>
          </w:p>
          <w:p w:rsidR="00E64215" w:rsidRDefault="009220B7" w:rsidP="009220B7">
            <w:pPr>
              <w:widowControl/>
              <w:autoSpaceDE/>
              <w:autoSpaceDN/>
              <w:adjustRightInd/>
              <w:jc w:val="center"/>
              <w:rPr>
                <w:b/>
                <w:bCs/>
                <w:sz w:val="20"/>
                <w:szCs w:val="20"/>
              </w:rPr>
            </w:pPr>
            <w:r w:rsidRPr="009220B7">
              <w:rPr>
                <w:b/>
                <w:bCs/>
                <w:sz w:val="20"/>
                <w:szCs w:val="20"/>
              </w:rPr>
              <w:t>per year</w:t>
            </w:r>
          </w:p>
          <w:p w:rsidR="009220B7" w:rsidRPr="009220B7" w:rsidRDefault="009220B7" w:rsidP="009220B7">
            <w:pPr>
              <w:widowControl/>
              <w:autoSpaceDE/>
              <w:autoSpaceDN/>
              <w:adjustRightInd/>
              <w:jc w:val="center"/>
              <w:rPr>
                <w:b/>
                <w:bCs/>
                <w:sz w:val="20"/>
                <w:szCs w:val="20"/>
              </w:rPr>
            </w:pPr>
            <w:r w:rsidRPr="009220B7">
              <w:rPr>
                <w:b/>
                <w:bCs/>
                <w:sz w:val="20"/>
                <w:szCs w:val="20"/>
              </w:rPr>
              <w:t xml:space="preserve"> (</w:t>
            </w:r>
            <w:proofErr w:type="spellStart"/>
            <w:r w:rsidRPr="009220B7">
              <w:rPr>
                <w:b/>
                <w:bCs/>
                <w:sz w:val="20"/>
                <w:szCs w:val="20"/>
              </w:rPr>
              <w:t>AxB</w:t>
            </w:r>
            <w:proofErr w:type="spellEnd"/>
            <w:r w:rsidRPr="009220B7">
              <w:rPr>
                <w:b/>
                <w:bCs/>
                <w:sz w:val="20"/>
                <w:szCs w:val="20"/>
              </w:rPr>
              <w:t>)</w:t>
            </w:r>
          </w:p>
        </w:tc>
        <w:tc>
          <w:tcPr>
            <w:tcW w:w="1260" w:type="dxa"/>
            <w:tcBorders>
              <w:top w:val="nil"/>
              <w:left w:val="nil"/>
              <w:bottom w:val="single" w:sz="4" w:space="0" w:color="auto"/>
              <w:right w:val="single" w:sz="4" w:space="0" w:color="auto"/>
            </w:tcBorders>
            <w:shd w:val="clear" w:color="auto" w:fill="auto"/>
            <w:vAlign w:val="bottom"/>
            <w:hideMark/>
          </w:tcPr>
          <w:p w:rsidR="009220B7" w:rsidRDefault="009220B7" w:rsidP="009220B7">
            <w:pPr>
              <w:widowControl/>
              <w:autoSpaceDE/>
              <w:autoSpaceDN/>
              <w:adjustRightInd/>
              <w:jc w:val="center"/>
              <w:rPr>
                <w:b/>
                <w:bCs/>
                <w:sz w:val="20"/>
                <w:szCs w:val="20"/>
              </w:rPr>
            </w:pPr>
            <w:r w:rsidRPr="009220B7">
              <w:rPr>
                <w:b/>
                <w:bCs/>
                <w:sz w:val="20"/>
                <w:szCs w:val="20"/>
              </w:rPr>
              <w:t xml:space="preserve">Respondents </w:t>
            </w:r>
          </w:p>
          <w:p w:rsidR="009220B7" w:rsidRDefault="009220B7" w:rsidP="009220B7">
            <w:pPr>
              <w:widowControl/>
              <w:autoSpaceDE/>
              <w:autoSpaceDN/>
              <w:adjustRightInd/>
              <w:jc w:val="center"/>
              <w:rPr>
                <w:b/>
                <w:bCs/>
                <w:sz w:val="20"/>
                <w:szCs w:val="20"/>
                <w:vertAlign w:val="superscript"/>
              </w:rPr>
            </w:pPr>
            <w:r w:rsidRPr="009220B7">
              <w:rPr>
                <w:b/>
                <w:bCs/>
                <w:sz w:val="20"/>
                <w:szCs w:val="20"/>
              </w:rPr>
              <w:t xml:space="preserve">per year </w:t>
            </w:r>
            <w:r w:rsidRPr="009220B7">
              <w:rPr>
                <w:b/>
                <w:bCs/>
                <w:sz w:val="20"/>
                <w:szCs w:val="20"/>
                <w:vertAlign w:val="superscript"/>
              </w:rPr>
              <w:t>a</w:t>
            </w:r>
          </w:p>
          <w:p w:rsidR="00E64215" w:rsidRDefault="00E64215" w:rsidP="009220B7">
            <w:pPr>
              <w:widowControl/>
              <w:autoSpaceDE/>
              <w:autoSpaceDN/>
              <w:adjustRightInd/>
              <w:jc w:val="center"/>
              <w:rPr>
                <w:b/>
                <w:bCs/>
                <w:sz w:val="20"/>
                <w:szCs w:val="20"/>
                <w:vertAlign w:val="superscript"/>
              </w:rPr>
            </w:pPr>
          </w:p>
          <w:p w:rsidR="00E64215" w:rsidRPr="009220B7" w:rsidRDefault="00E64215" w:rsidP="009220B7">
            <w:pPr>
              <w:widowControl/>
              <w:autoSpaceDE/>
              <w:autoSpaceDN/>
              <w:adjustRightInd/>
              <w:jc w:val="center"/>
              <w:rPr>
                <w:b/>
                <w:bCs/>
                <w:sz w:val="20"/>
                <w:szCs w:val="20"/>
              </w:rPr>
            </w:pPr>
          </w:p>
        </w:tc>
        <w:tc>
          <w:tcPr>
            <w:tcW w:w="990" w:type="dxa"/>
            <w:tcBorders>
              <w:top w:val="nil"/>
              <w:left w:val="nil"/>
              <w:bottom w:val="single" w:sz="4" w:space="0" w:color="auto"/>
              <w:right w:val="single" w:sz="4" w:space="0" w:color="auto"/>
            </w:tcBorders>
            <w:shd w:val="clear" w:color="auto" w:fill="auto"/>
            <w:vAlign w:val="bottom"/>
            <w:hideMark/>
          </w:tcPr>
          <w:p w:rsidR="009220B7" w:rsidRDefault="009220B7" w:rsidP="009220B7">
            <w:pPr>
              <w:widowControl/>
              <w:autoSpaceDE/>
              <w:autoSpaceDN/>
              <w:adjustRightInd/>
              <w:jc w:val="center"/>
              <w:rPr>
                <w:b/>
                <w:bCs/>
                <w:sz w:val="20"/>
                <w:szCs w:val="20"/>
              </w:rPr>
            </w:pPr>
            <w:r w:rsidRPr="009220B7">
              <w:rPr>
                <w:b/>
                <w:bCs/>
                <w:sz w:val="20"/>
                <w:szCs w:val="20"/>
              </w:rPr>
              <w:t xml:space="preserve">Technical hours </w:t>
            </w:r>
          </w:p>
          <w:p w:rsidR="009220B7" w:rsidRPr="009220B7" w:rsidRDefault="009220B7" w:rsidP="009220B7">
            <w:pPr>
              <w:widowControl/>
              <w:autoSpaceDE/>
              <w:autoSpaceDN/>
              <w:adjustRightInd/>
              <w:jc w:val="center"/>
              <w:rPr>
                <w:b/>
                <w:bCs/>
                <w:sz w:val="20"/>
                <w:szCs w:val="20"/>
              </w:rPr>
            </w:pPr>
            <w:r w:rsidRPr="009220B7">
              <w:rPr>
                <w:b/>
                <w:bCs/>
                <w:sz w:val="20"/>
                <w:szCs w:val="20"/>
              </w:rPr>
              <w:t>per year (</w:t>
            </w:r>
            <w:proofErr w:type="spellStart"/>
            <w:r w:rsidRPr="009220B7">
              <w:rPr>
                <w:b/>
                <w:bCs/>
                <w:sz w:val="20"/>
                <w:szCs w:val="20"/>
              </w:rPr>
              <w:t>CxD</w:t>
            </w:r>
            <w:proofErr w:type="spellEnd"/>
            <w:r w:rsidRPr="009220B7">
              <w:rPr>
                <w:b/>
                <w:bCs/>
                <w:sz w:val="20"/>
                <w:szCs w:val="20"/>
              </w:rPr>
              <w:t>)</w:t>
            </w:r>
          </w:p>
        </w:tc>
        <w:tc>
          <w:tcPr>
            <w:tcW w:w="1260" w:type="dxa"/>
            <w:tcBorders>
              <w:top w:val="nil"/>
              <w:left w:val="nil"/>
              <w:bottom w:val="single" w:sz="4" w:space="0" w:color="auto"/>
              <w:right w:val="single" w:sz="4" w:space="0" w:color="auto"/>
            </w:tcBorders>
            <w:shd w:val="clear" w:color="auto" w:fill="auto"/>
            <w:vAlign w:val="bottom"/>
            <w:hideMark/>
          </w:tcPr>
          <w:p w:rsidR="009220B7" w:rsidRDefault="009220B7" w:rsidP="009220B7">
            <w:pPr>
              <w:widowControl/>
              <w:autoSpaceDE/>
              <w:autoSpaceDN/>
              <w:adjustRightInd/>
              <w:jc w:val="center"/>
              <w:rPr>
                <w:b/>
                <w:bCs/>
                <w:sz w:val="20"/>
                <w:szCs w:val="20"/>
              </w:rPr>
            </w:pPr>
            <w:r w:rsidRPr="009220B7">
              <w:rPr>
                <w:b/>
                <w:bCs/>
                <w:sz w:val="20"/>
                <w:szCs w:val="20"/>
              </w:rPr>
              <w:t xml:space="preserve">Management hours </w:t>
            </w:r>
          </w:p>
          <w:p w:rsidR="009220B7" w:rsidRPr="009220B7" w:rsidRDefault="009220B7" w:rsidP="009220B7">
            <w:pPr>
              <w:widowControl/>
              <w:autoSpaceDE/>
              <w:autoSpaceDN/>
              <w:adjustRightInd/>
              <w:jc w:val="center"/>
              <w:rPr>
                <w:b/>
                <w:bCs/>
                <w:sz w:val="20"/>
                <w:szCs w:val="20"/>
              </w:rPr>
            </w:pPr>
            <w:r w:rsidRPr="009220B7">
              <w:rPr>
                <w:b/>
                <w:bCs/>
                <w:sz w:val="20"/>
                <w:szCs w:val="20"/>
              </w:rPr>
              <w:t>per year  (Ex0.05)</w:t>
            </w:r>
          </w:p>
        </w:tc>
        <w:tc>
          <w:tcPr>
            <w:tcW w:w="991" w:type="dxa"/>
            <w:tcBorders>
              <w:top w:val="nil"/>
              <w:left w:val="nil"/>
              <w:bottom w:val="single" w:sz="4" w:space="0" w:color="auto"/>
              <w:right w:val="single" w:sz="4" w:space="0" w:color="auto"/>
            </w:tcBorders>
            <w:shd w:val="clear" w:color="auto" w:fill="auto"/>
            <w:vAlign w:val="bottom"/>
            <w:hideMark/>
          </w:tcPr>
          <w:p w:rsidR="009220B7" w:rsidRDefault="009220B7" w:rsidP="009220B7">
            <w:pPr>
              <w:widowControl/>
              <w:autoSpaceDE/>
              <w:autoSpaceDN/>
              <w:adjustRightInd/>
              <w:jc w:val="center"/>
              <w:rPr>
                <w:b/>
                <w:bCs/>
                <w:sz w:val="20"/>
                <w:szCs w:val="20"/>
              </w:rPr>
            </w:pPr>
            <w:r w:rsidRPr="009220B7">
              <w:rPr>
                <w:b/>
                <w:bCs/>
                <w:sz w:val="20"/>
                <w:szCs w:val="20"/>
              </w:rPr>
              <w:t xml:space="preserve">Clerical hours </w:t>
            </w:r>
          </w:p>
          <w:p w:rsidR="009220B7" w:rsidRPr="009220B7" w:rsidRDefault="009220B7" w:rsidP="009220B7">
            <w:pPr>
              <w:widowControl/>
              <w:autoSpaceDE/>
              <w:autoSpaceDN/>
              <w:adjustRightInd/>
              <w:jc w:val="center"/>
              <w:rPr>
                <w:b/>
                <w:bCs/>
                <w:sz w:val="20"/>
                <w:szCs w:val="20"/>
              </w:rPr>
            </w:pPr>
            <w:r w:rsidRPr="009220B7">
              <w:rPr>
                <w:b/>
                <w:bCs/>
                <w:sz w:val="20"/>
                <w:szCs w:val="20"/>
              </w:rPr>
              <w:t>per year (Ex0.10)</w:t>
            </w:r>
          </w:p>
        </w:tc>
        <w:tc>
          <w:tcPr>
            <w:tcW w:w="1355" w:type="dxa"/>
            <w:tcBorders>
              <w:top w:val="nil"/>
              <w:left w:val="nil"/>
              <w:bottom w:val="single" w:sz="4" w:space="0" w:color="auto"/>
              <w:right w:val="single" w:sz="4" w:space="0" w:color="auto"/>
            </w:tcBorders>
            <w:shd w:val="clear" w:color="auto" w:fill="auto"/>
            <w:vAlign w:val="bottom"/>
            <w:hideMark/>
          </w:tcPr>
          <w:p w:rsidR="009220B7" w:rsidRDefault="009220B7" w:rsidP="009220B7">
            <w:pPr>
              <w:widowControl/>
              <w:autoSpaceDE/>
              <w:autoSpaceDN/>
              <w:adjustRightInd/>
              <w:jc w:val="center"/>
              <w:rPr>
                <w:b/>
                <w:bCs/>
                <w:sz w:val="20"/>
                <w:szCs w:val="20"/>
              </w:rPr>
            </w:pPr>
            <w:r w:rsidRPr="009220B7">
              <w:rPr>
                <w:b/>
                <w:bCs/>
                <w:sz w:val="20"/>
                <w:szCs w:val="20"/>
              </w:rPr>
              <w:t>Total cost</w:t>
            </w:r>
          </w:p>
          <w:p w:rsidR="000B4B54" w:rsidRDefault="009220B7" w:rsidP="009220B7">
            <w:pPr>
              <w:widowControl/>
              <w:autoSpaceDE/>
              <w:autoSpaceDN/>
              <w:adjustRightInd/>
              <w:jc w:val="center"/>
              <w:rPr>
                <w:b/>
                <w:bCs/>
                <w:sz w:val="20"/>
                <w:szCs w:val="20"/>
              </w:rPr>
            </w:pPr>
            <w:r w:rsidRPr="009220B7">
              <w:rPr>
                <w:b/>
                <w:bCs/>
                <w:sz w:val="20"/>
                <w:szCs w:val="20"/>
              </w:rPr>
              <w:t xml:space="preserve">per year </w:t>
            </w:r>
          </w:p>
          <w:p w:rsidR="009220B7" w:rsidRDefault="009220B7" w:rsidP="009220B7">
            <w:pPr>
              <w:widowControl/>
              <w:autoSpaceDE/>
              <w:autoSpaceDN/>
              <w:adjustRightInd/>
              <w:jc w:val="center"/>
              <w:rPr>
                <w:b/>
                <w:bCs/>
                <w:sz w:val="20"/>
                <w:szCs w:val="20"/>
                <w:vertAlign w:val="superscript"/>
              </w:rPr>
            </w:pPr>
            <w:r w:rsidRPr="009220B7">
              <w:rPr>
                <w:b/>
                <w:bCs/>
                <w:sz w:val="20"/>
                <w:szCs w:val="20"/>
              </w:rPr>
              <w:t xml:space="preserve">($) </w:t>
            </w:r>
            <w:r w:rsidRPr="009220B7">
              <w:rPr>
                <w:b/>
                <w:bCs/>
                <w:sz w:val="20"/>
                <w:szCs w:val="20"/>
                <w:vertAlign w:val="superscript"/>
              </w:rPr>
              <w:t>b</w:t>
            </w:r>
          </w:p>
          <w:p w:rsidR="00402502" w:rsidRPr="009220B7" w:rsidRDefault="00402502" w:rsidP="009220B7">
            <w:pPr>
              <w:widowControl/>
              <w:autoSpaceDE/>
              <w:autoSpaceDN/>
              <w:adjustRightInd/>
              <w:jc w:val="center"/>
              <w:rPr>
                <w:b/>
                <w:bCs/>
                <w:sz w:val="20"/>
                <w:szCs w:val="20"/>
              </w:rPr>
            </w:pP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rPr>
                <w:sz w:val="20"/>
                <w:szCs w:val="20"/>
              </w:rPr>
            </w:pPr>
            <w:r w:rsidRPr="009220B7">
              <w:rPr>
                <w:sz w:val="20"/>
                <w:szCs w:val="20"/>
              </w:rPr>
              <w:t>1.  Applications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N/A</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rPr>
                <w:sz w:val="20"/>
                <w:szCs w:val="20"/>
              </w:rPr>
            </w:pPr>
            <w:r w:rsidRPr="009220B7">
              <w:rPr>
                <w:sz w:val="20"/>
                <w:szCs w:val="20"/>
              </w:rPr>
              <w:t>2.  Survey and Studies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N/A</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rPr>
                <w:sz w:val="20"/>
                <w:szCs w:val="20"/>
              </w:rPr>
            </w:pPr>
            <w:r w:rsidRPr="009220B7">
              <w:rPr>
                <w:sz w:val="20"/>
                <w:szCs w:val="20"/>
              </w:rPr>
              <w:t>3.  Reporting requirements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100" w:firstLine="200"/>
              <w:rPr>
                <w:sz w:val="20"/>
                <w:szCs w:val="20"/>
              </w:rPr>
            </w:pPr>
            <w:r w:rsidRPr="009220B7">
              <w:rPr>
                <w:sz w:val="20"/>
                <w:szCs w:val="20"/>
              </w:rPr>
              <w:t>A.  Read instructions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0.55</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1,237.39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100" w:firstLine="200"/>
              <w:rPr>
                <w:sz w:val="20"/>
                <w:szCs w:val="20"/>
              </w:rPr>
            </w:pPr>
            <w:r w:rsidRPr="009220B7">
              <w:rPr>
                <w:sz w:val="20"/>
                <w:szCs w:val="20"/>
              </w:rPr>
              <w:t>B.  Required activities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Initial emissions tests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160</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160</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1,760</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88</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176</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197,981.78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right="-58" w:firstLineChars="269" w:firstLine="538"/>
              <w:rPr>
                <w:sz w:val="20"/>
                <w:szCs w:val="20"/>
              </w:rPr>
            </w:pPr>
            <w:r w:rsidRPr="009220B7">
              <w:rPr>
                <w:sz w:val="20"/>
                <w:szCs w:val="20"/>
              </w:rPr>
              <w:t>Reference Method 9</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4</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30</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120</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1,320</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66</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132</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148,486.34 </w:t>
            </w:r>
          </w:p>
        </w:tc>
      </w:tr>
      <w:tr w:rsidR="00E64215" w:rsidRPr="009220B7" w:rsidTr="009D6B8A">
        <w:trPr>
          <w:cantSplit/>
          <w:trHeight w:val="242"/>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 xml:space="preserve">Report performance test </w:t>
            </w:r>
            <w:r w:rsidRPr="009220B7">
              <w:rPr>
                <w:sz w:val="20"/>
                <w:szCs w:val="20"/>
                <w:vertAlign w:val="superscript"/>
              </w:rPr>
              <w:t>c</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60</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0.2</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132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6.6</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13.2</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14,848.63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100" w:firstLine="200"/>
              <w:rPr>
                <w:sz w:val="20"/>
                <w:szCs w:val="20"/>
              </w:rPr>
            </w:pPr>
            <w:r w:rsidRPr="009220B7">
              <w:rPr>
                <w:sz w:val="20"/>
                <w:szCs w:val="20"/>
              </w:rPr>
              <w:t>C.  Create information</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See 3B</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100" w:firstLine="200"/>
              <w:rPr>
                <w:sz w:val="20"/>
                <w:szCs w:val="20"/>
              </w:rPr>
            </w:pPr>
            <w:r w:rsidRPr="009220B7">
              <w:rPr>
                <w:sz w:val="20"/>
                <w:szCs w:val="20"/>
              </w:rPr>
              <w:t>D.  Gather existing information</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See 3E</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100" w:firstLine="200"/>
              <w:rPr>
                <w:sz w:val="20"/>
                <w:szCs w:val="20"/>
              </w:rPr>
            </w:pPr>
            <w:r w:rsidRPr="009220B7">
              <w:rPr>
                <w:sz w:val="20"/>
                <w:szCs w:val="20"/>
              </w:rPr>
              <w:t>E.  Write report</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E64215">
            <w:pPr>
              <w:widowControl/>
              <w:autoSpaceDE/>
              <w:autoSpaceDN/>
              <w:adjustRightInd/>
              <w:ind w:firstLineChars="269" w:firstLine="538"/>
              <w:rPr>
                <w:sz w:val="20"/>
                <w:szCs w:val="20"/>
              </w:rPr>
            </w:pPr>
            <w:r w:rsidRPr="009220B7">
              <w:rPr>
                <w:sz w:val="20"/>
                <w:szCs w:val="20"/>
              </w:rPr>
              <w:t>Notify of  construction/</w:t>
            </w:r>
            <w:r w:rsidR="00E64215">
              <w:rPr>
                <w:sz w:val="20"/>
                <w:szCs w:val="20"/>
              </w:rPr>
              <w:t>reconstruction</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2.2</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2,474.77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Notify of actual startup</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2.2</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2,474.77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leftChars="236" w:left="568" w:hanging="2"/>
              <w:rPr>
                <w:sz w:val="20"/>
                <w:szCs w:val="20"/>
              </w:rPr>
            </w:pPr>
            <w:r w:rsidRPr="009220B7">
              <w:rPr>
                <w:sz w:val="20"/>
                <w:szCs w:val="20"/>
              </w:rPr>
              <w:t>Notify of initial performance test</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1.2</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2.4</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26.4</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1.32</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2.64</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2,969.73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leftChars="236" w:left="568" w:hanging="2"/>
              <w:rPr>
                <w:sz w:val="20"/>
                <w:szCs w:val="20"/>
              </w:rPr>
            </w:pPr>
            <w:r w:rsidRPr="009220B7">
              <w:rPr>
                <w:sz w:val="20"/>
                <w:szCs w:val="20"/>
              </w:rPr>
              <w:t>Notification of demonstration of</w:t>
            </w:r>
            <w:r>
              <w:rPr>
                <w:sz w:val="20"/>
                <w:szCs w:val="20"/>
              </w:rPr>
              <w:t xml:space="preserve"> CMS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1.1</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2.2</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 xml:space="preserve">2,474.77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Report of performance test</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See 3B</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1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 xml:space="preserve">Semiannual report </w:t>
            </w:r>
            <w:r w:rsidRPr="009220B7">
              <w:rPr>
                <w:sz w:val="20"/>
                <w:szCs w:val="20"/>
                <w:vertAlign w:val="superscript"/>
              </w:rPr>
              <w:t>d</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8</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16</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559.2</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8,947.2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447.36</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894.72</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1,006,467.4</w:t>
            </w:r>
            <w:r w:rsidR="00402502">
              <w:rPr>
                <w:sz w:val="20"/>
                <w:szCs w:val="20"/>
              </w:rPr>
              <w:t>0</w:t>
            </w:r>
            <w:r w:rsidR="009220B7" w:rsidRPr="009220B7">
              <w:rPr>
                <w:sz w:val="20"/>
                <w:szCs w:val="20"/>
              </w:rPr>
              <w:t xml:space="preserve"> </w:t>
            </w:r>
          </w:p>
        </w:tc>
      </w:tr>
      <w:tr w:rsidR="00E64215" w:rsidRPr="009220B7" w:rsidTr="009D6B8A">
        <w:trPr>
          <w:cantSplit/>
          <w:trHeight w:val="242"/>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 xml:space="preserve">Quarterly report </w:t>
            </w:r>
            <w:r w:rsidRPr="009220B7">
              <w:rPr>
                <w:sz w:val="20"/>
                <w:szCs w:val="20"/>
                <w:vertAlign w:val="superscript"/>
              </w:rPr>
              <w:t>e</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8</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4</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32</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139.8</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4,473.6</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223.68</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447.36</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503,233.7</w:t>
            </w:r>
            <w:r w:rsidR="00402502">
              <w:rPr>
                <w:sz w:val="20"/>
                <w:szCs w:val="20"/>
              </w:rPr>
              <w:t>0</w:t>
            </w:r>
            <w:r w:rsidR="009220B7" w:rsidRPr="009220B7">
              <w:rPr>
                <w:sz w:val="20"/>
                <w:szCs w:val="20"/>
              </w:rPr>
              <w:t xml:space="preserve"> </w:t>
            </w:r>
          </w:p>
        </w:tc>
      </w:tr>
      <w:tr w:rsidR="00E64215" w:rsidRPr="00402502" w:rsidTr="009D6B8A">
        <w:trPr>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402502" w:rsidRDefault="00402502" w:rsidP="009220B7">
            <w:pPr>
              <w:widowControl/>
              <w:autoSpaceDE/>
              <w:autoSpaceDN/>
              <w:adjustRightInd/>
              <w:rPr>
                <w:b/>
                <w:i/>
                <w:iCs/>
                <w:sz w:val="20"/>
                <w:szCs w:val="20"/>
              </w:rPr>
            </w:pPr>
            <w:r w:rsidRPr="00402502">
              <w:rPr>
                <w:b/>
                <w:i/>
                <w:iCs/>
                <w:sz w:val="20"/>
                <w:szCs w:val="20"/>
              </w:rPr>
              <w:t>Subtotal for Reporting Requirements</w:t>
            </w:r>
          </w:p>
        </w:tc>
        <w:tc>
          <w:tcPr>
            <w:tcW w:w="1333"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1457"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3241" w:type="dxa"/>
            <w:gridSpan w:val="3"/>
            <w:tcBorders>
              <w:top w:val="single" w:sz="4" w:space="0" w:color="auto"/>
              <w:left w:val="nil"/>
              <w:bottom w:val="single" w:sz="4" w:space="0" w:color="auto"/>
              <w:right w:val="single" w:sz="4" w:space="0" w:color="auto"/>
            </w:tcBorders>
            <w:shd w:val="clear" w:color="auto" w:fill="auto"/>
            <w:hideMark/>
          </w:tcPr>
          <w:p w:rsidR="009220B7" w:rsidRPr="00402502" w:rsidRDefault="009220B7" w:rsidP="009D6B8A">
            <w:pPr>
              <w:widowControl/>
              <w:autoSpaceDE/>
              <w:autoSpaceDN/>
              <w:adjustRightInd/>
              <w:jc w:val="center"/>
              <w:rPr>
                <w:b/>
                <w:sz w:val="20"/>
                <w:szCs w:val="20"/>
              </w:rPr>
            </w:pPr>
            <w:r w:rsidRPr="00402502">
              <w:rPr>
                <w:b/>
                <w:sz w:val="20"/>
                <w:szCs w:val="20"/>
              </w:rPr>
              <w:t>19,24</w:t>
            </w:r>
            <w:r w:rsidR="009D6B8A">
              <w:rPr>
                <w:b/>
                <w:sz w:val="20"/>
                <w:szCs w:val="20"/>
              </w:rPr>
              <w:t>6.63</w:t>
            </w:r>
          </w:p>
        </w:tc>
        <w:tc>
          <w:tcPr>
            <w:tcW w:w="1355" w:type="dxa"/>
            <w:tcBorders>
              <w:top w:val="nil"/>
              <w:left w:val="nil"/>
              <w:bottom w:val="single" w:sz="4" w:space="0" w:color="auto"/>
              <w:right w:val="single" w:sz="4" w:space="0" w:color="auto"/>
            </w:tcBorders>
            <w:shd w:val="clear" w:color="auto" w:fill="auto"/>
            <w:hideMark/>
          </w:tcPr>
          <w:p w:rsidR="009220B7" w:rsidRPr="00402502" w:rsidRDefault="009D6B8A" w:rsidP="009220B7">
            <w:pPr>
              <w:widowControl/>
              <w:autoSpaceDE/>
              <w:autoSpaceDN/>
              <w:adjustRightInd/>
              <w:jc w:val="right"/>
              <w:rPr>
                <w:b/>
                <w:sz w:val="20"/>
                <w:szCs w:val="20"/>
              </w:rPr>
            </w:pPr>
            <w:r>
              <w:rPr>
                <w:b/>
                <w:sz w:val="20"/>
                <w:szCs w:val="20"/>
              </w:rPr>
              <w:t>$1,882,649.</w:t>
            </w:r>
            <w:r w:rsidR="00B148F4">
              <w:rPr>
                <w:b/>
                <w:sz w:val="20"/>
                <w:szCs w:val="20"/>
              </w:rPr>
              <w:t>28</w:t>
            </w:r>
          </w:p>
        </w:tc>
      </w:tr>
      <w:tr w:rsidR="00E64215" w:rsidRPr="009220B7" w:rsidTr="009D6B8A">
        <w:trPr>
          <w:cantSplit/>
          <w:trHeight w:val="170"/>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rPr>
                <w:sz w:val="20"/>
                <w:szCs w:val="20"/>
              </w:rPr>
            </w:pPr>
            <w:r w:rsidRPr="009220B7">
              <w:rPr>
                <w:sz w:val="20"/>
                <w:szCs w:val="20"/>
              </w:rPr>
              <w:t>4.  Recordkeeping requirements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ind w:firstLineChars="100" w:firstLine="200"/>
              <w:rPr>
                <w:sz w:val="20"/>
                <w:szCs w:val="20"/>
              </w:rPr>
            </w:pPr>
            <w:r w:rsidRPr="009220B7">
              <w:rPr>
                <w:sz w:val="20"/>
                <w:szCs w:val="20"/>
              </w:rPr>
              <w:t>A.  Read instructions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r w:rsidRPr="009220B7">
              <w:rPr>
                <w:sz w:val="20"/>
                <w:szCs w:val="20"/>
              </w:rPr>
              <w:t>See 3A</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right"/>
              <w:rPr>
                <w:sz w:val="20"/>
                <w:szCs w:val="20"/>
              </w:rPr>
            </w:pPr>
            <w:r w:rsidRPr="009220B7">
              <w:rPr>
                <w:sz w:val="20"/>
                <w:szCs w:val="20"/>
              </w:rPr>
              <w:t> </w:t>
            </w:r>
          </w:p>
        </w:tc>
      </w:tr>
      <w:tr w:rsidR="00E64215" w:rsidRPr="009220B7" w:rsidTr="009D6B8A">
        <w:trPr>
          <w:cantSplit/>
          <w:trHeight w:val="21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ind w:firstLineChars="100" w:firstLine="200"/>
              <w:rPr>
                <w:sz w:val="20"/>
                <w:szCs w:val="20"/>
              </w:rPr>
            </w:pPr>
            <w:r w:rsidRPr="009220B7">
              <w:rPr>
                <w:sz w:val="20"/>
                <w:szCs w:val="20"/>
              </w:rPr>
              <w:t>B.  Plan activities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r w:rsidRPr="009220B7">
              <w:rPr>
                <w:sz w:val="20"/>
                <w:szCs w:val="20"/>
              </w:rPr>
              <w:t>See 4C</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0B4B54">
            <w:pPr>
              <w:keepNext/>
              <w:keepLines/>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Implement activities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See 3B</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269" w:firstLine="538"/>
              <w:rPr>
                <w:sz w:val="20"/>
                <w:szCs w:val="20"/>
              </w:rPr>
            </w:pPr>
            <w:r w:rsidRPr="009220B7">
              <w:rPr>
                <w:sz w:val="20"/>
                <w:szCs w:val="20"/>
              </w:rPr>
              <w:t>Develop record system</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N/A</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386"/>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leftChars="75" w:left="450" w:hanging="270"/>
              <w:rPr>
                <w:sz w:val="20"/>
                <w:szCs w:val="20"/>
              </w:rPr>
            </w:pPr>
            <w:r w:rsidRPr="009220B7">
              <w:rPr>
                <w:sz w:val="20"/>
                <w:szCs w:val="20"/>
              </w:rPr>
              <w:t>C.  Ti</w:t>
            </w:r>
            <w:r>
              <w:rPr>
                <w:sz w:val="20"/>
                <w:szCs w:val="20"/>
              </w:rPr>
              <w:t xml:space="preserve">me to check computer system and </w:t>
            </w:r>
            <w:r w:rsidRPr="009220B7">
              <w:rPr>
                <w:sz w:val="20"/>
                <w:szCs w:val="20"/>
              </w:rPr>
              <w:t xml:space="preserve">calibrate continuous monitor </w:t>
            </w:r>
            <w:r w:rsidRPr="009220B7">
              <w:rPr>
                <w:sz w:val="20"/>
                <w:szCs w:val="20"/>
                <w:vertAlign w:val="superscript"/>
              </w:rPr>
              <w:t>f</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0.5</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365</w:t>
            </w: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182.5</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710</w:t>
            </w: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129,575</w:t>
            </w: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6,478.75</w:t>
            </w: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12,957.5</w:t>
            </w:r>
          </w:p>
        </w:tc>
        <w:tc>
          <w:tcPr>
            <w:tcW w:w="1355" w:type="dxa"/>
            <w:tcBorders>
              <w:top w:val="nil"/>
              <w:left w:val="nil"/>
              <w:bottom w:val="single" w:sz="4" w:space="0" w:color="auto"/>
              <w:right w:val="single" w:sz="4" w:space="0" w:color="auto"/>
            </w:tcBorders>
            <w:shd w:val="clear" w:color="auto" w:fill="auto"/>
            <w:hideMark/>
          </w:tcPr>
          <w:p w:rsidR="009220B7" w:rsidRPr="009220B7" w:rsidRDefault="009D6B8A" w:rsidP="009220B7">
            <w:pPr>
              <w:widowControl/>
              <w:autoSpaceDE/>
              <w:autoSpaceDN/>
              <w:adjustRightInd/>
              <w:jc w:val="right"/>
              <w:rPr>
                <w:sz w:val="20"/>
                <w:szCs w:val="20"/>
              </w:rPr>
            </w:pPr>
            <w:r>
              <w:rPr>
                <w:sz w:val="20"/>
                <w:szCs w:val="20"/>
              </w:rPr>
              <w:t>$</w:t>
            </w:r>
            <w:r w:rsidR="009220B7" w:rsidRPr="009220B7">
              <w:rPr>
                <w:sz w:val="20"/>
                <w:szCs w:val="20"/>
              </w:rPr>
              <w:t>14,575,846.4</w:t>
            </w:r>
            <w:r w:rsidR="00402502">
              <w:rPr>
                <w:sz w:val="20"/>
                <w:szCs w:val="20"/>
              </w:rPr>
              <w:t>0</w:t>
            </w:r>
            <w:r w:rsidR="009220B7" w:rsidRPr="009220B7">
              <w:rPr>
                <w:sz w:val="20"/>
                <w:szCs w:val="20"/>
              </w:rPr>
              <w:t xml:space="preserve">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100" w:firstLine="200"/>
              <w:rPr>
                <w:sz w:val="20"/>
                <w:szCs w:val="20"/>
              </w:rPr>
            </w:pPr>
            <w:r w:rsidRPr="009220B7">
              <w:rPr>
                <w:sz w:val="20"/>
                <w:szCs w:val="20"/>
              </w:rPr>
              <w:lastRenderedPageBreak/>
              <w:t>D.  Train personnel</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N/A</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cantSplit/>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ind w:firstLineChars="100" w:firstLine="200"/>
              <w:rPr>
                <w:sz w:val="20"/>
                <w:szCs w:val="20"/>
              </w:rPr>
            </w:pPr>
            <w:r w:rsidRPr="009220B7">
              <w:rPr>
                <w:sz w:val="20"/>
                <w:szCs w:val="20"/>
              </w:rPr>
              <w:t>E.  Audits</w:t>
            </w:r>
          </w:p>
        </w:tc>
        <w:tc>
          <w:tcPr>
            <w:tcW w:w="133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r w:rsidRPr="009220B7">
              <w:rPr>
                <w:sz w:val="20"/>
                <w:szCs w:val="20"/>
              </w:rPr>
              <w:t>N/A</w:t>
            </w:r>
          </w:p>
        </w:tc>
        <w:tc>
          <w:tcPr>
            <w:tcW w:w="1457"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991"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center"/>
              <w:rPr>
                <w:sz w:val="20"/>
                <w:szCs w:val="20"/>
              </w:rPr>
            </w:pPr>
          </w:p>
        </w:tc>
        <w:tc>
          <w:tcPr>
            <w:tcW w:w="1355" w:type="dxa"/>
            <w:tcBorders>
              <w:top w:val="nil"/>
              <w:left w:val="nil"/>
              <w:bottom w:val="single" w:sz="4" w:space="0" w:color="auto"/>
              <w:right w:val="single" w:sz="4" w:space="0" w:color="auto"/>
            </w:tcBorders>
            <w:shd w:val="clear" w:color="auto" w:fill="auto"/>
            <w:hideMark/>
          </w:tcPr>
          <w:p w:rsidR="009220B7" w:rsidRPr="009220B7" w:rsidRDefault="009220B7" w:rsidP="009220B7">
            <w:pPr>
              <w:widowControl/>
              <w:autoSpaceDE/>
              <w:autoSpaceDN/>
              <w:adjustRightInd/>
              <w:jc w:val="right"/>
              <w:rPr>
                <w:sz w:val="20"/>
                <w:szCs w:val="20"/>
              </w:rPr>
            </w:pPr>
            <w:r w:rsidRPr="009220B7">
              <w:rPr>
                <w:sz w:val="20"/>
                <w:szCs w:val="20"/>
              </w:rPr>
              <w:t> </w:t>
            </w:r>
          </w:p>
        </w:tc>
      </w:tr>
      <w:tr w:rsidR="00E64215" w:rsidRPr="009220B7" w:rsidTr="009D6B8A">
        <w:trPr>
          <w:trHeight w:val="255"/>
          <w:jc w:val="center"/>
        </w:trPr>
        <w:tc>
          <w:tcPr>
            <w:tcW w:w="3972" w:type="dxa"/>
            <w:tcBorders>
              <w:top w:val="nil"/>
              <w:left w:val="single" w:sz="4" w:space="0" w:color="auto"/>
              <w:bottom w:val="single" w:sz="4" w:space="0" w:color="auto"/>
              <w:right w:val="single" w:sz="4" w:space="0" w:color="auto"/>
            </w:tcBorders>
            <w:shd w:val="clear" w:color="auto" w:fill="auto"/>
            <w:hideMark/>
          </w:tcPr>
          <w:p w:rsidR="009220B7" w:rsidRPr="00402502" w:rsidRDefault="00402502" w:rsidP="009220B7">
            <w:pPr>
              <w:widowControl/>
              <w:autoSpaceDE/>
              <w:autoSpaceDN/>
              <w:adjustRightInd/>
              <w:rPr>
                <w:b/>
                <w:i/>
                <w:iCs/>
                <w:sz w:val="20"/>
                <w:szCs w:val="20"/>
              </w:rPr>
            </w:pPr>
            <w:r w:rsidRPr="00402502">
              <w:rPr>
                <w:b/>
                <w:i/>
                <w:iCs/>
                <w:sz w:val="20"/>
                <w:szCs w:val="20"/>
              </w:rPr>
              <w:t>Subtotal for Recordkeeping Requirements</w:t>
            </w:r>
          </w:p>
        </w:tc>
        <w:tc>
          <w:tcPr>
            <w:tcW w:w="1333"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1457"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1423"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1260" w:type="dxa"/>
            <w:tcBorders>
              <w:top w:val="nil"/>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p>
        </w:tc>
        <w:tc>
          <w:tcPr>
            <w:tcW w:w="3241" w:type="dxa"/>
            <w:gridSpan w:val="3"/>
            <w:tcBorders>
              <w:top w:val="single" w:sz="4" w:space="0" w:color="auto"/>
              <w:left w:val="nil"/>
              <w:bottom w:val="single" w:sz="4" w:space="0" w:color="auto"/>
              <w:right w:val="single" w:sz="4" w:space="0" w:color="auto"/>
            </w:tcBorders>
            <w:shd w:val="clear" w:color="auto" w:fill="auto"/>
            <w:hideMark/>
          </w:tcPr>
          <w:p w:rsidR="009220B7" w:rsidRPr="00402502" w:rsidRDefault="009220B7" w:rsidP="009220B7">
            <w:pPr>
              <w:widowControl/>
              <w:autoSpaceDE/>
              <w:autoSpaceDN/>
              <w:adjustRightInd/>
              <w:jc w:val="center"/>
              <w:rPr>
                <w:b/>
                <w:sz w:val="20"/>
                <w:szCs w:val="20"/>
              </w:rPr>
            </w:pPr>
            <w:r w:rsidRPr="00402502">
              <w:rPr>
                <w:b/>
                <w:sz w:val="20"/>
                <w:szCs w:val="20"/>
              </w:rPr>
              <w:t>149,011</w:t>
            </w:r>
            <w:r w:rsidR="009D6B8A">
              <w:rPr>
                <w:b/>
                <w:sz w:val="20"/>
                <w:szCs w:val="20"/>
              </w:rPr>
              <w:t>.25</w:t>
            </w:r>
          </w:p>
        </w:tc>
        <w:tc>
          <w:tcPr>
            <w:tcW w:w="1355" w:type="dxa"/>
            <w:tcBorders>
              <w:top w:val="nil"/>
              <w:left w:val="nil"/>
              <w:bottom w:val="single" w:sz="4" w:space="0" w:color="auto"/>
              <w:right w:val="single" w:sz="4" w:space="0" w:color="auto"/>
            </w:tcBorders>
            <w:shd w:val="clear" w:color="auto" w:fill="auto"/>
            <w:hideMark/>
          </w:tcPr>
          <w:p w:rsidR="009220B7" w:rsidRPr="00402502" w:rsidRDefault="009D6B8A" w:rsidP="009220B7">
            <w:pPr>
              <w:widowControl/>
              <w:autoSpaceDE/>
              <w:autoSpaceDN/>
              <w:adjustRightInd/>
              <w:jc w:val="right"/>
              <w:rPr>
                <w:b/>
                <w:sz w:val="20"/>
                <w:szCs w:val="20"/>
              </w:rPr>
            </w:pPr>
            <w:r>
              <w:rPr>
                <w:b/>
                <w:sz w:val="20"/>
                <w:szCs w:val="20"/>
              </w:rPr>
              <w:t>$</w:t>
            </w:r>
            <w:r w:rsidR="009220B7" w:rsidRPr="00402502">
              <w:rPr>
                <w:b/>
                <w:sz w:val="20"/>
                <w:szCs w:val="20"/>
              </w:rPr>
              <w:t>14,575,846</w:t>
            </w:r>
            <w:r>
              <w:rPr>
                <w:b/>
                <w:sz w:val="20"/>
                <w:szCs w:val="20"/>
              </w:rPr>
              <w:t>.40</w:t>
            </w:r>
          </w:p>
        </w:tc>
      </w:tr>
      <w:tr w:rsidR="009220B7" w:rsidRPr="009220B7" w:rsidTr="009D6B8A">
        <w:trPr>
          <w:trHeight w:val="255"/>
          <w:jc w:val="center"/>
        </w:trPr>
        <w:tc>
          <w:tcPr>
            <w:tcW w:w="9445" w:type="dxa"/>
            <w:gridSpan w:val="5"/>
            <w:tcBorders>
              <w:top w:val="nil"/>
              <w:left w:val="single" w:sz="4" w:space="0" w:color="auto"/>
              <w:bottom w:val="single" w:sz="4" w:space="0" w:color="auto"/>
              <w:right w:val="single" w:sz="4" w:space="0" w:color="auto"/>
            </w:tcBorders>
            <w:shd w:val="clear" w:color="auto" w:fill="auto"/>
            <w:hideMark/>
          </w:tcPr>
          <w:p w:rsidR="009220B7" w:rsidRPr="009220B7" w:rsidRDefault="009220B7" w:rsidP="007500C8">
            <w:pPr>
              <w:widowControl/>
              <w:autoSpaceDE/>
              <w:autoSpaceDN/>
              <w:adjustRightInd/>
              <w:rPr>
                <w:sz w:val="20"/>
                <w:szCs w:val="20"/>
              </w:rPr>
            </w:pPr>
            <w:r w:rsidRPr="009220B7">
              <w:rPr>
                <w:b/>
                <w:bCs/>
                <w:sz w:val="20"/>
                <w:szCs w:val="20"/>
              </w:rPr>
              <w:t>TOTAL ANNUAL BURDEN AND COST (</w:t>
            </w:r>
            <w:r w:rsidR="007500C8">
              <w:rPr>
                <w:b/>
                <w:bCs/>
                <w:sz w:val="20"/>
                <w:szCs w:val="20"/>
              </w:rPr>
              <w:t>rounded</w:t>
            </w:r>
            <w:r w:rsidRPr="009220B7">
              <w:rPr>
                <w:b/>
                <w:bCs/>
                <w:sz w:val="20"/>
                <w:szCs w:val="20"/>
              </w:rPr>
              <w:t>)</w:t>
            </w:r>
          </w:p>
        </w:tc>
        <w:tc>
          <w:tcPr>
            <w:tcW w:w="3241" w:type="dxa"/>
            <w:gridSpan w:val="3"/>
            <w:tcBorders>
              <w:top w:val="single" w:sz="4" w:space="0" w:color="auto"/>
              <w:left w:val="nil"/>
              <w:bottom w:val="single" w:sz="4" w:space="0" w:color="auto"/>
              <w:right w:val="single" w:sz="4" w:space="0" w:color="auto"/>
            </w:tcBorders>
            <w:shd w:val="clear" w:color="auto" w:fill="auto"/>
            <w:hideMark/>
          </w:tcPr>
          <w:p w:rsidR="009220B7" w:rsidRPr="009D6B8A" w:rsidRDefault="009220B7" w:rsidP="009220B7">
            <w:pPr>
              <w:widowControl/>
              <w:autoSpaceDE/>
              <w:autoSpaceDN/>
              <w:adjustRightInd/>
              <w:jc w:val="center"/>
              <w:rPr>
                <w:b/>
                <w:sz w:val="20"/>
                <w:szCs w:val="20"/>
              </w:rPr>
            </w:pPr>
            <w:r w:rsidRPr="009D6B8A">
              <w:rPr>
                <w:b/>
                <w:sz w:val="20"/>
                <w:szCs w:val="20"/>
              </w:rPr>
              <w:t>168,258</w:t>
            </w:r>
          </w:p>
        </w:tc>
        <w:tc>
          <w:tcPr>
            <w:tcW w:w="1355" w:type="dxa"/>
            <w:tcBorders>
              <w:top w:val="nil"/>
              <w:left w:val="nil"/>
              <w:bottom w:val="single" w:sz="4" w:space="0" w:color="auto"/>
              <w:right w:val="single" w:sz="4" w:space="0" w:color="auto"/>
            </w:tcBorders>
            <w:shd w:val="clear" w:color="auto" w:fill="auto"/>
            <w:hideMark/>
          </w:tcPr>
          <w:p w:rsidR="009220B7" w:rsidRPr="009D6B8A" w:rsidRDefault="00B716FD" w:rsidP="009220B7">
            <w:pPr>
              <w:widowControl/>
              <w:autoSpaceDE/>
              <w:autoSpaceDN/>
              <w:adjustRightInd/>
              <w:jc w:val="right"/>
              <w:rPr>
                <w:b/>
                <w:sz w:val="20"/>
                <w:szCs w:val="20"/>
              </w:rPr>
            </w:pPr>
            <w:r>
              <w:rPr>
                <w:b/>
                <w:sz w:val="20"/>
                <w:szCs w:val="20"/>
              </w:rPr>
              <w:t>$</w:t>
            </w:r>
            <w:r w:rsidR="009220B7" w:rsidRPr="009D6B8A">
              <w:rPr>
                <w:b/>
                <w:sz w:val="20"/>
                <w:szCs w:val="20"/>
              </w:rPr>
              <w:t>16,458,496</w:t>
            </w:r>
          </w:p>
        </w:tc>
      </w:tr>
    </w:tbl>
    <w:p w:rsidR="000B4B54" w:rsidRPr="000B4B54" w:rsidRDefault="000B4B54" w:rsidP="00504745">
      <w:pPr>
        <w:outlineLvl w:val="0"/>
        <w:rPr>
          <w:bCs/>
        </w:rPr>
      </w:pPr>
    </w:p>
    <w:p w:rsidR="000B4B54" w:rsidRPr="00FD5161" w:rsidRDefault="000B4B54" w:rsidP="000B4B54">
      <w:pPr>
        <w:outlineLvl w:val="0"/>
        <w:rPr>
          <w:bCs/>
          <w:sz w:val="20"/>
          <w:szCs w:val="20"/>
        </w:rPr>
      </w:pPr>
      <w:r w:rsidRPr="00FD5161">
        <w:rPr>
          <w:bCs/>
          <w:sz w:val="20"/>
          <w:szCs w:val="20"/>
        </w:rPr>
        <w:t>Assumptions:</w:t>
      </w:r>
    </w:p>
    <w:p w:rsidR="000B4B54" w:rsidRPr="00FD5161" w:rsidRDefault="000B4B54" w:rsidP="000B4B54">
      <w:pPr>
        <w:ind w:left="270" w:hanging="270"/>
        <w:outlineLvl w:val="0"/>
        <w:rPr>
          <w:bCs/>
          <w:sz w:val="20"/>
          <w:szCs w:val="20"/>
        </w:rPr>
      </w:pPr>
      <w:r w:rsidRPr="00B148F4">
        <w:rPr>
          <w:bCs/>
          <w:sz w:val="20"/>
          <w:szCs w:val="20"/>
          <w:vertAlign w:val="superscript"/>
        </w:rPr>
        <w:t>a.</w:t>
      </w:r>
      <w:r w:rsidRPr="00FD5161">
        <w:rPr>
          <w:bCs/>
          <w:sz w:val="20"/>
          <w:szCs w:val="20"/>
        </w:rPr>
        <w:t xml:space="preserve"> We have assumed that the average number of respondents that will be subject to the rule will be 699.  There will be eleven additional new sources per year that will become subject to the rule over the three-year period of this ICR.</w:t>
      </w:r>
    </w:p>
    <w:p w:rsidR="000B4B54" w:rsidRPr="00FD5161" w:rsidRDefault="000B4B54" w:rsidP="000B4B54">
      <w:pPr>
        <w:ind w:left="270" w:hanging="270"/>
        <w:outlineLvl w:val="0"/>
        <w:rPr>
          <w:bCs/>
          <w:sz w:val="20"/>
          <w:szCs w:val="20"/>
        </w:rPr>
      </w:pPr>
      <w:r w:rsidRPr="00B148F4">
        <w:rPr>
          <w:bCs/>
          <w:sz w:val="20"/>
          <w:szCs w:val="20"/>
          <w:vertAlign w:val="superscript"/>
        </w:rPr>
        <w:t>b.</w:t>
      </w:r>
      <w:r w:rsidRPr="00FD5161">
        <w:rPr>
          <w:bCs/>
          <w:sz w:val="20"/>
          <w:szCs w:val="20"/>
        </w:rPr>
        <w:t xml:space="preserve"> This ICR uses the following labor rates: $101.22 for technical, $123.04 for managerial, and $51.18 for clerical labor.  These rates are from the United States Department of Labor, Bureau of Labor Statistics, March 2013, “Table 2. </w:t>
      </w:r>
      <w:proofErr w:type="gramStart"/>
      <w:r w:rsidRPr="00FD5161">
        <w:rPr>
          <w:bCs/>
          <w:sz w:val="20"/>
          <w:szCs w:val="20"/>
        </w:rPr>
        <w:t>Civilian workers, by occupational and industry group.”</w:t>
      </w:r>
      <w:proofErr w:type="gramEnd"/>
      <w:r w:rsidRPr="00FD5161">
        <w:rPr>
          <w:bCs/>
          <w:sz w:val="20"/>
          <w:szCs w:val="20"/>
        </w:rPr>
        <w:t xml:space="preserve">  The rates are from column 1, “Total compensation.”  The rates have been increased by 110 percent to account for the benefit packages available to those employed by private industry.</w:t>
      </w:r>
    </w:p>
    <w:p w:rsidR="000B4B54" w:rsidRPr="00FD5161" w:rsidRDefault="000B4B54" w:rsidP="000B4B54">
      <w:pPr>
        <w:ind w:left="270" w:hanging="270"/>
        <w:outlineLvl w:val="0"/>
        <w:rPr>
          <w:bCs/>
          <w:sz w:val="20"/>
          <w:szCs w:val="20"/>
        </w:rPr>
      </w:pPr>
      <w:r w:rsidRPr="00B148F4">
        <w:rPr>
          <w:bCs/>
          <w:sz w:val="20"/>
          <w:szCs w:val="20"/>
          <w:vertAlign w:val="superscript"/>
        </w:rPr>
        <w:t>c.</w:t>
      </w:r>
      <w:r w:rsidRPr="00FD5161">
        <w:rPr>
          <w:bCs/>
          <w:sz w:val="20"/>
          <w:szCs w:val="20"/>
        </w:rPr>
        <w:t xml:space="preserve"> We have assumed that 20 percent of initial performance test will be repeated due to failure.</w:t>
      </w:r>
    </w:p>
    <w:p w:rsidR="000B4B54" w:rsidRPr="00FD5161" w:rsidRDefault="000B4B54" w:rsidP="000B4B54">
      <w:pPr>
        <w:ind w:left="270" w:hanging="270"/>
        <w:outlineLvl w:val="0"/>
        <w:rPr>
          <w:bCs/>
          <w:sz w:val="20"/>
          <w:szCs w:val="20"/>
        </w:rPr>
      </w:pPr>
      <w:r w:rsidRPr="00B148F4">
        <w:rPr>
          <w:bCs/>
          <w:sz w:val="20"/>
          <w:szCs w:val="20"/>
          <w:vertAlign w:val="superscript"/>
        </w:rPr>
        <w:t>d.</w:t>
      </w:r>
      <w:r w:rsidRPr="00FD5161">
        <w:rPr>
          <w:bCs/>
          <w:sz w:val="20"/>
          <w:szCs w:val="20"/>
        </w:rPr>
        <w:t xml:space="preserve"> We have assumed that 80 percent of respondents will each take 8 hours two times per year to write the semiannual report.</w:t>
      </w:r>
    </w:p>
    <w:p w:rsidR="000B4B54" w:rsidRPr="00FD5161" w:rsidRDefault="000B4B54" w:rsidP="000B4B54">
      <w:pPr>
        <w:ind w:left="270" w:hanging="270"/>
        <w:outlineLvl w:val="0"/>
        <w:rPr>
          <w:bCs/>
          <w:sz w:val="20"/>
          <w:szCs w:val="20"/>
        </w:rPr>
      </w:pPr>
      <w:r w:rsidRPr="00B148F4">
        <w:rPr>
          <w:bCs/>
          <w:sz w:val="20"/>
          <w:szCs w:val="20"/>
          <w:vertAlign w:val="superscript"/>
        </w:rPr>
        <w:t>e.</w:t>
      </w:r>
      <w:r w:rsidRPr="00FD5161">
        <w:rPr>
          <w:bCs/>
          <w:sz w:val="20"/>
          <w:szCs w:val="20"/>
        </w:rPr>
        <w:t xml:space="preserve"> We have assumed that 20 percent of respondents will each take 8 hours four times per year to write the quarterly report.</w:t>
      </w:r>
    </w:p>
    <w:p w:rsidR="0039019B" w:rsidRPr="00FD5161" w:rsidRDefault="000B4B54" w:rsidP="0039019B">
      <w:pPr>
        <w:ind w:left="270" w:hanging="270"/>
        <w:outlineLvl w:val="0"/>
        <w:rPr>
          <w:bCs/>
          <w:sz w:val="20"/>
          <w:szCs w:val="20"/>
        </w:rPr>
      </w:pPr>
      <w:r w:rsidRPr="00B148F4">
        <w:rPr>
          <w:bCs/>
          <w:sz w:val="20"/>
          <w:szCs w:val="20"/>
          <w:vertAlign w:val="superscript"/>
        </w:rPr>
        <w:t>f.</w:t>
      </w:r>
      <w:r w:rsidRPr="00FD5161">
        <w:rPr>
          <w:bCs/>
          <w:sz w:val="20"/>
          <w:szCs w:val="20"/>
        </w:rPr>
        <w:t xml:space="preserve"> We have assumed that each respondent will take 30 minutes each day to check computer system and calibrate continuous monitors.</w:t>
      </w:r>
    </w:p>
    <w:p w:rsidR="00FD5161" w:rsidRDefault="00144F35" w:rsidP="0039019B">
      <w:pPr>
        <w:ind w:left="270" w:hanging="270"/>
        <w:jc w:val="center"/>
        <w:outlineLvl w:val="0"/>
        <w:rPr>
          <w:b/>
          <w:bCs/>
        </w:rPr>
      </w:pPr>
      <w:r w:rsidRPr="00A27BDB">
        <w:rPr>
          <w:b/>
          <w:bCs/>
        </w:rPr>
        <w:br w:type="page"/>
      </w:r>
      <w:r w:rsidRPr="00A27BDB">
        <w:rPr>
          <w:b/>
          <w:bCs/>
        </w:rPr>
        <w:lastRenderedPageBreak/>
        <w:t>Table 2</w:t>
      </w:r>
      <w:r w:rsidR="008D521C" w:rsidRPr="00A27BDB">
        <w:rPr>
          <w:b/>
          <w:bCs/>
        </w:rPr>
        <w:t xml:space="preserve">: Average Annual EPA Burden and Cost – NSPS for Electric Utility Steam Generating Units (40 CFR </w:t>
      </w:r>
      <w:proofErr w:type="gramStart"/>
      <w:r w:rsidR="008D521C" w:rsidRPr="00A27BDB">
        <w:rPr>
          <w:b/>
          <w:bCs/>
        </w:rPr>
        <w:t>Part</w:t>
      </w:r>
      <w:proofErr w:type="gramEnd"/>
      <w:r w:rsidR="008D521C" w:rsidRPr="00A27BDB">
        <w:rPr>
          <w:b/>
          <w:bCs/>
        </w:rPr>
        <w:t xml:space="preserve"> 60, Subpart</w:t>
      </w:r>
    </w:p>
    <w:p w:rsidR="00144F35" w:rsidRPr="00A27BDB" w:rsidRDefault="00FD5161" w:rsidP="00FD5161">
      <w:pPr>
        <w:ind w:left="270" w:hanging="270"/>
        <w:outlineLvl w:val="0"/>
        <w:rPr>
          <w:b/>
          <w:bCs/>
        </w:rPr>
      </w:pPr>
      <w:r>
        <w:rPr>
          <w:b/>
          <w:bCs/>
        </w:rPr>
        <w:t xml:space="preserve"> </w:t>
      </w:r>
      <w:r w:rsidR="008D521C" w:rsidRPr="00A27BDB">
        <w:rPr>
          <w:b/>
          <w:bCs/>
        </w:rPr>
        <w:t xml:space="preserve"> </w:t>
      </w:r>
      <w:proofErr w:type="spellStart"/>
      <w:r w:rsidR="008D521C" w:rsidRPr="00A27BDB">
        <w:rPr>
          <w:b/>
          <w:bCs/>
        </w:rPr>
        <w:t>Da</w:t>
      </w:r>
      <w:proofErr w:type="spellEnd"/>
      <w:r w:rsidR="008D521C" w:rsidRPr="00A27BDB">
        <w:rPr>
          <w:b/>
          <w:bCs/>
        </w:rPr>
        <w:t>) (Renewal)</w:t>
      </w:r>
    </w:p>
    <w:p w:rsidR="00144F35" w:rsidRPr="00A27BDB" w:rsidRDefault="00144F35" w:rsidP="00F340DF">
      <w:pPr>
        <w:rPr>
          <w:b/>
          <w:bCs/>
        </w:rPr>
      </w:pPr>
    </w:p>
    <w:tbl>
      <w:tblPr>
        <w:tblW w:w="13500" w:type="dxa"/>
        <w:tblInd w:w="-212" w:type="dxa"/>
        <w:tblCellMar>
          <w:left w:w="58" w:type="dxa"/>
          <w:right w:w="58" w:type="dxa"/>
        </w:tblCellMar>
        <w:tblLook w:val="04A0"/>
      </w:tblPr>
      <w:tblGrid>
        <w:gridCol w:w="3330"/>
        <w:gridCol w:w="1350"/>
        <w:gridCol w:w="1440"/>
        <w:gridCol w:w="1440"/>
        <w:gridCol w:w="1260"/>
        <w:gridCol w:w="1080"/>
        <w:gridCol w:w="1350"/>
        <w:gridCol w:w="1080"/>
        <w:gridCol w:w="1170"/>
      </w:tblGrid>
      <w:tr w:rsidR="000B4B54" w:rsidRPr="000B4B54" w:rsidTr="00FD5161">
        <w:trPr>
          <w:trHeight w:val="25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B54" w:rsidRDefault="000B4B54" w:rsidP="005A4A71">
            <w:pPr>
              <w:widowControl/>
              <w:autoSpaceDE/>
              <w:autoSpaceDN/>
              <w:adjustRightInd/>
              <w:jc w:val="center"/>
              <w:rPr>
                <w:b/>
                <w:bCs/>
                <w:sz w:val="20"/>
                <w:szCs w:val="20"/>
              </w:rPr>
            </w:pPr>
            <w:r w:rsidRPr="000B4B54">
              <w:rPr>
                <w:b/>
                <w:bCs/>
                <w:sz w:val="20"/>
                <w:szCs w:val="20"/>
              </w:rPr>
              <w:t>Burden Item</w:t>
            </w:r>
          </w:p>
          <w:p w:rsidR="005A4A71" w:rsidRDefault="005A4A71" w:rsidP="000B4B54">
            <w:pPr>
              <w:widowControl/>
              <w:autoSpaceDE/>
              <w:autoSpaceDN/>
              <w:adjustRightInd/>
              <w:rPr>
                <w:b/>
                <w:bCs/>
                <w:sz w:val="20"/>
                <w:szCs w:val="20"/>
              </w:rPr>
            </w:pPr>
          </w:p>
          <w:p w:rsidR="005A4A71" w:rsidRPr="000B4B54" w:rsidRDefault="005A4A71" w:rsidP="000B4B54">
            <w:pPr>
              <w:widowControl/>
              <w:autoSpaceDE/>
              <w:autoSpaceDN/>
              <w:adjustRightInd/>
              <w:rPr>
                <w:b/>
                <w:bCs/>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B</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F</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G</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B4B54" w:rsidRPr="000B4B54" w:rsidRDefault="000B4B54" w:rsidP="000B4B54">
            <w:pPr>
              <w:widowControl/>
              <w:autoSpaceDE/>
              <w:autoSpaceDN/>
              <w:adjustRightInd/>
              <w:jc w:val="center"/>
              <w:rPr>
                <w:b/>
                <w:bCs/>
                <w:sz w:val="20"/>
                <w:szCs w:val="20"/>
              </w:rPr>
            </w:pPr>
            <w:r w:rsidRPr="000B4B54">
              <w:rPr>
                <w:b/>
                <w:bCs/>
                <w:sz w:val="20"/>
                <w:szCs w:val="20"/>
              </w:rPr>
              <w:t>H</w:t>
            </w:r>
          </w:p>
        </w:tc>
      </w:tr>
      <w:tr w:rsidR="000B4B54" w:rsidRPr="000B4B54" w:rsidTr="00FD5161">
        <w:trPr>
          <w:trHeight w:val="765"/>
        </w:trPr>
        <w:tc>
          <w:tcPr>
            <w:tcW w:w="3330" w:type="dxa"/>
            <w:vMerge/>
            <w:tcBorders>
              <w:top w:val="single" w:sz="4" w:space="0" w:color="auto"/>
              <w:left w:val="single" w:sz="4" w:space="0" w:color="auto"/>
              <w:bottom w:val="single" w:sz="4" w:space="0" w:color="auto"/>
              <w:right w:val="single" w:sz="4" w:space="0" w:color="auto"/>
            </w:tcBorders>
            <w:vAlign w:val="center"/>
            <w:hideMark/>
          </w:tcPr>
          <w:p w:rsidR="000B4B54" w:rsidRPr="000B4B54" w:rsidRDefault="000B4B54" w:rsidP="000B4B54">
            <w:pPr>
              <w:widowControl/>
              <w:autoSpaceDE/>
              <w:autoSpaceDN/>
              <w:adjustRightInd/>
              <w:rPr>
                <w:b/>
                <w:bCs/>
                <w:sz w:val="20"/>
                <w:szCs w:val="20"/>
              </w:rPr>
            </w:pPr>
          </w:p>
        </w:tc>
        <w:tc>
          <w:tcPr>
            <w:tcW w:w="135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Technical </w:t>
            </w:r>
          </w:p>
          <w:p w:rsidR="000B4B54" w:rsidRDefault="000B4B54" w:rsidP="000B4B54">
            <w:pPr>
              <w:widowControl/>
              <w:autoSpaceDE/>
              <w:autoSpaceDN/>
              <w:adjustRightInd/>
              <w:jc w:val="center"/>
              <w:rPr>
                <w:b/>
                <w:bCs/>
                <w:sz w:val="20"/>
                <w:szCs w:val="20"/>
              </w:rPr>
            </w:pPr>
            <w:r w:rsidRPr="000B4B54">
              <w:rPr>
                <w:b/>
                <w:bCs/>
                <w:sz w:val="20"/>
                <w:szCs w:val="20"/>
              </w:rPr>
              <w:t xml:space="preserve">person-hours </w:t>
            </w:r>
          </w:p>
          <w:p w:rsidR="000B4B54" w:rsidRDefault="000B4B54" w:rsidP="000B4B54">
            <w:pPr>
              <w:widowControl/>
              <w:autoSpaceDE/>
              <w:autoSpaceDN/>
              <w:adjustRightInd/>
              <w:jc w:val="center"/>
              <w:rPr>
                <w:b/>
                <w:bCs/>
                <w:sz w:val="20"/>
                <w:szCs w:val="20"/>
              </w:rPr>
            </w:pPr>
            <w:r w:rsidRPr="000B4B54">
              <w:rPr>
                <w:b/>
                <w:bCs/>
                <w:sz w:val="20"/>
                <w:szCs w:val="20"/>
              </w:rPr>
              <w:t>per occurrence</w:t>
            </w:r>
          </w:p>
          <w:p w:rsidR="00A77E60" w:rsidRPr="000B4B54" w:rsidRDefault="00A77E60" w:rsidP="000B4B54">
            <w:pPr>
              <w:widowControl/>
              <w:autoSpaceDE/>
              <w:autoSpaceDN/>
              <w:adjustRightInd/>
              <w:jc w:val="center"/>
              <w:rPr>
                <w:b/>
                <w:bCs/>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No. of occurrences </w:t>
            </w:r>
          </w:p>
          <w:p w:rsidR="000B4B54" w:rsidRDefault="000B4B54" w:rsidP="000B4B54">
            <w:pPr>
              <w:widowControl/>
              <w:autoSpaceDE/>
              <w:autoSpaceDN/>
              <w:adjustRightInd/>
              <w:jc w:val="center"/>
              <w:rPr>
                <w:b/>
                <w:bCs/>
                <w:sz w:val="20"/>
                <w:szCs w:val="20"/>
              </w:rPr>
            </w:pPr>
            <w:r w:rsidRPr="000B4B54">
              <w:rPr>
                <w:b/>
                <w:bCs/>
                <w:sz w:val="20"/>
                <w:szCs w:val="20"/>
              </w:rPr>
              <w:t xml:space="preserve">per respondent </w:t>
            </w:r>
          </w:p>
          <w:p w:rsidR="000B4B54" w:rsidRDefault="000B4B54" w:rsidP="000B4B54">
            <w:pPr>
              <w:widowControl/>
              <w:autoSpaceDE/>
              <w:autoSpaceDN/>
              <w:adjustRightInd/>
              <w:jc w:val="center"/>
              <w:rPr>
                <w:b/>
                <w:bCs/>
                <w:sz w:val="20"/>
                <w:szCs w:val="20"/>
              </w:rPr>
            </w:pPr>
            <w:r w:rsidRPr="000B4B54">
              <w:rPr>
                <w:b/>
                <w:bCs/>
                <w:sz w:val="20"/>
                <w:szCs w:val="20"/>
              </w:rPr>
              <w:t>per year</w:t>
            </w:r>
          </w:p>
          <w:p w:rsidR="00A77E60" w:rsidRPr="000B4B54" w:rsidRDefault="00A77E60" w:rsidP="000B4B54">
            <w:pPr>
              <w:widowControl/>
              <w:autoSpaceDE/>
              <w:autoSpaceDN/>
              <w:adjustRightInd/>
              <w:jc w:val="center"/>
              <w:rPr>
                <w:b/>
                <w:bCs/>
                <w:sz w:val="20"/>
                <w:szCs w:val="20"/>
              </w:rPr>
            </w:pPr>
          </w:p>
        </w:tc>
        <w:tc>
          <w:tcPr>
            <w:tcW w:w="144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Technical </w:t>
            </w:r>
          </w:p>
          <w:p w:rsidR="000B4B54" w:rsidRDefault="000B4B54" w:rsidP="000B4B54">
            <w:pPr>
              <w:widowControl/>
              <w:autoSpaceDE/>
              <w:autoSpaceDN/>
              <w:adjustRightInd/>
              <w:jc w:val="center"/>
              <w:rPr>
                <w:b/>
                <w:bCs/>
                <w:sz w:val="20"/>
                <w:szCs w:val="20"/>
              </w:rPr>
            </w:pPr>
            <w:r w:rsidRPr="000B4B54">
              <w:rPr>
                <w:b/>
                <w:bCs/>
                <w:sz w:val="20"/>
                <w:szCs w:val="20"/>
              </w:rPr>
              <w:t xml:space="preserve">person-hours </w:t>
            </w:r>
          </w:p>
          <w:p w:rsidR="000B4B54" w:rsidRDefault="000B4B54" w:rsidP="000B4B54">
            <w:pPr>
              <w:widowControl/>
              <w:autoSpaceDE/>
              <w:autoSpaceDN/>
              <w:adjustRightInd/>
              <w:jc w:val="center"/>
              <w:rPr>
                <w:b/>
                <w:bCs/>
                <w:sz w:val="20"/>
                <w:szCs w:val="20"/>
              </w:rPr>
            </w:pPr>
            <w:r w:rsidRPr="000B4B54">
              <w:rPr>
                <w:b/>
                <w:bCs/>
                <w:sz w:val="20"/>
                <w:szCs w:val="20"/>
              </w:rPr>
              <w:t xml:space="preserve">per respondent </w:t>
            </w:r>
          </w:p>
          <w:p w:rsidR="00A77E60" w:rsidRDefault="000B4B54" w:rsidP="000B4B54">
            <w:pPr>
              <w:widowControl/>
              <w:autoSpaceDE/>
              <w:autoSpaceDN/>
              <w:adjustRightInd/>
              <w:jc w:val="center"/>
              <w:rPr>
                <w:b/>
                <w:bCs/>
                <w:sz w:val="20"/>
                <w:szCs w:val="20"/>
              </w:rPr>
            </w:pPr>
            <w:r w:rsidRPr="000B4B54">
              <w:rPr>
                <w:b/>
                <w:bCs/>
                <w:sz w:val="20"/>
                <w:szCs w:val="20"/>
              </w:rPr>
              <w:t>per year</w:t>
            </w:r>
          </w:p>
          <w:p w:rsidR="000B4B54" w:rsidRPr="000B4B54" w:rsidRDefault="000B4B54" w:rsidP="000B4B54">
            <w:pPr>
              <w:widowControl/>
              <w:autoSpaceDE/>
              <w:autoSpaceDN/>
              <w:adjustRightInd/>
              <w:jc w:val="center"/>
              <w:rPr>
                <w:b/>
                <w:bCs/>
                <w:sz w:val="20"/>
                <w:szCs w:val="20"/>
              </w:rPr>
            </w:pPr>
            <w:r w:rsidRPr="000B4B54">
              <w:rPr>
                <w:b/>
                <w:bCs/>
                <w:sz w:val="20"/>
                <w:szCs w:val="20"/>
              </w:rPr>
              <w:t xml:space="preserve"> (</w:t>
            </w:r>
            <w:proofErr w:type="spellStart"/>
            <w:r w:rsidRPr="000B4B54">
              <w:rPr>
                <w:b/>
                <w:bCs/>
                <w:sz w:val="20"/>
                <w:szCs w:val="20"/>
              </w:rPr>
              <w:t>AxB</w:t>
            </w:r>
            <w:proofErr w:type="spellEnd"/>
            <w:r w:rsidRPr="000B4B54">
              <w:rPr>
                <w:b/>
                <w:bCs/>
                <w:sz w:val="20"/>
                <w:szCs w:val="20"/>
              </w:rPr>
              <w:t>)</w:t>
            </w:r>
          </w:p>
        </w:tc>
        <w:tc>
          <w:tcPr>
            <w:tcW w:w="126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Respondents </w:t>
            </w:r>
          </w:p>
          <w:p w:rsidR="000B4B54" w:rsidRDefault="000B4B54" w:rsidP="000B4B54">
            <w:pPr>
              <w:widowControl/>
              <w:autoSpaceDE/>
              <w:autoSpaceDN/>
              <w:adjustRightInd/>
              <w:jc w:val="center"/>
              <w:rPr>
                <w:b/>
                <w:bCs/>
                <w:sz w:val="20"/>
                <w:szCs w:val="20"/>
                <w:vertAlign w:val="superscript"/>
              </w:rPr>
            </w:pPr>
            <w:r w:rsidRPr="000B4B54">
              <w:rPr>
                <w:b/>
                <w:bCs/>
                <w:sz w:val="20"/>
                <w:szCs w:val="20"/>
              </w:rPr>
              <w:t xml:space="preserve">per year </w:t>
            </w:r>
            <w:r w:rsidRPr="000B4B54">
              <w:rPr>
                <w:b/>
                <w:bCs/>
                <w:sz w:val="20"/>
                <w:szCs w:val="20"/>
                <w:vertAlign w:val="superscript"/>
              </w:rPr>
              <w:t>a</w:t>
            </w:r>
          </w:p>
          <w:p w:rsidR="005A4A71" w:rsidRDefault="005A4A71" w:rsidP="000B4B54">
            <w:pPr>
              <w:widowControl/>
              <w:autoSpaceDE/>
              <w:autoSpaceDN/>
              <w:adjustRightInd/>
              <w:jc w:val="center"/>
              <w:rPr>
                <w:b/>
                <w:bCs/>
                <w:sz w:val="20"/>
                <w:szCs w:val="20"/>
                <w:vertAlign w:val="superscript"/>
              </w:rPr>
            </w:pPr>
          </w:p>
          <w:p w:rsidR="005A4A71" w:rsidRDefault="005A4A71" w:rsidP="000B4B54">
            <w:pPr>
              <w:widowControl/>
              <w:autoSpaceDE/>
              <w:autoSpaceDN/>
              <w:adjustRightInd/>
              <w:jc w:val="center"/>
              <w:rPr>
                <w:b/>
                <w:bCs/>
                <w:sz w:val="20"/>
                <w:szCs w:val="20"/>
              </w:rPr>
            </w:pPr>
          </w:p>
          <w:p w:rsidR="00A77E60" w:rsidRPr="000B4B54" w:rsidRDefault="00A77E60" w:rsidP="000B4B54">
            <w:pPr>
              <w:widowControl/>
              <w:autoSpaceDE/>
              <w:autoSpaceDN/>
              <w:adjustRightInd/>
              <w:jc w:val="center"/>
              <w:rPr>
                <w:b/>
                <w:bCs/>
                <w:sz w:val="20"/>
                <w:szCs w:val="20"/>
              </w:rPr>
            </w:pPr>
          </w:p>
        </w:tc>
        <w:tc>
          <w:tcPr>
            <w:tcW w:w="108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Technical hours </w:t>
            </w:r>
          </w:p>
          <w:p w:rsidR="000B4B54" w:rsidRDefault="000B4B54" w:rsidP="000B4B54">
            <w:pPr>
              <w:widowControl/>
              <w:autoSpaceDE/>
              <w:autoSpaceDN/>
              <w:adjustRightInd/>
              <w:jc w:val="center"/>
              <w:rPr>
                <w:b/>
                <w:bCs/>
                <w:sz w:val="20"/>
                <w:szCs w:val="20"/>
              </w:rPr>
            </w:pPr>
            <w:r w:rsidRPr="000B4B54">
              <w:rPr>
                <w:b/>
                <w:bCs/>
                <w:sz w:val="20"/>
                <w:szCs w:val="20"/>
              </w:rPr>
              <w:t>per year (</w:t>
            </w:r>
            <w:proofErr w:type="spellStart"/>
            <w:r w:rsidRPr="000B4B54">
              <w:rPr>
                <w:b/>
                <w:bCs/>
                <w:sz w:val="20"/>
                <w:szCs w:val="20"/>
              </w:rPr>
              <w:t>CxD</w:t>
            </w:r>
            <w:proofErr w:type="spellEnd"/>
            <w:r w:rsidRPr="000B4B54">
              <w:rPr>
                <w:b/>
                <w:bCs/>
                <w:sz w:val="20"/>
                <w:szCs w:val="20"/>
              </w:rPr>
              <w:t>)</w:t>
            </w:r>
          </w:p>
          <w:p w:rsidR="00A77E60" w:rsidRPr="000B4B54" w:rsidRDefault="00A77E60" w:rsidP="000B4B54">
            <w:pPr>
              <w:widowControl/>
              <w:autoSpaceDE/>
              <w:autoSpaceDN/>
              <w:adjustRightInd/>
              <w:jc w:val="center"/>
              <w:rPr>
                <w:b/>
                <w:bCs/>
                <w:sz w:val="20"/>
                <w:szCs w:val="20"/>
              </w:rPr>
            </w:pPr>
          </w:p>
        </w:tc>
        <w:tc>
          <w:tcPr>
            <w:tcW w:w="135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Management hours </w:t>
            </w:r>
          </w:p>
          <w:p w:rsidR="000B4B54" w:rsidRDefault="000B4B54" w:rsidP="000B4B54">
            <w:pPr>
              <w:widowControl/>
              <w:autoSpaceDE/>
              <w:autoSpaceDN/>
              <w:adjustRightInd/>
              <w:jc w:val="center"/>
              <w:rPr>
                <w:b/>
                <w:bCs/>
                <w:sz w:val="20"/>
                <w:szCs w:val="20"/>
              </w:rPr>
            </w:pPr>
            <w:r w:rsidRPr="000B4B54">
              <w:rPr>
                <w:b/>
                <w:bCs/>
                <w:sz w:val="20"/>
                <w:szCs w:val="20"/>
              </w:rPr>
              <w:t>per year  (Ex0.05)</w:t>
            </w:r>
          </w:p>
          <w:p w:rsidR="00A77E60" w:rsidRPr="000B4B54" w:rsidRDefault="00A77E60" w:rsidP="000B4B54">
            <w:pPr>
              <w:widowControl/>
              <w:autoSpaceDE/>
              <w:autoSpaceDN/>
              <w:adjustRightInd/>
              <w:jc w:val="center"/>
              <w:rPr>
                <w:b/>
                <w:bCs/>
                <w:sz w:val="20"/>
                <w:szCs w:val="20"/>
              </w:rPr>
            </w:pPr>
          </w:p>
        </w:tc>
        <w:tc>
          <w:tcPr>
            <w:tcW w:w="108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Clerical hours </w:t>
            </w:r>
          </w:p>
          <w:p w:rsidR="000B4B54" w:rsidRDefault="000B4B54" w:rsidP="000B4B54">
            <w:pPr>
              <w:widowControl/>
              <w:autoSpaceDE/>
              <w:autoSpaceDN/>
              <w:adjustRightInd/>
              <w:jc w:val="center"/>
              <w:rPr>
                <w:b/>
                <w:bCs/>
                <w:sz w:val="20"/>
                <w:szCs w:val="20"/>
              </w:rPr>
            </w:pPr>
            <w:r w:rsidRPr="000B4B54">
              <w:rPr>
                <w:b/>
                <w:bCs/>
                <w:sz w:val="20"/>
                <w:szCs w:val="20"/>
              </w:rPr>
              <w:t>per year (Ex0.10)</w:t>
            </w:r>
          </w:p>
          <w:p w:rsidR="00A77E60" w:rsidRPr="000B4B54" w:rsidRDefault="00A77E60" w:rsidP="000B4B54">
            <w:pPr>
              <w:widowControl/>
              <w:autoSpaceDE/>
              <w:autoSpaceDN/>
              <w:adjustRightInd/>
              <w:jc w:val="center"/>
              <w:rPr>
                <w:b/>
                <w:bCs/>
                <w:sz w:val="20"/>
                <w:szCs w:val="20"/>
              </w:rPr>
            </w:pPr>
          </w:p>
        </w:tc>
        <w:tc>
          <w:tcPr>
            <w:tcW w:w="1170" w:type="dxa"/>
            <w:tcBorders>
              <w:top w:val="nil"/>
              <w:left w:val="nil"/>
              <w:bottom w:val="single" w:sz="4" w:space="0" w:color="auto"/>
              <w:right w:val="single" w:sz="4" w:space="0" w:color="auto"/>
            </w:tcBorders>
            <w:shd w:val="clear" w:color="auto" w:fill="auto"/>
            <w:vAlign w:val="bottom"/>
            <w:hideMark/>
          </w:tcPr>
          <w:p w:rsidR="000B4B54" w:rsidRDefault="000B4B54" w:rsidP="000B4B54">
            <w:pPr>
              <w:widowControl/>
              <w:autoSpaceDE/>
              <w:autoSpaceDN/>
              <w:adjustRightInd/>
              <w:jc w:val="center"/>
              <w:rPr>
                <w:b/>
                <w:bCs/>
                <w:sz w:val="20"/>
                <w:szCs w:val="20"/>
              </w:rPr>
            </w:pPr>
            <w:r w:rsidRPr="000B4B54">
              <w:rPr>
                <w:b/>
                <w:bCs/>
                <w:sz w:val="20"/>
                <w:szCs w:val="20"/>
              </w:rPr>
              <w:t xml:space="preserve">Total cost per year </w:t>
            </w:r>
          </w:p>
          <w:p w:rsidR="000B4B54" w:rsidRDefault="000B4B54" w:rsidP="000B4B54">
            <w:pPr>
              <w:widowControl/>
              <w:autoSpaceDE/>
              <w:autoSpaceDN/>
              <w:adjustRightInd/>
              <w:jc w:val="center"/>
              <w:rPr>
                <w:b/>
                <w:bCs/>
                <w:sz w:val="20"/>
                <w:szCs w:val="20"/>
                <w:vertAlign w:val="superscript"/>
              </w:rPr>
            </w:pPr>
            <w:r w:rsidRPr="000B4B54">
              <w:rPr>
                <w:b/>
                <w:bCs/>
                <w:sz w:val="20"/>
                <w:szCs w:val="20"/>
              </w:rPr>
              <w:t xml:space="preserve">($) </w:t>
            </w:r>
            <w:r w:rsidRPr="000B4B54">
              <w:rPr>
                <w:b/>
                <w:bCs/>
                <w:sz w:val="20"/>
                <w:szCs w:val="20"/>
                <w:vertAlign w:val="superscript"/>
              </w:rPr>
              <w:t>b</w:t>
            </w:r>
          </w:p>
          <w:p w:rsidR="005A4A71" w:rsidRDefault="005A4A71" w:rsidP="000B4B54">
            <w:pPr>
              <w:widowControl/>
              <w:autoSpaceDE/>
              <w:autoSpaceDN/>
              <w:adjustRightInd/>
              <w:jc w:val="center"/>
              <w:rPr>
                <w:b/>
                <w:bCs/>
                <w:sz w:val="20"/>
                <w:szCs w:val="20"/>
              </w:rPr>
            </w:pPr>
          </w:p>
          <w:p w:rsidR="00A77E60" w:rsidRPr="000B4B54" w:rsidRDefault="00A77E60" w:rsidP="000B4B54">
            <w:pPr>
              <w:widowControl/>
              <w:autoSpaceDE/>
              <w:autoSpaceDN/>
              <w:adjustRightInd/>
              <w:jc w:val="center"/>
              <w:rPr>
                <w:b/>
                <w:bCs/>
                <w:sz w:val="20"/>
                <w:szCs w:val="20"/>
              </w:rPr>
            </w:pP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rPr>
                <w:sz w:val="20"/>
                <w:szCs w:val="20"/>
              </w:rPr>
            </w:pPr>
            <w:r w:rsidRPr="000B4B54">
              <w:rPr>
                <w:sz w:val="20"/>
                <w:szCs w:val="20"/>
              </w:rPr>
              <w:t>Performance tests</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right"/>
              <w:rPr>
                <w:sz w:val="20"/>
                <w:szCs w:val="20"/>
              </w:rPr>
            </w:pPr>
            <w:r w:rsidRPr="000B4B54">
              <w:rPr>
                <w:sz w:val="20"/>
                <w:szCs w:val="20"/>
              </w:rPr>
              <w:t xml:space="preserve">  </w:t>
            </w: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firstLineChars="100" w:firstLine="200"/>
              <w:rPr>
                <w:sz w:val="20"/>
                <w:szCs w:val="20"/>
              </w:rPr>
            </w:pPr>
            <w:r w:rsidRPr="000B4B54">
              <w:rPr>
                <w:sz w:val="20"/>
                <w:szCs w:val="20"/>
              </w:rPr>
              <w:t>New plants</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24</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1.2</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28.8</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11</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316.8</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15.84</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31.68</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16,418</w:t>
            </w:r>
          </w:p>
        </w:tc>
      </w:tr>
      <w:tr w:rsidR="000B4B54" w:rsidRPr="000B4B54" w:rsidTr="00BB7CF2">
        <w:trPr>
          <w:cantSplit/>
          <w:trHeight w:val="242"/>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firstLineChars="100" w:firstLine="200"/>
              <w:rPr>
                <w:sz w:val="20"/>
                <w:szCs w:val="20"/>
              </w:rPr>
            </w:pPr>
            <w:r w:rsidRPr="000B4B54">
              <w:rPr>
                <w:sz w:val="20"/>
                <w:szCs w:val="20"/>
              </w:rPr>
              <w:t xml:space="preserve">Review startup report </w:t>
            </w:r>
            <w:r w:rsidRPr="000B4B54">
              <w:rPr>
                <w:sz w:val="20"/>
                <w:szCs w:val="20"/>
                <w:vertAlign w:val="superscript"/>
              </w:rPr>
              <w:t>c</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40</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1.2</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48</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11</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528</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26.4</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52.8</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27,363.34</w:t>
            </w: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rPr>
                <w:sz w:val="20"/>
                <w:szCs w:val="20"/>
              </w:rPr>
            </w:pPr>
            <w:r w:rsidRPr="000B4B54">
              <w:rPr>
                <w:sz w:val="20"/>
                <w:szCs w:val="20"/>
              </w:rPr>
              <w:t>Report Review</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right"/>
              <w:rPr>
                <w:sz w:val="20"/>
                <w:szCs w:val="20"/>
              </w:rPr>
            </w:pPr>
            <w:r w:rsidRPr="000B4B54">
              <w:rPr>
                <w:sz w:val="20"/>
                <w:szCs w:val="20"/>
              </w:rPr>
              <w:t> </w:t>
            </w: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firstLineChars="100" w:firstLine="200"/>
              <w:rPr>
                <w:sz w:val="20"/>
                <w:szCs w:val="20"/>
              </w:rPr>
            </w:pPr>
            <w:r w:rsidRPr="000B4B54">
              <w:rPr>
                <w:sz w:val="20"/>
                <w:szCs w:val="20"/>
              </w:rPr>
              <w:t>Notification of construction</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11</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22</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1.1</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2.2</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1,140.14</w:t>
            </w: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leftChars="74" w:left="178"/>
              <w:rPr>
                <w:sz w:val="20"/>
                <w:szCs w:val="20"/>
              </w:rPr>
            </w:pPr>
            <w:r w:rsidRPr="000B4B54">
              <w:rPr>
                <w:sz w:val="20"/>
                <w:szCs w:val="20"/>
              </w:rPr>
              <w:t>Notification of actual startup</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0.5</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0.5</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11</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5.5</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0.28</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0.55</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285.03</w:t>
            </w: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leftChars="74" w:left="178"/>
              <w:rPr>
                <w:sz w:val="20"/>
                <w:szCs w:val="20"/>
              </w:rPr>
            </w:pPr>
            <w:r w:rsidRPr="000B4B54">
              <w:rPr>
                <w:sz w:val="20"/>
                <w:szCs w:val="20"/>
              </w:rPr>
              <w:t>Notification of initial test</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0.5</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1.2</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0.6</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11</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6.6</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0.33</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0.66</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342.04</w:t>
            </w: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leftChars="74" w:left="178"/>
              <w:rPr>
                <w:sz w:val="20"/>
                <w:szCs w:val="20"/>
              </w:rPr>
            </w:pPr>
            <w:r w:rsidRPr="000B4B54">
              <w:rPr>
                <w:sz w:val="20"/>
                <w:szCs w:val="20"/>
              </w:rPr>
              <w:t>Notification of CMS demonstration</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0.5</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0.5</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11</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5.5</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0.28</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0.55</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285.03</w:t>
            </w:r>
          </w:p>
        </w:tc>
      </w:tr>
      <w:tr w:rsidR="000B4B54" w:rsidRPr="000B4B54" w:rsidTr="00FD5161">
        <w:trPr>
          <w:cantSplit/>
          <w:trHeight w:val="25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rPr>
                <w:sz w:val="20"/>
                <w:szCs w:val="20"/>
              </w:rPr>
            </w:pPr>
            <w:r w:rsidRPr="000B4B54">
              <w:rPr>
                <w:sz w:val="20"/>
                <w:szCs w:val="20"/>
              </w:rPr>
              <w:t>Review excess emissions reports</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right"/>
              <w:rPr>
                <w:sz w:val="20"/>
                <w:szCs w:val="20"/>
              </w:rPr>
            </w:pPr>
            <w:r w:rsidRPr="000B4B54">
              <w:rPr>
                <w:sz w:val="20"/>
                <w:szCs w:val="20"/>
              </w:rPr>
              <w:t> </w:t>
            </w:r>
          </w:p>
        </w:tc>
      </w:tr>
      <w:tr w:rsidR="000B4B54" w:rsidRPr="000B4B54" w:rsidTr="00BB7CF2">
        <w:trPr>
          <w:cantSplit/>
          <w:trHeight w:val="215"/>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firstLineChars="100" w:firstLine="200"/>
              <w:rPr>
                <w:sz w:val="20"/>
                <w:szCs w:val="20"/>
              </w:rPr>
            </w:pPr>
            <w:r w:rsidRPr="000B4B54">
              <w:rPr>
                <w:sz w:val="20"/>
                <w:szCs w:val="20"/>
              </w:rPr>
              <w:t xml:space="preserve">Semiannual </w:t>
            </w:r>
            <w:r w:rsidRPr="000B4B54">
              <w:rPr>
                <w:sz w:val="20"/>
                <w:szCs w:val="20"/>
                <w:vertAlign w:val="superscript"/>
              </w:rPr>
              <w:t>d</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8</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16</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559.2</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8</w:t>
            </w:r>
            <w:r w:rsidR="00272BFD">
              <w:rPr>
                <w:sz w:val="20"/>
                <w:szCs w:val="20"/>
              </w:rPr>
              <w:t>,</w:t>
            </w:r>
            <w:r w:rsidRPr="000B4B54">
              <w:rPr>
                <w:sz w:val="20"/>
                <w:szCs w:val="20"/>
              </w:rPr>
              <w:t>947.2</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447.36</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894.72</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463,684.17</w:t>
            </w:r>
          </w:p>
        </w:tc>
      </w:tr>
      <w:tr w:rsidR="000B4B54" w:rsidRPr="000B4B54" w:rsidTr="00BB7CF2">
        <w:trPr>
          <w:cantSplit/>
          <w:trHeight w:val="242"/>
        </w:trPr>
        <w:tc>
          <w:tcPr>
            <w:tcW w:w="3330" w:type="dxa"/>
            <w:tcBorders>
              <w:top w:val="nil"/>
              <w:left w:val="single" w:sz="4" w:space="0" w:color="auto"/>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ind w:firstLineChars="100" w:firstLine="200"/>
              <w:rPr>
                <w:sz w:val="20"/>
                <w:szCs w:val="20"/>
              </w:rPr>
            </w:pPr>
            <w:r w:rsidRPr="000B4B54">
              <w:rPr>
                <w:sz w:val="20"/>
                <w:szCs w:val="20"/>
              </w:rPr>
              <w:t xml:space="preserve">Quarterly </w:t>
            </w:r>
            <w:r w:rsidRPr="000B4B54">
              <w:rPr>
                <w:sz w:val="20"/>
                <w:szCs w:val="20"/>
                <w:vertAlign w:val="superscript"/>
              </w:rPr>
              <w:t>e</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8</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4</w:t>
            </w:r>
          </w:p>
        </w:tc>
        <w:tc>
          <w:tcPr>
            <w:tcW w:w="144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32</w:t>
            </w:r>
          </w:p>
        </w:tc>
        <w:tc>
          <w:tcPr>
            <w:tcW w:w="126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139.8</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4</w:t>
            </w:r>
            <w:r w:rsidR="00272BFD">
              <w:rPr>
                <w:sz w:val="20"/>
                <w:szCs w:val="20"/>
              </w:rPr>
              <w:t>,</w:t>
            </w:r>
            <w:r w:rsidRPr="000B4B54">
              <w:rPr>
                <w:sz w:val="20"/>
                <w:szCs w:val="20"/>
              </w:rPr>
              <w:t>473.6</w:t>
            </w:r>
          </w:p>
        </w:tc>
        <w:tc>
          <w:tcPr>
            <w:tcW w:w="135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223.68</w:t>
            </w:r>
          </w:p>
        </w:tc>
        <w:tc>
          <w:tcPr>
            <w:tcW w:w="1080" w:type="dxa"/>
            <w:tcBorders>
              <w:top w:val="nil"/>
              <w:left w:val="nil"/>
              <w:bottom w:val="single" w:sz="4" w:space="0" w:color="auto"/>
              <w:right w:val="single" w:sz="4" w:space="0" w:color="auto"/>
            </w:tcBorders>
            <w:shd w:val="clear" w:color="auto" w:fill="auto"/>
            <w:hideMark/>
          </w:tcPr>
          <w:p w:rsidR="000B4B54" w:rsidRPr="000B4B54" w:rsidRDefault="000B4B54" w:rsidP="000B4B54">
            <w:pPr>
              <w:widowControl/>
              <w:autoSpaceDE/>
              <w:autoSpaceDN/>
              <w:adjustRightInd/>
              <w:jc w:val="center"/>
              <w:rPr>
                <w:sz w:val="20"/>
                <w:szCs w:val="20"/>
              </w:rPr>
            </w:pPr>
            <w:r w:rsidRPr="000B4B54">
              <w:rPr>
                <w:sz w:val="20"/>
                <w:szCs w:val="20"/>
              </w:rPr>
              <w:t>447.36</w:t>
            </w:r>
          </w:p>
        </w:tc>
        <w:tc>
          <w:tcPr>
            <w:tcW w:w="1170" w:type="dxa"/>
            <w:tcBorders>
              <w:top w:val="nil"/>
              <w:left w:val="nil"/>
              <w:bottom w:val="single" w:sz="4" w:space="0" w:color="auto"/>
              <w:right w:val="single" w:sz="4" w:space="0" w:color="auto"/>
            </w:tcBorders>
            <w:shd w:val="clear" w:color="auto" w:fill="auto"/>
            <w:hideMark/>
          </w:tcPr>
          <w:p w:rsidR="000B4B54" w:rsidRPr="000B4B54" w:rsidRDefault="00272BFD" w:rsidP="000B4B54">
            <w:pPr>
              <w:widowControl/>
              <w:autoSpaceDE/>
              <w:autoSpaceDN/>
              <w:adjustRightInd/>
              <w:jc w:val="right"/>
              <w:rPr>
                <w:sz w:val="20"/>
                <w:szCs w:val="20"/>
              </w:rPr>
            </w:pPr>
            <w:r>
              <w:rPr>
                <w:sz w:val="20"/>
                <w:szCs w:val="20"/>
              </w:rPr>
              <w:t>$</w:t>
            </w:r>
            <w:r w:rsidR="000B4B54" w:rsidRPr="000B4B54">
              <w:rPr>
                <w:sz w:val="20"/>
                <w:szCs w:val="20"/>
              </w:rPr>
              <w:t>231,842.08</w:t>
            </w:r>
          </w:p>
        </w:tc>
      </w:tr>
      <w:tr w:rsidR="000B4B54" w:rsidRPr="000B4B54" w:rsidTr="00FD5161">
        <w:trPr>
          <w:trHeight w:val="255"/>
        </w:trPr>
        <w:tc>
          <w:tcPr>
            <w:tcW w:w="8820" w:type="dxa"/>
            <w:gridSpan w:val="5"/>
            <w:tcBorders>
              <w:top w:val="nil"/>
              <w:left w:val="single" w:sz="4" w:space="0" w:color="auto"/>
              <w:bottom w:val="single" w:sz="4" w:space="0" w:color="auto"/>
              <w:right w:val="single" w:sz="4" w:space="0" w:color="auto"/>
            </w:tcBorders>
            <w:shd w:val="clear" w:color="auto" w:fill="auto"/>
            <w:hideMark/>
          </w:tcPr>
          <w:p w:rsidR="000B4B54" w:rsidRPr="000B4B54" w:rsidRDefault="000B4B54" w:rsidP="003675CE">
            <w:pPr>
              <w:widowControl/>
              <w:autoSpaceDE/>
              <w:autoSpaceDN/>
              <w:adjustRightInd/>
              <w:rPr>
                <w:sz w:val="20"/>
                <w:szCs w:val="20"/>
              </w:rPr>
            </w:pPr>
            <w:r w:rsidRPr="000B4B54">
              <w:rPr>
                <w:b/>
                <w:bCs/>
                <w:sz w:val="20"/>
                <w:szCs w:val="20"/>
              </w:rPr>
              <w:t>TOTAL ANNUAL BURDEN AND COST (</w:t>
            </w:r>
            <w:r w:rsidR="003675CE">
              <w:rPr>
                <w:b/>
                <w:bCs/>
                <w:sz w:val="20"/>
                <w:szCs w:val="20"/>
              </w:rPr>
              <w:t>rounded</w:t>
            </w:r>
            <w:r w:rsidRPr="000B4B54">
              <w:rPr>
                <w:b/>
                <w:bCs/>
                <w:sz w:val="20"/>
                <w:szCs w:val="20"/>
              </w:rPr>
              <w:t>)</w:t>
            </w:r>
          </w:p>
        </w:tc>
        <w:tc>
          <w:tcPr>
            <w:tcW w:w="3510" w:type="dxa"/>
            <w:gridSpan w:val="3"/>
            <w:tcBorders>
              <w:top w:val="single" w:sz="4" w:space="0" w:color="auto"/>
              <w:left w:val="nil"/>
              <w:bottom w:val="single" w:sz="4" w:space="0" w:color="auto"/>
              <w:right w:val="single" w:sz="4" w:space="0" w:color="auto"/>
            </w:tcBorders>
            <w:shd w:val="clear" w:color="auto" w:fill="auto"/>
            <w:hideMark/>
          </w:tcPr>
          <w:p w:rsidR="000B4B54" w:rsidRPr="003675CE" w:rsidRDefault="000B4B54" w:rsidP="000B4B54">
            <w:pPr>
              <w:widowControl/>
              <w:autoSpaceDE/>
              <w:autoSpaceDN/>
              <w:adjustRightInd/>
              <w:jc w:val="center"/>
              <w:rPr>
                <w:b/>
                <w:sz w:val="20"/>
                <w:szCs w:val="20"/>
              </w:rPr>
            </w:pPr>
            <w:r w:rsidRPr="003675CE">
              <w:rPr>
                <w:b/>
                <w:sz w:val="20"/>
                <w:szCs w:val="20"/>
              </w:rPr>
              <w:t>16,451</w:t>
            </w:r>
          </w:p>
        </w:tc>
        <w:tc>
          <w:tcPr>
            <w:tcW w:w="1170" w:type="dxa"/>
            <w:tcBorders>
              <w:top w:val="nil"/>
              <w:left w:val="nil"/>
              <w:bottom w:val="single" w:sz="4" w:space="0" w:color="auto"/>
              <w:right w:val="single" w:sz="4" w:space="0" w:color="auto"/>
            </w:tcBorders>
            <w:shd w:val="clear" w:color="auto" w:fill="auto"/>
            <w:hideMark/>
          </w:tcPr>
          <w:p w:rsidR="000B4B54" w:rsidRPr="003675CE" w:rsidRDefault="00272BFD" w:rsidP="00272BFD">
            <w:pPr>
              <w:widowControl/>
              <w:autoSpaceDE/>
              <w:autoSpaceDN/>
              <w:adjustRightInd/>
              <w:jc w:val="right"/>
              <w:rPr>
                <w:b/>
                <w:sz w:val="20"/>
                <w:szCs w:val="20"/>
              </w:rPr>
            </w:pPr>
            <w:r>
              <w:rPr>
                <w:b/>
                <w:sz w:val="20"/>
                <w:szCs w:val="20"/>
              </w:rPr>
              <w:t>$</w:t>
            </w:r>
            <w:r w:rsidR="000B4B54" w:rsidRPr="003675CE">
              <w:rPr>
                <w:b/>
                <w:sz w:val="20"/>
                <w:szCs w:val="20"/>
              </w:rPr>
              <w:t>741,</w:t>
            </w:r>
            <w:r>
              <w:rPr>
                <w:b/>
                <w:sz w:val="20"/>
                <w:szCs w:val="20"/>
              </w:rPr>
              <w:t>360</w:t>
            </w:r>
          </w:p>
        </w:tc>
      </w:tr>
    </w:tbl>
    <w:p w:rsidR="000B4B54" w:rsidRPr="00A27BDB" w:rsidRDefault="000B4B54" w:rsidP="00F340DF">
      <w:pPr>
        <w:rPr>
          <w:bCs/>
        </w:rPr>
      </w:pPr>
    </w:p>
    <w:p w:rsidR="000B4B54" w:rsidRPr="00FD5161" w:rsidRDefault="000B4B54" w:rsidP="000B4B54">
      <w:pPr>
        <w:rPr>
          <w:sz w:val="20"/>
          <w:szCs w:val="20"/>
        </w:rPr>
      </w:pPr>
      <w:r>
        <w:t xml:space="preserve"> </w:t>
      </w:r>
      <w:r w:rsidRPr="00FD5161">
        <w:rPr>
          <w:sz w:val="20"/>
          <w:szCs w:val="20"/>
        </w:rPr>
        <w:t>Assumptions:</w:t>
      </w:r>
    </w:p>
    <w:p w:rsidR="000B4B54" w:rsidRPr="00FD5161" w:rsidRDefault="000B4B54" w:rsidP="000B4B54">
      <w:pPr>
        <w:ind w:left="270" w:hanging="270"/>
        <w:rPr>
          <w:sz w:val="20"/>
          <w:szCs w:val="20"/>
        </w:rPr>
      </w:pPr>
      <w:r w:rsidRPr="003675CE">
        <w:rPr>
          <w:sz w:val="20"/>
          <w:szCs w:val="20"/>
          <w:vertAlign w:val="superscript"/>
        </w:rPr>
        <w:t>a.</w:t>
      </w:r>
      <w:r w:rsidRPr="00FD5161">
        <w:rPr>
          <w:sz w:val="20"/>
          <w:szCs w:val="20"/>
        </w:rPr>
        <w:t xml:space="preserve"> We have assumed that the average number of respondents that will be subject to the rule will be 699.  There will be eleven additional new sources per year that will become subject to the rule over the three-year period of this ICR.</w:t>
      </w:r>
    </w:p>
    <w:p w:rsidR="000B4B54" w:rsidRPr="00FD5161" w:rsidRDefault="000B4B54" w:rsidP="000B4B54">
      <w:pPr>
        <w:ind w:left="270" w:hanging="270"/>
        <w:rPr>
          <w:sz w:val="20"/>
          <w:szCs w:val="20"/>
        </w:rPr>
      </w:pPr>
      <w:r w:rsidRPr="003675CE">
        <w:rPr>
          <w:sz w:val="20"/>
          <w:szCs w:val="20"/>
          <w:vertAlign w:val="superscript"/>
        </w:rPr>
        <w:t>b.</w:t>
      </w:r>
      <w:r w:rsidRPr="00FD5161">
        <w:rPr>
          <w:sz w:val="20"/>
          <w:szCs w:val="20"/>
        </w:rPr>
        <w:t xml:space="preserve"> This ICR uses the following labor rates: $46.21 for technical, $62.27 for managerial, and $25.01 for clerical labor.  These rates are from the Office of Personnel Management (OPM) 2013 General Schedule, which excludes locality rates of pay.  The rates have been increased by 60 percent to account for the benefit packages available to government employees.</w:t>
      </w:r>
    </w:p>
    <w:p w:rsidR="000B4B54" w:rsidRPr="00FD5161" w:rsidRDefault="000B4B54" w:rsidP="000B4B54">
      <w:pPr>
        <w:ind w:left="270" w:hanging="270"/>
        <w:rPr>
          <w:sz w:val="20"/>
          <w:szCs w:val="20"/>
        </w:rPr>
      </w:pPr>
      <w:r w:rsidRPr="003675CE">
        <w:rPr>
          <w:sz w:val="20"/>
          <w:szCs w:val="20"/>
          <w:vertAlign w:val="superscript"/>
        </w:rPr>
        <w:t>c.</w:t>
      </w:r>
      <w:r w:rsidRPr="00FD5161">
        <w:rPr>
          <w:sz w:val="20"/>
          <w:szCs w:val="20"/>
        </w:rPr>
        <w:t xml:space="preserve"> We have assumed that it will take 40 hours to review each startup report.</w:t>
      </w:r>
    </w:p>
    <w:p w:rsidR="000B4B54" w:rsidRPr="00FD5161" w:rsidRDefault="000B4B54" w:rsidP="000B4B54">
      <w:pPr>
        <w:ind w:left="270" w:hanging="270"/>
        <w:rPr>
          <w:sz w:val="20"/>
          <w:szCs w:val="20"/>
        </w:rPr>
      </w:pPr>
      <w:r w:rsidRPr="003675CE">
        <w:rPr>
          <w:sz w:val="20"/>
          <w:szCs w:val="20"/>
          <w:vertAlign w:val="superscript"/>
        </w:rPr>
        <w:t>d.</w:t>
      </w:r>
      <w:r w:rsidRPr="00FD5161">
        <w:rPr>
          <w:sz w:val="20"/>
          <w:szCs w:val="20"/>
        </w:rPr>
        <w:t xml:space="preserve"> We have assumed that it will take 8 hours two times per year to review each semiannual report.</w:t>
      </w:r>
    </w:p>
    <w:p w:rsidR="00144F35" w:rsidRPr="00FD5161" w:rsidRDefault="000B4B54" w:rsidP="000B4B54">
      <w:pPr>
        <w:ind w:left="270" w:hanging="270"/>
        <w:rPr>
          <w:sz w:val="20"/>
          <w:szCs w:val="20"/>
        </w:rPr>
      </w:pPr>
      <w:r w:rsidRPr="003675CE">
        <w:rPr>
          <w:sz w:val="20"/>
          <w:szCs w:val="20"/>
          <w:vertAlign w:val="superscript"/>
        </w:rPr>
        <w:t>e.</w:t>
      </w:r>
      <w:r w:rsidRPr="00FD5161">
        <w:rPr>
          <w:sz w:val="20"/>
          <w:szCs w:val="20"/>
        </w:rPr>
        <w:t xml:space="preserve"> We have assumed that it will take 8 hours four times per year to review each the quarterly report.</w:t>
      </w:r>
    </w:p>
    <w:sectPr w:rsidR="00144F35" w:rsidRPr="00FD5161"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E15" w:rsidRDefault="00B75E15">
      <w:r>
        <w:separator/>
      </w:r>
    </w:p>
  </w:endnote>
  <w:endnote w:type="continuationSeparator" w:id="0">
    <w:p w:rsidR="00B75E15" w:rsidRDefault="00B75E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E15" w:rsidRDefault="00B75E15">
      <w:r>
        <w:separator/>
      </w:r>
    </w:p>
  </w:footnote>
  <w:footnote w:type="continuationSeparator" w:id="0">
    <w:p w:rsidR="00B75E15" w:rsidRDefault="00B75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772" w:rsidRDefault="007934E5">
    <w:pPr>
      <w:framePr w:w="9361" w:wrap="notBeside" w:vAnchor="text" w:hAnchor="text" w:x="1" w:y="1"/>
      <w:jc w:val="center"/>
    </w:pPr>
    <w:fldSimple w:instr="PAGE ">
      <w:r w:rsidR="004C7480">
        <w:rPr>
          <w:noProof/>
        </w:rPr>
        <w:t>2</w:t>
      </w:r>
    </w:fldSimple>
  </w:p>
  <w:p w:rsidR="00B31772" w:rsidRDefault="00B31772"/>
  <w:p w:rsidR="00B31772" w:rsidRDefault="00B31772">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37ED"/>
    <w:rsid w:val="0003619B"/>
    <w:rsid w:val="00055BDF"/>
    <w:rsid w:val="00055DC5"/>
    <w:rsid w:val="00085021"/>
    <w:rsid w:val="000A1FBB"/>
    <w:rsid w:val="000A687C"/>
    <w:rsid w:val="000B4B54"/>
    <w:rsid w:val="000D2272"/>
    <w:rsid w:val="000E14F7"/>
    <w:rsid w:val="000F772C"/>
    <w:rsid w:val="00101B40"/>
    <w:rsid w:val="00102B52"/>
    <w:rsid w:val="0010697C"/>
    <w:rsid w:val="00123889"/>
    <w:rsid w:val="00126A7C"/>
    <w:rsid w:val="001356D4"/>
    <w:rsid w:val="0014079D"/>
    <w:rsid w:val="00144978"/>
    <w:rsid w:val="00144A82"/>
    <w:rsid w:val="00144F35"/>
    <w:rsid w:val="0015433E"/>
    <w:rsid w:val="00186DA3"/>
    <w:rsid w:val="00187885"/>
    <w:rsid w:val="00195753"/>
    <w:rsid w:val="001A0B41"/>
    <w:rsid w:val="001B0B9A"/>
    <w:rsid w:val="001B35F2"/>
    <w:rsid w:val="001C165A"/>
    <w:rsid w:val="001C5991"/>
    <w:rsid w:val="001D762C"/>
    <w:rsid w:val="001E1E82"/>
    <w:rsid w:val="001F19FF"/>
    <w:rsid w:val="001F39FC"/>
    <w:rsid w:val="002041C5"/>
    <w:rsid w:val="002063FE"/>
    <w:rsid w:val="002066A2"/>
    <w:rsid w:val="00206932"/>
    <w:rsid w:val="0021722B"/>
    <w:rsid w:val="0022738C"/>
    <w:rsid w:val="00234A28"/>
    <w:rsid w:val="00236DB3"/>
    <w:rsid w:val="002431D9"/>
    <w:rsid w:val="00245512"/>
    <w:rsid w:val="002638A0"/>
    <w:rsid w:val="002712EB"/>
    <w:rsid w:val="0027222A"/>
    <w:rsid w:val="00272BFD"/>
    <w:rsid w:val="00273212"/>
    <w:rsid w:val="002743D2"/>
    <w:rsid w:val="00277F42"/>
    <w:rsid w:val="00281CAE"/>
    <w:rsid w:val="0029006A"/>
    <w:rsid w:val="002904E7"/>
    <w:rsid w:val="002976E9"/>
    <w:rsid w:val="002B29A5"/>
    <w:rsid w:val="002B29A7"/>
    <w:rsid w:val="002B517F"/>
    <w:rsid w:val="002B6993"/>
    <w:rsid w:val="002C1F95"/>
    <w:rsid w:val="002C416A"/>
    <w:rsid w:val="002C77DF"/>
    <w:rsid w:val="002D5AE5"/>
    <w:rsid w:val="002D7683"/>
    <w:rsid w:val="002E5EC2"/>
    <w:rsid w:val="002F674B"/>
    <w:rsid w:val="002F6DB3"/>
    <w:rsid w:val="003139FC"/>
    <w:rsid w:val="0033662B"/>
    <w:rsid w:val="00341540"/>
    <w:rsid w:val="003511C6"/>
    <w:rsid w:val="0035325B"/>
    <w:rsid w:val="00354478"/>
    <w:rsid w:val="00354C15"/>
    <w:rsid w:val="00360960"/>
    <w:rsid w:val="003675CE"/>
    <w:rsid w:val="0039019B"/>
    <w:rsid w:val="00390D52"/>
    <w:rsid w:val="003C4B46"/>
    <w:rsid w:val="003C5023"/>
    <w:rsid w:val="003E30B5"/>
    <w:rsid w:val="003E4C18"/>
    <w:rsid w:val="00402502"/>
    <w:rsid w:val="0040391F"/>
    <w:rsid w:val="00415187"/>
    <w:rsid w:val="00432CB7"/>
    <w:rsid w:val="004342F6"/>
    <w:rsid w:val="0044133C"/>
    <w:rsid w:val="00455557"/>
    <w:rsid w:val="00484A45"/>
    <w:rsid w:val="004A4B25"/>
    <w:rsid w:val="004C08D3"/>
    <w:rsid w:val="004C5E95"/>
    <w:rsid w:val="004C701D"/>
    <w:rsid w:val="004C7480"/>
    <w:rsid w:val="004E5911"/>
    <w:rsid w:val="004F1469"/>
    <w:rsid w:val="004F458F"/>
    <w:rsid w:val="004F6FCD"/>
    <w:rsid w:val="00504745"/>
    <w:rsid w:val="00507EC5"/>
    <w:rsid w:val="00516952"/>
    <w:rsid w:val="005253D4"/>
    <w:rsid w:val="0055035F"/>
    <w:rsid w:val="00551815"/>
    <w:rsid w:val="00560AD2"/>
    <w:rsid w:val="00565A51"/>
    <w:rsid w:val="00571260"/>
    <w:rsid w:val="00583626"/>
    <w:rsid w:val="005973B6"/>
    <w:rsid w:val="005A1986"/>
    <w:rsid w:val="005A4A71"/>
    <w:rsid w:val="005A63DD"/>
    <w:rsid w:val="005B5DE8"/>
    <w:rsid w:val="005B79A3"/>
    <w:rsid w:val="005C3665"/>
    <w:rsid w:val="005C42AC"/>
    <w:rsid w:val="005C60B6"/>
    <w:rsid w:val="005D385C"/>
    <w:rsid w:val="005E194B"/>
    <w:rsid w:val="005F42F8"/>
    <w:rsid w:val="00601205"/>
    <w:rsid w:val="00606DEF"/>
    <w:rsid w:val="00631517"/>
    <w:rsid w:val="00635DBD"/>
    <w:rsid w:val="00646ACF"/>
    <w:rsid w:val="0064712D"/>
    <w:rsid w:val="006741F7"/>
    <w:rsid w:val="00694B55"/>
    <w:rsid w:val="006D1B12"/>
    <w:rsid w:val="006E4A6E"/>
    <w:rsid w:val="006E642B"/>
    <w:rsid w:val="006F409F"/>
    <w:rsid w:val="006F5E7C"/>
    <w:rsid w:val="00724BC7"/>
    <w:rsid w:val="007500C8"/>
    <w:rsid w:val="00763160"/>
    <w:rsid w:val="00780612"/>
    <w:rsid w:val="00786A20"/>
    <w:rsid w:val="007934E5"/>
    <w:rsid w:val="007A0634"/>
    <w:rsid w:val="007A16F4"/>
    <w:rsid w:val="007A458D"/>
    <w:rsid w:val="007B0F22"/>
    <w:rsid w:val="007C0FAA"/>
    <w:rsid w:val="007E6FF4"/>
    <w:rsid w:val="007F07FB"/>
    <w:rsid w:val="00810507"/>
    <w:rsid w:val="00813E69"/>
    <w:rsid w:val="00817E8B"/>
    <w:rsid w:val="008338D4"/>
    <w:rsid w:val="0084255D"/>
    <w:rsid w:val="00850ACF"/>
    <w:rsid w:val="00852038"/>
    <w:rsid w:val="00861489"/>
    <w:rsid w:val="00861974"/>
    <w:rsid w:val="00874C55"/>
    <w:rsid w:val="0088639E"/>
    <w:rsid w:val="00896B85"/>
    <w:rsid w:val="008A46EB"/>
    <w:rsid w:val="008B407C"/>
    <w:rsid w:val="008B61E8"/>
    <w:rsid w:val="008C67B8"/>
    <w:rsid w:val="008D521C"/>
    <w:rsid w:val="008E050B"/>
    <w:rsid w:val="008E65E6"/>
    <w:rsid w:val="008E6E59"/>
    <w:rsid w:val="008F285B"/>
    <w:rsid w:val="008F4564"/>
    <w:rsid w:val="009018EC"/>
    <w:rsid w:val="00906EDB"/>
    <w:rsid w:val="00912E00"/>
    <w:rsid w:val="009220B7"/>
    <w:rsid w:val="00923C46"/>
    <w:rsid w:val="00931486"/>
    <w:rsid w:val="0093686C"/>
    <w:rsid w:val="00946A4F"/>
    <w:rsid w:val="00951167"/>
    <w:rsid w:val="00954E09"/>
    <w:rsid w:val="009711DB"/>
    <w:rsid w:val="009852E4"/>
    <w:rsid w:val="009A0F50"/>
    <w:rsid w:val="009A16CD"/>
    <w:rsid w:val="009C06F5"/>
    <w:rsid w:val="009D6567"/>
    <w:rsid w:val="009D6B8A"/>
    <w:rsid w:val="009E0F31"/>
    <w:rsid w:val="009F2FCE"/>
    <w:rsid w:val="00A007F5"/>
    <w:rsid w:val="00A038EC"/>
    <w:rsid w:val="00A075C6"/>
    <w:rsid w:val="00A139D3"/>
    <w:rsid w:val="00A145B0"/>
    <w:rsid w:val="00A15172"/>
    <w:rsid w:val="00A21516"/>
    <w:rsid w:val="00A26EF7"/>
    <w:rsid w:val="00A277D6"/>
    <w:rsid w:val="00A27BDB"/>
    <w:rsid w:val="00A379F8"/>
    <w:rsid w:val="00A54EEA"/>
    <w:rsid w:val="00A56BFF"/>
    <w:rsid w:val="00A658CD"/>
    <w:rsid w:val="00A73600"/>
    <w:rsid w:val="00A74C1E"/>
    <w:rsid w:val="00A7661C"/>
    <w:rsid w:val="00A77E60"/>
    <w:rsid w:val="00A95BC7"/>
    <w:rsid w:val="00A962DF"/>
    <w:rsid w:val="00AA50C8"/>
    <w:rsid w:val="00AA6255"/>
    <w:rsid w:val="00AA6D58"/>
    <w:rsid w:val="00AD1D52"/>
    <w:rsid w:val="00AE1AE5"/>
    <w:rsid w:val="00AE273A"/>
    <w:rsid w:val="00AF70A1"/>
    <w:rsid w:val="00B05520"/>
    <w:rsid w:val="00B07F79"/>
    <w:rsid w:val="00B148F4"/>
    <w:rsid w:val="00B16C07"/>
    <w:rsid w:val="00B27186"/>
    <w:rsid w:val="00B31772"/>
    <w:rsid w:val="00B43923"/>
    <w:rsid w:val="00B46A57"/>
    <w:rsid w:val="00B50834"/>
    <w:rsid w:val="00B63559"/>
    <w:rsid w:val="00B65754"/>
    <w:rsid w:val="00B66231"/>
    <w:rsid w:val="00B716FD"/>
    <w:rsid w:val="00B75E15"/>
    <w:rsid w:val="00B769F1"/>
    <w:rsid w:val="00B82025"/>
    <w:rsid w:val="00B86A37"/>
    <w:rsid w:val="00BA0A91"/>
    <w:rsid w:val="00BA4887"/>
    <w:rsid w:val="00BB3390"/>
    <w:rsid w:val="00BB3C1A"/>
    <w:rsid w:val="00BB7CF2"/>
    <w:rsid w:val="00BC201A"/>
    <w:rsid w:val="00BC6DEF"/>
    <w:rsid w:val="00BD7CAE"/>
    <w:rsid w:val="00BE2989"/>
    <w:rsid w:val="00BE7A11"/>
    <w:rsid w:val="00BF10AF"/>
    <w:rsid w:val="00BF722F"/>
    <w:rsid w:val="00C13FE8"/>
    <w:rsid w:val="00C16359"/>
    <w:rsid w:val="00C26DD7"/>
    <w:rsid w:val="00C30A60"/>
    <w:rsid w:val="00C33ABA"/>
    <w:rsid w:val="00C36CCC"/>
    <w:rsid w:val="00C37BB6"/>
    <w:rsid w:val="00C52EFD"/>
    <w:rsid w:val="00C64378"/>
    <w:rsid w:val="00C75CF0"/>
    <w:rsid w:val="00C808B5"/>
    <w:rsid w:val="00C82DB6"/>
    <w:rsid w:val="00C86F66"/>
    <w:rsid w:val="00CA4CD6"/>
    <w:rsid w:val="00CA7DA0"/>
    <w:rsid w:val="00CC48AB"/>
    <w:rsid w:val="00CC58F6"/>
    <w:rsid w:val="00CC6422"/>
    <w:rsid w:val="00CD2069"/>
    <w:rsid w:val="00CD280D"/>
    <w:rsid w:val="00CF2B37"/>
    <w:rsid w:val="00D13D9A"/>
    <w:rsid w:val="00D14A8D"/>
    <w:rsid w:val="00D21198"/>
    <w:rsid w:val="00D21592"/>
    <w:rsid w:val="00D2273E"/>
    <w:rsid w:val="00D36079"/>
    <w:rsid w:val="00D42D52"/>
    <w:rsid w:val="00D46FA2"/>
    <w:rsid w:val="00D5080D"/>
    <w:rsid w:val="00D56F5F"/>
    <w:rsid w:val="00D600B8"/>
    <w:rsid w:val="00D61B37"/>
    <w:rsid w:val="00D63B96"/>
    <w:rsid w:val="00D813A6"/>
    <w:rsid w:val="00D81B06"/>
    <w:rsid w:val="00D92F66"/>
    <w:rsid w:val="00D95819"/>
    <w:rsid w:val="00DA1824"/>
    <w:rsid w:val="00DA7285"/>
    <w:rsid w:val="00DB0E08"/>
    <w:rsid w:val="00DB59E1"/>
    <w:rsid w:val="00DC0072"/>
    <w:rsid w:val="00DD1AC1"/>
    <w:rsid w:val="00DD7D49"/>
    <w:rsid w:val="00DE2DF3"/>
    <w:rsid w:val="00DF5C4E"/>
    <w:rsid w:val="00DF7A1A"/>
    <w:rsid w:val="00E10DA7"/>
    <w:rsid w:val="00E1538C"/>
    <w:rsid w:val="00E25DB6"/>
    <w:rsid w:val="00E276CD"/>
    <w:rsid w:val="00E32EDA"/>
    <w:rsid w:val="00E53137"/>
    <w:rsid w:val="00E64215"/>
    <w:rsid w:val="00E66577"/>
    <w:rsid w:val="00E702F6"/>
    <w:rsid w:val="00E72D70"/>
    <w:rsid w:val="00E77D5E"/>
    <w:rsid w:val="00E868BB"/>
    <w:rsid w:val="00E9429F"/>
    <w:rsid w:val="00EA37A9"/>
    <w:rsid w:val="00EA7026"/>
    <w:rsid w:val="00EC4074"/>
    <w:rsid w:val="00ED07EE"/>
    <w:rsid w:val="00ED741E"/>
    <w:rsid w:val="00EE761C"/>
    <w:rsid w:val="00EF113F"/>
    <w:rsid w:val="00F033F0"/>
    <w:rsid w:val="00F03803"/>
    <w:rsid w:val="00F066C9"/>
    <w:rsid w:val="00F20822"/>
    <w:rsid w:val="00F22BDE"/>
    <w:rsid w:val="00F340DF"/>
    <w:rsid w:val="00F538BC"/>
    <w:rsid w:val="00F70F0B"/>
    <w:rsid w:val="00F9092B"/>
    <w:rsid w:val="00F92D22"/>
    <w:rsid w:val="00FB0650"/>
    <w:rsid w:val="00FB4D98"/>
    <w:rsid w:val="00FB6378"/>
    <w:rsid w:val="00FB7BCE"/>
    <w:rsid w:val="00FC4E09"/>
    <w:rsid w:val="00FC50A6"/>
    <w:rsid w:val="00FD5161"/>
    <w:rsid w:val="00FD72B2"/>
    <w:rsid w:val="00FE2099"/>
    <w:rsid w:val="00FE4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078867318">
      <w:bodyDiv w:val="1"/>
      <w:marLeft w:val="0"/>
      <w:marRight w:val="0"/>
      <w:marTop w:val="0"/>
      <w:marBottom w:val="0"/>
      <w:divBdr>
        <w:top w:val="none" w:sz="0" w:space="0" w:color="auto"/>
        <w:left w:val="none" w:sz="0" w:space="0" w:color="auto"/>
        <w:bottom w:val="none" w:sz="0" w:space="0" w:color="auto"/>
        <w:right w:val="none" w:sz="0" w:space="0" w:color="auto"/>
      </w:divBdr>
    </w:div>
    <w:div w:id="12989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C556-57AD-42BD-9316-FA899A4C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5148</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2013-10-18T15:27:00Z</cp:lastPrinted>
  <dcterms:created xsi:type="dcterms:W3CDTF">2013-11-18T16:56:00Z</dcterms:created>
  <dcterms:modified xsi:type="dcterms:W3CDTF">2013-11-18T16:56:00Z</dcterms:modified>
</cp:coreProperties>
</file>