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0F60A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D16E8E" w:rsidRDefault="00D16E8E" w:rsidP="004B245D">
      <w:r>
        <w:rPr>
          <w:b/>
          <w:bCs/>
        </w:rPr>
        <w:t xml:space="preserve">NSPS for Phosphate Rock Plants </w:t>
      </w:r>
      <w:r w:rsidR="002B29A5" w:rsidRPr="00236DB3">
        <w:rPr>
          <w:b/>
        </w:rPr>
        <w:t>(40 CFR</w:t>
      </w:r>
      <w:r w:rsidR="002B29A5" w:rsidRPr="00236DB3">
        <w:rPr>
          <w:b/>
          <w:color w:val="FF0000"/>
        </w:rPr>
        <w:t xml:space="preserve"> </w:t>
      </w:r>
      <w:r w:rsidR="00C74A65">
        <w:rPr>
          <w:b/>
        </w:rPr>
        <w:t>Part 6</w:t>
      </w:r>
      <w:r w:rsidR="00CA354B" w:rsidRPr="00CA354B">
        <w:rPr>
          <w:b/>
        </w:rPr>
        <w:t>0, Subpart NN) (Renewal)</w:t>
      </w:r>
      <w:r w:rsidR="00CA354B" w:rsidRPr="00CA354B">
        <w:t xml:space="preserve"> </w:t>
      </w:r>
    </w:p>
    <w:p w:rsidR="00CA4CD6" w:rsidRPr="00D16E8E" w:rsidRDefault="00CA4CD6"/>
    <w:p w:rsidR="00CA4CD6" w:rsidRPr="00D16E8E" w:rsidRDefault="00CA354B" w:rsidP="00504745">
      <w:pPr>
        <w:outlineLvl w:val="0"/>
        <w:rPr>
          <w:b/>
          <w:bCs/>
        </w:rPr>
      </w:pPr>
      <w:r w:rsidRPr="00CA354B">
        <w:rPr>
          <w:b/>
          <w:bCs/>
        </w:rPr>
        <w:t>1.  Identification of the Information Collection</w:t>
      </w:r>
    </w:p>
    <w:p w:rsidR="00CA4CD6" w:rsidRPr="00D16E8E" w:rsidRDefault="00CA4CD6">
      <w:pPr>
        <w:rPr>
          <w:b/>
          <w:bCs/>
        </w:rPr>
      </w:pPr>
    </w:p>
    <w:p w:rsidR="00CA4CD6" w:rsidRPr="00D16E8E" w:rsidRDefault="00CA354B">
      <w:pPr>
        <w:ind w:firstLine="720"/>
        <w:rPr>
          <w:b/>
          <w:bCs/>
        </w:rPr>
      </w:pPr>
      <w:r w:rsidRPr="00CA354B">
        <w:rPr>
          <w:b/>
          <w:bCs/>
        </w:rPr>
        <w:t>1(a</w:t>
      </w:r>
      <w:proofErr w:type="gramStart"/>
      <w:r w:rsidRPr="00CA354B">
        <w:rPr>
          <w:b/>
          <w:bCs/>
        </w:rPr>
        <w:t>)  Title</w:t>
      </w:r>
      <w:proofErr w:type="gramEnd"/>
      <w:r w:rsidRPr="00CA354B">
        <w:rPr>
          <w:b/>
          <w:bCs/>
        </w:rPr>
        <w:t xml:space="preserve"> of the Information Collection</w:t>
      </w:r>
    </w:p>
    <w:p w:rsidR="00CA4CD6" w:rsidRPr="00D16E8E" w:rsidRDefault="00CA4CD6">
      <w:pPr>
        <w:rPr>
          <w:b/>
          <w:bCs/>
        </w:rPr>
      </w:pPr>
    </w:p>
    <w:p w:rsidR="00CA4CD6" w:rsidRPr="002B29A5" w:rsidRDefault="00C74A65" w:rsidP="002B29A5">
      <w:pPr>
        <w:rPr>
          <w:bCs/>
          <w:color w:val="000000"/>
        </w:rPr>
      </w:pPr>
      <w:r>
        <w:rPr>
          <w:bCs/>
        </w:rPr>
        <w:t xml:space="preserve">NSPS for Phosphate Rock Plants </w:t>
      </w:r>
      <w:r w:rsidR="00CA354B" w:rsidRPr="00CA354B">
        <w:rPr>
          <w:bCs/>
        </w:rPr>
        <w:t>(40 CFR Part 60, Subpart NN)</w:t>
      </w:r>
      <w:r>
        <w:rPr>
          <w:bCs/>
          <w:color w:val="FF0000"/>
        </w:rPr>
        <w:t xml:space="preserve"> </w:t>
      </w:r>
      <w:r>
        <w:rPr>
          <w:bCs/>
        </w:rPr>
        <w:t xml:space="preserve">(Renewal), EPA ICR Number </w:t>
      </w:r>
      <w:r w:rsidR="00482843">
        <w:rPr>
          <w:bCs/>
        </w:rPr>
        <w:t>10</w:t>
      </w:r>
      <w:r w:rsidR="00D16E8E">
        <w:rPr>
          <w:bCs/>
        </w:rPr>
        <w:t>78.10</w:t>
      </w:r>
      <w:r w:rsidR="00CA354B" w:rsidRPr="00CA354B">
        <w:rPr>
          <w:bCs/>
        </w:rPr>
        <w:t>,</w:t>
      </w:r>
      <w:r>
        <w:rPr>
          <w:bCs/>
          <w:color w:val="FF0000"/>
        </w:rPr>
        <w:t xml:space="preserve"> </w:t>
      </w:r>
      <w:r>
        <w:rPr>
          <w:bCs/>
        </w:rPr>
        <w:t>OMB Control Number 2060-</w:t>
      </w:r>
      <w:r w:rsidR="00D16E8E">
        <w:rPr>
          <w:bCs/>
        </w:rPr>
        <w:t>0111</w:t>
      </w:r>
      <w:r w:rsidR="00CA354B" w:rsidRPr="00CA354B">
        <w:rPr>
          <w:bCs/>
        </w:rPr>
        <w:t>.</w:t>
      </w:r>
      <w:r w:rsidR="002B29A5">
        <w:rPr>
          <w:bCs/>
          <w:color w:val="FF0000"/>
        </w:rPr>
        <w:t xml:space="preserve"> </w:t>
      </w:r>
    </w:p>
    <w:p w:rsidR="00CA4CD6" w:rsidRDefault="00CA4CD6">
      <w:pPr>
        <w:rPr>
          <w:b/>
          <w:bCs/>
          <w:color w:val="000000"/>
        </w:rPr>
      </w:pPr>
    </w:p>
    <w:p w:rsidR="00CA4CD6" w:rsidRDefault="00CA4CD6" w:rsidP="004B245D">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CA354B" w:rsidRPr="00CA354B">
        <w:t>New Source Performance Standards (NSPS)</w:t>
      </w:r>
      <w:r>
        <w:rPr>
          <w:color w:val="FF0000"/>
        </w:rPr>
        <w:t xml:space="preserve"> </w:t>
      </w:r>
      <w:r>
        <w:rPr>
          <w:color w:val="000000"/>
        </w:rPr>
        <w:t xml:space="preserve">for </w:t>
      </w:r>
      <w:r w:rsidR="000B7BEA">
        <w:rPr>
          <w:bCs/>
        </w:rPr>
        <w:t xml:space="preserve">Phosphate Rock Plants </w:t>
      </w:r>
      <w:r w:rsidR="000B7BEA" w:rsidRPr="00CA354B">
        <w:rPr>
          <w:bCs/>
        </w:rPr>
        <w:t>(40 CFR Part 60, Subpart NN)</w:t>
      </w:r>
      <w:r w:rsidR="000B7BEA">
        <w:rPr>
          <w:bCs/>
          <w:color w:val="FF0000"/>
        </w:rPr>
        <w:t xml:space="preserve"> </w:t>
      </w:r>
      <w:r>
        <w:rPr>
          <w:color w:val="000000"/>
        </w:rPr>
        <w:t>were</w:t>
      </w:r>
      <w:r w:rsidR="000B7BEA">
        <w:rPr>
          <w:color w:val="000000"/>
        </w:rPr>
        <w:t>: 1)</w:t>
      </w:r>
      <w:r>
        <w:rPr>
          <w:color w:val="000000"/>
        </w:rPr>
        <w:t xml:space="preserve"> proposed </w:t>
      </w:r>
      <w:r w:rsidR="006B7195">
        <w:rPr>
          <w:color w:val="000000"/>
        </w:rPr>
        <w:t>on</w:t>
      </w:r>
      <w:r w:rsidR="009E623C">
        <w:t xml:space="preserve"> September 21, 1979</w:t>
      </w:r>
      <w:r w:rsidR="000B7BEA">
        <w:t>; 2)</w:t>
      </w:r>
      <w:r w:rsidR="009E623C">
        <w:t xml:space="preserve"> promulgated on April 16, 1982</w:t>
      </w:r>
      <w:r w:rsidR="000B7BEA">
        <w:t>;</w:t>
      </w:r>
      <w:r w:rsidR="009E623C">
        <w:t xml:space="preserve"> and </w:t>
      </w:r>
      <w:r w:rsidR="000B7BEA">
        <w:t xml:space="preserve">3) </w:t>
      </w:r>
      <w:r w:rsidR="009E623C">
        <w:t>amended on February 14, 1989, May 17, 1989, February 12, 1999, and October 17, 2000</w:t>
      </w:r>
      <w:r>
        <w:rPr>
          <w:color w:val="000000"/>
        </w:rPr>
        <w:t xml:space="preserve">.  These regulations apply </w:t>
      </w:r>
      <w:r w:rsidR="00724BC7">
        <w:rPr>
          <w:color w:val="000000"/>
        </w:rPr>
        <w:t xml:space="preserve">to </w:t>
      </w:r>
      <w:r w:rsidR="004B245D">
        <w:rPr>
          <w:color w:val="000000"/>
        </w:rPr>
        <w:t xml:space="preserve">the </w:t>
      </w:r>
      <w:r w:rsidR="004B245D">
        <w:t xml:space="preserve">following new facilities at phosphate rock plants with capacities greater than 4 tons per hour: dryers, </w:t>
      </w:r>
      <w:proofErr w:type="spellStart"/>
      <w:r w:rsidR="004B245D">
        <w:t>calciners</w:t>
      </w:r>
      <w:proofErr w:type="spellEnd"/>
      <w:r w:rsidR="004B245D">
        <w:t>, grinders, and ground rock handling and storage facilities, except those facilities producing or preparing phosphate rock solely for consumption in elemental phosphorus production.</w:t>
      </w:r>
      <w:r>
        <w:rPr>
          <w:color w:val="000000"/>
        </w:rPr>
        <w:t xml:space="preserve">  New facilities include those that commenced construction</w:t>
      </w:r>
      <w:r w:rsidR="004B245D">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60, subpart </w:t>
      </w:r>
      <w:r w:rsidR="006E11B5">
        <w:rPr>
          <w:color w:val="000000"/>
        </w:rPr>
        <w:t>NN</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CA354B" w:rsidRPr="00CA354B">
        <w:t>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CA354B" w:rsidRPr="00CA354B">
        <w:t xml:space="preserve">least two </w:t>
      </w:r>
      <w:r>
        <w:rPr>
          <w:color w:val="000000"/>
        </w:rPr>
        <w:t xml:space="preserve">years following the date of such measurements, maintenance reports, and records.  All reports are sent to the delegated state or local authority.  </w:t>
      </w:r>
      <w:r w:rsidR="000B7BEA">
        <w:rPr>
          <w:color w:val="000000"/>
        </w:rPr>
        <w:t xml:space="preserve"> </w:t>
      </w:r>
      <w:r>
        <w:rPr>
          <w:color w:val="000000"/>
        </w:rPr>
        <w:t>In the event that there is no such delegated authority, the reports are sent directly to the U</w:t>
      </w:r>
      <w:r w:rsidR="000B7BEA">
        <w:rPr>
          <w:color w:val="000000"/>
        </w:rPr>
        <w:t>.</w:t>
      </w:r>
      <w:r>
        <w:rPr>
          <w:color w:val="000000"/>
        </w:rPr>
        <w:t xml:space="preserve"> S</w:t>
      </w:r>
      <w:r w:rsidR="000B7BEA">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2097D">
        <w:rPr>
          <w:color w:val="000000"/>
        </w:rPr>
        <w:t>is an average</w:t>
      </w:r>
      <w:r>
        <w:rPr>
          <w:color w:val="000000"/>
        </w:rPr>
        <w:t xml:space="preserve"> of </w:t>
      </w:r>
      <w:r w:rsidR="00314F49">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7059EE">
        <w:rPr>
          <w:color w:val="000000"/>
        </w:rPr>
        <w:t xml:space="preserve">14 </w:t>
      </w:r>
      <w:r w:rsidR="00CA4CD6">
        <w:rPr>
          <w:color w:val="000000"/>
        </w:rPr>
        <w:t xml:space="preserve">respondents </w:t>
      </w:r>
      <w:r>
        <w:rPr>
          <w:color w:val="000000"/>
        </w:rPr>
        <w:t>per year will be subject to the standard</w:t>
      </w:r>
      <w:r w:rsidR="008A6080">
        <w:rPr>
          <w:color w:val="000000"/>
        </w:rPr>
        <w:t>s</w:t>
      </w:r>
      <w:r w:rsidR="00CA4CD6">
        <w:rPr>
          <w:color w:val="000000"/>
        </w:rPr>
        <w:t xml:space="preserve">, and </w:t>
      </w:r>
      <w:r w:rsidR="007059EE">
        <w:rPr>
          <w:color w:val="000000"/>
        </w:rPr>
        <w:t xml:space="preserve">one </w:t>
      </w:r>
      <w:r>
        <w:rPr>
          <w:color w:val="000000"/>
        </w:rPr>
        <w:t xml:space="preserve">additional </w:t>
      </w:r>
      <w:r w:rsidR="00CA4CD6">
        <w:rPr>
          <w:color w:val="000000"/>
        </w:rPr>
        <w:t xml:space="preserve">respondent will become subject to the </w:t>
      </w:r>
      <w:r>
        <w:rPr>
          <w:color w:val="000000"/>
        </w:rPr>
        <w:t>standard</w:t>
      </w:r>
      <w:r w:rsidR="008A6080">
        <w:rPr>
          <w:color w:val="000000"/>
        </w:rPr>
        <w:t>s</w:t>
      </w:r>
      <w:r w:rsidR="007059EE" w:rsidRPr="007059EE">
        <w:rPr>
          <w:color w:val="000000"/>
        </w:rPr>
        <w:t xml:space="preserve"> </w:t>
      </w:r>
      <w:r w:rsidR="007059EE">
        <w:rPr>
          <w:color w:val="000000"/>
        </w:rPr>
        <w:t>in the next three years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w:t>
      </w:r>
      <w:r w:rsidR="00C74A65">
        <w:t>t (</w:t>
      </w:r>
      <w:r w:rsidR="00CA354B" w:rsidRPr="00CA354B">
        <w:t>OMB) approved the currently active ICR without any “Terms of Clearance.”</w:t>
      </w:r>
    </w:p>
    <w:p w:rsidR="00CA4CD6" w:rsidRDefault="009D6567" w:rsidP="002B29A5">
      <w:pPr>
        <w:rPr>
          <w:color w:val="FF0000"/>
        </w:rPr>
      </w:pPr>
      <w:r>
        <w:lastRenderedPageBreak/>
        <w:tab/>
      </w:r>
      <w:r w:rsidR="00545930">
        <w:t>There are approximately 1</w:t>
      </w:r>
      <w:r w:rsidR="00E61D49">
        <w:t>4</w:t>
      </w:r>
      <w:r w:rsidR="00545930">
        <w:t xml:space="preserve"> phosphate rock plants in the United States, which are all publicly</w:t>
      </w:r>
      <w:r w:rsidR="008A6080">
        <w:t>-</w:t>
      </w:r>
      <w:r w:rsidR="00545930">
        <w:t xml:space="preserve">owned and operated by the Phosphate Rock industry.  None of the 14 plants in the United States are owned by </w:t>
      </w:r>
      <w:r w:rsidR="008A6080">
        <w:t xml:space="preserve">either </w:t>
      </w:r>
      <w:r w:rsidR="008244E4">
        <w:t>state</w:t>
      </w:r>
      <w:r w:rsidR="00545930">
        <w:t xml:space="preserve">, </w:t>
      </w:r>
      <w:r w:rsidR="008A6080">
        <w:t xml:space="preserve">or </w:t>
      </w:r>
      <w:r w:rsidR="00545930">
        <w:t xml:space="preserve">local, </w:t>
      </w:r>
      <w:r w:rsidR="008A6080">
        <w:t xml:space="preserve">or </w:t>
      </w:r>
      <w:r w:rsidR="00545930">
        <w:t>tribal</w:t>
      </w:r>
      <w:r w:rsidR="008A6080">
        <w:t xml:space="preserve"> entities</w:t>
      </w:r>
      <w:r w:rsidR="00545930">
        <w:t xml:space="preserve">, or </w:t>
      </w:r>
      <w:r w:rsidR="008A6080">
        <w:t xml:space="preserve">by </w:t>
      </w:r>
      <w:r w:rsidR="00545930">
        <w:t>the Federal government.  They are all owned and operated solely by privately</w:t>
      </w:r>
      <w:r w:rsidR="008A6080">
        <w:t>-</w:t>
      </w:r>
      <w:r w:rsidR="00545930">
        <w:t>owned</w:t>
      </w:r>
      <w:r w:rsidR="008A6080">
        <w:t>,</w:t>
      </w:r>
      <w:r w:rsidR="00545930">
        <w:t xml:space="preserve"> for-profit businesses.</w:t>
      </w:r>
      <w:r w:rsidR="00545930" w:rsidRPr="009D6567" w:rsidDel="00545930">
        <w:rPr>
          <w:color w:val="FF0000"/>
        </w:rPr>
        <w:t xml:space="preserve"> </w:t>
      </w:r>
      <w:r w:rsidR="00CA354B" w:rsidRPr="00CA354B">
        <w:t xml:space="preserve">The </w:t>
      </w:r>
      <w:r w:rsidR="008A6080">
        <w:t>“</w:t>
      </w:r>
      <w:r w:rsidR="00CA354B" w:rsidRPr="00CA354B">
        <w:t>burden</w:t>
      </w:r>
      <w:r w:rsidR="008A6080">
        <w:t>”</w:t>
      </w:r>
      <w:r w:rsidR="00CA354B" w:rsidRPr="00CA354B">
        <w:t xml:space="preserve"> to the “Affected Public” may be found </w:t>
      </w:r>
      <w:r w:rsidR="00833EC6">
        <w:t xml:space="preserve">below </w:t>
      </w:r>
      <w:r w:rsidR="00CA354B" w:rsidRPr="00CA354B">
        <w:t xml:space="preserve">in Table 1: Annual Respondent Burden and Cost – </w:t>
      </w:r>
      <w:r w:rsidR="00545930" w:rsidRPr="00545930">
        <w:rPr>
          <w:bCs/>
        </w:rPr>
        <w:t>NSPS for Phosphate Rock Plants (40 CFR Part 60, Subpart NN)</w:t>
      </w:r>
      <w:r w:rsidR="00CA354B" w:rsidRPr="00CA354B">
        <w:rPr>
          <w:bCs/>
        </w:rPr>
        <w:t xml:space="preserve"> </w:t>
      </w:r>
      <w:r w:rsidR="00545930" w:rsidRPr="00545930">
        <w:rPr>
          <w:bCs/>
        </w:rPr>
        <w:t>(Renewal)</w:t>
      </w:r>
      <w:r w:rsidR="00CA354B" w:rsidRPr="00CA354B">
        <w:t xml:space="preserve">.  The Federal Government </w:t>
      </w:r>
      <w:r w:rsidR="008A6080">
        <w:t>“</w:t>
      </w:r>
      <w:r w:rsidR="00CA354B" w:rsidRPr="00CA354B">
        <w:t>burden</w:t>
      </w:r>
      <w:r w:rsidR="008A6080">
        <w:t>”</w:t>
      </w:r>
      <w:r w:rsidR="00CA354B" w:rsidRPr="00CA354B">
        <w:t xml:space="preserve"> is attributed entirely to work performed by </w:t>
      </w:r>
      <w:r w:rsidR="008A6080">
        <w:t>either F</w:t>
      </w:r>
      <w:r w:rsidR="00CA354B" w:rsidRPr="00CA354B">
        <w:t xml:space="preserve">ederal employees or government contractors and may be found </w:t>
      </w:r>
      <w:r w:rsidR="00833EC6">
        <w:t xml:space="preserve">below </w:t>
      </w:r>
      <w:r w:rsidR="00CA354B" w:rsidRPr="00CA354B">
        <w:t xml:space="preserve">in Table 2: Average Annual EPA Burden and Cost – </w:t>
      </w:r>
      <w:r w:rsidR="00545930" w:rsidRPr="00545930">
        <w:rPr>
          <w:bCs/>
        </w:rPr>
        <w:t>NSPS for Phosphate Rock Plants (40 CFR Part 60, Subpart NN)</w:t>
      </w:r>
      <w:r w:rsidR="00CA354B" w:rsidRPr="00CA354B">
        <w:rPr>
          <w:bCs/>
        </w:rPr>
        <w:t xml:space="preserve"> </w:t>
      </w:r>
      <w:r w:rsidR="00545930" w:rsidRPr="00545930">
        <w:rPr>
          <w:bCs/>
        </w:rPr>
        <w:t>(Renewal)</w:t>
      </w:r>
      <w:r w:rsidR="00CA354B" w:rsidRPr="00CA354B">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454DB" w:rsidRDefault="00CA354B">
      <w:pPr>
        <w:pBdr>
          <w:top w:val="single" w:sz="6" w:space="0" w:color="FFFFFF"/>
          <w:left w:val="single" w:sz="6" w:space="0" w:color="FFFFFF"/>
          <w:bottom w:val="single" w:sz="6" w:space="0" w:color="FFFFFF"/>
          <w:right w:val="single" w:sz="6" w:space="0" w:color="FFFFFF"/>
        </w:pBdr>
        <w:ind w:firstLine="720"/>
      </w:pPr>
      <w:r w:rsidRPr="00CA354B">
        <w:t xml:space="preserve">The EPA is charged under Section 111 of the Clean Air Act (CAA), as amended, to establish standards of performance for new stationary sources that reflect: </w:t>
      </w:r>
    </w:p>
    <w:p w:rsidR="00CA4CD6" w:rsidRPr="00F454DB" w:rsidRDefault="00CA4CD6">
      <w:pPr>
        <w:pBdr>
          <w:top w:val="single" w:sz="6" w:space="0" w:color="FFFFFF"/>
          <w:left w:val="single" w:sz="6" w:space="0" w:color="FFFFFF"/>
          <w:bottom w:val="single" w:sz="6" w:space="0" w:color="FFFFFF"/>
          <w:right w:val="single" w:sz="6" w:space="0" w:color="FFFFFF"/>
        </w:pBdr>
      </w:pPr>
    </w:p>
    <w:p w:rsidR="00CA4CD6" w:rsidRPr="00F454DB" w:rsidRDefault="00CA354B">
      <w:pPr>
        <w:pBdr>
          <w:top w:val="single" w:sz="6" w:space="0" w:color="FFFFFF"/>
          <w:left w:val="single" w:sz="6" w:space="0" w:color="FFFFFF"/>
          <w:bottom w:val="single" w:sz="6" w:space="0" w:color="FFFFFF"/>
          <w:right w:val="single" w:sz="6" w:space="0" w:color="FFFFFF"/>
        </w:pBdr>
        <w:ind w:left="1440" w:right="1440"/>
      </w:pPr>
      <w:r w:rsidRPr="00CA354B">
        <w:rPr>
          <w:b/>
          <w:bCs/>
        </w:rPr>
        <w:t>. . .</w:t>
      </w:r>
      <w:r w:rsidRPr="00CA354B">
        <w:t xml:space="preserve"> </w:t>
      </w:r>
      <w:proofErr w:type="gramStart"/>
      <w:r w:rsidRPr="00CA354B">
        <w:t>application</w:t>
      </w:r>
      <w:proofErr w:type="gramEnd"/>
      <w:r w:rsidRPr="00CA354B">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CA354B">
        <w:t>)(</w:t>
      </w:r>
      <w:proofErr w:type="gramEnd"/>
      <w:r w:rsidRPr="00CA354B">
        <w:t>l).</w:t>
      </w:r>
    </w:p>
    <w:p w:rsidR="00CA4CD6" w:rsidRPr="00F454DB" w:rsidRDefault="00CA4CD6">
      <w:pPr>
        <w:pBdr>
          <w:top w:val="single" w:sz="6" w:space="0" w:color="FFFFFF"/>
          <w:left w:val="single" w:sz="6" w:space="0" w:color="FFFFFF"/>
          <w:bottom w:val="single" w:sz="6" w:space="0" w:color="FFFFFF"/>
          <w:right w:val="single" w:sz="6" w:space="0" w:color="FFFFFF"/>
        </w:pBdr>
      </w:pPr>
    </w:p>
    <w:p w:rsidR="00E61D49" w:rsidRDefault="00CA354B">
      <w:pPr>
        <w:pBdr>
          <w:top w:val="single" w:sz="6" w:space="0" w:color="FFFFFF"/>
          <w:left w:val="single" w:sz="6" w:space="0" w:color="FFFFFF"/>
          <w:bottom w:val="single" w:sz="6" w:space="0" w:color="FFFFFF"/>
          <w:right w:val="single" w:sz="6" w:space="0" w:color="FFFFFF"/>
        </w:pBdr>
      </w:pPr>
      <w:r w:rsidRPr="00CA354B">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F454DB" w:rsidRDefault="00CA4CD6">
      <w:pPr>
        <w:pBdr>
          <w:top w:val="single" w:sz="6" w:space="0" w:color="FFFFFF"/>
          <w:left w:val="single" w:sz="6" w:space="0" w:color="FFFFFF"/>
          <w:bottom w:val="single" w:sz="6" w:space="0" w:color="FFFFFF"/>
          <w:right w:val="single" w:sz="6" w:space="0" w:color="FFFFFF"/>
        </w:pBdr>
      </w:pPr>
    </w:p>
    <w:p w:rsidR="00CA4CD6" w:rsidRPr="00F454DB" w:rsidRDefault="00CA354B">
      <w:pPr>
        <w:pBdr>
          <w:top w:val="single" w:sz="6" w:space="0" w:color="FFFFFF"/>
          <w:left w:val="single" w:sz="6" w:space="0" w:color="FFFFFF"/>
          <w:bottom w:val="single" w:sz="6" w:space="0" w:color="FFFFFF"/>
          <w:right w:val="single" w:sz="6" w:space="0" w:color="FFFFFF"/>
        </w:pBdr>
        <w:ind w:left="1440" w:right="1440"/>
      </w:pPr>
      <w:r w:rsidRPr="00CA35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F454DB" w:rsidRDefault="00CA4CD6">
      <w:pPr>
        <w:pBdr>
          <w:top w:val="single" w:sz="6" w:space="0" w:color="FFFFFF"/>
          <w:left w:val="single" w:sz="6" w:space="0" w:color="FFFFFF"/>
          <w:bottom w:val="single" w:sz="6" w:space="0" w:color="FFFFFF"/>
          <w:right w:val="single" w:sz="6" w:space="0" w:color="FFFFFF"/>
        </w:pBdr>
      </w:pPr>
    </w:p>
    <w:p w:rsidR="00CA4CD6" w:rsidRDefault="00CA354B">
      <w:pPr>
        <w:pBdr>
          <w:top w:val="single" w:sz="6" w:space="0" w:color="FFFFFF"/>
          <w:left w:val="single" w:sz="6" w:space="0" w:color="FFFFFF"/>
          <w:bottom w:val="single" w:sz="6" w:space="0" w:color="FFFFFF"/>
          <w:right w:val="single" w:sz="6" w:space="0" w:color="FFFFFF"/>
        </w:pBdr>
        <w:ind w:firstLine="720"/>
        <w:rPr>
          <w:color w:val="000000"/>
        </w:rPr>
      </w:pPr>
      <w:r w:rsidRPr="00CA354B">
        <w:t xml:space="preserve">In the Administrator's judgment, particulate matter </w:t>
      </w:r>
      <w:r w:rsidR="00E61D49">
        <w:t xml:space="preserve">(PM) </w:t>
      </w:r>
      <w:r w:rsidRPr="00CA354B">
        <w:t>emissions from phosphate rock plants cause or contribute to air pollution that may reasonably be anticipated to endanger public health or welfare.  Therefore, the NSPS</w:t>
      </w:r>
      <w:r w:rsidR="00912E64">
        <w:rPr>
          <w:color w:val="FF0000"/>
        </w:rPr>
        <w:t xml:space="preserve"> </w:t>
      </w:r>
      <w:r w:rsidR="00CA4CD6">
        <w:rPr>
          <w:color w:val="000000"/>
        </w:rPr>
        <w:t xml:space="preserve">were promulgated for this source category at 40 CFR </w:t>
      </w:r>
      <w:proofErr w:type="gramStart"/>
      <w:r w:rsidR="00CA4CD6">
        <w:rPr>
          <w:color w:val="000000"/>
        </w:rPr>
        <w:lastRenderedPageBreak/>
        <w:t>part</w:t>
      </w:r>
      <w:proofErr w:type="gramEnd"/>
      <w:r w:rsidR="00CA4CD6">
        <w:rPr>
          <w:color w:val="000000"/>
        </w:rPr>
        <w:t xml:space="preserve"> 60,</w:t>
      </w:r>
      <w:r w:rsidR="00CA4CD6">
        <w:rPr>
          <w:b/>
          <w:bCs/>
          <w:i/>
          <w:iCs/>
          <w:color w:val="000000"/>
        </w:rPr>
        <w:t xml:space="preserve"> </w:t>
      </w:r>
      <w:r w:rsidR="00CA4CD6">
        <w:rPr>
          <w:color w:val="000000"/>
        </w:rPr>
        <w:t xml:space="preserve">subpart </w:t>
      </w:r>
      <w:r w:rsidR="00912E64">
        <w:rPr>
          <w:color w:val="000000"/>
        </w:rPr>
        <w:t>NN</w:t>
      </w:r>
      <w:r w:rsidR="00CA4CD6">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8A6080">
        <w:rPr>
          <w:color w:val="000000"/>
        </w:rPr>
        <w:t>s</w:t>
      </w:r>
      <w:r>
        <w:rPr>
          <w:color w:val="000000"/>
        </w:rPr>
        <w:t xml:space="preserve">. </w:t>
      </w:r>
      <w:r w:rsidR="008A6080">
        <w:rPr>
          <w:color w:val="000000"/>
        </w:rPr>
        <w:t xml:space="preserve"> </w:t>
      </w:r>
      <w:r>
        <w:rPr>
          <w:color w:val="000000"/>
        </w:rPr>
        <w:t>Continuous e</w:t>
      </w:r>
      <w:r w:rsidRPr="00872221">
        <w:t>mission monitors are used to ensure compliance with the standard</w:t>
      </w:r>
      <w:r w:rsidR="008A6080">
        <w:t>s</w:t>
      </w:r>
      <w:r w:rsidRPr="00872221">
        <w:t xml:space="preserve"> at all times. </w:t>
      </w:r>
      <w:r w:rsidR="008A6080">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8A6080">
        <w:rPr>
          <w:color w:val="000000"/>
        </w:rPr>
        <w:t>s</w:t>
      </w:r>
      <w:r>
        <w:rPr>
          <w:color w:val="000000"/>
        </w:rPr>
        <w:t xml:space="preserve">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833EC6">
        <w:rPr>
          <w:color w:val="000000"/>
        </w:rPr>
        <w:t>is</w:t>
      </w:r>
      <w:r>
        <w:rPr>
          <w:color w:val="000000"/>
        </w:rPr>
        <w:t xml:space="preserve"> being met.  </w:t>
      </w:r>
      <w:r w:rsidR="008A6080">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CA354B" w:rsidRPr="00CA354B">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63708">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F454DB">
        <w:rPr>
          <w:color w:val="000000"/>
        </w:rPr>
        <w:t xml:space="preserve"> NN</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163708">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8A6080">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A354B" w:rsidRPr="00CA354B">
        <w:t xml:space="preserve">78 </w:t>
      </w:r>
      <w:r w:rsidR="00CA354B" w:rsidRPr="00CA354B">
        <w:rPr>
          <w:u w:val="single"/>
        </w:rPr>
        <w:t>FR</w:t>
      </w:r>
      <w:r w:rsidR="00CA354B" w:rsidRPr="00CA354B">
        <w:t xml:space="preserve"> 33409</w:t>
      </w:r>
      <w:r>
        <w:rPr>
          <w:color w:val="000000"/>
        </w:rPr>
        <w:t>) on</w:t>
      </w:r>
      <w:r w:rsidR="00CA354B" w:rsidRPr="00CA354B">
        <w:t xml:space="preserve"> June 4, 2013.  No comments were received on the burden published in the </w:t>
      </w:r>
      <w:r w:rsidR="00CA354B" w:rsidRPr="00CA354B">
        <w:rPr>
          <w:u w:val="single"/>
        </w:rPr>
        <w:t>Federal Register</w:t>
      </w:r>
      <w:r w:rsidR="00CA354B" w:rsidRPr="00CA354B">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D28E6" w:rsidRDefault="00BD28E6" w:rsidP="00931DDF">
      <w:pPr>
        <w:pBdr>
          <w:top w:val="single" w:sz="6" w:space="0" w:color="FFFFFF"/>
          <w:left w:val="single" w:sz="6" w:space="0" w:color="FFFFFF"/>
          <w:bottom w:val="single" w:sz="6" w:space="0" w:color="FFFFFF"/>
          <w:right w:val="single" w:sz="6" w:space="0" w:color="FFFFFF"/>
        </w:pBdr>
        <w:ind w:firstLine="720"/>
        <w:rPr>
          <w:b/>
          <w:bCs/>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 standard</w:t>
      </w:r>
      <w:r w:rsidR="008A6080">
        <w:t>s</w:t>
      </w:r>
      <w:r w:rsidRPr="00895D0F">
        <w:t xml:space="preserve"> as </w:t>
      </w:r>
      <w:r w:rsidR="008A6080">
        <w:t>they were</w:t>
      </w:r>
      <w:r w:rsidRPr="00895D0F">
        <w:t xml:space="preserve"> being developed and the standard</w:t>
      </w:r>
      <w:r w:rsidR="008A6080">
        <w:t>s</w:t>
      </w:r>
      <w:r w:rsidRPr="00895D0F">
        <w:t xml:space="preserve"> ha</w:t>
      </w:r>
      <w:r w:rsidR="008A6080">
        <w:t>ve</w:t>
      </w:r>
      <w:r w:rsidRPr="00895D0F">
        <w:t xml:space="preserve"> been reviewed </w:t>
      </w:r>
      <w:r w:rsidR="008A6080" w:rsidRPr="00895D0F">
        <w:t>previously</w:t>
      </w:r>
      <w:r w:rsidR="008A6080" w:rsidRPr="00895D0F">
        <w:t xml:space="preserve"> </w:t>
      </w:r>
      <w:r w:rsidRPr="00895D0F">
        <w:t xml:space="preserve">to determine the minimum information needed for compliance purposes.  </w:t>
      </w:r>
      <w:r>
        <w:t>In developing this ICR, we contacted</w:t>
      </w:r>
      <w:r w:rsidR="00163708">
        <w:t>: 1)</w:t>
      </w:r>
      <w:r>
        <w:t xml:space="preserve"> the </w:t>
      </w:r>
      <w:r w:rsidR="00883864">
        <w:t>Association of Fertilizer and Phosphate Chemists</w:t>
      </w:r>
      <w:r w:rsidR="00163708">
        <w:t>,</w:t>
      </w:r>
      <w:r w:rsidR="00883864">
        <w:t xml:space="preserve"> </w:t>
      </w:r>
      <w:r>
        <w:t>at</w:t>
      </w:r>
      <w:r w:rsidR="00883864">
        <w:t xml:space="preserve"> (813) 545-3711</w:t>
      </w:r>
      <w:r w:rsidR="00163708">
        <w:t>;</w:t>
      </w:r>
      <w:r>
        <w:t xml:space="preserve"> and </w:t>
      </w:r>
      <w:r w:rsidR="00163708">
        <w:t xml:space="preserve">2) </w:t>
      </w:r>
      <w:r>
        <w:t>the</w:t>
      </w:r>
      <w:r w:rsidR="00BC792D">
        <w:t xml:space="preserve"> Fertilizer Institute</w:t>
      </w:r>
      <w:r w:rsidR="00163708">
        <w:t>,</w:t>
      </w:r>
      <w:r>
        <w:t xml:space="preserve"> at </w:t>
      </w:r>
      <w:r w:rsidR="00BC792D">
        <w:t>(202) 962-</w:t>
      </w:r>
      <w:r w:rsidR="00CA354B">
        <w:t>0490</w:t>
      </w:r>
      <w:r w:rsidR="00CA354B" w:rsidRPr="00CA354B">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3B6A7F" w:rsidRDefault="003B6A7F">
      <w:pPr>
        <w:pBdr>
          <w:top w:val="single" w:sz="6" w:space="0" w:color="FFFFFF"/>
          <w:left w:val="single" w:sz="6" w:space="0" w:color="FFFFFF"/>
          <w:bottom w:val="single" w:sz="6" w:space="0" w:color="FFFFFF"/>
          <w:right w:val="single" w:sz="6" w:space="0" w:color="FFFFFF"/>
        </w:pBdr>
        <w:ind w:firstLine="720"/>
        <w:rPr>
          <w:color w:val="000000"/>
        </w:rPr>
      </w:pPr>
    </w:p>
    <w:p w:rsidR="003B6A7F" w:rsidRPr="00432CB7" w:rsidRDefault="003B6A7F" w:rsidP="003B6A7F">
      <w:pPr>
        <w:pBdr>
          <w:top w:val="single" w:sz="6" w:space="0" w:color="FFFFFF"/>
          <w:left w:val="single" w:sz="6" w:space="0" w:color="FFFFFF"/>
          <w:bottom w:val="single" w:sz="6" w:space="0" w:color="FFFFFF"/>
          <w:right w:val="single" w:sz="6" w:space="0" w:color="FFFFFF"/>
        </w:pBdr>
        <w:ind w:firstLine="720"/>
      </w:pPr>
      <w:r w:rsidRPr="002B2D0B">
        <w:t>These standards require the respondents to maintain all records, including reports and notifications for at least five years.  This is consistent with the General Provisions as applied to the standards.  EPA believes that the five</w:t>
      </w:r>
      <w:r w:rsidR="008A6080">
        <w:t>-</w:t>
      </w:r>
      <w:r w:rsidRPr="002B2D0B">
        <w:t xml:space="preserve">year records retention requirement is consistent </w:t>
      </w:r>
      <w:r>
        <w:t xml:space="preserve">with </w:t>
      </w:r>
      <w:r w:rsidRPr="002B2D0B">
        <w:t>the Part 70 permit program and the five</w:t>
      </w:r>
      <w:r>
        <w:t>-</w:t>
      </w:r>
      <w:r w:rsidRPr="002B2D0B">
        <w:t>year statute of limitations on which the permit program is based.  The retention of records for five</w:t>
      </w:r>
      <w:r w:rsidR="008A6080">
        <w:t xml:space="preserve"> </w:t>
      </w:r>
      <w:r w:rsidRPr="002B2D0B">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3B6A7F" w:rsidRDefault="003B6A7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7197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115AC">
        <w:rPr>
          <w:color w:val="000000"/>
        </w:rPr>
        <w:t>phosphate rock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8115AC">
        <w:rPr>
          <w:color w:val="000000"/>
        </w:rPr>
        <w:t>1475</w:t>
      </w:r>
      <w:r w:rsidR="00E61D49">
        <w:rPr>
          <w:color w:val="000000"/>
        </w:rPr>
        <w:t>,</w:t>
      </w:r>
      <w:r w:rsidR="008115AC">
        <w:rPr>
          <w:color w:val="000000"/>
        </w:rPr>
        <w:t xml:space="preserve"> </w:t>
      </w:r>
      <w:r>
        <w:rPr>
          <w:color w:val="000000"/>
        </w:rPr>
        <w:t>which corresponds to the North American Industry Classification System</w:t>
      </w:r>
      <w:r w:rsidR="00CF2B37">
        <w:rPr>
          <w:color w:val="000000"/>
        </w:rPr>
        <w:t xml:space="preserve"> (NAICS</w:t>
      </w:r>
      <w:r>
        <w:rPr>
          <w:color w:val="000000"/>
        </w:rPr>
        <w:t xml:space="preserve">) </w:t>
      </w:r>
      <w:r w:rsidR="00E61D49">
        <w:rPr>
          <w:color w:val="000000"/>
        </w:rPr>
        <w:t xml:space="preserve">code </w:t>
      </w:r>
      <w:r w:rsidR="008115AC">
        <w:rPr>
          <w:color w:val="000000"/>
        </w:rPr>
        <w:t>2</w:t>
      </w:r>
      <w:r w:rsidR="002E24E9">
        <w:rPr>
          <w:color w:val="000000"/>
        </w:rPr>
        <w:t>12392</w:t>
      </w:r>
      <w:r w:rsidR="008115AC">
        <w:rPr>
          <w:color w:val="000000"/>
        </w:rPr>
        <w:t xml:space="preserve"> </w:t>
      </w:r>
      <w:r>
        <w:rPr>
          <w:color w:val="000000"/>
        </w:rPr>
        <w:t xml:space="preserve">for </w:t>
      </w:r>
      <w:r w:rsidR="002E24E9">
        <w:rPr>
          <w:color w:val="000000"/>
        </w:rPr>
        <w:t>Phosphate Rock Mining</w:t>
      </w:r>
      <w:r w:rsidR="002E24E9">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E61D49">
        <w:t xml:space="preserve">by </w:t>
      </w:r>
      <w:r w:rsidR="00E61D49" w:rsidRPr="00E61D49">
        <w:t>the</w:t>
      </w:r>
      <w:r w:rsidR="00E61D49">
        <w:rPr>
          <w:color w:val="FF0000"/>
        </w:rPr>
        <w:t xml:space="preserve"> </w:t>
      </w:r>
      <w:r w:rsidR="00633BA5">
        <w:rPr>
          <w:bCs/>
        </w:rPr>
        <w:t xml:space="preserve">NSPS for Phosphate Rock Plants </w:t>
      </w:r>
      <w:r w:rsidR="00633BA5" w:rsidRPr="00C74A65">
        <w:rPr>
          <w:bCs/>
        </w:rPr>
        <w:t>(40 CFR Part 60, Subpart NN)</w:t>
      </w:r>
      <w:r w:rsidR="00E61D49">
        <w:rPr>
          <w:bCs/>
        </w:rPr>
        <w:t xml:space="preserve">. </w:t>
      </w:r>
      <w:r w:rsidR="00CA4CD6">
        <w:rPr>
          <w:color w:val="FF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444D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444D22">
              <w:rPr>
                <w:b/>
              </w:rPr>
              <w:t>/Reports</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60.7(a)(1)</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60.7(a)(3)</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60.7(a)(4)</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60.7(a)(5)</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60.8(d)</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Report on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60.8(a)</w:t>
            </w:r>
          </w:p>
        </w:tc>
      </w:tr>
      <w:tr w:rsidR="00444D22"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Semiannual report on excess emissions</w:t>
            </w:r>
          </w:p>
        </w:tc>
        <w:tc>
          <w:tcPr>
            <w:tcW w:w="234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60.7(c)</w:t>
            </w:r>
          </w:p>
        </w:tc>
      </w:tr>
    </w:tbl>
    <w:p w:rsidR="00E61D49" w:rsidRDefault="00E61D49">
      <w:pPr>
        <w:pBdr>
          <w:top w:val="single" w:sz="6" w:space="1" w:color="FFFFFF"/>
          <w:left w:val="single" w:sz="6" w:space="0" w:color="FFFFFF"/>
          <w:bottom w:val="single" w:sz="6" w:space="0" w:color="FFFFFF"/>
          <w:right w:val="single" w:sz="6" w:space="0" w:color="FFFFFF"/>
        </w:pBdr>
        <w:ind w:firstLine="720"/>
        <w:rPr>
          <w:color w:val="000000"/>
        </w:rPr>
      </w:pPr>
    </w:p>
    <w:p w:rsidR="00E61D49" w:rsidRDefault="00CA4CD6">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E61D49" w:rsidRDefault="00E61D49">
      <w:pPr>
        <w:pBdr>
          <w:top w:val="single" w:sz="6" w:space="1"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444D2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44D22"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Maintain records of 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60.7(b)</w:t>
            </w:r>
          </w:p>
        </w:tc>
      </w:tr>
      <w:tr w:rsidR="00444D22"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tcPr>
          <w:p w:rsidR="00444D22" w:rsidRPr="00CF2B37" w:rsidRDefault="00444D22">
            <w:pPr>
              <w:pBdr>
                <w:top w:val="single" w:sz="6" w:space="0" w:color="FFFFFF"/>
                <w:left w:val="single" w:sz="6" w:space="0" w:color="FFFFFF"/>
                <w:bottom w:val="single" w:sz="6" w:space="0" w:color="FFFFFF"/>
                <w:right w:val="single" w:sz="6" w:space="0" w:color="FFFFFF"/>
              </w:pBd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CA354B" w:rsidRPr="00CA354B">
        <w:t>10</w:t>
      </w:r>
      <w:r w:rsidRPr="00CF2B37">
        <w:rPr>
          <w:color w:val="FF0000"/>
        </w:rPr>
        <w:t xml:space="preserve">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44D22">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444D22">
              <w:rPr>
                <w:color w:val="000000"/>
              </w:rPr>
              <w:t>wet scrubber.</w:t>
            </w:r>
          </w:p>
        </w:tc>
      </w:tr>
      <w:tr w:rsidR="00CA4CD6" w:rsidTr="004D645B">
        <w:trPr>
          <w:trHeight w:val="640"/>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444D22">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44D22">
              <w:rPr>
                <w:color w:val="000000"/>
              </w:rPr>
              <w:t>5 and 9</w:t>
            </w:r>
            <w:r>
              <w:rPr>
                <w:color w:val="FF0000"/>
              </w:rPr>
              <w:t xml:space="preserve"> </w:t>
            </w:r>
            <w:r>
              <w:rPr>
                <w:color w:val="000000"/>
              </w:rPr>
              <w:t>test</w:t>
            </w:r>
            <w:r w:rsidR="00444D22">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103E4D">
        <w:t>(</w:t>
      </w:r>
      <w:r w:rsidRPr="00D54037">
        <w:t>e.g., continuous parameter monitoring system</w:t>
      </w:r>
      <w:r w:rsidR="00103E4D">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Pr>
          <w:color w:val="000000"/>
        </w:rPr>
        <w:lastRenderedPageBreak/>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44D22">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E61D4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AF760B">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AF760B">
        <w:t xml:space="preserve"> </w:t>
      </w:r>
      <w:r w:rsidR="00AF760B">
        <w:rPr>
          <w:bCs/>
        </w:rPr>
        <w:t xml:space="preserve">NSPS for Phosphate Rock Plants </w:t>
      </w:r>
      <w:r w:rsidR="00AF760B" w:rsidRPr="00C74A65">
        <w:rPr>
          <w:bCs/>
        </w:rPr>
        <w:t>(40 CFR Part 60, Subpart NN)</w:t>
      </w:r>
      <w:r w:rsidR="00AF760B">
        <w:rPr>
          <w:bCs/>
          <w:color w:val="FF0000"/>
        </w:rPr>
        <w:t xml:space="preserve"> </w:t>
      </w:r>
      <w:r w:rsidR="00AF760B">
        <w:rPr>
          <w:bCs/>
        </w:rPr>
        <w:t>(Renewal</w:t>
      </w:r>
      <w:r w:rsidR="00F55DCA">
        <w:rPr>
          <w:bCs/>
        </w:rPr>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103E4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018B4">
        <w:rPr>
          <w:color w:val="000000"/>
        </w:rPr>
        <w:t>1,724</w:t>
      </w:r>
      <w:r w:rsidR="00370BA4">
        <w:rPr>
          <w:color w:val="000000"/>
        </w:rPr>
        <w:t xml:space="preserve"> hours</w:t>
      </w:r>
      <w:r w:rsidR="004018B4">
        <w:rPr>
          <w:color w:val="000000"/>
        </w:rPr>
        <w:t xml:space="preserve"> </w:t>
      </w:r>
      <w:r w:rsidR="004C701D">
        <w:rPr>
          <w:color w:val="000000"/>
        </w:rPr>
        <w:t>(</w:t>
      </w:r>
      <w:r>
        <w:rPr>
          <w:color w:val="000000"/>
        </w:rPr>
        <w:t>Total Labor Hours from Table 1</w:t>
      </w:r>
      <w:r w:rsidR="00370BA4">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CA354B" w:rsidRPr="00CA354B">
        <w:t>NSPS</w:t>
      </w:r>
      <w:r w:rsidR="00F55DCA">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890D9A" w:rsidRDefault="00890D9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890D9A" w:rsidRDefault="00890D9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890D9A" w:rsidRDefault="00890D9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890D9A" w:rsidRDefault="00890D9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BD28E6" w:rsidRDefault="00BD28E6" w:rsidP="00504745">
      <w:pPr>
        <w:pBdr>
          <w:top w:val="single" w:sz="6" w:space="1" w:color="FFFFFF"/>
          <w:left w:val="single" w:sz="6" w:space="0" w:color="FFFFFF"/>
          <w:bottom w:val="single" w:sz="6" w:space="0" w:color="FFFFFF"/>
          <w:right w:val="single" w:sz="6" w:space="0" w:color="FFFFFF"/>
        </w:pBdr>
        <w:ind w:firstLine="1440"/>
        <w:outlineLvl w:val="0"/>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CA4CD6" w:rsidRDefault="00890D9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he type of industry costs associated with the information collection activities in the subject standard are both labor costs which are addressed elsewhere in this ICR and the costs associated with continuous monitoring.  Th</w:t>
      </w:r>
      <w:r w:rsidR="00370BA4">
        <w:rPr>
          <w:color w:val="000000"/>
        </w:rPr>
        <w:t>e capital/startup costs are one-</w:t>
      </w:r>
      <w:r w:rsidR="00CA4CD6">
        <w:rPr>
          <w:color w:val="000000"/>
        </w:rPr>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363D1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7213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7213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rsidP="007213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72135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72135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363D11" w:rsidTr="00363D11">
        <w:tc>
          <w:tcPr>
            <w:tcW w:w="1170" w:type="dxa"/>
            <w:tcBorders>
              <w:top w:val="single" w:sz="7" w:space="0" w:color="000000"/>
              <w:left w:val="single" w:sz="7" w:space="0" w:color="000000"/>
              <w:bottom w:val="single" w:sz="7" w:space="0" w:color="000000"/>
              <w:right w:val="single" w:sz="6" w:space="0" w:color="FFFFFF"/>
            </w:tcBorders>
            <w:vAlign w:val="center"/>
          </w:tcPr>
          <w:p w:rsidR="00E61D49" w:rsidRDefault="00363D11" w:rsidP="0072135A">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Continuous Opacity Monitor</w:t>
            </w:r>
          </w:p>
        </w:tc>
        <w:tc>
          <w:tcPr>
            <w:tcW w:w="1440" w:type="dxa"/>
            <w:tcBorders>
              <w:top w:val="single" w:sz="7" w:space="0" w:color="000000"/>
              <w:left w:val="single" w:sz="7" w:space="0" w:color="000000"/>
              <w:bottom w:val="single" w:sz="7" w:space="0" w:color="000000"/>
              <w:right w:val="single" w:sz="6" w:space="0" w:color="FFFFFF"/>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$37,000</w:t>
            </w:r>
          </w:p>
        </w:tc>
        <w:tc>
          <w:tcPr>
            <w:tcW w:w="1350" w:type="dxa"/>
            <w:tcBorders>
              <w:top w:val="single" w:sz="7" w:space="0" w:color="000000"/>
              <w:left w:val="single" w:sz="7" w:space="0" w:color="000000"/>
              <w:bottom w:val="single" w:sz="7" w:space="0" w:color="000000"/>
              <w:right w:val="single" w:sz="6" w:space="0" w:color="FFFFFF"/>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0.33</w:t>
            </w:r>
          </w:p>
        </w:tc>
        <w:tc>
          <w:tcPr>
            <w:tcW w:w="1440" w:type="dxa"/>
            <w:tcBorders>
              <w:top w:val="single" w:sz="7" w:space="0" w:color="000000"/>
              <w:left w:val="single" w:sz="7" w:space="0" w:color="000000"/>
              <w:bottom w:val="single" w:sz="7" w:space="0" w:color="000000"/>
              <w:right w:val="single" w:sz="6" w:space="0" w:color="FFFFFF"/>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$12,210</w:t>
            </w:r>
          </w:p>
        </w:tc>
        <w:tc>
          <w:tcPr>
            <w:tcW w:w="1350" w:type="dxa"/>
            <w:tcBorders>
              <w:top w:val="single" w:sz="7" w:space="0" w:color="000000"/>
              <w:left w:val="single" w:sz="7" w:space="0" w:color="000000"/>
              <w:bottom w:val="single" w:sz="7" w:space="0" w:color="000000"/>
              <w:right w:val="single" w:sz="6" w:space="0" w:color="FFFFFF"/>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$8,400</w:t>
            </w:r>
          </w:p>
        </w:tc>
        <w:tc>
          <w:tcPr>
            <w:tcW w:w="1260" w:type="dxa"/>
            <w:tcBorders>
              <w:top w:val="single" w:sz="7" w:space="0" w:color="000000"/>
              <w:left w:val="single" w:sz="7" w:space="0" w:color="000000"/>
              <w:bottom w:val="single" w:sz="7" w:space="0" w:color="000000"/>
              <w:right w:val="single" w:sz="6" w:space="0" w:color="FFFFFF"/>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14.33</w:t>
            </w:r>
          </w:p>
        </w:tc>
        <w:tc>
          <w:tcPr>
            <w:tcW w:w="1350" w:type="dxa"/>
            <w:tcBorders>
              <w:top w:val="single" w:sz="7" w:space="0" w:color="000000"/>
              <w:left w:val="single" w:sz="7" w:space="0" w:color="000000"/>
              <w:bottom w:val="single" w:sz="7" w:space="0" w:color="000000"/>
              <w:right w:val="single" w:sz="7" w:space="0" w:color="000000"/>
            </w:tcBorders>
            <w:vAlign w:val="center"/>
          </w:tcPr>
          <w:p w:rsidR="00E61D49" w:rsidRDefault="00363D11">
            <w:pPr>
              <w:pBdr>
                <w:top w:val="single" w:sz="6" w:space="0" w:color="FFFFFF"/>
                <w:left w:val="single" w:sz="6" w:space="0" w:color="FFFFFF"/>
                <w:bottom w:val="single" w:sz="6" w:space="0" w:color="FFFFFF"/>
                <w:right w:val="single" w:sz="6" w:space="0" w:color="FFFFFF"/>
              </w:pBdr>
              <w:spacing w:after="72"/>
              <w:jc w:val="center"/>
              <w:rPr>
                <w:color w:val="000000"/>
              </w:rPr>
            </w:pPr>
            <w:r>
              <w:rPr>
                <w:sz w:val="20"/>
                <w:szCs w:val="20"/>
              </w:rPr>
              <w:t>$120,372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63D11">
        <w:rPr>
          <w:color w:val="000000"/>
        </w:rPr>
        <w:t>12,210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63D11">
        <w:rPr>
          <w:color w:val="000000"/>
        </w:rPr>
        <w:t>120,372</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E61D4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BD28E6">
        <w:rPr>
          <w:color w:val="000000"/>
        </w:rPr>
        <w:t xml:space="preserve">            </w:t>
      </w:r>
      <w:r>
        <w:rPr>
          <w:color w:val="000000"/>
        </w:rPr>
        <w:t>to industry over the next three years of the ICR is estimated to be $</w:t>
      </w:r>
      <w:r w:rsidR="00363D11">
        <w:rPr>
          <w:color w:val="000000"/>
        </w:rPr>
        <w:t>132,582</w:t>
      </w:r>
      <w:r>
        <w:rPr>
          <w:color w:val="000000"/>
        </w:rPr>
        <w:t xml:space="preserve">. </w:t>
      </w:r>
      <w:r w:rsidR="001C5991">
        <w:rPr>
          <w:color w:val="000000"/>
        </w:rPr>
        <w:t xml:space="preserve">  These are recordkeeping costs</w:t>
      </w:r>
      <w:r w:rsidR="00363D1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D28E6" w:rsidRDefault="00BD28E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018B4">
        <w:rPr>
          <w:color w:val="000000"/>
        </w:rPr>
        <w:t>6,707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63D11">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2334B9">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363D11">
        <w:rPr>
          <w:bCs/>
        </w:rPr>
        <w:t xml:space="preserve">NSPS for Phosphate Rock Plants </w:t>
      </w:r>
      <w:r w:rsidR="00363D11" w:rsidRPr="00C74A65">
        <w:rPr>
          <w:bCs/>
        </w:rPr>
        <w:t>(40 CFR Part 60, Subpart NN)</w:t>
      </w:r>
      <w:r w:rsidR="00363D11">
        <w:rPr>
          <w:bCs/>
          <w:color w:val="FF0000"/>
        </w:rPr>
        <w:t xml:space="preserve"> </w:t>
      </w:r>
      <w:r w:rsidR="00363D11">
        <w:rPr>
          <w:bCs/>
        </w:rPr>
        <w:t>(Renewal).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363D11">
        <w:rPr>
          <w:color w:val="000000"/>
        </w:rPr>
        <w:t xml:space="preserve"> 14</w:t>
      </w:r>
      <w:r>
        <w:rPr>
          <w:color w:val="000000"/>
        </w:rPr>
        <w:t xml:space="preserve"> existing respondents will be subject to the standard.  It is estimated that </w:t>
      </w:r>
      <w:r w:rsidR="00363D11">
        <w:rPr>
          <w:color w:val="000000"/>
        </w:rPr>
        <w:t xml:space="preserve">one </w:t>
      </w:r>
      <w:r>
        <w:rPr>
          <w:color w:val="000000"/>
        </w:rPr>
        <w:t>additional respondent</w:t>
      </w:r>
      <w:r w:rsidR="00363D11">
        <w:rPr>
          <w:color w:val="000000"/>
        </w:rPr>
        <w:t xml:space="preserve"> over the next three years</w:t>
      </w:r>
      <w:r>
        <w:rPr>
          <w:color w:val="000000"/>
        </w:rPr>
        <w:t xml:space="preserve"> will become subject.  The overall average number of responden</w:t>
      </w:r>
      <w:r w:rsidR="0035325B">
        <w:rPr>
          <w:color w:val="000000"/>
        </w:rPr>
        <w:t>ts, as shown in the table below,</w:t>
      </w:r>
      <w:r>
        <w:rPr>
          <w:color w:val="000000"/>
        </w:rPr>
        <w:t xml:space="preserve"> is </w:t>
      </w:r>
      <w:r w:rsidR="00363D11">
        <w:rPr>
          <w:color w:val="000000"/>
        </w:rPr>
        <w:t>14.33</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D96FC7">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D96FC7">
        <w:trPr>
          <w:trHeight w:val="1585"/>
        </w:trPr>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B64E91">
            <w:pPr>
              <w:spacing w:line="120" w:lineRule="exact"/>
              <w:jc w:val="center"/>
              <w:rPr>
                <w:color w:val="000000"/>
                <w:sz w:val="20"/>
                <w:szCs w:val="20"/>
              </w:rPr>
            </w:pP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B64E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B64E91">
            <w:pPr>
              <w:spacing w:line="120" w:lineRule="exact"/>
              <w:jc w:val="center"/>
              <w:rPr>
                <w:color w:val="000000"/>
                <w:sz w:val="20"/>
                <w:szCs w:val="20"/>
              </w:rPr>
            </w:pP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B64E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B64E91">
            <w:pPr>
              <w:spacing w:line="120" w:lineRule="exact"/>
              <w:jc w:val="center"/>
              <w:rPr>
                <w:color w:val="000000"/>
                <w:sz w:val="20"/>
                <w:szCs w:val="20"/>
              </w:rPr>
            </w:pP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B64E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B64E91">
            <w:pPr>
              <w:spacing w:line="120" w:lineRule="exact"/>
              <w:jc w:val="center"/>
              <w:rPr>
                <w:color w:val="000000"/>
                <w:sz w:val="20"/>
                <w:szCs w:val="20"/>
              </w:rPr>
            </w:pP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B64E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B64E91">
            <w:pPr>
              <w:spacing w:line="120" w:lineRule="exact"/>
              <w:jc w:val="center"/>
              <w:rPr>
                <w:color w:val="000000"/>
                <w:sz w:val="20"/>
                <w:szCs w:val="20"/>
              </w:rPr>
            </w:pP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B64E9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B64E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363D11" w:rsidTr="00B64E91">
        <w:tc>
          <w:tcPr>
            <w:tcW w:w="900" w:type="dxa"/>
            <w:tcBorders>
              <w:top w:val="single" w:sz="8" w:space="0" w:color="000000"/>
              <w:left w:val="single" w:sz="8" w:space="0" w:color="000000"/>
              <w:bottom w:val="single" w:sz="6" w:space="0" w:color="000000"/>
              <w:right w:val="single" w:sz="6" w:space="0" w:color="000000"/>
            </w:tcBorders>
          </w:tcPr>
          <w:p w:rsidR="00363D11" w:rsidRDefault="00363D11">
            <w:pPr>
              <w:spacing w:line="120" w:lineRule="exact"/>
              <w:rPr>
                <w:color w:val="000000"/>
                <w:sz w:val="20"/>
                <w:szCs w:val="20"/>
              </w:rPr>
            </w:pPr>
          </w:p>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82" w:type="dxa"/>
            <w:tcBorders>
              <w:top w:val="single" w:sz="8"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r w:rsidR="00E61D49">
              <w:rPr>
                <w:sz w:val="20"/>
                <w:szCs w:val="20"/>
              </w:rPr>
              <w:t>3.66</w:t>
            </w:r>
          </w:p>
        </w:tc>
        <w:tc>
          <w:tcPr>
            <w:tcW w:w="2070" w:type="dxa"/>
            <w:tcBorders>
              <w:top w:val="single" w:sz="4" w:space="0" w:color="auto"/>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4" w:space="0" w:color="auto"/>
              <w:left w:val="single" w:sz="6" w:space="0" w:color="000000"/>
              <w:bottom w:val="single" w:sz="6" w:space="0" w:color="000000"/>
              <w:right w:val="single" w:sz="8"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w:t>
            </w:r>
            <w:r w:rsidR="00E61D49">
              <w:rPr>
                <w:sz w:val="20"/>
                <w:szCs w:val="20"/>
              </w:rPr>
              <w:t>.00</w:t>
            </w:r>
          </w:p>
        </w:tc>
      </w:tr>
      <w:tr w:rsidR="00363D11">
        <w:tc>
          <w:tcPr>
            <w:tcW w:w="900" w:type="dxa"/>
            <w:tcBorders>
              <w:top w:val="single" w:sz="6" w:space="0" w:color="000000"/>
              <w:left w:val="single" w:sz="8" w:space="0" w:color="000000"/>
              <w:bottom w:val="single" w:sz="6" w:space="0" w:color="000000"/>
              <w:right w:val="single" w:sz="6" w:space="0" w:color="000000"/>
            </w:tcBorders>
          </w:tcPr>
          <w:p w:rsidR="00363D11" w:rsidRDefault="00363D11">
            <w:pPr>
              <w:spacing w:line="120" w:lineRule="exact"/>
              <w:rPr>
                <w:color w:val="000000"/>
                <w:sz w:val="18"/>
                <w:szCs w:val="18"/>
              </w:rPr>
            </w:pPr>
          </w:p>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82"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w:t>
            </w:r>
            <w:r w:rsidR="00E61D49">
              <w:rPr>
                <w:sz w:val="20"/>
                <w:szCs w:val="20"/>
              </w:rPr>
              <w:t>.00</w:t>
            </w:r>
          </w:p>
        </w:tc>
        <w:tc>
          <w:tcPr>
            <w:tcW w:w="2070"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14.33</w:t>
            </w:r>
          </w:p>
        </w:tc>
      </w:tr>
      <w:tr w:rsidR="00363D11">
        <w:tc>
          <w:tcPr>
            <w:tcW w:w="900" w:type="dxa"/>
            <w:tcBorders>
              <w:top w:val="single" w:sz="6" w:space="0" w:color="000000"/>
              <w:left w:val="single" w:sz="8" w:space="0" w:color="000000"/>
              <w:bottom w:val="single" w:sz="6" w:space="0" w:color="000000"/>
              <w:right w:val="single" w:sz="6" w:space="0" w:color="000000"/>
            </w:tcBorders>
          </w:tcPr>
          <w:p w:rsidR="00363D11" w:rsidRDefault="00363D11">
            <w:pPr>
              <w:spacing w:line="120" w:lineRule="exact"/>
              <w:rPr>
                <w:color w:val="000000"/>
                <w:sz w:val="18"/>
                <w:szCs w:val="18"/>
              </w:rPr>
            </w:pPr>
          </w:p>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0.33</w:t>
            </w:r>
          </w:p>
        </w:tc>
        <w:tc>
          <w:tcPr>
            <w:tcW w:w="1282"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w:t>
            </w:r>
            <w:r w:rsidR="00E61D49">
              <w:rPr>
                <w:sz w:val="20"/>
                <w:szCs w:val="20"/>
              </w:rPr>
              <w:t>.33</w:t>
            </w:r>
          </w:p>
        </w:tc>
        <w:tc>
          <w:tcPr>
            <w:tcW w:w="2070"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w:t>
            </w:r>
            <w:r w:rsidR="00E61D49">
              <w:rPr>
                <w:sz w:val="20"/>
                <w:szCs w:val="20"/>
              </w:rPr>
              <w:t>66</w:t>
            </w:r>
          </w:p>
        </w:tc>
      </w:tr>
      <w:tr w:rsidR="00363D11">
        <w:tc>
          <w:tcPr>
            <w:tcW w:w="900" w:type="dxa"/>
            <w:tcBorders>
              <w:top w:val="single" w:sz="6" w:space="0" w:color="000000"/>
              <w:left w:val="single" w:sz="8" w:space="0" w:color="000000"/>
              <w:bottom w:val="single" w:sz="8" w:space="0" w:color="000000"/>
              <w:right w:val="single" w:sz="6" w:space="0" w:color="000000"/>
            </w:tcBorders>
          </w:tcPr>
          <w:p w:rsidR="00363D11" w:rsidRDefault="00363D11">
            <w:pPr>
              <w:spacing w:line="120" w:lineRule="exact"/>
              <w:rPr>
                <w:color w:val="000000"/>
                <w:sz w:val="18"/>
                <w:szCs w:val="18"/>
              </w:rPr>
            </w:pPr>
          </w:p>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0.33</w:t>
            </w:r>
          </w:p>
        </w:tc>
        <w:tc>
          <w:tcPr>
            <w:tcW w:w="1282" w:type="dxa"/>
            <w:tcBorders>
              <w:top w:val="single" w:sz="6" w:space="0" w:color="000000"/>
              <w:left w:val="single" w:sz="6" w:space="0" w:color="000000"/>
              <w:bottom w:val="single" w:sz="8"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w:t>
            </w:r>
          </w:p>
        </w:tc>
        <w:tc>
          <w:tcPr>
            <w:tcW w:w="2070" w:type="dxa"/>
            <w:tcBorders>
              <w:top w:val="single" w:sz="6" w:space="0" w:color="000000"/>
              <w:left w:val="single" w:sz="6" w:space="0" w:color="000000"/>
              <w:bottom w:val="single" w:sz="8"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rsidR="00363D11" w:rsidRDefault="00363D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14.33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E61D49"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363D11">
        <w:rPr>
          <w:color w:val="000000"/>
        </w:rPr>
        <w:t xml:space="preserve"> 14.33</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2919DB">
        <w:trPr>
          <w:tblHeader/>
        </w:trPr>
        <w:tc>
          <w:tcPr>
            <w:tcW w:w="9180" w:type="dxa"/>
            <w:gridSpan w:val="5"/>
          </w:tcPr>
          <w:p w:rsidR="00CA4CD6" w:rsidRDefault="00CA4CD6" w:rsidP="00E61D49">
            <w:pPr>
              <w:keepNext/>
              <w:keepLines/>
              <w:spacing w:line="120" w:lineRule="exact"/>
              <w:rPr>
                <w:color w:val="000000"/>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E61D49">
            <w:pPr>
              <w:keepNext/>
              <w:keepLines/>
              <w:spacing w:line="120" w:lineRule="exact"/>
              <w:jc w:val="center"/>
              <w:rPr>
                <w:b/>
                <w:bCs/>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E61D49">
            <w:pPr>
              <w:keepNext/>
              <w:keepLines/>
              <w:spacing w:line="120" w:lineRule="exact"/>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E61D49">
            <w:pPr>
              <w:keepNext/>
              <w:keepLines/>
              <w:spacing w:line="120" w:lineRule="exact"/>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E61D49">
            <w:pPr>
              <w:keepNext/>
              <w:keepLines/>
              <w:spacing w:line="120" w:lineRule="exact"/>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E61D49">
            <w:pPr>
              <w:keepNext/>
              <w:keepLines/>
              <w:spacing w:line="120" w:lineRule="exact"/>
              <w:jc w:val="center"/>
              <w:rPr>
                <w:color w:val="000000"/>
                <w:sz w:val="18"/>
                <w:szCs w:val="18"/>
              </w:rPr>
            </w:pP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E61D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919DB" w:rsidTr="002919DB">
        <w:tc>
          <w:tcPr>
            <w:tcW w:w="270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construction or modification</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 xml:space="preserve">Notification of actual startup </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2919DB" w:rsidDel="002919DB"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physical or operational change which may increase the emission rate</w:t>
            </w:r>
          </w:p>
        </w:tc>
        <w:tc>
          <w:tcPr>
            <w:tcW w:w="126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2919DB" w:rsidDel="002919DB"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demonstration of CMS</w:t>
            </w:r>
          </w:p>
        </w:tc>
        <w:tc>
          <w:tcPr>
            <w:tcW w:w="126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tests</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initial performance test</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2919DB" w:rsidTr="002919DB">
        <w:tc>
          <w:tcPr>
            <w:tcW w:w="2700" w:type="dxa"/>
            <w:vAlign w:val="center"/>
          </w:tcPr>
          <w:p w:rsidR="00E61D49" w:rsidRDefault="002919DB" w:rsidP="00E61D4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 on excess emissions</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14.33</w:t>
            </w:r>
          </w:p>
        </w:tc>
        <w:tc>
          <w:tcPr>
            <w:tcW w:w="126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919DB"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28.66</w:t>
            </w:r>
          </w:p>
        </w:tc>
      </w:tr>
      <w:tr w:rsidR="002919DB" w:rsidRPr="00D96FC7" w:rsidTr="002919DB">
        <w:tc>
          <w:tcPr>
            <w:tcW w:w="2700" w:type="dxa"/>
            <w:vAlign w:val="center"/>
          </w:tcPr>
          <w:p w:rsidR="00E61D49" w:rsidRPr="00D96FC7" w:rsidRDefault="002919DB" w:rsidP="00D96FC7">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r w:rsidRPr="00D96FC7">
              <w:rPr>
                <w:b/>
                <w:sz w:val="20"/>
                <w:szCs w:val="20"/>
              </w:rPr>
              <w:t xml:space="preserve">TOTAL </w:t>
            </w:r>
          </w:p>
        </w:tc>
        <w:tc>
          <w:tcPr>
            <w:tcW w:w="1260" w:type="dxa"/>
            <w:vAlign w:val="center"/>
          </w:tcPr>
          <w:p w:rsidR="002919DB" w:rsidRPr="00D96FC7"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260" w:type="dxa"/>
            <w:vAlign w:val="center"/>
          </w:tcPr>
          <w:p w:rsidR="002919DB" w:rsidRPr="00D96FC7"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890" w:type="dxa"/>
            <w:vAlign w:val="center"/>
          </w:tcPr>
          <w:p w:rsidR="002919DB" w:rsidRPr="00D96FC7" w:rsidRDefault="002919DB" w:rsidP="00E61D49">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2070" w:type="dxa"/>
            <w:vAlign w:val="center"/>
          </w:tcPr>
          <w:p w:rsidR="002919DB" w:rsidRPr="00D96FC7" w:rsidRDefault="00D96FC7" w:rsidP="00E61D49">
            <w:pPr>
              <w:keepNext/>
              <w:keepLines/>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Pr>
                <w:b/>
                <w:sz w:val="20"/>
                <w:szCs w:val="20"/>
              </w:rPr>
              <w:t>30.64</w:t>
            </w:r>
          </w:p>
        </w:tc>
      </w:tr>
    </w:tbl>
    <w:p w:rsidR="00CA4CD6" w:rsidRPr="00D96FC7" w:rsidRDefault="00CA4CD6">
      <w:pPr>
        <w:pBdr>
          <w:top w:val="single" w:sz="6" w:space="0" w:color="FFFFFF"/>
          <w:left w:val="single" w:sz="6" w:space="0" w:color="FFFFFF"/>
          <w:bottom w:val="single" w:sz="6" w:space="0" w:color="FFFFFF"/>
          <w:right w:val="single" w:sz="6" w:space="0" w:color="FFFFFF"/>
        </w:pBdr>
        <w:rPr>
          <w:b/>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2919DB">
        <w:rPr>
          <w:color w:val="000000"/>
        </w:rPr>
        <w:t xml:space="preserve"> 31</w:t>
      </w:r>
      <w:r w:rsidR="00D96FC7">
        <w:rPr>
          <w:color w:val="000000"/>
        </w:rPr>
        <w:t xml:space="preserve"> (rounded)</w:t>
      </w:r>
      <w:r>
        <w:rPr>
          <w:color w:val="000000"/>
        </w:rPr>
        <w:t>.</w:t>
      </w:r>
    </w:p>
    <w:p w:rsidR="002919DB" w:rsidRDefault="002919DB">
      <w:pPr>
        <w:pBdr>
          <w:top w:val="single" w:sz="6" w:space="0" w:color="FFFFFF"/>
          <w:left w:val="single" w:sz="6" w:space="0" w:color="FFFFFF"/>
          <w:bottom w:val="single" w:sz="6" w:space="0" w:color="FFFFFF"/>
          <w:right w:val="single" w:sz="6" w:space="0" w:color="FFFFFF"/>
        </w:pBdr>
        <w:ind w:firstLine="720"/>
        <w:rPr>
          <w:color w:val="000000"/>
        </w:rPr>
      </w:pPr>
    </w:p>
    <w:p w:rsidR="00E61D49"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0C27A2">
        <w:rPr>
          <w:color w:val="000000"/>
        </w:rPr>
        <w:t>$</w:t>
      </w:r>
      <w:r w:rsidR="000C27A2">
        <w:t>168,674</w:t>
      </w:r>
      <w:r w:rsidR="00CA354B" w:rsidRPr="00CA354B">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919DB">
        <w:rPr>
          <w:bCs/>
        </w:rPr>
        <w:t xml:space="preserve">NSPS for Phosphate Rock Plants </w:t>
      </w:r>
      <w:r w:rsidR="002919DB" w:rsidRPr="00C74A65">
        <w:rPr>
          <w:bCs/>
        </w:rPr>
        <w:t>(40 CFR Part 60, Subpart NN)</w:t>
      </w:r>
      <w:r w:rsidR="002919DB">
        <w:rPr>
          <w:bCs/>
          <w:color w:val="FF0000"/>
        </w:rPr>
        <w:t xml:space="preserve"> </w:t>
      </w:r>
      <w:r w:rsidR="002919DB">
        <w:rPr>
          <w:bCs/>
        </w:rPr>
        <w:t>(Renewal)</w:t>
      </w:r>
      <w:r w:rsidR="002919D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33B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890D9A" w:rsidRDefault="00890D9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BD28E6" w:rsidRDefault="00BD28E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C27A2">
        <w:rPr>
          <w:color w:val="000000"/>
        </w:rPr>
        <w:t>1,724</w:t>
      </w:r>
      <w:r w:rsidR="008239E6">
        <w:rPr>
          <w:color w:val="000000"/>
        </w:rPr>
        <w:t xml:space="preserve"> </w:t>
      </w:r>
      <w:r w:rsidR="00890D9A">
        <w:rPr>
          <w:color w:val="000000"/>
        </w:rPr>
        <w:t xml:space="preserve">hours </w:t>
      </w:r>
      <w:r w:rsidR="008239E6">
        <w:rPr>
          <w:color w:val="000000"/>
        </w:rPr>
        <w:t>at a cost of $168,674</w:t>
      </w:r>
      <w:r>
        <w:rPr>
          <w:color w:val="000000"/>
        </w:rPr>
        <w:t>.</w:t>
      </w:r>
      <w:r w:rsidR="00507EC5">
        <w:rPr>
          <w:color w:val="000000"/>
        </w:rPr>
        <w:t xml:space="preserve">  </w:t>
      </w:r>
      <w:r>
        <w:rPr>
          <w:color w:val="000000"/>
        </w:rPr>
        <w:t xml:space="preserve">Details regarding these estimates may be found </w:t>
      </w:r>
      <w:r w:rsidR="008239E6">
        <w:rPr>
          <w:color w:val="000000"/>
        </w:rPr>
        <w:t xml:space="preserve">below </w:t>
      </w:r>
      <w:r>
        <w:rPr>
          <w:color w:val="000000"/>
        </w:rPr>
        <w:t>in Table 1</w:t>
      </w:r>
      <w:r w:rsidR="00890D9A">
        <w:rPr>
          <w:color w:val="000000"/>
        </w:rPr>
        <w:t>:</w:t>
      </w:r>
      <w:r>
        <w:rPr>
          <w:color w:val="000000"/>
        </w:rPr>
        <w:t xml:space="preserve"> Annual Respondent Burden and Cost</w:t>
      </w:r>
      <w:r w:rsidR="00CF2B37">
        <w:rPr>
          <w:color w:val="000000"/>
        </w:rPr>
        <w:t xml:space="preserve"> – </w:t>
      </w:r>
      <w:r w:rsidR="002919DB">
        <w:rPr>
          <w:bCs/>
        </w:rPr>
        <w:t xml:space="preserve">NSPS for Phosphate Rock Plants </w:t>
      </w:r>
      <w:r w:rsidR="002919DB" w:rsidRPr="00C74A65">
        <w:rPr>
          <w:bCs/>
        </w:rPr>
        <w:t>(40 CFR Part 60, Subpart NN)</w:t>
      </w:r>
      <w:r w:rsidR="002919DB">
        <w:rPr>
          <w:bCs/>
          <w:color w:val="FF0000"/>
        </w:rPr>
        <w:t xml:space="preserve"> </w:t>
      </w:r>
      <w:r w:rsidR="002919DB">
        <w:rPr>
          <w:bCs/>
        </w:rPr>
        <w:t>(Renewal)</w:t>
      </w:r>
      <w:r w:rsidR="002919DB">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CA354B" w:rsidRPr="00CA354B">
        <w:t xml:space="preserve"> 56</w:t>
      </w:r>
      <w:r w:rsidR="00615A72">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E510C">
        <w:rPr>
          <w:color w:val="000000"/>
        </w:rPr>
        <w:t>$132,582</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300DB6">
        <w:rPr>
          <w:color w:val="000000"/>
        </w:rPr>
        <w:t xml:space="preserve"> </w:t>
      </w:r>
      <w:proofErr w:type="gramStart"/>
      <w:r w:rsidR="00300DB6">
        <w:rPr>
          <w:color w:val="000000"/>
        </w:rPr>
        <w:t>149</w:t>
      </w:r>
      <w:r>
        <w:rPr>
          <w:color w:val="000000"/>
        </w:rPr>
        <w:t xml:space="preserve">  labor</w:t>
      </w:r>
      <w:proofErr w:type="gramEnd"/>
      <w:r>
        <w:rPr>
          <w:color w:val="000000"/>
        </w:rPr>
        <w:t xml:space="preserve"> hours at a cost of</w:t>
      </w:r>
      <w:r w:rsidR="00300DB6">
        <w:rPr>
          <w:color w:val="000000"/>
        </w:rPr>
        <w:t xml:space="preserve"> $6,707</w:t>
      </w:r>
      <w:r w:rsidR="00144F35">
        <w:rPr>
          <w:color w:val="000000"/>
        </w:rPr>
        <w:t xml:space="preserve">.  See </w:t>
      </w:r>
      <w:r w:rsidR="008635BD">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2919DB">
        <w:rPr>
          <w:bCs/>
        </w:rPr>
        <w:t xml:space="preserve">NSPS for Phosphate Rock Plants </w:t>
      </w:r>
      <w:r w:rsidR="002919DB" w:rsidRPr="00C74A65">
        <w:rPr>
          <w:bCs/>
        </w:rPr>
        <w:t xml:space="preserve">(40 CFR </w:t>
      </w:r>
      <w:proofErr w:type="gramStart"/>
      <w:r w:rsidR="002919DB" w:rsidRPr="00C74A65">
        <w:rPr>
          <w:bCs/>
        </w:rPr>
        <w:t>Part</w:t>
      </w:r>
      <w:proofErr w:type="gramEnd"/>
      <w:r w:rsidR="002919DB" w:rsidRPr="00C74A65">
        <w:rPr>
          <w:bCs/>
        </w:rPr>
        <w:t xml:space="preserve"> 60, Subpart NN)</w:t>
      </w:r>
      <w:r w:rsidR="002919DB">
        <w:rPr>
          <w:bCs/>
          <w:color w:val="FF0000"/>
        </w:rPr>
        <w:t xml:space="preserve"> </w:t>
      </w:r>
      <w:r w:rsidR="002919DB">
        <w:rPr>
          <w:bCs/>
        </w:rPr>
        <w:t>(Renewal)</w:t>
      </w:r>
      <w:r w:rsidR="002919D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E61D49" w:rsidRDefault="00B03281">
      <w:pPr>
        <w:pBdr>
          <w:top w:val="single" w:sz="6" w:space="0" w:color="FFFFFF"/>
          <w:left w:val="single" w:sz="6" w:space="0" w:color="FFFFFF"/>
          <w:bottom w:val="single" w:sz="6" w:space="0" w:color="FFFFFF"/>
          <w:right w:val="single" w:sz="6" w:space="0" w:color="FFFFFF"/>
        </w:pBdr>
        <w:ind w:firstLine="720"/>
      </w:pPr>
      <w:r w:rsidRPr="00687307">
        <w:t xml:space="preserve">The increase in burden from the most recently approved ICR is due to </w:t>
      </w:r>
      <w:r>
        <w:t>an increase in the number of new or modified sources and an increase in labor costs</w:t>
      </w:r>
      <w:r w:rsidRPr="00687307">
        <w:t xml:space="preserve">.  </w:t>
      </w:r>
      <w:r w:rsidRPr="005239B3">
        <w:t>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40238">
        <w:rPr>
          <w:color w:val="000000"/>
        </w:rPr>
        <w:t>56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 xml:space="preserve">Docket ID Number </w:t>
      </w:r>
      <w:r w:rsidR="0035325B">
        <w:t>EPA-HQ-OECA-201</w:t>
      </w:r>
      <w:r w:rsidR="0035325B" w:rsidRPr="00387929">
        <w:t>3</w:t>
      </w:r>
      <w:r w:rsidR="00CA354B" w:rsidRPr="00CA354B">
        <w:t>-0314.</w:t>
      </w:r>
      <w:r w:rsidR="00354C15">
        <w:rPr>
          <w:color w:val="FF0000"/>
        </w:rPr>
        <w:t xml:space="preserve">  </w:t>
      </w:r>
      <w:r w:rsidR="00354C15" w:rsidRPr="00354C15">
        <w:t xml:space="preserve">An electronic version of the public docket is available at </w:t>
      </w:r>
      <w:r w:rsidR="00354C15" w:rsidRPr="00D50A16">
        <w:rPr>
          <w:u w:val="single"/>
        </w:rPr>
        <w:t>http://www.regulations.gov/</w:t>
      </w:r>
      <w:r w:rsidR="00890D9A">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90D9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50A16">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387929">
        <w:t>EPA-HQ-OECA-201</w:t>
      </w:r>
      <w:r w:rsidR="00387929" w:rsidRPr="00387929">
        <w:t>3-0314</w:t>
      </w:r>
      <w:r w:rsidR="00CA4CD6">
        <w:t xml:space="preserve"> and OMB Control Number </w:t>
      </w:r>
      <w:r w:rsidR="00387929">
        <w:t>2060-0111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Default="00144F35" w:rsidP="00504745">
      <w:pPr>
        <w:outlineLvl w:val="0"/>
        <w:rPr>
          <w:b/>
          <w:bCs/>
          <w:color w:val="000000"/>
        </w:rPr>
      </w:pPr>
      <w:r w:rsidRPr="00C4183F">
        <w:rPr>
          <w:b/>
          <w:bCs/>
          <w:color w:val="000000"/>
        </w:rPr>
        <w:lastRenderedPageBreak/>
        <w:t xml:space="preserve">Table 1: Annual Respondent Burden and </w:t>
      </w:r>
      <w:r w:rsidRPr="002919DB">
        <w:rPr>
          <w:b/>
          <w:bCs/>
          <w:color w:val="000000"/>
        </w:rPr>
        <w:t xml:space="preserve">Cost – </w:t>
      </w:r>
      <w:r w:rsidR="00CA354B" w:rsidRPr="00CA354B">
        <w:rPr>
          <w:b/>
          <w:bCs/>
        </w:rPr>
        <w:t>NSPS for Phosphate Rock Plants (40 CFR Part 60, Subpart NN)</w:t>
      </w:r>
      <w:r w:rsidR="00CA354B" w:rsidRPr="00CA354B">
        <w:rPr>
          <w:b/>
          <w:bCs/>
          <w:color w:val="FF0000"/>
        </w:rPr>
        <w:t xml:space="preserve"> </w:t>
      </w:r>
      <w:r w:rsidR="00CA354B" w:rsidRPr="00CA354B">
        <w:rPr>
          <w:b/>
          <w:bCs/>
        </w:rPr>
        <w:t>(Renewal)</w:t>
      </w:r>
    </w:p>
    <w:p w:rsidR="00144F35" w:rsidRDefault="00144F35" w:rsidP="00F340DF">
      <w:pPr>
        <w:rPr>
          <w:b/>
          <w:bCs/>
          <w:color w:val="000000"/>
        </w:rPr>
      </w:pPr>
    </w:p>
    <w:tbl>
      <w:tblPr>
        <w:tblW w:w="14087" w:type="dxa"/>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9"/>
        <w:gridCol w:w="1080"/>
        <w:gridCol w:w="1260"/>
        <w:gridCol w:w="1080"/>
        <w:gridCol w:w="1170"/>
        <w:gridCol w:w="1350"/>
        <w:gridCol w:w="1260"/>
        <w:gridCol w:w="921"/>
        <w:gridCol w:w="1217"/>
      </w:tblGrid>
      <w:tr w:rsidR="00123CEA" w:rsidTr="00C30DBA">
        <w:trPr>
          <w:trHeight w:val="1530"/>
          <w:tblHeader/>
          <w:jc w:val="center"/>
        </w:trPr>
        <w:tc>
          <w:tcPr>
            <w:tcW w:w="4749" w:type="dxa"/>
            <w:shd w:val="clear" w:color="auto" w:fill="auto"/>
            <w:noWrap/>
            <w:tcMar>
              <w:top w:w="15" w:type="dxa"/>
              <w:left w:w="15" w:type="dxa"/>
              <w:bottom w:w="0" w:type="dxa"/>
              <w:right w:w="15" w:type="dxa"/>
            </w:tcMar>
            <w:vAlign w:val="center"/>
            <w:hideMark/>
          </w:tcPr>
          <w:p w:rsidR="00123CEA" w:rsidRDefault="00123CEA">
            <w:pPr>
              <w:jc w:val="center"/>
              <w:rPr>
                <w:b/>
                <w:bCs/>
                <w:color w:val="000000"/>
                <w:sz w:val="20"/>
                <w:szCs w:val="20"/>
              </w:rPr>
            </w:pPr>
            <w:r>
              <w:rPr>
                <w:b/>
                <w:bCs/>
                <w:color w:val="000000"/>
                <w:sz w:val="20"/>
                <w:szCs w:val="20"/>
              </w:rPr>
              <w:t>Burden Item</w:t>
            </w:r>
          </w:p>
        </w:tc>
        <w:tc>
          <w:tcPr>
            <w:tcW w:w="1080" w:type="dxa"/>
            <w:shd w:val="clear" w:color="auto" w:fill="auto"/>
            <w:tcMar>
              <w:top w:w="15" w:type="dxa"/>
              <w:left w:w="15" w:type="dxa"/>
              <w:bottom w:w="0" w:type="dxa"/>
              <w:right w:w="15" w:type="dxa"/>
            </w:tcMar>
            <w:vAlign w:val="center"/>
            <w:hideMark/>
          </w:tcPr>
          <w:p w:rsidR="00B64E91" w:rsidRDefault="00123CEA">
            <w:pPr>
              <w:jc w:val="center"/>
              <w:rPr>
                <w:b/>
                <w:bCs/>
                <w:color w:val="000000"/>
                <w:sz w:val="20"/>
                <w:szCs w:val="20"/>
              </w:rPr>
            </w:pPr>
            <w:r>
              <w:rPr>
                <w:b/>
                <w:bCs/>
                <w:color w:val="000000"/>
                <w:sz w:val="20"/>
                <w:szCs w:val="20"/>
              </w:rPr>
              <w:t xml:space="preserve">(A) </w:t>
            </w:r>
          </w:p>
          <w:p w:rsidR="00123CEA" w:rsidRDefault="00123CEA">
            <w:pPr>
              <w:jc w:val="center"/>
              <w:rPr>
                <w:b/>
                <w:bCs/>
                <w:color w:val="000000"/>
                <w:sz w:val="20"/>
                <w:szCs w:val="20"/>
              </w:rPr>
            </w:pPr>
            <w:r>
              <w:rPr>
                <w:b/>
                <w:bCs/>
                <w:color w:val="000000"/>
                <w:sz w:val="20"/>
                <w:szCs w:val="20"/>
              </w:rPr>
              <w:t>Person- hours per occurrence</w:t>
            </w:r>
          </w:p>
          <w:p w:rsidR="00C30DBA" w:rsidRDefault="00C30DBA">
            <w:pPr>
              <w:jc w:val="center"/>
              <w:rPr>
                <w:b/>
                <w:bCs/>
                <w:color w:val="000000"/>
                <w:sz w:val="20"/>
                <w:szCs w:val="20"/>
              </w:rPr>
            </w:pPr>
          </w:p>
          <w:p w:rsidR="00C3306F" w:rsidRDefault="00C3306F">
            <w:pPr>
              <w:jc w:val="center"/>
              <w:rPr>
                <w:b/>
                <w:bCs/>
                <w:color w:val="000000"/>
                <w:sz w:val="20"/>
                <w:szCs w:val="20"/>
              </w:rPr>
            </w:pPr>
          </w:p>
          <w:p w:rsidR="00C3306F" w:rsidRDefault="00C3306F">
            <w:pPr>
              <w:jc w:val="center"/>
              <w:rPr>
                <w:b/>
                <w:bCs/>
                <w:color w:val="000000"/>
                <w:sz w:val="20"/>
                <w:szCs w:val="20"/>
              </w:rPr>
            </w:pPr>
          </w:p>
        </w:tc>
        <w:tc>
          <w:tcPr>
            <w:tcW w:w="1260" w:type="dxa"/>
            <w:shd w:val="clear" w:color="auto" w:fill="auto"/>
            <w:tcMar>
              <w:top w:w="15" w:type="dxa"/>
              <w:left w:w="15" w:type="dxa"/>
              <w:bottom w:w="0" w:type="dxa"/>
              <w:right w:w="15" w:type="dxa"/>
            </w:tcMar>
            <w:vAlign w:val="center"/>
            <w:hideMark/>
          </w:tcPr>
          <w:p w:rsidR="00B64E91" w:rsidRDefault="00123CEA">
            <w:pPr>
              <w:jc w:val="center"/>
              <w:rPr>
                <w:b/>
                <w:bCs/>
                <w:color w:val="000000"/>
                <w:sz w:val="20"/>
                <w:szCs w:val="20"/>
              </w:rPr>
            </w:pPr>
            <w:r>
              <w:rPr>
                <w:b/>
                <w:bCs/>
                <w:color w:val="000000"/>
                <w:sz w:val="20"/>
                <w:szCs w:val="20"/>
              </w:rPr>
              <w:t xml:space="preserve">(B) </w:t>
            </w:r>
          </w:p>
          <w:p w:rsidR="00123CEA" w:rsidRDefault="00123CEA">
            <w:pPr>
              <w:jc w:val="center"/>
              <w:rPr>
                <w:b/>
                <w:bCs/>
                <w:color w:val="000000"/>
                <w:sz w:val="20"/>
                <w:szCs w:val="20"/>
              </w:rPr>
            </w:pPr>
            <w:r>
              <w:rPr>
                <w:b/>
                <w:bCs/>
                <w:color w:val="000000"/>
                <w:sz w:val="20"/>
                <w:szCs w:val="20"/>
              </w:rPr>
              <w:t>No. of occurrences per respondent per year</w:t>
            </w:r>
          </w:p>
          <w:p w:rsidR="00C30DBA" w:rsidRDefault="00C30DBA">
            <w:pPr>
              <w:jc w:val="center"/>
              <w:rPr>
                <w:b/>
                <w:bCs/>
                <w:color w:val="000000"/>
                <w:sz w:val="20"/>
                <w:szCs w:val="20"/>
              </w:rPr>
            </w:pPr>
          </w:p>
        </w:tc>
        <w:tc>
          <w:tcPr>
            <w:tcW w:w="1080" w:type="dxa"/>
            <w:shd w:val="clear" w:color="auto" w:fill="auto"/>
            <w:tcMar>
              <w:top w:w="15" w:type="dxa"/>
              <w:left w:w="15" w:type="dxa"/>
              <w:bottom w:w="0" w:type="dxa"/>
              <w:right w:w="15" w:type="dxa"/>
            </w:tcMar>
            <w:vAlign w:val="center"/>
            <w:hideMark/>
          </w:tcPr>
          <w:p w:rsidR="00B64E91" w:rsidRDefault="00123CEA">
            <w:pPr>
              <w:jc w:val="center"/>
              <w:rPr>
                <w:b/>
                <w:bCs/>
                <w:color w:val="000000"/>
                <w:sz w:val="20"/>
                <w:szCs w:val="20"/>
              </w:rPr>
            </w:pPr>
            <w:r>
              <w:rPr>
                <w:b/>
                <w:bCs/>
                <w:color w:val="000000"/>
                <w:sz w:val="20"/>
                <w:szCs w:val="20"/>
              </w:rPr>
              <w:t xml:space="preserve">(C) </w:t>
            </w:r>
          </w:p>
          <w:p w:rsidR="00123CEA" w:rsidRDefault="00123CEA">
            <w:pPr>
              <w:jc w:val="center"/>
              <w:rPr>
                <w:b/>
                <w:bCs/>
                <w:color w:val="000000"/>
                <w:sz w:val="20"/>
                <w:szCs w:val="20"/>
              </w:rPr>
            </w:pPr>
            <w:r>
              <w:rPr>
                <w:b/>
                <w:bCs/>
                <w:color w:val="000000"/>
                <w:sz w:val="20"/>
                <w:szCs w:val="20"/>
              </w:rPr>
              <w:t>Person- hours per respondent per year (</w:t>
            </w:r>
            <w:proofErr w:type="spellStart"/>
            <w:r>
              <w:rPr>
                <w:b/>
                <w:bCs/>
                <w:color w:val="000000"/>
                <w:sz w:val="20"/>
                <w:szCs w:val="20"/>
              </w:rPr>
              <w:t>AxB</w:t>
            </w:r>
            <w:proofErr w:type="spellEnd"/>
            <w:r>
              <w:rPr>
                <w:b/>
                <w:bCs/>
                <w:color w:val="000000"/>
                <w:sz w:val="20"/>
                <w:szCs w:val="20"/>
              </w:rPr>
              <w:t>)</w:t>
            </w:r>
          </w:p>
          <w:p w:rsidR="00C30DBA" w:rsidRDefault="00C30DBA">
            <w:pPr>
              <w:jc w:val="center"/>
              <w:rPr>
                <w:b/>
                <w:bCs/>
                <w:color w:val="000000"/>
                <w:sz w:val="20"/>
                <w:szCs w:val="20"/>
              </w:rPr>
            </w:pPr>
          </w:p>
        </w:tc>
        <w:tc>
          <w:tcPr>
            <w:tcW w:w="1170" w:type="dxa"/>
            <w:shd w:val="clear" w:color="auto" w:fill="auto"/>
            <w:tcMar>
              <w:top w:w="15" w:type="dxa"/>
              <w:left w:w="15" w:type="dxa"/>
              <w:bottom w:w="0" w:type="dxa"/>
              <w:right w:w="15" w:type="dxa"/>
            </w:tcMar>
            <w:vAlign w:val="center"/>
            <w:hideMark/>
          </w:tcPr>
          <w:p w:rsidR="00123CEA" w:rsidRDefault="00123CEA">
            <w:pPr>
              <w:jc w:val="center"/>
              <w:rPr>
                <w:b/>
                <w:bCs/>
                <w:color w:val="000000"/>
                <w:sz w:val="20"/>
                <w:szCs w:val="20"/>
                <w:vertAlign w:val="superscript"/>
              </w:rPr>
            </w:pPr>
            <w:r>
              <w:rPr>
                <w:b/>
                <w:bCs/>
                <w:color w:val="000000"/>
                <w:sz w:val="20"/>
                <w:szCs w:val="20"/>
              </w:rPr>
              <w:t>(D) Respondents per year</w:t>
            </w:r>
            <w:r w:rsidR="00B64E91">
              <w:rPr>
                <w:b/>
                <w:bCs/>
                <w:color w:val="000000"/>
                <w:sz w:val="20"/>
                <w:szCs w:val="20"/>
              </w:rPr>
              <w:t xml:space="preserve"> </w:t>
            </w:r>
            <w:r>
              <w:rPr>
                <w:b/>
                <w:bCs/>
                <w:color w:val="000000"/>
                <w:sz w:val="20"/>
                <w:szCs w:val="20"/>
                <w:vertAlign w:val="superscript"/>
              </w:rPr>
              <w:t>a</w:t>
            </w:r>
          </w:p>
          <w:p w:rsidR="00C30DBA" w:rsidRDefault="00C30DBA">
            <w:pPr>
              <w:jc w:val="center"/>
              <w:rPr>
                <w:b/>
                <w:bCs/>
                <w:color w:val="000000"/>
                <w:sz w:val="20"/>
                <w:szCs w:val="20"/>
                <w:vertAlign w:val="superscript"/>
              </w:rPr>
            </w:pPr>
          </w:p>
          <w:p w:rsidR="00C3306F" w:rsidRDefault="00C3306F">
            <w:pPr>
              <w:jc w:val="center"/>
              <w:rPr>
                <w:b/>
                <w:bCs/>
                <w:color w:val="000000"/>
                <w:sz w:val="20"/>
                <w:szCs w:val="20"/>
                <w:vertAlign w:val="superscript"/>
              </w:rPr>
            </w:pPr>
          </w:p>
          <w:p w:rsidR="00C3306F" w:rsidRDefault="00C3306F">
            <w:pPr>
              <w:jc w:val="center"/>
              <w:rPr>
                <w:b/>
                <w:bCs/>
                <w:color w:val="000000"/>
                <w:sz w:val="20"/>
                <w:szCs w:val="20"/>
                <w:vertAlign w:val="superscript"/>
              </w:rPr>
            </w:pPr>
          </w:p>
          <w:p w:rsidR="00C3306F" w:rsidRDefault="00C3306F">
            <w:pPr>
              <w:jc w:val="center"/>
              <w:rPr>
                <w:b/>
                <w:bCs/>
                <w:color w:val="000000"/>
                <w:sz w:val="20"/>
                <w:szCs w:val="20"/>
              </w:rPr>
            </w:pPr>
          </w:p>
        </w:tc>
        <w:tc>
          <w:tcPr>
            <w:tcW w:w="1350" w:type="dxa"/>
            <w:shd w:val="clear" w:color="auto" w:fill="auto"/>
            <w:tcMar>
              <w:top w:w="15" w:type="dxa"/>
              <w:left w:w="15" w:type="dxa"/>
              <w:bottom w:w="0" w:type="dxa"/>
              <w:right w:w="15" w:type="dxa"/>
            </w:tcMar>
            <w:vAlign w:val="center"/>
            <w:hideMark/>
          </w:tcPr>
          <w:p w:rsidR="00B64E91" w:rsidRDefault="00123CEA">
            <w:pPr>
              <w:jc w:val="center"/>
              <w:rPr>
                <w:b/>
                <w:bCs/>
                <w:color w:val="000000"/>
                <w:sz w:val="20"/>
                <w:szCs w:val="20"/>
              </w:rPr>
            </w:pPr>
            <w:r>
              <w:rPr>
                <w:b/>
                <w:bCs/>
                <w:color w:val="000000"/>
                <w:sz w:val="20"/>
                <w:szCs w:val="20"/>
              </w:rPr>
              <w:t xml:space="preserve">(E) </w:t>
            </w:r>
          </w:p>
          <w:p w:rsidR="00B64E91" w:rsidRDefault="00123CEA">
            <w:pPr>
              <w:jc w:val="center"/>
              <w:rPr>
                <w:b/>
                <w:bCs/>
                <w:color w:val="000000"/>
                <w:sz w:val="20"/>
                <w:szCs w:val="20"/>
              </w:rPr>
            </w:pPr>
            <w:r>
              <w:rPr>
                <w:b/>
                <w:bCs/>
                <w:color w:val="000000"/>
                <w:sz w:val="20"/>
                <w:szCs w:val="20"/>
              </w:rPr>
              <w:t xml:space="preserve">Technical person- hours per year </w:t>
            </w:r>
          </w:p>
          <w:p w:rsidR="00123CEA" w:rsidRDefault="00123CEA">
            <w:pPr>
              <w:jc w:val="center"/>
              <w:rPr>
                <w:b/>
                <w:bCs/>
                <w:color w:val="000000"/>
                <w:sz w:val="20"/>
                <w:szCs w:val="20"/>
              </w:rPr>
            </w:pPr>
            <w:r>
              <w:rPr>
                <w:b/>
                <w:bCs/>
                <w:color w:val="000000"/>
                <w:sz w:val="20"/>
                <w:szCs w:val="20"/>
              </w:rPr>
              <w:t>(</w:t>
            </w:r>
            <w:proofErr w:type="spellStart"/>
            <w:r>
              <w:rPr>
                <w:b/>
                <w:bCs/>
                <w:color w:val="000000"/>
                <w:sz w:val="20"/>
                <w:szCs w:val="20"/>
              </w:rPr>
              <w:t>CxD</w:t>
            </w:r>
            <w:proofErr w:type="spellEnd"/>
            <w:r>
              <w:rPr>
                <w:b/>
                <w:bCs/>
                <w:color w:val="000000"/>
                <w:sz w:val="20"/>
                <w:szCs w:val="20"/>
              </w:rPr>
              <w:t>)</w:t>
            </w:r>
          </w:p>
          <w:p w:rsidR="00C30DBA" w:rsidRDefault="00C30DBA">
            <w:pPr>
              <w:jc w:val="center"/>
              <w:rPr>
                <w:b/>
                <w:bCs/>
                <w:color w:val="000000"/>
                <w:sz w:val="20"/>
                <w:szCs w:val="20"/>
              </w:rPr>
            </w:pPr>
          </w:p>
          <w:p w:rsidR="00C3306F" w:rsidRDefault="00C3306F">
            <w:pPr>
              <w:jc w:val="center"/>
              <w:rPr>
                <w:b/>
                <w:bCs/>
                <w:color w:val="000000"/>
                <w:sz w:val="20"/>
                <w:szCs w:val="20"/>
              </w:rPr>
            </w:pPr>
          </w:p>
        </w:tc>
        <w:tc>
          <w:tcPr>
            <w:tcW w:w="1260" w:type="dxa"/>
            <w:shd w:val="clear" w:color="auto" w:fill="auto"/>
            <w:tcMar>
              <w:top w:w="15" w:type="dxa"/>
              <w:left w:w="15" w:type="dxa"/>
              <w:bottom w:w="0" w:type="dxa"/>
              <w:right w:w="15" w:type="dxa"/>
            </w:tcMar>
            <w:vAlign w:val="center"/>
            <w:hideMark/>
          </w:tcPr>
          <w:p w:rsidR="00123CEA" w:rsidRDefault="00123CEA">
            <w:pPr>
              <w:jc w:val="center"/>
              <w:rPr>
                <w:b/>
                <w:bCs/>
                <w:color w:val="000000"/>
                <w:sz w:val="20"/>
                <w:szCs w:val="20"/>
              </w:rPr>
            </w:pPr>
            <w:r>
              <w:rPr>
                <w:b/>
                <w:bCs/>
                <w:color w:val="000000"/>
                <w:sz w:val="20"/>
                <w:szCs w:val="20"/>
              </w:rPr>
              <w:t>(F) Management person-hours per year (Ex0.05)</w:t>
            </w:r>
          </w:p>
          <w:p w:rsidR="00C30DBA" w:rsidRDefault="00C30DBA">
            <w:pPr>
              <w:jc w:val="center"/>
              <w:rPr>
                <w:b/>
                <w:bCs/>
                <w:color w:val="000000"/>
                <w:sz w:val="20"/>
                <w:szCs w:val="20"/>
              </w:rPr>
            </w:pPr>
          </w:p>
          <w:p w:rsidR="00C3306F" w:rsidRDefault="00C3306F">
            <w:pPr>
              <w:jc w:val="center"/>
              <w:rPr>
                <w:b/>
                <w:bCs/>
                <w:color w:val="000000"/>
                <w:sz w:val="20"/>
                <w:szCs w:val="20"/>
              </w:rPr>
            </w:pPr>
          </w:p>
        </w:tc>
        <w:tc>
          <w:tcPr>
            <w:tcW w:w="921" w:type="dxa"/>
            <w:shd w:val="clear" w:color="auto" w:fill="auto"/>
            <w:tcMar>
              <w:top w:w="15" w:type="dxa"/>
              <w:left w:w="15" w:type="dxa"/>
              <w:bottom w:w="0" w:type="dxa"/>
              <w:right w:w="15" w:type="dxa"/>
            </w:tcMar>
            <w:vAlign w:val="center"/>
            <w:hideMark/>
          </w:tcPr>
          <w:p w:rsidR="00C3306F" w:rsidRDefault="00123CEA">
            <w:pPr>
              <w:jc w:val="center"/>
              <w:rPr>
                <w:b/>
                <w:bCs/>
                <w:color w:val="000000"/>
                <w:sz w:val="20"/>
                <w:szCs w:val="20"/>
              </w:rPr>
            </w:pPr>
            <w:r>
              <w:rPr>
                <w:b/>
                <w:bCs/>
                <w:color w:val="000000"/>
                <w:sz w:val="20"/>
                <w:szCs w:val="20"/>
              </w:rPr>
              <w:t xml:space="preserve">(G) </w:t>
            </w:r>
          </w:p>
          <w:p w:rsidR="00123CEA" w:rsidRDefault="00123CEA">
            <w:pPr>
              <w:jc w:val="center"/>
              <w:rPr>
                <w:b/>
                <w:bCs/>
                <w:color w:val="000000"/>
                <w:sz w:val="20"/>
                <w:szCs w:val="20"/>
              </w:rPr>
            </w:pPr>
            <w:r>
              <w:rPr>
                <w:b/>
                <w:bCs/>
                <w:color w:val="000000"/>
                <w:sz w:val="20"/>
                <w:szCs w:val="20"/>
              </w:rPr>
              <w:t>Clerical person-hours per year (Ex0.1)</w:t>
            </w:r>
          </w:p>
          <w:p w:rsidR="00C3306F" w:rsidRDefault="00C3306F">
            <w:pPr>
              <w:jc w:val="center"/>
              <w:rPr>
                <w:b/>
                <w:bCs/>
                <w:color w:val="000000"/>
                <w:sz w:val="20"/>
                <w:szCs w:val="20"/>
              </w:rPr>
            </w:pPr>
          </w:p>
        </w:tc>
        <w:tc>
          <w:tcPr>
            <w:tcW w:w="1217" w:type="dxa"/>
            <w:shd w:val="clear" w:color="auto" w:fill="auto"/>
            <w:tcMar>
              <w:top w:w="15" w:type="dxa"/>
              <w:left w:w="15" w:type="dxa"/>
              <w:bottom w:w="0" w:type="dxa"/>
              <w:right w:w="15" w:type="dxa"/>
            </w:tcMar>
            <w:vAlign w:val="center"/>
            <w:hideMark/>
          </w:tcPr>
          <w:p w:rsidR="00C3306F" w:rsidRDefault="00123CEA">
            <w:pPr>
              <w:jc w:val="center"/>
              <w:rPr>
                <w:b/>
                <w:bCs/>
                <w:color w:val="000000"/>
                <w:sz w:val="20"/>
                <w:szCs w:val="20"/>
              </w:rPr>
            </w:pPr>
            <w:r>
              <w:rPr>
                <w:b/>
                <w:bCs/>
                <w:color w:val="000000"/>
                <w:sz w:val="20"/>
                <w:szCs w:val="20"/>
              </w:rPr>
              <w:t xml:space="preserve">(H) </w:t>
            </w:r>
          </w:p>
          <w:p w:rsidR="00123CEA" w:rsidRDefault="00123CEA">
            <w:pPr>
              <w:jc w:val="center"/>
              <w:rPr>
                <w:b/>
                <w:bCs/>
                <w:color w:val="000000"/>
                <w:sz w:val="20"/>
                <w:szCs w:val="20"/>
              </w:rPr>
            </w:pPr>
            <w:r>
              <w:rPr>
                <w:b/>
                <w:bCs/>
                <w:color w:val="000000"/>
                <w:sz w:val="20"/>
                <w:szCs w:val="20"/>
              </w:rPr>
              <w:t xml:space="preserve">Cost </w:t>
            </w:r>
            <w:r>
              <w:rPr>
                <w:b/>
                <w:bCs/>
                <w:color w:val="000000"/>
                <w:sz w:val="20"/>
                <w:szCs w:val="20"/>
                <w:vertAlign w:val="superscript"/>
              </w:rPr>
              <w:t>b</w:t>
            </w:r>
            <w:r>
              <w:rPr>
                <w:b/>
                <w:bCs/>
                <w:color w:val="000000"/>
                <w:sz w:val="20"/>
                <w:szCs w:val="20"/>
              </w:rPr>
              <w:t xml:space="preserve"> ($)</w:t>
            </w:r>
          </w:p>
          <w:p w:rsidR="00C30DBA" w:rsidRDefault="00C30DBA">
            <w:pPr>
              <w:jc w:val="center"/>
              <w:rPr>
                <w:b/>
                <w:bCs/>
                <w:color w:val="000000"/>
                <w:sz w:val="20"/>
                <w:szCs w:val="20"/>
              </w:rPr>
            </w:pPr>
          </w:p>
          <w:p w:rsidR="00C30DBA" w:rsidRDefault="00C30DBA">
            <w:pPr>
              <w:jc w:val="center"/>
              <w:rPr>
                <w:b/>
                <w:bCs/>
                <w:color w:val="000000"/>
                <w:sz w:val="20"/>
                <w:szCs w:val="20"/>
              </w:rPr>
            </w:pPr>
          </w:p>
          <w:p w:rsidR="00C3306F" w:rsidRDefault="00C3306F">
            <w:pPr>
              <w:jc w:val="center"/>
              <w:rPr>
                <w:b/>
                <w:bCs/>
                <w:color w:val="000000"/>
                <w:sz w:val="20"/>
                <w:szCs w:val="20"/>
              </w:rPr>
            </w:pPr>
          </w:p>
          <w:p w:rsidR="00C3306F" w:rsidRDefault="00C3306F">
            <w:pPr>
              <w:jc w:val="center"/>
              <w:rPr>
                <w:b/>
                <w:bCs/>
                <w:color w:val="000000"/>
                <w:sz w:val="20"/>
                <w:szCs w:val="20"/>
              </w:rPr>
            </w:pPr>
          </w:p>
          <w:p w:rsidR="00C3306F" w:rsidRDefault="00C3306F">
            <w:pPr>
              <w:jc w:val="center"/>
              <w:rPr>
                <w:b/>
                <w:bCs/>
                <w:color w:val="000000"/>
                <w:sz w:val="20"/>
                <w:szCs w:val="20"/>
              </w:rPr>
            </w:pPr>
          </w:p>
        </w:tc>
      </w:tr>
      <w:tr w:rsidR="00123CEA" w:rsidTr="00C30DBA">
        <w:trPr>
          <w:trHeight w:val="227"/>
          <w:jc w:val="center"/>
        </w:trPr>
        <w:tc>
          <w:tcPr>
            <w:tcW w:w="4749" w:type="dxa"/>
            <w:shd w:val="clear" w:color="auto" w:fill="auto"/>
            <w:noWrap/>
            <w:tcMar>
              <w:top w:w="15" w:type="dxa"/>
              <w:left w:w="15" w:type="dxa"/>
              <w:bottom w:w="0" w:type="dxa"/>
              <w:right w:w="15" w:type="dxa"/>
            </w:tcMar>
            <w:hideMark/>
          </w:tcPr>
          <w:p w:rsidR="00123CEA" w:rsidRDefault="00123CEA">
            <w:pPr>
              <w:rPr>
                <w:b/>
                <w:bCs/>
                <w:color w:val="000000"/>
                <w:sz w:val="20"/>
                <w:szCs w:val="20"/>
              </w:rPr>
            </w:pPr>
            <w:r>
              <w:rPr>
                <w:b/>
                <w:bCs/>
                <w:color w:val="000000"/>
                <w:sz w:val="20"/>
                <w:szCs w:val="20"/>
              </w:rPr>
              <w:t>1. Applications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N/A</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245"/>
          <w:jc w:val="center"/>
        </w:trPr>
        <w:tc>
          <w:tcPr>
            <w:tcW w:w="4749" w:type="dxa"/>
            <w:shd w:val="clear" w:color="auto" w:fill="auto"/>
            <w:noWrap/>
            <w:tcMar>
              <w:top w:w="15" w:type="dxa"/>
              <w:left w:w="15" w:type="dxa"/>
              <w:bottom w:w="0" w:type="dxa"/>
              <w:right w:w="15" w:type="dxa"/>
            </w:tcMar>
            <w:hideMark/>
          </w:tcPr>
          <w:p w:rsidR="00123CEA" w:rsidRDefault="00123CEA">
            <w:pPr>
              <w:rPr>
                <w:b/>
                <w:bCs/>
                <w:color w:val="000000"/>
                <w:sz w:val="20"/>
                <w:szCs w:val="20"/>
              </w:rPr>
            </w:pPr>
            <w:r>
              <w:rPr>
                <w:b/>
                <w:bCs/>
                <w:color w:val="000000"/>
                <w:sz w:val="20"/>
                <w:szCs w:val="20"/>
              </w:rPr>
              <w:t>2. Survey and Studies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N/A</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55"/>
          <w:jc w:val="center"/>
        </w:trPr>
        <w:tc>
          <w:tcPr>
            <w:tcW w:w="4749" w:type="dxa"/>
            <w:shd w:val="clear" w:color="auto" w:fill="auto"/>
            <w:noWrap/>
            <w:tcMar>
              <w:top w:w="15" w:type="dxa"/>
              <w:left w:w="15" w:type="dxa"/>
              <w:bottom w:w="0" w:type="dxa"/>
              <w:right w:w="15" w:type="dxa"/>
            </w:tcMar>
            <w:hideMark/>
          </w:tcPr>
          <w:p w:rsidR="00123CEA" w:rsidRDefault="00123CEA">
            <w:pPr>
              <w:rPr>
                <w:b/>
                <w:bCs/>
                <w:color w:val="000000"/>
                <w:sz w:val="20"/>
                <w:szCs w:val="20"/>
              </w:rPr>
            </w:pPr>
            <w:r>
              <w:rPr>
                <w:b/>
                <w:bCs/>
                <w:color w:val="000000"/>
                <w:sz w:val="20"/>
                <w:szCs w:val="20"/>
              </w:rPr>
              <w:t>3. Reporting requirements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73"/>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A.  Read instructions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1</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0.02</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$37.12 </w:t>
            </w:r>
          </w:p>
        </w:tc>
      </w:tr>
      <w:tr w:rsidR="00123CEA" w:rsidTr="00C30DBA">
        <w:trPr>
          <w:trHeight w:val="182"/>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B.  Required activities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200"/>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Initial emissions tests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32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32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10.56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0.53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1.06</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$1,187.89 </w:t>
            </w:r>
          </w:p>
        </w:tc>
      </w:tr>
      <w:tr w:rsidR="00123CEA" w:rsidTr="00C30DBA">
        <w:trPr>
          <w:trHeight w:val="218"/>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Report performance test </w:t>
            </w:r>
            <w:r>
              <w:rPr>
                <w:color w:val="000000"/>
                <w:sz w:val="20"/>
                <w:szCs w:val="20"/>
                <w:vertAlign w:val="superscript"/>
              </w:rPr>
              <w:t>c</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32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32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2.11</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0.11</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0.21</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$237.58 </w:t>
            </w:r>
          </w:p>
        </w:tc>
      </w:tr>
      <w:tr w:rsidR="00123CEA" w:rsidTr="00C30DBA">
        <w:trPr>
          <w:trHeight w:val="5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C.  Create Information</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3B</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5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D.  Gather existing information </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3B</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73"/>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E.  Write report  </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82"/>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Notification of construction/‌reconstruction</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0.66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$74.24 </w:t>
            </w:r>
          </w:p>
        </w:tc>
      </w:tr>
      <w:tr w:rsidR="00123CEA" w:rsidTr="00C30DBA">
        <w:trPr>
          <w:trHeight w:val="200"/>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Notification of actual startup</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0.66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$74.24 </w:t>
            </w:r>
          </w:p>
        </w:tc>
      </w:tr>
      <w:tr w:rsidR="00123CEA" w:rsidTr="00C30DBA">
        <w:trPr>
          <w:trHeight w:val="31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Notification of physical or operational change which may increase the emission rate </w:t>
            </w:r>
            <w:r>
              <w:rPr>
                <w:color w:val="000000"/>
                <w:sz w:val="20"/>
                <w:szCs w:val="20"/>
                <w:vertAlign w:val="superscript"/>
              </w:rPr>
              <w:t>d</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$0.00 </w:t>
            </w:r>
          </w:p>
        </w:tc>
      </w:tr>
      <w:tr w:rsidR="00123CEA" w:rsidTr="00C30DBA">
        <w:trPr>
          <w:trHeight w:val="92"/>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Notification of CMS demonstration </w:t>
            </w:r>
            <w:r>
              <w:rPr>
                <w:color w:val="000000"/>
                <w:sz w:val="20"/>
                <w:szCs w:val="20"/>
                <w:vertAlign w:val="superscript"/>
              </w:rPr>
              <w:t>e</w:t>
            </w:r>
            <w:r>
              <w:rPr>
                <w:color w:val="000000"/>
                <w:sz w:val="20"/>
                <w:szCs w:val="20"/>
              </w:rPr>
              <w:t xml:space="preserve"> </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0.66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$74.24 </w:t>
            </w:r>
          </w:p>
        </w:tc>
      </w:tr>
      <w:tr w:rsidR="00123CEA" w:rsidTr="00C30DBA">
        <w:trPr>
          <w:trHeight w:val="200"/>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Notification of initial performance test</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0.66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$74.24 </w:t>
            </w:r>
          </w:p>
        </w:tc>
      </w:tr>
      <w:tr w:rsidR="00123CEA" w:rsidTr="00C30DBA">
        <w:trPr>
          <w:trHeight w:val="128"/>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Report of initial performance test</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0.66</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0.03</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0.07</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$74.24 </w:t>
            </w:r>
          </w:p>
        </w:tc>
      </w:tr>
      <w:tr w:rsidR="00123CEA" w:rsidTr="00C30DBA">
        <w:trPr>
          <w:trHeight w:val="137"/>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Semiannual report on excess emissions </w:t>
            </w:r>
            <w:r>
              <w:rPr>
                <w:color w:val="000000"/>
                <w:sz w:val="20"/>
                <w:szCs w:val="20"/>
                <w:vertAlign w:val="superscript"/>
              </w:rPr>
              <w:t>f</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8</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16</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14.33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229.28</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11.46</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22.93</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$25,791.71 </w:t>
            </w:r>
          </w:p>
        </w:tc>
      </w:tr>
      <w:tr w:rsidR="00123CEA" w:rsidRPr="00B64E91" w:rsidTr="00C30DBA">
        <w:trPr>
          <w:trHeight w:val="155"/>
          <w:jc w:val="center"/>
        </w:trPr>
        <w:tc>
          <w:tcPr>
            <w:tcW w:w="4749" w:type="dxa"/>
            <w:shd w:val="clear" w:color="auto" w:fill="auto"/>
            <w:noWrap/>
            <w:tcMar>
              <w:top w:w="15" w:type="dxa"/>
              <w:left w:w="15" w:type="dxa"/>
              <w:bottom w:w="0" w:type="dxa"/>
              <w:right w:w="15" w:type="dxa"/>
            </w:tcMar>
            <w:hideMark/>
          </w:tcPr>
          <w:p w:rsidR="00123CEA" w:rsidRPr="00B64E91" w:rsidRDefault="00C3306F" w:rsidP="00C3306F">
            <w:pPr>
              <w:rPr>
                <w:b/>
                <w:i/>
                <w:iCs/>
                <w:color w:val="000000"/>
                <w:sz w:val="20"/>
                <w:szCs w:val="20"/>
              </w:rPr>
            </w:pPr>
            <w:r>
              <w:rPr>
                <w:b/>
                <w:i/>
                <w:iCs/>
                <w:color w:val="000000"/>
                <w:sz w:val="20"/>
                <w:szCs w:val="20"/>
              </w:rPr>
              <w:t>Subtotal for Reporting Requirements</w:t>
            </w:r>
          </w:p>
        </w:tc>
        <w:tc>
          <w:tcPr>
            <w:tcW w:w="108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126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108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117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3531" w:type="dxa"/>
            <w:gridSpan w:val="3"/>
            <w:shd w:val="clear" w:color="auto" w:fill="auto"/>
            <w:noWrap/>
            <w:tcMar>
              <w:top w:w="15" w:type="dxa"/>
              <w:left w:w="15" w:type="dxa"/>
              <w:bottom w:w="0" w:type="dxa"/>
              <w:right w:w="15" w:type="dxa"/>
            </w:tcMar>
            <w:hideMark/>
          </w:tcPr>
          <w:p w:rsidR="00123CEA" w:rsidRPr="00B64E91" w:rsidRDefault="00B64E91">
            <w:pPr>
              <w:jc w:val="center"/>
              <w:rPr>
                <w:b/>
                <w:color w:val="000000"/>
                <w:sz w:val="20"/>
                <w:szCs w:val="20"/>
              </w:rPr>
            </w:pPr>
            <w:r w:rsidRPr="00B64E91">
              <w:rPr>
                <w:b/>
                <w:color w:val="000000"/>
                <w:sz w:val="20"/>
                <w:szCs w:val="20"/>
              </w:rPr>
              <w:t>282</w:t>
            </w:r>
            <w:r w:rsidR="00C30DBA">
              <w:rPr>
                <w:b/>
                <w:color w:val="000000"/>
                <w:sz w:val="20"/>
                <w:szCs w:val="20"/>
              </w:rPr>
              <w:t>.43</w:t>
            </w:r>
          </w:p>
        </w:tc>
        <w:tc>
          <w:tcPr>
            <w:tcW w:w="1217" w:type="dxa"/>
            <w:shd w:val="clear" w:color="auto" w:fill="auto"/>
            <w:noWrap/>
            <w:tcMar>
              <w:top w:w="15" w:type="dxa"/>
              <w:left w:w="15" w:type="dxa"/>
              <w:bottom w:w="0" w:type="dxa"/>
              <w:right w:w="15" w:type="dxa"/>
            </w:tcMar>
            <w:hideMark/>
          </w:tcPr>
          <w:p w:rsidR="00123CEA" w:rsidRPr="00B64E91" w:rsidRDefault="00123CEA">
            <w:pPr>
              <w:jc w:val="right"/>
              <w:rPr>
                <w:b/>
                <w:color w:val="000000"/>
                <w:sz w:val="20"/>
                <w:szCs w:val="20"/>
              </w:rPr>
            </w:pPr>
            <w:r w:rsidRPr="00B64E91">
              <w:rPr>
                <w:b/>
                <w:color w:val="000000"/>
                <w:sz w:val="20"/>
                <w:szCs w:val="20"/>
              </w:rPr>
              <w:t xml:space="preserve">$27,626 </w:t>
            </w:r>
          </w:p>
        </w:tc>
      </w:tr>
      <w:tr w:rsidR="00123CEA" w:rsidTr="00C30DBA">
        <w:trPr>
          <w:trHeight w:val="173"/>
          <w:jc w:val="center"/>
        </w:trPr>
        <w:tc>
          <w:tcPr>
            <w:tcW w:w="4749" w:type="dxa"/>
            <w:shd w:val="clear" w:color="auto" w:fill="auto"/>
            <w:noWrap/>
            <w:tcMar>
              <w:top w:w="15" w:type="dxa"/>
              <w:left w:w="15" w:type="dxa"/>
              <w:bottom w:w="0" w:type="dxa"/>
              <w:right w:w="15" w:type="dxa"/>
            </w:tcMar>
            <w:hideMark/>
          </w:tcPr>
          <w:p w:rsidR="00123CEA" w:rsidRDefault="00123CEA">
            <w:pPr>
              <w:rPr>
                <w:b/>
                <w:bCs/>
                <w:color w:val="000000"/>
                <w:sz w:val="20"/>
                <w:szCs w:val="20"/>
              </w:rPr>
            </w:pPr>
            <w:r>
              <w:rPr>
                <w:b/>
                <w:bCs/>
                <w:color w:val="000000"/>
                <w:sz w:val="20"/>
                <w:szCs w:val="20"/>
              </w:rPr>
              <w:t>4.  Recordkeeping requirements</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82"/>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A.  Read instructions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3E</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200"/>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B.  Plan activities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3E</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28"/>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C.  Implement activities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3E</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37"/>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D.  Develop record system </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See 3E</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5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E.  Time to enter information</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31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xml:space="preserve">Record operating parameters </w:t>
            </w:r>
            <w:r>
              <w:rPr>
                <w:color w:val="000000"/>
                <w:sz w:val="20"/>
                <w:szCs w:val="20"/>
                <w:vertAlign w:val="superscript"/>
              </w:rPr>
              <w:t>g</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0.25</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350</w:t>
            </w:r>
          </w:p>
        </w:tc>
        <w:tc>
          <w:tcPr>
            <w:tcW w:w="108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87.5</w:t>
            </w:r>
          </w:p>
        </w:tc>
        <w:tc>
          <w:tcPr>
            <w:tcW w:w="117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14.33</w:t>
            </w:r>
          </w:p>
        </w:tc>
        <w:tc>
          <w:tcPr>
            <w:tcW w:w="135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1,253.88</w:t>
            </w:r>
          </w:p>
        </w:tc>
        <w:tc>
          <w:tcPr>
            <w:tcW w:w="1260"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62.69</w:t>
            </w:r>
          </w:p>
        </w:tc>
        <w:tc>
          <w:tcPr>
            <w:tcW w:w="921" w:type="dxa"/>
            <w:shd w:val="clear" w:color="auto" w:fill="auto"/>
            <w:noWrap/>
            <w:tcMar>
              <w:top w:w="15" w:type="dxa"/>
              <w:left w:w="15" w:type="dxa"/>
              <w:bottom w:w="0" w:type="dxa"/>
              <w:right w:w="15" w:type="dxa"/>
            </w:tcMar>
            <w:hideMark/>
          </w:tcPr>
          <w:p w:rsidR="00123CEA" w:rsidRDefault="00123CEA">
            <w:pPr>
              <w:jc w:val="center"/>
              <w:rPr>
                <w:color w:val="000000"/>
                <w:sz w:val="20"/>
                <w:szCs w:val="20"/>
              </w:rPr>
            </w:pPr>
            <w:r>
              <w:rPr>
                <w:color w:val="000000"/>
                <w:sz w:val="20"/>
                <w:szCs w:val="20"/>
              </w:rPr>
              <w:t>125.39</w:t>
            </w:r>
          </w:p>
        </w:tc>
        <w:tc>
          <w:tcPr>
            <w:tcW w:w="1217" w:type="dxa"/>
            <w:shd w:val="clear" w:color="auto" w:fill="auto"/>
            <w:noWrap/>
            <w:tcMar>
              <w:top w:w="15" w:type="dxa"/>
              <w:left w:w="15" w:type="dxa"/>
              <w:bottom w:w="0" w:type="dxa"/>
              <w:right w:w="15" w:type="dxa"/>
            </w:tcMar>
            <w:hideMark/>
          </w:tcPr>
          <w:p w:rsidR="00123CEA" w:rsidRDefault="00123CEA">
            <w:pPr>
              <w:jc w:val="right"/>
              <w:rPr>
                <w:color w:val="000000"/>
                <w:sz w:val="20"/>
                <w:szCs w:val="20"/>
              </w:rPr>
            </w:pPr>
            <w:r>
              <w:rPr>
                <w:color w:val="000000"/>
                <w:sz w:val="20"/>
                <w:szCs w:val="20"/>
              </w:rPr>
              <w:t xml:space="preserve">$141,048.40 </w:t>
            </w:r>
          </w:p>
        </w:tc>
      </w:tr>
      <w:tr w:rsidR="00123CEA" w:rsidTr="00C30DBA">
        <w:trPr>
          <w:trHeight w:val="155"/>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lastRenderedPageBreak/>
              <w:t>F.  Time to transmit or disclose information</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N/A</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173"/>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G.  Train personnel</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N/A</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Tr="00C30DBA">
        <w:trPr>
          <w:trHeight w:val="92"/>
          <w:jc w:val="center"/>
        </w:trPr>
        <w:tc>
          <w:tcPr>
            <w:tcW w:w="4749"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H.  Audits</w:t>
            </w:r>
          </w:p>
        </w:tc>
        <w:tc>
          <w:tcPr>
            <w:tcW w:w="1080" w:type="dxa"/>
            <w:shd w:val="clear" w:color="auto" w:fill="auto"/>
            <w:noWrap/>
            <w:tcMar>
              <w:top w:w="15" w:type="dxa"/>
              <w:left w:w="15" w:type="dxa"/>
              <w:bottom w:w="0" w:type="dxa"/>
              <w:right w:w="15" w:type="dxa"/>
            </w:tcMar>
            <w:hideMark/>
          </w:tcPr>
          <w:p w:rsidR="00123CEA" w:rsidRDefault="00123CEA" w:rsidP="00C3306F">
            <w:pPr>
              <w:jc w:val="center"/>
              <w:rPr>
                <w:color w:val="000000"/>
                <w:sz w:val="20"/>
                <w:szCs w:val="20"/>
              </w:rPr>
            </w:pPr>
            <w:r>
              <w:rPr>
                <w:color w:val="000000"/>
                <w:sz w:val="20"/>
                <w:szCs w:val="20"/>
              </w:rPr>
              <w:t>N/A</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08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17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35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60"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921"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c>
          <w:tcPr>
            <w:tcW w:w="1217" w:type="dxa"/>
            <w:shd w:val="clear" w:color="auto" w:fill="auto"/>
            <w:noWrap/>
            <w:tcMar>
              <w:top w:w="15" w:type="dxa"/>
              <w:left w:w="15" w:type="dxa"/>
              <w:bottom w:w="0" w:type="dxa"/>
              <w:right w:w="15" w:type="dxa"/>
            </w:tcMar>
            <w:hideMark/>
          </w:tcPr>
          <w:p w:rsidR="00123CEA" w:rsidRDefault="00123CEA">
            <w:pPr>
              <w:rPr>
                <w:color w:val="000000"/>
                <w:sz w:val="20"/>
                <w:szCs w:val="20"/>
              </w:rPr>
            </w:pPr>
            <w:r>
              <w:rPr>
                <w:color w:val="000000"/>
                <w:sz w:val="20"/>
                <w:szCs w:val="20"/>
              </w:rPr>
              <w:t> </w:t>
            </w:r>
          </w:p>
        </w:tc>
      </w:tr>
      <w:tr w:rsidR="00123CEA" w:rsidRPr="00B64E91" w:rsidTr="00C30DBA">
        <w:trPr>
          <w:trHeight w:val="110"/>
          <w:jc w:val="center"/>
        </w:trPr>
        <w:tc>
          <w:tcPr>
            <w:tcW w:w="4749" w:type="dxa"/>
            <w:shd w:val="clear" w:color="auto" w:fill="auto"/>
            <w:noWrap/>
            <w:tcMar>
              <w:top w:w="15" w:type="dxa"/>
              <w:left w:w="15" w:type="dxa"/>
              <w:bottom w:w="0" w:type="dxa"/>
              <w:right w:w="15" w:type="dxa"/>
            </w:tcMar>
            <w:hideMark/>
          </w:tcPr>
          <w:p w:rsidR="00123CEA" w:rsidRPr="00B64E91" w:rsidRDefault="00C3306F" w:rsidP="00C3306F">
            <w:pPr>
              <w:rPr>
                <w:b/>
                <w:i/>
                <w:iCs/>
                <w:color w:val="000000"/>
                <w:sz w:val="20"/>
                <w:szCs w:val="20"/>
              </w:rPr>
            </w:pPr>
            <w:r>
              <w:rPr>
                <w:b/>
                <w:i/>
                <w:iCs/>
                <w:color w:val="000000"/>
                <w:sz w:val="20"/>
                <w:szCs w:val="20"/>
              </w:rPr>
              <w:t xml:space="preserve">Subtotal for </w:t>
            </w:r>
            <w:r w:rsidR="00123CEA" w:rsidRPr="00B64E91">
              <w:rPr>
                <w:b/>
                <w:i/>
                <w:iCs/>
                <w:color w:val="000000"/>
                <w:sz w:val="20"/>
                <w:szCs w:val="20"/>
              </w:rPr>
              <w:t xml:space="preserve">Recordkeeping </w:t>
            </w:r>
            <w:r>
              <w:rPr>
                <w:b/>
                <w:i/>
                <w:iCs/>
                <w:color w:val="000000"/>
                <w:sz w:val="20"/>
                <w:szCs w:val="20"/>
              </w:rPr>
              <w:t>Requirements</w:t>
            </w:r>
          </w:p>
        </w:tc>
        <w:tc>
          <w:tcPr>
            <w:tcW w:w="1080" w:type="dxa"/>
            <w:shd w:val="clear" w:color="auto" w:fill="auto"/>
            <w:noWrap/>
            <w:tcMar>
              <w:top w:w="15" w:type="dxa"/>
              <w:left w:w="15" w:type="dxa"/>
              <w:bottom w:w="0" w:type="dxa"/>
              <w:right w:w="15" w:type="dxa"/>
            </w:tcMar>
            <w:hideMark/>
          </w:tcPr>
          <w:p w:rsidR="00123CEA" w:rsidRPr="00B64E91" w:rsidRDefault="00123CEA" w:rsidP="00C3306F">
            <w:pPr>
              <w:jc w:val="center"/>
              <w:rPr>
                <w:b/>
                <w:i/>
                <w:iCs/>
                <w:color w:val="000000"/>
                <w:sz w:val="20"/>
                <w:szCs w:val="20"/>
              </w:rPr>
            </w:pPr>
          </w:p>
        </w:tc>
        <w:tc>
          <w:tcPr>
            <w:tcW w:w="126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108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1170" w:type="dxa"/>
            <w:shd w:val="clear" w:color="auto" w:fill="auto"/>
            <w:noWrap/>
            <w:tcMar>
              <w:top w:w="15" w:type="dxa"/>
              <w:left w:w="15" w:type="dxa"/>
              <w:bottom w:w="0" w:type="dxa"/>
              <w:right w:w="15" w:type="dxa"/>
            </w:tcMar>
            <w:hideMark/>
          </w:tcPr>
          <w:p w:rsidR="00123CEA" w:rsidRPr="00B64E91" w:rsidRDefault="00123CEA">
            <w:pPr>
              <w:jc w:val="center"/>
              <w:rPr>
                <w:b/>
                <w:i/>
                <w:iCs/>
                <w:color w:val="000000"/>
                <w:sz w:val="20"/>
                <w:szCs w:val="20"/>
              </w:rPr>
            </w:pPr>
            <w:r w:rsidRPr="00B64E91">
              <w:rPr>
                <w:b/>
                <w:i/>
                <w:iCs/>
                <w:color w:val="000000"/>
                <w:sz w:val="20"/>
                <w:szCs w:val="20"/>
              </w:rPr>
              <w:t> </w:t>
            </w:r>
          </w:p>
        </w:tc>
        <w:tc>
          <w:tcPr>
            <w:tcW w:w="3531" w:type="dxa"/>
            <w:gridSpan w:val="3"/>
            <w:shd w:val="clear" w:color="auto" w:fill="auto"/>
            <w:noWrap/>
            <w:tcMar>
              <w:top w:w="15" w:type="dxa"/>
              <w:left w:w="15" w:type="dxa"/>
              <w:bottom w:w="0" w:type="dxa"/>
              <w:right w:w="15" w:type="dxa"/>
            </w:tcMar>
            <w:hideMark/>
          </w:tcPr>
          <w:p w:rsidR="00123CEA" w:rsidRPr="00B64E91" w:rsidRDefault="00B64E91" w:rsidP="00C30DBA">
            <w:pPr>
              <w:tabs>
                <w:tab w:val="center" w:pos="1740"/>
                <w:tab w:val="left" w:pos="2589"/>
              </w:tabs>
              <w:rPr>
                <w:b/>
                <w:color w:val="000000"/>
                <w:sz w:val="20"/>
                <w:szCs w:val="20"/>
              </w:rPr>
            </w:pPr>
            <w:r>
              <w:rPr>
                <w:b/>
                <w:color w:val="000000"/>
                <w:sz w:val="20"/>
                <w:szCs w:val="20"/>
              </w:rPr>
              <w:tab/>
            </w:r>
            <w:r w:rsidR="00123CEA" w:rsidRPr="00B64E91">
              <w:rPr>
                <w:b/>
                <w:color w:val="000000"/>
                <w:sz w:val="20"/>
                <w:szCs w:val="20"/>
              </w:rPr>
              <w:t>1,44</w:t>
            </w:r>
            <w:r w:rsidR="00C30DBA">
              <w:rPr>
                <w:b/>
                <w:color w:val="000000"/>
                <w:sz w:val="20"/>
                <w:szCs w:val="20"/>
              </w:rPr>
              <w:t>1.96</w:t>
            </w:r>
          </w:p>
        </w:tc>
        <w:tc>
          <w:tcPr>
            <w:tcW w:w="1217" w:type="dxa"/>
            <w:shd w:val="clear" w:color="auto" w:fill="auto"/>
            <w:noWrap/>
            <w:tcMar>
              <w:top w:w="15" w:type="dxa"/>
              <w:left w:w="15" w:type="dxa"/>
              <w:bottom w:w="0" w:type="dxa"/>
              <w:right w:w="15" w:type="dxa"/>
            </w:tcMar>
            <w:hideMark/>
          </w:tcPr>
          <w:p w:rsidR="00123CEA" w:rsidRPr="00B64E91" w:rsidRDefault="00123CEA">
            <w:pPr>
              <w:jc w:val="right"/>
              <w:rPr>
                <w:b/>
                <w:color w:val="000000"/>
                <w:sz w:val="20"/>
                <w:szCs w:val="20"/>
              </w:rPr>
            </w:pPr>
            <w:r w:rsidRPr="00B64E91">
              <w:rPr>
                <w:b/>
                <w:color w:val="000000"/>
                <w:sz w:val="20"/>
                <w:szCs w:val="20"/>
              </w:rPr>
              <w:t xml:space="preserve">$141,048 </w:t>
            </w:r>
          </w:p>
        </w:tc>
      </w:tr>
      <w:tr w:rsidR="00123CEA" w:rsidRPr="00B64E91" w:rsidTr="00C30DBA">
        <w:trPr>
          <w:trHeight w:val="300"/>
          <w:jc w:val="center"/>
        </w:trPr>
        <w:tc>
          <w:tcPr>
            <w:tcW w:w="4749" w:type="dxa"/>
            <w:shd w:val="clear" w:color="auto" w:fill="auto"/>
            <w:noWrap/>
            <w:tcMar>
              <w:top w:w="15" w:type="dxa"/>
              <w:left w:w="15" w:type="dxa"/>
              <w:bottom w:w="0" w:type="dxa"/>
              <w:right w:w="15" w:type="dxa"/>
            </w:tcMar>
            <w:hideMark/>
          </w:tcPr>
          <w:p w:rsidR="00123CEA" w:rsidRPr="00B64E91" w:rsidRDefault="00123CEA">
            <w:pPr>
              <w:rPr>
                <w:b/>
                <w:color w:val="000000"/>
                <w:sz w:val="20"/>
                <w:szCs w:val="20"/>
              </w:rPr>
            </w:pPr>
            <w:r w:rsidRPr="00B64E91">
              <w:rPr>
                <w:b/>
                <w:color w:val="000000"/>
                <w:sz w:val="20"/>
                <w:szCs w:val="20"/>
              </w:rPr>
              <w:t>TOTAL ANNUAL BURDEN AND COST</w:t>
            </w:r>
            <w:r w:rsidR="00C30DBA">
              <w:rPr>
                <w:b/>
                <w:color w:val="000000"/>
                <w:sz w:val="20"/>
                <w:szCs w:val="20"/>
              </w:rPr>
              <w:t xml:space="preserve"> (rounded)</w:t>
            </w:r>
          </w:p>
        </w:tc>
        <w:tc>
          <w:tcPr>
            <w:tcW w:w="1080" w:type="dxa"/>
            <w:shd w:val="clear" w:color="auto" w:fill="auto"/>
            <w:noWrap/>
            <w:tcMar>
              <w:top w:w="15" w:type="dxa"/>
              <w:left w:w="15" w:type="dxa"/>
              <w:bottom w:w="0" w:type="dxa"/>
              <w:right w:w="15" w:type="dxa"/>
            </w:tcMar>
            <w:hideMark/>
          </w:tcPr>
          <w:p w:rsidR="00123CEA" w:rsidRPr="00B64E91" w:rsidRDefault="00123CEA" w:rsidP="00C3306F">
            <w:pPr>
              <w:jc w:val="center"/>
              <w:rPr>
                <w:b/>
                <w:color w:val="000000"/>
                <w:sz w:val="20"/>
                <w:szCs w:val="20"/>
              </w:rPr>
            </w:pPr>
          </w:p>
        </w:tc>
        <w:tc>
          <w:tcPr>
            <w:tcW w:w="1260" w:type="dxa"/>
            <w:shd w:val="clear" w:color="auto" w:fill="auto"/>
            <w:noWrap/>
            <w:tcMar>
              <w:top w:w="15" w:type="dxa"/>
              <w:left w:w="15" w:type="dxa"/>
              <w:bottom w:w="0" w:type="dxa"/>
              <w:right w:w="15" w:type="dxa"/>
            </w:tcMar>
            <w:hideMark/>
          </w:tcPr>
          <w:p w:rsidR="00123CEA" w:rsidRPr="00B64E91" w:rsidRDefault="00123CEA">
            <w:pPr>
              <w:jc w:val="center"/>
              <w:rPr>
                <w:b/>
                <w:color w:val="000000"/>
                <w:sz w:val="20"/>
                <w:szCs w:val="20"/>
              </w:rPr>
            </w:pPr>
            <w:r w:rsidRPr="00B64E91">
              <w:rPr>
                <w:b/>
                <w:color w:val="000000"/>
                <w:sz w:val="20"/>
                <w:szCs w:val="20"/>
              </w:rPr>
              <w:t> </w:t>
            </w:r>
          </w:p>
        </w:tc>
        <w:tc>
          <w:tcPr>
            <w:tcW w:w="1080" w:type="dxa"/>
            <w:shd w:val="clear" w:color="auto" w:fill="auto"/>
            <w:noWrap/>
            <w:tcMar>
              <w:top w:w="15" w:type="dxa"/>
              <w:left w:w="15" w:type="dxa"/>
              <w:bottom w:w="0" w:type="dxa"/>
              <w:right w:w="15" w:type="dxa"/>
            </w:tcMar>
            <w:hideMark/>
          </w:tcPr>
          <w:p w:rsidR="00123CEA" w:rsidRPr="00B64E91" w:rsidRDefault="00123CEA">
            <w:pPr>
              <w:jc w:val="center"/>
              <w:rPr>
                <w:b/>
                <w:color w:val="000000"/>
                <w:sz w:val="20"/>
                <w:szCs w:val="20"/>
              </w:rPr>
            </w:pPr>
            <w:r w:rsidRPr="00B64E91">
              <w:rPr>
                <w:b/>
                <w:color w:val="000000"/>
                <w:sz w:val="20"/>
                <w:szCs w:val="20"/>
              </w:rPr>
              <w:t> </w:t>
            </w:r>
          </w:p>
        </w:tc>
        <w:tc>
          <w:tcPr>
            <w:tcW w:w="1170" w:type="dxa"/>
            <w:shd w:val="clear" w:color="auto" w:fill="auto"/>
            <w:noWrap/>
            <w:tcMar>
              <w:top w:w="15" w:type="dxa"/>
              <w:left w:w="15" w:type="dxa"/>
              <w:bottom w:w="0" w:type="dxa"/>
              <w:right w:w="15" w:type="dxa"/>
            </w:tcMar>
            <w:hideMark/>
          </w:tcPr>
          <w:p w:rsidR="00123CEA" w:rsidRPr="00B64E91" w:rsidRDefault="00123CEA">
            <w:pPr>
              <w:jc w:val="center"/>
              <w:rPr>
                <w:b/>
                <w:color w:val="000000"/>
                <w:sz w:val="20"/>
                <w:szCs w:val="20"/>
              </w:rPr>
            </w:pPr>
            <w:r w:rsidRPr="00B64E91">
              <w:rPr>
                <w:b/>
                <w:color w:val="000000"/>
                <w:sz w:val="20"/>
                <w:szCs w:val="20"/>
              </w:rPr>
              <w:t> </w:t>
            </w:r>
          </w:p>
        </w:tc>
        <w:tc>
          <w:tcPr>
            <w:tcW w:w="3531" w:type="dxa"/>
            <w:gridSpan w:val="3"/>
            <w:shd w:val="clear" w:color="auto" w:fill="auto"/>
            <w:noWrap/>
            <w:tcMar>
              <w:top w:w="15" w:type="dxa"/>
              <w:left w:w="15" w:type="dxa"/>
              <w:bottom w:w="0" w:type="dxa"/>
              <w:right w:w="15" w:type="dxa"/>
            </w:tcMar>
            <w:hideMark/>
          </w:tcPr>
          <w:p w:rsidR="00123CEA" w:rsidRPr="00B64E91" w:rsidRDefault="00B64E91">
            <w:pPr>
              <w:jc w:val="center"/>
              <w:rPr>
                <w:b/>
                <w:color w:val="000000"/>
                <w:sz w:val="20"/>
                <w:szCs w:val="20"/>
              </w:rPr>
            </w:pPr>
            <w:r w:rsidRPr="00B64E91">
              <w:rPr>
                <w:b/>
                <w:color w:val="000000"/>
                <w:sz w:val="20"/>
                <w:szCs w:val="20"/>
              </w:rPr>
              <w:t>1,724</w:t>
            </w:r>
          </w:p>
        </w:tc>
        <w:tc>
          <w:tcPr>
            <w:tcW w:w="1217" w:type="dxa"/>
            <w:shd w:val="clear" w:color="auto" w:fill="auto"/>
            <w:noWrap/>
            <w:tcMar>
              <w:top w:w="15" w:type="dxa"/>
              <w:left w:w="15" w:type="dxa"/>
              <w:bottom w:w="0" w:type="dxa"/>
              <w:right w:w="15" w:type="dxa"/>
            </w:tcMar>
            <w:hideMark/>
          </w:tcPr>
          <w:p w:rsidR="00123CEA" w:rsidRPr="00B64E91" w:rsidRDefault="00123CEA">
            <w:pPr>
              <w:jc w:val="right"/>
              <w:rPr>
                <w:b/>
                <w:color w:val="000000"/>
                <w:sz w:val="20"/>
                <w:szCs w:val="20"/>
              </w:rPr>
            </w:pPr>
            <w:r w:rsidRPr="00B64E91">
              <w:rPr>
                <w:b/>
                <w:color w:val="000000"/>
                <w:sz w:val="20"/>
                <w:szCs w:val="20"/>
              </w:rPr>
              <w:t xml:space="preserve">$168,674 </w:t>
            </w:r>
          </w:p>
        </w:tc>
      </w:tr>
    </w:tbl>
    <w:p w:rsidR="00C30DBA" w:rsidRDefault="00C30DBA" w:rsidP="00C30DBA">
      <w:pPr>
        <w:outlineLvl w:val="0"/>
        <w:rPr>
          <w:bCs/>
          <w:color w:val="FF0000"/>
        </w:rPr>
      </w:pPr>
    </w:p>
    <w:p w:rsidR="00C02083" w:rsidRPr="00C30DBA" w:rsidRDefault="00C02083" w:rsidP="00C30DBA">
      <w:pPr>
        <w:outlineLvl w:val="0"/>
        <w:rPr>
          <w:bCs/>
          <w:color w:val="FF0000"/>
        </w:rPr>
      </w:pPr>
      <w:r>
        <w:rPr>
          <w:b/>
          <w:sz w:val="20"/>
          <w:szCs w:val="20"/>
        </w:rPr>
        <w:t>Assumptions:</w:t>
      </w:r>
    </w:p>
    <w:p w:rsidR="00C02083" w:rsidRDefault="00C02083" w:rsidP="00C02083">
      <w:pPr>
        <w:tabs>
          <w:tab w:val="left" w:pos="4970"/>
        </w:tabs>
        <w:rPr>
          <w:sz w:val="20"/>
          <w:szCs w:val="20"/>
        </w:rPr>
      </w:pPr>
      <w:proofErr w:type="spellStart"/>
      <w:proofErr w:type="gramStart"/>
      <w:r>
        <w:rPr>
          <w:sz w:val="20"/>
          <w:szCs w:val="20"/>
          <w:vertAlign w:val="superscript"/>
        </w:rPr>
        <w:t>a</w:t>
      </w:r>
      <w:proofErr w:type="spellEnd"/>
      <w:r>
        <w:rPr>
          <w:sz w:val="20"/>
          <w:szCs w:val="20"/>
        </w:rPr>
        <w:t xml:space="preserve">  We</w:t>
      </w:r>
      <w:proofErr w:type="gramEnd"/>
      <w:r>
        <w:rPr>
          <w:sz w:val="20"/>
          <w:szCs w:val="20"/>
        </w:rPr>
        <w:t xml:space="preserve"> have assumed that the average number of respondents that will be subject to the rule will be 14.33.  It is estimated that one new source will become subject to the rule over the three-year period of this ICR.</w:t>
      </w:r>
    </w:p>
    <w:p w:rsidR="00C02083" w:rsidRDefault="00C02083" w:rsidP="00C02083">
      <w:pPr>
        <w:tabs>
          <w:tab w:val="left" w:pos="4970"/>
        </w:tabs>
        <w:rPr>
          <w:sz w:val="20"/>
          <w:szCs w:val="20"/>
        </w:rPr>
      </w:pPr>
      <w:proofErr w:type="gramStart"/>
      <w:r>
        <w:rPr>
          <w:sz w:val="20"/>
          <w:szCs w:val="20"/>
          <w:vertAlign w:val="superscript"/>
        </w:rPr>
        <w:t>b</w:t>
      </w:r>
      <w:r>
        <w:rPr>
          <w:sz w:val="20"/>
          <w:szCs w:val="20"/>
        </w:rPr>
        <w:t xml:space="preserve">  This</w:t>
      </w:r>
      <w:proofErr w:type="gramEnd"/>
      <w:r>
        <w:rPr>
          <w:sz w:val="20"/>
          <w:szCs w:val="20"/>
        </w:rPr>
        <w:t xml:space="preserve"> ICR uses the following labor rates: $123.04 per hour for Executive, Administrative, and Managerial labor; $101.22 per hour for Technical labor, and $</w:t>
      </w:r>
      <w:r w:rsidR="00955852">
        <w:rPr>
          <w:sz w:val="20"/>
          <w:szCs w:val="20"/>
        </w:rPr>
        <w:t xml:space="preserve">51.18 </w:t>
      </w:r>
      <w:r>
        <w:rPr>
          <w:sz w:val="20"/>
          <w:szCs w:val="20"/>
        </w:rPr>
        <w:t xml:space="preserve"> per hour for Clerical labor.  These rates are from the United States Department of Labor, Bureau of Labor Statistics, </w:t>
      </w:r>
      <w:r w:rsidR="00955852">
        <w:rPr>
          <w:sz w:val="20"/>
          <w:szCs w:val="20"/>
        </w:rPr>
        <w:t>March 2013</w:t>
      </w:r>
      <w:r>
        <w:rPr>
          <w:sz w:val="20"/>
          <w:szCs w:val="20"/>
        </w:rPr>
        <w:t xml:space="preserve">, “Table 2. </w:t>
      </w:r>
      <w:proofErr w:type="gramStart"/>
      <w:r>
        <w:rPr>
          <w:sz w:val="20"/>
          <w:szCs w:val="20"/>
        </w:rPr>
        <w:t>Civilian Workers, by 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C02083" w:rsidRDefault="00C02083" w:rsidP="00C02083">
      <w:pPr>
        <w:tabs>
          <w:tab w:val="left" w:pos="4970"/>
        </w:tabs>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20 percent of initial performance test will be repeated due to failure.</w:t>
      </w:r>
    </w:p>
    <w:p w:rsidR="00C02083" w:rsidRDefault="00C02083" w:rsidP="00C02083">
      <w:pPr>
        <w:tabs>
          <w:tab w:val="left" w:pos="4970"/>
        </w:tabs>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no facility will be engaged in physical or operational changes.</w:t>
      </w:r>
    </w:p>
    <w:p w:rsidR="00C02083" w:rsidRDefault="00C02083" w:rsidP="00C02083">
      <w:pPr>
        <w:tabs>
          <w:tab w:val="left" w:pos="4970"/>
        </w:tabs>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it will take each respondent 2 hours each to write CMS notification report.</w:t>
      </w:r>
    </w:p>
    <w:p w:rsidR="00C02083" w:rsidRDefault="00C02083" w:rsidP="00C02083">
      <w:pPr>
        <w:widowControl/>
        <w:rPr>
          <w:sz w:val="20"/>
          <w:szCs w:val="20"/>
        </w:rPr>
      </w:pPr>
      <w:r>
        <w:rPr>
          <w:sz w:val="20"/>
          <w:szCs w:val="20"/>
          <w:vertAlign w:val="superscript"/>
        </w:rPr>
        <w:t>f</w:t>
      </w:r>
      <w:r>
        <w:rPr>
          <w:sz w:val="20"/>
          <w:szCs w:val="20"/>
        </w:rPr>
        <w:t xml:space="preserve">  We have assumed that each respondent will take 8 hours, two times per year, to write semiannual report on excess emissions.</w:t>
      </w:r>
    </w:p>
    <w:p w:rsidR="00C02083" w:rsidRDefault="00C02083" w:rsidP="00C02083">
      <w:pPr>
        <w:tabs>
          <w:tab w:val="left" w:pos="4970"/>
        </w:tabs>
        <w:rPr>
          <w:sz w:val="20"/>
          <w:szCs w:val="20"/>
        </w:rPr>
      </w:pPr>
      <w:proofErr w:type="gramStart"/>
      <w:r>
        <w:rPr>
          <w:sz w:val="20"/>
          <w:szCs w:val="20"/>
          <w:vertAlign w:val="superscript"/>
        </w:rPr>
        <w:t>g</w:t>
      </w:r>
      <w:r>
        <w:rPr>
          <w:sz w:val="20"/>
          <w:szCs w:val="20"/>
        </w:rPr>
        <w:t xml:space="preserve">  We</w:t>
      </w:r>
      <w:proofErr w:type="gramEnd"/>
      <w:r>
        <w:rPr>
          <w:sz w:val="20"/>
          <w:szCs w:val="20"/>
        </w:rPr>
        <w:t xml:space="preserve"> have assumed that each respondent will take 15 minutes per day to record operating parameters information.</w:t>
      </w:r>
    </w:p>
    <w:p w:rsidR="00144F35" w:rsidRDefault="00C02083" w:rsidP="00504745">
      <w:pPr>
        <w:outlineLvl w:val="0"/>
        <w:rPr>
          <w:b/>
          <w:bCs/>
          <w:color w:val="000000"/>
        </w:rPr>
      </w:pPr>
      <w:r w:rsidRPr="00144F35" w:rsidDel="002919DB">
        <w:rPr>
          <w:bCs/>
          <w:color w:val="FF0000"/>
        </w:rPr>
        <w:t xml:space="preserve"> </w:t>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w:t>
      </w:r>
      <w:r w:rsidR="00144F35" w:rsidRPr="002919DB">
        <w:rPr>
          <w:b/>
          <w:bCs/>
          <w:color w:val="000000"/>
        </w:rPr>
        <w:t xml:space="preserve">– </w:t>
      </w:r>
      <w:r w:rsidR="00CA354B" w:rsidRPr="00CA354B">
        <w:rPr>
          <w:b/>
          <w:bCs/>
        </w:rPr>
        <w:t>NSPS for Phosphate Rock Plants (40 CFR Part 60, Subpart NN)</w:t>
      </w:r>
      <w:r w:rsidR="00CA354B" w:rsidRPr="00CA354B">
        <w:rPr>
          <w:b/>
          <w:bCs/>
          <w:color w:val="FF0000"/>
        </w:rPr>
        <w:t xml:space="preserve"> </w:t>
      </w:r>
      <w:r w:rsidR="00CA354B" w:rsidRPr="00CA354B">
        <w:rPr>
          <w:b/>
          <w:bCs/>
        </w:rPr>
        <w:t>(Renewal)</w:t>
      </w:r>
    </w:p>
    <w:p w:rsidR="00144F35" w:rsidRDefault="00144F35" w:rsidP="00F340DF">
      <w:pPr>
        <w:rPr>
          <w:b/>
          <w:bCs/>
          <w:color w:val="000000"/>
        </w:rPr>
      </w:pPr>
    </w:p>
    <w:tbl>
      <w:tblPr>
        <w:tblW w:w="13950" w:type="dxa"/>
        <w:tblInd w:w="-525" w:type="dxa"/>
        <w:tblLayout w:type="fixed"/>
        <w:tblCellMar>
          <w:left w:w="0" w:type="dxa"/>
          <w:right w:w="0" w:type="dxa"/>
        </w:tblCellMar>
        <w:tblLook w:val="04A0"/>
      </w:tblPr>
      <w:tblGrid>
        <w:gridCol w:w="5040"/>
        <w:gridCol w:w="1260"/>
        <w:gridCol w:w="1080"/>
        <w:gridCol w:w="1440"/>
        <w:gridCol w:w="990"/>
        <w:gridCol w:w="990"/>
        <w:gridCol w:w="1170"/>
        <w:gridCol w:w="841"/>
        <w:gridCol w:w="1139"/>
      </w:tblGrid>
      <w:tr w:rsidR="002E36D5" w:rsidTr="00844D5C">
        <w:trPr>
          <w:trHeight w:val="1530"/>
        </w:trPr>
        <w:tc>
          <w:tcPr>
            <w:tcW w:w="504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707007" w:rsidRDefault="00707007">
            <w:pPr>
              <w:jc w:val="center"/>
              <w:rPr>
                <w:b/>
                <w:bCs/>
                <w:color w:val="000000"/>
                <w:sz w:val="20"/>
                <w:szCs w:val="20"/>
              </w:rPr>
            </w:pPr>
            <w:r>
              <w:rPr>
                <w:b/>
                <w:bCs/>
                <w:color w:val="000000"/>
                <w:sz w:val="20"/>
                <w:szCs w:val="20"/>
              </w:rPr>
              <w:t>Activity</w:t>
            </w:r>
          </w:p>
        </w:tc>
        <w:tc>
          <w:tcPr>
            <w:tcW w:w="126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64E91" w:rsidRDefault="00707007">
            <w:pPr>
              <w:jc w:val="center"/>
              <w:rPr>
                <w:b/>
                <w:bCs/>
                <w:color w:val="000000"/>
                <w:sz w:val="20"/>
                <w:szCs w:val="20"/>
              </w:rPr>
            </w:pPr>
            <w:r>
              <w:rPr>
                <w:b/>
                <w:bCs/>
                <w:color w:val="000000"/>
                <w:sz w:val="20"/>
                <w:szCs w:val="20"/>
              </w:rPr>
              <w:t xml:space="preserve">(A) </w:t>
            </w:r>
          </w:p>
          <w:p w:rsidR="00707007" w:rsidRDefault="00707007">
            <w:pPr>
              <w:jc w:val="center"/>
              <w:rPr>
                <w:b/>
                <w:bCs/>
                <w:color w:val="000000"/>
                <w:sz w:val="20"/>
                <w:szCs w:val="20"/>
              </w:rPr>
            </w:pPr>
            <w:r>
              <w:rPr>
                <w:b/>
                <w:bCs/>
                <w:color w:val="000000"/>
                <w:sz w:val="20"/>
                <w:szCs w:val="20"/>
              </w:rPr>
              <w:t>EPA person- hours per occurrence</w:t>
            </w:r>
          </w:p>
          <w:p w:rsidR="00C8198C" w:rsidRDefault="00C8198C">
            <w:pPr>
              <w:jc w:val="center"/>
              <w:rPr>
                <w:b/>
                <w:bCs/>
                <w:color w:val="000000"/>
                <w:sz w:val="20"/>
                <w:szCs w:val="20"/>
              </w:rPr>
            </w:pPr>
          </w:p>
          <w:p w:rsidR="00C8198C" w:rsidRDefault="00C8198C">
            <w:pPr>
              <w:jc w:val="center"/>
              <w:rPr>
                <w:b/>
                <w:bCs/>
                <w:color w:val="000000"/>
                <w:sz w:val="20"/>
                <w:szCs w:val="20"/>
              </w:rPr>
            </w:pPr>
          </w:p>
          <w:p w:rsidR="00C8198C" w:rsidRDefault="00C8198C">
            <w:pPr>
              <w:jc w:val="center"/>
              <w:rPr>
                <w:b/>
                <w:bCs/>
                <w:color w:val="000000"/>
                <w:sz w:val="20"/>
                <w:szCs w:val="20"/>
              </w:rPr>
            </w:pPr>
          </w:p>
        </w:tc>
        <w:tc>
          <w:tcPr>
            <w:tcW w:w="10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64E91" w:rsidRDefault="00707007">
            <w:pPr>
              <w:jc w:val="center"/>
              <w:rPr>
                <w:b/>
                <w:bCs/>
                <w:color w:val="000000"/>
                <w:sz w:val="20"/>
                <w:szCs w:val="20"/>
              </w:rPr>
            </w:pPr>
            <w:r>
              <w:rPr>
                <w:b/>
                <w:bCs/>
                <w:color w:val="000000"/>
                <w:sz w:val="20"/>
                <w:szCs w:val="20"/>
              </w:rPr>
              <w:t xml:space="preserve">(B) </w:t>
            </w:r>
          </w:p>
          <w:p w:rsidR="00707007" w:rsidRDefault="00707007">
            <w:pPr>
              <w:jc w:val="center"/>
              <w:rPr>
                <w:b/>
                <w:bCs/>
                <w:color w:val="000000"/>
                <w:sz w:val="20"/>
                <w:szCs w:val="20"/>
              </w:rPr>
            </w:pPr>
            <w:r>
              <w:rPr>
                <w:b/>
                <w:bCs/>
                <w:color w:val="000000"/>
                <w:sz w:val="20"/>
                <w:szCs w:val="20"/>
              </w:rPr>
              <w:t>No. of occurrences per plant per year</w:t>
            </w:r>
          </w:p>
          <w:p w:rsidR="00C8198C" w:rsidRDefault="00C8198C">
            <w:pPr>
              <w:jc w:val="center"/>
              <w:rPr>
                <w:b/>
                <w:bCs/>
                <w:color w:val="000000"/>
                <w:sz w:val="20"/>
                <w:szCs w:val="20"/>
              </w:rPr>
            </w:pPr>
          </w:p>
          <w:p w:rsidR="00C8198C" w:rsidRDefault="00C8198C">
            <w:pPr>
              <w:jc w:val="center"/>
              <w:rPr>
                <w:b/>
                <w:bCs/>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64E91" w:rsidRDefault="00707007">
            <w:pPr>
              <w:jc w:val="center"/>
              <w:rPr>
                <w:b/>
                <w:bCs/>
                <w:color w:val="000000"/>
                <w:sz w:val="20"/>
                <w:szCs w:val="20"/>
              </w:rPr>
            </w:pPr>
            <w:r>
              <w:rPr>
                <w:b/>
                <w:bCs/>
                <w:color w:val="000000"/>
                <w:sz w:val="20"/>
                <w:szCs w:val="20"/>
              </w:rPr>
              <w:t xml:space="preserve">(C) </w:t>
            </w:r>
          </w:p>
          <w:p w:rsidR="00844D5C" w:rsidRDefault="00707007">
            <w:pPr>
              <w:jc w:val="center"/>
              <w:rPr>
                <w:b/>
                <w:bCs/>
                <w:color w:val="000000"/>
                <w:sz w:val="20"/>
                <w:szCs w:val="20"/>
              </w:rPr>
            </w:pPr>
            <w:r>
              <w:rPr>
                <w:b/>
                <w:bCs/>
                <w:color w:val="000000"/>
                <w:sz w:val="20"/>
                <w:szCs w:val="20"/>
              </w:rPr>
              <w:t>EPA person- hours per plant per year</w:t>
            </w:r>
          </w:p>
          <w:p w:rsidR="00707007" w:rsidRDefault="00707007">
            <w:pPr>
              <w:jc w:val="center"/>
              <w:rPr>
                <w:b/>
                <w:bCs/>
                <w:color w:val="000000"/>
                <w:sz w:val="20"/>
                <w:szCs w:val="20"/>
              </w:rPr>
            </w:pPr>
            <w:r>
              <w:rPr>
                <w:b/>
                <w:bCs/>
                <w:color w:val="000000"/>
                <w:sz w:val="20"/>
                <w:szCs w:val="20"/>
              </w:rPr>
              <w:t xml:space="preserve"> (</w:t>
            </w:r>
            <w:proofErr w:type="spellStart"/>
            <w:r>
              <w:rPr>
                <w:b/>
                <w:bCs/>
                <w:color w:val="000000"/>
                <w:sz w:val="20"/>
                <w:szCs w:val="20"/>
              </w:rPr>
              <w:t>AxB</w:t>
            </w:r>
            <w:proofErr w:type="spellEnd"/>
            <w:r>
              <w:rPr>
                <w:b/>
                <w:bCs/>
                <w:color w:val="000000"/>
                <w:sz w:val="20"/>
                <w:szCs w:val="20"/>
              </w:rPr>
              <w:t>)</w:t>
            </w:r>
          </w:p>
          <w:p w:rsidR="00C8198C" w:rsidRDefault="00C8198C">
            <w:pPr>
              <w:jc w:val="center"/>
              <w:rPr>
                <w:b/>
                <w:bCs/>
                <w:color w:val="000000"/>
                <w:sz w:val="20"/>
                <w:szCs w:val="20"/>
              </w:rPr>
            </w:pPr>
          </w:p>
          <w:p w:rsidR="00C8198C" w:rsidRDefault="00C8198C">
            <w:pPr>
              <w:jc w:val="center"/>
              <w:rPr>
                <w:b/>
                <w:bCs/>
                <w:color w:val="000000"/>
                <w:sz w:val="20"/>
                <w:szCs w:val="20"/>
              </w:rPr>
            </w:pPr>
          </w:p>
        </w:tc>
        <w:tc>
          <w:tcPr>
            <w:tcW w:w="99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844D5C" w:rsidRDefault="00707007">
            <w:pPr>
              <w:jc w:val="center"/>
              <w:rPr>
                <w:b/>
                <w:bCs/>
                <w:color w:val="000000"/>
                <w:sz w:val="20"/>
                <w:szCs w:val="20"/>
              </w:rPr>
            </w:pPr>
            <w:r>
              <w:rPr>
                <w:b/>
                <w:bCs/>
                <w:color w:val="000000"/>
                <w:sz w:val="20"/>
                <w:szCs w:val="20"/>
              </w:rPr>
              <w:t xml:space="preserve">(D) </w:t>
            </w:r>
          </w:p>
          <w:p w:rsidR="00707007" w:rsidRDefault="00707007">
            <w:pPr>
              <w:jc w:val="center"/>
              <w:rPr>
                <w:b/>
                <w:bCs/>
                <w:color w:val="000000"/>
                <w:sz w:val="20"/>
                <w:szCs w:val="20"/>
                <w:vertAlign w:val="superscript"/>
              </w:rPr>
            </w:pPr>
            <w:r>
              <w:rPr>
                <w:b/>
                <w:bCs/>
                <w:color w:val="000000"/>
                <w:sz w:val="20"/>
                <w:szCs w:val="20"/>
              </w:rPr>
              <w:t xml:space="preserve">Plants per year </w:t>
            </w:r>
            <w:r>
              <w:rPr>
                <w:b/>
                <w:bCs/>
                <w:color w:val="000000"/>
                <w:sz w:val="20"/>
                <w:szCs w:val="20"/>
                <w:vertAlign w:val="superscript"/>
              </w:rPr>
              <w:t>a</w:t>
            </w:r>
          </w:p>
          <w:p w:rsidR="00C8198C" w:rsidRDefault="00C8198C">
            <w:pPr>
              <w:jc w:val="center"/>
              <w:rPr>
                <w:b/>
                <w:bCs/>
                <w:color w:val="000000"/>
                <w:sz w:val="20"/>
                <w:szCs w:val="20"/>
                <w:vertAlign w:val="superscript"/>
              </w:rPr>
            </w:pPr>
          </w:p>
          <w:p w:rsidR="00C8198C" w:rsidRDefault="00C8198C">
            <w:pPr>
              <w:jc w:val="center"/>
              <w:rPr>
                <w:b/>
                <w:bCs/>
                <w:color w:val="000000"/>
                <w:sz w:val="20"/>
                <w:szCs w:val="20"/>
                <w:vertAlign w:val="superscript"/>
              </w:rPr>
            </w:pPr>
          </w:p>
          <w:p w:rsidR="00C8198C" w:rsidRDefault="00C8198C">
            <w:pPr>
              <w:jc w:val="center"/>
              <w:rPr>
                <w:b/>
                <w:bCs/>
                <w:color w:val="000000"/>
                <w:sz w:val="20"/>
                <w:szCs w:val="20"/>
                <w:vertAlign w:val="superscript"/>
              </w:rPr>
            </w:pPr>
          </w:p>
          <w:p w:rsidR="00C8198C" w:rsidRDefault="00C8198C">
            <w:pPr>
              <w:jc w:val="center"/>
              <w:rPr>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64E91" w:rsidRDefault="00707007">
            <w:pPr>
              <w:jc w:val="center"/>
              <w:rPr>
                <w:b/>
                <w:bCs/>
                <w:color w:val="000000"/>
                <w:sz w:val="20"/>
                <w:szCs w:val="20"/>
              </w:rPr>
            </w:pPr>
            <w:r>
              <w:rPr>
                <w:b/>
                <w:bCs/>
                <w:color w:val="000000"/>
                <w:sz w:val="20"/>
                <w:szCs w:val="20"/>
              </w:rPr>
              <w:t xml:space="preserve">(E) Technical person- hours per year </w:t>
            </w:r>
          </w:p>
          <w:p w:rsidR="00707007" w:rsidRDefault="00707007">
            <w:pPr>
              <w:jc w:val="center"/>
              <w:rPr>
                <w:b/>
                <w:bCs/>
                <w:color w:val="000000"/>
                <w:sz w:val="20"/>
                <w:szCs w:val="20"/>
              </w:rPr>
            </w:pPr>
            <w:r>
              <w:rPr>
                <w:b/>
                <w:bCs/>
                <w:color w:val="000000"/>
                <w:sz w:val="20"/>
                <w:szCs w:val="20"/>
              </w:rPr>
              <w:t>(</w:t>
            </w:r>
            <w:proofErr w:type="spellStart"/>
            <w:r>
              <w:rPr>
                <w:b/>
                <w:bCs/>
                <w:color w:val="000000"/>
                <w:sz w:val="20"/>
                <w:szCs w:val="20"/>
              </w:rPr>
              <w:t>CxD</w:t>
            </w:r>
            <w:proofErr w:type="spellEnd"/>
            <w:r>
              <w:rPr>
                <w:b/>
                <w:bCs/>
                <w:color w:val="000000"/>
                <w:sz w:val="20"/>
                <w:szCs w:val="20"/>
              </w:rPr>
              <w:t>)</w:t>
            </w:r>
          </w:p>
          <w:p w:rsidR="00C8198C" w:rsidRDefault="00C8198C">
            <w:pPr>
              <w:jc w:val="center"/>
              <w:rPr>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7007" w:rsidRDefault="00707007">
            <w:pPr>
              <w:jc w:val="center"/>
              <w:rPr>
                <w:b/>
                <w:bCs/>
                <w:color w:val="000000"/>
                <w:sz w:val="20"/>
                <w:szCs w:val="20"/>
              </w:rPr>
            </w:pPr>
            <w:r>
              <w:rPr>
                <w:b/>
                <w:bCs/>
                <w:color w:val="000000"/>
                <w:sz w:val="20"/>
                <w:szCs w:val="20"/>
              </w:rPr>
              <w:t>(F) Management person-hours per year (Ex0.05)</w:t>
            </w:r>
          </w:p>
          <w:p w:rsidR="00C8198C" w:rsidRDefault="00C8198C">
            <w:pPr>
              <w:jc w:val="center"/>
              <w:rPr>
                <w:b/>
                <w:bCs/>
                <w:color w:val="000000"/>
                <w:sz w:val="20"/>
                <w:szCs w:val="20"/>
              </w:rPr>
            </w:pPr>
          </w:p>
          <w:p w:rsidR="00C8198C" w:rsidRDefault="00C8198C">
            <w:pPr>
              <w:jc w:val="center"/>
              <w:rPr>
                <w:b/>
                <w:bCs/>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07007" w:rsidRDefault="00707007">
            <w:pPr>
              <w:jc w:val="center"/>
              <w:rPr>
                <w:b/>
                <w:bCs/>
                <w:color w:val="000000"/>
                <w:sz w:val="20"/>
                <w:szCs w:val="20"/>
              </w:rPr>
            </w:pPr>
            <w:r>
              <w:rPr>
                <w:b/>
                <w:bCs/>
                <w:color w:val="000000"/>
                <w:sz w:val="20"/>
                <w:szCs w:val="20"/>
              </w:rPr>
              <w:t>(G) Clerical person-hours per year (Ex0.1)</w:t>
            </w:r>
          </w:p>
          <w:p w:rsidR="00C8198C" w:rsidRDefault="00C8198C">
            <w:pPr>
              <w:jc w:val="center"/>
              <w:rPr>
                <w:b/>
                <w:bCs/>
                <w:color w:val="000000"/>
                <w:sz w:val="20"/>
                <w:szCs w:val="20"/>
              </w:rPr>
            </w:pPr>
          </w:p>
        </w:tc>
        <w:tc>
          <w:tcPr>
            <w:tcW w:w="1139"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B64E91" w:rsidRDefault="00707007">
            <w:pPr>
              <w:jc w:val="center"/>
              <w:rPr>
                <w:b/>
                <w:bCs/>
                <w:color w:val="000000"/>
                <w:sz w:val="20"/>
                <w:szCs w:val="20"/>
              </w:rPr>
            </w:pPr>
            <w:r>
              <w:rPr>
                <w:b/>
                <w:bCs/>
                <w:color w:val="000000"/>
                <w:sz w:val="20"/>
                <w:szCs w:val="20"/>
              </w:rPr>
              <w:t xml:space="preserve">(H) </w:t>
            </w:r>
          </w:p>
          <w:p w:rsidR="00707007" w:rsidRDefault="00707007">
            <w:pPr>
              <w:jc w:val="center"/>
              <w:rPr>
                <w:b/>
                <w:bCs/>
                <w:color w:val="000000"/>
                <w:sz w:val="20"/>
                <w:szCs w:val="20"/>
              </w:rPr>
            </w:pPr>
            <w:r>
              <w:rPr>
                <w:b/>
                <w:bCs/>
                <w:color w:val="000000"/>
                <w:sz w:val="20"/>
                <w:szCs w:val="20"/>
              </w:rPr>
              <w:t xml:space="preserve">Cost </w:t>
            </w:r>
            <w:r>
              <w:rPr>
                <w:b/>
                <w:bCs/>
                <w:color w:val="000000"/>
                <w:sz w:val="20"/>
                <w:szCs w:val="20"/>
                <w:vertAlign w:val="superscript"/>
              </w:rPr>
              <w:t>b</w:t>
            </w:r>
            <w:r>
              <w:rPr>
                <w:b/>
                <w:bCs/>
                <w:color w:val="000000"/>
                <w:sz w:val="20"/>
                <w:szCs w:val="20"/>
              </w:rPr>
              <w:t xml:space="preserve"> ($)</w:t>
            </w:r>
          </w:p>
          <w:p w:rsidR="00C8198C" w:rsidRDefault="00C8198C">
            <w:pPr>
              <w:jc w:val="center"/>
              <w:rPr>
                <w:b/>
                <w:bCs/>
                <w:color w:val="000000"/>
                <w:sz w:val="20"/>
                <w:szCs w:val="20"/>
              </w:rPr>
            </w:pPr>
          </w:p>
          <w:p w:rsidR="00C8198C" w:rsidRDefault="00C8198C">
            <w:pPr>
              <w:jc w:val="center"/>
              <w:rPr>
                <w:b/>
                <w:bCs/>
                <w:color w:val="000000"/>
                <w:sz w:val="20"/>
                <w:szCs w:val="20"/>
              </w:rPr>
            </w:pPr>
          </w:p>
          <w:p w:rsidR="00C8198C" w:rsidRDefault="00C8198C">
            <w:pPr>
              <w:jc w:val="center"/>
              <w:rPr>
                <w:b/>
                <w:bCs/>
                <w:color w:val="000000"/>
                <w:sz w:val="20"/>
                <w:szCs w:val="20"/>
              </w:rPr>
            </w:pPr>
          </w:p>
          <w:p w:rsidR="00C8198C" w:rsidRDefault="00C8198C">
            <w:pPr>
              <w:jc w:val="center"/>
              <w:rPr>
                <w:b/>
                <w:bCs/>
                <w:color w:val="000000"/>
                <w:sz w:val="20"/>
                <w:szCs w:val="20"/>
              </w:rPr>
            </w:pPr>
          </w:p>
          <w:p w:rsidR="00C8198C" w:rsidRDefault="00C8198C">
            <w:pPr>
              <w:jc w:val="center"/>
              <w:rPr>
                <w:b/>
                <w:bCs/>
                <w:color w:val="000000"/>
                <w:sz w:val="20"/>
                <w:szCs w:val="20"/>
              </w:rPr>
            </w:pPr>
          </w:p>
        </w:tc>
      </w:tr>
      <w:tr w:rsidR="002E36D5" w:rsidTr="00B159BF">
        <w:trPr>
          <w:trHeight w:val="245"/>
        </w:trPr>
        <w:tc>
          <w:tcPr>
            <w:tcW w:w="5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Initial performance tests</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r>
      <w:tr w:rsidR="002E36D5" w:rsidTr="00B159BF">
        <w:trPr>
          <w:trHeight w:val="75"/>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New or modified facility</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7.92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0.40</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0.79</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$410.45 </w:t>
            </w:r>
          </w:p>
        </w:tc>
      </w:tr>
      <w:tr w:rsidR="002E36D5" w:rsidTr="00B159BF">
        <w:trPr>
          <w:trHeight w:val="93"/>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Repeat performance test</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r>
      <w:tr w:rsidR="002E36D5" w:rsidTr="00B159BF">
        <w:trPr>
          <w:trHeight w:val="120"/>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xml:space="preserve">New or modified facility </w:t>
            </w:r>
            <w:r>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0.07</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1.584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0.08</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0.16</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$82.09 </w:t>
            </w:r>
          </w:p>
        </w:tc>
      </w:tr>
      <w:tr w:rsidR="002E36D5" w:rsidTr="00B159BF">
        <w:trPr>
          <w:trHeight w:val="65"/>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Report Review</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r>
      <w:tr w:rsidR="002E36D5" w:rsidTr="00B159BF">
        <w:trPr>
          <w:trHeight w:val="165"/>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New or modified facility</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w:t>
            </w:r>
          </w:p>
        </w:tc>
      </w:tr>
      <w:tr w:rsidR="002E36D5" w:rsidTr="00B159BF">
        <w:trPr>
          <w:trHeight w:val="192"/>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Notification of construction/reconstruction</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0.66</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0.07</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$34.20 </w:t>
            </w:r>
          </w:p>
        </w:tc>
      </w:tr>
      <w:tr w:rsidR="002E36D5" w:rsidTr="00B159BF">
        <w:trPr>
          <w:trHeight w:val="65"/>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Notification of actual startup</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0.66</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0.07</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$34.20 </w:t>
            </w:r>
          </w:p>
        </w:tc>
      </w:tr>
      <w:tr w:rsidR="002E36D5" w:rsidTr="00B159BF">
        <w:trPr>
          <w:trHeight w:val="237"/>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xml:space="preserve">Notification of physical or operational change which may increase the emission rate </w:t>
            </w:r>
            <w:r>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$0.00 </w:t>
            </w:r>
          </w:p>
        </w:tc>
      </w:tr>
      <w:tr w:rsidR="002E36D5" w:rsidTr="00B159BF">
        <w:trPr>
          <w:trHeight w:val="65"/>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xml:space="preserve">Notification of CEMS demonstration </w:t>
            </w:r>
            <w:r>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0.66</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0.07</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$34.20 </w:t>
            </w:r>
          </w:p>
        </w:tc>
      </w:tr>
      <w:tr w:rsidR="002E36D5" w:rsidTr="00B159BF">
        <w:trPr>
          <w:trHeight w:val="147"/>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0.66</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0.07</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$34.20 </w:t>
            </w:r>
          </w:p>
        </w:tc>
      </w:tr>
      <w:tr w:rsidR="002E36D5" w:rsidTr="00B159BF">
        <w:trPr>
          <w:trHeight w:val="183"/>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Report on initial performance test</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2.64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0.13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0.26</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$136.82 </w:t>
            </w:r>
          </w:p>
        </w:tc>
      </w:tr>
      <w:tr w:rsidR="002E36D5" w:rsidTr="00B159BF">
        <w:trPr>
          <w:trHeight w:val="120"/>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rPr>
                <w:color w:val="000000"/>
                <w:sz w:val="20"/>
                <w:szCs w:val="20"/>
              </w:rPr>
            </w:pPr>
            <w:r>
              <w:rPr>
                <w:color w:val="000000"/>
                <w:sz w:val="20"/>
                <w:szCs w:val="20"/>
              </w:rPr>
              <w:t xml:space="preserve">Semiannual report on excess emissions </w:t>
            </w:r>
            <w:r>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14.33</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114.64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5.73</w:t>
            </w:r>
          </w:p>
        </w:tc>
        <w:tc>
          <w:tcPr>
            <w:tcW w:w="8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center"/>
              <w:rPr>
                <w:color w:val="000000"/>
                <w:sz w:val="20"/>
                <w:szCs w:val="20"/>
              </w:rPr>
            </w:pPr>
            <w:r>
              <w:rPr>
                <w:color w:val="000000"/>
                <w:sz w:val="20"/>
                <w:szCs w:val="20"/>
              </w:rPr>
              <w:t>11.46</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Default="00707007">
            <w:pPr>
              <w:jc w:val="right"/>
              <w:rPr>
                <w:color w:val="000000"/>
                <w:sz w:val="20"/>
                <w:szCs w:val="20"/>
              </w:rPr>
            </w:pPr>
            <w:r>
              <w:rPr>
                <w:color w:val="000000"/>
                <w:sz w:val="20"/>
                <w:szCs w:val="20"/>
              </w:rPr>
              <w:t xml:space="preserve">$5,941.16 </w:t>
            </w:r>
          </w:p>
        </w:tc>
      </w:tr>
      <w:tr w:rsidR="002E36D5" w:rsidRPr="00B64E91" w:rsidTr="00844D5C">
        <w:trPr>
          <w:trHeight w:val="300"/>
        </w:trPr>
        <w:tc>
          <w:tcPr>
            <w:tcW w:w="50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rsidP="00844D5C">
            <w:pPr>
              <w:rPr>
                <w:b/>
                <w:color w:val="000000"/>
                <w:sz w:val="20"/>
                <w:szCs w:val="20"/>
              </w:rPr>
            </w:pPr>
            <w:r w:rsidRPr="00B64E91">
              <w:rPr>
                <w:b/>
                <w:color w:val="000000"/>
                <w:sz w:val="20"/>
                <w:szCs w:val="20"/>
              </w:rPr>
              <w:t>TOTAL ANNUAL BURDEN</w:t>
            </w:r>
            <w:r w:rsidR="00844D5C">
              <w:rPr>
                <w:b/>
                <w:color w:val="000000"/>
                <w:sz w:val="20"/>
                <w:szCs w:val="20"/>
              </w:rPr>
              <w:t xml:space="preserve"> AND COST (rounded)</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pPr>
              <w:jc w:val="center"/>
              <w:rPr>
                <w:b/>
                <w:color w:val="000000"/>
                <w:sz w:val="20"/>
                <w:szCs w:val="20"/>
              </w:rPr>
            </w:pPr>
            <w:r w:rsidRPr="00B64E91">
              <w:rPr>
                <w:b/>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pPr>
              <w:jc w:val="center"/>
              <w:rPr>
                <w:b/>
                <w:color w:val="000000"/>
                <w:sz w:val="20"/>
                <w:szCs w:val="20"/>
              </w:rPr>
            </w:pPr>
            <w:r w:rsidRPr="00B64E91">
              <w:rPr>
                <w:b/>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pPr>
              <w:jc w:val="center"/>
              <w:rPr>
                <w:b/>
                <w:color w:val="000000"/>
                <w:sz w:val="20"/>
                <w:szCs w:val="20"/>
              </w:rPr>
            </w:pPr>
            <w:r w:rsidRPr="00B64E91">
              <w:rPr>
                <w:b/>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pPr>
              <w:jc w:val="center"/>
              <w:rPr>
                <w:b/>
                <w:color w:val="000000"/>
                <w:sz w:val="20"/>
                <w:szCs w:val="20"/>
              </w:rPr>
            </w:pPr>
            <w:r w:rsidRPr="00B64E91">
              <w:rPr>
                <w:b/>
                <w:color w:val="000000"/>
                <w:sz w:val="20"/>
                <w:szCs w:val="20"/>
              </w:rPr>
              <w:t> </w:t>
            </w:r>
          </w:p>
        </w:tc>
        <w:tc>
          <w:tcPr>
            <w:tcW w:w="3001"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B64E91">
            <w:pPr>
              <w:jc w:val="center"/>
              <w:rPr>
                <w:b/>
                <w:color w:val="000000"/>
                <w:sz w:val="20"/>
                <w:szCs w:val="20"/>
              </w:rPr>
            </w:pPr>
            <w:r w:rsidRPr="00B64E91">
              <w:rPr>
                <w:b/>
                <w:color w:val="000000"/>
                <w:sz w:val="20"/>
                <w:szCs w:val="20"/>
              </w:rPr>
              <w:t>149</w:t>
            </w:r>
          </w:p>
        </w:tc>
        <w:tc>
          <w:tcPr>
            <w:tcW w:w="113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707007" w:rsidRPr="00B64E91" w:rsidRDefault="00707007">
            <w:pPr>
              <w:jc w:val="right"/>
              <w:rPr>
                <w:b/>
                <w:color w:val="000000"/>
                <w:sz w:val="20"/>
                <w:szCs w:val="20"/>
              </w:rPr>
            </w:pPr>
            <w:r w:rsidRPr="00B64E91">
              <w:rPr>
                <w:b/>
                <w:color w:val="000000"/>
                <w:sz w:val="20"/>
                <w:szCs w:val="20"/>
              </w:rPr>
              <w:t xml:space="preserve">$6,707 </w:t>
            </w:r>
          </w:p>
        </w:tc>
      </w:tr>
    </w:tbl>
    <w:p w:rsidR="00F843CE" w:rsidRDefault="00707007" w:rsidP="00F340DF">
      <w:pPr>
        <w:rPr>
          <w:bCs/>
          <w:color w:val="FF0000"/>
        </w:rPr>
      </w:pPr>
      <w:r w:rsidRPr="00144F35" w:rsidDel="002919DB">
        <w:rPr>
          <w:bCs/>
          <w:color w:val="FF0000"/>
        </w:rPr>
        <w:t xml:space="preserve"> </w:t>
      </w:r>
    </w:p>
    <w:p w:rsidR="00DF7909" w:rsidRDefault="00DF7909" w:rsidP="00DF7909">
      <w:pPr>
        <w:tabs>
          <w:tab w:val="left" w:pos="4970"/>
        </w:tabs>
        <w:rPr>
          <w:b/>
          <w:sz w:val="20"/>
          <w:szCs w:val="20"/>
        </w:rPr>
      </w:pPr>
      <w:r>
        <w:rPr>
          <w:b/>
          <w:sz w:val="20"/>
          <w:szCs w:val="20"/>
        </w:rPr>
        <w:t>Assumptions:</w:t>
      </w:r>
    </w:p>
    <w:p w:rsidR="00DF7909" w:rsidRDefault="00DF7909" w:rsidP="00DF7909">
      <w:pPr>
        <w:widowControl/>
        <w:autoSpaceDE/>
        <w:autoSpaceDN/>
        <w:adjustRightInd/>
        <w:rPr>
          <w:sz w:val="20"/>
          <w:szCs w:val="20"/>
        </w:rPr>
      </w:pPr>
      <w:proofErr w:type="spellStart"/>
      <w:proofErr w:type="gramStart"/>
      <w:r>
        <w:rPr>
          <w:sz w:val="20"/>
          <w:szCs w:val="20"/>
          <w:vertAlign w:val="superscript"/>
        </w:rPr>
        <w:t>a</w:t>
      </w:r>
      <w:proofErr w:type="spellEnd"/>
      <w:r>
        <w:rPr>
          <w:sz w:val="20"/>
          <w:szCs w:val="20"/>
        </w:rPr>
        <w:t xml:space="preserve">  We</w:t>
      </w:r>
      <w:proofErr w:type="gramEnd"/>
      <w:r>
        <w:rPr>
          <w:sz w:val="20"/>
          <w:szCs w:val="20"/>
        </w:rPr>
        <w:t xml:space="preserve"> have assumed that the average number of respondents that will be subject to the rule will be 14.33.  It is estimated that one new source will become subject to the rule over the three-year period of this ICR.</w:t>
      </w:r>
    </w:p>
    <w:p w:rsidR="00DF7909" w:rsidRDefault="00DF7909" w:rsidP="00DF7909">
      <w:pPr>
        <w:tabs>
          <w:tab w:val="left" w:pos="4970"/>
        </w:tabs>
        <w:rPr>
          <w:b/>
          <w:sz w:val="20"/>
          <w:szCs w:val="20"/>
        </w:rPr>
      </w:pPr>
      <w:proofErr w:type="gramStart"/>
      <w:r>
        <w:rPr>
          <w:sz w:val="20"/>
          <w:szCs w:val="20"/>
          <w:vertAlign w:val="superscript"/>
        </w:rPr>
        <w:t>b</w:t>
      </w:r>
      <w:r>
        <w:rPr>
          <w:sz w:val="20"/>
          <w:szCs w:val="20"/>
        </w:rPr>
        <w:t xml:space="preserve">  The</w:t>
      </w:r>
      <w:proofErr w:type="gramEnd"/>
      <w:r>
        <w:rPr>
          <w:sz w:val="20"/>
          <w:szCs w:val="20"/>
        </w:rPr>
        <w:t xml:space="preserve"> cost is based on the following labor rate which incorporates a 1.6 benefits multiplication factor to account for government overhead expenses.  </w:t>
      </w:r>
      <w:proofErr w:type="gramStart"/>
      <w:r>
        <w:rPr>
          <w:sz w:val="20"/>
          <w:szCs w:val="20"/>
        </w:rPr>
        <w:t>Managerial rates of $62.27 (GS-13, Step 5, $38.92 x 1.6), Technical rate of $46.21 (GS-12, Step 1, $28.88 x 1.6), and Clerical rate of $25.01 (GS-6, Step 3, $15.63 x 1.6).</w:t>
      </w:r>
      <w:proofErr w:type="gramEnd"/>
      <w:r>
        <w:rPr>
          <w:sz w:val="20"/>
          <w:szCs w:val="20"/>
        </w:rPr>
        <w:t xml:space="preserve">  These rates are from the Office of Personnel Management (OPM), 2013 General Schedule, which excludes </w:t>
      </w:r>
      <w:proofErr w:type="gramStart"/>
      <w:r>
        <w:rPr>
          <w:sz w:val="20"/>
          <w:szCs w:val="20"/>
        </w:rPr>
        <w:t>locality</w:t>
      </w:r>
      <w:proofErr w:type="gramEnd"/>
      <w:r>
        <w:rPr>
          <w:sz w:val="20"/>
          <w:szCs w:val="20"/>
        </w:rPr>
        <w:t xml:space="preserve"> rates of pay.</w:t>
      </w:r>
    </w:p>
    <w:p w:rsidR="00DF7909" w:rsidRDefault="00DF7909" w:rsidP="00DF7909">
      <w:pPr>
        <w:tabs>
          <w:tab w:val="left" w:pos="4970"/>
        </w:tabs>
        <w:rPr>
          <w:b/>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20 percent of initial performance test will be repeated due to failure.</w:t>
      </w:r>
    </w:p>
    <w:p w:rsidR="00DF7909" w:rsidRDefault="00DF7909" w:rsidP="00DF7909">
      <w:pPr>
        <w:tabs>
          <w:tab w:val="left" w:pos="4970"/>
        </w:tabs>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no facility will be engaged in physical or operational changes.</w:t>
      </w:r>
    </w:p>
    <w:p w:rsidR="00DF7909" w:rsidRDefault="00DF7909" w:rsidP="00DF7909">
      <w:pPr>
        <w:tabs>
          <w:tab w:val="left" w:pos="4970"/>
        </w:tabs>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it will take each respondent 2 hours each to review CMS notification report.</w:t>
      </w:r>
    </w:p>
    <w:p w:rsidR="00DF7909" w:rsidRDefault="00DF7909" w:rsidP="00DF7909">
      <w:pPr>
        <w:widowControl/>
        <w:autoSpaceDE/>
        <w:autoSpaceDN/>
        <w:adjustRightInd/>
        <w:rPr>
          <w:sz w:val="20"/>
          <w:szCs w:val="20"/>
        </w:rPr>
      </w:pPr>
      <w:r>
        <w:rPr>
          <w:sz w:val="20"/>
          <w:szCs w:val="20"/>
          <w:vertAlign w:val="superscript"/>
        </w:rPr>
        <w:t>f</w:t>
      </w:r>
      <w:r>
        <w:rPr>
          <w:sz w:val="20"/>
          <w:szCs w:val="20"/>
        </w:rPr>
        <w:t xml:space="preserve">  We have assumed that each respondent will take 8 hours two times per year to review semiannual report on excess emissions.</w:t>
      </w:r>
    </w:p>
    <w:p w:rsidR="00144F35" w:rsidRDefault="00DF7909" w:rsidP="00F340DF">
      <w:pPr>
        <w:rPr>
          <w:color w:val="000000"/>
        </w:rPr>
      </w:pPr>
      <w:r w:rsidRPr="00144F35" w:rsidDel="002919DB">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D8A" w:rsidRDefault="00466D8A">
      <w:r>
        <w:separator/>
      </w:r>
    </w:p>
  </w:endnote>
  <w:endnote w:type="continuationSeparator" w:id="0">
    <w:p w:rsidR="00466D8A" w:rsidRDefault="00466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D8A" w:rsidRDefault="00466D8A">
      <w:r>
        <w:separator/>
      </w:r>
    </w:p>
  </w:footnote>
  <w:footnote w:type="continuationSeparator" w:id="0">
    <w:p w:rsidR="00466D8A" w:rsidRDefault="00466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49" w:rsidRDefault="000F60A8">
    <w:pPr>
      <w:framePr w:w="9361" w:wrap="notBeside" w:vAnchor="text" w:hAnchor="text" w:x="1" w:y="1"/>
      <w:jc w:val="center"/>
    </w:pPr>
    <w:fldSimple w:instr="PAGE ">
      <w:r w:rsidR="00BD28E6">
        <w:rPr>
          <w:noProof/>
        </w:rPr>
        <w:t>14</w:t>
      </w:r>
    </w:fldSimple>
  </w:p>
  <w:p w:rsidR="00E61D49" w:rsidRDefault="00E61D49"/>
  <w:p w:rsidR="00E61D49" w:rsidRDefault="00E61D4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BA9"/>
    <w:rsid w:val="0003619B"/>
    <w:rsid w:val="000453BA"/>
    <w:rsid w:val="00055BDF"/>
    <w:rsid w:val="00055DC5"/>
    <w:rsid w:val="00093AE1"/>
    <w:rsid w:val="000A1FBB"/>
    <w:rsid w:val="000A687C"/>
    <w:rsid w:val="000B33E1"/>
    <w:rsid w:val="000B7BEA"/>
    <w:rsid w:val="000C27A2"/>
    <w:rsid w:val="000D0CA1"/>
    <w:rsid w:val="000D2272"/>
    <w:rsid w:val="000F60A8"/>
    <w:rsid w:val="000F772C"/>
    <w:rsid w:val="00101B40"/>
    <w:rsid w:val="00102B52"/>
    <w:rsid w:val="00103E4D"/>
    <w:rsid w:val="0010697C"/>
    <w:rsid w:val="00123889"/>
    <w:rsid w:val="00123CEA"/>
    <w:rsid w:val="00126A7C"/>
    <w:rsid w:val="001356D4"/>
    <w:rsid w:val="0014079D"/>
    <w:rsid w:val="00144978"/>
    <w:rsid w:val="00144A82"/>
    <w:rsid w:val="00144F35"/>
    <w:rsid w:val="0015433E"/>
    <w:rsid w:val="00163708"/>
    <w:rsid w:val="001660CD"/>
    <w:rsid w:val="00185715"/>
    <w:rsid w:val="00186DA3"/>
    <w:rsid w:val="00195753"/>
    <w:rsid w:val="001A0B41"/>
    <w:rsid w:val="001B0B9A"/>
    <w:rsid w:val="001B35F2"/>
    <w:rsid w:val="001C5991"/>
    <w:rsid w:val="001D762C"/>
    <w:rsid w:val="001F19FF"/>
    <w:rsid w:val="002041C5"/>
    <w:rsid w:val="002063FE"/>
    <w:rsid w:val="00206932"/>
    <w:rsid w:val="0021664F"/>
    <w:rsid w:val="0021722B"/>
    <w:rsid w:val="0022097D"/>
    <w:rsid w:val="00222C7A"/>
    <w:rsid w:val="0022738C"/>
    <w:rsid w:val="002334B9"/>
    <w:rsid w:val="00234A28"/>
    <w:rsid w:val="00236DB3"/>
    <w:rsid w:val="002431D9"/>
    <w:rsid w:val="002638A0"/>
    <w:rsid w:val="002712EB"/>
    <w:rsid w:val="0027222A"/>
    <w:rsid w:val="002743D2"/>
    <w:rsid w:val="00277F42"/>
    <w:rsid w:val="00281CAE"/>
    <w:rsid w:val="0029006A"/>
    <w:rsid w:val="002904E7"/>
    <w:rsid w:val="002919DB"/>
    <w:rsid w:val="002976E9"/>
    <w:rsid w:val="002B29A5"/>
    <w:rsid w:val="002B29A7"/>
    <w:rsid w:val="002B517F"/>
    <w:rsid w:val="002B6993"/>
    <w:rsid w:val="002C1F95"/>
    <w:rsid w:val="002C416A"/>
    <w:rsid w:val="002C77DF"/>
    <w:rsid w:val="002D7683"/>
    <w:rsid w:val="002E24E9"/>
    <w:rsid w:val="002E36D5"/>
    <w:rsid w:val="002F674B"/>
    <w:rsid w:val="002F6DB3"/>
    <w:rsid w:val="00300DB6"/>
    <w:rsid w:val="003139FC"/>
    <w:rsid w:val="00314F49"/>
    <w:rsid w:val="00341540"/>
    <w:rsid w:val="003511C6"/>
    <w:rsid w:val="0035325B"/>
    <w:rsid w:val="00354C15"/>
    <w:rsid w:val="00363D11"/>
    <w:rsid w:val="00370BA4"/>
    <w:rsid w:val="00387929"/>
    <w:rsid w:val="00395BF7"/>
    <w:rsid w:val="003B6A7F"/>
    <w:rsid w:val="003C4AAF"/>
    <w:rsid w:val="003C4B46"/>
    <w:rsid w:val="003C5023"/>
    <w:rsid w:val="003E30B5"/>
    <w:rsid w:val="003E4C18"/>
    <w:rsid w:val="003F7CAA"/>
    <w:rsid w:val="004014EE"/>
    <w:rsid w:val="004018B4"/>
    <w:rsid w:val="0040391F"/>
    <w:rsid w:val="0044133C"/>
    <w:rsid w:val="00444D22"/>
    <w:rsid w:val="00455557"/>
    <w:rsid w:val="00466D8A"/>
    <w:rsid w:val="00476EC2"/>
    <w:rsid w:val="00482843"/>
    <w:rsid w:val="00484A45"/>
    <w:rsid w:val="004A4B25"/>
    <w:rsid w:val="004B245D"/>
    <w:rsid w:val="004C5E95"/>
    <w:rsid w:val="004C701D"/>
    <w:rsid w:val="004D645B"/>
    <w:rsid w:val="004F1469"/>
    <w:rsid w:val="004F6FCD"/>
    <w:rsid w:val="00504745"/>
    <w:rsid w:val="00507EC5"/>
    <w:rsid w:val="00516952"/>
    <w:rsid w:val="005253D4"/>
    <w:rsid w:val="00533BD5"/>
    <w:rsid w:val="00545930"/>
    <w:rsid w:val="00550340"/>
    <w:rsid w:val="00551815"/>
    <w:rsid w:val="00560AD2"/>
    <w:rsid w:val="00565A51"/>
    <w:rsid w:val="0057125B"/>
    <w:rsid w:val="00571260"/>
    <w:rsid w:val="00583626"/>
    <w:rsid w:val="005A1986"/>
    <w:rsid w:val="005B5DE8"/>
    <w:rsid w:val="005C0155"/>
    <w:rsid w:val="005C3665"/>
    <w:rsid w:val="005C42AC"/>
    <w:rsid w:val="005D385C"/>
    <w:rsid w:val="005E194B"/>
    <w:rsid w:val="005E65CE"/>
    <w:rsid w:val="005F42F8"/>
    <w:rsid w:val="00601205"/>
    <w:rsid w:val="00606DEF"/>
    <w:rsid w:val="00615A72"/>
    <w:rsid w:val="00630300"/>
    <w:rsid w:val="00631517"/>
    <w:rsid w:val="00633BA5"/>
    <w:rsid w:val="00635DBD"/>
    <w:rsid w:val="00642EA9"/>
    <w:rsid w:val="006475A1"/>
    <w:rsid w:val="0067197A"/>
    <w:rsid w:val="006741F7"/>
    <w:rsid w:val="00694B55"/>
    <w:rsid w:val="006B7195"/>
    <w:rsid w:val="006D1B12"/>
    <w:rsid w:val="006E11B5"/>
    <w:rsid w:val="006E4A6E"/>
    <w:rsid w:val="006E642B"/>
    <w:rsid w:val="007059EE"/>
    <w:rsid w:val="00707007"/>
    <w:rsid w:val="0072135A"/>
    <w:rsid w:val="00724BC7"/>
    <w:rsid w:val="00763160"/>
    <w:rsid w:val="00780612"/>
    <w:rsid w:val="00786A20"/>
    <w:rsid w:val="007A0634"/>
    <w:rsid w:val="007A16F4"/>
    <w:rsid w:val="007A458D"/>
    <w:rsid w:val="007C0FAA"/>
    <w:rsid w:val="007E6FF4"/>
    <w:rsid w:val="007F07FB"/>
    <w:rsid w:val="007F5049"/>
    <w:rsid w:val="00810507"/>
    <w:rsid w:val="008115AC"/>
    <w:rsid w:val="00813E69"/>
    <w:rsid w:val="00817E8B"/>
    <w:rsid w:val="008239E6"/>
    <w:rsid w:val="008244E4"/>
    <w:rsid w:val="008338D4"/>
    <w:rsid w:val="00833EC6"/>
    <w:rsid w:val="0084255D"/>
    <w:rsid w:val="00844D5C"/>
    <w:rsid w:val="00850ACF"/>
    <w:rsid w:val="00852038"/>
    <w:rsid w:val="00861489"/>
    <w:rsid w:val="008635BD"/>
    <w:rsid w:val="00872221"/>
    <w:rsid w:val="00883864"/>
    <w:rsid w:val="0088639E"/>
    <w:rsid w:val="00890D9A"/>
    <w:rsid w:val="008A46EB"/>
    <w:rsid w:val="008A6080"/>
    <w:rsid w:val="008A746D"/>
    <w:rsid w:val="008B407C"/>
    <w:rsid w:val="008E65E6"/>
    <w:rsid w:val="008F285B"/>
    <w:rsid w:val="008F4564"/>
    <w:rsid w:val="009018EC"/>
    <w:rsid w:val="00906EDB"/>
    <w:rsid w:val="00912E00"/>
    <w:rsid w:val="00912E64"/>
    <w:rsid w:val="00923C46"/>
    <w:rsid w:val="00931DDF"/>
    <w:rsid w:val="009427B6"/>
    <w:rsid w:val="00955852"/>
    <w:rsid w:val="009711DB"/>
    <w:rsid w:val="00980ED2"/>
    <w:rsid w:val="00990237"/>
    <w:rsid w:val="009A0F50"/>
    <w:rsid w:val="009A16CD"/>
    <w:rsid w:val="009A67F3"/>
    <w:rsid w:val="009C06F5"/>
    <w:rsid w:val="009D6567"/>
    <w:rsid w:val="009E0F31"/>
    <w:rsid w:val="009E623C"/>
    <w:rsid w:val="00A007F5"/>
    <w:rsid w:val="00A01B38"/>
    <w:rsid w:val="00A038EC"/>
    <w:rsid w:val="00A145B0"/>
    <w:rsid w:val="00A15172"/>
    <w:rsid w:val="00A26EF7"/>
    <w:rsid w:val="00A277D6"/>
    <w:rsid w:val="00A379F8"/>
    <w:rsid w:val="00A54EEA"/>
    <w:rsid w:val="00A56BFF"/>
    <w:rsid w:val="00A73600"/>
    <w:rsid w:val="00A74C1E"/>
    <w:rsid w:val="00A7661C"/>
    <w:rsid w:val="00A77B05"/>
    <w:rsid w:val="00A908EE"/>
    <w:rsid w:val="00A95BC7"/>
    <w:rsid w:val="00A962DF"/>
    <w:rsid w:val="00A97819"/>
    <w:rsid w:val="00AA293D"/>
    <w:rsid w:val="00AF70A1"/>
    <w:rsid w:val="00AF760B"/>
    <w:rsid w:val="00B03281"/>
    <w:rsid w:val="00B07F79"/>
    <w:rsid w:val="00B159BF"/>
    <w:rsid w:val="00B16C07"/>
    <w:rsid w:val="00B46A57"/>
    <w:rsid w:val="00B64E91"/>
    <w:rsid w:val="00B65754"/>
    <w:rsid w:val="00B66231"/>
    <w:rsid w:val="00B769F1"/>
    <w:rsid w:val="00B82025"/>
    <w:rsid w:val="00BA0A91"/>
    <w:rsid w:val="00BA4887"/>
    <w:rsid w:val="00BB3390"/>
    <w:rsid w:val="00BB3C1A"/>
    <w:rsid w:val="00BC6DEF"/>
    <w:rsid w:val="00BC792D"/>
    <w:rsid w:val="00BD28E6"/>
    <w:rsid w:val="00BD7CAE"/>
    <w:rsid w:val="00BE2989"/>
    <w:rsid w:val="00BE6A2C"/>
    <w:rsid w:val="00BE7A11"/>
    <w:rsid w:val="00BF2746"/>
    <w:rsid w:val="00BF4D0D"/>
    <w:rsid w:val="00BF722F"/>
    <w:rsid w:val="00C02083"/>
    <w:rsid w:val="00C05E0A"/>
    <w:rsid w:val="00C13FE8"/>
    <w:rsid w:val="00C30A60"/>
    <w:rsid w:val="00C30DBA"/>
    <w:rsid w:val="00C3306F"/>
    <w:rsid w:val="00C33ABA"/>
    <w:rsid w:val="00C37BB6"/>
    <w:rsid w:val="00C40238"/>
    <w:rsid w:val="00C43A10"/>
    <w:rsid w:val="00C52EFD"/>
    <w:rsid w:val="00C62974"/>
    <w:rsid w:val="00C64378"/>
    <w:rsid w:val="00C74A65"/>
    <w:rsid w:val="00C75CF0"/>
    <w:rsid w:val="00C808B5"/>
    <w:rsid w:val="00C8198C"/>
    <w:rsid w:val="00C82DB6"/>
    <w:rsid w:val="00C96002"/>
    <w:rsid w:val="00CA354B"/>
    <w:rsid w:val="00CA4CD6"/>
    <w:rsid w:val="00CA57FF"/>
    <w:rsid w:val="00CA7DA0"/>
    <w:rsid w:val="00CB76A9"/>
    <w:rsid w:val="00CC48AB"/>
    <w:rsid w:val="00CC58F6"/>
    <w:rsid w:val="00CD2069"/>
    <w:rsid w:val="00CD280D"/>
    <w:rsid w:val="00CF2B37"/>
    <w:rsid w:val="00CF3F0E"/>
    <w:rsid w:val="00D13D9A"/>
    <w:rsid w:val="00D14A8D"/>
    <w:rsid w:val="00D16E8E"/>
    <w:rsid w:val="00D21198"/>
    <w:rsid w:val="00D2273E"/>
    <w:rsid w:val="00D42D52"/>
    <w:rsid w:val="00D46FA2"/>
    <w:rsid w:val="00D5080D"/>
    <w:rsid w:val="00D50A16"/>
    <w:rsid w:val="00D54037"/>
    <w:rsid w:val="00D56F5F"/>
    <w:rsid w:val="00D61B37"/>
    <w:rsid w:val="00D63B96"/>
    <w:rsid w:val="00D92F66"/>
    <w:rsid w:val="00D95819"/>
    <w:rsid w:val="00D96FC7"/>
    <w:rsid w:val="00DA7285"/>
    <w:rsid w:val="00DB59E1"/>
    <w:rsid w:val="00DD1AC1"/>
    <w:rsid w:val="00DD7D49"/>
    <w:rsid w:val="00DE510C"/>
    <w:rsid w:val="00DF5C4E"/>
    <w:rsid w:val="00DF7909"/>
    <w:rsid w:val="00E10DA7"/>
    <w:rsid w:val="00E1538C"/>
    <w:rsid w:val="00E25DB6"/>
    <w:rsid w:val="00E276CD"/>
    <w:rsid w:val="00E32EDA"/>
    <w:rsid w:val="00E53137"/>
    <w:rsid w:val="00E5723E"/>
    <w:rsid w:val="00E61D49"/>
    <w:rsid w:val="00E702F6"/>
    <w:rsid w:val="00E72D70"/>
    <w:rsid w:val="00E77D5E"/>
    <w:rsid w:val="00E868BB"/>
    <w:rsid w:val="00E961F2"/>
    <w:rsid w:val="00EA37A9"/>
    <w:rsid w:val="00EA7026"/>
    <w:rsid w:val="00EC1BD4"/>
    <w:rsid w:val="00EC4074"/>
    <w:rsid w:val="00ED741E"/>
    <w:rsid w:val="00EF113F"/>
    <w:rsid w:val="00F033F0"/>
    <w:rsid w:val="00F03803"/>
    <w:rsid w:val="00F066C9"/>
    <w:rsid w:val="00F20822"/>
    <w:rsid w:val="00F340DF"/>
    <w:rsid w:val="00F454DB"/>
    <w:rsid w:val="00F538BC"/>
    <w:rsid w:val="00F55DCA"/>
    <w:rsid w:val="00F66ADE"/>
    <w:rsid w:val="00F843CE"/>
    <w:rsid w:val="00F9092B"/>
    <w:rsid w:val="00F92D22"/>
    <w:rsid w:val="00FB0650"/>
    <w:rsid w:val="00FB4D98"/>
    <w:rsid w:val="00FB6378"/>
    <w:rsid w:val="00FB7BCE"/>
    <w:rsid w:val="00FC4E09"/>
    <w:rsid w:val="00FD528F"/>
    <w:rsid w:val="00FD72B2"/>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41134837">
      <w:bodyDiv w:val="1"/>
      <w:marLeft w:val="0"/>
      <w:marRight w:val="0"/>
      <w:marTop w:val="0"/>
      <w:marBottom w:val="0"/>
      <w:divBdr>
        <w:top w:val="none" w:sz="0" w:space="0" w:color="auto"/>
        <w:left w:val="none" w:sz="0" w:space="0" w:color="auto"/>
        <w:bottom w:val="none" w:sz="0" w:space="0" w:color="auto"/>
        <w:right w:val="none" w:sz="0" w:space="0" w:color="auto"/>
      </w:divBdr>
    </w:div>
    <w:div w:id="15703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58A3-66A1-458E-9DAE-FBC97CED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5062</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2013-11-22T16:40:00Z</dcterms:created>
  <dcterms:modified xsi:type="dcterms:W3CDTF">2013-11-22T16:40:00Z</dcterms:modified>
</cp:coreProperties>
</file>