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793" w:rsidRDefault="00B77793">
      <w:pPr>
        <w:pStyle w:val="TIFIAChapterTitle"/>
        <w:widowControl/>
        <w:spacing w:after="0"/>
        <w:rPr>
          <w:sz w:val="36"/>
        </w:rPr>
      </w:pPr>
      <w:bookmarkStart w:id="0" w:name="OLE_LINK20"/>
      <w:bookmarkStart w:id="1" w:name="OLE_LINK21"/>
    </w:p>
    <w:p w:rsidR="00B77793" w:rsidRDefault="00B77793">
      <w:pPr>
        <w:pStyle w:val="TIFIAChapterTitle"/>
        <w:widowControl/>
        <w:outlineLvl w:val="0"/>
        <w:rPr>
          <w:sz w:val="36"/>
        </w:rPr>
      </w:pPr>
      <w:r>
        <w:rPr>
          <w:sz w:val="36"/>
        </w:rPr>
        <w:t>Table of Contents</w:t>
      </w:r>
    </w:p>
    <w:p w:rsidR="00B77793" w:rsidRDefault="00B77793">
      <w:pPr>
        <w:pStyle w:val="TIFIABodyText"/>
        <w:widowControl/>
        <w:rPr>
          <w:b/>
        </w:rPr>
      </w:pPr>
    </w:p>
    <w:p w:rsidR="00B77793" w:rsidRDefault="00B77793">
      <w:pPr>
        <w:pStyle w:val="TIFIABodyText"/>
        <w:widowControl/>
        <w:outlineLvl w:val="0"/>
      </w:pPr>
      <w:r>
        <w:rPr>
          <w:b/>
        </w:rPr>
        <w:t>PROGRAM GUIDE</w:t>
      </w:r>
    </w:p>
    <w:p w:rsidR="00B77793" w:rsidRDefault="00B77793">
      <w:pPr>
        <w:pStyle w:val="TIFIABodyText"/>
        <w:widowControl/>
      </w:pPr>
      <w:r>
        <w:t>Inside Cover</w:t>
      </w:r>
      <w:r>
        <w:tab/>
        <w:t>Contacting the TIFIA Joint Program Office</w:t>
      </w:r>
    </w:p>
    <w:p w:rsidR="00B77793" w:rsidRDefault="00B77793">
      <w:pPr>
        <w:pStyle w:val="TIFIABodyText"/>
        <w:widowControl/>
      </w:pPr>
      <w:r>
        <w:t>Chapter 1</w:t>
      </w:r>
      <w:r>
        <w:tab/>
        <w:t>Introduction to TIFIA</w:t>
      </w:r>
    </w:p>
    <w:p w:rsidR="00B77793" w:rsidRDefault="00B77793">
      <w:pPr>
        <w:pStyle w:val="TIFIABodyText"/>
        <w:widowControl/>
      </w:pPr>
      <w:r>
        <w:t>Chapter 2</w:t>
      </w:r>
      <w:r>
        <w:tab/>
        <w:t>Terms and Funding of Credit Instruments</w:t>
      </w:r>
    </w:p>
    <w:p w:rsidR="00B77793" w:rsidRDefault="00B77793">
      <w:pPr>
        <w:pStyle w:val="TIFIABodyText"/>
        <w:widowControl/>
      </w:pPr>
      <w:r>
        <w:t>Chapter 3</w:t>
      </w:r>
      <w:r>
        <w:tab/>
        <w:t>Eligibility Requirements</w:t>
      </w:r>
    </w:p>
    <w:p w:rsidR="00B77793" w:rsidRDefault="00B77793">
      <w:pPr>
        <w:pStyle w:val="TIFIABodyText"/>
        <w:widowControl/>
      </w:pPr>
      <w:r>
        <w:t>Chapter 4</w:t>
      </w:r>
      <w:r>
        <w:tab/>
        <w:t>Application Process</w:t>
      </w:r>
    </w:p>
    <w:p w:rsidR="00B77793" w:rsidRDefault="00B77793">
      <w:pPr>
        <w:pStyle w:val="TIFIABodyText"/>
        <w:widowControl/>
      </w:pPr>
      <w:r>
        <w:t>Chapter 5</w:t>
      </w:r>
      <w:r>
        <w:tab/>
        <w:t>Selection Process</w:t>
      </w:r>
    </w:p>
    <w:p w:rsidR="00B77793" w:rsidRDefault="00B77793">
      <w:pPr>
        <w:pStyle w:val="TIFIABodyText"/>
        <w:widowControl/>
      </w:pPr>
      <w:r>
        <w:t>Chapter 6</w:t>
      </w:r>
      <w:r>
        <w:tab/>
        <w:t>Transaction Documents and Ongoing Monitoring Requirements</w:t>
      </w:r>
    </w:p>
    <w:p w:rsidR="00B77793" w:rsidRDefault="00B77793">
      <w:pPr>
        <w:pStyle w:val="TIFIABodyText"/>
        <w:widowControl/>
      </w:pPr>
      <w:r>
        <w:t>Chapter 7</w:t>
      </w:r>
      <w:r>
        <w:tab/>
        <w:t>Special Issues Related to Loan Guarantees</w:t>
      </w:r>
    </w:p>
    <w:p w:rsidR="00B77793" w:rsidRDefault="00B77793">
      <w:pPr>
        <w:pStyle w:val="TIFIABodyText"/>
        <w:widowControl/>
        <w:rPr>
          <w:b/>
        </w:rPr>
      </w:pPr>
    </w:p>
    <w:p w:rsidR="00B77793" w:rsidRDefault="00B77793">
      <w:pPr>
        <w:pStyle w:val="TIFIABodyText"/>
        <w:widowControl/>
        <w:outlineLvl w:val="0"/>
      </w:pPr>
      <w:r>
        <w:rPr>
          <w:b/>
        </w:rPr>
        <w:t>APPENDICES</w:t>
      </w:r>
    </w:p>
    <w:p w:rsidR="00B77793" w:rsidRDefault="00B77793">
      <w:pPr>
        <w:pStyle w:val="TIFIABodyText"/>
        <w:widowControl/>
        <w:rPr>
          <w:szCs w:val="22"/>
        </w:rPr>
      </w:pPr>
      <w:bookmarkStart w:id="2" w:name="_GoBack"/>
      <w:r>
        <w:rPr>
          <w:szCs w:val="22"/>
        </w:rPr>
        <w:t>Appendix</w:t>
      </w:r>
      <w:bookmarkEnd w:id="2"/>
      <w:r>
        <w:rPr>
          <w:szCs w:val="22"/>
        </w:rPr>
        <w:t xml:space="preserve"> </w:t>
      </w:r>
      <w:proofErr w:type="gramStart"/>
      <w:r>
        <w:rPr>
          <w:szCs w:val="22"/>
        </w:rPr>
        <w:t>A</w:t>
      </w:r>
      <w:proofErr w:type="gramEnd"/>
      <w:r>
        <w:rPr>
          <w:szCs w:val="22"/>
        </w:rPr>
        <w:tab/>
        <w:t>Acronyms</w:t>
      </w:r>
    </w:p>
    <w:p w:rsidR="00B77793" w:rsidRDefault="00B77793">
      <w:pPr>
        <w:pStyle w:val="TIFIABodyText"/>
        <w:widowControl/>
      </w:pPr>
    </w:p>
    <w:p w:rsidR="00B77793" w:rsidRDefault="00B77793">
      <w:pPr>
        <w:pStyle w:val="TIFIABodyText"/>
        <w:widowControl/>
      </w:pPr>
    </w:p>
    <w:p w:rsidR="00B77793" w:rsidRDefault="00B77793">
      <w:pPr>
        <w:pStyle w:val="Default"/>
        <w:widowControl/>
        <w:jc w:val="both"/>
        <w:rPr>
          <w:color w:val="auto"/>
        </w:rPr>
        <w:sectPr w:rsidR="00B77793">
          <w:headerReference w:type="even" r:id="rId9"/>
          <w:headerReference w:type="default" r:id="rId10"/>
          <w:footerReference w:type="even" r:id="rId11"/>
          <w:footerReference w:type="default" r:id="rId12"/>
          <w:footerReference w:type="first" r:id="rId13"/>
          <w:endnotePr>
            <w:numFmt w:val="decimal"/>
          </w:endnotePr>
          <w:pgSz w:w="12240" w:h="15840"/>
          <w:pgMar w:top="1440" w:right="1440" w:bottom="1440" w:left="2520" w:header="720" w:footer="720" w:gutter="0"/>
          <w:cols w:space="720"/>
          <w:titlePg/>
        </w:sectPr>
      </w:pPr>
    </w:p>
    <w:p w:rsidR="00B77793" w:rsidRDefault="002C27DA" w:rsidP="0051120F">
      <w:pPr>
        <w:pStyle w:val="TIFIAChapterTitle"/>
        <w:widowControl/>
        <w:spacing w:after="240"/>
        <w:outlineLvl w:val="0"/>
        <w:rPr>
          <w:color w:val="000000"/>
        </w:rPr>
      </w:pPr>
      <w:r>
        <w:lastRenderedPageBreak/>
        <w:t>C</w:t>
      </w:r>
      <w:r w:rsidR="00B77793">
        <w:t>hapter 1: Introduction to TIFIA</w:t>
      </w:r>
    </w:p>
    <w:p w:rsidR="00B77793" w:rsidRDefault="00B77793">
      <w:pPr>
        <w:pStyle w:val="CM2"/>
        <w:widowControl/>
        <w:spacing w:after="251"/>
        <w:jc w:val="both"/>
        <w:rPr>
          <w:rFonts w:ascii="Times New Roman" w:hAnsi="Times New Roman"/>
          <w:sz w:val="22"/>
        </w:rPr>
      </w:pPr>
      <w:r>
        <w:rPr>
          <w:rFonts w:ascii="Times New Roman" w:hAnsi="Times New Roman"/>
          <w:color w:val="000000"/>
          <w:sz w:val="22"/>
        </w:rPr>
        <w:t xml:space="preserve">The Transportation Infrastructure Finance and Innovation Act of 1998 (TIFIA) established a Federal credit program (referenced hereafter as the TIFIA </w:t>
      </w:r>
      <w:r w:rsidR="00A23DE8">
        <w:rPr>
          <w:rFonts w:ascii="Times New Roman" w:hAnsi="Times New Roman"/>
          <w:color w:val="000000"/>
          <w:sz w:val="22"/>
        </w:rPr>
        <w:t xml:space="preserve">Program or </w:t>
      </w:r>
      <w:r w:rsidR="003F7CB2">
        <w:rPr>
          <w:rFonts w:ascii="Times New Roman" w:hAnsi="Times New Roman"/>
          <w:color w:val="000000"/>
          <w:sz w:val="22"/>
        </w:rPr>
        <w:t xml:space="preserve">the </w:t>
      </w:r>
      <w:r w:rsidR="00A23DE8">
        <w:rPr>
          <w:rFonts w:ascii="Times New Roman" w:hAnsi="Times New Roman"/>
          <w:color w:val="000000"/>
          <w:sz w:val="22"/>
        </w:rPr>
        <w:t>Program</w:t>
      </w:r>
      <w:r>
        <w:rPr>
          <w:rFonts w:ascii="Times New Roman" w:hAnsi="Times New Roman"/>
          <w:color w:val="000000"/>
          <w:sz w:val="22"/>
        </w:rPr>
        <w:t xml:space="preserve">) for eligible transportation projects under which the </w:t>
      </w:r>
      <w:r>
        <w:rPr>
          <w:rFonts w:ascii="Times New Roman" w:hAnsi="Times New Roman"/>
          <w:sz w:val="22"/>
        </w:rPr>
        <w:t xml:space="preserve">U.S. Department of Transportation (DOT) may provide three forms of credit assistance – secured (direct) loans, loan guarantees, and standby lines of credit.  The </w:t>
      </w:r>
      <w:r w:rsidR="00A23DE8">
        <w:rPr>
          <w:rFonts w:ascii="Times New Roman" w:hAnsi="Times New Roman"/>
          <w:sz w:val="22"/>
        </w:rPr>
        <w:t>P</w:t>
      </w:r>
      <w:r>
        <w:rPr>
          <w:rFonts w:ascii="Times New Roman" w:hAnsi="Times New Roman"/>
          <w:sz w:val="22"/>
        </w:rPr>
        <w:t xml:space="preserve">rogram’s fundamental goal is to leverage Federal funds by attracting substantial private and other non-Federal co-investment </w:t>
      </w:r>
      <w:r w:rsidR="00A23DE8">
        <w:rPr>
          <w:rFonts w:ascii="Times New Roman" w:hAnsi="Times New Roman"/>
          <w:sz w:val="22"/>
        </w:rPr>
        <w:t xml:space="preserve">to support </w:t>
      </w:r>
      <w:r>
        <w:rPr>
          <w:rFonts w:ascii="Times New Roman" w:hAnsi="Times New Roman"/>
          <w:sz w:val="22"/>
        </w:rPr>
        <w:t>critical improvements to the nation’s surface transportation system.  The DOT awards credit assistance to eligible applicants, which include state departments of transportation, transit operators, special authorities, local governments, and private entities.</w:t>
      </w:r>
    </w:p>
    <w:p w:rsidR="00B77793" w:rsidRDefault="00B77793">
      <w:pPr>
        <w:pStyle w:val="CM4"/>
        <w:widowControl/>
        <w:spacing w:after="251" w:line="271" w:lineRule="atLeast"/>
        <w:jc w:val="both"/>
        <w:rPr>
          <w:rFonts w:ascii="Times New Roman" w:hAnsi="Times New Roman"/>
          <w:color w:val="000000"/>
          <w:sz w:val="22"/>
        </w:rPr>
      </w:pPr>
      <w:r>
        <w:rPr>
          <w:rFonts w:ascii="Times New Roman" w:hAnsi="Times New Roman"/>
          <w:color w:val="000000"/>
          <w:sz w:val="22"/>
        </w:rPr>
        <w:t xml:space="preserve">This </w:t>
      </w:r>
      <w:r w:rsidR="00A23DE8">
        <w:rPr>
          <w:rFonts w:ascii="Times New Roman" w:hAnsi="Times New Roman"/>
          <w:color w:val="000000"/>
          <w:sz w:val="22"/>
        </w:rPr>
        <w:t xml:space="preserve">Program </w:t>
      </w:r>
      <w:r>
        <w:rPr>
          <w:rFonts w:ascii="Times New Roman" w:hAnsi="Times New Roman"/>
          <w:color w:val="000000"/>
          <w:sz w:val="22"/>
        </w:rPr>
        <w:t xml:space="preserve">guide, written for prospective TIFIA applicants, describes how the DOT administers the TIFIA </w:t>
      </w:r>
      <w:r w:rsidR="00A23DE8">
        <w:rPr>
          <w:rFonts w:ascii="Times New Roman" w:hAnsi="Times New Roman"/>
          <w:color w:val="000000"/>
          <w:sz w:val="22"/>
        </w:rPr>
        <w:t>Program</w:t>
      </w:r>
      <w:r>
        <w:rPr>
          <w:rFonts w:ascii="Times New Roman" w:hAnsi="Times New Roman"/>
          <w:color w:val="000000"/>
          <w:sz w:val="22"/>
        </w:rPr>
        <w:t xml:space="preserve">.  This chapter introduces the </w:t>
      </w:r>
      <w:r w:rsidR="00A23DE8">
        <w:rPr>
          <w:rFonts w:ascii="Times New Roman" w:hAnsi="Times New Roman"/>
          <w:color w:val="000000"/>
          <w:sz w:val="22"/>
        </w:rPr>
        <w:t xml:space="preserve">Program’s </w:t>
      </w:r>
      <w:r>
        <w:rPr>
          <w:rFonts w:ascii="Times New Roman" w:hAnsi="Times New Roman"/>
          <w:color w:val="000000"/>
          <w:sz w:val="22"/>
        </w:rPr>
        <w:t xml:space="preserve">objectives and provides an overview of how the </w:t>
      </w:r>
      <w:r w:rsidR="00A23DE8">
        <w:rPr>
          <w:rFonts w:ascii="Times New Roman" w:hAnsi="Times New Roman"/>
          <w:color w:val="000000"/>
          <w:sz w:val="22"/>
        </w:rPr>
        <w:t xml:space="preserve">Program </w:t>
      </w:r>
      <w:r>
        <w:rPr>
          <w:rFonts w:ascii="Times New Roman" w:hAnsi="Times New Roman"/>
          <w:color w:val="000000"/>
          <w:sz w:val="22"/>
        </w:rPr>
        <w:t xml:space="preserve">operates.  Chapter 2 details the required terms for individual credit instruments and describes how these instruments are funded.  Chapter 3 describes the eligibility requirements concerning types of projects, activities, cost limits, and applicants.  Chapter 4 describes the process by which </w:t>
      </w:r>
      <w:r w:rsidR="00A1710C">
        <w:rPr>
          <w:rFonts w:ascii="Times New Roman" w:hAnsi="Times New Roman"/>
          <w:color w:val="000000"/>
          <w:sz w:val="22"/>
        </w:rPr>
        <w:t xml:space="preserve">potential </w:t>
      </w:r>
      <w:r>
        <w:rPr>
          <w:rFonts w:ascii="Times New Roman" w:hAnsi="Times New Roman"/>
          <w:color w:val="000000"/>
          <w:sz w:val="22"/>
        </w:rPr>
        <w:t xml:space="preserve">applicants may apply for TIFIA </w:t>
      </w:r>
      <w:r w:rsidR="00093F3D">
        <w:rPr>
          <w:rFonts w:ascii="Times New Roman" w:hAnsi="Times New Roman"/>
          <w:color w:val="000000"/>
          <w:sz w:val="22"/>
        </w:rPr>
        <w:t xml:space="preserve">credit </w:t>
      </w:r>
      <w:r>
        <w:rPr>
          <w:rFonts w:ascii="Times New Roman" w:hAnsi="Times New Roman"/>
          <w:color w:val="000000"/>
          <w:sz w:val="22"/>
        </w:rPr>
        <w:t xml:space="preserve">assistance.  Chapter 5 describes the </w:t>
      </w:r>
      <w:r w:rsidR="00105408">
        <w:rPr>
          <w:rFonts w:ascii="Times New Roman" w:hAnsi="Times New Roman"/>
          <w:color w:val="000000"/>
          <w:sz w:val="22"/>
        </w:rPr>
        <w:t>review</w:t>
      </w:r>
      <w:r>
        <w:rPr>
          <w:rFonts w:ascii="Times New Roman" w:hAnsi="Times New Roman"/>
          <w:color w:val="000000"/>
          <w:sz w:val="22"/>
        </w:rPr>
        <w:t xml:space="preserve"> process that the DOT uses to determine who receives credit assistance.  Chapter 6 discusses the contractual documents, prerequisites for executing such documents, and the ongoing monitoring requirements.  Chapter 7 discusses special issues related to loan guarantees.  </w:t>
      </w:r>
    </w:p>
    <w:p w:rsidR="00B77793" w:rsidRDefault="00B77793">
      <w:pPr>
        <w:pStyle w:val="CM4"/>
        <w:widowControl/>
        <w:spacing w:after="251" w:line="271" w:lineRule="atLeast"/>
        <w:jc w:val="both"/>
        <w:rPr>
          <w:rFonts w:ascii="Times New Roman" w:hAnsi="Times New Roman"/>
          <w:color w:val="000000"/>
          <w:sz w:val="22"/>
        </w:rPr>
      </w:pPr>
      <w:r>
        <w:rPr>
          <w:rFonts w:ascii="Times New Roman" w:hAnsi="Times New Roman"/>
          <w:color w:val="000000"/>
          <w:sz w:val="22"/>
        </w:rPr>
        <w:t xml:space="preserve">Electronic copies of this </w:t>
      </w:r>
      <w:r w:rsidR="00C05720">
        <w:rPr>
          <w:rFonts w:ascii="Times New Roman" w:hAnsi="Times New Roman"/>
          <w:color w:val="000000"/>
          <w:sz w:val="22"/>
        </w:rPr>
        <w:t>P</w:t>
      </w:r>
      <w:r>
        <w:rPr>
          <w:rFonts w:ascii="Times New Roman" w:hAnsi="Times New Roman"/>
          <w:color w:val="000000"/>
          <w:sz w:val="22"/>
        </w:rPr>
        <w:t xml:space="preserve">rogram </w:t>
      </w:r>
      <w:r w:rsidR="00C05720">
        <w:rPr>
          <w:rFonts w:ascii="Times New Roman" w:hAnsi="Times New Roman"/>
          <w:color w:val="000000"/>
          <w:sz w:val="22"/>
        </w:rPr>
        <w:t>G</w:t>
      </w:r>
      <w:r>
        <w:rPr>
          <w:rFonts w:ascii="Times New Roman" w:hAnsi="Times New Roman"/>
          <w:color w:val="000000"/>
          <w:sz w:val="22"/>
        </w:rPr>
        <w:t xml:space="preserve">uide can be found on the TIFIA web site located at </w:t>
      </w:r>
      <w:hyperlink r:id="rId14" w:history="1">
        <w:r w:rsidRPr="003B3513">
          <w:rPr>
            <w:rStyle w:val="Hyperlink"/>
            <w:rFonts w:ascii="Times New Roman" w:hAnsi="Times New Roman"/>
            <w:sz w:val="22"/>
          </w:rPr>
          <w:t>http://www.fhwa.dot.gov/ipd/tifia</w:t>
        </w:r>
      </w:hyperlink>
      <w:r>
        <w:rPr>
          <w:rFonts w:ascii="Times New Roman" w:hAnsi="Times New Roman"/>
          <w:color w:val="000000"/>
          <w:sz w:val="22"/>
        </w:rPr>
        <w:t xml:space="preserve">, as can </w:t>
      </w:r>
      <w:r w:rsidR="00E076E1">
        <w:rPr>
          <w:rFonts w:ascii="Times New Roman" w:hAnsi="Times New Roman"/>
          <w:color w:val="000000"/>
          <w:sz w:val="22"/>
        </w:rPr>
        <w:t xml:space="preserve">all application materials and </w:t>
      </w:r>
      <w:r>
        <w:rPr>
          <w:rFonts w:ascii="Times New Roman" w:hAnsi="Times New Roman"/>
          <w:color w:val="000000"/>
          <w:sz w:val="22"/>
        </w:rPr>
        <w:t xml:space="preserve">additional information regarding the TIFIA </w:t>
      </w:r>
      <w:r w:rsidR="00A23DE8">
        <w:rPr>
          <w:rFonts w:ascii="Times New Roman" w:hAnsi="Times New Roman"/>
          <w:color w:val="000000"/>
          <w:sz w:val="22"/>
        </w:rPr>
        <w:t>Program</w:t>
      </w:r>
      <w:r>
        <w:rPr>
          <w:rFonts w:ascii="Times New Roman" w:hAnsi="Times New Roman"/>
          <w:color w:val="000000"/>
          <w:sz w:val="22"/>
        </w:rPr>
        <w:t>.</w:t>
      </w:r>
    </w:p>
    <w:p w:rsidR="00B77793" w:rsidRDefault="00B77793" w:rsidP="0070290F">
      <w:pPr>
        <w:pStyle w:val="CM4"/>
        <w:widowControl/>
        <w:spacing w:line="271" w:lineRule="atLeast"/>
        <w:jc w:val="both"/>
        <w:outlineLvl w:val="0"/>
        <w:rPr>
          <w:color w:val="000000"/>
          <w:sz w:val="22"/>
        </w:rPr>
      </w:pPr>
      <w:r>
        <w:rPr>
          <w:b/>
          <w:color w:val="000000"/>
          <w:sz w:val="22"/>
        </w:rPr>
        <w:t xml:space="preserve">Legislative Reference </w:t>
      </w:r>
    </w:p>
    <w:p w:rsidR="00B77793" w:rsidRDefault="00B77793">
      <w:pPr>
        <w:pStyle w:val="CM4"/>
        <w:widowControl/>
        <w:spacing w:line="271" w:lineRule="atLeast"/>
        <w:jc w:val="both"/>
      </w:pPr>
      <w:r>
        <w:rPr>
          <w:rFonts w:ascii="Times New Roman" w:hAnsi="Times New Roman"/>
          <w:color w:val="000000"/>
          <w:sz w:val="22"/>
        </w:rPr>
        <w:t xml:space="preserve">The </w:t>
      </w:r>
      <w:r w:rsidR="00A1710C">
        <w:rPr>
          <w:rFonts w:ascii="Times New Roman" w:hAnsi="Times New Roman"/>
          <w:color w:val="000000"/>
          <w:sz w:val="22"/>
        </w:rPr>
        <w:t xml:space="preserve">Transportation Infrastructure Finance and Innovation Act of 1998 </w:t>
      </w:r>
      <w:r>
        <w:rPr>
          <w:rFonts w:ascii="Times New Roman" w:hAnsi="Times New Roman"/>
          <w:color w:val="000000"/>
          <w:sz w:val="22"/>
        </w:rPr>
        <w:t>was enacted as part of the Transportation Equity Act for the 21</w:t>
      </w:r>
      <w:r>
        <w:rPr>
          <w:rFonts w:ascii="Times New Roman" w:hAnsi="Times New Roman"/>
          <w:color w:val="000000"/>
          <w:sz w:val="22"/>
          <w:vertAlign w:val="superscript"/>
        </w:rPr>
        <w:t>st</w:t>
      </w:r>
      <w:r>
        <w:rPr>
          <w:rFonts w:ascii="Times New Roman" w:hAnsi="Times New Roman"/>
          <w:color w:val="000000"/>
          <w:sz w:val="22"/>
        </w:rPr>
        <w:t xml:space="preserve"> Century (TEA 21</w:t>
      </w:r>
      <w:r w:rsidR="00A1710C">
        <w:rPr>
          <w:rFonts w:ascii="Times New Roman" w:hAnsi="Times New Roman"/>
          <w:color w:val="000000"/>
          <w:sz w:val="22"/>
        </w:rPr>
        <w:t>)</w:t>
      </w:r>
      <w:r>
        <w:rPr>
          <w:rFonts w:ascii="Times New Roman" w:hAnsi="Times New Roman"/>
          <w:color w:val="000000"/>
          <w:sz w:val="22"/>
        </w:rPr>
        <w:t xml:space="preserve"> </w:t>
      </w:r>
      <w:r w:rsidR="00A1710C">
        <w:rPr>
          <w:rFonts w:ascii="Times New Roman" w:hAnsi="Times New Roman"/>
          <w:color w:val="000000"/>
          <w:sz w:val="22"/>
        </w:rPr>
        <w:t>(</w:t>
      </w:r>
      <w:r>
        <w:rPr>
          <w:rFonts w:ascii="Times New Roman" w:hAnsi="Times New Roman"/>
          <w:color w:val="000000"/>
          <w:sz w:val="22"/>
        </w:rPr>
        <w:t xml:space="preserve">Public Law 105-178, §§1501-04), as amended </w:t>
      </w:r>
      <w:r w:rsidR="00A20BA1">
        <w:rPr>
          <w:rFonts w:ascii="Times New Roman" w:hAnsi="Times New Roman"/>
          <w:color w:val="000000"/>
          <w:sz w:val="22"/>
        </w:rPr>
        <w:t xml:space="preserve">in </w:t>
      </w:r>
      <w:r w:rsidR="003F3406">
        <w:rPr>
          <w:rFonts w:ascii="Times New Roman" w:hAnsi="Times New Roman"/>
          <w:color w:val="000000"/>
          <w:sz w:val="22"/>
        </w:rPr>
        <w:t>1998</w:t>
      </w:r>
      <w:r w:rsidR="00A20BA1">
        <w:rPr>
          <w:rFonts w:ascii="Times New Roman" w:hAnsi="Times New Roman"/>
          <w:color w:val="000000"/>
          <w:sz w:val="22"/>
        </w:rPr>
        <w:t xml:space="preserve"> </w:t>
      </w:r>
      <w:r>
        <w:rPr>
          <w:rFonts w:ascii="Times New Roman" w:hAnsi="Times New Roman"/>
          <w:color w:val="000000"/>
          <w:sz w:val="22"/>
        </w:rPr>
        <w:t>by the TEA 21 Restoration Act (Title IX of Public Law 105-206)</w:t>
      </w:r>
      <w:r w:rsidR="00A1710C">
        <w:rPr>
          <w:rFonts w:ascii="Times New Roman" w:hAnsi="Times New Roman"/>
          <w:color w:val="000000"/>
          <w:sz w:val="22"/>
        </w:rPr>
        <w:t>,</w:t>
      </w:r>
      <w:r w:rsidR="00BA670C">
        <w:rPr>
          <w:rFonts w:ascii="Times New Roman" w:hAnsi="Times New Roman"/>
          <w:color w:val="000000"/>
          <w:sz w:val="22"/>
        </w:rPr>
        <w:t xml:space="preserve"> further amended in 2005 by</w:t>
      </w:r>
      <w:r w:rsidR="00027A10">
        <w:rPr>
          <w:rFonts w:ascii="Times New Roman" w:hAnsi="Times New Roman"/>
          <w:sz w:val="22"/>
          <w:szCs w:val="22"/>
        </w:rPr>
        <w:t xml:space="preserve"> </w:t>
      </w:r>
      <w:r w:rsidR="00525C5B" w:rsidRPr="00EC479F">
        <w:rPr>
          <w:rFonts w:ascii="Times New Roman" w:hAnsi="Times New Roman"/>
          <w:sz w:val="22"/>
          <w:szCs w:val="22"/>
        </w:rPr>
        <w:t>the Safe, Accountable, Flexible, Efficient Transportation Equity Act:  A Legacy for Users (SAFETEA-LU) (Pub</w:t>
      </w:r>
      <w:r w:rsidR="00A1710C">
        <w:rPr>
          <w:rFonts w:ascii="Times New Roman" w:hAnsi="Times New Roman"/>
          <w:sz w:val="22"/>
          <w:szCs w:val="22"/>
        </w:rPr>
        <w:t>lic</w:t>
      </w:r>
      <w:r w:rsidR="00525C5B" w:rsidRPr="00EC479F">
        <w:rPr>
          <w:rFonts w:ascii="Times New Roman" w:hAnsi="Times New Roman"/>
          <w:sz w:val="22"/>
          <w:szCs w:val="22"/>
        </w:rPr>
        <w:t xml:space="preserve"> L</w:t>
      </w:r>
      <w:r w:rsidR="00A1710C">
        <w:rPr>
          <w:rFonts w:ascii="Times New Roman" w:hAnsi="Times New Roman"/>
          <w:sz w:val="22"/>
          <w:szCs w:val="22"/>
        </w:rPr>
        <w:t>aw 109-59</w:t>
      </w:r>
      <w:r w:rsidR="00525C5B" w:rsidRPr="00EC479F">
        <w:rPr>
          <w:rFonts w:ascii="Times New Roman" w:hAnsi="Times New Roman"/>
          <w:sz w:val="22"/>
          <w:szCs w:val="22"/>
        </w:rPr>
        <w:t>)</w:t>
      </w:r>
      <w:r w:rsidR="00A1710C">
        <w:rPr>
          <w:rFonts w:ascii="Times New Roman" w:hAnsi="Times New Roman"/>
          <w:sz w:val="22"/>
          <w:szCs w:val="22"/>
        </w:rPr>
        <w:t>, and most recently,</w:t>
      </w:r>
      <w:r w:rsidR="00A20BA1">
        <w:rPr>
          <w:rFonts w:ascii="Times New Roman" w:hAnsi="Times New Roman"/>
          <w:sz w:val="22"/>
          <w:szCs w:val="22"/>
        </w:rPr>
        <w:t xml:space="preserve"> in 2012,</w:t>
      </w:r>
      <w:r w:rsidR="00A1710C">
        <w:rPr>
          <w:rFonts w:ascii="Times New Roman" w:hAnsi="Times New Roman"/>
          <w:sz w:val="22"/>
          <w:szCs w:val="22"/>
        </w:rPr>
        <w:t xml:space="preserve"> by </w:t>
      </w:r>
      <w:r w:rsidR="00A20BA1">
        <w:rPr>
          <w:rFonts w:ascii="Times New Roman" w:hAnsi="Times New Roman"/>
          <w:sz w:val="22"/>
          <w:szCs w:val="22"/>
        </w:rPr>
        <w:t xml:space="preserve">the </w:t>
      </w:r>
      <w:r w:rsidR="00A1710C">
        <w:rPr>
          <w:rFonts w:ascii="Times New Roman" w:hAnsi="Times New Roman"/>
          <w:sz w:val="22"/>
        </w:rPr>
        <w:t>Moving Ahead for Progress in the 21</w:t>
      </w:r>
      <w:r w:rsidR="00A1710C" w:rsidRPr="004C5D94">
        <w:rPr>
          <w:rFonts w:ascii="Times New Roman" w:hAnsi="Times New Roman"/>
          <w:sz w:val="22"/>
          <w:vertAlign w:val="superscript"/>
        </w:rPr>
        <w:t>st</w:t>
      </w:r>
      <w:r w:rsidR="00A1710C">
        <w:rPr>
          <w:rFonts w:ascii="Times New Roman" w:hAnsi="Times New Roman"/>
          <w:sz w:val="22"/>
        </w:rPr>
        <w:t xml:space="preserve"> Century Act (MAP-21) (</w:t>
      </w:r>
      <w:r w:rsidR="00A1710C">
        <w:rPr>
          <w:rFonts w:ascii="Times New Roman" w:hAnsi="Times New Roman"/>
          <w:sz w:val="22"/>
          <w:szCs w:val="22"/>
        </w:rPr>
        <w:t>Public Law</w:t>
      </w:r>
      <w:r w:rsidR="00A1710C" w:rsidRPr="00A1710C">
        <w:rPr>
          <w:rFonts w:ascii="Times New Roman" w:hAnsi="Times New Roman"/>
          <w:sz w:val="22"/>
          <w:szCs w:val="22"/>
        </w:rPr>
        <w:t xml:space="preserve"> 112-141</w:t>
      </w:r>
      <w:r w:rsidR="003F3406">
        <w:rPr>
          <w:rFonts w:ascii="Times New Roman" w:hAnsi="Times New Roman"/>
          <w:sz w:val="22"/>
          <w:szCs w:val="22"/>
        </w:rPr>
        <w:t>)</w:t>
      </w:r>
      <w:r w:rsidR="00A1710C">
        <w:rPr>
          <w:rFonts w:ascii="Times New Roman" w:hAnsi="Times New Roman"/>
          <w:sz w:val="22"/>
          <w:szCs w:val="22"/>
        </w:rPr>
        <w:t xml:space="preserve">.  </w:t>
      </w:r>
      <w:r>
        <w:rPr>
          <w:rFonts w:ascii="Times New Roman" w:hAnsi="Times New Roman"/>
          <w:color w:val="000000"/>
          <w:sz w:val="22"/>
        </w:rPr>
        <w:t xml:space="preserve">The </w:t>
      </w:r>
      <w:r w:rsidR="00C05720">
        <w:rPr>
          <w:rFonts w:ascii="Times New Roman" w:hAnsi="Times New Roman"/>
          <w:color w:val="000000"/>
          <w:sz w:val="22"/>
        </w:rPr>
        <w:t>TIFIA statute</w:t>
      </w:r>
      <w:r>
        <w:rPr>
          <w:rFonts w:ascii="Times New Roman" w:hAnsi="Times New Roman"/>
          <w:color w:val="000000"/>
          <w:sz w:val="22"/>
        </w:rPr>
        <w:t xml:space="preserve"> is codified within sections 601 through 609 of title 23 of the United States Code (23 U.S.C. §§601-609), with supporting regulations appearing in part 80 of title 49 of the Code of Federal Regulations (49 CFR 80).  These documents </w:t>
      </w:r>
      <w:r w:rsidR="002D1F66">
        <w:rPr>
          <w:rFonts w:ascii="Times New Roman" w:hAnsi="Times New Roman"/>
          <w:color w:val="000000"/>
          <w:sz w:val="22"/>
        </w:rPr>
        <w:t xml:space="preserve">are available on the TIFIA website, which </w:t>
      </w:r>
      <w:r>
        <w:rPr>
          <w:rFonts w:ascii="Times New Roman" w:hAnsi="Times New Roman"/>
          <w:color w:val="000000"/>
          <w:sz w:val="22"/>
        </w:rPr>
        <w:t>can be found at</w:t>
      </w:r>
      <w:r w:rsidR="002D1F66">
        <w:rPr>
          <w:rFonts w:ascii="Times New Roman" w:hAnsi="Times New Roman"/>
          <w:color w:val="000000"/>
          <w:sz w:val="22"/>
        </w:rPr>
        <w:t>:</w:t>
      </w:r>
      <w:r>
        <w:rPr>
          <w:rFonts w:ascii="Times New Roman" w:hAnsi="Times New Roman"/>
          <w:color w:val="000000"/>
          <w:sz w:val="22"/>
        </w:rPr>
        <w:t xml:space="preserve"> </w:t>
      </w:r>
      <w:hyperlink r:id="rId15" w:history="1">
        <w:r w:rsidR="00451045" w:rsidRPr="00B66614">
          <w:rPr>
            <w:rStyle w:val="Hyperlink"/>
            <w:rFonts w:ascii="Times New Roman" w:hAnsi="Times New Roman"/>
            <w:sz w:val="22"/>
          </w:rPr>
          <w:t>http://www.fhwa.dot.gov/ipd/tifia/legislation_regulations/index.htm</w:t>
        </w:r>
      </w:hyperlink>
      <w:r>
        <w:rPr>
          <w:rFonts w:ascii="Times New Roman" w:hAnsi="Times New Roman"/>
          <w:color w:val="000000"/>
          <w:sz w:val="22"/>
        </w:rPr>
        <w:t xml:space="preserve">. </w:t>
      </w:r>
      <w:r w:rsidR="009538B3">
        <w:rPr>
          <w:rFonts w:ascii="Times New Roman" w:hAnsi="Times New Roman"/>
          <w:color w:val="000000"/>
          <w:sz w:val="22"/>
        </w:rPr>
        <w:t xml:space="preserve"> </w:t>
      </w:r>
    </w:p>
    <w:p w:rsidR="00B77793" w:rsidRDefault="00B77793">
      <w:pPr>
        <w:pStyle w:val="CM4"/>
        <w:keepNext/>
        <w:widowControl/>
        <w:spacing w:line="271" w:lineRule="atLeast"/>
        <w:jc w:val="both"/>
        <w:outlineLvl w:val="0"/>
        <w:rPr>
          <w:sz w:val="22"/>
        </w:rPr>
      </w:pPr>
      <w:r>
        <w:rPr>
          <w:b/>
          <w:sz w:val="22"/>
        </w:rPr>
        <w:t xml:space="preserve">Policy Considerations </w:t>
      </w:r>
    </w:p>
    <w:p w:rsidR="00B77793" w:rsidRDefault="00B77793">
      <w:pPr>
        <w:pStyle w:val="CM2"/>
        <w:widowControl/>
        <w:spacing w:after="240"/>
        <w:jc w:val="both"/>
        <w:rPr>
          <w:rFonts w:ascii="Times New Roman" w:hAnsi="Times New Roman"/>
          <w:sz w:val="22"/>
        </w:rPr>
      </w:pPr>
      <w:r>
        <w:rPr>
          <w:rFonts w:ascii="Times New Roman" w:hAnsi="Times New Roman"/>
          <w:sz w:val="22"/>
        </w:rPr>
        <w:t xml:space="preserve">The public policy underlying the TIFIA </w:t>
      </w:r>
      <w:r w:rsidR="00145687">
        <w:rPr>
          <w:rFonts w:ascii="Times New Roman" w:hAnsi="Times New Roman"/>
          <w:sz w:val="22"/>
        </w:rPr>
        <w:t>P</w:t>
      </w:r>
      <w:r>
        <w:rPr>
          <w:rFonts w:ascii="Times New Roman" w:hAnsi="Times New Roman"/>
          <w:sz w:val="22"/>
        </w:rPr>
        <w:t xml:space="preserve">rogram asserts that the Federal Government can perform a constructive role in supplementing, but not supplanting, existing markets for </w:t>
      </w:r>
      <w:r w:rsidR="00C670BA">
        <w:rPr>
          <w:rFonts w:ascii="Times New Roman" w:hAnsi="Times New Roman"/>
          <w:sz w:val="22"/>
        </w:rPr>
        <w:t xml:space="preserve">financing </w:t>
      </w:r>
      <w:r>
        <w:rPr>
          <w:rFonts w:ascii="Times New Roman" w:hAnsi="Times New Roman"/>
          <w:sz w:val="22"/>
        </w:rPr>
        <w:t>large transportation infrastructure projects.  Secti</w:t>
      </w:r>
      <w:r w:rsidR="00A1710C">
        <w:rPr>
          <w:rFonts w:ascii="Times New Roman" w:hAnsi="Times New Roman"/>
          <w:sz w:val="22"/>
        </w:rPr>
        <w:t>on 1502 of TEA 21 states that “</w:t>
      </w:r>
      <w:r>
        <w:rPr>
          <w:rFonts w:ascii="Times New Roman" w:hAnsi="Times New Roman"/>
          <w:sz w:val="22"/>
        </w:rPr>
        <w:t xml:space="preserve">a Federal credit program for projects of national significance can complement existing funding </w:t>
      </w:r>
      <w:r>
        <w:rPr>
          <w:rFonts w:ascii="Times New Roman" w:hAnsi="Times New Roman"/>
          <w:sz w:val="22"/>
        </w:rPr>
        <w:lastRenderedPageBreak/>
        <w:t xml:space="preserve">resources by filling market gaps, thereby leveraging substantial private co-investment.”  Because the TIFIA </w:t>
      </w:r>
      <w:r w:rsidR="00145687">
        <w:rPr>
          <w:rFonts w:ascii="Times New Roman" w:hAnsi="Times New Roman"/>
          <w:sz w:val="22"/>
        </w:rPr>
        <w:t xml:space="preserve">Program </w:t>
      </w:r>
      <w:r>
        <w:rPr>
          <w:rFonts w:ascii="Times New Roman" w:hAnsi="Times New Roman"/>
          <w:sz w:val="22"/>
        </w:rPr>
        <w:t xml:space="preserve">offers credit assistance, rather than grant funding, its potential users are infrastructure projects capable of </w:t>
      </w:r>
      <w:r w:rsidR="00722CD4">
        <w:rPr>
          <w:rFonts w:ascii="Times New Roman" w:hAnsi="Times New Roman"/>
          <w:sz w:val="22"/>
        </w:rPr>
        <w:t>pledging</w:t>
      </w:r>
      <w:r>
        <w:rPr>
          <w:rFonts w:ascii="Times New Roman" w:hAnsi="Times New Roman"/>
          <w:sz w:val="22"/>
        </w:rPr>
        <w:t xml:space="preserve"> revenue streams </w:t>
      </w:r>
      <w:r w:rsidR="00722CD4">
        <w:rPr>
          <w:rFonts w:ascii="Times New Roman" w:hAnsi="Times New Roman"/>
          <w:sz w:val="22"/>
        </w:rPr>
        <w:t xml:space="preserve">generated </w:t>
      </w:r>
      <w:r>
        <w:rPr>
          <w:rFonts w:ascii="Times New Roman" w:hAnsi="Times New Roman"/>
          <w:sz w:val="22"/>
        </w:rPr>
        <w:t xml:space="preserve">through user charges or other dedicated funding sources. </w:t>
      </w:r>
    </w:p>
    <w:p w:rsidR="00B77793" w:rsidRDefault="00B77793">
      <w:pPr>
        <w:pStyle w:val="CM4"/>
        <w:widowControl/>
        <w:spacing w:line="271" w:lineRule="atLeast"/>
        <w:jc w:val="both"/>
      </w:pPr>
      <w:r>
        <w:rPr>
          <w:rFonts w:ascii="Times New Roman" w:hAnsi="Times New Roman"/>
          <w:sz w:val="22"/>
        </w:rPr>
        <w:t xml:space="preserve">Identifying a constructive role for Federal credit assistance begins with the acknowledgement that, </w:t>
      </w:r>
      <w:r w:rsidR="00634814">
        <w:rPr>
          <w:rFonts w:ascii="Times New Roman" w:hAnsi="Times New Roman"/>
          <w:sz w:val="22"/>
        </w:rPr>
        <w:t xml:space="preserve">when </w:t>
      </w:r>
      <w:r>
        <w:rPr>
          <w:rFonts w:ascii="Times New Roman" w:hAnsi="Times New Roman"/>
          <w:sz w:val="22"/>
        </w:rPr>
        <w:t>compared to most investors, the Federal Government</w:t>
      </w:r>
      <w:r w:rsidR="00634814">
        <w:rPr>
          <w:rFonts w:ascii="Times New Roman" w:hAnsi="Times New Roman"/>
          <w:sz w:val="22"/>
        </w:rPr>
        <w:t xml:space="preserve"> has</w:t>
      </w:r>
      <w:r>
        <w:rPr>
          <w:rFonts w:ascii="Times New Roman" w:hAnsi="Times New Roman"/>
          <w:sz w:val="22"/>
        </w:rPr>
        <w:t xml:space="preserve"> </w:t>
      </w:r>
      <w:r w:rsidR="00634814">
        <w:rPr>
          <w:rFonts w:ascii="Times New Roman" w:hAnsi="Times New Roman"/>
          <w:sz w:val="22"/>
        </w:rPr>
        <w:t xml:space="preserve">a </w:t>
      </w:r>
      <w:r>
        <w:rPr>
          <w:rFonts w:ascii="Times New Roman" w:hAnsi="Times New Roman"/>
          <w:sz w:val="22"/>
        </w:rPr>
        <w:t>naturally long</w:t>
      </w:r>
      <w:r w:rsidR="00634814">
        <w:rPr>
          <w:rFonts w:ascii="Times New Roman" w:hAnsi="Times New Roman"/>
          <w:sz w:val="22"/>
        </w:rPr>
        <w:t>er</w:t>
      </w:r>
      <w:r>
        <w:rPr>
          <w:rFonts w:ascii="Times New Roman" w:hAnsi="Times New Roman"/>
          <w:sz w:val="22"/>
        </w:rPr>
        <w:t>-term investment horizon</w:t>
      </w:r>
      <w:r w:rsidR="00634814">
        <w:rPr>
          <w:rFonts w:ascii="Times New Roman" w:hAnsi="Times New Roman"/>
          <w:sz w:val="22"/>
        </w:rPr>
        <w:t>, which</w:t>
      </w:r>
      <w:r>
        <w:rPr>
          <w:rFonts w:ascii="Times New Roman" w:hAnsi="Times New Roman"/>
          <w:sz w:val="22"/>
        </w:rPr>
        <w:t xml:space="preserve"> </w:t>
      </w:r>
      <w:r w:rsidR="00CF0848">
        <w:rPr>
          <w:rFonts w:ascii="Times New Roman" w:hAnsi="Times New Roman"/>
          <w:sz w:val="22"/>
        </w:rPr>
        <w:t>enables it to</w:t>
      </w:r>
      <w:r>
        <w:rPr>
          <w:rFonts w:ascii="Times New Roman" w:hAnsi="Times New Roman"/>
          <w:sz w:val="22"/>
        </w:rPr>
        <w:t xml:space="preserve"> more readily absorb the relatively short-term risks of project financings.  Absent typical capital market investor concerns regarding timing of payments and financial liquidity, the Federal Government can become the “patient investor” whose long-term view of asset returns enables the project’s non-Federal financial partners to meet their investment goals, allowing the borrower to </w:t>
      </w:r>
      <w:r w:rsidR="00145687">
        <w:rPr>
          <w:rFonts w:ascii="Times New Roman" w:hAnsi="Times New Roman"/>
          <w:sz w:val="22"/>
        </w:rPr>
        <w:t xml:space="preserve">receive </w:t>
      </w:r>
      <w:r>
        <w:rPr>
          <w:rFonts w:ascii="Times New Roman" w:hAnsi="Times New Roman"/>
          <w:sz w:val="22"/>
        </w:rPr>
        <w:t xml:space="preserve">a </w:t>
      </w:r>
      <w:r w:rsidR="00145687">
        <w:rPr>
          <w:rFonts w:ascii="Times New Roman" w:hAnsi="Times New Roman"/>
          <w:sz w:val="22"/>
        </w:rPr>
        <w:t xml:space="preserve">more </w:t>
      </w:r>
      <w:r>
        <w:rPr>
          <w:rFonts w:ascii="Times New Roman" w:hAnsi="Times New Roman"/>
          <w:sz w:val="22"/>
        </w:rPr>
        <w:t xml:space="preserve">favorable financing package. </w:t>
      </w:r>
    </w:p>
    <w:p w:rsidR="00B77793" w:rsidRDefault="00B77793">
      <w:pPr>
        <w:pStyle w:val="CM4"/>
        <w:widowControl/>
        <w:spacing w:line="271" w:lineRule="atLeast"/>
        <w:jc w:val="both"/>
        <w:outlineLvl w:val="0"/>
        <w:rPr>
          <w:sz w:val="22"/>
        </w:rPr>
      </w:pPr>
      <w:r>
        <w:rPr>
          <w:b/>
          <w:sz w:val="22"/>
        </w:rPr>
        <w:t xml:space="preserve">Funding Levels </w:t>
      </w:r>
    </w:p>
    <w:p w:rsidR="00D22F69" w:rsidRPr="004C5D94" w:rsidRDefault="00D22F69" w:rsidP="00D22F69">
      <w:pPr>
        <w:jc w:val="both"/>
        <w:rPr>
          <w:rFonts w:ascii="Times New Roman" w:hAnsi="Times New Roman"/>
          <w:sz w:val="22"/>
        </w:rPr>
      </w:pPr>
      <w:r w:rsidRPr="004C5D94">
        <w:rPr>
          <w:rFonts w:ascii="Times New Roman" w:hAnsi="Times New Roman"/>
          <w:sz w:val="22"/>
        </w:rPr>
        <w:t xml:space="preserve">The TIFIA </w:t>
      </w:r>
      <w:r w:rsidR="00145687">
        <w:rPr>
          <w:rFonts w:ascii="Times New Roman" w:hAnsi="Times New Roman"/>
          <w:sz w:val="22"/>
        </w:rPr>
        <w:t>P</w:t>
      </w:r>
      <w:r w:rsidRPr="004C5D94">
        <w:rPr>
          <w:rFonts w:ascii="Times New Roman" w:hAnsi="Times New Roman"/>
          <w:sz w:val="22"/>
        </w:rPr>
        <w:t xml:space="preserve">rogram is governed by the Federal Credit Reform Act of 1990, which requires </w:t>
      </w:r>
      <w:r w:rsidR="000D4F00">
        <w:rPr>
          <w:rFonts w:ascii="Times New Roman" w:hAnsi="Times New Roman"/>
          <w:sz w:val="22"/>
        </w:rPr>
        <w:t xml:space="preserve">the </w:t>
      </w:r>
      <w:r w:rsidRPr="004C5D94">
        <w:rPr>
          <w:rFonts w:ascii="Times New Roman" w:hAnsi="Times New Roman"/>
          <w:sz w:val="22"/>
        </w:rPr>
        <w:t xml:space="preserve">DOT to establish a capital reserve, or “subsidy amount,” </w:t>
      </w:r>
      <w:r w:rsidR="00145687">
        <w:rPr>
          <w:rFonts w:ascii="Times New Roman" w:hAnsi="Times New Roman"/>
          <w:sz w:val="22"/>
        </w:rPr>
        <w:t>sufficient to cover the estimated long-term cost to the Federal Government</w:t>
      </w:r>
      <w:r w:rsidR="00CF0848">
        <w:rPr>
          <w:rFonts w:ascii="Times New Roman" w:hAnsi="Times New Roman"/>
          <w:sz w:val="22"/>
        </w:rPr>
        <w:t xml:space="preserve"> of a Federal credit instrument</w:t>
      </w:r>
      <w:r w:rsidR="00145687">
        <w:rPr>
          <w:rFonts w:ascii="Times New Roman" w:hAnsi="Times New Roman"/>
          <w:sz w:val="22"/>
        </w:rPr>
        <w:t xml:space="preserve">, including any </w:t>
      </w:r>
      <w:r w:rsidRPr="004C5D94">
        <w:rPr>
          <w:rFonts w:ascii="Times New Roman" w:hAnsi="Times New Roman"/>
          <w:sz w:val="22"/>
        </w:rPr>
        <w:t>expected credit losses</w:t>
      </w:r>
      <w:r w:rsidR="00CF0848">
        <w:rPr>
          <w:rFonts w:ascii="Times New Roman" w:hAnsi="Times New Roman"/>
          <w:sz w:val="22"/>
        </w:rPr>
        <w:t>,</w:t>
      </w:r>
      <w:r w:rsidRPr="004C5D94">
        <w:rPr>
          <w:rFonts w:ascii="Times New Roman" w:hAnsi="Times New Roman"/>
          <w:sz w:val="22"/>
        </w:rPr>
        <w:t xml:space="preserve"> before </w:t>
      </w:r>
      <w:r w:rsidR="000D4F00">
        <w:rPr>
          <w:rFonts w:ascii="Times New Roman" w:hAnsi="Times New Roman"/>
          <w:sz w:val="22"/>
        </w:rPr>
        <w:t xml:space="preserve">the </w:t>
      </w:r>
      <w:r w:rsidR="0040397F">
        <w:rPr>
          <w:rFonts w:ascii="Times New Roman" w:hAnsi="Times New Roman"/>
          <w:sz w:val="22"/>
        </w:rPr>
        <w:t>DOT</w:t>
      </w:r>
      <w:r w:rsidRPr="004C5D94">
        <w:rPr>
          <w:rFonts w:ascii="Times New Roman" w:hAnsi="Times New Roman"/>
          <w:sz w:val="22"/>
        </w:rPr>
        <w:t xml:space="preserve"> can provide TIFIA credit assistance.</w:t>
      </w:r>
      <w:r w:rsidR="00201A62">
        <w:rPr>
          <w:rStyle w:val="FootnoteReference"/>
          <w:rFonts w:ascii="Times New Roman" w:hAnsi="Times New Roman"/>
        </w:rPr>
        <w:footnoteReference w:id="1"/>
      </w:r>
      <w:r w:rsidRPr="004C5D94">
        <w:rPr>
          <w:rFonts w:ascii="Times New Roman" w:hAnsi="Times New Roman"/>
          <w:sz w:val="22"/>
        </w:rPr>
        <w:t xml:space="preserve">  Pursuant to MAP–21, </w:t>
      </w:r>
      <w:r w:rsidR="000D4F00">
        <w:rPr>
          <w:rFonts w:ascii="Times New Roman" w:hAnsi="Times New Roman"/>
          <w:sz w:val="22"/>
        </w:rPr>
        <w:t xml:space="preserve">the </w:t>
      </w:r>
      <w:r w:rsidRPr="004C5D94">
        <w:rPr>
          <w:rFonts w:ascii="Times New Roman" w:hAnsi="Times New Roman"/>
          <w:sz w:val="22"/>
        </w:rPr>
        <w:t>DOT announced availability of funding authorized in the amount of $1.75 billion ($750 million in Federal Fiscal Year (FY) 2013 funds and $1 billion in FY 2014 funds (and any funds that may be available from prior fiscal years))</w:t>
      </w:r>
      <w:r w:rsidR="00BE38D7" w:rsidRPr="00BE38D7">
        <w:rPr>
          <w:rFonts w:ascii="Times New Roman" w:hAnsi="Times New Roman"/>
          <w:sz w:val="22"/>
        </w:rPr>
        <w:t xml:space="preserve"> </w:t>
      </w:r>
      <w:r w:rsidR="00BE38D7" w:rsidRPr="004C5D94">
        <w:rPr>
          <w:rFonts w:ascii="Times New Roman" w:hAnsi="Times New Roman"/>
          <w:sz w:val="22"/>
        </w:rPr>
        <w:t>to provide TIFIA credit assistance for eligible projects.</w:t>
      </w:r>
      <w:r w:rsidR="00916F0B">
        <w:rPr>
          <w:rStyle w:val="FootnoteReference"/>
          <w:rFonts w:ascii="Times New Roman" w:hAnsi="Times New Roman"/>
        </w:rPr>
        <w:footnoteReference w:id="2"/>
      </w:r>
      <w:r w:rsidRPr="004C5D94">
        <w:rPr>
          <w:rFonts w:ascii="Times New Roman" w:hAnsi="Times New Roman"/>
          <w:sz w:val="22"/>
        </w:rPr>
        <w:t xml:space="preserve">  The FY 2013 and FY 2014 funds are subject to an annual obligation limitation that may be established in appropriations law</w:t>
      </w:r>
      <w:r w:rsidR="005565EF">
        <w:rPr>
          <w:rFonts w:ascii="Times New Roman" w:hAnsi="Times New Roman"/>
          <w:sz w:val="22"/>
        </w:rPr>
        <w:t xml:space="preserve">, as well as annual </w:t>
      </w:r>
      <w:proofErr w:type="spellStart"/>
      <w:r w:rsidR="005565EF">
        <w:rPr>
          <w:rFonts w:ascii="Times New Roman" w:hAnsi="Times New Roman"/>
          <w:sz w:val="22"/>
        </w:rPr>
        <w:t>reobligation</w:t>
      </w:r>
      <w:proofErr w:type="spellEnd"/>
      <w:r w:rsidR="005565EF">
        <w:rPr>
          <w:rFonts w:ascii="Times New Roman" w:hAnsi="Times New Roman"/>
          <w:sz w:val="22"/>
        </w:rPr>
        <w:t xml:space="preserve"> requirements, as further discussed in</w:t>
      </w:r>
      <w:r w:rsidR="00B93E39">
        <w:rPr>
          <w:rFonts w:ascii="Times New Roman" w:hAnsi="Times New Roman"/>
          <w:sz w:val="22"/>
        </w:rPr>
        <w:t xml:space="preserve"> Section 2-5</w:t>
      </w:r>
      <w:r w:rsidRPr="004C5D94">
        <w:rPr>
          <w:rFonts w:ascii="Times New Roman" w:hAnsi="Times New Roman"/>
          <w:sz w:val="22"/>
        </w:rPr>
        <w:t>.  Historically, each dollar budgeted relates to $10 in credit assistance</w:t>
      </w:r>
      <w:r w:rsidR="00BE38D7">
        <w:rPr>
          <w:rFonts w:ascii="Times New Roman" w:hAnsi="Times New Roman"/>
          <w:sz w:val="22"/>
        </w:rPr>
        <w:t xml:space="preserve">. </w:t>
      </w:r>
      <w:r w:rsidR="0025214D">
        <w:rPr>
          <w:rFonts w:ascii="Times New Roman" w:hAnsi="Times New Roman"/>
          <w:sz w:val="22"/>
        </w:rPr>
        <w:t xml:space="preserve"> </w:t>
      </w:r>
      <w:r w:rsidR="00BE38D7">
        <w:rPr>
          <w:rFonts w:ascii="Times New Roman" w:hAnsi="Times New Roman"/>
          <w:sz w:val="22"/>
        </w:rPr>
        <w:t>A</w:t>
      </w:r>
      <w:r w:rsidRPr="004C5D94">
        <w:rPr>
          <w:rFonts w:ascii="Times New Roman" w:hAnsi="Times New Roman"/>
          <w:sz w:val="22"/>
        </w:rPr>
        <w:t xml:space="preserve">s a result, these funding levels could translate to potentially $17 billion in </w:t>
      </w:r>
      <w:r w:rsidR="00BE38D7">
        <w:rPr>
          <w:rFonts w:ascii="Times New Roman" w:hAnsi="Times New Roman"/>
          <w:sz w:val="22"/>
        </w:rPr>
        <w:t xml:space="preserve">TIFIA </w:t>
      </w:r>
      <w:r w:rsidRPr="004C5D94">
        <w:rPr>
          <w:rFonts w:ascii="Times New Roman" w:hAnsi="Times New Roman"/>
          <w:sz w:val="22"/>
        </w:rPr>
        <w:t>credit assistance</w:t>
      </w:r>
      <w:r w:rsidR="00546E6A">
        <w:rPr>
          <w:rFonts w:ascii="Times New Roman" w:hAnsi="Times New Roman"/>
          <w:sz w:val="22"/>
        </w:rPr>
        <w:t>.</w:t>
      </w:r>
      <w:r w:rsidRPr="004C5D94">
        <w:rPr>
          <w:rFonts w:ascii="Times New Roman" w:hAnsi="Times New Roman"/>
          <w:sz w:val="22"/>
        </w:rPr>
        <w:t xml:space="preserve"> </w:t>
      </w:r>
    </w:p>
    <w:p w:rsidR="00B77793" w:rsidRDefault="00B77793" w:rsidP="00EC479F">
      <w:pPr>
        <w:pStyle w:val="CM4"/>
        <w:keepNext/>
        <w:widowControl/>
        <w:spacing w:line="271" w:lineRule="atLeast"/>
        <w:jc w:val="both"/>
        <w:outlineLvl w:val="0"/>
        <w:rPr>
          <w:sz w:val="22"/>
        </w:rPr>
      </w:pPr>
      <w:bookmarkStart w:id="3" w:name="OLE_LINK16"/>
      <w:bookmarkStart w:id="4" w:name="OLE_LINK17"/>
      <w:r>
        <w:rPr>
          <w:b/>
          <w:sz w:val="22"/>
        </w:rPr>
        <w:t xml:space="preserve">Program Administration </w:t>
      </w:r>
    </w:p>
    <w:p w:rsidR="00B77793" w:rsidRDefault="00B77793">
      <w:pPr>
        <w:pStyle w:val="CM4"/>
        <w:widowControl/>
        <w:spacing w:line="271" w:lineRule="atLeast"/>
        <w:jc w:val="both"/>
        <w:rPr>
          <w:rFonts w:ascii="Times New Roman" w:hAnsi="Times New Roman"/>
          <w:sz w:val="22"/>
        </w:rPr>
      </w:pPr>
      <w:r>
        <w:rPr>
          <w:rFonts w:ascii="Times New Roman" w:hAnsi="Times New Roman"/>
          <w:sz w:val="22"/>
        </w:rPr>
        <w:t xml:space="preserve">Implementation of the TIFIA </w:t>
      </w:r>
      <w:r w:rsidR="00BE38D7">
        <w:rPr>
          <w:rFonts w:ascii="Times New Roman" w:hAnsi="Times New Roman"/>
          <w:sz w:val="22"/>
        </w:rPr>
        <w:t xml:space="preserve">Program </w:t>
      </w:r>
      <w:r>
        <w:rPr>
          <w:rFonts w:ascii="Times New Roman" w:hAnsi="Times New Roman"/>
          <w:sz w:val="22"/>
        </w:rPr>
        <w:t>is the responsibility of the Secretary of Transportation</w:t>
      </w:r>
      <w:r w:rsidR="00BE38D7">
        <w:rPr>
          <w:rFonts w:ascii="Times New Roman" w:hAnsi="Times New Roman"/>
          <w:sz w:val="22"/>
        </w:rPr>
        <w:t xml:space="preserve"> (</w:t>
      </w:r>
      <w:r w:rsidR="00BE38D7">
        <w:rPr>
          <w:rFonts w:ascii="Times New Roman" w:hAnsi="Times New Roman"/>
          <w:color w:val="000000"/>
          <w:sz w:val="22"/>
        </w:rPr>
        <w:t>the Secretary)</w:t>
      </w:r>
      <w:r>
        <w:rPr>
          <w:rFonts w:ascii="Times New Roman" w:hAnsi="Times New Roman"/>
          <w:sz w:val="22"/>
        </w:rPr>
        <w:t xml:space="preserve">.  </w:t>
      </w:r>
      <w:r w:rsidRPr="009E6D87">
        <w:rPr>
          <w:rFonts w:ascii="Times New Roman" w:hAnsi="Times New Roman"/>
          <w:sz w:val="22"/>
        </w:rPr>
        <w:t xml:space="preserve">A </w:t>
      </w:r>
      <w:r>
        <w:rPr>
          <w:rFonts w:ascii="Times New Roman" w:hAnsi="Times New Roman"/>
          <w:sz w:val="22"/>
        </w:rPr>
        <w:t>13</w:t>
      </w:r>
      <w:r w:rsidRPr="009E6D87">
        <w:rPr>
          <w:rFonts w:ascii="Times New Roman" w:hAnsi="Times New Roman"/>
          <w:sz w:val="22"/>
        </w:rPr>
        <w:t xml:space="preserve">-member DOT Credit Council provides policy direction and makes recommendations to the Secretary regarding the selection of projects for credit assistance. </w:t>
      </w:r>
      <w:r w:rsidR="00745414">
        <w:rPr>
          <w:rFonts w:ascii="Times New Roman" w:hAnsi="Times New Roman"/>
          <w:sz w:val="22"/>
        </w:rPr>
        <w:t xml:space="preserve"> </w:t>
      </w:r>
      <w:r w:rsidR="00BE38D7">
        <w:rPr>
          <w:rFonts w:ascii="Times New Roman" w:hAnsi="Times New Roman"/>
          <w:sz w:val="22"/>
        </w:rPr>
        <w:t xml:space="preserve">The DOT </w:t>
      </w:r>
      <w:r w:rsidRPr="009E6D87">
        <w:rPr>
          <w:rFonts w:ascii="Times New Roman" w:hAnsi="Times New Roman"/>
          <w:sz w:val="22"/>
        </w:rPr>
        <w:t>Credit Council members include</w:t>
      </w:r>
      <w:r>
        <w:rPr>
          <w:rFonts w:ascii="Times New Roman" w:hAnsi="Times New Roman"/>
          <w:sz w:val="22"/>
        </w:rPr>
        <w:t xml:space="preserve"> six representatives from the Office of the Secretary of Transportation (OST): the Deputy Secretary of Transportation (Chair), the Assistant Secretary for Budget and Programs (Vice-Chair), the Under Secretary of Transportation for Policy, the General Counsel, the Assistant Secretary for Transportation Policy, and the Director of the Office of Small and Disadvantaged Business Utilization.  The Administrators of the Federal Highway Administration (FHWA), the Federal Transit Administration (FTA), the Federal Railroad Administration (FRA), and the Maritime Administration (MARAD) also sit on the DOT Credit Council.  Additionally, at-large members to the DOT Credit Council (DOT employees designated by the Secretary) comprise the other three members. </w:t>
      </w:r>
    </w:p>
    <w:p w:rsidR="008971E8" w:rsidRPr="008971E8" w:rsidRDefault="008971E8" w:rsidP="004C5D94">
      <w:pPr>
        <w:pStyle w:val="Default"/>
        <w:spacing w:after="240"/>
        <w:jc w:val="both"/>
        <w:rPr>
          <w:rFonts w:ascii="Times New Roman" w:hAnsi="Times New Roman"/>
          <w:color w:val="auto"/>
          <w:sz w:val="22"/>
        </w:rPr>
      </w:pPr>
      <w:r>
        <w:rPr>
          <w:rFonts w:ascii="Times New Roman" w:hAnsi="Times New Roman"/>
          <w:color w:val="auto"/>
          <w:sz w:val="22"/>
        </w:rPr>
        <w:lastRenderedPageBreak/>
        <w:t>The Office of the Assistant Secretary for Budget and Programs and Chief Financial Officer oversee</w:t>
      </w:r>
      <w:r w:rsidR="00A52D7C">
        <w:rPr>
          <w:rFonts w:ascii="Times New Roman" w:hAnsi="Times New Roman"/>
          <w:color w:val="auto"/>
          <w:sz w:val="22"/>
        </w:rPr>
        <w:t>s</w:t>
      </w:r>
      <w:r>
        <w:rPr>
          <w:rFonts w:ascii="Times New Roman" w:hAnsi="Times New Roman"/>
          <w:color w:val="auto"/>
          <w:sz w:val="22"/>
        </w:rPr>
        <w:t xml:space="preserve"> the TIFIA </w:t>
      </w:r>
      <w:r w:rsidR="00BE38D7">
        <w:rPr>
          <w:rFonts w:ascii="Times New Roman" w:hAnsi="Times New Roman"/>
          <w:color w:val="auto"/>
          <w:sz w:val="22"/>
        </w:rPr>
        <w:t>P</w:t>
      </w:r>
      <w:r>
        <w:rPr>
          <w:rFonts w:ascii="Times New Roman" w:hAnsi="Times New Roman"/>
          <w:color w:val="auto"/>
          <w:sz w:val="22"/>
        </w:rPr>
        <w:t>rogram and the</w:t>
      </w:r>
      <w:r w:rsidR="00846AAA">
        <w:rPr>
          <w:rFonts w:ascii="Times New Roman" w:hAnsi="Times New Roman"/>
          <w:color w:val="auto"/>
          <w:sz w:val="22"/>
        </w:rPr>
        <w:t xml:space="preserve"> TIFIA</w:t>
      </w:r>
      <w:r>
        <w:rPr>
          <w:rFonts w:ascii="Times New Roman" w:hAnsi="Times New Roman"/>
          <w:color w:val="auto"/>
          <w:sz w:val="22"/>
        </w:rPr>
        <w:t xml:space="preserve"> Joint Program Office </w:t>
      </w:r>
      <w:r w:rsidR="00E445A6">
        <w:rPr>
          <w:rFonts w:ascii="Times New Roman" w:hAnsi="Times New Roman"/>
          <w:color w:val="auto"/>
          <w:sz w:val="22"/>
        </w:rPr>
        <w:t xml:space="preserve">(JPO) </w:t>
      </w:r>
      <w:r>
        <w:rPr>
          <w:rFonts w:ascii="Times New Roman" w:hAnsi="Times New Roman"/>
          <w:color w:val="auto"/>
          <w:sz w:val="22"/>
        </w:rPr>
        <w:t xml:space="preserve">on behalf of the Secretary, including the evaluation of individual projects, and provides overall policy direction and program decisions for the TIFIA </w:t>
      </w:r>
      <w:r w:rsidR="00BE38D7">
        <w:rPr>
          <w:rFonts w:ascii="Times New Roman" w:hAnsi="Times New Roman"/>
          <w:color w:val="auto"/>
          <w:sz w:val="22"/>
        </w:rPr>
        <w:t>P</w:t>
      </w:r>
      <w:r>
        <w:rPr>
          <w:rFonts w:ascii="Times New Roman" w:hAnsi="Times New Roman"/>
          <w:color w:val="auto"/>
          <w:sz w:val="22"/>
        </w:rPr>
        <w:t xml:space="preserve">rogram.  Final approval of </w:t>
      </w:r>
      <w:r w:rsidR="00BE38D7">
        <w:rPr>
          <w:rFonts w:ascii="Times New Roman" w:hAnsi="Times New Roman"/>
          <w:color w:val="auto"/>
          <w:sz w:val="22"/>
        </w:rPr>
        <w:t xml:space="preserve">TIFIA </w:t>
      </w:r>
      <w:r>
        <w:rPr>
          <w:rFonts w:ascii="Times New Roman" w:hAnsi="Times New Roman"/>
          <w:color w:val="auto"/>
          <w:sz w:val="22"/>
        </w:rPr>
        <w:t>credit assistance is reserved for the Secretary.</w:t>
      </w:r>
    </w:p>
    <w:bookmarkEnd w:id="3"/>
    <w:bookmarkEnd w:id="4"/>
    <w:p w:rsidR="00B77793" w:rsidRDefault="00B77793" w:rsidP="00E870C6">
      <w:pPr>
        <w:pStyle w:val="CM4"/>
        <w:keepNext/>
        <w:widowControl/>
        <w:spacing w:line="271" w:lineRule="atLeast"/>
        <w:jc w:val="both"/>
        <w:outlineLvl w:val="0"/>
        <w:rPr>
          <w:sz w:val="22"/>
        </w:rPr>
      </w:pPr>
      <w:r>
        <w:rPr>
          <w:b/>
          <w:sz w:val="22"/>
        </w:rPr>
        <w:t xml:space="preserve">Implementation Process </w:t>
      </w:r>
    </w:p>
    <w:p w:rsidR="00B77793" w:rsidRPr="007577D5" w:rsidRDefault="00B77793" w:rsidP="00E35CB2">
      <w:pPr>
        <w:pStyle w:val="CM4"/>
        <w:keepLines/>
        <w:widowControl/>
        <w:spacing w:line="271" w:lineRule="exact"/>
        <w:jc w:val="both"/>
        <w:rPr>
          <w:rFonts w:ascii="Times New Roman" w:hAnsi="Times New Roman"/>
          <w:sz w:val="22"/>
          <w:szCs w:val="22"/>
        </w:rPr>
      </w:pPr>
      <w:r w:rsidRPr="007577D5">
        <w:rPr>
          <w:rFonts w:ascii="Times New Roman" w:hAnsi="Times New Roman"/>
          <w:sz w:val="22"/>
          <w:szCs w:val="22"/>
        </w:rPr>
        <w:t xml:space="preserve">All TIFIA </w:t>
      </w:r>
      <w:r w:rsidR="00BE38D7">
        <w:rPr>
          <w:rFonts w:ascii="Times New Roman" w:hAnsi="Times New Roman"/>
          <w:sz w:val="22"/>
          <w:szCs w:val="22"/>
        </w:rPr>
        <w:t xml:space="preserve">credit </w:t>
      </w:r>
      <w:r w:rsidRPr="007577D5">
        <w:rPr>
          <w:rFonts w:ascii="Times New Roman" w:hAnsi="Times New Roman"/>
          <w:sz w:val="22"/>
          <w:szCs w:val="22"/>
        </w:rPr>
        <w:t xml:space="preserve">assistance will be awarded based on a project’s merits and its satisfaction of TIFIA statutory </w:t>
      </w:r>
      <w:r w:rsidR="00A20BA1">
        <w:rPr>
          <w:rFonts w:ascii="Times New Roman" w:hAnsi="Times New Roman"/>
          <w:sz w:val="22"/>
          <w:szCs w:val="22"/>
        </w:rPr>
        <w:t xml:space="preserve">eligibility </w:t>
      </w:r>
      <w:r w:rsidRPr="007577D5">
        <w:rPr>
          <w:rFonts w:ascii="Times New Roman" w:hAnsi="Times New Roman"/>
          <w:sz w:val="22"/>
          <w:szCs w:val="22"/>
        </w:rPr>
        <w:t>requirements.</w:t>
      </w:r>
      <w:r>
        <w:rPr>
          <w:rFonts w:ascii="Times New Roman" w:hAnsi="Times New Roman"/>
          <w:sz w:val="22"/>
          <w:szCs w:val="22"/>
        </w:rPr>
        <w:t xml:space="preserve">  </w:t>
      </w:r>
      <w:r w:rsidR="00A52D7C">
        <w:rPr>
          <w:rFonts w:ascii="Times New Roman" w:hAnsi="Times New Roman"/>
          <w:sz w:val="22"/>
          <w:szCs w:val="22"/>
        </w:rPr>
        <w:t xml:space="preserve">On July 31, </w:t>
      </w:r>
      <w:r w:rsidR="00BE38D7">
        <w:rPr>
          <w:rFonts w:ascii="Times New Roman" w:hAnsi="Times New Roman"/>
          <w:sz w:val="22"/>
          <w:szCs w:val="22"/>
        </w:rPr>
        <w:t xml:space="preserve">2012, the </w:t>
      </w:r>
      <w:r w:rsidR="00A52D7C">
        <w:rPr>
          <w:rFonts w:ascii="Times New Roman" w:hAnsi="Times New Roman"/>
          <w:sz w:val="22"/>
          <w:szCs w:val="22"/>
        </w:rPr>
        <w:t>DOT issued a Notice of Funding Av</w:t>
      </w:r>
      <w:r w:rsidR="00487483">
        <w:rPr>
          <w:rFonts w:ascii="Times New Roman" w:hAnsi="Times New Roman"/>
          <w:sz w:val="22"/>
          <w:szCs w:val="22"/>
        </w:rPr>
        <w:t>ailability</w:t>
      </w:r>
      <w:r w:rsidR="00715C65">
        <w:rPr>
          <w:rFonts w:ascii="Times New Roman" w:hAnsi="Times New Roman"/>
          <w:sz w:val="22"/>
          <w:szCs w:val="22"/>
        </w:rPr>
        <w:t xml:space="preserve"> (NOFA)</w:t>
      </w:r>
      <w:r w:rsidR="00BE38D7">
        <w:rPr>
          <w:rFonts w:ascii="Times New Roman" w:hAnsi="Times New Roman"/>
          <w:sz w:val="22"/>
          <w:szCs w:val="22"/>
        </w:rPr>
        <w:t>,</w:t>
      </w:r>
      <w:r w:rsidR="00487483">
        <w:rPr>
          <w:rFonts w:ascii="Times New Roman" w:hAnsi="Times New Roman"/>
          <w:sz w:val="22"/>
          <w:szCs w:val="22"/>
        </w:rPr>
        <w:t xml:space="preserve"> which announced the availability of funding and </w:t>
      </w:r>
      <w:r w:rsidR="00A20BA1">
        <w:rPr>
          <w:rFonts w:ascii="Times New Roman" w:hAnsi="Times New Roman"/>
          <w:sz w:val="22"/>
          <w:szCs w:val="22"/>
        </w:rPr>
        <w:t xml:space="preserve">the </w:t>
      </w:r>
      <w:r w:rsidR="00487483">
        <w:rPr>
          <w:rFonts w:ascii="Times New Roman" w:hAnsi="Times New Roman"/>
          <w:sz w:val="22"/>
          <w:szCs w:val="22"/>
        </w:rPr>
        <w:t xml:space="preserve">revised TIFIA </w:t>
      </w:r>
      <w:r w:rsidR="00A20BA1">
        <w:rPr>
          <w:rFonts w:ascii="Times New Roman" w:hAnsi="Times New Roman"/>
          <w:sz w:val="22"/>
          <w:szCs w:val="22"/>
        </w:rPr>
        <w:t xml:space="preserve">application </w:t>
      </w:r>
      <w:r w:rsidR="00487483">
        <w:rPr>
          <w:rFonts w:ascii="Times New Roman" w:hAnsi="Times New Roman"/>
          <w:sz w:val="22"/>
          <w:szCs w:val="22"/>
        </w:rPr>
        <w:t>process under MAP-21</w:t>
      </w:r>
      <w:r w:rsidR="00A52D7C">
        <w:rPr>
          <w:rFonts w:ascii="Times New Roman" w:hAnsi="Times New Roman"/>
          <w:sz w:val="22"/>
          <w:szCs w:val="22"/>
        </w:rPr>
        <w:t xml:space="preserve">. </w:t>
      </w:r>
      <w:r w:rsidR="002E7834">
        <w:rPr>
          <w:rFonts w:ascii="Times New Roman" w:hAnsi="Times New Roman"/>
          <w:sz w:val="22"/>
          <w:szCs w:val="22"/>
        </w:rPr>
        <w:t xml:space="preserve"> </w:t>
      </w:r>
      <w:r w:rsidRPr="007577D5">
        <w:rPr>
          <w:rFonts w:ascii="Times New Roman" w:hAnsi="Times New Roman"/>
          <w:sz w:val="22"/>
          <w:szCs w:val="22"/>
        </w:rPr>
        <w:t xml:space="preserve">The </w:t>
      </w:r>
      <w:r w:rsidR="00A20BA1">
        <w:rPr>
          <w:rFonts w:ascii="Times New Roman" w:hAnsi="Times New Roman"/>
          <w:sz w:val="22"/>
          <w:szCs w:val="22"/>
        </w:rPr>
        <w:t>application</w:t>
      </w:r>
      <w:r w:rsidRPr="007577D5">
        <w:rPr>
          <w:rFonts w:ascii="Times New Roman" w:hAnsi="Times New Roman"/>
          <w:sz w:val="22"/>
          <w:szCs w:val="22"/>
        </w:rPr>
        <w:t xml:space="preserve"> process includes the following steps, detailed further in this </w:t>
      </w:r>
      <w:r w:rsidR="00BE38D7">
        <w:rPr>
          <w:rFonts w:ascii="Times New Roman" w:hAnsi="Times New Roman"/>
          <w:sz w:val="22"/>
          <w:szCs w:val="22"/>
        </w:rPr>
        <w:t>P</w:t>
      </w:r>
      <w:r w:rsidR="00BE38D7" w:rsidRPr="007577D5">
        <w:rPr>
          <w:rFonts w:ascii="Times New Roman" w:hAnsi="Times New Roman"/>
          <w:sz w:val="22"/>
          <w:szCs w:val="22"/>
        </w:rPr>
        <w:t xml:space="preserve">rogram </w:t>
      </w:r>
      <w:r w:rsidR="00C05720">
        <w:rPr>
          <w:rFonts w:ascii="Times New Roman" w:hAnsi="Times New Roman"/>
          <w:sz w:val="22"/>
          <w:szCs w:val="22"/>
        </w:rPr>
        <w:t>G</w:t>
      </w:r>
      <w:r w:rsidRPr="007577D5">
        <w:rPr>
          <w:rFonts w:ascii="Times New Roman" w:hAnsi="Times New Roman"/>
          <w:sz w:val="22"/>
          <w:szCs w:val="22"/>
        </w:rPr>
        <w:t xml:space="preserve">uide: </w:t>
      </w:r>
    </w:p>
    <w:p w:rsidR="00445BAA" w:rsidRDefault="00B77793" w:rsidP="002D1F66">
      <w:pPr>
        <w:pStyle w:val="Default"/>
        <w:widowControl/>
        <w:numPr>
          <w:ilvl w:val="0"/>
          <w:numId w:val="1"/>
        </w:numPr>
        <w:spacing w:after="240" w:line="271" w:lineRule="exact"/>
        <w:ind w:left="540" w:hanging="540"/>
        <w:jc w:val="both"/>
        <w:rPr>
          <w:rFonts w:ascii="Times New Roman" w:hAnsi="Times New Roman"/>
          <w:color w:val="auto"/>
          <w:sz w:val="22"/>
          <w:szCs w:val="22"/>
        </w:rPr>
      </w:pPr>
      <w:r w:rsidRPr="007577D5">
        <w:rPr>
          <w:rFonts w:ascii="Times New Roman" w:hAnsi="Times New Roman"/>
          <w:color w:val="auto"/>
          <w:sz w:val="22"/>
          <w:szCs w:val="22"/>
          <w:u w:val="single"/>
        </w:rPr>
        <w:t>Letter of Interest</w:t>
      </w:r>
      <w:r w:rsidRPr="007577D5">
        <w:rPr>
          <w:rFonts w:ascii="Times New Roman" w:hAnsi="Times New Roman"/>
          <w:i/>
          <w:color w:val="auto"/>
          <w:sz w:val="22"/>
          <w:szCs w:val="22"/>
        </w:rPr>
        <w:t xml:space="preserve">.  </w:t>
      </w:r>
      <w:r w:rsidRPr="007577D5">
        <w:rPr>
          <w:rFonts w:ascii="Times New Roman" w:hAnsi="Times New Roman"/>
          <w:color w:val="auto"/>
          <w:sz w:val="22"/>
          <w:szCs w:val="22"/>
        </w:rPr>
        <w:t>Each potential applicant must submit a detailed Letter of Interest using the form provided on the TIFIA web site</w:t>
      </w:r>
      <w:r w:rsidR="002D1F66">
        <w:rPr>
          <w:rFonts w:ascii="Times New Roman" w:hAnsi="Times New Roman"/>
          <w:color w:val="auto"/>
          <w:sz w:val="22"/>
          <w:szCs w:val="22"/>
        </w:rPr>
        <w:t xml:space="preserve">, which can be found at: </w:t>
      </w:r>
      <w:hyperlink r:id="rId16" w:history="1">
        <w:r w:rsidR="002D1F66" w:rsidRPr="00C44ADC">
          <w:rPr>
            <w:rStyle w:val="Hyperlink"/>
            <w:rFonts w:ascii="Times New Roman" w:hAnsi="Times New Roman"/>
            <w:sz w:val="22"/>
            <w:szCs w:val="22"/>
          </w:rPr>
          <w:t>http://www.fhwa.dot.gov/ipd/tifia/guidance_applications/tifia_applications.htm</w:t>
        </w:r>
      </w:hyperlink>
      <w:r w:rsidR="002D1F66">
        <w:rPr>
          <w:rFonts w:ascii="Times New Roman" w:hAnsi="Times New Roman"/>
          <w:color w:val="auto"/>
          <w:sz w:val="22"/>
          <w:szCs w:val="22"/>
        </w:rPr>
        <w:t xml:space="preserve">, </w:t>
      </w:r>
      <w:r w:rsidR="0054311F">
        <w:rPr>
          <w:rFonts w:ascii="Times New Roman" w:hAnsi="Times New Roman"/>
          <w:color w:val="auto"/>
          <w:sz w:val="22"/>
          <w:szCs w:val="22"/>
        </w:rPr>
        <w:t>when the project is ready to proceed</w:t>
      </w:r>
      <w:r w:rsidR="00AD4EC1">
        <w:rPr>
          <w:rFonts w:ascii="Times New Roman" w:hAnsi="Times New Roman"/>
          <w:color w:val="auto"/>
          <w:sz w:val="22"/>
          <w:szCs w:val="22"/>
        </w:rPr>
        <w:t>.</w:t>
      </w:r>
      <w:r w:rsidR="009B388E">
        <w:rPr>
          <w:rStyle w:val="FootnoteReference"/>
          <w:rFonts w:cs="Arial"/>
          <w:color w:val="auto"/>
          <w:sz w:val="22"/>
          <w:szCs w:val="22"/>
        </w:rPr>
        <w:footnoteReference w:id="3"/>
      </w:r>
      <w:r w:rsidRPr="007577D5">
        <w:rPr>
          <w:rFonts w:ascii="Times New Roman" w:hAnsi="Times New Roman"/>
          <w:color w:val="auto"/>
          <w:sz w:val="22"/>
          <w:szCs w:val="22"/>
        </w:rPr>
        <w:t xml:space="preserve">  The Letter of Interest form has been expanded to allow </w:t>
      </w:r>
      <w:r w:rsidR="00D7534F">
        <w:rPr>
          <w:rFonts w:ascii="Times New Roman" w:hAnsi="Times New Roman"/>
          <w:color w:val="auto"/>
          <w:sz w:val="22"/>
          <w:szCs w:val="22"/>
        </w:rPr>
        <w:t xml:space="preserve">potential </w:t>
      </w:r>
      <w:r w:rsidRPr="007577D5">
        <w:rPr>
          <w:rFonts w:ascii="Times New Roman" w:hAnsi="Times New Roman"/>
          <w:color w:val="auto"/>
          <w:sz w:val="22"/>
          <w:szCs w:val="22"/>
        </w:rPr>
        <w:t>applicants to describe the project</w:t>
      </w:r>
      <w:bookmarkStart w:id="5" w:name="OLE_LINK12"/>
      <w:bookmarkStart w:id="6" w:name="OLE_LINK13"/>
      <w:r w:rsidR="00A82FB0">
        <w:rPr>
          <w:rFonts w:ascii="Times New Roman" w:hAnsi="Times New Roman"/>
          <w:color w:val="auto"/>
          <w:sz w:val="22"/>
          <w:szCs w:val="22"/>
        </w:rPr>
        <w:t xml:space="preserve"> (including location, purpose, and cost)</w:t>
      </w:r>
      <w:r w:rsidRPr="00F5570C">
        <w:rPr>
          <w:rFonts w:ascii="Times New Roman" w:hAnsi="Times New Roman"/>
          <w:color w:val="auto"/>
          <w:sz w:val="22"/>
          <w:szCs w:val="22"/>
        </w:rPr>
        <w:t>,</w:t>
      </w:r>
      <w:r w:rsidR="0031732F" w:rsidRPr="00F5570C">
        <w:rPr>
          <w:rFonts w:ascii="Times New Roman" w:hAnsi="Times New Roman"/>
          <w:color w:val="auto"/>
          <w:sz w:val="22"/>
          <w:szCs w:val="22"/>
        </w:rPr>
        <w:t xml:space="preserve"> demonstrate </w:t>
      </w:r>
      <w:r w:rsidR="00A82FB0" w:rsidRPr="00F5570C">
        <w:rPr>
          <w:rFonts w:ascii="Times New Roman" w:hAnsi="Times New Roman"/>
          <w:color w:val="auto"/>
          <w:sz w:val="22"/>
          <w:szCs w:val="22"/>
        </w:rPr>
        <w:t>the</w:t>
      </w:r>
      <w:r w:rsidR="00A82FB0">
        <w:rPr>
          <w:rFonts w:ascii="Times New Roman" w:hAnsi="Times New Roman"/>
          <w:color w:val="auto"/>
          <w:sz w:val="22"/>
          <w:szCs w:val="22"/>
        </w:rPr>
        <w:t xml:space="preserve"> project sponsor’s</w:t>
      </w:r>
      <w:r w:rsidR="00A82FB0" w:rsidRPr="00F5570C">
        <w:rPr>
          <w:rFonts w:ascii="Times New Roman" w:hAnsi="Times New Roman"/>
          <w:color w:val="auto"/>
          <w:sz w:val="22"/>
          <w:szCs w:val="22"/>
        </w:rPr>
        <w:t xml:space="preserve"> </w:t>
      </w:r>
      <w:r w:rsidR="0031732F" w:rsidRPr="00F5570C">
        <w:rPr>
          <w:rFonts w:ascii="Times New Roman" w:hAnsi="Times New Roman"/>
          <w:color w:val="auto"/>
          <w:sz w:val="22"/>
          <w:szCs w:val="22"/>
        </w:rPr>
        <w:t>ability to meet the requirements related to satisfying the project fundamentals,</w:t>
      </w:r>
      <w:r w:rsidRPr="00F5570C">
        <w:rPr>
          <w:rFonts w:ascii="Times New Roman" w:hAnsi="Times New Roman"/>
          <w:color w:val="auto"/>
          <w:sz w:val="22"/>
          <w:szCs w:val="22"/>
        </w:rPr>
        <w:t xml:space="preserve"> detail how the TIFIA statutory </w:t>
      </w:r>
      <w:r w:rsidR="00083820">
        <w:rPr>
          <w:rFonts w:ascii="Times New Roman" w:hAnsi="Times New Roman"/>
          <w:color w:val="auto"/>
          <w:sz w:val="22"/>
          <w:szCs w:val="22"/>
        </w:rPr>
        <w:t>eligibility requirements</w:t>
      </w:r>
      <w:r w:rsidRPr="00F5570C">
        <w:rPr>
          <w:rFonts w:ascii="Times New Roman" w:hAnsi="Times New Roman"/>
          <w:color w:val="auto"/>
          <w:sz w:val="22"/>
          <w:szCs w:val="22"/>
        </w:rPr>
        <w:t xml:space="preserve"> are met,</w:t>
      </w:r>
      <w:r w:rsidRPr="007577D5">
        <w:rPr>
          <w:rFonts w:ascii="Times New Roman" w:hAnsi="Times New Roman"/>
          <w:color w:val="auto"/>
          <w:sz w:val="22"/>
          <w:szCs w:val="22"/>
        </w:rPr>
        <w:t xml:space="preserve"> </w:t>
      </w:r>
      <w:bookmarkEnd w:id="5"/>
      <w:bookmarkEnd w:id="6"/>
      <w:r w:rsidRPr="007577D5">
        <w:rPr>
          <w:rFonts w:ascii="Times New Roman" w:hAnsi="Times New Roman"/>
          <w:color w:val="auto"/>
          <w:sz w:val="22"/>
          <w:szCs w:val="22"/>
        </w:rPr>
        <w:t xml:space="preserve">and outline the proposed financial plan, including the requested </w:t>
      </w:r>
      <w:r w:rsidR="00A82FB0">
        <w:rPr>
          <w:rFonts w:ascii="Times New Roman" w:hAnsi="Times New Roman"/>
          <w:color w:val="auto"/>
          <w:sz w:val="22"/>
          <w:szCs w:val="22"/>
        </w:rPr>
        <w:t xml:space="preserve">TIFIA </w:t>
      </w:r>
      <w:r w:rsidRPr="007577D5">
        <w:rPr>
          <w:rFonts w:ascii="Times New Roman" w:hAnsi="Times New Roman"/>
          <w:color w:val="auto"/>
          <w:sz w:val="22"/>
          <w:szCs w:val="22"/>
        </w:rPr>
        <w:t>credit assistance.</w:t>
      </w:r>
      <w:r w:rsidR="00750627">
        <w:rPr>
          <w:rStyle w:val="FootnoteReference"/>
          <w:rFonts w:ascii="Times New Roman" w:hAnsi="Times New Roman"/>
          <w:color w:val="auto"/>
          <w:szCs w:val="22"/>
        </w:rPr>
        <w:footnoteReference w:id="4"/>
      </w:r>
      <w:r w:rsidRPr="007577D5">
        <w:rPr>
          <w:rFonts w:ascii="Times New Roman" w:hAnsi="Times New Roman"/>
          <w:color w:val="auto"/>
          <w:sz w:val="22"/>
          <w:szCs w:val="22"/>
        </w:rPr>
        <w:t xml:space="preserve">  </w:t>
      </w:r>
      <w:r w:rsidR="003A7421">
        <w:rPr>
          <w:rFonts w:ascii="Times New Roman" w:hAnsi="Times New Roman"/>
          <w:color w:val="auto"/>
          <w:sz w:val="22"/>
          <w:szCs w:val="22"/>
        </w:rPr>
        <w:t>Potential a</w:t>
      </w:r>
      <w:r w:rsidRPr="007577D5">
        <w:rPr>
          <w:rFonts w:ascii="Times New Roman" w:hAnsi="Times New Roman"/>
          <w:color w:val="auto"/>
          <w:sz w:val="22"/>
          <w:szCs w:val="22"/>
        </w:rPr>
        <w:t xml:space="preserve">pplicants should submit this form electronically via email at </w:t>
      </w:r>
      <w:bookmarkStart w:id="7" w:name="OLE_LINK8"/>
      <w:bookmarkStart w:id="8" w:name="OLE_LINK9"/>
      <w:r w:rsidRPr="007577D5">
        <w:rPr>
          <w:rFonts w:ascii="Times New Roman" w:hAnsi="Times New Roman"/>
          <w:color w:val="0000FF"/>
          <w:sz w:val="22"/>
          <w:szCs w:val="22"/>
        </w:rPr>
        <w:fldChar w:fldCharType="begin"/>
      </w:r>
      <w:r w:rsidRPr="007577D5">
        <w:rPr>
          <w:rFonts w:ascii="Times New Roman" w:hAnsi="Times New Roman"/>
          <w:color w:val="0000FF"/>
          <w:sz w:val="22"/>
          <w:szCs w:val="22"/>
        </w:rPr>
        <w:instrText xml:space="preserve"> HYPERLINK "mailto:TIFIACredit@dot.gov" \o "mailto:TIFIACredit@dot.gov" </w:instrText>
      </w:r>
      <w:r w:rsidRPr="007577D5">
        <w:rPr>
          <w:rFonts w:ascii="Times New Roman" w:hAnsi="Times New Roman"/>
          <w:color w:val="0000FF"/>
          <w:sz w:val="22"/>
          <w:szCs w:val="22"/>
        </w:rPr>
        <w:fldChar w:fldCharType="separate"/>
      </w:r>
      <w:r w:rsidRPr="007577D5">
        <w:rPr>
          <w:rStyle w:val="Hyperlink"/>
          <w:rFonts w:ascii="Times New Roman" w:hAnsi="Times New Roman"/>
          <w:sz w:val="22"/>
          <w:szCs w:val="22"/>
        </w:rPr>
        <w:t>TIFIACredit@dot.gov</w:t>
      </w:r>
      <w:r w:rsidRPr="007577D5">
        <w:rPr>
          <w:rFonts w:ascii="Times New Roman" w:hAnsi="Times New Roman"/>
          <w:color w:val="0000FF"/>
          <w:sz w:val="22"/>
          <w:szCs w:val="22"/>
        </w:rPr>
        <w:fldChar w:fldCharType="end"/>
      </w:r>
      <w:bookmarkEnd w:id="7"/>
      <w:bookmarkEnd w:id="8"/>
      <w:r w:rsidR="0087157C" w:rsidRPr="00EC479F">
        <w:rPr>
          <w:rFonts w:ascii="Times New Roman" w:hAnsi="Times New Roman"/>
          <w:color w:val="auto"/>
          <w:sz w:val="22"/>
          <w:szCs w:val="22"/>
        </w:rPr>
        <w:t>.</w:t>
      </w:r>
      <w:r w:rsidR="00AD4EC1">
        <w:rPr>
          <w:rFonts w:ascii="Times New Roman" w:hAnsi="Times New Roman"/>
          <w:color w:val="auto"/>
          <w:sz w:val="22"/>
          <w:szCs w:val="22"/>
        </w:rPr>
        <w:t xml:space="preserve"> </w:t>
      </w:r>
      <w:r w:rsidR="0087157C">
        <w:rPr>
          <w:rFonts w:ascii="Times New Roman" w:hAnsi="Times New Roman"/>
          <w:color w:val="auto"/>
          <w:sz w:val="22"/>
          <w:szCs w:val="22"/>
        </w:rPr>
        <w:t xml:space="preserve"> </w:t>
      </w:r>
      <w:r w:rsidRPr="007577D5">
        <w:rPr>
          <w:rFonts w:ascii="Times New Roman" w:hAnsi="Times New Roman"/>
          <w:color w:val="auto"/>
          <w:sz w:val="22"/>
          <w:szCs w:val="22"/>
        </w:rPr>
        <w:t xml:space="preserve">The DOT will review this submission to determine whether the project meets the requirements for TIFIA participation and will contact the </w:t>
      </w:r>
      <w:r w:rsidR="00846AAA">
        <w:rPr>
          <w:rFonts w:ascii="Times New Roman" w:hAnsi="Times New Roman"/>
          <w:color w:val="auto"/>
          <w:sz w:val="22"/>
          <w:szCs w:val="22"/>
        </w:rPr>
        <w:t xml:space="preserve">potential </w:t>
      </w:r>
      <w:r w:rsidRPr="007577D5">
        <w:rPr>
          <w:rFonts w:ascii="Times New Roman" w:hAnsi="Times New Roman"/>
          <w:color w:val="auto"/>
          <w:sz w:val="22"/>
          <w:szCs w:val="22"/>
        </w:rPr>
        <w:t xml:space="preserve">applicant subsequently to review the project’s eligibility and readiness to apply for program assistance.  </w:t>
      </w:r>
      <w:r w:rsidR="00D50E33" w:rsidRPr="00D50E33">
        <w:rPr>
          <w:rFonts w:ascii="Times New Roman" w:hAnsi="Times New Roman"/>
          <w:color w:val="auto"/>
          <w:sz w:val="22"/>
          <w:szCs w:val="22"/>
        </w:rPr>
        <w:t>The initial eligibility review</w:t>
      </w:r>
      <w:r w:rsidR="00D50E33">
        <w:rPr>
          <w:rFonts w:ascii="Times New Roman" w:hAnsi="Times New Roman"/>
          <w:color w:val="auto"/>
          <w:sz w:val="22"/>
          <w:szCs w:val="22"/>
        </w:rPr>
        <w:t xml:space="preserve"> of a Letter of Interest</w:t>
      </w:r>
      <w:r w:rsidR="00D50E33" w:rsidRPr="00D50E33">
        <w:rPr>
          <w:rFonts w:ascii="Times New Roman" w:hAnsi="Times New Roman"/>
          <w:color w:val="auto"/>
          <w:sz w:val="22"/>
          <w:szCs w:val="22"/>
        </w:rPr>
        <w:t xml:space="preserve"> is intended to identify </w:t>
      </w:r>
      <w:r w:rsidR="008C2111">
        <w:rPr>
          <w:rFonts w:ascii="Times New Roman" w:hAnsi="Times New Roman"/>
          <w:color w:val="auto"/>
          <w:sz w:val="22"/>
          <w:szCs w:val="22"/>
        </w:rPr>
        <w:t xml:space="preserve">any </w:t>
      </w:r>
      <w:r w:rsidR="00D50E33" w:rsidRPr="00D50E33">
        <w:rPr>
          <w:rFonts w:ascii="Times New Roman" w:hAnsi="Times New Roman"/>
          <w:color w:val="auto"/>
          <w:sz w:val="22"/>
          <w:szCs w:val="22"/>
        </w:rPr>
        <w:t xml:space="preserve">major statutory, regulatory, financing or timing issues that would prevent the project from receiving TIFIA </w:t>
      </w:r>
      <w:r w:rsidR="00D50E33">
        <w:rPr>
          <w:rFonts w:ascii="Times New Roman" w:hAnsi="Times New Roman"/>
          <w:color w:val="auto"/>
          <w:sz w:val="22"/>
          <w:szCs w:val="22"/>
        </w:rPr>
        <w:t xml:space="preserve">credit </w:t>
      </w:r>
      <w:r w:rsidR="00D50E33" w:rsidRPr="00D50E33">
        <w:rPr>
          <w:rFonts w:ascii="Times New Roman" w:hAnsi="Times New Roman"/>
          <w:color w:val="auto"/>
          <w:sz w:val="22"/>
          <w:szCs w:val="22"/>
        </w:rPr>
        <w:t>assistance</w:t>
      </w:r>
      <w:r w:rsidR="00D50E33">
        <w:rPr>
          <w:rFonts w:ascii="Times New Roman" w:hAnsi="Times New Roman"/>
          <w:color w:val="auto"/>
          <w:sz w:val="22"/>
          <w:szCs w:val="22"/>
        </w:rPr>
        <w:t>.</w:t>
      </w:r>
    </w:p>
    <w:p w:rsidR="00B77793" w:rsidRPr="002A5FD3" w:rsidRDefault="002A5FD3" w:rsidP="00445BAA">
      <w:pPr>
        <w:pStyle w:val="Default"/>
        <w:widowControl/>
        <w:numPr>
          <w:ilvl w:val="0"/>
          <w:numId w:val="1"/>
        </w:numPr>
        <w:spacing w:after="240" w:line="271" w:lineRule="exact"/>
        <w:ind w:left="540" w:hanging="540"/>
        <w:jc w:val="both"/>
        <w:rPr>
          <w:rFonts w:ascii="Times New Roman" w:hAnsi="Times New Roman"/>
          <w:sz w:val="22"/>
          <w:szCs w:val="22"/>
        </w:rPr>
      </w:pPr>
      <w:r w:rsidRPr="002A5FD3">
        <w:rPr>
          <w:rFonts w:ascii="Times New Roman" w:hAnsi="Times New Roman"/>
          <w:color w:val="auto"/>
          <w:sz w:val="22"/>
          <w:szCs w:val="22"/>
          <w:u w:val="single"/>
        </w:rPr>
        <w:t>Creditworthiness Review</w:t>
      </w:r>
      <w:r w:rsidRPr="002A5FD3">
        <w:rPr>
          <w:rFonts w:ascii="Times New Roman" w:hAnsi="Times New Roman"/>
          <w:color w:val="auto"/>
          <w:sz w:val="22"/>
          <w:szCs w:val="22"/>
        </w:rPr>
        <w:t xml:space="preserve">.  </w:t>
      </w:r>
      <w:r w:rsidR="00445BAA" w:rsidRPr="002A5FD3">
        <w:rPr>
          <w:rFonts w:ascii="Times New Roman" w:hAnsi="Times New Roman"/>
          <w:sz w:val="22"/>
          <w:szCs w:val="22"/>
        </w:rPr>
        <w:t xml:space="preserve">After concluding its initial review of the Letter of Interest and upon making a determination that the project is reasonably likely to satisfy all of the eligibility requirements of the TIFIA Program, </w:t>
      </w:r>
      <w:r w:rsidR="00D50E33" w:rsidRPr="002A5FD3">
        <w:rPr>
          <w:rFonts w:ascii="Times New Roman" w:hAnsi="Times New Roman"/>
          <w:sz w:val="22"/>
          <w:szCs w:val="22"/>
        </w:rPr>
        <w:t>the DOT will conduct a</w:t>
      </w:r>
      <w:r>
        <w:rPr>
          <w:rFonts w:ascii="Times New Roman" w:hAnsi="Times New Roman"/>
          <w:sz w:val="22"/>
          <w:szCs w:val="22"/>
        </w:rPr>
        <w:t>n in-depth</w:t>
      </w:r>
      <w:r w:rsidR="00D50E33" w:rsidRPr="002A5FD3">
        <w:rPr>
          <w:rFonts w:ascii="Times New Roman" w:hAnsi="Times New Roman"/>
          <w:sz w:val="22"/>
          <w:szCs w:val="22"/>
        </w:rPr>
        <w:t xml:space="preserve"> creditworthiness review of the project sponsor and the proposed revenue stream.  The creditworthiness review involves evaluation of the plan of finance, financial model, and feasibility of the anticipated pledged revenue.  </w:t>
      </w:r>
      <w:r>
        <w:rPr>
          <w:rFonts w:ascii="Times New Roman" w:hAnsi="Times New Roman"/>
          <w:sz w:val="22"/>
          <w:szCs w:val="22"/>
        </w:rPr>
        <w:t xml:space="preserve">In connection with this review, the DOT will ask project sponsors to provide any additional materials necessary to facilitate its review of the project’s creditworthiness.  </w:t>
      </w:r>
      <w:r w:rsidR="00D50E33" w:rsidRPr="002A5FD3">
        <w:rPr>
          <w:rFonts w:ascii="Times New Roman" w:hAnsi="Times New Roman"/>
          <w:sz w:val="22"/>
          <w:szCs w:val="22"/>
        </w:rPr>
        <w:t xml:space="preserve">Once the DOT has concluded that the project satisfies statutory eligibility criteria, including </w:t>
      </w:r>
      <w:r w:rsidR="002B6B30">
        <w:rPr>
          <w:rFonts w:ascii="Times New Roman" w:hAnsi="Times New Roman"/>
          <w:sz w:val="22"/>
          <w:szCs w:val="22"/>
        </w:rPr>
        <w:t xml:space="preserve">a preliminary review of a project’s </w:t>
      </w:r>
      <w:r w:rsidR="00D50E33" w:rsidRPr="002A5FD3">
        <w:rPr>
          <w:rFonts w:ascii="Times New Roman" w:hAnsi="Times New Roman"/>
          <w:sz w:val="22"/>
          <w:szCs w:val="22"/>
        </w:rPr>
        <w:t xml:space="preserve">creditworthiness and </w:t>
      </w:r>
      <w:r w:rsidR="002B6B30">
        <w:rPr>
          <w:rFonts w:ascii="Times New Roman" w:hAnsi="Times New Roman"/>
          <w:sz w:val="22"/>
          <w:szCs w:val="22"/>
        </w:rPr>
        <w:t xml:space="preserve">satisfaction of </w:t>
      </w:r>
      <w:r w:rsidR="00D50E33" w:rsidRPr="002A5FD3">
        <w:rPr>
          <w:rFonts w:ascii="Times New Roman" w:hAnsi="Times New Roman"/>
          <w:sz w:val="22"/>
          <w:szCs w:val="22"/>
        </w:rPr>
        <w:t>readiness requirements,</w:t>
      </w:r>
      <w:r w:rsidR="00445BAA">
        <w:rPr>
          <w:rStyle w:val="FootnoteReference"/>
          <w:rFonts w:ascii="Times New Roman" w:hAnsi="Times New Roman"/>
          <w:szCs w:val="22"/>
        </w:rPr>
        <w:footnoteReference w:id="5"/>
      </w:r>
      <w:r w:rsidR="00445BAA" w:rsidRPr="002A5FD3">
        <w:rPr>
          <w:rFonts w:ascii="Times New Roman" w:hAnsi="Times New Roman"/>
          <w:sz w:val="22"/>
          <w:szCs w:val="22"/>
        </w:rPr>
        <w:t xml:space="preserve"> the DOT will </w:t>
      </w:r>
      <w:r w:rsidR="002B6B30">
        <w:rPr>
          <w:rFonts w:ascii="Times New Roman" w:hAnsi="Times New Roman"/>
          <w:sz w:val="22"/>
          <w:szCs w:val="22"/>
        </w:rPr>
        <w:t>ask</w:t>
      </w:r>
      <w:r w:rsidR="00445BAA" w:rsidRPr="002A5FD3">
        <w:rPr>
          <w:rFonts w:ascii="Times New Roman" w:hAnsi="Times New Roman"/>
          <w:sz w:val="22"/>
          <w:szCs w:val="22"/>
        </w:rPr>
        <w:t xml:space="preserve"> a project sponsor to provide a preliminary rating opinion letter from at least one nationally </w:t>
      </w:r>
      <w:r w:rsidR="00445BAA" w:rsidRPr="002A5FD3">
        <w:rPr>
          <w:rFonts w:ascii="Times New Roman" w:hAnsi="Times New Roman"/>
          <w:sz w:val="22"/>
          <w:szCs w:val="22"/>
        </w:rPr>
        <w:lastRenderedPageBreak/>
        <w:t>recognized statistical rating organization (NRSRO or Credit Rating Agency)</w:t>
      </w:r>
      <w:r w:rsidR="00445BAA">
        <w:rPr>
          <w:rStyle w:val="FootnoteReference"/>
          <w:rFonts w:ascii="Times New Roman" w:hAnsi="Times New Roman"/>
          <w:szCs w:val="22"/>
        </w:rPr>
        <w:footnoteReference w:id="6"/>
      </w:r>
      <w:r w:rsidR="00445BAA" w:rsidRPr="002A5FD3">
        <w:rPr>
          <w:rFonts w:ascii="Times New Roman" w:hAnsi="Times New Roman"/>
          <w:sz w:val="22"/>
          <w:szCs w:val="22"/>
        </w:rPr>
        <w:t xml:space="preserve"> and submit $100,000 to the DOT to reimburse it for the costs incurred for services provided by its outside financial and legal advisors in connection with the </w:t>
      </w:r>
      <w:r w:rsidR="00105408">
        <w:rPr>
          <w:rFonts w:ascii="Times New Roman" w:hAnsi="Times New Roman"/>
          <w:sz w:val="22"/>
          <w:szCs w:val="22"/>
        </w:rPr>
        <w:t>review</w:t>
      </w:r>
      <w:r w:rsidR="00445BAA" w:rsidRPr="002A5FD3">
        <w:rPr>
          <w:rFonts w:ascii="Times New Roman" w:hAnsi="Times New Roman"/>
          <w:sz w:val="22"/>
          <w:szCs w:val="22"/>
        </w:rPr>
        <w:t xml:space="preserve"> of the TIFIA Let</w:t>
      </w:r>
      <w:r w:rsidR="00157F91">
        <w:rPr>
          <w:rFonts w:ascii="Times New Roman" w:hAnsi="Times New Roman"/>
          <w:sz w:val="22"/>
          <w:szCs w:val="22"/>
        </w:rPr>
        <w:t>ter of Interest and application</w:t>
      </w:r>
      <w:r w:rsidR="00445BAA" w:rsidRPr="002A5FD3">
        <w:rPr>
          <w:rFonts w:ascii="Times New Roman" w:hAnsi="Times New Roman"/>
          <w:sz w:val="22"/>
          <w:szCs w:val="22"/>
        </w:rPr>
        <w:t xml:space="preserve"> and the negotiation of the TIFIA transaction documents.  </w:t>
      </w:r>
    </w:p>
    <w:p w:rsidR="00445BAA" w:rsidRPr="007577D5" w:rsidRDefault="00445BAA" w:rsidP="00445BAA">
      <w:pPr>
        <w:pStyle w:val="Default"/>
        <w:widowControl/>
        <w:spacing w:after="240" w:line="271" w:lineRule="exact"/>
        <w:ind w:left="540"/>
        <w:jc w:val="both"/>
        <w:rPr>
          <w:rFonts w:ascii="Times New Roman" w:hAnsi="Times New Roman"/>
          <w:color w:val="auto"/>
          <w:sz w:val="22"/>
          <w:szCs w:val="22"/>
        </w:rPr>
      </w:pPr>
      <w:r w:rsidRPr="005205A2">
        <w:rPr>
          <w:rFonts w:ascii="Times New Roman" w:hAnsi="Times New Roman"/>
          <w:color w:val="auto"/>
          <w:sz w:val="22"/>
          <w:szCs w:val="22"/>
        </w:rPr>
        <w:t xml:space="preserve">Following </w:t>
      </w:r>
      <w:r w:rsidR="002A5FD3">
        <w:rPr>
          <w:rFonts w:ascii="Times New Roman" w:hAnsi="Times New Roman"/>
          <w:color w:val="auto"/>
          <w:sz w:val="22"/>
          <w:szCs w:val="22"/>
        </w:rPr>
        <w:t>completion of the DOT’s in-depth</w:t>
      </w:r>
      <w:r w:rsidRPr="005205A2">
        <w:rPr>
          <w:rFonts w:ascii="Times New Roman" w:hAnsi="Times New Roman"/>
          <w:color w:val="auto"/>
          <w:sz w:val="22"/>
          <w:szCs w:val="22"/>
        </w:rPr>
        <w:t xml:space="preserve"> review of the Letter of Interest</w:t>
      </w:r>
      <w:r w:rsidR="004251D5">
        <w:rPr>
          <w:rFonts w:ascii="Times New Roman" w:hAnsi="Times New Roman"/>
          <w:color w:val="auto"/>
          <w:sz w:val="22"/>
          <w:szCs w:val="22"/>
        </w:rPr>
        <w:t xml:space="preserve"> and receipt of a preliminary rating opinion letter and the $100,000</w:t>
      </w:r>
      <w:r w:rsidRPr="005205A2">
        <w:rPr>
          <w:rFonts w:ascii="Times New Roman" w:hAnsi="Times New Roman"/>
          <w:color w:val="auto"/>
          <w:sz w:val="22"/>
          <w:szCs w:val="22"/>
        </w:rPr>
        <w:t xml:space="preserve">, the DOT will </w:t>
      </w:r>
      <w:r w:rsidR="002B6B30">
        <w:rPr>
          <w:rFonts w:ascii="Times New Roman" w:hAnsi="Times New Roman"/>
          <w:color w:val="auto"/>
          <w:sz w:val="22"/>
          <w:szCs w:val="22"/>
        </w:rPr>
        <w:t>request that</w:t>
      </w:r>
      <w:r w:rsidRPr="005205A2">
        <w:rPr>
          <w:rFonts w:ascii="Times New Roman" w:hAnsi="Times New Roman"/>
          <w:color w:val="auto"/>
          <w:sz w:val="22"/>
          <w:szCs w:val="22"/>
        </w:rPr>
        <w:t xml:space="preserve"> the </w:t>
      </w:r>
      <w:r>
        <w:rPr>
          <w:rFonts w:ascii="Times New Roman" w:hAnsi="Times New Roman"/>
          <w:color w:val="auto"/>
          <w:sz w:val="22"/>
          <w:szCs w:val="22"/>
        </w:rPr>
        <w:t xml:space="preserve">potential </w:t>
      </w:r>
      <w:r w:rsidRPr="005205A2">
        <w:rPr>
          <w:rFonts w:ascii="Times New Roman" w:hAnsi="Times New Roman"/>
          <w:color w:val="auto"/>
          <w:sz w:val="22"/>
          <w:szCs w:val="22"/>
        </w:rPr>
        <w:t xml:space="preserve">applicant </w:t>
      </w:r>
      <w:r w:rsidR="002C27DA">
        <w:rPr>
          <w:rFonts w:ascii="Times New Roman" w:hAnsi="Times New Roman"/>
          <w:color w:val="auto"/>
          <w:sz w:val="22"/>
          <w:szCs w:val="22"/>
        </w:rPr>
        <w:t>gives</w:t>
      </w:r>
      <w:r w:rsidRPr="005205A2">
        <w:rPr>
          <w:rFonts w:ascii="Times New Roman" w:hAnsi="Times New Roman"/>
          <w:color w:val="auto"/>
          <w:sz w:val="22"/>
          <w:szCs w:val="22"/>
        </w:rPr>
        <w:t xml:space="preserve"> an oral presentation </w:t>
      </w:r>
      <w:r w:rsidR="007726E5">
        <w:rPr>
          <w:rFonts w:ascii="Times New Roman" w:hAnsi="Times New Roman"/>
          <w:color w:val="auto"/>
          <w:sz w:val="22"/>
          <w:szCs w:val="22"/>
        </w:rPr>
        <w:t>on the project and its plan of finance</w:t>
      </w:r>
      <w:r w:rsidR="002C27DA">
        <w:rPr>
          <w:rFonts w:ascii="Times New Roman" w:hAnsi="Times New Roman"/>
          <w:color w:val="auto"/>
          <w:sz w:val="22"/>
          <w:szCs w:val="22"/>
        </w:rPr>
        <w:t xml:space="preserve"> to the DOT</w:t>
      </w:r>
      <w:r w:rsidR="007726E5">
        <w:rPr>
          <w:rFonts w:ascii="Times New Roman" w:hAnsi="Times New Roman"/>
          <w:color w:val="auto"/>
          <w:sz w:val="22"/>
          <w:szCs w:val="22"/>
        </w:rPr>
        <w:t xml:space="preserve">, </w:t>
      </w:r>
      <w:r w:rsidRPr="005205A2">
        <w:rPr>
          <w:rFonts w:ascii="Times New Roman" w:hAnsi="Times New Roman"/>
          <w:color w:val="auto"/>
          <w:sz w:val="22"/>
          <w:szCs w:val="22"/>
        </w:rPr>
        <w:t xml:space="preserve">followed by a question and answer session.  </w:t>
      </w:r>
      <w:r>
        <w:rPr>
          <w:rFonts w:ascii="Times New Roman" w:hAnsi="Times New Roman"/>
          <w:color w:val="auto"/>
          <w:sz w:val="22"/>
          <w:szCs w:val="22"/>
        </w:rPr>
        <w:t xml:space="preserve">The DOT will provide guidance regarding the structure and content of the presentation at the time of the </w:t>
      </w:r>
      <w:r w:rsidR="002B6B30">
        <w:rPr>
          <w:rFonts w:ascii="Times New Roman" w:hAnsi="Times New Roman"/>
          <w:color w:val="auto"/>
          <w:sz w:val="22"/>
          <w:szCs w:val="22"/>
        </w:rPr>
        <w:t>request</w:t>
      </w:r>
      <w:r>
        <w:rPr>
          <w:rFonts w:ascii="Times New Roman" w:hAnsi="Times New Roman"/>
          <w:color w:val="auto"/>
          <w:sz w:val="22"/>
          <w:szCs w:val="22"/>
        </w:rPr>
        <w:t xml:space="preserve">.  </w:t>
      </w:r>
    </w:p>
    <w:p w:rsidR="00B77793" w:rsidRDefault="00B77793" w:rsidP="00EC479F">
      <w:pPr>
        <w:pStyle w:val="Default"/>
        <w:widowControl/>
        <w:numPr>
          <w:ilvl w:val="0"/>
          <w:numId w:val="1"/>
        </w:numPr>
        <w:spacing w:after="240" w:line="271" w:lineRule="exact"/>
        <w:ind w:left="547" w:hanging="547"/>
        <w:jc w:val="both"/>
        <w:rPr>
          <w:rFonts w:ascii="Times New Roman" w:hAnsi="Times New Roman"/>
          <w:color w:val="auto"/>
          <w:sz w:val="22"/>
          <w:szCs w:val="22"/>
        </w:rPr>
      </w:pPr>
      <w:r w:rsidRPr="007577D5">
        <w:rPr>
          <w:rFonts w:ascii="Times New Roman" w:hAnsi="Times New Roman"/>
          <w:color w:val="auto"/>
          <w:sz w:val="22"/>
          <w:szCs w:val="22"/>
          <w:u w:val="single"/>
        </w:rPr>
        <w:t>Application</w:t>
      </w:r>
      <w:r w:rsidRPr="007577D5">
        <w:rPr>
          <w:rFonts w:ascii="Times New Roman" w:hAnsi="Times New Roman"/>
          <w:color w:val="auto"/>
          <w:sz w:val="22"/>
          <w:szCs w:val="22"/>
        </w:rPr>
        <w:t xml:space="preserve">.  </w:t>
      </w:r>
      <w:r w:rsidR="00315010">
        <w:rPr>
          <w:rFonts w:ascii="Times New Roman" w:hAnsi="Times New Roman"/>
          <w:sz w:val="22"/>
          <w:szCs w:val="22"/>
        </w:rPr>
        <w:t xml:space="preserve">Once both the preliminary rating opinion letter and the $100,000 have been received, </w:t>
      </w:r>
      <w:r w:rsidR="008A0386">
        <w:rPr>
          <w:rFonts w:ascii="Times New Roman" w:hAnsi="Times New Roman"/>
          <w:sz w:val="22"/>
          <w:szCs w:val="22"/>
        </w:rPr>
        <w:t>the project sponsor has made its</w:t>
      </w:r>
      <w:r w:rsidR="004251D5">
        <w:rPr>
          <w:rFonts w:ascii="Times New Roman" w:hAnsi="Times New Roman"/>
          <w:sz w:val="22"/>
          <w:szCs w:val="22"/>
        </w:rPr>
        <w:t xml:space="preserve"> oral presentation</w:t>
      </w:r>
      <w:r w:rsidR="00D50E33">
        <w:rPr>
          <w:rFonts w:ascii="Times New Roman" w:hAnsi="Times New Roman"/>
          <w:sz w:val="22"/>
          <w:szCs w:val="22"/>
        </w:rPr>
        <w:t xml:space="preserve"> </w:t>
      </w:r>
      <w:r w:rsidR="008A0386">
        <w:rPr>
          <w:rFonts w:ascii="Times New Roman" w:hAnsi="Times New Roman"/>
          <w:sz w:val="22"/>
          <w:szCs w:val="22"/>
        </w:rPr>
        <w:t xml:space="preserve">to the DOT, </w:t>
      </w:r>
      <w:r w:rsidR="00D50E33">
        <w:rPr>
          <w:rFonts w:ascii="Times New Roman" w:hAnsi="Times New Roman"/>
          <w:sz w:val="22"/>
          <w:szCs w:val="22"/>
        </w:rPr>
        <w:t xml:space="preserve">and </w:t>
      </w:r>
      <w:r w:rsidR="008A0386">
        <w:rPr>
          <w:rFonts w:ascii="Times New Roman" w:hAnsi="Times New Roman"/>
          <w:sz w:val="22"/>
          <w:szCs w:val="22"/>
        </w:rPr>
        <w:t>the DOT has determined</w:t>
      </w:r>
      <w:r w:rsidR="00D50E33">
        <w:rPr>
          <w:rFonts w:ascii="Times New Roman" w:hAnsi="Times New Roman"/>
          <w:sz w:val="22"/>
          <w:szCs w:val="22"/>
        </w:rPr>
        <w:t xml:space="preserve"> that the project satisfies all statutory eligibility requirements, including </w:t>
      </w:r>
      <w:r w:rsidR="002A5FD3">
        <w:rPr>
          <w:rFonts w:ascii="Times New Roman" w:hAnsi="Times New Roman"/>
          <w:sz w:val="22"/>
          <w:szCs w:val="22"/>
        </w:rPr>
        <w:t xml:space="preserve">a full </w:t>
      </w:r>
      <w:r w:rsidR="00105408">
        <w:rPr>
          <w:rFonts w:ascii="Times New Roman" w:hAnsi="Times New Roman"/>
          <w:sz w:val="22"/>
          <w:szCs w:val="22"/>
        </w:rPr>
        <w:t>review</w:t>
      </w:r>
      <w:r w:rsidR="00105408" w:rsidRPr="002A5FD3">
        <w:rPr>
          <w:rFonts w:ascii="Times New Roman" w:hAnsi="Times New Roman"/>
          <w:sz w:val="22"/>
          <w:szCs w:val="22"/>
        </w:rPr>
        <w:t xml:space="preserve"> </w:t>
      </w:r>
      <w:r w:rsidR="002A5FD3">
        <w:rPr>
          <w:rFonts w:ascii="Times New Roman" w:hAnsi="Times New Roman"/>
          <w:sz w:val="22"/>
          <w:szCs w:val="22"/>
        </w:rPr>
        <w:t xml:space="preserve">of the </w:t>
      </w:r>
      <w:r w:rsidR="00D50E33">
        <w:rPr>
          <w:rFonts w:ascii="Times New Roman" w:hAnsi="Times New Roman"/>
          <w:sz w:val="22"/>
          <w:szCs w:val="22"/>
        </w:rPr>
        <w:t>creditworthiness</w:t>
      </w:r>
      <w:r w:rsidR="002A5FD3">
        <w:rPr>
          <w:rFonts w:ascii="Times New Roman" w:hAnsi="Times New Roman"/>
          <w:sz w:val="22"/>
          <w:szCs w:val="22"/>
        </w:rPr>
        <w:t xml:space="preserve"> of the project</w:t>
      </w:r>
      <w:r w:rsidR="004251D5">
        <w:rPr>
          <w:rFonts w:ascii="Times New Roman" w:hAnsi="Times New Roman"/>
          <w:sz w:val="22"/>
          <w:szCs w:val="22"/>
        </w:rPr>
        <w:t xml:space="preserve">, </w:t>
      </w:r>
      <w:r w:rsidR="00315010">
        <w:rPr>
          <w:rFonts w:ascii="Times New Roman" w:hAnsi="Times New Roman"/>
          <w:sz w:val="22"/>
          <w:szCs w:val="22"/>
        </w:rPr>
        <w:t>t</w:t>
      </w:r>
      <w:r w:rsidR="00487483">
        <w:rPr>
          <w:rFonts w:ascii="Times New Roman" w:hAnsi="Times New Roman"/>
          <w:sz w:val="22"/>
          <w:szCs w:val="22"/>
        </w:rPr>
        <w:t xml:space="preserve">he project </w:t>
      </w:r>
      <w:r w:rsidR="00D62C3F">
        <w:rPr>
          <w:rFonts w:ascii="Times New Roman" w:hAnsi="Times New Roman"/>
          <w:sz w:val="22"/>
          <w:szCs w:val="22"/>
        </w:rPr>
        <w:t xml:space="preserve">sponsor </w:t>
      </w:r>
      <w:r w:rsidR="00487483">
        <w:rPr>
          <w:rFonts w:ascii="Times New Roman" w:hAnsi="Times New Roman"/>
          <w:sz w:val="22"/>
          <w:szCs w:val="22"/>
        </w:rPr>
        <w:t xml:space="preserve">will </w:t>
      </w:r>
      <w:r w:rsidR="00D62C3F">
        <w:rPr>
          <w:rFonts w:ascii="Times New Roman" w:hAnsi="Times New Roman"/>
          <w:sz w:val="22"/>
          <w:szCs w:val="22"/>
        </w:rPr>
        <w:t xml:space="preserve">then </w:t>
      </w:r>
      <w:r w:rsidR="00487483">
        <w:rPr>
          <w:rFonts w:ascii="Times New Roman" w:hAnsi="Times New Roman"/>
          <w:sz w:val="22"/>
          <w:szCs w:val="22"/>
        </w:rPr>
        <w:t xml:space="preserve">be invited to </w:t>
      </w:r>
      <w:r w:rsidR="003A7421">
        <w:rPr>
          <w:rFonts w:ascii="Times New Roman" w:hAnsi="Times New Roman"/>
          <w:sz w:val="22"/>
          <w:szCs w:val="22"/>
        </w:rPr>
        <w:t xml:space="preserve">submit a </w:t>
      </w:r>
      <w:r w:rsidRPr="007577D5">
        <w:rPr>
          <w:rFonts w:ascii="Times New Roman" w:hAnsi="Times New Roman"/>
          <w:sz w:val="22"/>
          <w:szCs w:val="22"/>
        </w:rPr>
        <w:t>complete application</w:t>
      </w:r>
      <w:r w:rsidRPr="007577D5">
        <w:rPr>
          <w:rFonts w:ascii="Times New Roman" w:hAnsi="Times New Roman"/>
          <w:color w:val="auto"/>
          <w:sz w:val="22"/>
          <w:szCs w:val="22"/>
        </w:rPr>
        <w:t xml:space="preserve"> with all required materials</w:t>
      </w:r>
      <w:r w:rsidR="00840358">
        <w:rPr>
          <w:rFonts w:ascii="Times New Roman" w:hAnsi="Times New Roman"/>
          <w:color w:val="auto"/>
          <w:sz w:val="22"/>
          <w:szCs w:val="22"/>
        </w:rPr>
        <w:t xml:space="preserve">.  </w:t>
      </w:r>
      <w:r w:rsidRPr="007577D5">
        <w:rPr>
          <w:rFonts w:ascii="Times New Roman" w:hAnsi="Times New Roman"/>
          <w:color w:val="auto"/>
          <w:sz w:val="22"/>
          <w:szCs w:val="22"/>
        </w:rPr>
        <w:t xml:space="preserve">The DOT will not review incomplete applications or applications for projects that do not satisfy TIFIA requirements. </w:t>
      </w:r>
    </w:p>
    <w:p w:rsidR="006239BB" w:rsidRDefault="006239BB" w:rsidP="00EC479F">
      <w:pPr>
        <w:pStyle w:val="Default"/>
        <w:widowControl/>
        <w:numPr>
          <w:ilvl w:val="4"/>
          <w:numId w:val="1"/>
        </w:numPr>
        <w:spacing w:after="240" w:line="271" w:lineRule="exact"/>
        <w:ind w:left="547" w:hanging="547"/>
        <w:jc w:val="both"/>
        <w:rPr>
          <w:rFonts w:ascii="Times New Roman" w:hAnsi="Times New Roman"/>
          <w:color w:val="auto"/>
          <w:sz w:val="22"/>
          <w:szCs w:val="22"/>
        </w:rPr>
      </w:pPr>
      <w:r w:rsidRPr="00EC479F">
        <w:rPr>
          <w:rFonts w:ascii="Times New Roman" w:hAnsi="Times New Roman"/>
          <w:color w:val="auto"/>
          <w:sz w:val="22"/>
          <w:szCs w:val="22"/>
        </w:rPr>
        <w:t xml:space="preserve">No later than 30 days after the date of receipt of the application by the TIFIA Program, the </w:t>
      </w:r>
      <w:r w:rsidR="00E72AC7">
        <w:rPr>
          <w:rFonts w:ascii="Times New Roman" w:hAnsi="Times New Roman"/>
          <w:color w:val="auto"/>
          <w:sz w:val="22"/>
          <w:szCs w:val="22"/>
        </w:rPr>
        <w:t>DOT</w:t>
      </w:r>
      <w:r w:rsidRPr="00EC479F">
        <w:rPr>
          <w:rFonts w:ascii="Times New Roman" w:hAnsi="Times New Roman"/>
          <w:color w:val="auto"/>
          <w:sz w:val="22"/>
          <w:szCs w:val="22"/>
        </w:rPr>
        <w:t xml:space="preserve"> shall notify the applicant in writing </w:t>
      </w:r>
      <w:r w:rsidR="00E72AC7" w:rsidRPr="00EC479F">
        <w:rPr>
          <w:rFonts w:ascii="Times New Roman" w:hAnsi="Times New Roman"/>
          <w:color w:val="auto"/>
          <w:sz w:val="22"/>
          <w:szCs w:val="22"/>
        </w:rPr>
        <w:t>that the application is complete or requires additional information or materials</w:t>
      </w:r>
      <w:r w:rsidR="002B6B30">
        <w:rPr>
          <w:rFonts w:ascii="Times New Roman" w:hAnsi="Times New Roman"/>
          <w:color w:val="auto"/>
          <w:sz w:val="22"/>
          <w:szCs w:val="22"/>
        </w:rPr>
        <w:t xml:space="preserve"> to complete the application</w:t>
      </w:r>
      <w:r w:rsidR="00E72AC7" w:rsidRPr="00EC479F">
        <w:rPr>
          <w:rFonts w:ascii="Times New Roman" w:hAnsi="Times New Roman"/>
          <w:color w:val="auto"/>
          <w:sz w:val="22"/>
          <w:szCs w:val="22"/>
        </w:rPr>
        <w:t>.</w:t>
      </w:r>
      <w:r w:rsidR="00D7534F">
        <w:rPr>
          <w:rStyle w:val="FootnoteReference"/>
          <w:rFonts w:cs="Arial"/>
          <w:color w:val="auto"/>
          <w:sz w:val="22"/>
          <w:szCs w:val="22"/>
        </w:rPr>
        <w:footnoteReference w:id="7"/>
      </w:r>
    </w:p>
    <w:p w:rsidR="00B92379" w:rsidRPr="00E72AC7" w:rsidRDefault="00B92379" w:rsidP="00EC479F">
      <w:pPr>
        <w:pStyle w:val="Default"/>
        <w:widowControl/>
        <w:spacing w:after="240" w:line="271" w:lineRule="exact"/>
        <w:ind w:left="540"/>
        <w:jc w:val="both"/>
        <w:rPr>
          <w:rFonts w:ascii="Times New Roman" w:hAnsi="Times New Roman"/>
          <w:color w:val="auto"/>
          <w:sz w:val="22"/>
          <w:szCs w:val="22"/>
        </w:rPr>
      </w:pPr>
      <w:r w:rsidRPr="00B92379">
        <w:rPr>
          <w:rFonts w:ascii="Times New Roman" w:hAnsi="Times New Roman"/>
          <w:color w:val="auto"/>
          <w:sz w:val="22"/>
          <w:szCs w:val="22"/>
        </w:rPr>
        <w:t xml:space="preserve">Please note that an invitation by the DOT to submit an application does not guarantee that a project will receive TIFIA credit assistance, which remains subject to a project’s continued eligibility.  </w:t>
      </w:r>
    </w:p>
    <w:p w:rsidR="00B77793" w:rsidRPr="007577D5" w:rsidRDefault="000C30E5" w:rsidP="004D692A">
      <w:pPr>
        <w:pStyle w:val="Default"/>
        <w:widowControl/>
        <w:spacing w:after="240" w:line="271" w:lineRule="exact"/>
        <w:ind w:left="540" w:hanging="540"/>
        <w:jc w:val="both"/>
        <w:rPr>
          <w:rFonts w:ascii="Times New Roman" w:hAnsi="Times New Roman"/>
          <w:color w:val="auto"/>
          <w:sz w:val="22"/>
          <w:szCs w:val="22"/>
        </w:rPr>
      </w:pPr>
      <w:r>
        <w:rPr>
          <w:rFonts w:ascii="Times New Roman" w:hAnsi="Times New Roman"/>
          <w:color w:val="auto"/>
          <w:sz w:val="22"/>
          <w:szCs w:val="22"/>
        </w:rPr>
        <w:t>3</w:t>
      </w:r>
      <w:r w:rsidR="00B77793" w:rsidRPr="007577D5">
        <w:rPr>
          <w:rFonts w:ascii="Times New Roman" w:hAnsi="Times New Roman"/>
          <w:color w:val="auto"/>
          <w:sz w:val="22"/>
          <w:szCs w:val="22"/>
        </w:rPr>
        <w:t>.</w:t>
      </w:r>
      <w:r w:rsidR="00B77793" w:rsidRPr="007577D5">
        <w:rPr>
          <w:rFonts w:ascii="Times New Roman" w:hAnsi="Times New Roman"/>
          <w:color w:val="auto"/>
          <w:sz w:val="22"/>
          <w:szCs w:val="22"/>
        </w:rPr>
        <w:tab/>
      </w:r>
      <w:r w:rsidR="008F32FE">
        <w:rPr>
          <w:rFonts w:ascii="Times New Roman" w:hAnsi="Times New Roman"/>
          <w:color w:val="auto"/>
          <w:sz w:val="22"/>
          <w:szCs w:val="22"/>
          <w:u w:val="single"/>
        </w:rPr>
        <w:t xml:space="preserve">Project </w:t>
      </w:r>
      <w:r w:rsidR="002A5FD3">
        <w:rPr>
          <w:rFonts w:ascii="Times New Roman" w:hAnsi="Times New Roman"/>
          <w:color w:val="auto"/>
          <w:sz w:val="22"/>
          <w:szCs w:val="22"/>
          <w:u w:val="single"/>
        </w:rPr>
        <w:t>Recommendation</w:t>
      </w:r>
      <w:r w:rsidR="00B77793" w:rsidRPr="007577D5">
        <w:rPr>
          <w:rFonts w:ascii="Times New Roman" w:hAnsi="Times New Roman"/>
          <w:color w:val="auto"/>
          <w:sz w:val="22"/>
          <w:szCs w:val="22"/>
        </w:rPr>
        <w:t>.  Based upon the written application, the oral presentation, and any supplemental information</w:t>
      </w:r>
      <w:r w:rsidR="00EC3A99">
        <w:rPr>
          <w:rFonts w:ascii="Times New Roman" w:hAnsi="Times New Roman"/>
          <w:color w:val="auto"/>
          <w:sz w:val="22"/>
          <w:szCs w:val="22"/>
        </w:rPr>
        <w:t xml:space="preserve"> submitted by an applicant</w:t>
      </w:r>
      <w:r w:rsidR="00B77793" w:rsidRPr="007577D5">
        <w:rPr>
          <w:rFonts w:ascii="Times New Roman" w:hAnsi="Times New Roman"/>
          <w:color w:val="auto"/>
          <w:sz w:val="22"/>
          <w:szCs w:val="22"/>
        </w:rPr>
        <w:t xml:space="preserve">, DOT staff will prepare a project evaluation and recommendation for the DOT Credit Council. </w:t>
      </w:r>
    </w:p>
    <w:p w:rsidR="00B77793" w:rsidRDefault="000C30E5" w:rsidP="004D692A">
      <w:pPr>
        <w:pStyle w:val="Default"/>
        <w:widowControl/>
        <w:spacing w:after="240" w:line="271" w:lineRule="exact"/>
        <w:ind w:left="540" w:hanging="540"/>
        <w:jc w:val="both"/>
        <w:rPr>
          <w:rFonts w:ascii="Times New Roman" w:hAnsi="Times New Roman"/>
          <w:color w:val="auto"/>
          <w:sz w:val="22"/>
          <w:szCs w:val="22"/>
        </w:rPr>
      </w:pPr>
      <w:r>
        <w:rPr>
          <w:rFonts w:ascii="Times New Roman" w:hAnsi="Times New Roman"/>
          <w:color w:val="auto"/>
          <w:sz w:val="22"/>
          <w:szCs w:val="22"/>
        </w:rPr>
        <w:t>4</w:t>
      </w:r>
      <w:r w:rsidR="00B77793" w:rsidRPr="007577D5">
        <w:rPr>
          <w:rFonts w:ascii="Times New Roman" w:hAnsi="Times New Roman"/>
          <w:color w:val="auto"/>
          <w:sz w:val="22"/>
          <w:szCs w:val="22"/>
        </w:rPr>
        <w:t>.</w:t>
      </w:r>
      <w:r w:rsidR="00B77793" w:rsidRPr="007577D5">
        <w:rPr>
          <w:rFonts w:ascii="Times New Roman" w:hAnsi="Times New Roman"/>
          <w:color w:val="auto"/>
          <w:sz w:val="22"/>
          <w:szCs w:val="22"/>
        </w:rPr>
        <w:tab/>
      </w:r>
      <w:r w:rsidR="00B77793" w:rsidRPr="007577D5">
        <w:rPr>
          <w:rFonts w:ascii="Times New Roman" w:hAnsi="Times New Roman"/>
          <w:color w:val="auto"/>
          <w:sz w:val="22"/>
          <w:szCs w:val="22"/>
          <w:u w:val="single"/>
        </w:rPr>
        <w:t>Project Selection</w:t>
      </w:r>
      <w:r w:rsidR="00B77793" w:rsidRPr="007577D5">
        <w:rPr>
          <w:rFonts w:ascii="Times New Roman" w:hAnsi="Times New Roman"/>
          <w:color w:val="auto"/>
          <w:sz w:val="22"/>
          <w:szCs w:val="22"/>
        </w:rPr>
        <w:t xml:space="preserve">.  The DOT Credit Council, in turn, provides a recommendation to the Secretary, who makes the final determination regarding project selection.  The DOT will not obligate funds for a project that does not satisfy </w:t>
      </w:r>
      <w:r w:rsidR="002B6B30">
        <w:rPr>
          <w:rFonts w:ascii="Times New Roman" w:hAnsi="Times New Roman"/>
          <w:color w:val="auto"/>
          <w:sz w:val="22"/>
          <w:szCs w:val="22"/>
        </w:rPr>
        <w:t>statutory</w:t>
      </w:r>
      <w:r w:rsidR="00B77793" w:rsidRPr="007577D5">
        <w:rPr>
          <w:rFonts w:ascii="Times New Roman" w:hAnsi="Times New Roman"/>
          <w:color w:val="auto"/>
          <w:sz w:val="22"/>
          <w:szCs w:val="22"/>
        </w:rPr>
        <w:t xml:space="preserve"> </w:t>
      </w:r>
      <w:r w:rsidR="00CB46B8">
        <w:rPr>
          <w:rFonts w:ascii="Times New Roman" w:hAnsi="Times New Roman"/>
          <w:color w:val="auto"/>
          <w:sz w:val="22"/>
          <w:szCs w:val="22"/>
        </w:rPr>
        <w:t>requirements</w:t>
      </w:r>
      <w:r w:rsidR="00CB46B8" w:rsidRPr="007577D5">
        <w:rPr>
          <w:rFonts w:ascii="Times New Roman" w:hAnsi="Times New Roman"/>
          <w:color w:val="auto"/>
          <w:sz w:val="22"/>
          <w:szCs w:val="22"/>
        </w:rPr>
        <w:t xml:space="preserve"> </w:t>
      </w:r>
      <w:r w:rsidR="00B77793" w:rsidRPr="007577D5">
        <w:rPr>
          <w:rFonts w:ascii="Times New Roman" w:hAnsi="Times New Roman"/>
          <w:color w:val="auto"/>
          <w:sz w:val="22"/>
          <w:szCs w:val="22"/>
        </w:rPr>
        <w:t xml:space="preserve">such as obtaining environmental clearances. </w:t>
      </w:r>
    </w:p>
    <w:p w:rsidR="00781A46" w:rsidRPr="00EC3A99" w:rsidRDefault="000C30E5" w:rsidP="004D692A">
      <w:pPr>
        <w:pStyle w:val="Default"/>
        <w:widowControl/>
        <w:spacing w:after="240" w:line="271" w:lineRule="exact"/>
        <w:ind w:left="540" w:hanging="540"/>
        <w:jc w:val="both"/>
        <w:rPr>
          <w:rFonts w:ascii="Times New Roman" w:hAnsi="Times New Roman"/>
          <w:color w:val="auto"/>
          <w:sz w:val="22"/>
          <w:szCs w:val="22"/>
        </w:rPr>
      </w:pPr>
      <w:r>
        <w:rPr>
          <w:rFonts w:ascii="Times New Roman" w:hAnsi="Times New Roman"/>
          <w:color w:val="auto"/>
          <w:sz w:val="22"/>
          <w:szCs w:val="22"/>
        </w:rPr>
        <w:t>5</w:t>
      </w:r>
      <w:r w:rsidR="00781A46">
        <w:rPr>
          <w:rFonts w:ascii="Times New Roman" w:hAnsi="Times New Roman"/>
          <w:color w:val="auto"/>
          <w:sz w:val="22"/>
          <w:szCs w:val="22"/>
        </w:rPr>
        <w:t>.</w:t>
      </w:r>
      <w:r w:rsidR="00781A46">
        <w:rPr>
          <w:rFonts w:ascii="Times New Roman" w:hAnsi="Times New Roman"/>
          <w:color w:val="auto"/>
          <w:sz w:val="22"/>
          <w:szCs w:val="22"/>
        </w:rPr>
        <w:tab/>
      </w:r>
      <w:r w:rsidR="00781A46" w:rsidRPr="004C5D94">
        <w:rPr>
          <w:rFonts w:ascii="Times New Roman" w:hAnsi="Times New Roman"/>
          <w:color w:val="auto"/>
          <w:sz w:val="22"/>
          <w:szCs w:val="22"/>
          <w:u w:val="single"/>
        </w:rPr>
        <w:t>Project Approval</w:t>
      </w:r>
      <w:r w:rsidR="00781A46">
        <w:rPr>
          <w:rFonts w:ascii="Times New Roman" w:hAnsi="Times New Roman"/>
          <w:color w:val="auto"/>
          <w:sz w:val="22"/>
          <w:szCs w:val="22"/>
        </w:rPr>
        <w:t xml:space="preserve">.  </w:t>
      </w:r>
      <w:r w:rsidR="000D4F00">
        <w:rPr>
          <w:rFonts w:ascii="Times New Roman" w:hAnsi="Times New Roman"/>
          <w:color w:val="auto"/>
          <w:sz w:val="22"/>
          <w:szCs w:val="22"/>
        </w:rPr>
        <w:t xml:space="preserve">The </w:t>
      </w:r>
      <w:r w:rsidR="00781A46">
        <w:rPr>
          <w:rFonts w:ascii="Times New Roman" w:hAnsi="Times New Roman"/>
          <w:color w:val="auto"/>
          <w:sz w:val="22"/>
          <w:szCs w:val="22"/>
        </w:rPr>
        <w:t>DOT</w:t>
      </w:r>
      <w:r w:rsidR="00EC3A99">
        <w:rPr>
          <w:rFonts w:ascii="Times New Roman" w:hAnsi="Times New Roman"/>
          <w:color w:val="auto"/>
          <w:sz w:val="22"/>
          <w:szCs w:val="22"/>
        </w:rPr>
        <w:t xml:space="preserve"> will</w:t>
      </w:r>
      <w:r w:rsidR="00781A46">
        <w:rPr>
          <w:rFonts w:ascii="Times New Roman" w:hAnsi="Times New Roman"/>
          <w:color w:val="auto"/>
          <w:sz w:val="22"/>
          <w:szCs w:val="22"/>
        </w:rPr>
        <w:t xml:space="preserve"> notif</w:t>
      </w:r>
      <w:r w:rsidR="00EC3A99">
        <w:rPr>
          <w:rFonts w:ascii="Times New Roman" w:hAnsi="Times New Roman"/>
          <w:color w:val="auto"/>
          <w:sz w:val="22"/>
          <w:szCs w:val="22"/>
        </w:rPr>
        <w:t>y</w:t>
      </w:r>
      <w:r w:rsidR="00781A46">
        <w:rPr>
          <w:rFonts w:ascii="Times New Roman" w:hAnsi="Times New Roman"/>
          <w:color w:val="auto"/>
          <w:sz w:val="22"/>
          <w:szCs w:val="22"/>
        </w:rPr>
        <w:t xml:space="preserve"> </w:t>
      </w:r>
      <w:r w:rsidR="00B15B40">
        <w:rPr>
          <w:rFonts w:ascii="Times New Roman" w:hAnsi="Times New Roman"/>
          <w:color w:val="auto"/>
          <w:sz w:val="22"/>
          <w:szCs w:val="22"/>
        </w:rPr>
        <w:t xml:space="preserve">the </w:t>
      </w:r>
      <w:r w:rsidR="00781A46">
        <w:rPr>
          <w:rFonts w:ascii="Times New Roman" w:hAnsi="Times New Roman"/>
          <w:color w:val="auto"/>
          <w:sz w:val="22"/>
          <w:szCs w:val="22"/>
        </w:rPr>
        <w:t xml:space="preserve">project sponsor regarding project approval </w:t>
      </w:r>
      <w:r w:rsidR="003A7421">
        <w:rPr>
          <w:rFonts w:ascii="Times New Roman" w:hAnsi="Times New Roman"/>
          <w:color w:val="auto"/>
          <w:sz w:val="22"/>
          <w:szCs w:val="22"/>
        </w:rPr>
        <w:t xml:space="preserve">or disapproval </w:t>
      </w:r>
      <w:r w:rsidR="007928C0">
        <w:rPr>
          <w:rFonts w:ascii="Times New Roman" w:hAnsi="Times New Roman"/>
          <w:color w:val="auto"/>
          <w:sz w:val="22"/>
          <w:szCs w:val="22"/>
        </w:rPr>
        <w:t>no more than</w:t>
      </w:r>
      <w:r w:rsidR="00781A46">
        <w:rPr>
          <w:rFonts w:ascii="Times New Roman" w:hAnsi="Times New Roman"/>
          <w:color w:val="auto"/>
          <w:sz w:val="22"/>
          <w:szCs w:val="22"/>
        </w:rPr>
        <w:t xml:space="preserve"> </w:t>
      </w:r>
      <w:r w:rsidR="00125650">
        <w:rPr>
          <w:rFonts w:ascii="Times New Roman" w:hAnsi="Times New Roman"/>
          <w:color w:val="auto"/>
          <w:sz w:val="22"/>
          <w:szCs w:val="22"/>
        </w:rPr>
        <w:t>6</w:t>
      </w:r>
      <w:r w:rsidR="00781A46">
        <w:rPr>
          <w:rFonts w:ascii="Times New Roman" w:hAnsi="Times New Roman"/>
          <w:color w:val="auto"/>
          <w:sz w:val="22"/>
          <w:szCs w:val="22"/>
        </w:rPr>
        <w:t xml:space="preserve">0 days </w:t>
      </w:r>
      <w:r w:rsidR="00125650">
        <w:rPr>
          <w:rFonts w:ascii="Times New Roman" w:hAnsi="Times New Roman"/>
          <w:color w:val="auto"/>
          <w:sz w:val="22"/>
          <w:szCs w:val="22"/>
        </w:rPr>
        <w:t>notifying the project sponsor that its application was complete</w:t>
      </w:r>
      <w:r w:rsidR="00781A46" w:rsidRPr="00EC3A99">
        <w:rPr>
          <w:rFonts w:ascii="Times New Roman" w:hAnsi="Times New Roman"/>
          <w:color w:val="auto"/>
          <w:sz w:val="22"/>
          <w:szCs w:val="22"/>
        </w:rPr>
        <w:t>.</w:t>
      </w:r>
      <w:r w:rsidR="00D7534F" w:rsidRPr="00EC479F">
        <w:rPr>
          <w:rStyle w:val="FootnoteReference"/>
          <w:rFonts w:ascii="Times New Roman" w:hAnsi="Times New Roman"/>
          <w:color w:val="auto"/>
          <w:sz w:val="22"/>
          <w:szCs w:val="22"/>
        </w:rPr>
        <w:footnoteReference w:id="8"/>
      </w:r>
    </w:p>
    <w:p w:rsidR="00445BAA" w:rsidRDefault="000C30E5" w:rsidP="00E826D8">
      <w:pPr>
        <w:pStyle w:val="Default"/>
        <w:widowControl/>
        <w:spacing w:after="240" w:line="271" w:lineRule="exact"/>
        <w:ind w:left="540" w:hanging="540"/>
        <w:jc w:val="both"/>
        <w:rPr>
          <w:rFonts w:ascii="Times New Roman" w:hAnsi="Times New Roman"/>
          <w:sz w:val="22"/>
          <w:szCs w:val="22"/>
        </w:rPr>
      </w:pPr>
      <w:r>
        <w:rPr>
          <w:rFonts w:ascii="Times New Roman" w:hAnsi="Times New Roman"/>
          <w:color w:val="auto"/>
          <w:sz w:val="22"/>
          <w:szCs w:val="22"/>
        </w:rPr>
        <w:lastRenderedPageBreak/>
        <w:t>6</w:t>
      </w:r>
      <w:r w:rsidR="00781A46">
        <w:rPr>
          <w:rFonts w:ascii="Times New Roman" w:hAnsi="Times New Roman"/>
          <w:color w:val="auto"/>
          <w:sz w:val="22"/>
          <w:szCs w:val="22"/>
        </w:rPr>
        <w:t>.</w:t>
      </w:r>
      <w:r w:rsidR="00781A46">
        <w:rPr>
          <w:rFonts w:ascii="Times New Roman" w:hAnsi="Times New Roman"/>
          <w:color w:val="auto"/>
          <w:sz w:val="22"/>
          <w:szCs w:val="22"/>
        </w:rPr>
        <w:tab/>
      </w:r>
      <w:r w:rsidR="00B77793" w:rsidRPr="007577D5">
        <w:rPr>
          <w:rFonts w:ascii="Times New Roman" w:hAnsi="Times New Roman"/>
          <w:color w:val="auto"/>
          <w:sz w:val="22"/>
          <w:szCs w:val="22"/>
          <w:u w:val="single"/>
        </w:rPr>
        <w:t>Term Sheet Issuance</w:t>
      </w:r>
      <w:r w:rsidR="00BC489A">
        <w:rPr>
          <w:rFonts w:ascii="Times New Roman" w:hAnsi="Times New Roman"/>
          <w:color w:val="auto"/>
          <w:sz w:val="22"/>
          <w:szCs w:val="22"/>
          <w:u w:val="single"/>
        </w:rPr>
        <w:t>, Credit Agreement Execution,</w:t>
      </w:r>
      <w:r w:rsidR="00B77793" w:rsidRPr="007577D5">
        <w:rPr>
          <w:rFonts w:ascii="Times New Roman" w:hAnsi="Times New Roman"/>
          <w:color w:val="auto"/>
          <w:sz w:val="22"/>
          <w:szCs w:val="22"/>
          <w:u w:val="single"/>
        </w:rPr>
        <w:t xml:space="preserve"> and Funding Obligation</w:t>
      </w:r>
      <w:r w:rsidR="00BC489A">
        <w:rPr>
          <w:rFonts w:ascii="Times New Roman" w:hAnsi="Times New Roman"/>
          <w:color w:val="auto"/>
          <w:sz w:val="22"/>
          <w:szCs w:val="22"/>
          <w:u w:val="single"/>
        </w:rPr>
        <w:t xml:space="preserve"> and Disbursement</w:t>
      </w:r>
      <w:r w:rsidR="00B77793" w:rsidRPr="007577D5">
        <w:rPr>
          <w:rFonts w:ascii="Times New Roman" w:hAnsi="Times New Roman"/>
          <w:color w:val="auto"/>
          <w:sz w:val="22"/>
          <w:szCs w:val="22"/>
        </w:rPr>
        <w:t xml:space="preserve">.  For each approved project, the DOT will issue </w:t>
      </w:r>
      <w:r w:rsidR="002C27DA">
        <w:rPr>
          <w:rFonts w:ascii="Times New Roman" w:hAnsi="Times New Roman"/>
          <w:color w:val="auto"/>
          <w:sz w:val="22"/>
          <w:szCs w:val="22"/>
        </w:rPr>
        <w:t>two documents;</w:t>
      </w:r>
      <w:r w:rsidR="00157F91">
        <w:rPr>
          <w:rFonts w:ascii="Times New Roman" w:hAnsi="Times New Roman"/>
          <w:color w:val="auto"/>
          <w:sz w:val="22"/>
          <w:szCs w:val="22"/>
        </w:rPr>
        <w:t xml:space="preserve"> </w:t>
      </w:r>
      <w:r w:rsidR="00B77793" w:rsidRPr="007577D5">
        <w:rPr>
          <w:rFonts w:ascii="Times New Roman" w:hAnsi="Times New Roman"/>
          <w:color w:val="auto"/>
          <w:sz w:val="22"/>
          <w:szCs w:val="22"/>
        </w:rPr>
        <w:t>a term sheet</w:t>
      </w:r>
      <w:r w:rsidR="00157F91">
        <w:rPr>
          <w:rFonts w:ascii="Times New Roman" w:hAnsi="Times New Roman"/>
          <w:color w:val="auto"/>
          <w:sz w:val="22"/>
          <w:szCs w:val="22"/>
        </w:rPr>
        <w:t>, which</w:t>
      </w:r>
      <w:r w:rsidR="00B77793" w:rsidRPr="007577D5">
        <w:rPr>
          <w:rFonts w:ascii="Times New Roman" w:hAnsi="Times New Roman"/>
          <w:color w:val="auto"/>
          <w:sz w:val="22"/>
          <w:szCs w:val="22"/>
        </w:rPr>
        <w:t xml:space="preserve"> set</w:t>
      </w:r>
      <w:r w:rsidR="00157F91">
        <w:rPr>
          <w:rFonts w:ascii="Times New Roman" w:hAnsi="Times New Roman"/>
          <w:color w:val="auto"/>
          <w:sz w:val="22"/>
          <w:szCs w:val="22"/>
        </w:rPr>
        <w:t>s</w:t>
      </w:r>
      <w:r w:rsidR="00B77793" w:rsidRPr="007577D5">
        <w:rPr>
          <w:rFonts w:ascii="Times New Roman" w:hAnsi="Times New Roman"/>
          <w:color w:val="auto"/>
          <w:sz w:val="22"/>
          <w:szCs w:val="22"/>
        </w:rPr>
        <w:t xml:space="preserve"> forth the basic terms and conditions of TIFIA credit assistance</w:t>
      </w:r>
      <w:r w:rsidR="00157F91">
        <w:rPr>
          <w:rFonts w:ascii="Times New Roman" w:hAnsi="Times New Roman"/>
          <w:color w:val="auto"/>
          <w:sz w:val="22"/>
          <w:szCs w:val="22"/>
        </w:rPr>
        <w:t>, and a</w:t>
      </w:r>
      <w:r w:rsidR="00B77793" w:rsidRPr="007577D5">
        <w:rPr>
          <w:rFonts w:ascii="Times New Roman" w:hAnsi="Times New Roman"/>
          <w:color w:val="auto"/>
          <w:sz w:val="22"/>
          <w:szCs w:val="22"/>
        </w:rPr>
        <w:t xml:space="preserve"> </w:t>
      </w:r>
      <w:r w:rsidR="0025214D">
        <w:rPr>
          <w:rFonts w:ascii="Times New Roman" w:hAnsi="Times New Roman"/>
          <w:color w:val="auto"/>
          <w:sz w:val="22"/>
          <w:szCs w:val="22"/>
        </w:rPr>
        <w:t>c</w:t>
      </w:r>
      <w:r w:rsidR="00B77793" w:rsidRPr="007577D5">
        <w:rPr>
          <w:rFonts w:ascii="Times New Roman" w:hAnsi="Times New Roman"/>
          <w:color w:val="auto"/>
          <w:sz w:val="22"/>
          <w:szCs w:val="22"/>
        </w:rPr>
        <w:t xml:space="preserve">redit </w:t>
      </w:r>
      <w:r w:rsidR="0025214D">
        <w:rPr>
          <w:rFonts w:ascii="Times New Roman" w:hAnsi="Times New Roman"/>
          <w:color w:val="auto"/>
          <w:sz w:val="22"/>
          <w:szCs w:val="22"/>
        </w:rPr>
        <w:t>a</w:t>
      </w:r>
      <w:r w:rsidR="00B77793" w:rsidRPr="007577D5">
        <w:rPr>
          <w:rFonts w:ascii="Times New Roman" w:hAnsi="Times New Roman"/>
          <w:color w:val="auto"/>
          <w:sz w:val="22"/>
          <w:szCs w:val="22"/>
        </w:rPr>
        <w:t>greement</w:t>
      </w:r>
      <w:r w:rsidR="00157F91">
        <w:rPr>
          <w:rFonts w:ascii="Times New Roman" w:hAnsi="Times New Roman"/>
          <w:color w:val="auto"/>
          <w:sz w:val="22"/>
          <w:szCs w:val="22"/>
        </w:rPr>
        <w:t>, which</w:t>
      </w:r>
      <w:r w:rsidR="00B77793" w:rsidRPr="007577D5">
        <w:rPr>
          <w:rFonts w:ascii="Times New Roman" w:hAnsi="Times New Roman"/>
          <w:color w:val="auto"/>
          <w:sz w:val="22"/>
          <w:szCs w:val="22"/>
        </w:rPr>
        <w:t xml:space="preserve"> is the definitive agreement between the DOT and the borrower</w:t>
      </w:r>
      <w:r w:rsidR="00157F91">
        <w:rPr>
          <w:rFonts w:ascii="Times New Roman" w:hAnsi="Times New Roman"/>
          <w:color w:val="auto"/>
          <w:sz w:val="22"/>
          <w:szCs w:val="22"/>
        </w:rPr>
        <w:t xml:space="preserve"> and</w:t>
      </w:r>
      <w:r w:rsidR="00B77793" w:rsidRPr="007577D5">
        <w:rPr>
          <w:rFonts w:ascii="Times New Roman" w:hAnsi="Times New Roman"/>
          <w:color w:val="auto"/>
          <w:sz w:val="22"/>
          <w:szCs w:val="22"/>
        </w:rPr>
        <w:t xml:space="preserve"> specif</w:t>
      </w:r>
      <w:r w:rsidR="00157F91">
        <w:rPr>
          <w:rFonts w:ascii="Times New Roman" w:hAnsi="Times New Roman"/>
          <w:color w:val="auto"/>
          <w:sz w:val="22"/>
          <w:szCs w:val="22"/>
        </w:rPr>
        <w:t>ies</w:t>
      </w:r>
      <w:r w:rsidR="00B77793" w:rsidRPr="007577D5">
        <w:rPr>
          <w:rFonts w:ascii="Times New Roman" w:hAnsi="Times New Roman"/>
          <w:color w:val="auto"/>
          <w:sz w:val="22"/>
          <w:szCs w:val="22"/>
        </w:rPr>
        <w:t xml:space="preserve"> all t</w:t>
      </w:r>
      <w:r w:rsidR="00157F91">
        <w:rPr>
          <w:rFonts w:ascii="Times New Roman" w:hAnsi="Times New Roman"/>
          <w:color w:val="auto"/>
          <w:sz w:val="22"/>
          <w:szCs w:val="22"/>
        </w:rPr>
        <w:t>he t</w:t>
      </w:r>
      <w:r w:rsidR="00B77793" w:rsidRPr="007577D5">
        <w:rPr>
          <w:rFonts w:ascii="Times New Roman" w:hAnsi="Times New Roman"/>
          <w:color w:val="auto"/>
          <w:sz w:val="22"/>
          <w:szCs w:val="22"/>
        </w:rPr>
        <w:t>erms and conditions of the TIFIA credit assistance</w:t>
      </w:r>
      <w:r w:rsidR="00157F91">
        <w:rPr>
          <w:rFonts w:ascii="Times New Roman" w:hAnsi="Times New Roman"/>
          <w:color w:val="auto"/>
          <w:sz w:val="22"/>
          <w:szCs w:val="22"/>
        </w:rPr>
        <w:t xml:space="preserve"> and authorizes</w:t>
      </w:r>
      <w:r w:rsidR="00B77793" w:rsidRPr="007577D5">
        <w:rPr>
          <w:rFonts w:ascii="Times New Roman" w:hAnsi="Times New Roman"/>
          <w:color w:val="auto"/>
          <w:sz w:val="22"/>
          <w:szCs w:val="22"/>
        </w:rPr>
        <w:t xml:space="preserve"> disbursement of funds.  Prior to execution of the </w:t>
      </w:r>
      <w:r w:rsidR="0044162A">
        <w:rPr>
          <w:rFonts w:ascii="Times New Roman" w:hAnsi="Times New Roman"/>
          <w:color w:val="auto"/>
          <w:sz w:val="22"/>
          <w:szCs w:val="22"/>
        </w:rPr>
        <w:t>c</w:t>
      </w:r>
      <w:r w:rsidR="00B77793" w:rsidRPr="007577D5">
        <w:rPr>
          <w:rFonts w:ascii="Times New Roman" w:hAnsi="Times New Roman"/>
          <w:color w:val="auto"/>
          <w:sz w:val="22"/>
          <w:szCs w:val="22"/>
        </w:rPr>
        <w:t xml:space="preserve">redit </w:t>
      </w:r>
      <w:r w:rsidR="0044162A">
        <w:rPr>
          <w:rFonts w:ascii="Times New Roman" w:hAnsi="Times New Roman"/>
          <w:color w:val="auto"/>
          <w:sz w:val="22"/>
          <w:szCs w:val="22"/>
        </w:rPr>
        <w:t>a</w:t>
      </w:r>
      <w:r w:rsidR="00B77793" w:rsidRPr="007577D5">
        <w:rPr>
          <w:rFonts w:ascii="Times New Roman" w:hAnsi="Times New Roman"/>
          <w:color w:val="auto"/>
          <w:sz w:val="22"/>
          <w:szCs w:val="22"/>
        </w:rPr>
        <w:t xml:space="preserve">greement, the borrower must satisfy all </w:t>
      </w:r>
      <w:r w:rsidR="0042093A">
        <w:rPr>
          <w:rFonts w:ascii="Times New Roman" w:hAnsi="Times New Roman"/>
          <w:color w:val="auto"/>
          <w:sz w:val="22"/>
          <w:szCs w:val="22"/>
        </w:rPr>
        <w:t>P</w:t>
      </w:r>
      <w:r w:rsidR="00B77793" w:rsidRPr="007577D5">
        <w:rPr>
          <w:rFonts w:ascii="Times New Roman" w:hAnsi="Times New Roman"/>
          <w:color w:val="auto"/>
          <w:sz w:val="22"/>
          <w:szCs w:val="22"/>
        </w:rPr>
        <w:t xml:space="preserve">rogram requirements – including receipt of </w:t>
      </w:r>
      <w:r w:rsidR="00B96DF3">
        <w:rPr>
          <w:rFonts w:ascii="Times New Roman" w:hAnsi="Times New Roman"/>
          <w:color w:val="auto"/>
          <w:sz w:val="22"/>
          <w:szCs w:val="22"/>
        </w:rPr>
        <w:t xml:space="preserve">two </w:t>
      </w:r>
      <w:r w:rsidR="00B77793" w:rsidRPr="007577D5">
        <w:rPr>
          <w:rFonts w:ascii="Times New Roman" w:hAnsi="Times New Roman"/>
          <w:color w:val="auto"/>
          <w:sz w:val="22"/>
          <w:szCs w:val="22"/>
        </w:rPr>
        <w:t>investment grade rating</w:t>
      </w:r>
      <w:r w:rsidR="00B96DF3">
        <w:rPr>
          <w:rFonts w:ascii="Times New Roman" w:hAnsi="Times New Roman"/>
          <w:color w:val="auto"/>
          <w:sz w:val="22"/>
          <w:szCs w:val="22"/>
        </w:rPr>
        <w:t>s</w:t>
      </w:r>
      <w:r w:rsidR="00B77793" w:rsidRPr="007577D5">
        <w:rPr>
          <w:rFonts w:ascii="Times New Roman" w:hAnsi="Times New Roman"/>
          <w:color w:val="auto"/>
          <w:sz w:val="22"/>
          <w:szCs w:val="22"/>
        </w:rPr>
        <w:t xml:space="preserve"> on the project’s debt obligations</w:t>
      </w:r>
      <w:r w:rsidR="00B77793">
        <w:rPr>
          <w:rFonts w:ascii="Times New Roman" w:hAnsi="Times New Roman"/>
          <w:color w:val="auto"/>
          <w:sz w:val="22"/>
          <w:szCs w:val="22"/>
        </w:rPr>
        <w:t xml:space="preserve"> senior to TIFIA</w:t>
      </w:r>
      <w:r w:rsidR="00B77793" w:rsidRPr="007577D5">
        <w:rPr>
          <w:rFonts w:ascii="Times New Roman" w:hAnsi="Times New Roman"/>
          <w:color w:val="auto"/>
          <w:sz w:val="22"/>
          <w:szCs w:val="22"/>
        </w:rPr>
        <w:t xml:space="preserve"> and </w:t>
      </w:r>
      <w:r w:rsidR="00B96DF3">
        <w:rPr>
          <w:rFonts w:ascii="Times New Roman" w:hAnsi="Times New Roman"/>
          <w:color w:val="auto"/>
          <w:sz w:val="22"/>
          <w:szCs w:val="22"/>
        </w:rPr>
        <w:t>two</w:t>
      </w:r>
      <w:r w:rsidR="00B96DF3" w:rsidRPr="007577D5">
        <w:rPr>
          <w:rFonts w:ascii="Times New Roman" w:hAnsi="Times New Roman"/>
          <w:color w:val="auto"/>
          <w:sz w:val="22"/>
          <w:szCs w:val="22"/>
        </w:rPr>
        <w:t xml:space="preserve"> </w:t>
      </w:r>
      <w:r w:rsidR="00B77793" w:rsidRPr="007577D5">
        <w:rPr>
          <w:rFonts w:ascii="Times New Roman" w:hAnsi="Times New Roman"/>
          <w:color w:val="auto"/>
          <w:sz w:val="22"/>
          <w:szCs w:val="22"/>
        </w:rPr>
        <w:t>rating</w:t>
      </w:r>
      <w:r w:rsidR="00B96DF3">
        <w:rPr>
          <w:rFonts w:ascii="Times New Roman" w:hAnsi="Times New Roman"/>
          <w:color w:val="auto"/>
          <w:sz w:val="22"/>
          <w:szCs w:val="22"/>
        </w:rPr>
        <w:t>s</w:t>
      </w:r>
      <w:r w:rsidR="00B77793" w:rsidRPr="007577D5">
        <w:rPr>
          <w:rFonts w:ascii="Times New Roman" w:hAnsi="Times New Roman"/>
          <w:color w:val="auto"/>
          <w:sz w:val="22"/>
          <w:szCs w:val="22"/>
        </w:rPr>
        <w:t xml:space="preserve"> on the TIFIA </w:t>
      </w:r>
      <w:r w:rsidR="005029D7">
        <w:rPr>
          <w:rFonts w:ascii="Times New Roman" w:hAnsi="Times New Roman"/>
          <w:color w:val="auto"/>
          <w:sz w:val="22"/>
          <w:szCs w:val="22"/>
        </w:rPr>
        <w:t>credit instrument itself</w:t>
      </w:r>
      <w:r w:rsidR="00B77793" w:rsidRPr="007577D5">
        <w:rPr>
          <w:rFonts w:ascii="Times New Roman" w:hAnsi="Times New Roman"/>
          <w:color w:val="auto"/>
          <w:sz w:val="22"/>
          <w:szCs w:val="22"/>
        </w:rPr>
        <w:t>.</w:t>
      </w:r>
      <w:r w:rsidR="00EC6C91">
        <w:rPr>
          <w:rStyle w:val="FootnoteReference"/>
          <w:rFonts w:cs="Arial"/>
          <w:color w:val="auto"/>
          <w:sz w:val="22"/>
          <w:szCs w:val="22"/>
        </w:rPr>
        <w:footnoteReference w:id="9"/>
      </w:r>
      <w:r w:rsidR="00B77793" w:rsidRPr="007577D5">
        <w:rPr>
          <w:rFonts w:ascii="Times New Roman" w:hAnsi="Times New Roman"/>
          <w:color w:val="auto"/>
          <w:sz w:val="22"/>
          <w:szCs w:val="22"/>
        </w:rPr>
        <w:t xml:space="preserve">  For </w:t>
      </w:r>
      <w:r w:rsidR="00B77793" w:rsidRPr="007577D5">
        <w:rPr>
          <w:rFonts w:ascii="Times New Roman" w:hAnsi="Times New Roman"/>
          <w:sz w:val="22"/>
          <w:szCs w:val="22"/>
        </w:rPr>
        <w:t>all credit assistance</w:t>
      </w:r>
      <w:r w:rsidR="00B77793" w:rsidRPr="007577D5">
        <w:rPr>
          <w:rFonts w:ascii="Times New Roman" w:hAnsi="Times New Roman"/>
          <w:color w:val="auto"/>
          <w:sz w:val="22"/>
          <w:szCs w:val="22"/>
        </w:rPr>
        <w:t>, the DOT will disburse funds only to reimburse eligible project costs.</w:t>
      </w:r>
      <w:r w:rsidR="00EC6C91">
        <w:rPr>
          <w:rStyle w:val="FootnoteReference"/>
          <w:rFonts w:cs="Arial"/>
          <w:color w:val="auto"/>
          <w:sz w:val="22"/>
          <w:szCs w:val="22"/>
        </w:rPr>
        <w:footnoteReference w:id="10"/>
      </w:r>
      <w:r w:rsidR="00B77793" w:rsidRPr="007577D5">
        <w:rPr>
          <w:rFonts w:ascii="Times New Roman" w:hAnsi="Times New Roman"/>
          <w:color w:val="auto"/>
          <w:sz w:val="22"/>
          <w:szCs w:val="22"/>
        </w:rPr>
        <w:t xml:space="preserve"> </w:t>
      </w:r>
    </w:p>
    <w:p w:rsidR="00B77793" w:rsidRPr="007577D5" w:rsidRDefault="00B77793" w:rsidP="00445BAA">
      <w:pPr>
        <w:pStyle w:val="CM6"/>
        <w:keepNext/>
        <w:keepLines/>
        <w:widowControl/>
        <w:spacing w:line="271" w:lineRule="atLeast"/>
        <w:jc w:val="both"/>
        <w:rPr>
          <w:rFonts w:ascii="Times New Roman" w:hAnsi="Times New Roman"/>
          <w:sz w:val="22"/>
          <w:szCs w:val="22"/>
        </w:rPr>
      </w:pPr>
      <w:r w:rsidRPr="007577D5">
        <w:rPr>
          <w:rFonts w:ascii="Times New Roman" w:hAnsi="Times New Roman"/>
          <w:sz w:val="22"/>
          <w:szCs w:val="22"/>
        </w:rPr>
        <w:t xml:space="preserve">Exhibit 1-A shows each of these seven steps as a flow chart. </w:t>
      </w:r>
    </w:p>
    <w:p w:rsidR="00B77793" w:rsidRPr="00C320D8" w:rsidRDefault="00B77793" w:rsidP="00445BAA">
      <w:pPr>
        <w:pStyle w:val="TIFIATableTitle"/>
        <w:keepLines/>
        <w:widowControl/>
        <w:spacing w:before="0" w:after="240"/>
        <w:outlineLvl w:val="0"/>
        <w:rPr>
          <w:rFonts w:ascii="Times New Roman" w:hAnsi="Times New Roman"/>
          <w:sz w:val="22"/>
          <w:szCs w:val="22"/>
        </w:rPr>
      </w:pPr>
      <w:r w:rsidRPr="00C320D8">
        <w:rPr>
          <w:rFonts w:ascii="Times New Roman" w:hAnsi="Times New Roman"/>
          <w:sz w:val="22"/>
          <w:szCs w:val="22"/>
        </w:rPr>
        <w:t xml:space="preserve">Exhibit 1-A:  Selection and Funding of TIFIA Projects </w:t>
      </w:r>
    </w:p>
    <w:p w:rsidR="00B77793" w:rsidRDefault="00B77793" w:rsidP="0022318E">
      <w:pPr>
        <w:pStyle w:val="TIFIATableTitle"/>
        <w:widowControl/>
        <w:spacing w:before="0" w:after="240"/>
        <w:jc w:val="left"/>
        <w:outlineLvl w:val="0"/>
        <w:rPr>
          <w:u w:val="none"/>
        </w:rPr>
      </w:pPr>
    </w:p>
    <w:p w:rsidR="0022318E" w:rsidRDefault="009A13F1" w:rsidP="0092079F">
      <w:pPr>
        <w:pStyle w:val="TIFIATableTitle"/>
        <w:widowControl/>
        <w:spacing w:before="0" w:after="240"/>
        <w:outlineLvl w:val="0"/>
        <w:rPr>
          <w:u w:val="none"/>
        </w:rPr>
      </w:pPr>
      <w:r>
        <w:rPr>
          <w:noProof/>
        </w:rPr>
        <w:drawing>
          <wp:inline distT="0" distB="0" distL="0" distR="0" wp14:anchorId="4E14C053" wp14:editId="0D231529">
            <wp:extent cx="5257800" cy="291302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0" cy="2913023"/>
                    </a:xfrm>
                    <a:prstGeom prst="rect">
                      <a:avLst/>
                    </a:prstGeom>
                    <a:noFill/>
                  </pic:spPr>
                </pic:pic>
              </a:graphicData>
            </a:graphic>
          </wp:inline>
        </w:drawing>
      </w:r>
    </w:p>
    <w:p w:rsidR="0022318E" w:rsidRPr="001E39FC" w:rsidRDefault="0022318E" w:rsidP="0092079F">
      <w:pPr>
        <w:pStyle w:val="TIFIATableTitle"/>
        <w:widowControl/>
        <w:spacing w:before="0" w:after="240"/>
        <w:outlineLvl w:val="0"/>
        <w:rPr>
          <w:u w:val="none"/>
        </w:rPr>
      </w:pPr>
    </w:p>
    <w:p w:rsidR="00FF624B" w:rsidRDefault="00FF624B">
      <w:pPr>
        <w:pStyle w:val="Default"/>
        <w:widowControl/>
        <w:jc w:val="both"/>
        <w:rPr>
          <w:color w:val="auto"/>
        </w:rPr>
      </w:pPr>
    </w:p>
    <w:p w:rsidR="00B77793" w:rsidRDefault="00B77793">
      <w:pPr>
        <w:pStyle w:val="TIFIATableTitle"/>
        <w:widowControl/>
        <w:spacing w:before="0" w:after="240"/>
        <w:sectPr w:rsidR="00B77793">
          <w:headerReference w:type="even" r:id="rId18"/>
          <w:headerReference w:type="first" r:id="rId19"/>
          <w:footerReference w:type="first" r:id="rId20"/>
          <w:endnotePr>
            <w:numFmt w:val="decimal"/>
          </w:endnotePr>
          <w:pgSz w:w="12240" w:h="15840"/>
          <w:pgMar w:top="1440" w:right="1440" w:bottom="1440" w:left="2520" w:header="720" w:footer="720" w:gutter="0"/>
          <w:pgNumType w:start="1"/>
          <w:cols w:space="720"/>
          <w:titlePg/>
        </w:sectPr>
      </w:pPr>
    </w:p>
    <w:p w:rsidR="00B77793" w:rsidRDefault="00B77793">
      <w:pPr>
        <w:pStyle w:val="TIFIAChapterTitle"/>
        <w:widowControl/>
        <w:spacing w:after="240"/>
        <w:ind w:left="2160" w:hanging="2160"/>
        <w:outlineLvl w:val="0"/>
      </w:pPr>
      <w:r>
        <w:lastRenderedPageBreak/>
        <w:t>Chapter 2: Terms and Funding of Credit Instruments</w:t>
      </w:r>
    </w:p>
    <w:p w:rsidR="00B77793" w:rsidRDefault="00B77793">
      <w:pPr>
        <w:pStyle w:val="TIFIABodyText"/>
        <w:widowControl/>
        <w:spacing w:line="271" w:lineRule="exact"/>
      </w:pPr>
      <w:r>
        <w:t xml:space="preserve">The TIFIA </w:t>
      </w:r>
      <w:r w:rsidR="00377A0F">
        <w:t>P</w:t>
      </w:r>
      <w:r>
        <w:t xml:space="preserve">rogram’s secured (direct) loans, loan guarantees, and standby lines of credit may offer more flexible repayment terms and more favorable interest rates compared to other lenders.  This chapter summarizes the terms that apply generally to TIFIA credit assistance and describes the major features of each credit instrument.  A section on loan repayment and prepayment structuring provides information on financing structures and related repayment issues that may arise during negotiations.  The chapter also provides an explanation of the funding controls that govern the amount of credit assistance available under the TIFIA </w:t>
      </w:r>
      <w:r w:rsidR="00EA6FF2">
        <w:t>Program</w:t>
      </w:r>
      <w:r>
        <w:t>.</w:t>
      </w:r>
    </w:p>
    <w:p w:rsidR="00B77793" w:rsidRDefault="00B77793">
      <w:pPr>
        <w:pStyle w:val="TIFIAHeading1a"/>
        <w:widowControl/>
        <w:spacing w:before="0"/>
        <w:jc w:val="both"/>
        <w:outlineLvl w:val="0"/>
      </w:pPr>
      <w:r>
        <w:t>Section 2-1</w:t>
      </w:r>
    </w:p>
    <w:p w:rsidR="00B77793" w:rsidRDefault="00B77793">
      <w:pPr>
        <w:pStyle w:val="TIFIAHeading1b"/>
        <w:widowControl/>
        <w:spacing w:after="240"/>
        <w:jc w:val="both"/>
        <w:outlineLvl w:val="0"/>
      </w:pPr>
      <w:r>
        <w:t xml:space="preserve">Summary of Basic Terms for TIFIA Credit Assistance </w:t>
      </w:r>
    </w:p>
    <w:p w:rsidR="00B77793" w:rsidRDefault="00B77793">
      <w:pPr>
        <w:pStyle w:val="TIFIABodyText"/>
        <w:widowControl/>
        <w:spacing w:line="271" w:lineRule="exact"/>
      </w:pPr>
      <w:r>
        <w:t xml:space="preserve">Certain features of TIFIA credit assistance are the same regardless of whether the credit instrument is a secured loan, loan guarantee, or line of credit.  For example, the maximum maturity of all TIFIA credit instruments is </w:t>
      </w:r>
      <w:r w:rsidR="00377A0F">
        <w:t xml:space="preserve">the </w:t>
      </w:r>
      <w:r w:rsidR="00EC6C91">
        <w:t>lesser</w:t>
      </w:r>
      <w:r w:rsidR="00377A0F">
        <w:t xml:space="preserve"> of: </w:t>
      </w:r>
      <w:r w:rsidR="00EC6C91">
        <w:t>(</w:t>
      </w:r>
      <w:proofErr w:type="spellStart"/>
      <w:r w:rsidR="00377A0F">
        <w:t>i</w:t>
      </w:r>
      <w:proofErr w:type="spellEnd"/>
      <w:r w:rsidR="00377A0F">
        <w:t xml:space="preserve">) </w:t>
      </w:r>
      <w:r>
        <w:t>35 years after a project’s substantial completion</w:t>
      </w:r>
      <w:r w:rsidR="00377A0F">
        <w:t xml:space="preserve"> or </w:t>
      </w:r>
      <w:r w:rsidR="00EC6C91">
        <w:t>(</w:t>
      </w:r>
      <w:r w:rsidR="00377A0F">
        <w:t>ii) the useful life of the project being financed by TIFIA</w:t>
      </w:r>
      <w:r>
        <w:t>.</w:t>
      </w:r>
      <w:r w:rsidR="00EC6C91">
        <w:rPr>
          <w:rStyle w:val="FootnoteReference"/>
        </w:rPr>
        <w:footnoteReference w:id="11"/>
      </w:r>
      <w:r>
        <w:t xml:space="preserve">  </w:t>
      </w:r>
      <w:r>
        <w:rPr>
          <w:szCs w:val="22"/>
        </w:rPr>
        <w:t>T</w:t>
      </w:r>
      <w:r w:rsidRPr="00DF481E">
        <w:rPr>
          <w:szCs w:val="22"/>
        </w:rPr>
        <w:t>he DOT</w:t>
      </w:r>
      <w:r>
        <w:rPr>
          <w:szCs w:val="22"/>
        </w:rPr>
        <w:t>,</w:t>
      </w:r>
      <w:r w:rsidRPr="00DF481E">
        <w:rPr>
          <w:szCs w:val="22"/>
        </w:rPr>
        <w:t xml:space="preserve"> </w:t>
      </w:r>
      <w:r>
        <w:rPr>
          <w:szCs w:val="22"/>
        </w:rPr>
        <w:t xml:space="preserve">at its discretion, has the ability to </w:t>
      </w:r>
      <w:r w:rsidRPr="00DF481E">
        <w:rPr>
          <w:szCs w:val="22"/>
        </w:rPr>
        <w:t xml:space="preserve">defer the first TIFIA payment </w:t>
      </w:r>
      <w:r w:rsidR="00377A0F">
        <w:rPr>
          <w:szCs w:val="22"/>
        </w:rPr>
        <w:t xml:space="preserve">up to </w:t>
      </w:r>
      <w:r w:rsidRPr="00DF481E">
        <w:rPr>
          <w:szCs w:val="22"/>
        </w:rPr>
        <w:t>five years after substantial completion</w:t>
      </w:r>
      <w:r>
        <w:rPr>
          <w:szCs w:val="22"/>
        </w:rPr>
        <w:t>, depending on the needs of the project</w:t>
      </w:r>
      <w:r w:rsidRPr="00DF481E">
        <w:rPr>
          <w:szCs w:val="22"/>
        </w:rPr>
        <w:t>.</w:t>
      </w:r>
      <w:r w:rsidR="00531866">
        <w:rPr>
          <w:rStyle w:val="FootnoteReference"/>
          <w:szCs w:val="22"/>
        </w:rPr>
        <w:footnoteReference w:id="12"/>
      </w:r>
      <w:r w:rsidRPr="00DF481E">
        <w:rPr>
          <w:szCs w:val="22"/>
        </w:rPr>
        <w:t xml:space="preserve">  </w:t>
      </w:r>
      <w:r>
        <w:t>Exhibit 2-A provides an illustrative TIFIA repayment structure for any of the three credit instruments.</w:t>
      </w:r>
    </w:p>
    <w:p w:rsidR="00C320D8" w:rsidRDefault="00045092" w:rsidP="00BC75C4">
      <w:pPr>
        <w:pStyle w:val="TIFIATableTitle"/>
        <w:keepNext w:val="0"/>
        <w:widowControl/>
        <w:spacing w:before="0" w:after="240"/>
        <w:rPr>
          <w:rFonts w:ascii="Times New Roman" w:hAnsi="Times New Roman"/>
          <w:sz w:val="22"/>
          <w:szCs w:val="22"/>
        </w:rPr>
      </w:pPr>
      <w:r w:rsidRPr="00C320D8">
        <w:rPr>
          <w:rFonts w:ascii="Times New Roman" w:hAnsi="Times New Roman"/>
          <w:noProof/>
          <w:sz w:val="22"/>
          <w:szCs w:val="22"/>
        </w:rPr>
        <w:drawing>
          <wp:anchor distT="0" distB="0" distL="114300" distR="114300" simplePos="0" relativeHeight="251656704" behindDoc="0" locked="0" layoutInCell="1" allowOverlap="1" wp14:anchorId="15EF73AE" wp14:editId="1E358D04">
            <wp:simplePos x="0" y="0"/>
            <wp:positionH relativeFrom="column">
              <wp:posOffset>-62865</wp:posOffset>
            </wp:positionH>
            <wp:positionV relativeFrom="paragraph">
              <wp:posOffset>313690</wp:posOffset>
            </wp:positionV>
            <wp:extent cx="5481955" cy="2985135"/>
            <wp:effectExtent l="0" t="0" r="4445"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81955" cy="2985135"/>
                    </a:xfrm>
                    <a:prstGeom prst="rect">
                      <a:avLst/>
                    </a:prstGeom>
                    <a:noFill/>
                  </pic:spPr>
                </pic:pic>
              </a:graphicData>
            </a:graphic>
            <wp14:sizeRelH relativeFrom="page">
              <wp14:pctWidth>0</wp14:pctWidth>
            </wp14:sizeRelH>
            <wp14:sizeRelV relativeFrom="page">
              <wp14:pctHeight>0</wp14:pctHeight>
            </wp14:sizeRelV>
          </wp:anchor>
        </w:drawing>
      </w:r>
      <w:r w:rsidR="00B77793" w:rsidRPr="00C320D8">
        <w:rPr>
          <w:rFonts w:ascii="Times New Roman" w:hAnsi="Times New Roman"/>
          <w:sz w:val="22"/>
          <w:szCs w:val="22"/>
        </w:rPr>
        <w:t>Exhibit 2-A: Illustrative TIFIA Repayment Structure as Permitted by Statute</w:t>
      </w:r>
    </w:p>
    <w:p w:rsidR="00B77793" w:rsidRPr="00C320D8" w:rsidRDefault="005029D7" w:rsidP="00BC75C4">
      <w:pPr>
        <w:pStyle w:val="TIFIATableTitle"/>
        <w:keepNext w:val="0"/>
        <w:widowControl/>
        <w:spacing w:before="0" w:after="240"/>
        <w:jc w:val="left"/>
        <w:rPr>
          <w:rFonts w:ascii="Times New Roman" w:hAnsi="Times New Roman"/>
          <w:sz w:val="22"/>
          <w:szCs w:val="22"/>
          <w:u w:val="none"/>
        </w:rPr>
      </w:pPr>
      <w:r w:rsidRPr="00C320D8">
        <w:rPr>
          <w:u w:val="none"/>
        </w:rPr>
        <w:tab/>
      </w:r>
    </w:p>
    <w:p w:rsidR="00B77793" w:rsidRDefault="009B388E">
      <w:pPr>
        <w:pStyle w:val="TIFIABodyText"/>
        <w:widowControl/>
        <w:spacing w:line="271" w:lineRule="exact"/>
      </w:pPr>
      <w:r>
        <w:lastRenderedPageBreak/>
        <w:t>T</w:t>
      </w:r>
      <w:r w:rsidR="00B77793">
        <w:t xml:space="preserve">he TIFIA credit instrument </w:t>
      </w:r>
      <w:r>
        <w:t>can</w:t>
      </w:r>
      <w:r w:rsidR="00B77793">
        <w:t xml:space="preserve"> be junior (</w:t>
      </w:r>
      <w:r w:rsidR="00B77793">
        <w:rPr>
          <w:i/>
        </w:rPr>
        <w:t xml:space="preserve">i.e., </w:t>
      </w:r>
      <w:r w:rsidR="00B77793">
        <w:t xml:space="preserve">subordinate) to the project’s </w:t>
      </w:r>
      <w:r w:rsidR="00377A0F">
        <w:t xml:space="preserve">other </w:t>
      </w:r>
      <w:r w:rsidR="00B77793">
        <w:t xml:space="preserve">debt </w:t>
      </w:r>
      <w:r w:rsidR="00377A0F">
        <w:t xml:space="preserve">obligations </w:t>
      </w:r>
      <w:r w:rsidR="00B77793">
        <w:t xml:space="preserve">in the priority of its lien on the project’s cash flow.  However, in the event of bankruptcy, insolvency, or liquidation, the DOT is required by statute to have a parity lien with respect to </w:t>
      </w:r>
      <w:r w:rsidR="002213DC">
        <w:t xml:space="preserve">the project’s senior </w:t>
      </w:r>
      <w:r w:rsidR="00B77793">
        <w:t>creditors.</w:t>
      </w:r>
      <w:r w:rsidR="002213DC">
        <w:rPr>
          <w:rStyle w:val="FootnoteReference"/>
        </w:rPr>
        <w:footnoteReference w:id="13"/>
      </w:r>
      <w:r w:rsidR="00B77793">
        <w:t xml:space="preserve">  The </w:t>
      </w:r>
      <w:r w:rsidR="0044162A">
        <w:t>c</w:t>
      </w:r>
      <w:r w:rsidR="00EA6FF2">
        <w:t xml:space="preserve">redit </w:t>
      </w:r>
      <w:r w:rsidR="0044162A">
        <w:t>a</w:t>
      </w:r>
      <w:r w:rsidR="00EA6FF2">
        <w:t xml:space="preserve">greement </w:t>
      </w:r>
      <w:r w:rsidR="00B77793">
        <w:t>will clearly specify the DOT’s interest in the pledged security relative to other creditors.</w:t>
      </w:r>
      <w:r w:rsidR="00525C5B" w:rsidRPr="00DC51F9">
        <w:rPr>
          <w:rStyle w:val="FootnoteReference"/>
          <w:szCs w:val="24"/>
        </w:rPr>
        <w:footnoteReference w:id="14"/>
      </w:r>
      <w:r w:rsidR="00B77793">
        <w:t xml:space="preserve"> </w:t>
      </w:r>
    </w:p>
    <w:p w:rsidR="00B77793" w:rsidRDefault="00B77793">
      <w:pPr>
        <w:pStyle w:val="TIFIABodyText"/>
        <w:widowControl/>
        <w:spacing w:line="271" w:lineRule="exact"/>
      </w:pPr>
      <w:r>
        <w:t xml:space="preserve">The TIFIA statute places two other important limits on the </w:t>
      </w:r>
      <w:r w:rsidR="00EA6FF2">
        <w:t xml:space="preserve">Federal </w:t>
      </w:r>
      <w:r>
        <w:t xml:space="preserve">Government’s exposure to credit risk.  First, TIFIA </w:t>
      </w:r>
      <w:r w:rsidR="008550D5">
        <w:t xml:space="preserve">credit </w:t>
      </w:r>
      <w:r>
        <w:t xml:space="preserve">assistance </w:t>
      </w:r>
      <w:r w:rsidR="000C30E5">
        <w:t xml:space="preserve">is limited to </w:t>
      </w:r>
      <w:r w:rsidR="007478FF">
        <w:t xml:space="preserve">no more than </w:t>
      </w:r>
      <w:r w:rsidR="000C30E5">
        <w:t>49 percent of reasonably anticipated eligible project costs for a TIFIA secured loan</w:t>
      </w:r>
      <w:r w:rsidR="00B3689E">
        <w:t xml:space="preserve"> or loan guarantee</w:t>
      </w:r>
      <w:r w:rsidR="000C30E5">
        <w:t xml:space="preserve"> and </w:t>
      </w:r>
      <w:r w:rsidR="007478FF">
        <w:t xml:space="preserve">no more than </w:t>
      </w:r>
      <w:r w:rsidR="000C30E5">
        <w:t>33 percent of reasonably anticipated eligible project costs for a TIFIA standby line of credit</w:t>
      </w:r>
      <w:r>
        <w:t>.</w:t>
      </w:r>
      <w:r w:rsidR="007B6E2B" w:rsidRPr="00942060">
        <w:rPr>
          <w:rStyle w:val="FootnoteReference"/>
        </w:rPr>
        <w:footnoteReference w:id="15"/>
      </w:r>
      <w:r w:rsidR="007B6E2B" w:rsidRPr="00B714E8">
        <w:t xml:space="preserve"> </w:t>
      </w:r>
      <w:r>
        <w:t xml:space="preserve"> This is </w:t>
      </w:r>
      <w:r w:rsidR="00EA6FF2">
        <w:t xml:space="preserve">designed </w:t>
      </w:r>
      <w:r>
        <w:t xml:space="preserve">to ensure that the DOT shares the credit risk with other participants.  Second, the applicant must obtain </w:t>
      </w:r>
      <w:r w:rsidR="00942060">
        <w:t>two</w:t>
      </w:r>
      <w:r>
        <w:t xml:space="preserve"> investment-grade rating</w:t>
      </w:r>
      <w:r w:rsidR="007478FF">
        <w:t>s</w:t>
      </w:r>
      <w:r>
        <w:t xml:space="preserve"> (Baa3/BBB-</w:t>
      </w:r>
      <w:r w:rsidR="00560A9B">
        <w:t xml:space="preserve"> </w:t>
      </w:r>
      <w:r>
        <w:t xml:space="preserve">or higher) on the senior debt obligations and </w:t>
      </w:r>
      <w:r w:rsidR="007478FF">
        <w:t>two</w:t>
      </w:r>
      <w:r w:rsidR="0006423C">
        <w:t xml:space="preserve"> </w:t>
      </w:r>
      <w:r>
        <w:t>rating</w:t>
      </w:r>
      <w:r w:rsidR="007478FF">
        <w:t>s</w:t>
      </w:r>
      <w:r>
        <w:t xml:space="preserve"> on the TIFIA credit instrument, both from a </w:t>
      </w:r>
      <w:r w:rsidR="008927A8">
        <w:t>Credit Rating Agency</w:t>
      </w:r>
      <w:r>
        <w:t>, in order to execute a TIFIA credit agreement.</w:t>
      </w:r>
      <w:r w:rsidR="007B6E2B" w:rsidRPr="005029D7">
        <w:rPr>
          <w:rStyle w:val="FootnoteReference"/>
        </w:rPr>
        <w:footnoteReference w:id="16"/>
      </w:r>
      <w:r w:rsidRPr="005029D7">
        <w:t xml:space="preserve"> </w:t>
      </w:r>
      <w:r>
        <w:t xml:space="preserve"> If TIFIA is the </w:t>
      </w:r>
      <w:r w:rsidR="00690986">
        <w:t>senior</w:t>
      </w:r>
      <w:r w:rsidR="00727953">
        <w:t xml:space="preserve"> and/or </w:t>
      </w:r>
      <w:r w:rsidR="00C0647A">
        <w:t xml:space="preserve">the </w:t>
      </w:r>
      <w:r w:rsidR="00727953">
        <w:t>only</w:t>
      </w:r>
      <w:r>
        <w:t xml:space="preserve"> debt in the project, then </w:t>
      </w:r>
      <w:r w:rsidR="00C0647A">
        <w:t xml:space="preserve">it must receive two </w:t>
      </w:r>
      <w:r>
        <w:t>investment grade</w:t>
      </w:r>
      <w:r w:rsidR="00C0647A">
        <w:t xml:space="preserve"> ratings</w:t>
      </w:r>
      <w:r>
        <w:t>.</w:t>
      </w:r>
      <w:r w:rsidR="007B6E2B">
        <w:rPr>
          <w:rStyle w:val="FootnoteReference"/>
        </w:rPr>
        <w:footnoteReference w:id="17"/>
      </w:r>
      <w:r>
        <w:t xml:space="preserve"> </w:t>
      </w:r>
      <w:r w:rsidR="007B6E2B">
        <w:t xml:space="preserve"> </w:t>
      </w:r>
      <w:r w:rsidR="003E4EE1">
        <w:rPr>
          <w:szCs w:val="22"/>
        </w:rPr>
        <w:t xml:space="preserve">If the total amount of debt in the project is less than $75 million, then the applicant must obtain only one investment-grade rating on the senior obligations and </w:t>
      </w:r>
      <w:r w:rsidR="00C0647A">
        <w:rPr>
          <w:szCs w:val="22"/>
        </w:rPr>
        <w:t xml:space="preserve">one rating on the </w:t>
      </w:r>
      <w:r w:rsidR="003E4EE1">
        <w:rPr>
          <w:szCs w:val="22"/>
        </w:rPr>
        <w:t>TIFIA credit instrument from a</w:t>
      </w:r>
      <w:r w:rsidR="007B6E2B">
        <w:rPr>
          <w:szCs w:val="22"/>
        </w:rPr>
        <w:t xml:space="preserve"> Credit Rating Agency</w:t>
      </w:r>
      <w:r w:rsidR="003E4EE1">
        <w:rPr>
          <w:szCs w:val="22"/>
        </w:rPr>
        <w:t>.</w:t>
      </w:r>
      <w:r w:rsidR="007B6E2B">
        <w:rPr>
          <w:rStyle w:val="FootnoteReference"/>
          <w:szCs w:val="22"/>
        </w:rPr>
        <w:footnoteReference w:id="18"/>
      </w:r>
      <w:r w:rsidR="003E4EE1">
        <w:rPr>
          <w:szCs w:val="22"/>
        </w:rPr>
        <w:t xml:space="preserve"> </w:t>
      </w:r>
      <w:r w:rsidR="003E4EE1">
        <w:t xml:space="preserve"> </w:t>
      </w:r>
      <w:r>
        <w:t>Chapter 3 provides further details on eligible project costs and credit ratings.</w:t>
      </w:r>
    </w:p>
    <w:p w:rsidR="00B77793" w:rsidRDefault="00B77793">
      <w:pPr>
        <w:pStyle w:val="TIFIAHeading1a"/>
        <w:widowControl/>
        <w:spacing w:before="0"/>
        <w:jc w:val="both"/>
        <w:outlineLvl w:val="0"/>
      </w:pPr>
      <w:r>
        <w:t>Section 2-2</w:t>
      </w:r>
    </w:p>
    <w:p w:rsidR="00B77793" w:rsidRDefault="00B77793">
      <w:pPr>
        <w:pStyle w:val="TIFIAHeading1b"/>
        <w:widowControl/>
        <w:spacing w:after="240"/>
        <w:jc w:val="both"/>
        <w:outlineLvl w:val="0"/>
      </w:pPr>
      <w:r>
        <w:t>TIFIA Credit Instruments</w:t>
      </w:r>
    </w:p>
    <w:p w:rsidR="00B77793" w:rsidRDefault="00BC1E73">
      <w:pPr>
        <w:pStyle w:val="TIFIABodyText"/>
        <w:widowControl/>
        <w:spacing w:line="271" w:lineRule="exact"/>
      </w:pPr>
      <w:r>
        <w:t>T</w:t>
      </w:r>
      <w:r w:rsidR="00B77793">
        <w:t xml:space="preserve">he main features of TIFIA secured loans, loan guarantees, and lines of credit </w:t>
      </w:r>
      <w:r>
        <w:t>are summarized below</w:t>
      </w:r>
      <w:r w:rsidR="00B77793">
        <w:t xml:space="preserve">.  These features are established by statute.  This section also addresses the rules that govern the setting of interest rates, disbursement of funds, and repayment of the TIFIA debt. </w:t>
      </w:r>
    </w:p>
    <w:p w:rsidR="00B77793" w:rsidRDefault="00B77793" w:rsidP="0070290F">
      <w:pPr>
        <w:pStyle w:val="TIFIAHeading2"/>
        <w:widowControl/>
        <w:spacing w:line="271" w:lineRule="atLeast"/>
        <w:jc w:val="both"/>
        <w:outlineLvl w:val="0"/>
      </w:pPr>
      <w:r>
        <w:t>Secured Loans (23 U.S.C. §603)</w:t>
      </w:r>
    </w:p>
    <w:p w:rsidR="00B77793" w:rsidRPr="004D692A" w:rsidRDefault="00B77793" w:rsidP="0070290F">
      <w:pPr>
        <w:pStyle w:val="TIFIABodyText"/>
        <w:widowControl/>
        <w:spacing w:line="271" w:lineRule="atLeast"/>
        <w:rPr>
          <w:szCs w:val="22"/>
        </w:rPr>
      </w:pPr>
      <w:r w:rsidRPr="004D692A">
        <w:rPr>
          <w:szCs w:val="22"/>
        </w:rPr>
        <w:t>A TIFIA secured loan is a debt obligation involving the DOT as the lender and a non-Federal entity as the borrower.  Actual terms and conditions will be negotiated between the DOT and the borrower, but the general characteristics include:</w:t>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bookmarkStart w:id="9" w:name="OLE_LINK29"/>
      <w:bookmarkStart w:id="10" w:name="OLE_LINK30"/>
      <w:r w:rsidRPr="004D692A">
        <w:rPr>
          <w:szCs w:val="22"/>
          <w:u w:val="single"/>
        </w:rPr>
        <w:lastRenderedPageBreak/>
        <w:t>Use of Proceeds</w:t>
      </w:r>
      <w:r w:rsidRPr="004D692A">
        <w:rPr>
          <w:szCs w:val="22"/>
        </w:rPr>
        <w:t>.  The proceeds of a secured loan must be used either to finance eligible project costs or to refinance</w:t>
      </w:r>
      <w:r w:rsidR="008B32E0">
        <w:rPr>
          <w:szCs w:val="22"/>
        </w:rPr>
        <w:t xml:space="preserve"> (</w:t>
      </w:r>
      <w:proofErr w:type="spellStart"/>
      <w:r w:rsidR="008B32E0">
        <w:rPr>
          <w:szCs w:val="22"/>
        </w:rPr>
        <w:t>i</w:t>
      </w:r>
      <w:proofErr w:type="spellEnd"/>
      <w:r w:rsidR="008B32E0">
        <w:rPr>
          <w:szCs w:val="22"/>
        </w:rPr>
        <w:t>)</w:t>
      </w:r>
      <w:r w:rsidRPr="004D692A">
        <w:rPr>
          <w:szCs w:val="22"/>
        </w:rPr>
        <w:t xml:space="preserve"> interim construction financing of eligible project costs</w:t>
      </w:r>
      <w:r w:rsidR="008B32E0">
        <w:rPr>
          <w:szCs w:val="22"/>
        </w:rPr>
        <w:t>; (ii) existing Federal credit instruments for rural infrastructure projects; or (iii) long-term project obligations or Federal credit instruments if the refinancing provides additional funding capacity for the completion, enhancement, or expansion of an eligible project</w:t>
      </w:r>
      <w:r w:rsidRPr="004D692A">
        <w:rPr>
          <w:szCs w:val="22"/>
        </w:rPr>
        <w:t>.</w:t>
      </w:r>
      <w:r w:rsidR="008B32E0">
        <w:rPr>
          <w:rStyle w:val="FootnoteReference"/>
          <w:szCs w:val="22"/>
        </w:rPr>
        <w:footnoteReference w:id="19"/>
      </w:r>
      <w:r w:rsidRPr="004D692A">
        <w:rPr>
          <w:szCs w:val="22"/>
        </w:rPr>
        <w:t xml:space="preserve">  In the case</w:t>
      </w:r>
      <w:r w:rsidR="008B32E0">
        <w:rPr>
          <w:szCs w:val="22"/>
        </w:rPr>
        <w:t xml:space="preserve"> of refinancing </w:t>
      </w:r>
      <w:r w:rsidR="008B32E0" w:rsidRPr="004D692A">
        <w:rPr>
          <w:szCs w:val="22"/>
        </w:rPr>
        <w:t>interim construction financing</w:t>
      </w:r>
      <w:r w:rsidRPr="004D692A">
        <w:rPr>
          <w:szCs w:val="22"/>
        </w:rPr>
        <w:t>, the DOT loan may refinance existing debt no later than one year following substantial completion of the project.</w:t>
      </w:r>
      <w:r w:rsidRPr="004D692A">
        <w:rPr>
          <w:rStyle w:val="FootnoteReference"/>
          <w:sz w:val="22"/>
          <w:szCs w:val="22"/>
        </w:rPr>
        <w:footnoteReference w:id="20"/>
      </w:r>
      <w:r w:rsidRPr="004D692A">
        <w:rPr>
          <w:szCs w:val="22"/>
        </w:rPr>
        <w:t xml:space="preserve">  </w:t>
      </w:r>
      <w:bookmarkEnd w:id="9"/>
      <w:bookmarkEnd w:id="10"/>
    </w:p>
    <w:p w:rsidR="00B77793" w:rsidRPr="00A40BD7"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A40BD7">
        <w:rPr>
          <w:szCs w:val="22"/>
          <w:u w:val="single"/>
        </w:rPr>
        <w:t>Amount</w:t>
      </w:r>
      <w:r w:rsidRPr="00A40BD7">
        <w:rPr>
          <w:szCs w:val="22"/>
        </w:rPr>
        <w:t xml:space="preserve">.  The principal amount of a secured loan (in combination with other TIFIA credit assistance, if any) may not exceed </w:t>
      </w:r>
      <w:r w:rsidR="00761FB4" w:rsidRPr="00A40BD7">
        <w:rPr>
          <w:szCs w:val="22"/>
        </w:rPr>
        <w:t>49</w:t>
      </w:r>
      <w:r w:rsidRPr="00A40BD7">
        <w:rPr>
          <w:szCs w:val="22"/>
        </w:rPr>
        <w:t xml:space="preserve"> percent of the reasonably anticipated eligible project costs.</w:t>
      </w:r>
      <w:r w:rsidR="00954726" w:rsidRPr="00D62BF5">
        <w:rPr>
          <w:rStyle w:val="FootnoteReference"/>
          <w:szCs w:val="24"/>
        </w:rPr>
        <w:footnoteReference w:id="21"/>
      </w:r>
      <w:r w:rsidRPr="00A40BD7">
        <w:rPr>
          <w:szCs w:val="22"/>
        </w:rPr>
        <w:t xml:space="preserve">  </w:t>
      </w:r>
      <w:r w:rsidR="00C234B0" w:rsidRPr="00A40BD7">
        <w:rPr>
          <w:szCs w:val="22"/>
        </w:rPr>
        <w:t xml:space="preserve">To date, TIFIA </w:t>
      </w:r>
      <w:r w:rsidR="003A4B1E" w:rsidRPr="00A40BD7">
        <w:rPr>
          <w:szCs w:val="22"/>
        </w:rPr>
        <w:t>secured loans</w:t>
      </w:r>
      <w:r w:rsidR="00C234B0" w:rsidRPr="00A40BD7">
        <w:rPr>
          <w:szCs w:val="22"/>
        </w:rPr>
        <w:t xml:space="preserve"> have only </w:t>
      </w:r>
      <w:r w:rsidR="003A4B1E" w:rsidRPr="00A40BD7">
        <w:rPr>
          <w:szCs w:val="22"/>
        </w:rPr>
        <w:t>covered up to</w:t>
      </w:r>
      <w:r w:rsidR="00C234B0" w:rsidRPr="00A40BD7">
        <w:rPr>
          <w:szCs w:val="22"/>
        </w:rPr>
        <w:t xml:space="preserve"> 33 percent of reasonably anticipated eligible project costs and </w:t>
      </w:r>
      <w:r w:rsidR="00176DAE" w:rsidRPr="00A40BD7">
        <w:rPr>
          <w:szCs w:val="22"/>
        </w:rPr>
        <w:t xml:space="preserve">applicants </w:t>
      </w:r>
      <w:r w:rsidR="00176DAE">
        <w:rPr>
          <w:szCs w:val="22"/>
        </w:rPr>
        <w:t xml:space="preserve">requesting assistance in excess of this amount must </w:t>
      </w:r>
      <w:r w:rsidR="00176DAE" w:rsidRPr="00A40BD7">
        <w:rPr>
          <w:szCs w:val="22"/>
        </w:rPr>
        <w:t xml:space="preserve">provide a </w:t>
      </w:r>
      <w:r w:rsidR="00176DAE">
        <w:rPr>
          <w:szCs w:val="22"/>
        </w:rPr>
        <w:t>rationale for such additional assistance</w:t>
      </w:r>
      <w:r w:rsidR="00C234B0" w:rsidRPr="00A40BD7">
        <w:rPr>
          <w:szCs w:val="22"/>
        </w:rPr>
        <w:t xml:space="preserve">.  </w:t>
      </w:r>
      <w:r w:rsidR="00A40BD7" w:rsidRPr="00A40BD7">
        <w:rPr>
          <w:szCs w:val="22"/>
        </w:rPr>
        <w:t>If the project is supported by debt senior to the TIFIA lien, the TIFIA credit instrument must be secured by the same revenues pledged to the senior debt.</w:t>
      </w:r>
      <w:r w:rsidR="00A40BD7">
        <w:rPr>
          <w:szCs w:val="22"/>
        </w:rPr>
        <w:t xml:space="preserve">  </w:t>
      </w:r>
      <w:r w:rsidRPr="00A40BD7">
        <w:rPr>
          <w:szCs w:val="22"/>
        </w:rPr>
        <w:t xml:space="preserve">If the TIFIA </w:t>
      </w:r>
      <w:r w:rsidR="000C1F5D" w:rsidRPr="00A40BD7">
        <w:rPr>
          <w:szCs w:val="22"/>
        </w:rPr>
        <w:t>secured loan</w:t>
      </w:r>
      <w:r w:rsidR="00BC1E73" w:rsidRPr="00A40BD7">
        <w:rPr>
          <w:szCs w:val="22"/>
        </w:rPr>
        <w:t xml:space="preserve"> </w:t>
      </w:r>
      <w:r w:rsidRPr="00A40BD7">
        <w:rPr>
          <w:szCs w:val="22"/>
        </w:rPr>
        <w:t xml:space="preserve">is rated below investment grade, </w:t>
      </w:r>
      <w:r w:rsidR="00BC1E73" w:rsidRPr="00A40BD7">
        <w:rPr>
          <w:szCs w:val="22"/>
        </w:rPr>
        <w:t xml:space="preserve">then </w:t>
      </w:r>
      <w:r w:rsidRPr="00A40BD7">
        <w:rPr>
          <w:szCs w:val="22"/>
        </w:rPr>
        <w:t>the amount of the TIFIA loan may not exceed the amount of the senior debt.</w:t>
      </w:r>
      <w:r w:rsidR="000622F1">
        <w:rPr>
          <w:rStyle w:val="FootnoteReference"/>
          <w:szCs w:val="22"/>
        </w:rPr>
        <w:footnoteReference w:id="22"/>
      </w:r>
      <w:r w:rsidRPr="00A40BD7">
        <w:rPr>
          <w:szCs w:val="22"/>
        </w:rPr>
        <w:t xml:space="preserve">  </w:t>
      </w:r>
    </w:p>
    <w:p w:rsidR="00673D2F"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Interest Rate</w:t>
      </w:r>
      <w:r w:rsidRPr="004D692A">
        <w:rPr>
          <w:szCs w:val="22"/>
        </w:rPr>
        <w:t>.  The interest rate on a secured loan will be equal to or greater than the yield on U.S. Treasury securities of comparable maturity on the date of execution of the credit agreement.</w:t>
      </w:r>
      <w:r w:rsidR="000622F1">
        <w:rPr>
          <w:rStyle w:val="FootnoteReference"/>
          <w:szCs w:val="22"/>
        </w:rPr>
        <w:footnoteReference w:id="23"/>
      </w:r>
      <w:r w:rsidRPr="004D692A">
        <w:rPr>
          <w:szCs w:val="22"/>
        </w:rPr>
        <w:t xml:space="preserve">  The DOT identifies the Treasury rates through use of the daily rate tables published by the Bureau of the Public Debt for the </w:t>
      </w:r>
      <w:bookmarkStart w:id="11" w:name="OLE_LINK6"/>
      <w:bookmarkStart w:id="12" w:name="OLE_LINK7"/>
      <w:r w:rsidRPr="004D692A">
        <w:rPr>
          <w:szCs w:val="22"/>
        </w:rPr>
        <w:t xml:space="preserve">State and Local Government Series </w:t>
      </w:r>
      <w:bookmarkEnd w:id="11"/>
      <w:bookmarkEnd w:id="12"/>
      <w:r w:rsidRPr="004D692A">
        <w:rPr>
          <w:szCs w:val="22"/>
        </w:rPr>
        <w:t xml:space="preserve">(SLGS) investments.  Adding one basis point to the SLGS rates produces the estimated average yields on comparable Treasury securities.  </w:t>
      </w:r>
      <w:bookmarkStart w:id="13" w:name="OLE_LINK18"/>
      <w:r w:rsidRPr="004D692A">
        <w:rPr>
          <w:szCs w:val="22"/>
        </w:rPr>
        <w:t xml:space="preserve">The SLGS tables can be found on-line at </w:t>
      </w:r>
      <w:hyperlink r:id="rId22" w:history="1">
        <w:r w:rsidRPr="00E0293F">
          <w:rPr>
            <w:rStyle w:val="Hyperlink"/>
            <w:szCs w:val="22"/>
          </w:rPr>
          <w:t>https://www.treasurydirect.gov/GA-SL/SLGS/selectSLGSDate.htm</w:t>
        </w:r>
      </w:hyperlink>
      <w:r w:rsidRPr="004D692A">
        <w:rPr>
          <w:szCs w:val="22"/>
        </w:rPr>
        <w:t>.</w:t>
      </w:r>
      <w:r>
        <w:rPr>
          <w:szCs w:val="22"/>
        </w:rPr>
        <w:t xml:space="preserve">  The daily TIFIA interest rate can be found on the TIFIA web site at </w:t>
      </w:r>
      <w:hyperlink r:id="rId23" w:history="1">
        <w:r w:rsidR="00527273" w:rsidRPr="003B3513">
          <w:rPr>
            <w:rStyle w:val="Hyperlink"/>
          </w:rPr>
          <w:t>http://www.fhwa.dot.gov/ipd/tifia</w:t>
        </w:r>
      </w:hyperlink>
      <w:r>
        <w:rPr>
          <w:szCs w:val="22"/>
        </w:rPr>
        <w:t>.</w:t>
      </w:r>
      <w:r w:rsidRPr="004D692A">
        <w:rPr>
          <w:szCs w:val="22"/>
        </w:rPr>
        <w:t xml:space="preserve">  </w:t>
      </w:r>
      <w:bookmarkEnd w:id="13"/>
      <w:r w:rsidRPr="004D692A">
        <w:rPr>
          <w:szCs w:val="22"/>
        </w:rPr>
        <w:t xml:space="preserve">Interest </w:t>
      </w:r>
      <w:r w:rsidR="001A3456">
        <w:rPr>
          <w:szCs w:val="22"/>
        </w:rPr>
        <w:t xml:space="preserve">begins to </w:t>
      </w:r>
      <w:r w:rsidRPr="004D692A">
        <w:rPr>
          <w:szCs w:val="22"/>
        </w:rPr>
        <w:t>accr</w:t>
      </w:r>
      <w:r w:rsidR="001A3456">
        <w:rPr>
          <w:szCs w:val="22"/>
        </w:rPr>
        <w:t>ue</w:t>
      </w:r>
      <w:r w:rsidRPr="004D692A">
        <w:rPr>
          <w:szCs w:val="22"/>
        </w:rPr>
        <w:t xml:space="preserve"> on TIFIA proceeds </w:t>
      </w:r>
      <w:r w:rsidR="000C1F5D">
        <w:rPr>
          <w:szCs w:val="22"/>
        </w:rPr>
        <w:t xml:space="preserve">immediately </w:t>
      </w:r>
      <w:r w:rsidRPr="004D692A">
        <w:rPr>
          <w:szCs w:val="22"/>
        </w:rPr>
        <w:t>upon disbursement of funds to the borrower</w:t>
      </w:r>
      <w:r w:rsidRPr="00B64E1A">
        <w:rPr>
          <w:szCs w:val="22"/>
        </w:rPr>
        <w:t>.</w:t>
      </w:r>
    </w:p>
    <w:p w:rsidR="00B77793" w:rsidRDefault="00673D2F" w:rsidP="00EC479F">
      <w:pPr>
        <w:pStyle w:val="TIFIABodyText"/>
        <w:widowControl/>
        <w:tabs>
          <w:tab w:val="left" w:pos="360"/>
        </w:tabs>
        <w:overflowPunct/>
        <w:autoSpaceDE/>
        <w:autoSpaceDN/>
        <w:adjustRightInd/>
        <w:spacing w:line="271" w:lineRule="atLeast"/>
        <w:ind w:left="360"/>
        <w:textAlignment w:val="auto"/>
        <w:rPr>
          <w:szCs w:val="22"/>
        </w:rPr>
      </w:pPr>
      <w:r w:rsidRPr="0051143C">
        <w:rPr>
          <w:szCs w:val="22"/>
        </w:rPr>
        <w:t>MAP-21 allows for</w:t>
      </w:r>
      <w:r w:rsidR="003B48CB">
        <w:rPr>
          <w:szCs w:val="22"/>
        </w:rPr>
        <w:t xml:space="preserve"> secured loans to be provided to rural infrastructure projects at a discounted interest rate </w:t>
      </w:r>
      <w:r w:rsidRPr="0051143C">
        <w:rPr>
          <w:szCs w:val="22"/>
        </w:rPr>
        <w:t>of one-half of the Treasury Rate.</w:t>
      </w:r>
      <w:r w:rsidR="003B48CB">
        <w:rPr>
          <w:rStyle w:val="FootnoteReference"/>
          <w:szCs w:val="22"/>
        </w:rPr>
        <w:footnoteReference w:id="24"/>
      </w:r>
      <w:r w:rsidRPr="0051143C">
        <w:rPr>
          <w:szCs w:val="22"/>
        </w:rPr>
        <w:t xml:space="preserve">  The reduced interest rate applies only to </w:t>
      </w:r>
      <w:r w:rsidR="003B48CB">
        <w:rPr>
          <w:szCs w:val="22"/>
        </w:rPr>
        <w:t>secured loans</w:t>
      </w:r>
      <w:r w:rsidR="0091342A">
        <w:rPr>
          <w:szCs w:val="22"/>
        </w:rPr>
        <w:t xml:space="preserve"> at the discounted interest rate</w:t>
      </w:r>
      <w:r w:rsidR="003B48CB">
        <w:rPr>
          <w:szCs w:val="22"/>
        </w:rPr>
        <w:t xml:space="preserve"> for </w:t>
      </w:r>
      <w:r w:rsidRPr="0051143C">
        <w:rPr>
          <w:szCs w:val="22"/>
        </w:rPr>
        <w:t xml:space="preserve">rural </w:t>
      </w:r>
      <w:r w:rsidR="003B48CB">
        <w:rPr>
          <w:szCs w:val="22"/>
        </w:rPr>
        <w:t xml:space="preserve">infrastructure </w:t>
      </w:r>
      <w:r w:rsidRPr="0051143C">
        <w:rPr>
          <w:szCs w:val="22"/>
        </w:rPr>
        <w:t xml:space="preserve">projects </w:t>
      </w:r>
      <w:r w:rsidR="003B48CB">
        <w:rPr>
          <w:szCs w:val="22"/>
        </w:rPr>
        <w:t xml:space="preserve">the subsidy cost of which is </w:t>
      </w:r>
      <w:r w:rsidRPr="0051143C">
        <w:rPr>
          <w:szCs w:val="22"/>
        </w:rPr>
        <w:t xml:space="preserve">funded </w:t>
      </w:r>
      <w:r w:rsidR="003B48CB">
        <w:rPr>
          <w:szCs w:val="22"/>
        </w:rPr>
        <w:t>out of amounts set aside from the TIFIA Program’s annual budget authority</w:t>
      </w:r>
      <w:r w:rsidR="007A4668">
        <w:rPr>
          <w:szCs w:val="22"/>
        </w:rPr>
        <w:t xml:space="preserve"> specifically for such reduced interest rate secured loans</w:t>
      </w:r>
      <w:r w:rsidR="003B48CB">
        <w:rPr>
          <w:szCs w:val="22"/>
        </w:rPr>
        <w:t>.</w:t>
      </w:r>
      <w:r w:rsidR="003B48CB">
        <w:rPr>
          <w:rStyle w:val="FootnoteReference"/>
          <w:szCs w:val="22"/>
        </w:rPr>
        <w:footnoteReference w:id="25"/>
      </w:r>
      <w:r w:rsidR="003B48CB">
        <w:rPr>
          <w:szCs w:val="22"/>
        </w:rPr>
        <w:t xml:space="preserve">  MAP-21 allows the TIFIA Program to set aside up to </w:t>
      </w:r>
      <w:r w:rsidRPr="0051143C">
        <w:rPr>
          <w:szCs w:val="22"/>
        </w:rPr>
        <w:t xml:space="preserve">10 percent of </w:t>
      </w:r>
      <w:r w:rsidR="003B48CB">
        <w:rPr>
          <w:szCs w:val="22"/>
        </w:rPr>
        <w:t xml:space="preserve">its annual </w:t>
      </w:r>
      <w:r w:rsidRPr="0051143C">
        <w:rPr>
          <w:szCs w:val="22"/>
        </w:rPr>
        <w:t xml:space="preserve">budget authority </w:t>
      </w:r>
      <w:r w:rsidR="003B48CB">
        <w:rPr>
          <w:szCs w:val="22"/>
        </w:rPr>
        <w:t>to fund the subsidy costs of secured loans to rural infrastructure projects</w:t>
      </w:r>
      <w:r w:rsidR="0091342A">
        <w:rPr>
          <w:szCs w:val="22"/>
        </w:rPr>
        <w:t xml:space="preserve"> at the reduced interest rate</w:t>
      </w:r>
      <w:r w:rsidRPr="0051143C">
        <w:rPr>
          <w:szCs w:val="22"/>
        </w:rPr>
        <w:t>.</w:t>
      </w:r>
      <w:r w:rsidR="003B48CB">
        <w:rPr>
          <w:rStyle w:val="FootnoteReference"/>
          <w:szCs w:val="22"/>
        </w:rPr>
        <w:footnoteReference w:id="26"/>
      </w:r>
      <w:r w:rsidRPr="0051143C">
        <w:rPr>
          <w:szCs w:val="22"/>
        </w:rPr>
        <w:t xml:space="preserve">  </w:t>
      </w:r>
      <w:r w:rsidR="002A04CA">
        <w:rPr>
          <w:szCs w:val="22"/>
        </w:rPr>
        <w:t>In reviewing</w:t>
      </w:r>
      <w:r w:rsidRPr="0051143C">
        <w:rPr>
          <w:szCs w:val="22"/>
        </w:rPr>
        <w:t xml:space="preserve"> Letters of Interest</w:t>
      </w:r>
      <w:r w:rsidR="002A04CA">
        <w:rPr>
          <w:szCs w:val="22"/>
        </w:rPr>
        <w:t xml:space="preserve"> for rural infrastructure projects</w:t>
      </w:r>
      <w:r w:rsidRPr="0051143C">
        <w:rPr>
          <w:szCs w:val="22"/>
        </w:rPr>
        <w:t xml:space="preserve">, </w:t>
      </w:r>
      <w:r w:rsidR="000D4F00">
        <w:rPr>
          <w:szCs w:val="22"/>
        </w:rPr>
        <w:t xml:space="preserve">the </w:t>
      </w:r>
      <w:r w:rsidRPr="0051143C">
        <w:rPr>
          <w:szCs w:val="22"/>
        </w:rPr>
        <w:t>DOT may prioritize rural infrastructure projects to receive the reduced rate</w:t>
      </w:r>
      <w:r w:rsidR="000C1F5D">
        <w:rPr>
          <w:szCs w:val="22"/>
        </w:rPr>
        <w:t xml:space="preserve"> </w:t>
      </w:r>
      <w:r w:rsidRPr="0051143C">
        <w:rPr>
          <w:szCs w:val="22"/>
        </w:rPr>
        <w:lastRenderedPageBreak/>
        <w:t>based on the project’s (</w:t>
      </w:r>
      <w:proofErr w:type="spellStart"/>
      <w:r w:rsidRPr="0051143C">
        <w:rPr>
          <w:szCs w:val="22"/>
        </w:rPr>
        <w:t>i</w:t>
      </w:r>
      <w:proofErr w:type="spellEnd"/>
      <w:r w:rsidRPr="0051143C">
        <w:rPr>
          <w:szCs w:val="22"/>
        </w:rPr>
        <w:t>) location outside of an urbanized area (as defined in Section 101(a)(34)</w:t>
      </w:r>
      <w:r w:rsidR="000C1F5D">
        <w:rPr>
          <w:szCs w:val="22"/>
        </w:rPr>
        <w:t xml:space="preserve"> of title 23</w:t>
      </w:r>
      <w:r w:rsidRPr="0051143C">
        <w:rPr>
          <w:szCs w:val="22"/>
        </w:rPr>
        <w:t>), (ii) alignment with MAP-21’s reduced total minimum eligible project cost requirement of $25 million for rural infrastructure projects, and (iii) readiness to proceed</w:t>
      </w:r>
      <w:r w:rsidR="00B92379">
        <w:rPr>
          <w:szCs w:val="22"/>
        </w:rPr>
        <w:t xml:space="preserve">.  </w:t>
      </w:r>
      <w:r w:rsidRPr="0051143C">
        <w:rPr>
          <w:szCs w:val="22"/>
        </w:rPr>
        <w:t xml:space="preserve">MAP-21 </w:t>
      </w:r>
      <w:r w:rsidR="000C1F5D">
        <w:rPr>
          <w:szCs w:val="22"/>
        </w:rPr>
        <w:t xml:space="preserve">requires </w:t>
      </w:r>
      <w:r w:rsidRPr="0051143C">
        <w:rPr>
          <w:szCs w:val="22"/>
        </w:rPr>
        <w:t>that any amounts set aside</w:t>
      </w:r>
      <w:r w:rsidR="008F0426">
        <w:rPr>
          <w:szCs w:val="22"/>
        </w:rPr>
        <w:t xml:space="preserve"> in a fiscal year</w:t>
      </w:r>
      <w:r w:rsidRPr="0051143C">
        <w:rPr>
          <w:szCs w:val="22"/>
        </w:rPr>
        <w:t xml:space="preserve"> </w:t>
      </w:r>
      <w:r w:rsidR="000C1F5D">
        <w:rPr>
          <w:szCs w:val="22"/>
        </w:rPr>
        <w:t>to fund the subsidy cost of</w:t>
      </w:r>
      <w:r w:rsidRPr="0051143C">
        <w:rPr>
          <w:szCs w:val="22"/>
        </w:rPr>
        <w:t xml:space="preserve"> </w:t>
      </w:r>
      <w:r w:rsidR="008F0426">
        <w:rPr>
          <w:szCs w:val="22"/>
        </w:rPr>
        <w:t>secured loans to rural infrastructure projects at the reduced interest rate</w:t>
      </w:r>
      <w:r w:rsidR="000C1F5D">
        <w:rPr>
          <w:szCs w:val="22"/>
        </w:rPr>
        <w:t xml:space="preserve"> that have not been obligated </w:t>
      </w:r>
      <w:r w:rsidRPr="0051143C">
        <w:rPr>
          <w:szCs w:val="22"/>
        </w:rPr>
        <w:t xml:space="preserve">by June 1 of </w:t>
      </w:r>
      <w:r w:rsidR="000C1F5D">
        <w:rPr>
          <w:szCs w:val="22"/>
        </w:rPr>
        <w:t>such</w:t>
      </w:r>
      <w:r w:rsidRPr="0051143C">
        <w:rPr>
          <w:szCs w:val="22"/>
        </w:rPr>
        <w:t xml:space="preserve"> fiscal year </w:t>
      </w:r>
      <w:r w:rsidR="000C1F5D">
        <w:rPr>
          <w:szCs w:val="22"/>
        </w:rPr>
        <w:t xml:space="preserve">must be made available to fund projects not </w:t>
      </w:r>
      <w:r w:rsidR="008F0426">
        <w:rPr>
          <w:szCs w:val="22"/>
        </w:rPr>
        <w:t>receiving the reduced interest rate to the extent sufficient funds are not otherwise available</w:t>
      </w:r>
      <w:r w:rsidR="00351FC5">
        <w:rPr>
          <w:szCs w:val="22"/>
        </w:rPr>
        <w:t>.</w:t>
      </w:r>
      <w:r w:rsidR="008F0426">
        <w:rPr>
          <w:rStyle w:val="FootnoteReference"/>
          <w:szCs w:val="22"/>
        </w:rPr>
        <w:footnoteReference w:id="27"/>
      </w:r>
      <w:r w:rsidR="00351FC5">
        <w:rPr>
          <w:szCs w:val="22"/>
        </w:rPr>
        <w:t xml:space="preserve"> </w:t>
      </w:r>
      <w:r w:rsidRPr="0051143C">
        <w:rPr>
          <w:szCs w:val="22"/>
        </w:rPr>
        <w:t xml:space="preserve"> </w:t>
      </w:r>
    </w:p>
    <w:p w:rsidR="00FC0258" w:rsidRPr="004D692A" w:rsidRDefault="00FC0258" w:rsidP="00EC479F">
      <w:pPr>
        <w:pStyle w:val="TIFIABodyText"/>
        <w:widowControl/>
        <w:tabs>
          <w:tab w:val="left" w:pos="360"/>
        </w:tabs>
        <w:overflowPunct/>
        <w:autoSpaceDE/>
        <w:autoSpaceDN/>
        <w:adjustRightInd/>
        <w:spacing w:line="271" w:lineRule="atLeast"/>
        <w:ind w:left="360"/>
        <w:textAlignment w:val="auto"/>
        <w:rPr>
          <w:szCs w:val="22"/>
        </w:rPr>
      </w:pPr>
      <w:r>
        <w:rPr>
          <w:szCs w:val="22"/>
        </w:rPr>
        <w:t>In addition, MAP-21</w:t>
      </w:r>
      <w:r w:rsidR="0009358F">
        <w:rPr>
          <w:szCs w:val="22"/>
        </w:rPr>
        <w:t xml:space="preserve"> allows project sponsors to </w:t>
      </w:r>
      <w:proofErr w:type="spellStart"/>
      <w:r w:rsidR="0009358F">
        <w:rPr>
          <w:szCs w:val="22"/>
        </w:rPr>
        <w:t>buydown</w:t>
      </w:r>
      <w:proofErr w:type="spellEnd"/>
      <w:r w:rsidR="0009358F">
        <w:rPr>
          <w:szCs w:val="22"/>
        </w:rPr>
        <w:t xml:space="preserve"> the interest rate on a secured loan in the event the rate has increased between the date on which the project sponsor submitted its complete application and the date on which the secured loan is executed.</w:t>
      </w:r>
      <w:r w:rsidR="0009358F">
        <w:rPr>
          <w:rStyle w:val="FootnoteReference"/>
          <w:szCs w:val="22"/>
        </w:rPr>
        <w:footnoteReference w:id="28"/>
      </w:r>
      <w:r w:rsidR="0009358F">
        <w:rPr>
          <w:szCs w:val="22"/>
        </w:rPr>
        <w:t xml:space="preserve">  </w:t>
      </w:r>
      <w:r w:rsidR="00EA35A1">
        <w:rPr>
          <w:szCs w:val="22"/>
        </w:rPr>
        <w:t xml:space="preserve">Project sponsors can reduce the interest rate by way of a limited </w:t>
      </w:r>
      <w:proofErr w:type="spellStart"/>
      <w:r w:rsidR="00EA35A1">
        <w:rPr>
          <w:szCs w:val="22"/>
        </w:rPr>
        <w:t>buydown</w:t>
      </w:r>
      <w:proofErr w:type="spellEnd"/>
      <w:r w:rsidR="00EA35A1">
        <w:rPr>
          <w:szCs w:val="22"/>
        </w:rPr>
        <w:t xml:space="preserve"> up to 1 1/2 percentage points (150 basis points) or the amount of the increase in the interest rate, whichever is less.</w:t>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Timing of Disbursements</w:t>
      </w:r>
      <w:r w:rsidRPr="004D692A">
        <w:rPr>
          <w:szCs w:val="22"/>
        </w:rPr>
        <w:t>.  The DOT will disburse funds as often as monthly, on a reimbursement basis, as costs are incurred for eligible project purposes.</w:t>
      </w:r>
      <w:r w:rsidR="008F0426">
        <w:rPr>
          <w:rStyle w:val="FootnoteReference"/>
          <w:szCs w:val="22"/>
        </w:rPr>
        <w:footnoteReference w:id="29"/>
      </w:r>
      <w:r w:rsidRPr="004D692A">
        <w:rPr>
          <w:szCs w:val="22"/>
        </w:rPr>
        <w:t xml:space="preserve">  The credit agreement will specify a draw schedule, which may be amended if necessary.</w:t>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Maturity</w:t>
      </w:r>
      <w:r w:rsidRPr="004D692A">
        <w:rPr>
          <w:szCs w:val="22"/>
        </w:rPr>
        <w:t>.  The final maturity date of a secured loan must be no later than 35 years after the date of substantial completion of the project</w:t>
      </w:r>
      <w:r w:rsidR="00C635A8">
        <w:rPr>
          <w:szCs w:val="22"/>
        </w:rPr>
        <w:t xml:space="preserve"> or the useful life of the project, whichever is less</w:t>
      </w:r>
      <w:r w:rsidRPr="004D692A">
        <w:rPr>
          <w:szCs w:val="22"/>
        </w:rPr>
        <w:t>.</w:t>
      </w:r>
      <w:r w:rsidR="008F0426">
        <w:rPr>
          <w:rStyle w:val="FootnoteReference"/>
          <w:szCs w:val="22"/>
        </w:rPr>
        <w:footnoteReference w:id="30"/>
      </w:r>
    </w:p>
    <w:p w:rsidR="00B77793" w:rsidRPr="004D692A" w:rsidRDefault="00B77793" w:rsidP="0070290F">
      <w:pPr>
        <w:pStyle w:val="TIFIABodyText"/>
        <w:keepNext/>
        <w:keepLines/>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Repayment Terms</w:t>
      </w:r>
      <w:r w:rsidRPr="004D692A">
        <w:rPr>
          <w:szCs w:val="22"/>
        </w:rPr>
        <w:t>.  Scheduled repayments must commence no later than five years after the date of substantial completion of the project.</w:t>
      </w:r>
      <w:r w:rsidR="008F0426">
        <w:rPr>
          <w:rStyle w:val="FootnoteReference"/>
          <w:szCs w:val="22"/>
        </w:rPr>
        <w:footnoteReference w:id="31"/>
      </w:r>
      <w:r w:rsidR="009B388E">
        <w:rPr>
          <w:szCs w:val="22"/>
        </w:rPr>
        <w:t xml:space="preserve">  D</w:t>
      </w:r>
      <w:r w:rsidRPr="004D692A">
        <w:rPr>
          <w:szCs w:val="22"/>
        </w:rPr>
        <w:t xml:space="preserve">ebt service </w:t>
      </w:r>
      <w:r w:rsidR="009B388E">
        <w:rPr>
          <w:szCs w:val="22"/>
        </w:rPr>
        <w:t>will be structured based on project economics and risk to the DOT.</w:t>
      </w:r>
      <w:r w:rsidR="00AB51DB">
        <w:rPr>
          <w:rStyle w:val="FootnoteReference"/>
          <w:szCs w:val="22"/>
        </w:rPr>
        <w:footnoteReference w:id="32"/>
      </w:r>
      <w:r w:rsidRPr="004D692A">
        <w:rPr>
          <w:szCs w:val="22"/>
        </w:rPr>
        <w:t xml:space="preserve">  Debt service payments are scheduled semi-annually. </w:t>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Deferrals</w:t>
      </w:r>
      <w:r w:rsidRPr="004D692A">
        <w:rPr>
          <w:szCs w:val="22"/>
        </w:rPr>
        <w:t xml:space="preserve">.  In the event revenues are insufficient to meet scheduled TIFIA loan payments, the DOT, </w:t>
      </w:r>
      <w:r w:rsidR="00B22636">
        <w:rPr>
          <w:szCs w:val="22"/>
        </w:rPr>
        <w:t>in</w:t>
      </w:r>
      <w:r w:rsidR="00B22636" w:rsidRPr="004D692A">
        <w:rPr>
          <w:szCs w:val="22"/>
        </w:rPr>
        <w:t xml:space="preserve"> </w:t>
      </w:r>
      <w:r w:rsidRPr="004D692A">
        <w:rPr>
          <w:szCs w:val="22"/>
        </w:rPr>
        <w:t xml:space="preserve">its sole discretion, may allow payment deferrals.  Any such deferrals shall be contingent on the project’s meeting </w:t>
      </w:r>
      <w:r w:rsidR="00CB46B8">
        <w:rPr>
          <w:szCs w:val="22"/>
        </w:rPr>
        <w:t>requirements</w:t>
      </w:r>
      <w:r w:rsidR="00CB46B8" w:rsidRPr="004D692A">
        <w:rPr>
          <w:szCs w:val="22"/>
        </w:rPr>
        <w:t xml:space="preserve"> </w:t>
      </w:r>
      <w:r w:rsidRPr="004D692A">
        <w:rPr>
          <w:szCs w:val="22"/>
        </w:rPr>
        <w:t xml:space="preserve">established by the Secretary, including standards for reasonable assurance of repayment.  There can be no assurance the Secretary will exercise this authority, however, so borrowers should </w:t>
      </w:r>
      <w:r w:rsidR="007928C0">
        <w:rPr>
          <w:szCs w:val="22"/>
        </w:rPr>
        <w:t>only agree to</w:t>
      </w:r>
      <w:r w:rsidRPr="004D692A">
        <w:rPr>
          <w:szCs w:val="22"/>
        </w:rPr>
        <w:t xml:space="preserve"> a debt service schedule they are confident they can meet.</w:t>
      </w:r>
      <w:r w:rsidR="008F0426">
        <w:rPr>
          <w:rStyle w:val="FootnoteReference"/>
          <w:szCs w:val="22"/>
        </w:rPr>
        <w:footnoteReference w:id="33"/>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lastRenderedPageBreak/>
        <w:t>Prepayment Conditions</w:t>
      </w:r>
      <w:r w:rsidRPr="004D692A">
        <w:rPr>
          <w:szCs w:val="22"/>
        </w:rPr>
        <w:t xml:space="preserve">.  </w:t>
      </w:r>
      <w:r w:rsidR="00E85AA1">
        <w:rPr>
          <w:szCs w:val="22"/>
        </w:rPr>
        <w:t>In general</w:t>
      </w:r>
      <w:r w:rsidR="00B22636">
        <w:rPr>
          <w:szCs w:val="22"/>
        </w:rPr>
        <w:t>,</w:t>
      </w:r>
      <w:r w:rsidR="00E85AA1">
        <w:rPr>
          <w:szCs w:val="22"/>
        </w:rPr>
        <w:t xml:space="preserve"> a</w:t>
      </w:r>
      <w:r w:rsidRPr="004D692A">
        <w:rPr>
          <w:szCs w:val="22"/>
        </w:rPr>
        <w:t xml:space="preserve"> secured loan may be prepaid in whole or in part at any time without penalty.</w:t>
      </w:r>
      <w:r w:rsidR="001E147F">
        <w:rPr>
          <w:rStyle w:val="FootnoteReference"/>
          <w:szCs w:val="22"/>
        </w:rPr>
        <w:footnoteReference w:id="34"/>
      </w:r>
      <w:r w:rsidRPr="004D692A">
        <w:rPr>
          <w:szCs w:val="22"/>
        </w:rPr>
        <w:t xml:space="preserve">  </w:t>
      </w:r>
    </w:p>
    <w:p w:rsidR="00B77793" w:rsidRPr="004D692A" w:rsidRDefault="00B77793" w:rsidP="00B22636">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Lien Priority</w:t>
      </w:r>
      <w:r w:rsidRPr="004D692A">
        <w:rPr>
          <w:szCs w:val="22"/>
        </w:rPr>
        <w:t xml:space="preserve">.  The TIFIA lien on </w:t>
      </w:r>
      <w:r w:rsidR="00076400">
        <w:rPr>
          <w:szCs w:val="22"/>
        </w:rPr>
        <w:t>pledged</w:t>
      </w:r>
      <w:r w:rsidRPr="004D692A">
        <w:rPr>
          <w:szCs w:val="22"/>
        </w:rPr>
        <w:t xml:space="preserve"> revenues can be subordinated to those of senior lenders </w:t>
      </w:r>
      <w:r w:rsidR="001E147F">
        <w:rPr>
          <w:szCs w:val="22"/>
        </w:rPr>
        <w:t>to the project</w:t>
      </w:r>
      <w:r w:rsidR="00B22636">
        <w:rPr>
          <w:szCs w:val="22"/>
        </w:rPr>
        <w:t xml:space="preserve"> </w:t>
      </w:r>
      <w:r w:rsidRPr="004D692A">
        <w:rPr>
          <w:szCs w:val="22"/>
        </w:rPr>
        <w:t xml:space="preserve">except in the event of bankruptcy, insolvency, or liquidation of the obligor.  In such an instance, the TIFIA lien would </w:t>
      </w:r>
      <w:r w:rsidR="00E85AA1">
        <w:rPr>
          <w:szCs w:val="22"/>
        </w:rPr>
        <w:t xml:space="preserve">be on par </w:t>
      </w:r>
      <w:r w:rsidRPr="004D692A">
        <w:rPr>
          <w:szCs w:val="22"/>
        </w:rPr>
        <w:t>with</w:t>
      </w:r>
      <w:r w:rsidR="001E147F">
        <w:rPr>
          <w:szCs w:val="22"/>
        </w:rPr>
        <w:t xml:space="preserve"> the </w:t>
      </w:r>
      <w:r w:rsidR="00076400">
        <w:rPr>
          <w:szCs w:val="22"/>
        </w:rPr>
        <w:t>lien</w:t>
      </w:r>
      <w:r w:rsidR="00C0452D">
        <w:rPr>
          <w:szCs w:val="22"/>
        </w:rPr>
        <w:t xml:space="preserve"> of the project’s</w:t>
      </w:r>
      <w:r w:rsidRPr="004D692A">
        <w:rPr>
          <w:szCs w:val="22"/>
        </w:rPr>
        <w:t xml:space="preserve"> senior creditors</w:t>
      </w:r>
      <w:r w:rsidR="006B6CC4">
        <w:rPr>
          <w:rStyle w:val="FootnoteReference"/>
          <w:szCs w:val="22"/>
        </w:rPr>
        <w:footnoteReference w:id="35"/>
      </w:r>
      <w:r w:rsidRPr="004D692A">
        <w:rPr>
          <w:szCs w:val="22"/>
        </w:rPr>
        <w:t xml:space="preserve">.  This </w:t>
      </w:r>
      <w:r w:rsidR="00076400">
        <w:rPr>
          <w:szCs w:val="22"/>
        </w:rPr>
        <w:t xml:space="preserve">provision will be </w:t>
      </w:r>
      <w:r w:rsidR="00A40BD7">
        <w:rPr>
          <w:szCs w:val="22"/>
        </w:rPr>
        <w:t>implemented by way of incorporation</w:t>
      </w:r>
      <w:r w:rsidR="00076400">
        <w:rPr>
          <w:szCs w:val="22"/>
        </w:rPr>
        <w:t xml:space="preserve"> into the TIFIA credit agreement</w:t>
      </w:r>
      <w:r w:rsidR="00A40BD7">
        <w:rPr>
          <w:szCs w:val="22"/>
        </w:rPr>
        <w:t xml:space="preserve"> and any other appropriate financing </w:t>
      </w:r>
      <w:r w:rsidRPr="004D692A">
        <w:rPr>
          <w:szCs w:val="22"/>
        </w:rPr>
        <w:t>agreement</w:t>
      </w:r>
      <w:r w:rsidR="00902AF0">
        <w:rPr>
          <w:szCs w:val="22"/>
        </w:rPr>
        <w:t>s</w:t>
      </w:r>
      <w:r w:rsidRPr="004D692A">
        <w:rPr>
          <w:szCs w:val="22"/>
        </w:rPr>
        <w:t xml:space="preserve"> entered into at the time of execution of the </w:t>
      </w:r>
      <w:r w:rsidR="00587D5E">
        <w:rPr>
          <w:szCs w:val="22"/>
        </w:rPr>
        <w:t xml:space="preserve">TIFIA </w:t>
      </w:r>
      <w:r w:rsidR="00902AF0">
        <w:rPr>
          <w:szCs w:val="22"/>
        </w:rPr>
        <w:t>credit</w:t>
      </w:r>
      <w:r w:rsidR="00587D5E">
        <w:rPr>
          <w:szCs w:val="22"/>
        </w:rPr>
        <w:t xml:space="preserve"> agreement</w:t>
      </w:r>
      <w:r w:rsidRPr="004D692A">
        <w:rPr>
          <w:szCs w:val="22"/>
        </w:rPr>
        <w:t>.</w:t>
      </w:r>
      <w:r w:rsidR="00B22636">
        <w:rPr>
          <w:szCs w:val="22"/>
        </w:rPr>
        <w:t xml:space="preserve"> </w:t>
      </w:r>
      <w:r w:rsidR="00C0452D">
        <w:rPr>
          <w:szCs w:val="22"/>
        </w:rPr>
        <w:t xml:space="preserve"> </w:t>
      </w:r>
      <w:r w:rsidR="001E147F">
        <w:rPr>
          <w:szCs w:val="22"/>
        </w:rPr>
        <w:t>As noted</w:t>
      </w:r>
      <w:r w:rsidR="007928C0">
        <w:rPr>
          <w:szCs w:val="22"/>
        </w:rPr>
        <w:t xml:space="preserve"> in Section 2-1</w:t>
      </w:r>
      <w:r w:rsidR="001E147F">
        <w:rPr>
          <w:szCs w:val="22"/>
        </w:rPr>
        <w:t xml:space="preserve"> above, this provision can be</w:t>
      </w:r>
      <w:r w:rsidR="006B6CC4">
        <w:rPr>
          <w:szCs w:val="22"/>
        </w:rPr>
        <w:t xml:space="preserve"> waived under certain circumstances </w:t>
      </w:r>
      <w:r w:rsidR="006B6CC4">
        <w:t>for public agency borrowers having senior bonds under preexisting indentures so long as certain conditions are met.</w:t>
      </w:r>
      <w:r w:rsidR="006B6CC4">
        <w:rPr>
          <w:rStyle w:val="FootnoteReference"/>
        </w:rPr>
        <w:footnoteReference w:id="36"/>
      </w:r>
    </w:p>
    <w:p w:rsidR="00B77793" w:rsidRDefault="00B77793" w:rsidP="0070290F">
      <w:pPr>
        <w:pStyle w:val="TIFIAHeading2"/>
        <w:widowControl/>
        <w:spacing w:line="271" w:lineRule="atLeast"/>
        <w:jc w:val="both"/>
        <w:outlineLvl w:val="0"/>
      </w:pPr>
      <w:r>
        <w:t>Loan Guarantees (23 U.S.C. §603(e))</w:t>
      </w:r>
    </w:p>
    <w:p w:rsidR="00B77793" w:rsidRPr="004D692A" w:rsidRDefault="00B77793" w:rsidP="0070290F">
      <w:pPr>
        <w:pStyle w:val="TIFIABodyText"/>
        <w:widowControl/>
        <w:tabs>
          <w:tab w:val="left" w:pos="360"/>
        </w:tabs>
        <w:spacing w:line="271" w:lineRule="atLeast"/>
        <w:rPr>
          <w:szCs w:val="22"/>
        </w:rPr>
      </w:pPr>
      <w:r w:rsidRPr="004D692A">
        <w:rPr>
          <w:szCs w:val="22"/>
        </w:rPr>
        <w:t>A TIFIA loan guarantee is a pledge by the DOT to pay a third-party lender all or part of the debt service on a borrower’s debt obligation.  The DOT will seek to recover from the borrower all funds paid to the guaranteed lender, pursuant to a reimbursement agreement executed simultaneously with the loan guarantee.</w:t>
      </w:r>
    </w:p>
    <w:p w:rsidR="00B77793" w:rsidRDefault="00B77793" w:rsidP="0070290F">
      <w:pPr>
        <w:pStyle w:val="TIFIABodyText"/>
        <w:widowControl/>
        <w:spacing w:line="271" w:lineRule="atLeast"/>
        <w:rPr>
          <w:szCs w:val="22"/>
        </w:rPr>
      </w:pPr>
      <w:r w:rsidRPr="004D692A">
        <w:rPr>
          <w:szCs w:val="22"/>
        </w:rPr>
        <w:t>By statute (23 U.S.C. §601(a)(</w:t>
      </w:r>
      <w:r w:rsidR="00E73667">
        <w:rPr>
          <w:szCs w:val="22"/>
        </w:rPr>
        <w:t>5</w:t>
      </w:r>
      <w:r w:rsidRPr="004D692A">
        <w:rPr>
          <w:szCs w:val="22"/>
        </w:rPr>
        <w:t xml:space="preserve">)), the guaranteed lender must be a “non-Federal qualified institutional buyer” as defined in 17 CFR </w:t>
      </w:r>
      <w:r w:rsidRPr="004D692A">
        <w:rPr>
          <w:color w:val="000000"/>
          <w:szCs w:val="22"/>
        </w:rPr>
        <w:t>§</w:t>
      </w:r>
      <w:r w:rsidRPr="004D692A">
        <w:rPr>
          <w:szCs w:val="22"/>
        </w:rPr>
        <w:t xml:space="preserve">230.144A(a), including qualified retirement plans and governmental plans.  Prospective applicants and lenders should contact the DOT with any questions about what constitutes a “non-Federal qualified institutional buyer.”  </w:t>
      </w:r>
    </w:p>
    <w:p w:rsidR="00B77793" w:rsidRDefault="00B77793" w:rsidP="00176DB6">
      <w:pPr>
        <w:pStyle w:val="TIFIABodyText"/>
        <w:widowControl/>
        <w:spacing w:line="271" w:lineRule="atLeast"/>
        <w:rPr>
          <w:szCs w:val="22"/>
        </w:rPr>
      </w:pPr>
      <w:r w:rsidRPr="00176DB6">
        <w:rPr>
          <w:szCs w:val="22"/>
        </w:rPr>
        <w:t>The DOT may give preference to applications for loan guarantees rather than ot</w:t>
      </w:r>
      <w:r>
        <w:rPr>
          <w:szCs w:val="22"/>
        </w:rPr>
        <w:t>her forms of credit assistance.</w:t>
      </w:r>
      <w:r w:rsidR="00F730AF">
        <w:rPr>
          <w:rStyle w:val="FootnoteReference"/>
          <w:szCs w:val="22"/>
        </w:rPr>
        <w:footnoteReference w:id="37"/>
      </w:r>
      <w:r>
        <w:rPr>
          <w:szCs w:val="22"/>
        </w:rPr>
        <w:t xml:space="preserve"> </w:t>
      </w:r>
      <w:r w:rsidRPr="00176DB6">
        <w:rPr>
          <w:szCs w:val="22"/>
        </w:rPr>
        <w:t xml:space="preserve"> This preference is consistent with Federal policy that, when Federal credit assistance is necessary to meet a Federal objective, loan guarantees should be favored over direct loans, unless attaining the Federal objective requires a subsidy deeper than can be provided by a loan guarantee.</w:t>
      </w:r>
      <w:r>
        <w:rPr>
          <w:szCs w:val="22"/>
        </w:rPr>
        <w:t xml:space="preserve">  </w:t>
      </w:r>
      <w:r>
        <w:t xml:space="preserve">Applicants requesting only a direct loan and/or a line of credit are required to specify </w:t>
      </w:r>
      <w:r w:rsidR="00D31B24">
        <w:t xml:space="preserve">in their application how </w:t>
      </w:r>
      <w:r w:rsidR="00D31B24" w:rsidRPr="00D31B24">
        <w:rPr>
          <w:szCs w:val="22"/>
        </w:rPr>
        <w:t>the plan of finance for the project would be impacted if TIFIA credit assistance was instead provided in the form of a loan guarantee</w:t>
      </w:r>
      <w:r>
        <w:t>.</w:t>
      </w:r>
    </w:p>
    <w:p w:rsidR="00B77793" w:rsidRPr="004D692A" w:rsidRDefault="00B77793" w:rsidP="00176DB6">
      <w:pPr>
        <w:pStyle w:val="TIFIABodyText"/>
        <w:keepNext/>
        <w:widowControl/>
        <w:spacing w:line="271" w:lineRule="atLeast"/>
        <w:rPr>
          <w:szCs w:val="22"/>
        </w:rPr>
      </w:pPr>
      <w:r w:rsidRPr="004D692A">
        <w:rPr>
          <w:szCs w:val="22"/>
        </w:rPr>
        <w:t>Characteristics of a guaranteed loan include:</w:t>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Use of Proceeds</w:t>
      </w:r>
      <w:r w:rsidRPr="004D692A">
        <w:rPr>
          <w:szCs w:val="22"/>
        </w:rPr>
        <w:t xml:space="preserve">.  The proceeds of a guaranteed loan must be used either to finance eligible project costs </w:t>
      </w:r>
      <w:r w:rsidR="004B77BA" w:rsidRPr="004D692A">
        <w:rPr>
          <w:szCs w:val="22"/>
        </w:rPr>
        <w:t>or to refinance</w:t>
      </w:r>
      <w:r w:rsidR="004B77BA">
        <w:rPr>
          <w:szCs w:val="22"/>
        </w:rPr>
        <w:t xml:space="preserve"> (</w:t>
      </w:r>
      <w:proofErr w:type="spellStart"/>
      <w:r w:rsidR="004B77BA">
        <w:rPr>
          <w:szCs w:val="22"/>
        </w:rPr>
        <w:t>i</w:t>
      </w:r>
      <w:proofErr w:type="spellEnd"/>
      <w:r w:rsidR="004B77BA">
        <w:rPr>
          <w:szCs w:val="22"/>
        </w:rPr>
        <w:t>)</w:t>
      </w:r>
      <w:r w:rsidR="004B77BA" w:rsidRPr="004D692A">
        <w:rPr>
          <w:szCs w:val="22"/>
        </w:rPr>
        <w:t xml:space="preserve"> interim construction financing of eligible project costs</w:t>
      </w:r>
      <w:r w:rsidR="004B77BA">
        <w:rPr>
          <w:szCs w:val="22"/>
        </w:rPr>
        <w:t>; (ii) existing Federal credit instruments for rural infrastructure projects; or (iii) long-term project obligations or Federal credit instruments if the refinancing provides additional funding capacity for the completion, enhancement, or expansion of an eligible project</w:t>
      </w:r>
      <w:r w:rsidRPr="004D692A">
        <w:rPr>
          <w:szCs w:val="22"/>
        </w:rPr>
        <w:t>.</w:t>
      </w:r>
      <w:r w:rsidRPr="004D692A">
        <w:rPr>
          <w:rStyle w:val="FootnoteReference"/>
          <w:sz w:val="22"/>
          <w:szCs w:val="22"/>
        </w:rPr>
        <w:footnoteReference w:id="38"/>
      </w:r>
      <w:r w:rsidRPr="004D692A">
        <w:rPr>
          <w:szCs w:val="22"/>
        </w:rPr>
        <w:t xml:space="preserve">  </w:t>
      </w:r>
      <w:r w:rsidR="004B77BA" w:rsidRPr="004D692A">
        <w:rPr>
          <w:szCs w:val="22"/>
        </w:rPr>
        <w:t>In the case</w:t>
      </w:r>
      <w:r w:rsidR="004B77BA">
        <w:rPr>
          <w:szCs w:val="22"/>
        </w:rPr>
        <w:t xml:space="preserve"> of refinancing </w:t>
      </w:r>
      <w:r w:rsidR="004B77BA" w:rsidRPr="004D692A">
        <w:rPr>
          <w:szCs w:val="22"/>
        </w:rPr>
        <w:t xml:space="preserve">interim construction financing, the DOT loan may </w:t>
      </w:r>
      <w:r w:rsidR="004B77BA" w:rsidRPr="004D692A">
        <w:rPr>
          <w:szCs w:val="22"/>
        </w:rPr>
        <w:lastRenderedPageBreak/>
        <w:t>refinance existing debt no later than one year following substantial completion of the project.</w:t>
      </w:r>
      <w:r w:rsidR="004B77BA" w:rsidRPr="004D692A">
        <w:rPr>
          <w:rStyle w:val="FootnoteReference"/>
          <w:sz w:val="22"/>
          <w:szCs w:val="22"/>
        </w:rPr>
        <w:footnoteReference w:id="39"/>
      </w:r>
      <w:r w:rsidR="004B77BA" w:rsidRPr="004D692A">
        <w:rPr>
          <w:szCs w:val="22"/>
        </w:rPr>
        <w:t xml:space="preserve">  </w:t>
      </w:r>
    </w:p>
    <w:p w:rsidR="00B77793" w:rsidRPr="00C44AF9"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C44AF9">
        <w:rPr>
          <w:szCs w:val="22"/>
          <w:u w:val="single"/>
        </w:rPr>
        <w:t>Amount</w:t>
      </w:r>
      <w:r w:rsidRPr="00C44AF9">
        <w:rPr>
          <w:szCs w:val="22"/>
        </w:rPr>
        <w:t xml:space="preserve">.  The principal amount of a DOT loan guarantee, in combination with any other TIFIA credit assistance, may not exceed </w:t>
      </w:r>
      <w:r w:rsidR="00C44AF9" w:rsidRPr="00EC479F">
        <w:rPr>
          <w:szCs w:val="22"/>
        </w:rPr>
        <w:t>49</w:t>
      </w:r>
      <w:r w:rsidR="00C44AF9" w:rsidRPr="00C44AF9">
        <w:rPr>
          <w:szCs w:val="22"/>
        </w:rPr>
        <w:t xml:space="preserve"> </w:t>
      </w:r>
      <w:r w:rsidRPr="00C44AF9">
        <w:rPr>
          <w:szCs w:val="22"/>
        </w:rPr>
        <w:t>percent of the reasonably anticipated eligible project costs.</w:t>
      </w:r>
      <w:r w:rsidR="00AB51DB" w:rsidRPr="00D62BF5">
        <w:rPr>
          <w:rStyle w:val="FootnoteReference"/>
          <w:szCs w:val="24"/>
        </w:rPr>
        <w:footnoteReference w:id="40"/>
      </w:r>
      <w:r w:rsidR="00AB51DB" w:rsidRPr="004D692A">
        <w:rPr>
          <w:szCs w:val="22"/>
        </w:rPr>
        <w:t xml:space="preserve">  </w:t>
      </w:r>
      <w:r w:rsidR="00AB51DB" w:rsidRPr="007D16E4">
        <w:rPr>
          <w:szCs w:val="22"/>
        </w:rPr>
        <w:t xml:space="preserve">To date, TIFIA </w:t>
      </w:r>
      <w:r w:rsidR="00AB51DB">
        <w:rPr>
          <w:szCs w:val="22"/>
        </w:rPr>
        <w:t>credit assistance has</w:t>
      </w:r>
      <w:r w:rsidR="00AB51DB" w:rsidRPr="007D16E4">
        <w:rPr>
          <w:szCs w:val="22"/>
        </w:rPr>
        <w:t xml:space="preserve"> only </w:t>
      </w:r>
      <w:r w:rsidR="00AB51DB">
        <w:rPr>
          <w:szCs w:val="22"/>
        </w:rPr>
        <w:t>covered up to</w:t>
      </w:r>
      <w:r w:rsidR="00AB51DB" w:rsidRPr="007D16E4">
        <w:rPr>
          <w:szCs w:val="22"/>
        </w:rPr>
        <w:t xml:space="preserve"> 33 percent of reasonably anticipated eligible project costs </w:t>
      </w:r>
      <w:r w:rsidR="00176DAE" w:rsidRPr="00A40BD7">
        <w:rPr>
          <w:szCs w:val="22"/>
        </w:rPr>
        <w:t xml:space="preserve">and applicants </w:t>
      </w:r>
      <w:r w:rsidR="00176DAE">
        <w:rPr>
          <w:szCs w:val="22"/>
        </w:rPr>
        <w:t xml:space="preserve">requesting assistance in excess of this amount must </w:t>
      </w:r>
      <w:r w:rsidR="00176DAE" w:rsidRPr="00A40BD7">
        <w:rPr>
          <w:szCs w:val="22"/>
        </w:rPr>
        <w:t xml:space="preserve">provide a </w:t>
      </w:r>
      <w:r w:rsidR="00176DAE">
        <w:rPr>
          <w:szCs w:val="22"/>
        </w:rPr>
        <w:t>rationale for such additional assistance</w:t>
      </w:r>
      <w:r w:rsidR="00AB51DB" w:rsidRPr="007D16E4">
        <w:rPr>
          <w:szCs w:val="22"/>
        </w:rPr>
        <w:t>.</w:t>
      </w:r>
      <w:r w:rsidR="00AB51DB">
        <w:rPr>
          <w:szCs w:val="22"/>
        </w:rPr>
        <w:t xml:space="preserve">  </w:t>
      </w:r>
      <w:r w:rsidRPr="00C44AF9">
        <w:rPr>
          <w:szCs w:val="22"/>
        </w:rPr>
        <w:t xml:space="preserve"> </w:t>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Interest Rate</w:t>
      </w:r>
      <w:r w:rsidRPr="004D692A">
        <w:rPr>
          <w:szCs w:val="22"/>
        </w:rPr>
        <w:t>.  The interest rate on a guaranteed loan will be negotiated between the guaranteed lender and the borrower, subject to consent from the DOT.</w:t>
      </w:r>
      <w:r w:rsidR="00AB51DB">
        <w:rPr>
          <w:rStyle w:val="FootnoteReference"/>
          <w:szCs w:val="22"/>
        </w:rPr>
        <w:footnoteReference w:id="41"/>
      </w:r>
      <w:r w:rsidRPr="004D692A">
        <w:rPr>
          <w:szCs w:val="22"/>
        </w:rPr>
        <w:t xml:space="preserve">  Interest payments on a guaranteed loan are subject to Federal income taxation.</w:t>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Maturity</w:t>
      </w:r>
      <w:r w:rsidRPr="004D692A">
        <w:rPr>
          <w:szCs w:val="22"/>
        </w:rPr>
        <w:t>.  The final maturity date of the guaranteed loan must be no later than 35 years after the date of substantial completion of the project</w:t>
      </w:r>
      <w:r w:rsidR="00076400">
        <w:rPr>
          <w:szCs w:val="22"/>
        </w:rPr>
        <w:t xml:space="preserve"> or the useful life of the project, whichever is less</w:t>
      </w:r>
      <w:r w:rsidRPr="004D692A">
        <w:rPr>
          <w:szCs w:val="22"/>
        </w:rPr>
        <w:t>.</w:t>
      </w:r>
      <w:r w:rsidR="00AB51DB">
        <w:rPr>
          <w:rStyle w:val="FootnoteReference"/>
          <w:szCs w:val="22"/>
        </w:rPr>
        <w:footnoteReference w:id="42"/>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Repayment Terms</w:t>
      </w:r>
      <w:r w:rsidRPr="004D692A">
        <w:rPr>
          <w:szCs w:val="22"/>
        </w:rPr>
        <w:t>.  Scheduled repayments to the guaranteed lender must commence no later than five years after the date of substantial completion of the project.</w:t>
      </w:r>
      <w:r w:rsidR="00AB51DB">
        <w:rPr>
          <w:rStyle w:val="FootnoteReference"/>
          <w:szCs w:val="22"/>
        </w:rPr>
        <w:footnoteReference w:id="43"/>
      </w:r>
      <w:r w:rsidRPr="004D692A">
        <w:rPr>
          <w:szCs w:val="22"/>
        </w:rPr>
        <w:t xml:space="preserve">  Level debt service </w:t>
      </w:r>
      <w:r w:rsidR="00AB51DB">
        <w:rPr>
          <w:szCs w:val="22"/>
        </w:rPr>
        <w:t>may</w:t>
      </w:r>
      <w:r w:rsidR="00AB51DB" w:rsidRPr="004D692A">
        <w:rPr>
          <w:szCs w:val="22"/>
        </w:rPr>
        <w:t xml:space="preserve"> </w:t>
      </w:r>
      <w:r w:rsidRPr="004D692A">
        <w:rPr>
          <w:szCs w:val="22"/>
        </w:rPr>
        <w:t>not</w:t>
      </w:r>
      <w:r w:rsidR="00AB51DB">
        <w:rPr>
          <w:szCs w:val="22"/>
        </w:rPr>
        <w:t xml:space="preserve"> be</w:t>
      </w:r>
      <w:r w:rsidRPr="004D692A">
        <w:rPr>
          <w:szCs w:val="22"/>
        </w:rPr>
        <w:t xml:space="preserve"> required for project financings where the pledged revenues are projected to increase over time.</w:t>
      </w:r>
      <w:r w:rsidR="00AB51DB">
        <w:rPr>
          <w:rStyle w:val="FootnoteReference"/>
          <w:szCs w:val="22"/>
        </w:rPr>
        <w:footnoteReference w:id="44"/>
      </w:r>
      <w:r w:rsidRPr="004D692A">
        <w:rPr>
          <w:szCs w:val="22"/>
        </w:rPr>
        <w:t xml:space="preserve"> </w:t>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Deferrals</w:t>
      </w:r>
      <w:r w:rsidRPr="004D692A">
        <w:rPr>
          <w:szCs w:val="22"/>
        </w:rPr>
        <w:t>.  In the event that revenues are insufficient to meet scheduled loan payments, the DOT may</w:t>
      </w:r>
      <w:r w:rsidR="007B67CE">
        <w:rPr>
          <w:szCs w:val="22"/>
        </w:rPr>
        <w:t>, in its sole discretion,</w:t>
      </w:r>
      <w:r w:rsidRPr="004D692A">
        <w:rPr>
          <w:szCs w:val="22"/>
        </w:rPr>
        <w:t xml:space="preserve"> consent to payment deferrals and a rescheduling of the guaranteed debt service.  Approval of any such payment deferrals shall be contingent on the project’s meeting </w:t>
      </w:r>
      <w:r w:rsidR="00CB46B8">
        <w:rPr>
          <w:szCs w:val="22"/>
        </w:rPr>
        <w:t>requirements</w:t>
      </w:r>
      <w:r w:rsidR="00CB46B8" w:rsidRPr="004D692A">
        <w:rPr>
          <w:szCs w:val="22"/>
        </w:rPr>
        <w:t xml:space="preserve"> </w:t>
      </w:r>
      <w:r w:rsidRPr="004D692A">
        <w:rPr>
          <w:szCs w:val="22"/>
        </w:rPr>
        <w:t>established by the Secretary, including standards for reasonable assurance of repayment.  There can be no assurance the Secretary will exercise this authority, however, so borrowers should negotiate a debt service schedule they are confident they can meet.</w:t>
      </w:r>
      <w:r w:rsidR="007B67CE">
        <w:rPr>
          <w:rStyle w:val="FootnoteReference"/>
          <w:szCs w:val="22"/>
        </w:rPr>
        <w:footnoteReference w:id="45"/>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Prepayment Conditions</w:t>
      </w:r>
      <w:r w:rsidRPr="004D692A">
        <w:rPr>
          <w:szCs w:val="22"/>
        </w:rPr>
        <w:t>.  The prepayment features on a guaranteed loan will be negotiated between the guaranteed lender and the borrower, subject to the consent of the DOT.</w:t>
      </w:r>
      <w:r w:rsidR="004A4359">
        <w:rPr>
          <w:rStyle w:val="FootnoteReference"/>
          <w:szCs w:val="22"/>
        </w:rPr>
        <w:footnoteReference w:id="46"/>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Default Feature</w:t>
      </w:r>
      <w:r w:rsidRPr="004D692A">
        <w:rPr>
          <w:szCs w:val="22"/>
        </w:rPr>
        <w:t>.  In the event of an uncured borrower payment default, the guaranteed lender will receive payment from the DOT for the guaranteed payment due.</w:t>
      </w:r>
      <w:r w:rsidR="004A4359">
        <w:rPr>
          <w:rStyle w:val="FootnoteReference"/>
          <w:szCs w:val="22"/>
        </w:rPr>
        <w:footnoteReference w:id="47"/>
      </w:r>
      <w:r w:rsidRPr="004D692A">
        <w:rPr>
          <w:szCs w:val="22"/>
        </w:rPr>
        <w:t xml:space="preserve">  The DOT will seek recovery from the borrower of all funds advanced, pursuant to a reimbursement agreement executed simultaneously with the loan guarantee.</w:t>
      </w:r>
    </w:p>
    <w:p w:rsidR="004A4359" w:rsidRPr="004D692A" w:rsidRDefault="00B77793" w:rsidP="00B86520">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lastRenderedPageBreak/>
        <w:t>Lien Priority</w:t>
      </w:r>
      <w:r w:rsidRPr="004D692A">
        <w:rPr>
          <w:szCs w:val="22"/>
        </w:rPr>
        <w:t xml:space="preserve">.  The TIFIA lien on </w:t>
      </w:r>
      <w:r w:rsidR="00076400">
        <w:rPr>
          <w:szCs w:val="22"/>
        </w:rPr>
        <w:t>pledged</w:t>
      </w:r>
      <w:r w:rsidRPr="004D692A">
        <w:rPr>
          <w:szCs w:val="22"/>
        </w:rPr>
        <w:t xml:space="preserve"> revenues can be subordinated to those of senior lenders </w:t>
      </w:r>
      <w:r w:rsidR="004A4359">
        <w:rPr>
          <w:szCs w:val="22"/>
        </w:rPr>
        <w:t>to the project</w:t>
      </w:r>
      <w:r w:rsidR="00CF0027">
        <w:rPr>
          <w:szCs w:val="22"/>
        </w:rPr>
        <w:t xml:space="preserve"> </w:t>
      </w:r>
      <w:r w:rsidRPr="004D692A">
        <w:rPr>
          <w:szCs w:val="22"/>
        </w:rPr>
        <w:t xml:space="preserve">except in the event of bankruptcy, insolvency, or liquidation of the obligor.  In such an instance, the TIFIA lien would </w:t>
      </w:r>
      <w:r w:rsidR="00E85AA1">
        <w:rPr>
          <w:szCs w:val="22"/>
        </w:rPr>
        <w:t xml:space="preserve">be on par </w:t>
      </w:r>
      <w:r w:rsidRPr="004D692A">
        <w:rPr>
          <w:szCs w:val="22"/>
        </w:rPr>
        <w:t xml:space="preserve">with </w:t>
      </w:r>
      <w:r w:rsidR="004A4359">
        <w:rPr>
          <w:szCs w:val="22"/>
        </w:rPr>
        <w:t>the</w:t>
      </w:r>
      <w:r w:rsidR="00076400">
        <w:rPr>
          <w:szCs w:val="22"/>
        </w:rPr>
        <w:t xml:space="preserve"> lien of the</w:t>
      </w:r>
      <w:r w:rsidR="004A4359">
        <w:rPr>
          <w:szCs w:val="22"/>
        </w:rPr>
        <w:t xml:space="preserve"> project’s </w:t>
      </w:r>
      <w:r w:rsidRPr="004D692A">
        <w:rPr>
          <w:szCs w:val="22"/>
        </w:rPr>
        <w:t>senior creditors.</w:t>
      </w:r>
      <w:r w:rsidR="004A4359">
        <w:rPr>
          <w:rStyle w:val="FootnoteReference"/>
          <w:szCs w:val="22"/>
        </w:rPr>
        <w:footnoteReference w:id="48"/>
      </w:r>
      <w:r w:rsidRPr="004D692A">
        <w:rPr>
          <w:szCs w:val="22"/>
        </w:rPr>
        <w:t xml:space="preserve">  </w:t>
      </w:r>
      <w:r w:rsidR="00902AF0" w:rsidRPr="004D692A">
        <w:rPr>
          <w:szCs w:val="22"/>
        </w:rPr>
        <w:t xml:space="preserve">This </w:t>
      </w:r>
      <w:r w:rsidR="00902AF0">
        <w:rPr>
          <w:szCs w:val="22"/>
        </w:rPr>
        <w:t xml:space="preserve">provision will be implemented by way of incorporation into the TIFIA loan guarantee agreement and any other appropriate financing </w:t>
      </w:r>
      <w:r w:rsidR="00902AF0" w:rsidRPr="004D692A">
        <w:rPr>
          <w:szCs w:val="22"/>
        </w:rPr>
        <w:t>agreement</w:t>
      </w:r>
      <w:r w:rsidR="00902AF0">
        <w:rPr>
          <w:szCs w:val="22"/>
        </w:rPr>
        <w:t>s</w:t>
      </w:r>
      <w:r w:rsidR="00902AF0" w:rsidRPr="004D692A">
        <w:rPr>
          <w:szCs w:val="22"/>
        </w:rPr>
        <w:t xml:space="preserve"> entered into at the time of execution of the </w:t>
      </w:r>
      <w:r w:rsidR="00902AF0">
        <w:rPr>
          <w:szCs w:val="22"/>
        </w:rPr>
        <w:t>TIFIA loan guarantee agreement</w:t>
      </w:r>
      <w:r w:rsidRPr="004D692A">
        <w:rPr>
          <w:szCs w:val="22"/>
        </w:rPr>
        <w:t xml:space="preserve">.  </w:t>
      </w:r>
      <w:r w:rsidR="00CF0027">
        <w:rPr>
          <w:szCs w:val="22"/>
        </w:rPr>
        <w:t xml:space="preserve">As noted above, this provision can be waived under certain circumstances </w:t>
      </w:r>
      <w:r w:rsidR="00CF0027">
        <w:t>for public agency borrowers having senior bonds under preexisting indentures so long as certain conditions are met.</w:t>
      </w:r>
      <w:r w:rsidR="00CF0027">
        <w:rPr>
          <w:rStyle w:val="FootnoteReference"/>
        </w:rPr>
        <w:footnoteReference w:id="49"/>
      </w:r>
      <w:r w:rsidR="00CF0027">
        <w:t xml:space="preserve">  </w:t>
      </w:r>
      <w:r w:rsidRPr="004D692A">
        <w:rPr>
          <w:szCs w:val="22"/>
        </w:rPr>
        <w:t xml:space="preserve">In the event of a draw on the DOT guarantee, the guaranteed lender remains in </w:t>
      </w:r>
      <w:r w:rsidR="00CF0027">
        <w:rPr>
          <w:szCs w:val="22"/>
        </w:rPr>
        <w:t xml:space="preserve">a </w:t>
      </w:r>
      <w:r w:rsidRPr="004D692A">
        <w:rPr>
          <w:szCs w:val="22"/>
        </w:rPr>
        <w:t>senior position if not repaid in full</w:t>
      </w:r>
      <w:r w:rsidR="00CF0027">
        <w:rPr>
          <w:szCs w:val="22"/>
        </w:rPr>
        <w:t xml:space="preserve"> by the DOT</w:t>
      </w:r>
      <w:r w:rsidRPr="004D692A">
        <w:rPr>
          <w:szCs w:val="22"/>
        </w:rPr>
        <w:t xml:space="preserve">, and the DOT loan for the amount of all such draws becomes a junior lien. </w:t>
      </w:r>
    </w:p>
    <w:p w:rsidR="00B77793" w:rsidRDefault="00B77793" w:rsidP="0070290F">
      <w:pPr>
        <w:pStyle w:val="TIFIABodyText"/>
        <w:widowControl/>
        <w:tabs>
          <w:tab w:val="left" w:pos="360"/>
        </w:tabs>
        <w:overflowPunct/>
        <w:autoSpaceDE/>
        <w:autoSpaceDN/>
        <w:adjustRightInd/>
        <w:spacing w:line="271" w:lineRule="atLeast"/>
        <w:textAlignment w:val="auto"/>
        <w:rPr>
          <w:rFonts w:ascii="Arial" w:hAnsi="Arial"/>
          <w:b/>
        </w:rPr>
      </w:pPr>
      <w:r>
        <w:rPr>
          <w:rFonts w:ascii="Arial" w:hAnsi="Arial"/>
          <w:b/>
        </w:rPr>
        <w:t>Lines of Credit (23 U.S.C. §604)</w:t>
      </w:r>
    </w:p>
    <w:p w:rsidR="00B77793" w:rsidRPr="004D692A" w:rsidRDefault="00B77793" w:rsidP="0070290F">
      <w:pPr>
        <w:pStyle w:val="TIFIABodyText"/>
        <w:widowControl/>
        <w:spacing w:line="271" w:lineRule="atLeast"/>
        <w:rPr>
          <w:szCs w:val="22"/>
        </w:rPr>
      </w:pPr>
      <w:r w:rsidRPr="004D692A">
        <w:rPr>
          <w:szCs w:val="22"/>
        </w:rPr>
        <w:t>A TIFIA line of credit provides a contingent loan that may be drawn upon after substantial completion of the project to supplement project revenues during the first 10 years of the project’s operations.</w:t>
      </w:r>
      <w:r w:rsidR="00653592">
        <w:rPr>
          <w:rStyle w:val="FootnoteReference"/>
          <w:szCs w:val="22"/>
        </w:rPr>
        <w:footnoteReference w:id="50"/>
      </w:r>
      <w:r w:rsidRPr="004D692A">
        <w:rPr>
          <w:szCs w:val="22"/>
        </w:rPr>
        <w:t xml:space="preserve">  The DOT will disburse funds only under certain conditions, which will be specified in the </w:t>
      </w:r>
      <w:r w:rsidR="00C234B0">
        <w:rPr>
          <w:szCs w:val="22"/>
        </w:rPr>
        <w:t xml:space="preserve">TIFIA </w:t>
      </w:r>
      <w:r w:rsidRPr="004D692A">
        <w:rPr>
          <w:szCs w:val="22"/>
        </w:rPr>
        <w:t>credit agreement.</w:t>
      </w:r>
      <w:r w:rsidR="00653592">
        <w:rPr>
          <w:rStyle w:val="FootnoteReference"/>
          <w:szCs w:val="22"/>
        </w:rPr>
        <w:footnoteReference w:id="51"/>
      </w:r>
      <w:r w:rsidRPr="004D692A">
        <w:rPr>
          <w:szCs w:val="22"/>
        </w:rPr>
        <w:t xml:space="preserve">  </w:t>
      </w:r>
    </w:p>
    <w:p w:rsidR="00B77793" w:rsidRPr="004D692A" w:rsidRDefault="00B77793" w:rsidP="0070290F">
      <w:pPr>
        <w:pStyle w:val="TIFIABodyText"/>
        <w:widowControl/>
        <w:spacing w:line="271" w:lineRule="atLeast"/>
        <w:rPr>
          <w:szCs w:val="22"/>
        </w:rPr>
      </w:pPr>
      <w:r w:rsidRPr="004D692A">
        <w:rPr>
          <w:szCs w:val="22"/>
        </w:rPr>
        <w:t>Characteristics of a line of credit include:</w:t>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Use of Proceeds</w:t>
      </w:r>
      <w:r w:rsidRPr="004D692A">
        <w:rPr>
          <w:szCs w:val="22"/>
        </w:rPr>
        <w:t>.  The proceeds from a draw on a line of credit may be used only to pay debt service on project obligations (other than a TIFIA credit instrument) issued to finance eligible project costs, extraordinary repair and replacement costs, operation and maintenance expenses, and/or costs associated with Federal or state environmental restrictions arising after the transaction closed.</w:t>
      </w:r>
      <w:r w:rsidR="00B42DFB">
        <w:rPr>
          <w:rStyle w:val="FootnoteReference"/>
          <w:szCs w:val="22"/>
        </w:rPr>
        <w:footnoteReference w:id="52"/>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Amount</w:t>
      </w:r>
      <w:r w:rsidRPr="004D692A">
        <w:rPr>
          <w:szCs w:val="22"/>
        </w:rPr>
        <w:t xml:space="preserve">.  The total principal amount of a line of credit may not exceed </w:t>
      </w:r>
      <w:r w:rsidR="00E85AA1">
        <w:rPr>
          <w:szCs w:val="22"/>
        </w:rPr>
        <w:t>33</w:t>
      </w:r>
      <w:r w:rsidR="000C30E5" w:rsidRPr="004D692A">
        <w:rPr>
          <w:szCs w:val="22"/>
        </w:rPr>
        <w:t xml:space="preserve"> </w:t>
      </w:r>
      <w:r w:rsidRPr="004D692A">
        <w:rPr>
          <w:szCs w:val="22"/>
        </w:rPr>
        <w:t>percent of the reasonably anticipated eligible project costs.</w:t>
      </w:r>
      <w:r w:rsidR="00707566">
        <w:rPr>
          <w:rStyle w:val="FootnoteReference"/>
          <w:szCs w:val="22"/>
        </w:rPr>
        <w:footnoteReference w:id="53"/>
      </w:r>
      <w:r w:rsidR="00707566">
        <w:rPr>
          <w:szCs w:val="22"/>
        </w:rPr>
        <w:t xml:space="preserve">  The total combined TIFIA credit assistance for a project receiving a TIFIA line of credit plus a secured loan or </w:t>
      </w:r>
      <w:r w:rsidR="00B3689E">
        <w:rPr>
          <w:szCs w:val="22"/>
        </w:rPr>
        <w:t>loan guarantee may not exceed 49</w:t>
      </w:r>
      <w:r w:rsidR="00707566">
        <w:rPr>
          <w:szCs w:val="22"/>
        </w:rPr>
        <w:t xml:space="preserve"> percent of eligible project costs.</w:t>
      </w:r>
      <w:r w:rsidR="00707566">
        <w:rPr>
          <w:rStyle w:val="FootnoteReference"/>
          <w:szCs w:val="22"/>
        </w:rPr>
        <w:footnoteReference w:id="54"/>
      </w:r>
      <w:r w:rsidR="00707566">
        <w:rPr>
          <w:szCs w:val="22"/>
        </w:rPr>
        <w:t xml:space="preserve"> </w:t>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Condition Precedent for Draws</w:t>
      </w:r>
      <w:r w:rsidRPr="004D692A">
        <w:rPr>
          <w:szCs w:val="22"/>
        </w:rPr>
        <w:t>.  A draw may be made only if revenues from the project are insufficient to pay the costs enumerated above in “Use of Proceeds.”  Reserve funds need not be tapped prior to a TIFIA draw.</w:t>
      </w:r>
      <w:r w:rsidR="00707566">
        <w:rPr>
          <w:rStyle w:val="FootnoteReference"/>
          <w:szCs w:val="22"/>
        </w:rPr>
        <w:footnoteReference w:id="55"/>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Availability</w:t>
      </w:r>
      <w:r w:rsidRPr="004D692A">
        <w:rPr>
          <w:szCs w:val="22"/>
        </w:rPr>
        <w:t>.  A line of credit may be available for a period of 10 years following substantial completion of the project.</w:t>
      </w:r>
      <w:r w:rsidR="002165F1">
        <w:rPr>
          <w:rStyle w:val="FootnoteReference"/>
          <w:szCs w:val="22"/>
        </w:rPr>
        <w:footnoteReference w:id="56"/>
      </w:r>
    </w:p>
    <w:p w:rsidR="00B77793" w:rsidRPr="00EC479F" w:rsidRDefault="00B77793" w:rsidP="0070290F">
      <w:pPr>
        <w:pStyle w:val="TIFIABodyText"/>
        <w:widowControl/>
        <w:numPr>
          <w:ilvl w:val="0"/>
          <w:numId w:val="2"/>
        </w:numPr>
        <w:tabs>
          <w:tab w:val="left" w:pos="360"/>
        </w:tabs>
        <w:overflowPunct/>
        <w:autoSpaceDE/>
        <w:autoSpaceDN/>
        <w:adjustRightInd/>
        <w:spacing w:line="271" w:lineRule="atLeast"/>
        <w:textAlignment w:val="auto"/>
        <w:rPr>
          <w:color w:val="000000"/>
          <w:szCs w:val="22"/>
        </w:rPr>
      </w:pPr>
      <w:r w:rsidRPr="004D692A">
        <w:rPr>
          <w:color w:val="000000"/>
          <w:szCs w:val="22"/>
          <w:u w:val="single"/>
        </w:rPr>
        <w:lastRenderedPageBreak/>
        <w:t>Interest Rate</w:t>
      </w:r>
      <w:r w:rsidRPr="004D692A">
        <w:rPr>
          <w:color w:val="000000"/>
          <w:szCs w:val="22"/>
        </w:rPr>
        <w:t xml:space="preserve">.  The interest rate on a </w:t>
      </w:r>
      <w:r w:rsidR="005F7FC9">
        <w:rPr>
          <w:color w:val="000000"/>
          <w:szCs w:val="22"/>
        </w:rPr>
        <w:t>direct</w:t>
      </w:r>
      <w:r w:rsidR="005F7FC9" w:rsidRPr="004D692A">
        <w:rPr>
          <w:color w:val="000000"/>
          <w:szCs w:val="22"/>
        </w:rPr>
        <w:t xml:space="preserve"> </w:t>
      </w:r>
      <w:r w:rsidRPr="004D692A">
        <w:rPr>
          <w:color w:val="000000"/>
          <w:szCs w:val="22"/>
        </w:rPr>
        <w:t>loan resulting from a draw on a line of credit will be equal to or greater than the yield on a 30-year U.S. Treasury security on the date of the execution of the line of credit agreement.</w:t>
      </w:r>
      <w:r w:rsidR="003372AD">
        <w:rPr>
          <w:rStyle w:val="FootnoteReference"/>
          <w:color w:val="000000"/>
          <w:szCs w:val="22"/>
        </w:rPr>
        <w:footnoteReference w:id="57"/>
      </w:r>
      <w:r w:rsidRPr="004D692A">
        <w:rPr>
          <w:color w:val="000000"/>
          <w:szCs w:val="22"/>
        </w:rPr>
        <w:t xml:space="preserve">  </w:t>
      </w:r>
      <w:r w:rsidRPr="004D692A">
        <w:rPr>
          <w:szCs w:val="22"/>
        </w:rPr>
        <w:t xml:space="preserve">The DOT identifies the Treasury rates through use of the daily rate tables published by the Bureau of the Public Debt for the State and Local Government Series investments.  Adding one basis point to the SLGS rates produces the estimated average yields on comparable Treasury securities.  The SLGS tables can be found on-line at The SLGS tables can be found on-line at </w:t>
      </w:r>
      <w:hyperlink r:id="rId24" w:history="1">
        <w:r w:rsidRPr="00E0293F">
          <w:rPr>
            <w:rStyle w:val="Hyperlink"/>
            <w:szCs w:val="22"/>
          </w:rPr>
          <w:t>https://www.treasurydirect.gov/GA-SL/SLGS/selectSLGSDate.htm</w:t>
        </w:r>
      </w:hyperlink>
      <w:r w:rsidRPr="004D692A">
        <w:rPr>
          <w:szCs w:val="22"/>
        </w:rPr>
        <w:t>.</w:t>
      </w:r>
      <w:r>
        <w:rPr>
          <w:szCs w:val="22"/>
        </w:rPr>
        <w:t xml:space="preserve">  The daily TIFIA interest rate can be found on the TIFIA web site at </w:t>
      </w:r>
      <w:hyperlink r:id="rId25" w:history="1">
        <w:r w:rsidR="00527273" w:rsidRPr="003B3513">
          <w:rPr>
            <w:rStyle w:val="Hyperlink"/>
          </w:rPr>
          <w:t>http://www.fhwa.dot.gov/ipd/tifia</w:t>
        </w:r>
      </w:hyperlink>
      <w:r>
        <w:rPr>
          <w:szCs w:val="22"/>
        </w:rPr>
        <w:t>.</w:t>
      </w:r>
      <w:r w:rsidRPr="004D692A">
        <w:rPr>
          <w:szCs w:val="22"/>
        </w:rPr>
        <w:t xml:space="preserve">  Interest accrual on TIFIA proceeds begins immediately upon disbursement of funds to the borrower.</w:t>
      </w:r>
    </w:p>
    <w:p w:rsidR="00B77793" w:rsidRPr="004D692A" w:rsidRDefault="00B77793" w:rsidP="0070290F">
      <w:pPr>
        <w:pStyle w:val="TIFIABodyText"/>
        <w:widowControl/>
        <w:numPr>
          <w:ilvl w:val="0"/>
          <w:numId w:val="2"/>
        </w:numPr>
        <w:tabs>
          <w:tab w:val="left" w:pos="360"/>
        </w:tabs>
        <w:overflowPunct/>
        <w:autoSpaceDE/>
        <w:autoSpaceDN/>
        <w:adjustRightInd/>
        <w:spacing w:line="271" w:lineRule="atLeast"/>
        <w:textAlignment w:val="auto"/>
        <w:rPr>
          <w:color w:val="000000"/>
          <w:szCs w:val="22"/>
        </w:rPr>
      </w:pPr>
      <w:r w:rsidRPr="004D692A">
        <w:rPr>
          <w:color w:val="000000"/>
          <w:szCs w:val="22"/>
          <w:u w:val="single"/>
        </w:rPr>
        <w:t>Maturity</w:t>
      </w:r>
      <w:r w:rsidRPr="004D692A">
        <w:rPr>
          <w:color w:val="000000"/>
          <w:szCs w:val="22"/>
        </w:rPr>
        <w:t xml:space="preserve">.  The final maturity date of a </w:t>
      </w:r>
      <w:r w:rsidR="00892F58">
        <w:rPr>
          <w:color w:val="000000"/>
          <w:szCs w:val="22"/>
        </w:rPr>
        <w:t>direct</w:t>
      </w:r>
      <w:r w:rsidR="00892F58" w:rsidRPr="004D692A">
        <w:rPr>
          <w:color w:val="000000"/>
          <w:szCs w:val="22"/>
        </w:rPr>
        <w:t xml:space="preserve"> </w:t>
      </w:r>
      <w:r w:rsidRPr="004D692A">
        <w:rPr>
          <w:color w:val="000000"/>
          <w:szCs w:val="22"/>
        </w:rPr>
        <w:t>loan resulting from a draw on a line of credit must be no later than 35 years after the date of substantial completion of the project</w:t>
      </w:r>
      <w:r w:rsidR="008A13D1">
        <w:rPr>
          <w:color w:val="000000"/>
          <w:szCs w:val="22"/>
        </w:rPr>
        <w:t xml:space="preserve"> </w:t>
      </w:r>
      <w:r w:rsidR="008A13D1">
        <w:rPr>
          <w:szCs w:val="22"/>
        </w:rPr>
        <w:t>or the useful life of the project, whichever is less</w:t>
      </w:r>
      <w:r w:rsidRPr="004D692A">
        <w:rPr>
          <w:color w:val="000000"/>
          <w:szCs w:val="22"/>
        </w:rPr>
        <w:t>.</w:t>
      </w:r>
      <w:r w:rsidR="00172508">
        <w:rPr>
          <w:rStyle w:val="FootnoteReference"/>
          <w:color w:val="000000"/>
          <w:szCs w:val="22"/>
        </w:rPr>
        <w:footnoteReference w:id="58"/>
      </w:r>
    </w:p>
    <w:p w:rsidR="00B77793" w:rsidRPr="008A13D1" w:rsidRDefault="00B77793" w:rsidP="0070290F">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color w:val="000000"/>
          <w:szCs w:val="22"/>
          <w:u w:val="single"/>
        </w:rPr>
        <w:t>Repayment Terms</w:t>
      </w:r>
      <w:r w:rsidRPr="004D692A">
        <w:rPr>
          <w:color w:val="000000"/>
          <w:szCs w:val="22"/>
        </w:rPr>
        <w:t>.  Scheduled repayments of a draw on a line of credit must commence no later than five years after the end of the 10-year period of availability and be fully repaid no later than 25 years after the end of the 10-year period of availability.</w:t>
      </w:r>
      <w:r w:rsidR="00172508">
        <w:rPr>
          <w:rStyle w:val="FootnoteReference"/>
          <w:color w:val="000000"/>
          <w:szCs w:val="22"/>
        </w:rPr>
        <w:footnoteReference w:id="59"/>
      </w:r>
      <w:r w:rsidRPr="004D692A">
        <w:rPr>
          <w:color w:val="000000"/>
          <w:szCs w:val="22"/>
        </w:rPr>
        <w:t xml:space="preserve">  Level debt service is not required.</w:t>
      </w:r>
      <w:r w:rsidR="00172508">
        <w:rPr>
          <w:rStyle w:val="FootnoteReference"/>
          <w:color w:val="000000"/>
          <w:szCs w:val="22"/>
        </w:rPr>
        <w:footnoteReference w:id="60"/>
      </w:r>
      <w:r w:rsidRPr="004D692A">
        <w:rPr>
          <w:color w:val="000000"/>
          <w:szCs w:val="22"/>
        </w:rPr>
        <w:t xml:space="preserve">  Debt service payments should be scheduled semi-annually.</w:t>
      </w:r>
    </w:p>
    <w:p w:rsidR="008A13D1" w:rsidRPr="004D692A" w:rsidRDefault="008A13D1" w:rsidP="008A13D1">
      <w:pPr>
        <w:pStyle w:val="TIFIABodyText"/>
        <w:widowControl/>
        <w:numPr>
          <w:ilvl w:val="0"/>
          <w:numId w:val="2"/>
        </w:numPr>
        <w:tabs>
          <w:tab w:val="left" w:pos="360"/>
        </w:tabs>
        <w:overflowPunct/>
        <w:autoSpaceDE/>
        <w:autoSpaceDN/>
        <w:adjustRightInd/>
        <w:spacing w:line="271" w:lineRule="atLeast"/>
        <w:textAlignment w:val="auto"/>
        <w:rPr>
          <w:szCs w:val="22"/>
        </w:rPr>
      </w:pPr>
      <w:r w:rsidRPr="004D692A">
        <w:rPr>
          <w:szCs w:val="22"/>
          <w:u w:val="single"/>
        </w:rPr>
        <w:t>Prepayment Conditions</w:t>
      </w:r>
      <w:r w:rsidRPr="004D692A">
        <w:rPr>
          <w:szCs w:val="22"/>
        </w:rPr>
        <w:t xml:space="preserve">.  A </w:t>
      </w:r>
      <w:r>
        <w:rPr>
          <w:szCs w:val="22"/>
        </w:rPr>
        <w:t>direct</w:t>
      </w:r>
      <w:r w:rsidRPr="004D692A">
        <w:rPr>
          <w:szCs w:val="22"/>
        </w:rPr>
        <w:t xml:space="preserve"> loan resulting from a draw on a line of credit may be prepaid in whole or in part at any time without penalty. </w:t>
      </w:r>
    </w:p>
    <w:p w:rsidR="00B77793" w:rsidRPr="008A13D1" w:rsidRDefault="00B77793" w:rsidP="00A350AA">
      <w:pPr>
        <w:pStyle w:val="TIFIABodyText"/>
        <w:widowControl/>
        <w:numPr>
          <w:ilvl w:val="0"/>
          <w:numId w:val="2"/>
        </w:numPr>
        <w:tabs>
          <w:tab w:val="left" w:pos="360"/>
        </w:tabs>
        <w:overflowPunct/>
        <w:autoSpaceDE/>
        <w:autoSpaceDN/>
        <w:adjustRightInd/>
        <w:spacing w:line="271" w:lineRule="atLeast"/>
        <w:textAlignment w:val="auto"/>
        <w:rPr>
          <w:szCs w:val="22"/>
        </w:rPr>
      </w:pPr>
      <w:r w:rsidRPr="008A13D1">
        <w:rPr>
          <w:szCs w:val="22"/>
          <w:u w:val="single"/>
        </w:rPr>
        <w:t>Lien Priority</w:t>
      </w:r>
      <w:r w:rsidRPr="008A13D1">
        <w:rPr>
          <w:szCs w:val="22"/>
        </w:rPr>
        <w:t xml:space="preserve">.  </w:t>
      </w:r>
      <w:r w:rsidR="00C16CB7" w:rsidRPr="008A13D1">
        <w:rPr>
          <w:szCs w:val="22"/>
        </w:rPr>
        <w:t xml:space="preserve">The TIFIA lien on </w:t>
      </w:r>
      <w:r w:rsidR="008A13D1" w:rsidRPr="008A13D1">
        <w:rPr>
          <w:szCs w:val="22"/>
        </w:rPr>
        <w:t>pledged</w:t>
      </w:r>
      <w:r w:rsidR="00C16CB7" w:rsidRPr="008A13D1">
        <w:rPr>
          <w:szCs w:val="22"/>
        </w:rPr>
        <w:t xml:space="preserve"> revenues can be subordinated to those of senior lenders to the project except in the event of bankruptcy, insolvency, or liquidation of the obligor.  In such an instance, the TIFIA lien would be on par with the</w:t>
      </w:r>
      <w:r w:rsidR="008A13D1" w:rsidRPr="008A13D1">
        <w:rPr>
          <w:szCs w:val="22"/>
        </w:rPr>
        <w:t xml:space="preserve"> lien of the</w:t>
      </w:r>
      <w:r w:rsidR="00C16CB7" w:rsidRPr="008A13D1">
        <w:rPr>
          <w:szCs w:val="22"/>
        </w:rPr>
        <w:t xml:space="preserve"> project’s senior creditors.</w:t>
      </w:r>
      <w:r w:rsidR="00C16CB7">
        <w:rPr>
          <w:rStyle w:val="FootnoteReference"/>
          <w:szCs w:val="22"/>
        </w:rPr>
        <w:footnoteReference w:id="61"/>
      </w:r>
      <w:r w:rsidR="00C16CB7" w:rsidRPr="008A13D1">
        <w:rPr>
          <w:szCs w:val="22"/>
        </w:rPr>
        <w:t xml:space="preserve">  </w:t>
      </w:r>
      <w:r w:rsidR="007A1417" w:rsidRPr="004D692A">
        <w:rPr>
          <w:szCs w:val="22"/>
        </w:rPr>
        <w:t xml:space="preserve">This </w:t>
      </w:r>
      <w:r w:rsidR="007A1417">
        <w:rPr>
          <w:szCs w:val="22"/>
        </w:rPr>
        <w:t xml:space="preserve">provision will be implemented by way of incorporation into the TIFIA credit agreement and any other appropriate financing </w:t>
      </w:r>
      <w:r w:rsidR="007A1417" w:rsidRPr="004D692A">
        <w:rPr>
          <w:szCs w:val="22"/>
        </w:rPr>
        <w:t>agreement</w:t>
      </w:r>
      <w:r w:rsidR="007A1417">
        <w:rPr>
          <w:szCs w:val="22"/>
        </w:rPr>
        <w:t>s</w:t>
      </w:r>
      <w:r w:rsidR="007A1417" w:rsidRPr="004D692A">
        <w:rPr>
          <w:szCs w:val="22"/>
        </w:rPr>
        <w:t xml:space="preserve"> entered into at the time of execution of the </w:t>
      </w:r>
      <w:r w:rsidR="007A1417">
        <w:rPr>
          <w:szCs w:val="22"/>
        </w:rPr>
        <w:t>TIFIA credit agreement</w:t>
      </w:r>
      <w:r w:rsidR="007A1417" w:rsidRPr="004D692A">
        <w:rPr>
          <w:szCs w:val="22"/>
        </w:rPr>
        <w:t xml:space="preserve">.  </w:t>
      </w:r>
      <w:r w:rsidR="00C16CB7" w:rsidRPr="008A13D1">
        <w:rPr>
          <w:szCs w:val="22"/>
        </w:rPr>
        <w:t xml:space="preserve">As noted above, this provision can be waived under certain circumstances </w:t>
      </w:r>
      <w:r w:rsidR="00C16CB7">
        <w:t>for public agency borrowers having senior bonds under preexisting indentures so long as certain conditions are met.</w:t>
      </w:r>
      <w:r w:rsidR="00C16CB7">
        <w:rPr>
          <w:rStyle w:val="FootnoteReference"/>
        </w:rPr>
        <w:footnoteReference w:id="62"/>
      </w:r>
    </w:p>
    <w:p w:rsidR="00B77793" w:rsidRDefault="00B77793">
      <w:pPr>
        <w:pStyle w:val="TIFIAHeading1a"/>
        <w:keepLines/>
        <w:widowControl/>
        <w:spacing w:before="0"/>
        <w:jc w:val="both"/>
        <w:outlineLvl w:val="0"/>
      </w:pPr>
      <w:r>
        <w:t>Section 2-3</w:t>
      </w:r>
    </w:p>
    <w:p w:rsidR="00B77793" w:rsidRDefault="00427D30" w:rsidP="0070290F">
      <w:pPr>
        <w:pStyle w:val="TIFIAHeading1b"/>
        <w:keepLines/>
        <w:widowControl/>
        <w:spacing w:after="240"/>
        <w:jc w:val="both"/>
        <w:outlineLvl w:val="0"/>
      </w:pPr>
      <w:r>
        <w:t xml:space="preserve">TIFIA </w:t>
      </w:r>
      <w:r w:rsidR="00B77793">
        <w:t>Loan Repayment and Prepayment Structuring</w:t>
      </w:r>
    </w:p>
    <w:p w:rsidR="00B77793" w:rsidRDefault="00B77793" w:rsidP="004D692A">
      <w:pPr>
        <w:pStyle w:val="TIFIABodyText"/>
        <w:widowControl/>
        <w:spacing w:line="271" w:lineRule="exact"/>
      </w:pPr>
      <w:r>
        <w:t>The TIFIA statute gives the DOT discretion to defer the commencement of debt service repayments for up to five years after substantial completion.</w:t>
      </w:r>
      <w:r w:rsidR="00587D5E">
        <w:rPr>
          <w:rStyle w:val="FootnoteReference"/>
        </w:rPr>
        <w:footnoteReference w:id="63"/>
      </w:r>
      <w:r>
        <w:t xml:space="preserve">  The DOT also has the </w:t>
      </w:r>
      <w:r>
        <w:lastRenderedPageBreak/>
        <w:t>flexibility to structure a debt service schedule so that repayment is aligned with projected cash flows.</w:t>
      </w:r>
      <w:r w:rsidR="00587D5E">
        <w:rPr>
          <w:rStyle w:val="FootnoteReference"/>
        </w:rPr>
        <w:footnoteReference w:id="64"/>
      </w:r>
      <w:r>
        <w:t xml:space="preserve">  </w:t>
      </w:r>
    </w:p>
    <w:p w:rsidR="00B77793" w:rsidRDefault="00B77793" w:rsidP="004D692A">
      <w:pPr>
        <w:pStyle w:val="TIFIABodyText"/>
        <w:widowControl/>
        <w:spacing w:line="271" w:lineRule="exact"/>
        <w:ind w:left="360" w:hanging="360"/>
      </w:pPr>
      <w:r>
        <w:t>1.</w:t>
      </w:r>
      <w:r>
        <w:tab/>
      </w:r>
      <w:r>
        <w:rPr>
          <w:u w:val="single"/>
        </w:rPr>
        <w:t>Scheduled TIFIA Debt Service.</w:t>
      </w:r>
      <w:r>
        <w:t xml:space="preserve">  Projects are not entitled to debt service deferral.  In </w:t>
      </w:r>
      <w:r w:rsidR="007928C0">
        <w:t>exercising</w:t>
      </w:r>
      <w:r>
        <w:t xml:space="preserve"> its discretion</w:t>
      </w:r>
      <w:r w:rsidR="007928C0">
        <w:t xml:space="preserve"> to defer the commencement of debt service repayments</w:t>
      </w:r>
      <w:r>
        <w:t xml:space="preserve">, the DOT </w:t>
      </w:r>
      <w:r w:rsidR="007928C0">
        <w:t xml:space="preserve">will </w:t>
      </w:r>
      <w:r>
        <w:t xml:space="preserve">evaluate the economics </w:t>
      </w:r>
      <w:r w:rsidR="00B43B78">
        <w:t xml:space="preserve">and risks to </w:t>
      </w:r>
      <w:r w:rsidR="00590259">
        <w:t xml:space="preserve">the </w:t>
      </w:r>
      <w:r w:rsidR="00B43B78">
        <w:t xml:space="preserve">DOT </w:t>
      </w:r>
      <w:r>
        <w:t xml:space="preserve">of each project </w:t>
      </w:r>
      <w:r w:rsidR="00B43B78">
        <w:t xml:space="preserve">on a </w:t>
      </w:r>
      <w:r w:rsidR="00A31594">
        <w:t>project-</w:t>
      </w:r>
      <w:r w:rsidR="00B43B78">
        <w:t>by</w:t>
      </w:r>
      <w:r w:rsidR="00A31594">
        <w:t>-project</w:t>
      </w:r>
      <w:r w:rsidR="00B43B78">
        <w:t xml:space="preserve"> basis </w:t>
      </w:r>
      <w:r>
        <w:t>to determine an appropriate repayment schedule.</w:t>
      </w:r>
      <w:r w:rsidR="00F12381">
        <w:rPr>
          <w:rStyle w:val="FootnoteReference"/>
        </w:rPr>
        <w:footnoteReference w:id="65"/>
      </w:r>
      <w:r w:rsidR="00916992">
        <w:t xml:space="preserve"> </w:t>
      </w:r>
      <w:r>
        <w:t xml:space="preserve"> Factors in this assessment include:</w:t>
      </w:r>
    </w:p>
    <w:p w:rsidR="00B77793" w:rsidRDefault="00B77793" w:rsidP="004D692A">
      <w:pPr>
        <w:pStyle w:val="TIFIABodyText"/>
        <w:widowControl/>
        <w:numPr>
          <w:ilvl w:val="0"/>
          <w:numId w:val="3"/>
        </w:numPr>
        <w:tabs>
          <w:tab w:val="clear" w:pos="171"/>
          <w:tab w:val="left" w:pos="720"/>
        </w:tabs>
        <w:overflowPunct/>
        <w:autoSpaceDE/>
        <w:autoSpaceDN/>
        <w:adjustRightInd/>
        <w:spacing w:line="271" w:lineRule="exact"/>
        <w:ind w:left="720"/>
        <w:textAlignment w:val="auto"/>
      </w:pPr>
      <w:r>
        <w:rPr>
          <w:i/>
        </w:rPr>
        <w:t>Availability of revenues for debt service</w:t>
      </w:r>
      <w:r>
        <w:t xml:space="preserve">.  Some projects are not true “project financings,” but rely on tax or other </w:t>
      </w:r>
      <w:r w:rsidR="00F12381">
        <w:t xml:space="preserve">non-project </w:t>
      </w:r>
      <w:r>
        <w:t xml:space="preserve">revenues, which may be available for debt service even before the project is completed.  In such cases, the DOT is likely to require commencement of debt service upon substantial completion, although </w:t>
      </w:r>
      <w:r w:rsidR="000D4F00">
        <w:t xml:space="preserve">the </w:t>
      </w:r>
      <w:r>
        <w:t>DOT may require commencement of debt service during construction for a project not financed with user revenues.  Projects mo</w:t>
      </w:r>
      <w:r w:rsidR="00AE434C">
        <w:t>re</w:t>
      </w:r>
      <w:r>
        <w:t xml:space="preserve"> likely to be </w:t>
      </w:r>
      <w:r w:rsidR="009B388E">
        <w:t>favorably considered for</w:t>
      </w:r>
      <w:r>
        <w:t xml:space="preserve"> interest deferral and </w:t>
      </w:r>
      <w:proofErr w:type="spellStart"/>
      <w:r>
        <w:t>backloading</w:t>
      </w:r>
      <w:proofErr w:type="spellEnd"/>
      <w:r>
        <w:t xml:space="preserve"> of principal are those where project revenues support the financing and borrowers anticipate a long ramp-up period.</w:t>
      </w:r>
    </w:p>
    <w:p w:rsidR="00B77793" w:rsidRDefault="00B77793" w:rsidP="004D692A">
      <w:pPr>
        <w:pStyle w:val="TIFIABodyText"/>
        <w:widowControl/>
        <w:numPr>
          <w:ilvl w:val="0"/>
          <w:numId w:val="3"/>
        </w:numPr>
        <w:tabs>
          <w:tab w:val="clear" w:pos="171"/>
          <w:tab w:val="left" w:pos="720"/>
          <w:tab w:val="left" w:pos="900"/>
        </w:tabs>
        <w:overflowPunct/>
        <w:autoSpaceDE/>
        <w:autoSpaceDN/>
        <w:adjustRightInd/>
        <w:spacing w:line="271" w:lineRule="exact"/>
        <w:ind w:left="720"/>
        <w:textAlignment w:val="auto"/>
      </w:pPr>
      <w:r>
        <w:rPr>
          <w:i/>
        </w:rPr>
        <w:t>Amortization of senior debt</w:t>
      </w:r>
      <w:r>
        <w:t xml:space="preserve">.  When the financial plan includes other </w:t>
      </w:r>
      <w:r w:rsidR="0022318E">
        <w:t xml:space="preserve">project </w:t>
      </w:r>
      <w:r>
        <w:t xml:space="preserve">debt senior to TIFIA, the DOT expects that the capitalized interest period for the </w:t>
      </w:r>
      <w:r w:rsidR="0022318E">
        <w:t xml:space="preserve">project’s </w:t>
      </w:r>
      <w:r>
        <w:t xml:space="preserve">senior debt is likely to end before the capitalized interest period for the TIFIA loan.  Thus, the DOT may agree to continue deferring an appropriate amount of its loan interest to ensure that revenue is adequate to pay full interest on the senior debt.  However, the DOT will not increase its investment in a project by deferring interest when other creditors are withdrawing their investment.  Therefore, </w:t>
      </w:r>
      <w:r w:rsidR="000D4F00">
        <w:t xml:space="preserve">the </w:t>
      </w:r>
      <w:r>
        <w:t>DOT’s policy is not to permit any amortization of</w:t>
      </w:r>
      <w:r w:rsidR="0022318E">
        <w:t xml:space="preserve"> a project’s</w:t>
      </w:r>
      <w:r>
        <w:t xml:space="preserve"> senior debt while TIFIA interest is being deferred. </w:t>
      </w:r>
    </w:p>
    <w:p w:rsidR="00B77793" w:rsidRDefault="00B77793" w:rsidP="004D692A">
      <w:pPr>
        <w:pStyle w:val="TIFIABodyText"/>
        <w:widowControl/>
        <w:numPr>
          <w:ilvl w:val="0"/>
          <w:numId w:val="3"/>
        </w:numPr>
        <w:tabs>
          <w:tab w:val="clear" w:pos="171"/>
          <w:tab w:val="left" w:pos="720"/>
          <w:tab w:val="left" w:pos="900"/>
        </w:tabs>
        <w:overflowPunct/>
        <w:autoSpaceDE/>
        <w:autoSpaceDN/>
        <w:adjustRightInd/>
        <w:spacing w:line="271" w:lineRule="exact"/>
        <w:ind w:left="720"/>
        <w:textAlignment w:val="auto"/>
      </w:pPr>
      <w:r>
        <w:rPr>
          <w:i/>
        </w:rPr>
        <w:t>Returns on equity</w:t>
      </w:r>
      <w:r>
        <w:t xml:space="preserve">.  </w:t>
      </w:r>
      <w:r w:rsidR="00A31594">
        <w:t>T</w:t>
      </w:r>
      <w:r>
        <w:t xml:space="preserve">he DOT </w:t>
      </w:r>
      <w:r w:rsidR="00A31594">
        <w:t xml:space="preserve">requires </w:t>
      </w:r>
      <w:r>
        <w:t xml:space="preserve">equity investors, who will be subordinate to TIFIA, </w:t>
      </w:r>
      <w:r w:rsidR="00A31594">
        <w:t xml:space="preserve">to </w:t>
      </w:r>
      <w:r>
        <w:t xml:space="preserve">defer commencement of their return.  The DOT will not permit any distribution to equity until all currently accruing TIFIA interest is paid.  The DOT will negotiate, on a project-by-project basis, the priority and relationship of TIFIA repayment and equity </w:t>
      </w:r>
      <w:r w:rsidR="00A31594">
        <w:t>distributions</w:t>
      </w:r>
      <w:r>
        <w:t>.</w:t>
      </w:r>
    </w:p>
    <w:p w:rsidR="00B77793" w:rsidRDefault="00B77793" w:rsidP="004D692A">
      <w:pPr>
        <w:pStyle w:val="TIFIABodyText"/>
        <w:widowControl/>
        <w:overflowPunct/>
        <w:autoSpaceDE/>
        <w:autoSpaceDN/>
        <w:adjustRightInd/>
        <w:spacing w:line="271" w:lineRule="exact"/>
        <w:ind w:left="360" w:hanging="360"/>
        <w:textAlignment w:val="auto"/>
      </w:pPr>
      <w:r>
        <w:t>2.</w:t>
      </w:r>
      <w:r>
        <w:tab/>
      </w:r>
      <w:r>
        <w:rPr>
          <w:u w:val="single"/>
        </w:rPr>
        <w:t>Prepayment and Refinancing</w:t>
      </w:r>
      <w:r>
        <w:t>.  Although TIFIA provides long-term financing, the DOT does not intend that TIFIA become part of a project’s permanent capital structure where a strong revenue stream and vigorous project economics permit prepayment or substitution of the TIFIA credit instrument.  The DOT will negotiate a debt service schedule that provides a high probability of repayment and avoidance of default.  In return, the DOT typically requires that excess revenues – not needed for project purposes – be applied to prepayment of the TIFIA loan.  The DOT also will seek to structure the financing in a way that encourages borrowers to replace the TIFIA loan with capital markets debt at such time as project economics support refinancing.</w:t>
      </w:r>
    </w:p>
    <w:p w:rsidR="00B77793" w:rsidRDefault="00B77793" w:rsidP="004D692A">
      <w:pPr>
        <w:pStyle w:val="TIFIABodyText"/>
        <w:widowControl/>
        <w:spacing w:line="271" w:lineRule="exact"/>
      </w:pPr>
      <w:r>
        <w:lastRenderedPageBreak/>
        <w:t>Exhibit 2-B shows a typical flow of funds for a project that includes both senior and subordinate TIFIA debt.  The chart demonstrates how senior debt service (as well as reserve accounts for the benefit of senior bondholders) generally accumulates revenues ahead of TIFIA debt service</w:t>
      </w:r>
      <w:r w:rsidR="00E826D8">
        <w:t xml:space="preserve"> and reserve accounts for TIFIA debt service, if applicable</w:t>
      </w:r>
      <w:r>
        <w:t xml:space="preserve">.  </w:t>
      </w:r>
    </w:p>
    <w:p w:rsidR="00B77793" w:rsidRPr="00BC75C4" w:rsidRDefault="00B77793" w:rsidP="00BC75C4">
      <w:pPr>
        <w:pStyle w:val="TIFIATableTitle"/>
        <w:keepLines/>
        <w:widowControl/>
        <w:spacing w:before="0" w:after="240"/>
        <w:outlineLvl w:val="0"/>
        <w:rPr>
          <w:rFonts w:ascii="Times New Roman" w:hAnsi="Times New Roman"/>
          <w:sz w:val="22"/>
          <w:szCs w:val="22"/>
        </w:rPr>
      </w:pPr>
      <w:r w:rsidRPr="00BC75C4">
        <w:rPr>
          <w:rFonts w:ascii="Times New Roman" w:hAnsi="Times New Roman"/>
          <w:sz w:val="22"/>
          <w:szCs w:val="22"/>
        </w:rPr>
        <w:t>Exhibit 2-B:  Example of Project Flow of Funds</w:t>
      </w:r>
    </w:p>
    <w:p w:rsidR="00B77793" w:rsidRDefault="00B77793" w:rsidP="00BC75C4">
      <w:pPr>
        <w:pStyle w:val="TIFIABodyText"/>
        <w:keepNext/>
        <w:keepLines/>
        <w:widowControl/>
        <w:tabs>
          <w:tab w:val="left" w:pos="900"/>
        </w:tabs>
        <w:ind w:left="450"/>
        <w:jc w:val="center"/>
      </w:pPr>
    </w:p>
    <w:p w:rsidR="00E826D8" w:rsidRDefault="00E826D8" w:rsidP="00BC75C4">
      <w:pPr>
        <w:pStyle w:val="TIFIABodyText"/>
        <w:keepNext/>
        <w:keepLines/>
        <w:widowControl/>
        <w:tabs>
          <w:tab w:val="left" w:pos="900"/>
        </w:tabs>
        <w:ind w:left="450"/>
      </w:pPr>
      <w:r w:rsidRPr="00E826D8">
        <w:rPr>
          <w:noProof/>
        </w:rPr>
        <mc:AlternateContent>
          <mc:Choice Requires="wpg">
            <w:drawing>
              <wp:anchor distT="0" distB="0" distL="114300" distR="114300" simplePos="0" relativeHeight="251661824" behindDoc="0" locked="0" layoutInCell="1" allowOverlap="1" wp14:anchorId="076F8BC7" wp14:editId="5D52030B">
                <wp:simplePos x="0" y="0"/>
                <wp:positionH relativeFrom="column">
                  <wp:posOffset>681990</wp:posOffset>
                </wp:positionH>
                <wp:positionV relativeFrom="paragraph">
                  <wp:posOffset>48895</wp:posOffset>
                </wp:positionV>
                <wp:extent cx="4876800" cy="3912235"/>
                <wp:effectExtent l="0" t="0" r="0" b="0"/>
                <wp:wrapNone/>
                <wp:docPr id="22" name="Group 2057"/>
                <wp:cNvGraphicFramePr/>
                <a:graphic xmlns:a="http://schemas.openxmlformats.org/drawingml/2006/main">
                  <a:graphicData uri="http://schemas.microsoft.com/office/word/2010/wordprocessingGroup">
                    <wpg:wgp>
                      <wpg:cNvGrpSpPr/>
                      <wpg:grpSpPr bwMode="auto">
                        <a:xfrm>
                          <a:off x="0" y="0"/>
                          <a:ext cx="4876800" cy="3912235"/>
                          <a:chOff x="0" y="0"/>
                          <a:chExt cx="4876800" cy="3912129"/>
                        </a:xfrm>
                      </wpg:grpSpPr>
                      <pic:pic xmlns:pic="http://schemas.openxmlformats.org/drawingml/2006/picture">
                        <pic:nvPicPr>
                          <pic:cNvPr id="23"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014373" y="120541"/>
                            <a:ext cx="2352675" cy="2928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4" name="Group 24"/>
                        <wpg:cNvGrpSpPr>
                          <a:grpSpLocks/>
                        </wpg:cNvGrpSpPr>
                        <wpg:grpSpPr bwMode="auto">
                          <a:xfrm>
                            <a:off x="361950" y="0"/>
                            <a:ext cx="1527175" cy="436563"/>
                            <a:chOff x="361950" y="0"/>
                            <a:chExt cx="962" cy="275"/>
                          </a:xfrm>
                        </wpg:grpSpPr>
                        <pic:pic xmlns:pic="http://schemas.openxmlformats.org/drawingml/2006/picture">
                          <pic:nvPicPr>
                            <pic:cNvPr id="25"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361950" y="0"/>
                              <a:ext cx="962"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361950" y="0"/>
                              <a:ext cx="962"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27" name="Rectangle 27"/>
                        <wps:cNvSpPr>
                          <a:spLocks noChangeArrowheads="1"/>
                        </wps:cNvSpPr>
                        <wps:spPr bwMode="auto">
                          <a:xfrm>
                            <a:off x="2068513" y="2316163"/>
                            <a:ext cx="1241425" cy="163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513" w:rsidRDefault="00AD0513" w:rsidP="00E826D8"/>
                          </w:txbxContent>
                        </wps:txbx>
                        <wps:bodyPr/>
                      </wps:wsp>
                      <pic:pic xmlns:pic="http://schemas.openxmlformats.org/drawingml/2006/picture">
                        <pic:nvPicPr>
                          <pic:cNvPr id="28"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416425" y="3505200"/>
                            <a:ext cx="460375" cy="404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9"/>
                          <pic:cNvPicPr>
                            <a:picLocks noChangeAspect="1" noChangeArrowheads="1"/>
                          </pic:cNvPicPr>
                        </pic:nvPicPr>
                        <pic:blipFill>
                          <a:blip r:embed="rId26">
                            <a:extLst>
                              <a:ext uri="{28A0092B-C50C-407E-A947-70E740481C1C}">
                                <a14:useLocalDpi xmlns:a14="http://schemas.microsoft.com/office/drawing/2010/main" val="0"/>
                              </a:ext>
                            </a:extLst>
                          </a:blip>
                          <a:srcRect l="72079" t="82863"/>
                          <a:stretch>
                            <a:fillRect/>
                          </a:stretch>
                        </pic:blipFill>
                        <pic:spPr bwMode="auto">
                          <a:xfrm>
                            <a:off x="4067503" y="2996597"/>
                            <a:ext cx="656897" cy="508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Rectangle 30"/>
                        <wps:cNvSpPr>
                          <a:spLocks noChangeArrowheads="1"/>
                        </wps:cNvSpPr>
                        <wps:spPr bwMode="auto">
                          <a:xfrm>
                            <a:off x="2167759" y="3607384"/>
                            <a:ext cx="1291590" cy="304745"/>
                          </a:xfrm>
                          <a:prstGeom prst="rect">
                            <a:avLst/>
                          </a:prstGeom>
                          <a:solidFill>
                            <a:srgbClr val="FFFFFF"/>
                          </a:solidFill>
                          <a:ln>
                            <a:noFill/>
                          </a:ln>
                          <a:effectLst/>
                          <a:extLs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D0513" w:rsidRDefault="00AD0513" w:rsidP="00E826D8">
                              <w:pPr>
                                <w:pStyle w:val="NormalWeb"/>
                                <w:spacing w:before="0" w:beforeAutospacing="0" w:after="0" w:afterAutospacing="0"/>
                                <w:jc w:val="right"/>
                                <w:textAlignment w:val="baseline"/>
                              </w:pPr>
                              <w:r>
                                <w:rPr>
                                  <w:rFonts w:ascii="Arial" w:hAnsi="Arial" w:cstheme="minorBidi"/>
                                  <w:b/>
                                  <w:bCs/>
                                  <w:color w:val="000000" w:themeColor="text1"/>
                                  <w:kern w:val="24"/>
                                  <w:sz w:val="20"/>
                                  <w:szCs w:val="20"/>
                                </w:rPr>
                                <w:t>Surplus Revenues</w:t>
                              </w:r>
                            </w:p>
                          </w:txbxContent>
                        </wps:txbx>
                        <wps:bodyPr wrap="none" anchor="ctr"/>
                      </wps:wsp>
                      <wps:wsp>
                        <wps:cNvPr id="31" name="Rectangle 31"/>
                        <wps:cNvSpPr>
                          <a:spLocks noChangeArrowheads="1"/>
                        </wps:cNvSpPr>
                        <wps:spPr bwMode="auto">
                          <a:xfrm>
                            <a:off x="1889125" y="3200140"/>
                            <a:ext cx="2089150" cy="304745"/>
                          </a:xfrm>
                          <a:prstGeom prst="rect">
                            <a:avLst/>
                          </a:prstGeom>
                          <a:solidFill>
                            <a:srgbClr val="FFFFFF"/>
                          </a:solidFill>
                          <a:ln>
                            <a:noFill/>
                          </a:ln>
                          <a:effectLst/>
                          <a:extLs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D0513" w:rsidRDefault="00AD0513" w:rsidP="00E826D8">
                              <w:pPr>
                                <w:pStyle w:val="NormalWeb"/>
                                <w:spacing w:before="0" w:beforeAutospacing="0" w:after="0" w:afterAutospacing="0"/>
                                <w:jc w:val="right"/>
                                <w:textAlignment w:val="baseline"/>
                              </w:pPr>
                              <w:r>
                                <w:rPr>
                                  <w:rFonts w:ascii="Arial" w:hAnsi="Arial" w:cstheme="minorBidi"/>
                                  <w:b/>
                                  <w:bCs/>
                                  <w:color w:val="000000" w:themeColor="text1"/>
                                  <w:kern w:val="24"/>
                                  <w:sz w:val="20"/>
                                  <w:szCs w:val="20"/>
                                </w:rPr>
                                <w:t>Various Other Project Reserves</w:t>
                              </w:r>
                            </w:p>
                          </w:txbxContent>
                        </wps:txbx>
                        <wps:bodyPr wrap="none" anchor="ctr"/>
                      </wps:wsp>
                      <wps:wsp>
                        <wps:cNvPr id="8192" name="Rectangle 8192"/>
                        <wps:cNvSpPr>
                          <a:spLocks noChangeArrowheads="1"/>
                        </wps:cNvSpPr>
                        <wps:spPr bwMode="auto">
                          <a:xfrm>
                            <a:off x="1125537" y="2349666"/>
                            <a:ext cx="1305560" cy="304745"/>
                          </a:xfrm>
                          <a:prstGeom prst="rect">
                            <a:avLst/>
                          </a:prstGeom>
                          <a:solidFill>
                            <a:srgbClr val="FFFFFF"/>
                          </a:solidFill>
                          <a:ln>
                            <a:noFill/>
                          </a:ln>
                          <a:effectLst/>
                          <a:extLs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D0513" w:rsidRDefault="00AD0513" w:rsidP="00E826D8">
                              <w:pPr>
                                <w:pStyle w:val="NormalWeb"/>
                                <w:spacing w:before="0" w:beforeAutospacing="0" w:after="0" w:afterAutospacing="0"/>
                                <w:jc w:val="right"/>
                                <w:textAlignment w:val="baseline"/>
                              </w:pPr>
                              <w:r>
                                <w:rPr>
                                  <w:rFonts w:ascii="Arial" w:hAnsi="Arial" w:cstheme="minorBidi"/>
                                  <w:b/>
                                  <w:bCs/>
                                  <w:color w:val="000000" w:themeColor="text1"/>
                                  <w:kern w:val="24"/>
                                  <w:sz w:val="20"/>
                                  <w:szCs w:val="20"/>
                                </w:rPr>
                                <w:t>TIFIA Debt Service</w:t>
                              </w:r>
                            </w:p>
                          </w:txbxContent>
                        </wps:txbx>
                        <wps:bodyPr wrap="none" anchor="ctr"/>
                      </wps:wsp>
                      <wps:wsp>
                        <wps:cNvPr id="8193" name="Rectangle 8193"/>
                        <wps:cNvSpPr>
                          <a:spLocks noChangeArrowheads="1"/>
                        </wps:cNvSpPr>
                        <wps:spPr bwMode="auto">
                          <a:xfrm>
                            <a:off x="723900" y="1904845"/>
                            <a:ext cx="1983105" cy="304745"/>
                          </a:xfrm>
                          <a:prstGeom prst="rect">
                            <a:avLst/>
                          </a:prstGeom>
                          <a:solidFill>
                            <a:srgbClr val="FFFFFF"/>
                          </a:solidFill>
                          <a:ln>
                            <a:noFill/>
                          </a:ln>
                          <a:effectLst/>
                          <a:extLs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D0513" w:rsidRDefault="00AD0513" w:rsidP="00E826D8">
                              <w:pPr>
                                <w:pStyle w:val="NormalWeb"/>
                                <w:spacing w:before="0" w:beforeAutospacing="0" w:after="0" w:afterAutospacing="0"/>
                                <w:jc w:val="right"/>
                                <w:textAlignment w:val="baseline"/>
                              </w:pPr>
                              <w:r>
                                <w:rPr>
                                  <w:rFonts w:ascii="Arial" w:hAnsi="Arial" w:cstheme="minorBidi"/>
                                  <w:b/>
                                  <w:bCs/>
                                  <w:color w:val="000000" w:themeColor="text1"/>
                                  <w:kern w:val="24"/>
                                  <w:sz w:val="20"/>
                                  <w:szCs w:val="20"/>
                                </w:rPr>
                                <w:t>Senior Debt Service Reserves</w:t>
                              </w:r>
                            </w:p>
                          </w:txbxContent>
                        </wps:txbx>
                        <wps:bodyPr wrap="none" anchor="ctr"/>
                      </wps:wsp>
                      <wps:wsp>
                        <wps:cNvPr id="8194" name="Rectangle 8194"/>
                        <wps:cNvSpPr>
                          <a:spLocks noChangeArrowheads="1"/>
                        </wps:cNvSpPr>
                        <wps:spPr bwMode="auto">
                          <a:xfrm>
                            <a:off x="361950" y="1416729"/>
                            <a:ext cx="1383030" cy="305379"/>
                          </a:xfrm>
                          <a:prstGeom prst="rect">
                            <a:avLst/>
                          </a:prstGeom>
                          <a:solidFill>
                            <a:srgbClr val="FFFFFF"/>
                          </a:solidFill>
                          <a:ln>
                            <a:noFill/>
                          </a:ln>
                          <a:effectLst/>
                          <a:extLs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D0513" w:rsidRDefault="00AD0513" w:rsidP="00E826D8">
                              <w:pPr>
                                <w:pStyle w:val="NormalWeb"/>
                                <w:spacing w:before="0" w:beforeAutospacing="0" w:after="0" w:afterAutospacing="0"/>
                                <w:jc w:val="right"/>
                                <w:textAlignment w:val="baseline"/>
                              </w:pPr>
                              <w:r>
                                <w:rPr>
                                  <w:rFonts w:ascii="Arial" w:hAnsi="Arial" w:cstheme="minorBidi"/>
                                  <w:b/>
                                  <w:bCs/>
                                  <w:color w:val="000000" w:themeColor="text1"/>
                                  <w:kern w:val="24"/>
                                  <w:sz w:val="20"/>
                                  <w:szCs w:val="20"/>
                                </w:rPr>
                                <w:t>Senior Debt Service</w:t>
                              </w:r>
                            </w:p>
                          </w:txbxContent>
                        </wps:txbx>
                        <wps:bodyPr wrap="none" anchor="ctr"/>
                      </wps:wsp>
                      <wps:wsp>
                        <wps:cNvPr id="8195" name="Rectangle 8195"/>
                        <wps:cNvSpPr>
                          <a:spLocks noChangeArrowheads="1"/>
                        </wps:cNvSpPr>
                        <wps:spPr bwMode="auto">
                          <a:xfrm>
                            <a:off x="76200" y="1011539"/>
                            <a:ext cx="2180590" cy="304745"/>
                          </a:xfrm>
                          <a:prstGeom prst="rect">
                            <a:avLst/>
                          </a:prstGeom>
                          <a:solidFill>
                            <a:srgbClr val="FFFFFF"/>
                          </a:solidFill>
                          <a:ln>
                            <a:noFill/>
                          </a:ln>
                          <a:effectLst/>
                          <a:extLs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D0513" w:rsidRDefault="00AD0513" w:rsidP="00E826D8">
                              <w:pPr>
                                <w:pStyle w:val="NormalWeb"/>
                                <w:spacing w:before="0" w:beforeAutospacing="0" w:after="0" w:afterAutospacing="0"/>
                                <w:jc w:val="right"/>
                                <w:textAlignment w:val="baseline"/>
                              </w:pPr>
                              <w:r>
                                <w:rPr>
                                  <w:rFonts w:ascii="Arial" w:hAnsi="Arial" w:cstheme="minorBidi"/>
                                  <w:b/>
                                  <w:bCs/>
                                  <w:color w:val="000000" w:themeColor="text1"/>
                                  <w:kern w:val="24"/>
                                  <w:sz w:val="20"/>
                                  <w:szCs w:val="20"/>
                                </w:rPr>
                                <w:t>Project Operation &amp; Maintenance</w:t>
                              </w:r>
                            </w:p>
                          </w:txbxContent>
                        </wps:txbx>
                        <wps:bodyPr wrap="none" anchor="ctr"/>
                      </wps:wsp>
                      <wps:wsp>
                        <wps:cNvPr id="8196" name="Rectangle 8196"/>
                        <wps:cNvSpPr>
                          <a:spLocks noChangeArrowheads="1"/>
                        </wps:cNvSpPr>
                        <wps:spPr bwMode="auto">
                          <a:xfrm>
                            <a:off x="0" y="457163"/>
                            <a:ext cx="782955" cy="304745"/>
                          </a:xfrm>
                          <a:prstGeom prst="rect">
                            <a:avLst/>
                          </a:prstGeom>
                          <a:solidFill>
                            <a:srgbClr val="FFFFFF"/>
                          </a:solidFill>
                          <a:ln>
                            <a:noFill/>
                          </a:ln>
                          <a:effectLst/>
                          <a:extLs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D0513" w:rsidRDefault="00AD0513" w:rsidP="00E826D8">
                              <w:pPr>
                                <w:pStyle w:val="NormalWeb"/>
                                <w:spacing w:before="0" w:beforeAutospacing="0" w:after="0" w:afterAutospacing="0"/>
                                <w:jc w:val="right"/>
                                <w:textAlignment w:val="baseline"/>
                              </w:pPr>
                              <w:r>
                                <w:rPr>
                                  <w:rFonts w:ascii="Arial" w:hAnsi="Arial" w:cstheme="minorBidi"/>
                                  <w:b/>
                                  <w:bCs/>
                                  <w:color w:val="000000" w:themeColor="text1"/>
                                  <w:kern w:val="24"/>
                                  <w:sz w:val="20"/>
                                  <w:szCs w:val="20"/>
                                </w:rPr>
                                <w:t>Revenues</w:t>
                              </w:r>
                            </w:p>
                          </w:txbxContent>
                        </wps:txbx>
                        <wps:bodyPr wrap="none" anchor="ctr"/>
                      </wps:wsp>
                      <wps:wsp>
                        <wps:cNvPr id="8197" name="Rectangle 8197"/>
                        <wps:cNvSpPr>
                          <a:spLocks noChangeArrowheads="1"/>
                        </wps:cNvSpPr>
                        <wps:spPr bwMode="auto">
                          <a:xfrm>
                            <a:off x="1524000" y="2774505"/>
                            <a:ext cx="1835150" cy="304745"/>
                          </a:xfrm>
                          <a:prstGeom prst="rect">
                            <a:avLst/>
                          </a:prstGeom>
                          <a:solidFill>
                            <a:srgbClr val="FFFFFF"/>
                          </a:solidFill>
                          <a:ln>
                            <a:noFill/>
                          </a:ln>
                          <a:effectLst/>
                          <a:extLs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D0513" w:rsidRDefault="00AD0513" w:rsidP="00E826D8">
                              <w:pPr>
                                <w:pStyle w:val="NormalWeb"/>
                                <w:spacing w:before="0" w:beforeAutospacing="0" w:after="0" w:afterAutospacing="0"/>
                                <w:jc w:val="right"/>
                                <w:textAlignment w:val="baseline"/>
                              </w:pPr>
                              <w:r>
                                <w:rPr>
                                  <w:rFonts w:ascii="Arial" w:hAnsi="Arial" w:cstheme="minorBidi"/>
                                  <w:b/>
                                  <w:bCs/>
                                  <w:color w:val="000000" w:themeColor="text1"/>
                                  <w:kern w:val="24"/>
                                  <w:sz w:val="20"/>
                                  <w:szCs w:val="20"/>
                                </w:rPr>
                                <w:t>TIFIA Debt Service Reserve</w:t>
                              </w:r>
                            </w:p>
                          </w:txbxContent>
                        </wps:txbx>
                        <wps:bodyPr wrap="none" anchor="ctr"/>
                      </wps:wsp>
                    </wpg:wgp>
                  </a:graphicData>
                </a:graphic>
              </wp:anchor>
            </w:drawing>
          </mc:Choice>
          <mc:Fallback>
            <w:pict>
              <v:group id="Group 2057" o:spid="_x0000_s1026" style="position:absolute;left:0;text-align:left;margin-left:53.7pt;margin-top:3.85pt;width:384pt;height:308.05pt;z-index:251661824" coordsize="48768,3912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20143;top:1205;width:23527;height:29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2RXPGAAAA2wAAAA8AAABkcnMvZG93bnJldi54bWxEj91qwkAUhO8LfYflFLwRs2kKrcSsUpWC&#10;ghb8eYBj9pgEs2dDdtU0T98VCr0cZuYbJpt1phY3al1lWcFrFIMgzq2uuFBwPHyNxiCcR9ZYWyYF&#10;P+RgNn1+yjDV9s47uu19IQKEXYoKSu+bVEqXl2TQRbYhDt7ZtgZ9kG0hdYv3ADe1TOL4XRqsOCyU&#10;2NCipPyyvxoFw7mmbT+/9B/Jcd2vTsvvzWE9VGrw0n1OQHjq/H/4r73SCpI3eHwJP0BO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DZFc8YAAADbAAAADwAAAAAAAAAAAAAA&#10;AACfAgAAZHJzL2Rvd25yZXYueG1sUEsFBgAAAAAEAAQA9wAAAJIDAAAAAA==&#10;">
                  <v:imagedata r:id="rId30" o:title=""/>
                </v:shape>
                <v:group id="Group 24" o:spid="_x0000_s1028" style="position:absolute;left:3619;width:15272;height:4365" coordorigin="361950" coordsize="96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Picture 25" o:spid="_x0000_s1029" type="#_x0000_t75" style="position:absolute;left:361950;width:962;height: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249PGAAAA2wAAAA8AAABkcnMvZG93bnJldi54bWxEj19Lw0AQxN+FfodjC75IezHU0sZeiwii&#10;0AfpHwp9W3NrEszuhdyZpN++Jwh9HGbmN8xqM3CtOmp95cTA4zQBRZI7W0lh4Hh4myxA+YBisXZC&#10;Bi7kYbMe3a0ws66XHXX7UKgIEZ+hgTKEJtPa5yUx+qlrSKL37VrGEGVbaNtiH+Fc6zRJ5pqxkrhQ&#10;YkOvJeU/+182ELqz/+x273w8PGz72fKUFl/MxtyPh5dnUIGGcAv/tz+sgfQJ/r7EH6D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jbj08YAAADbAAAADwAAAAAAAAAAAAAA&#10;AACfAgAAZHJzL2Rvd25yZXYueG1sUEsFBgAAAAAEAAQA9wAAAJIDAAAAAA==&#10;">
                    <v:imagedata r:id="rId31" o:title=""/>
                  </v:shape>
                  <v:shape id="Picture 26" o:spid="_x0000_s1030" type="#_x0000_t75" style="position:absolute;left:361950;width:962;height: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NXa3BAAAA2wAAAA8AAABkcnMvZG93bnJldi54bWxEj9GKwjAURN8F/yHcBd80WRd0qUYRQVmf&#10;lup+wKW5NtXmpjZR699vBMHHYWbOMPNl52pxozZUnjV8jhQI4sKbiksNf4fN8BtEiMgGa8+k4UEB&#10;lot+b46Z8XfO6baPpUgQDhlqsDE2mZShsOQwjHxDnLyjbx3GJNtSmhbvCe5qOVZqIh1WnBYsNrS2&#10;VJz3V6dB/W6K09Qe3SUo3n2VO7vNt7nWg49uNQMRqYvv8Kv9YzSMJ/D8kn6AXP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sNXa3BAAAA2wAAAA8AAAAAAAAAAAAAAAAAnwIA&#10;AGRycy9kb3ducmV2LnhtbFBLBQYAAAAABAAEAPcAAACNAwAAAAA=&#10;">
                    <v:imagedata r:id="rId32" o:title=""/>
                  </v:shape>
                </v:group>
                <v:rect id="Rectangle 27" o:spid="_x0000_s1031" style="position:absolute;left:20685;top:23161;width:12414;height:1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l1sQA&#10;AADbAAAADwAAAGRycy9kb3ducmV2LnhtbESPQWvCQBSE74X+h+UVvBTd1ENbYjZShGIQQRqr50f2&#10;mYRm38bsmsR/3xUEj8PMfMMky9E0oqfO1ZYVvM0iEMSF1TWXCn7339NPEM4ja2wsk4IrOVimz08J&#10;xtoO/EN97ksRIOxiVFB538ZSuqIig25mW+LgnWxn0AfZlVJ3OAS4aeQ8it6lwZrDQoUtrSoq/vKL&#10;UTAUu/64367l7vWYWT5n51V+2Cg1eRm/FiA8jf4RvrczrWD+A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JpdbEAAAA2wAAAA8AAAAAAAAAAAAAAAAAmAIAAGRycy9k&#10;b3ducmV2LnhtbFBLBQYAAAAABAAEAPUAAACJAwAAAAA=&#10;" filled="f" stroked="f">
                  <v:textbox>
                    <w:txbxContent>
                      <w:p w:rsidR="00AD0513" w:rsidRDefault="00AD0513" w:rsidP="00E826D8"/>
                    </w:txbxContent>
                  </v:textbox>
                </v:rect>
                <v:shape id="Picture 28" o:spid="_x0000_s1032" type="#_x0000_t75" style="position:absolute;left:44164;top:35052;width:4604;height:4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0uU7AAAAA2wAAAA8AAABkcnMvZG93bnJldi54bWxET8uKwjAU3Q/4D+EK7sZUQSnVWIogiIiD&#10;D3B7aa5tZ5qb2sRa/36yEFweznuZ9qYWHbWusqxgMo5AEOdWV1wouJw33zEI55E11pZJwYscpKvB&#10;1xITbZ98pO7kCxFC2CWooPS+SaR0eUkG3dg2xIG72dagD7AtpG7xGcJNLadRNJcGKw4NJTa0Lin/&#10;Oz2Mgq09rLPL7BpffzCOHt3v7rDnu1KjYZ8tQHjq/Uf8dm+1gmkYG76EHyB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PS5TsAAAADbAAAADwAAAAAAAAAAAAAAAACfAgAA&#10;ZHJzL2Rvd25yZXYueG1sUEsFBgAAAAAEAAQA9wAAAIwDAAAAAA==&#10;">
                  <v:imagedata r:id="rId33" o:title=""/>
                </v:shape>
                <v:shape id="Picture 29" o:spid="_x0000_s1033" type="#_x0000_t75" style="position:absolute;left:40675;top:29965;width:6569;height:50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HHDrDAAAA2wAAAA8AAABkcnMvZG93bnJldi54bWxEj1FrwjAUhd8F/0O4wt40tQ8jdkYZQ9kG&#10;Y2jdD7g217bY3NQm0+zfL4OBj4dzznc4y3W0nbjS4FvHGuazDARx5UzLtYavw3aqQPiAbLBzTBp+&#10;yMN6NR4tsTDuxnu6lqEWCcK+QA1NCH0hpa8asuhnridO3skNFkOSQy3NgLcEt53Ms+xRWmw5LTTY&#10;00tD1bn8thoux6jw84OPMtav+UHtVLl5V1o/TOLzE4hAMdzD/+03oyFfwN+X9APk6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YccOsMAAADbAAAADwAAAAAAAAAAAAAAAACf&#10;AgAAZHJzL2Rvd25yZXYueG1sUEsFBgAAAAAEAAQA9wAAAI8DAAAAAA==&#10;">
                  <v:imagedata r:id="rId30" o:title="" croptop="54305f" cropleft="47238f"/>
                </v:shape>
                <v:rect id="Rectangle 30" o:spid="_x0000_s1034" style="position:absolute;left:21677;top:36073;width:12916;height:30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kJcIA&#10;AADbAAAADwAAAGRycy9kb3ducmV2LnhtbERPz2vCMBS+C/4P4Qm7aboKo6tGGYOxseHBbh68PZtn&#10;U9u8lCaz3X9vDsKOH9/v9Xa0rbhS72vHCh4XCQji0umaKwU/32/zDIQPyBpbx6TgjzxsN9PJGnPt&#10;Bt7TtQiViCHsc1RgQuhyKX1pyKJfuI44cmfXWwwR9pXUPQ4x3LYyTZInabHm2GCwo1dDZVP8WgWn&#10;y+fOLDN3aQ7pF46H9+fhOGilHmbjywpEoDH8i+/uD61gGdfHL/E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aQlwgAAANsAAAAPAAAAAAAAAAAAAAAAAJgCAABkcnMvZG93&#10;bnJldi54bWxQSwUGAAAAAAQABAD1AAAAhwMAAAAA&#10;" stroked="f" strokecolor="black [3213]">
                  <v:shadow color="#eeece1 [3214]"/>
                  <v:textbox>
                    <w:txbxContent>
                      <w:p w:rsidR="00AD0513" w:rsidRDefault="00AD0513" w:rsidP="00E826D8">
                        <w:pPr>
                          <w:pStyle w:val="NormalWeb"/>
                          <w:spacing w:before="0" w:beforeAutospacing="0" w:after="0" w:afterAutospacing="0"/>
                          <w:jc w:val="right"/>
                          <w:textAlignment w:val="baseline"/>
                        </w:pPr>
                        <w:r>
                          <w:rPr>
                            <w:rFonts w:ascii="Arial" w:hAnsi="Arial" w:cstheme="minorBidi"/>
                            <w:b/>
                            <w:bCs/>
                            <w:color w:val="000000" w:themeColor="text1"/>
                            <w:kern w:val="24"/>
                            <w:sz w:val="20"/>
                            <w:szCs w:val="20"/>
                          </w:rPr>
                          <w:t>Surplus Revenues</w:t>
                        </w:r>
                      </w:p>
                    </w:txbxContent>
                  </v:textbox>
                </v:rect>
                <v:rect id="Rectangle 31" o:spid="_x0000_s1035" style="position:absolute;left:18891;top:32001;width:20891;height:304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kBvsUA&#10;AADbAAAADwAAAGRycy9kb3ducmV2LnhtbESPT2vCQBTE7wW/w/IK3upGBdHUTShCqVR6qH8OvT2z&#10;z2w0+zZktyZ+e7dQ8DjMzG+YZd7bWlyp9ZVjBeNRAoK4cLriUsF+9/4yB+EDssbaMSm4kYc8Gzwt&#10;MdWu42+6bkMpIoR9igpMCE0qpS8MWfQj1xBH7+RaiyHKtpS6xS7CbS0nSTKTFiuOCwYbWhkqLttf&#10;q+B4/vwy07k7Xw6TDfaHj0X302mlhs/92yuIQH14hP/ba61gOoa/L/EHy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aQG+xQAAANsAAAAPAAAAAAAAAAAAAAAAAJgCAABkcnMv&#10;ZG93bnJldi54bWxQSwUGAAAAAAQABAD1AAAAigMAAAAA&#10;" stroked="f" strokecolor="black [3213]">
                  <v:shadow color="#eeece1 [3214]"/>
                  <v:textbox>
                    <w:txbxContent>
                      <w:p w:rsidR="00AD0513" w:rsidRDefault="00AD0513" w:rsidP="00E826D8">
                        <w:pPr>
                          <w:pStyle w:val="NormalWeb"/>
                          <w:spacing w:before="0" w:beforeAutospacing="0" w:after="0" w:afterAutospacing="0"/>
                          <w:jc w:val="right"/>
                          <w:textAlignment w:val="baseline"/>
                        </w:pPr>
                        <w:r>
                          <w:rPr>
                            <w:rFonts w:ascii="Arial" w:hAnsi="Arial" w:cstheme="minorBidi"/>
                            <w:b/>
                            <w:bCs/>
                            <w:color w:val="000000" w:themeColor="text1"/>
                            <w:kern w:val="24"/>
                            <w:sz w:val="20"/>
                            <w:szCs w:val="20"/>
                          </w:rPr>
                          <w:t>Various Other Project Reserves</w:t>
                        </w:r>
                      </w:p>
                    </w:txbxContent>
                  </v:textbox>
                </v:rect>
                <v:rect id="Rectangle 8192" o:spid="_x0000_s1036" style="position:absolute;left:11255;top:23496;width:13055;height:30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MYCsYA&#10;AADdAAAADwAAAGRycy9kb3ducmV2LnhtbESPQWvCQBSE74L/YXlCb7oxhRKjqxRBlBYPtfXQ2zP7&#10;mo1m34bs1sR/7wqFHoeZ+YZZrHpbiyu1vnKsYDpJQBAXTldcKvj63IwzED4ga6wdk4IbeVgth4MF&#10;5tp1/EHXQyhFhLDPUYEJocml9IUhi37iGuLo/bjWYoiyLaVusYtwW8s0SV6kxYrjgsGG1oaKy+HX&#10;Kjid3/bmOXPnyzF9x/64nXXfnVbqadS/zkEE6sN/+K+90wqy6SyFx5v4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2MYCsYAAADdAAAADwAAAAAAAAAAAAAAAACYAgAAZHJz&#10;L2Rvd25yZXYueG1sUEsFBgAAAAAEAAQA9QAAAIsDAAAAAA==&#10;" stroked="f" strokecolor="black [3213]">
                  <v:shadow color="#eeece1 [3214]"/>
                  <v:textbox>
                    <w:txbxContent>
                      <w:p w:rsidR="00AD0513" w:rsidRDefault="00AD0513" w:rsidP="00E826D8">
                        <w:pPr>
                          <w:pStyle w:val="NormalWeb"/>
                          <w:spacing w:before="0" w:beforeAutospacing="0" w:after="0" w:afterAutospacing="0"/>
                          <w:jc w:val="right"/>
                          <w:textAlignment w:val="baseline"/>
                        </w:pPr>
                        <w:r>
                          <w:rPr>
                            <w:rFonts w:ascii="Arial" w:hAnsi="Arial" w:cstheme="minorBidi"/>
                            <w:b/>
                            <w:bCs/>
                            <w:color w:val="000000" w:themeColor="text1"/>
                            <w:kern w:val="24"/>
                            <w:sz w:val="20"/>
                            <w:szCs w:val="20"/>
                          </w:rPr>
                          <w:t>TIFIA Debt Service</w:t>
                        </w:r>
                      </w:p>
                    </w:txbxContent>
                  </v:textbox>
                </v:rect>
                <v:rect id="Rectangle 8193" o:spid="_x0000_s1037" style="position:absolute;left:7239;top:19048;width:19831;height:304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9kccA&#10;AADdAAAADwAAAGRycy9kb3ducmV2LnhtbESPT2vCQBTE74LfYXmCN92oUGJ0FRFKpaWH+ufg7Zl9&#10;ZqPZtyG7Nem37xYKHoeZ+Q2zXHe2Eg9qfOlYwWScgCDOnS65UHA8vI5SED4ga6wck4If8rBe9XtL&#10;zLRr+Yse+1CICGGfoQITQp1J6XNDFv3Y1cTRu7rGYoiyKaRusI1wW8lpkrxIiyXHBYM1bQ3l9/23&#10;VXC5vX+aWepu99P0A7vT27w9t1qp4aDbLEAE6sIz/N/eaQXpZD6DvzfxCc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vvZHHAAAA3QAAAA8AAAAAAAAAAAAAAAAAmAIAAGRy&#10;cy9kb3ducmV2LnhtbFBLBQYAAAAABAAEAPUAAACMAwAAAAA=&#10;" stroked="f" strokecolor="black [3213]">
                  <v:shadow color="#eeece1 [3214]"/>
                  <v:textbox>
                    <w:txbxContent>
                      <w:p w:rsidR="00AD0513" w:rsidRDefault="00AD0513" w:rsidP="00E826D8">
                        <w:pPr>
                          <w:pStyle w:val="NormalWeb"/>
                          <w:spacing w:before="0" w:beforeAutospacing="0" w:after="0" w:afterAutospacing="0"/>
                          <w:jc w:val="right"/>
                          <w:textAlignment w:val="baseline"/>
                        </w:pPr>
                        <w:r>
                          <w:rPr>
                            <w:rFonts w:ascii="Arial" w:hAnsi="Arial" w:cstheme="minorBidi"/>
                            <w:b/>
                            <w:bCs/>
                            <w:color w:val="000000" w:themeColor="text1"/>
                            <w:kern w:val="24"/>
                            <w:sz w:val="20"/>
                            <w:szCs w:val="20"/>
                          </w:rPr>
                          <w:t>Senior Debt Service Reserves</w:t>
                        </w:r>
                      </w:p>
                    </w:txbxContent>
                  </v:textbox>
                </v:rect>
                <v:rect id="Rectangle 8194" o:spid="_x0000_s1038" style="position:absolute;left:3619;top:14167;width:13830;height:305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Yl5ccA&#10;AADdAAAADwAAAGRycy9kb3ducmV2LnhtbESPQWvCQBSE74L/YXkFb7rRSonRVaRQWio9qPXQ2zP7&#10;mo1m34bsauK/dwsFj8PMfMMsVp2txJUaXzpWMB4lIIhzp0suFHzv34YpCB+QNVaOScGNPKyW/d4C&#10;M+1a3tJ1FwoRIewzVGBCqDMpfW7Ioh+5mjh6v66xGKJsCqkbbCPcVnKSJC/SYslxwWBNr4by8+5i&#10;FRxPn1/mOXWn82Gywe7wPmt/Wq3U4Klbz0EE6sIj/N/+0ArS8WwKf2/iE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GJeXHAAAA3QAAAA8AAAAAAAAAAAAAAAAAmAIAAGRy&#10;cy9kb3ducmV2LnhtbFBLBQYAAAAABAAEAPUAAACMAwAAAAA=&#10;" stroked="f" strokecolor="black [3213]">
                  <v:shadow color="#eeece1 [3214]"/>
                  <v:textbox>
                    <w:txbxContent>
                      <w:p w:rsidR="00AD0513" w:rsidRDefault="00AD0513" w:rsidP="00E826D8">
                        <w:pPr>
                          <w:pStyle w:val="NormalWeb"/>
                          <w:spacing w:before="0" w:beforeAutospacing="0" w:after="0" w:afterAutospacing="0"/>
                          <w:jc w:val="right"/>
                          <w:textAlignment w:val="baseline"/>
                        </w:pPr>
                        <w:r>
                          <w:rPr>
                            <w:rFonts w:ascii="Arial" w:hAnsi="Arial" w:cstheme="minorBidi"/>
                            <w:b/>
                            <w:bCs/>
                            <w:color w:val="000000" w:themeColor="text1"/>
                            <w:kern w:val="24"/>
                            <w:sz w:val="20"/>
                            <w:szCs w:val="20"/>
                          </w:rPr>
                          <w:t>Senior Debt Service</w:t>
                        </w:r>
                      </w:p>
                    </w:txbxContent>
                  </v:textbox>
                </v:rect>
                <v:rect id="Rectangle 8195" o:spid="_x0000_s1039" style="position:absolute;left:762;top:10115;width:21805;height:304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qAfscA&#10;AADdAAAADwAAAGRycy9kb3ducmV2LnhtbESPQWvCQBSE74L/YXkFb7rRYonRVaRQWio9qPXQ2zP7&#10;mo1m34bsauK/dwsFj8PMfMMsVp2txJUaXzpWMB4lIIhzp0suFHzv34YpCB+QNVaOScGNPKyW/d4C&#10;M+1a3tJ1FwoRIewzVGBCqDMpfW7Ioh+5mjh6v66xGKJsCqkbbCPcVnKSJC/SYslxwWBNr4by8+5i&#10;FRxPn1/mOXWn82Gywe7wPmt/Wq3U4Klbz0EE6sIj/N/+0ArS8WwKf2/iE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KgH7HAAAA3QAAAA8AAAAAAAAAAAAAAAAAmAIAAGRy&#10;cy9kb3ducmV2LnhtbFBLBQYAAAAABAAEAPUAAACMAwAAAAA=&#10;" stroked="f" strokecolor="black [3213]">
                  <v:shadow color="#eeece1 [3214]"/>
                  <v:textbox>
                    <w:txbxContent>
                      <w:p w:rsidR="00AD0513" w:rsidRDefault="00AD0513" w:rsidP="00E826D8">
                        <w:pPr>
                          <w:pStyle w:val="NormalWeb"/>
                          <w:spacing w:before="0" w:beforeAutospacing="0" w:after="0" w:afterAutospacing="0"/>
                          <w:jc w:val="right"/>
                          <w:textAlignment w:val="baseline"/>
                        </w:pPr>
                        <w:r>
                          <w:rPr>
                            <w:rFonts w:ascii="Arial" w:hAnsi="Arial" w:cstheme="minorBidi"/>
                            <w:b/>
                            <w:bCs/>
                            <w:color w:val="000000" w:themeColor="text1"/>
                            <w:kern w:val="24"/>
                            <w:sz w:val="20"/>
                            <w:szCs w:val="20"/>
                          </w:rPr>
                          <w:t>Project Operation &amp; Maintenance</w:t>
                        </w:r>
                      </w:p>
                    </w:txbxContent>
                  </v:textbox>
                </v:rect>
                <v:rect id="Rectangle 8196" o:spid="_x0000_s1040" style="position:absolute;top:4571;width:7829;height:30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geCccA&#10;AADdAAAADwAAAGRycy9kb3ducmV2LnhtbESPT2vCQBTE7wW/w/KE3upGBYnRVUQolRYP9c/B2zP7&#10;zEazb0N2a9Jv3xUKHoeZ+Q0zX3a2EndqfOlYwXCQgCDOnS65UHDYv7+lIHxA1lg5JgW/5GG56L3M&#10;MdOu5W+670IhIoR9hgpMCHUmpc8NWfQDVxNH7+IaiyHKppC6wTbCbSVHSTKRFkuOCwZrWhvKb7sf&#10;q+B8/dyacequt+PoC7vjx7Q9tVqp1363moEI1IVn+L+90QrS4XQCjzfx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YHgnHAAAA3QAAAA8AAAAAAAAAAAAAAAAAmAIAAGRy&#10;cy9kb3ducmV2LnhtbFBLBQYAAAAABAAEAPUAAACMAwAAAAA=&#10;" stroked="f" strokecolor="black [3213]">
                  <v:shadow color="#eeece1 [3214]"/>
                  <v:textbox>
                    <w:txbxContent>
                      <w:p w:rsidR="00AD0513" w:rsidRDefault="00AD0513" w:rsidP="00E826D8">
                        <w:pPr>
                          <w:pStyle w:val="NormalWeb"/>
                          <w:spacing w:before="0" w:beforeAutospacing="0" w:after="0" w:afterAutospacing="0"/>
                          <w:jc w:val="right"/>
                          <w:textAlignment w:val="baseline"/>
                        </w:pPr>
                        <w:r>
                          <w:rPr>
                            <w:rFonts w:ascii="Arial" w:hAnsi="Arial" w:cstheme="minorBidi"/>
                            <w:b/>
                            <w:bCs/>
                            <w:color w:val="000000" w:themeColor="text1"/>
                            <w:kern w:val="24"/>
                            <w:sz w:val="20"/>
                            <w:szCs w:val="20"/>
                          </w:rPr>
                          <w:t>Revenues</w:t>
                        </w:r>
                      </w:p>
                    </w:txbxContent>
                  </v:textbox>
                </v:rect>
                <v:rect id="Rectangle 8197" o:spid="_x0000_s1041" style="position:absolute;left:15240;top:27745;width:18351;height:304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S7kscA&#10;AADdAAAADwAAAGRycy9kb3ducmV2LnhtbESPQWvCQBSE74L/YXkFb7rRgo3RVaRQWio9qPXQ2zP7&#10;mo1m34bsauK/dwsFj8PMfMMsVp2txJUaXzpWMB4lIIhzp0suFHzv34YpCB+QNVaOScGNPKyW/d4C&#10;M+1a3tJ1FwoRIewzVGBCqDMpfW7Ioh+5mjh6v66xGKJsCqkbbCPcVnKSJFNpseS4YLCmV0P5eXex&#10;Co6nzy/znLrT+TDZYHd4n7U/rVZq8NSt5yACdeER/m9/aAXpePYCf2/iE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Uu5LHAAAA3QAAAA8AAAAAAAAAAAAAAAAAmAIAAGRy&#10;cy9kb3ducmV2LnhtbFBLBQYAAAAABAAEAPUAAACMAwAAAAA=&#10;" stroked="f" strokecolor="black [3213]">
                  <v:shadow color="#eeece1 [3214]"/>
                  <v:textbox>
                    <w:txbxContent>
                      <w:p w:rsidR="00AD0513" w:rsidRDefault="00AD0513" w:rsidP="00E826D8">
                        <w:pPr>
                          <w:pStyle w:val="NormalWeb"/>
                          <w:spacing w:before="0" w:beforeAutospacing="0" w:after="0" w:afterAutospacing="0"/>
                          <w:jc w:val="right"/>
                          <w:textAlignment w:val="baseline"/>
                        </w:pPr>
                        <w:r>
                          <w:rPr>
                            <w:rFonts w:ascii="Arial" w:hAnsi="Arial" w:cstheme="minorBidi"/>
                            <w:b/>
                            <w:bCs/>
                            <w:color w:val="000000" w:themeColor="text1"/>
                            <w:kern w:val="24"/>
                            <w:sz w:val="20"/>
                            <w:szCs w:val="20"/>
                          </w:rPr>
                          <w:t>TIFIA Debt Service Reserve</w:t>
                        </w:r>
                      </w:p>
                    </w:txbxContent>
                  </v:textbox>
                </v:rect>
              </v:group>
            </w:pict>
          </mc:Fallback>
        </mc:AlternateContent>
      </w:r>
    </w:p>
    <w:p w:rsidR="00E826D8" w:rsidRDefault="00E826D8" w:rsidP="00BC75C4">
      <w:pPr>
        <w:pStyle w:val="TIFIABodyText"/>
        <w:keepNext/>
        <w:keepLines/>
        <w:widowControl/>
        <w:tabs>
          <w:tab w:val="left" w:pos="900"/>
        </w:tabs>
        <w:ind w:left="450"/>
      </w:pPr>
    </w:p>
    <w:p w:rsidR="00E826D8" w:rsidRDefault="00E826D8" w:rsidP="00BC75C4">
      <w:pPr>
        <w:pStyle w:val="TIFIABodyText"/>
        <w:keepNext/>
        <w:keepLines/>
        <w:widowControl/>
        <w:tabs>
          <w:tab w:val="left" w:pos="900"/>
        </w:tabs>
        <w:ind w:left="450"/>
      </w:pPr>
    </w:p>
    <w:p w:rsidR="00E826D8" w:rsidRDefault="00E826D8">
      <w:pPr>
        <w:pStyle w:val="TIFIABodyText"/>
        <w:widowControl/>
        <w:tabs>
          <w:tab w:val="left" w:pos="900"/>
        </w:tabs>
        <w:ind w:left="450"/>
      </w:pPr>
    </w:p>
    <w:p w:rsidR="00E826D8" w:rsidRDefault="00E826D8">
      <w:pPr>
        <w:pStyle w:val="TIFIABodyText"/>
        <w:widowControl/>
        <w:tabs>
          <w:tab w:val="left" w:pos="900"/>
        </w:tabs>
        <w:ind w:left="450"/>
      </w:pPr>
    </w:p>
    <w:p w:rsidR="00E826D8" w:rsidRDefault="00E826D8">
      <w:pPr>
        <w:pStyle w:val="TIFIABodyText"/>
        <w:widowControl/>
        <w:tabs>
          <w:tab w:val="left" w:pos="900"/>
        </w:tabs>
        <w:ind w:left="450"/>
      </w:pPr>
    </w:p>
    <w:p w:rsidR="00E826D8" w:rsidRDefault="00E826D8">
      <w:pPr>
        <w:pStyle w:val="TIFIABodyText"/>
        <w:widowControl/>
        <w:tabs>
          <w:tab w:val="left" w:pos="900"/>
        </w:tabs>
        <w:ind w:left="450"/>
      </w:pPr>
    </w:p>
    <w:p w:rsidR="00E826D8" w:rsidRDefault="00E826D8">
      <w:pPr>
        <w:pStyle w:val="TIFIABodyText"/>
        <w:widowControl/>
        <w:tabs>
          <w:tab w:val="left" w:pos="900"/>
        </w:tabs>
        <w:ind w:left="450"/>
      </w:pPr>
    </w:p>
    <w:p w:rsidR="00E826D8" w:rsidRDefault="00E826D8">
      <w:pPr>
        <w:pStyle w:val="TIFIABodyText"/>
        <w:widowControl/>
        <w:tabs>
          <w:tab w:val="left" w:pos="900"/>
        </w:tabs>
        <w:ind w:left="450"/>
      </w:pPr>
    </w:p>
    <w:p w:rsidR="00E826D8" w:rsidRDefault="00E826D8">
      <w:pPr>
        <w:pStyle w:val="TIFIABodyText"/>
        <w:widowControl/>
        <w:tabs>
          <w:tab w:val="left" w:pos="900"/>
        </w:tabs>
        <w:ind w:left="450"/>
      </w:pPr>
    </w:p>
    <w:p w:rsidR="00E826D8" w:rsidRDefault="00E826D8">
      <w:pPr>
        <w:pStyle w:val="TIFIABodyText"/>
        <w:widowControl/>
        <w:tabs>
          <w:tab w:val="left" w:pos="900"/>
        </w:tabs>
        <w:ind w:left="450"/>
      </w:pPr>
    </w:p>
    <w:p w:rsidR="00E826D8" w:rsidRDefault="00E826D8">
      <w:pPr>
        <w:pStyle w:val="TIFIABodyText"/>
        <w:widowControl/>
        <w:tabs>
          <w:tab w:val="left" w:pos="900"/>
        </w:tabs>
        <w:ind w:left="450"/>
      </w:pPr>
    </w:p>
    <w:p w:rsidR="00E826D8" w:rsidRPr="007375D7" w:rsidRDefault="00E826D8">
      <w:pPr>
        <w:pStyle w:val="TIFIABodyText"/>
        <w:widowControl/>
        <w:tabs>
          <w:tab w:val="left" w:pos="900"/>
        </w:tabs>
        <w:ind w:left="450"/>
      </w:pPr>
    </w:p>
    <w:p w:rsidR="00B77793" w:rsidRDefault="00B77793">
      <w:pPr>
        <w:pStyle w:val="TIFIAHeading1a"/>
        <w:widowControl/>
        <w:spacing w:before="240"/>
        <w:jc w:val="both"/>
        <w:outlineLvl w:val="0"/>
      </w:pPr>
      <w:r>
        <w:t>Section 2-4</w:t>
      </w:r>
    </w:p>
    <w:p w:rsidR="00B77793" w:rsidRDefault="00427D30" w:rsidP="0070290F">
      <w:pPr>
        <w:pStyle w:val="TIFIAHeading1b"/>
        <w:widowControl/>
        <w:spacing w:after="240"/>
        <w:jc w:val="both"/>
        <w:outlineLvl w:val="0"/>
      </w:pPr>
      <w:r>
        <w:t xml:space="preserve">TIFIA </w:t>
      </w:r>
      <w:r w:rsidR="00B77793">
        <w:t xml:space="preserve">Taxation Issues </w:t>
      </w:r>
    </w:p>
    <w:p w:rsidR="00B77793" w:rsidRDefault="00B77793" w:rsidP="00176DB6">
      <w:pPr>
        <w:pStyle w:val="TIFIABodyText"/>
        <w:keepNext/>
        <w:widowControl/>
        <w:spacing w:line="271" w:lineRule="exact"/>
      </w:pPr>
      <w:r>
        <w:t xml:space="preserve">With regard to the TIFIA </w:t>
      </w:r>
      <w:r w:rsidR="00427D30">
        <w:t>P</w:t>
      </w:r>
      <w:r>
        <w:t xml:space="preserve">rogram, the TEA 21 Conference Report states:  </w:t>
      </w:r>
    </w:p>
    <w:p w:rsidR="00B77793" w:rsidRPr="00D41612" w:rsidRDefault="00B77793" w:rsidP="004D692A">
      <w:pPr>
        <w:pStyle w:val="TIFIABodyText"/>
        <w:widowControl/>
        <w:spacing w:line="271" w:lineRule="exact"/>
        <w:ind w:left="720" w:right="1080"/>
        <w:rPr>
          <w:szCs w:val="22"/>
        </w:rPr>
      </w:pPr>
      <w:r w:rsidRPr="00D41612">
        <w:rPr>
          <w:szCs w:val="22"/>
        </w:rPr>
        <w:t xml:space="preserve">“The Conference recognizes that the Congress enacted the Deficit Reduction Act of 1984 provision prohibiting the combination of Federal guarantees with tax-exempt debt, because of concerns that such a double-subsidy could result in the creation of a ‘AAA’ rated security superior to U.S. Treasury obligations.  Accordingly, any project loan backed by a loan guarantee as provided in TIFIA must be issued on a taxable basis….  </w:t>
      </w:r>
    </w:p>
    <w:p w:rsidR="00B77793" w:rsidRPr="00D41612" w:rsidRDefault="00B77793" w:rsidP="004D692A">
      <w:pPr>
        <w:pStyle w:val="TIFIABodyText"/>
        <w:widowControl/>
        <w:spacing w:line="271" w:lineRule="exact"/>
        <w:ind w:left="720" w:right="1080"/>
        <w:rPr>
          <w:szCs w:val="22"/>
        </w:rPr>
      </w:pPr>
      <w:r w:rsidRPr="00D41612">
        <w:rPr>
          <w:szCs w:val="22"/>
        </w:rPr>
        <w:t xml:space="preserve">“...The Conferees are aware that present Federal income tax law prohibits the use of direct or indirect Federal guarantees in combination with tax-exempt debt (section 149(b) of the Internal Revenue Code of </w:t>
      </w:r>
      <w:r w:rsidRPr="00D41612">
        <w:rPr>
          <w:szCs w:val="22"/>
        </w:rPr>
        <w:lastRenderedPageBreak/>
        <w:t>1986).  The TIFIA provisions of the conference agreement do not override or otherwise modify this provision of the Code.”</w:t>
      </w:r>
    </w:p>
    <w:p w:rsidR="00B77793" w:rsidRDefault="00B77793" w:rsidP="004D692A">
      <w:pPr>
        <w:pStyle w:val="TIFIABodyText"/>
        <w:widowControl/>
        <w:spacing w:line="271" w:lineRule="exact"/>
      </w:pPr>
      <w:r>
        <w:t xml:space="preserve">The DOT urges all applicants, and particularly those intending to use tax-exempt bonds in connection with TIFIA loans or lines of credit, to consult with the Internal Revenue Service, the </w:t>
      </w:r>
      <w:r w:rsidR="005E3F16">
        <w:t xml:space="preserve">U.S. </w:t>
      </w:r>
      <w:r>
        <w:t xml:space="preserve">Department of the Treasury, </w:t>
      </w:r>
      <w:r w:rsidR="005E3F16">
        <w:t>and/</w:t>
      </w:r>
      <w:r>
        <w:t>or their bond counsel.</w:t>
      </w:r>
    </w:p>
    <w:p w:rsidR="00B77793" w:rsidRDefault="00B77793">
      <w:pPr>
        <w:pStyle w:val="TIFIAHeading1a"/>
        <w:keepLines/>
        <w:widowControl/>
        <w:spacing w:before="0"/>
        <w:jc w:val="both"/>
        <w:outlineLvl w:val="0"/>
      </w:pPr>
      <w:r>
        <w:t>Section 2-5</w:t>
      </w:r>
    </w:p>
    <w:p w:rsidR="00B77793" w:rsidRDefault="00B77793">
      <w:pPr>
        <w:pStyle w:val="TIFIAHeading1b"/>
        <w:keepLines/>
        <w:widowControl/>
        <w:spacing w:after="240"/>
        <w:jc w:val="both"/>
        <w:outlineLvl w:val="0"/>
      </w:pPr>
      <w:r>
        <w:t>TIFIA Program Funding</w:t>
      </w:r>
    </w:p>
    <w:p w:rsidR="009F199F" w:rsidRDefault="00B77793" w:rsidP="004D692A">
      <w:pPr>
        <w:pStyle w:val="TIFIABodyText"/>
        <w:widowControl/>
        <w:spacing w:line="271" w:lineRule="exact"/>
      </w:pPr>
      <w:r>
        <w:t xml:space="preserve">The TIFIA </w:t>
      </w:r>
      <w:r w:rsidR="00427D30">
        <w:t>P</w:t>
      </w:r>
      <w:r>
        <w:t>rogram is governed by the Federal Credit Reform Act of 1990 (FCRA), which requires the DOT to establish a capital reserve, or “subsidy amount,” to cover expected credit losses before it can provide TIFIA credit assistance.</w:t>
      </w:r>
      <w:r w:rsidR="00B20BEB">
        <w:rPr>
          <w:rStyle w:val="FootnoteReference"/>
        </w:rPr>
        <w:footnoteReference w:id="66"/>
      </w:r>
      <w:r>
        <w:t xml:space="preserve">  Congress places limits on the annual subsidy amount available.  </w:t>
      </w:r>
    </w:p>
    <w:p w:rsidR="00B93E39" w:rsidRDefault="009F199F" w:rsidP="009F199F">
      <w:pPr>
        <w:pStyle w:val="BodyTextIndent2"/>
        <w:widowControl/>
        <w:spacing w:after="240" w:line="271" w:lineRule="exact"/>
        <w:ind w:left="0"/>
        <w:jc w:val="both"/>
        <w:rPr>
          <w:rFonts w:ascii="Times New Roman" w:hAnsi="Times New Roman"/>
          <w:sz w:val="22"/>
        </w:rPr>
      </w:pPr>
      <w:r w:rsidRPr="009F199F">
        <w:rPr>
          <w:rFonts w:ascii="Times New Roman" w:hAnsi="Times New Roman"/>
          <w:sz w:val="22"/>
        </w:rPr>
        <w:t>MAP-21</w:t>
      </w:r>
      <w:r w:rsidR="00427D30">
        <w:rPr>
          <w:rFonts w:ascii="Times New Roman" w:hAnsi="Times New Roman"/>
          <w:sz w:val="22"/>
        </w:rPr>
        <w:t xml:space="preserve"> </w:t>
      </w:r>
      <w:r w:rsidRPr="009F199F">
        <w:rPr>
          <w:rFonts w:ascii="Times New Roman" w:hAnsi="Times New Roman"/>
          <w:sz w:val="22"/>
        </w:rPr>
        <w:t xml:space="preserve">authorizes $750 million in FY 2013 and $1 billion in FY 2014 in TIFIA budget authority from the Highway Trust Fund to pay the subsidy cost of </w:t>
      </w:r>
      <w:r w:rsidR="001C7365">
        <w:rPr>
          <w:rFonts w:ascii="Times New Roman" w:hAnsi="Times New Roman"/>
          <w:sz w:val="22"/>
        </w:rPr>
        <w:t xml:space="preserve">TIFIA </w:t>
      </w:r>
      <w:r w:rsidRPr="009F199F">
        <w:rPr>
          <w:rFonts w:ascii="Times New Roman" w:hAnsi="Times New Roman"/>
          <w:sz w:val="22"/>
        </w:rPr>
        <w:t>credit assistance.</w:t>
      </w:r>
      <w:r w:rsidR="001C7365">
        <w:rPr>
          <w:rStyle w:val="FootnoteReference"/>
          <w:rFonts w:ascii="Times New Roman" w:hAnsi="Times New Roman"/>
        </w:rPr>
        <w:footnoteReference w:id="67"/>
      </w:r>
      <w:r w:rsidRPr="009F199F">
        <w:rPr>
          <w:rFonts w:ascii="Times New Roman" w:hAnsi="Times New Roman"/>
          <w:sz w:val="22"/>
        </w:rPr>
        <w:t xml:space="preserve">  Additional funds may also be available from budget authority carried over from previous fiscal years.  Any budget authority not obligated in the fiscal year for which it is authorized remains available for obligation in subsequent years.</w:t>
      </w:r>
      <w:r w:rsidR="001D2114">
        <w:rPr>
          <w:rStyle w:val="FootnoteReference"/>
          <w:rFonts w:ascii="Times New Roman" w:hAnsi="Times New Roman"/>
        </w:rPr>
        <w:footnoteReference w:id="68"/>
      </w:r>
      <w:r w:rsidRPr="009F199F">
        <w:rPr>
          <w:rFonts w:ascii="Times New Roman" w:hAnsi="Times New Roman"/>
          <w:sz w:val="22"/>
        </w:rPr>
        <w:t xml:space="preserve">  </w:t>
      </w:r>
      <w:r w:rsidR="00B93E39">
        <w:rPr>
          <w:rFonts w:ascii="Times New Roman" w:hAnsi="Times New Roman"/>
          <w:sz w:val="22"/>
        </w:rPr>
        <w:t>However, i</w:t>
      </w:r>
      <w:r w:rsidR="00B93E39" w:rsidRPr="00B93E39">
        <w:rPr>
          <w:rFonts w:ascii="Times New Roman" w:hAnsi="Times New Roman"/>
          <w:sz w:val="22"/>
        </w:rPr>
        <w:t>f the cumulative unobligated and uncommitted balance of funding available as of April 1 of any fiscal year</w:t>
      </w:r>
      <w:r w:rsidR="00B93E39">
        <w:rPr>
          <w:rFonts w:ascii="Times New Roman" w:hAnsi="Times New Roman"/>
          <w:sz w:val="22"/>
        </w:rPr>
        <w:t>,</w:t>
      </w:r>
      <w:r w:rsidR="00B93E39" w:rsidRPr="00B93E39">
        <w:rPr>
          <w:rFonts w:ascii="Times New Roman" w:hAnsi="Times New Roman"/>
          <w:sz w:val="22"/>
        </w:rPr>
        <w:t xml:space="preserve"> beginning in FY 2014</w:t>
      </w:r>
      <w:r w:rsidR="00B93E39">
        <w:rPr>
          <w:rFonts w:ascii="Times New Roman" w:hAnsi="Times New Roman"/>
          <w:sz w:val="22"/>
        </w:rPr>
        <w:t>,</w:t>
      </w:r>
      <w:r w:rsidR="00B93E39" w:rsidRPr="00B93E39">
        <w:rPr>
          <w:rFonts w:ascii="Times New Roman" w:hAnsi="Times New Roman"/>
          <w:sz w:val="22"/>
        </w:rPr>
        <w:t xml:space="preserve"> is more than 75 percent of the amount made available for such fiscal year, then the Secretary must distribute the amount in excess of 75 percent of such amount among the States.</w:t>
      </w:r>
      <w:r w:rsidR="00B93E39">
        <w:rPr>
          <w:rStyle w:val="FootnoteReference"/>
          <w:rFonts w:ascii="Times New Roman" w:hAnsi="Times New Roman"/>
        </w:rPr>
        <w:footnoteReference w:id="69"/>
      </w:r>
      <w:r w:rsidR="00B93E39" w:rsidRPr="00B93E39">
        <w:rPr>
          <w:rFonts w:ascii="Times New Roman" w:hAnsi="Times New Roman"/>
          <w:sz w:val="22"/>
        </w:rPr>
        <w:t xml:space="preserve">  </w:t>
      </w:r>
    </w:p>
    <w:p w:rsidR="009F199F" w:rsidRDefault="009F199F" w:rsidP="009F199F">
      <w:pPr>
        <w:pStyle w:val="BodyTextIndent2"/>
        <w:widowControl/>
        <w:spacing w:after="240" w:line="271" w:lineRule="exact"/>
        <w:ind w:left="0"/>
        <w:jc w:val="both"/>
        <w:rPr>
          <w:rFonts w:ascii="Times New Roman" w:hAnsi="Times New Roman"/>
          <w:sz w:val="22"/>
        </w:rPr>
      </w:pPr>
      <w:r w:rsidRPr="009F199F">
        <w:rPr>
          <w:rFonts w:ascii="Times New Roman" w:hAnsi="Times New Roman"/>
          <w:sz w:val="22"/>
        </w:rPr>
        <w:t xml:space="preserve">The TIFIA budget authority is subject to an annual obligation limitation that may be established in appropriations law.  Like all funds subject to the annual Federal-aid obligation ceiling, the amount of TIFIA budget authority available in a given year may be less than the amount authorized for that fiscal year.  </w:t>
      </w:r>
    </w:p>
    <w:p w:rsidR="009F199F" w:rsidRPr="009F199F" w:rsidRDefault="009F199F" w:rsidP="009F199F">
      <w:pPr>
        <w:pStyle w:val="BodyTextIndent2"/>
        <w:widowControl/>
        <w:spacing w:after="240" w:line="271" w:lineRule="exact"/>
        <w:ind w:left="0"/>
        <w:jc w:val="both"/>
        <w:rPr>
          <w:rFonts w:ascii="Times New Roman" w:hAnsi="Times New Roman"/>
          <w:sz w:val="22"/>
        </w:rPr>
      </w:pPr>
      <w:r w:rsidRPr="009F199F">
        <w:rPr>
          <w:rFonts w:ascii="Times New Roman" w:hAnsi="Times New Roman"/>
          <w:sz w:val="22"/>
        </w:rPr>
        <w:t xml:space="preserve">After reductions for administrative expenses and application of the annual obligation limitation, TIFIA will have approximately $690 million available in FY 2013 and $920 million in FY 2014 to provide credit subsidy support to projects.  Although dependent on the individual risk profile of each credit instrument, collectively, and based on historic subsidy costs, this budget authority could support approximately $6.9 billion in lending capacity in FY 2013 and $9.2 billion in lending capacity in FY 2014.  Given statutory changes in the TIFIA </w:t>
      </w:r>
      <w:r w:rsidR="001A25B5">
        <w:rPr>
          <w:rFonts w:ascii="Times New Roman" w:hAnsi="Times New Roman"/>
          <w:sz w:val="22"/>
        </w:rPr>
        <w:t>P</w:t>
      </w:r>
      <w:r w:rsidRPr="009F199F">
        <w:rPr>
          <w:rFonts w:ascii="Times New Roman" w:hAnsi="Times New Roman"/>
          <w:sz w:val="22"/>
        </w:rPr>
        <w:t xml:space="preserve">rogram under MAP-21 and the need to calculate credit subsidies on a project-by-project basis, actual </w:t>
      </w:r>
      <w:r w:rsidR="001A25B5">
        <w:rPr>
          <w:rFonts w:ascii="Times New Roman" w:hAnsi="Times New Roman"/>
          <w:sz w:val="22"/>
        </w:rPr>
        <w:t xml:space="preserve">TIFIA </w:t>
      </w:r>
      <w:r w:rsidRPr="009F199F">
        <w:rPr>
          <w:rFonts w:ascii="Times New Roman" w:hAnsi="Times New Roman"/>
          <w:sz w:val="22"/>
        </w:rPr>
        <w:t>lending capacity could vary.</w:t>
      </w:r>
    </w:p>
    <w:p w:rsidR="00B77793" w:rsidRDefault="00B77793" w:rsidP="004D692A">
      <w:pPr>
        <w:pStyle w:val="TIFIABodyText"/>
        <w:widowControl/>
        <w:spacing w:line="271" w:lineRule="exact"/>
      </w:pPr>
      <w:r>
        <w:t>The amount of TIFIA budget authority available in a given year is subject to several factors, as described below.</w:t>
      </w:r>
    </w:p>
    <w:p w:rsidR="00B77793" w:rsidRDefault="00B77793" w:rsidP="004D692A">
      <w:pPr>
        <w:pStyle w:val="TIFIABodyText"/>
        <w:widowControl/>
        <w:numPr>
          <w:ilvl w:val="0"/>
          <w:numId w:val="4"/>
        </w:numPr>
        <w:overflowPunct/>
        <w:autoSpaceDE/>
        <w:autoSpaceDN/>
        <w:adjustRightInd/>
        <w:spacing w:line="271" w:lineRule="exact"/>
        <w:textAlignment w:val="auto"/>
      </w:pPr>
      <w:smartTag w:uri="urn:schemas-microsoft-com:office:smarttags" w:element="address">
        <w:smartTag w:uri="urn:schemas-microsoft-com:office:smarttags" w:element="Street">
          <w:r>
            <w:rPr>
              <w:u w:val="single"/>
            </w:rPr>
            <w:lastRenderedPageBreak/>
            <w:t>Federal-aid Highway</w:t>
          </w:r>
        </w:smartTag>
      </w:smartTag>
      <w:r>
        <w:rPr>
          <w:u w:val="single"/>
        </w:rPr>
        <w:t xml:space="preserve"> Obligation Limitation</w:t>
      </w:r>
      <w:r>
        <w:t xml:space="preserve">.  This obligation limitation pertains to most of the programs funded from the Federal Highway Trust Fund (including the TIFIA </w:t>
      </w:r>
      <w:r w:rsidR="00427D30">
        <w:t>P</w:t>
      </w:r>
      <w:r>
        <w:t>rogram) and is determined through the appropriations process each year.  As with appropriations processes for other Federal programs, this limitation typically reduces the total funds available for obligation in the year ahead</w:t>
      </w:r>
      <w:r w:rsidRPr="00B94A2A">
        <w:t>.  A typical limitation reduces obligation authority between 10 percent and 15 percent.</w:t>
      </w:r>
    </w:p>
    <w:p w:rsidR="00B77793" w:rsidRDefault="00B77793" w:rsidP="00333247">
      <w:pPr>
        <w:pStyle w:val="TIFIABodyText"/>
        <w:widowControl/>
        <w:numPr>
          <w:ilvl w:val="0"/>
          <w:numId w:val="4"/>
        </w:numPr>
        <w:overflowPunct/>
        <w:autoSpaceDE/>
        <w:autoSpaceDN/>
        <w:adjustRightInd/>
        <w:spacing w:line="271" w:lineRule="exact"/>
        <w:textAlignment w:val="auto"/>
      </w:pPr>
      <w:r>
        <w:rPr>
          <w:u w:val="single"/>
        </w:rPr>
        <w:t>Program Administration Expenses</w:t>
      </w:r>
      <w:r>
        <w:t>.  The TIFIA statute authorizes the DOT to use up to</w:t>
      </w:r>
      <w:r w:rsidR="000D4815">
        <w:t xml:space="preserve"> </w:t>
      </w:r>
      <w:r w:rsidR="00383FF0">
        <w:t>0.5 percent</w:t>
      </w:r>
      <w:r>
        <w:t xml:space="preserve"> of authorized budget authority </w:t>
      </w:r>
      <w:r w:rsidR="00004905">
        <w:t xml:space="preserve">for each fiscal year </w:t>
      </w:r>
      <w:r>
        <w:t xml:space="preserve">to administer the TIFIA </w:t>
      </w:r>
      <w:r w:rsidR="00427D30">
        <w:t>P</w:t>
      </w:r>
      <w:r>
        <w:t>rogram.</w:t>
      </w:r>
      <w:r w:rsidR="0014714F">
        <w:rPr>
          <w:rStyle w:val="FootnoteReference"/>
        </w:rPr>
        <w:footnoteReference w:id="70"/>
      </w:r>
      <w:r>
        <w:t xml:space="preserve">  In addition, the statute authorizes the DOT to collect and spend fees to cover expenses related to reviewing, negotiating, </w:t>
      </w:r>
      <w:r w:rsidR="00AE434C">
        <w:t xml:space="preserve">monitoring </w:t>
      </w:r>
      <w:r>
        <w:t>and servicing credit agreements.</w:t>
      </w:r>
      <w:r w:rsidR="0014714F">
        <w:rPr>
          <w:rStyle w:val="FootnoteReference"/>
        </w:rPr>
        <w:footnoteReference w:id="71"/>
      </w:r>
      <w:r w:rsidR="00333247">
        <w:t xml:space="preserve">  </w:t>
      </w:r>
    </w:p>
    <w:p w:rsidR="00B77793" w:rsidRDefault="00B77793" w:rsidP="004D692A">
      <w:pPr>
        <w:pStyle w:val="TIFIABodyText"/>
        <w:widowControl/>
        <w:numPr>
          <w:ilvl w:val="0"/>
          <w:numId w:val="4"/>
        </w:numPr>
        <w:overflowPunct/>
        <w:autoSpaceDE/>
        <w:autoSpaceDN/>
        <w:adjustRightInd/>
        <w:spacing w:line="271" w:lineRule="exact"/>
        <w:textAlignment w:val="auto"/>
      </w:pPr>
      <w:r>
        <w:rPr>
          <w:u w:val="single"/>
        </w:rPr>
        <w:t>Carry-over Resources</w:t>
      </w:r>
      <w:r>
        <w:t xml:space="preserve">.  Any budget authority made available but not </w:t>
      </w:r>
      <w:r w:rsidR="003928A2">
        <w:t xml:space="preserve">obligated </w:t>
      </w:r>
      <w:r>
        <w:t>in previous fiscal years may carry over and increase the amount of budget authority available in a given fiscal year.</w:t>
      </w:r>
      <w:r w:rsidR="0014714F">
        <w:rPr>
          <w:rStyle w:val="FootnoteReference"/>
        </w:rPr>
        <w:footnoteReference w:id="72"/>
      </w:r>
      <w:r>
        <w:t xml:space="preserve">  </w:t>
      </w:r>
    </w:p>
    <w:p w:rsidR="00B77793" w:rsidRDefault="00B77793" w:rsidP="004D692A">
      <w:pPr>
        <w:pStyle w:val="TIFIABodyText"/>
        <w:widowControl/>
        <w:spacing w:line="271" w:lineRule="exact"/>
      </w:pPr>
    </w:p>
    <w:p w:rsidR="00B77793" w:rsidRDefault="00B77793" w:rsidP="004D692A">
      <w:pPr>
        <w:pStyle w:val="TIFIABodyText"/>
        <w:widowControl/>
        <w:spacing w:line="271" w:lineRule="exact"/>
        <w:sectPr w:rsidR="00B77793">
          <w:headerReference w:type="even" r:id="rId34"/>
          <w:headerReference w:type="default" r:id="rId35"/>
          <w:footerReference w:type="even" r:id="rId36"/>
          <w:footerReference w:type="default" r:id="rId37"/>
          <w:footerReference w:type="first" r:id="rId38"/>
          <w:endnotePr>
            <w:numFmt w:val="decimal"/>
          </w:endnotePr>
          <w:pgSz w:w="12240" w:h="15840"/>
          <w:pgMar w:top="1440" w:right="1440" w:bottom="1440" w:left="2520" w:header="720" w:footer="720" w:gutter="0"/>
          <w:pgNumType w:start="1"/>
          <w:cols w:space="720"/>
          <w:titlePg/>
        </w:sectPr>
      </w:pPr>
    </w:p>
    <w:p w:rsidR="00B77793" w:rsidRDefault="00B77793">
      <w:pPr>
        <w:pStyle w:val="TIFIAChapterTitle"/>
        <w:widowControl/>
        <w:spacing w:after="240"/>
        <w:ind w:left="2160" w:hanging="2160"/>
        <w:outlineLvl w:val="0"/>
        <w:rPr>
          <w:color w:val="000000"/>
        </w:rPr>
      </w:pPr>
      <w:r>
        <w:lastRenderedPageBreak/>
        <w:t>Chapter 3: Eligibility Requirements</w:t>
      </w:r>
    </w:p>
    <w:p w:rsidR="00B77793" w:rsidRDefault="00B77793" w:rsidP="004D692A">
      <w:pPr>
        <w:pStyle w:val="CM9"/>
        <w:widowControl/>
        <w:spacing w:after="240" w:line="271" w:lineRule="atLeast"/>
        <w:jc w:val="both"/>
        <w:rPr>
          <w:rFonts w:ascii="Times New Roman" w:hAnsi="Times New Roman"/>
          <w:color w:val="000000"/>
          <w:sz w:val="22"/>
        </w:rPr>
      </w:pPr>
      <w:r>
        <w:rPr>
          <w:rFonts w:ascii="Times New Roman" w:hAnsi="Times New Roman"/>
          <w:color w:val="000000"/>
          <w:sz w:val="22"/>
        </w:rPr>
        <w:t xml:space="preserve">The TIFIA statute sets forth several prerequisites for an award of credit assistance.  This chapter describes the types of projects, costs, applicants, regulatory, and statutory requirements upon which TIFIA </w:t>
      </w:r>
      <w:r w:rsidR="008550D5">
        <w:rPr>
          <w:rFonts w:ascii="Times New Roman" w:hAnsi="Times New Roman"/>
          <w:sz w:val="22"/>
        </w:rPr>
        <w:t xml:space="preserve">credit </w:t>
      </w:r>
      <w:r>
        <w:rPr>
          <w:rFonts w:ascii="Times New Roman" w:hAnsi="Times New Roman"/>
          <w:color w:val="000000"/>
          <w:sz w:val="22"/>
        </w:rPr>
        <w:t xml:space="preserve">assistance is conditioned. </w:t>
      </w:r>
    </w:p>
    <w:p w:rsidR="00B77793" w:rsidRDefault="00B77793">
      <w:pPr>
        <w:pStyle w:val="TIFIAHeading1a"/>
        <w:widowControl/>
        <w:spacing w:before="0"/>
        <w:jc w:val="both"/>
        <w:outlineLvl w:val="0"/>
      </w:pPr>
      <w:r>
        <w:t>Section 3-1</w:t>
      </w:r>
    </w:p>
    <w:p w:rsidR="00B77793" w:rsidRDefault="00B77793">
      <w:pPr>
        <w:pStyle w:val="TIFIAHeading1b"/>
        <w:widowControl/>
        <w:spacing w:after="240"/>
        <w:jc w:val="both"/>
        <w:outlineLvl w:val="0"/>
      </w:pPr>
      <w:r>
        <w:t>Eligible Projects and Costs</w:t>
      </w:r>
    </w:p>
    <w:p w:rsidR="00B77793" w:rsidRDefault="00B77793" w:rsidP="004D692A">
      <w:pPr>
        <w:pStyle w:val="CM9"/>
        <w:widowControl/>
        <w:spacing w:after="240" w:line="271" w:lineRule="exact"/>
        <w:jc w:val="both"/>
        <w:rPr>
          <w:rFonts w:ascii="Times New Roman" w:hAnsi="Times New Roman"/>
          <w:color w:val="000000"/>
          <w:sz w:val="22"/>
        </w:rPr>
      </w:pPr>
      <w:r>
        <w:rPr>
          <w:rFonts w:ascii="Times New Roman" w:hAnsi="Times New Roman"/>
          <w:color w:val="000000"/>
          <w:sz w:val="22"/>
        </w:rPr>
        <w:t>Highway, transit, passenger rail, certain freight facilities, certain port projects</w:t>
      </w:r>
      <w:r w:rsidR="00A973A8">
        <w:rPr>
          <w:rFonts w:ascii="Times New Roman" w:hAnsi="Times New Roman"/>
          <w:color w:val="000000"/>
          <w:sz w:val="22"/>
        </w:rPr>
        <w:t>, and rural infrastructure projects</w:t>
      </w:r>
      <w:r>
        <w:rPr>
          <w:rFonts w:ascii="Times New Roman" w:hAnsi="Times New Roman"/>
          <w:color w:val="000000"/>
          <w:sz w:val="22"/>
        </w:rPr>
        <w:t xml:space="preserve"> may receive credit assistance through the TIFIA </w:t>
      </w:r>
      <w:r w:rsidR="00427D30">
        <w:rPr>
          <w:rFonts w:ascii="Times New Roman" w:hAnsi="Times New Roman"/>
          <w:color w:val="000000"/>
          <w:sz w:val="22"/>
        </w:rPr>
        <w:t>P</w:t>
      </w:r>
      <w:r>
        <w:rPr>
          <w:rFonts w:ascii="Times New Roman" w:hAnsi="Times New Roman"/>
          <w:color w:val="000000"/>
          <w:sz w:val="22"/>
        </w:rPr>
        <w:t xml:space="preserve">rogram.  </w:t>
      </w:r>
    </w:p>
    <w:p w:rsidR="00B77793" w:rsidRDefault="00B77793" w:rsidP="00D41612">
      <w:pPr>
        <w:pStyle w:val="CM9"/>
        <w:widowControl/>
        <w:numPr>
          <w:ilvl w:val="0"/>
          <w:numId w:val="20"/>
        </w:numPr>
        <w:spacing w:after="240" w:line="271" w:lineRule="exact"/>
        <w:jc w:val="both"/>
        <w:rPr>
          <w:rFonts w:ascii="Times New Roman" w:hAnsi="Times New Roman"/>
          <w:sz w:val="22"/>
        </w:rPr>
      </w:pPr>
      <w:r>
        <w:rPr>
          <w:rFonts w:ascii="Times New Roman" w:hAnsi="Times New Roman"/>
          <w:color w:val="000000"/>
          <w:sz w:val="22"/>
        </w:rPr>
        <w:t>Eligible highway facilities include interstates, state highways, bridges, toll roads, international bridges or tunnels, and any other type of facility eligible for grant assistance under title 23, the highways title of the U.S. Code (23 U.S.C.).</w:t>
      </w:r>
      <w:r w:rsidR="00DF24CE">
        <w:rPr>
          <w:rStyle w:val="FootnoteReference"/>
          <w:rFonts w:ascii="Times New Roman" w:hAnsi="Times New Roman"/>
          <w:color w:val="000000"/>
        </w:rPr>
        <w:footnoteReference w:id="73"/>
      </w:r>
      <w:r>
        <w:rPr>
          <w:rFonts w:ascii="Times New Roman" w:hAnsi="Times New Roman"/>
          <w:color w:val="000000"/>
          <w:sz w:val="22"/>
        </w:rPr>
        <w:t xml:space="preserve">  This also includes a category specifically permitted under the TIFIA statute, </w:t>
      </w:r>
      <w:r>
        <w:rPr>
          <w:rFonts w:ascii="Times New Roman" w:hAnsi="Times New Roman"/>
          <w:i/>
          <w:color w:val="000000"/>
          <w:sz w:val="22"/>
        </w:rPr>
        <w:t>i.e.,</w:t>
      </w:r>
      <w:r>
        <w:rPr>
          <w:rFonts w:ascii="Times New Roman" w:hAnsi="Times New Roman"/>
          <w:color w:val="000000"/>
          <w:sz w:val="22"/>
        </w:rPr>
        <w:t xml:space="preserve"> </w:t>
      </w:r>
      <w:r>
        <w:rPr>
          <w:rFonts w:ascii="Times New Roman" w:eastAsia="MS Mincho" w:hAnsi="Times New Roman"/>
          <w:sz w:val="22"/>
        </w:rPr>
        <w:t>a project for an international bridge or tunnel for which an international entity authorized under Federal or State law is responsible</w:t>
      </w:r>
      <w:r w:rsidR="00DF24CE">
        <w:rPr>
          <w:rFonts w:ascii="Times New Roman" w:eastAsia="MS Mincho" w:hAnsi="Times New Roman"/>
          <w:sz w:val="22"/>
        </w:rPr>
        <w:t>.</w:t>
      </w:r>
      <w:r w:rsidR="00DF24CE">
        <w:rPr>
          <w:rStyle w:val="FootnoteReference"/>
          <w:rFonts w:ascii="Times New Roman" w:eastAsia="MS Mincho" w:hAnsi="Times New Roman"/>
        </w:rPr>
        <w:footnoteReference w:id="74"/>
      </w:r>
    </w:p>
    <w:p w:rsidR="00B77793" w:rsidRDefault="00B77793" w:rsidP="00D41612">
      <w:pPr>
        <w:pStyle w:val="CM9"/>
        <w:widowControl/>
        <w:numPr>
          <w:ilvl w:val="0"/>
          <w:numId w:val="20"/>
        </w:numPr>
        <w:spacing w:after="240" w:line="271" w:lineRule="exact"/>
        <w:jc w:val="both"/>
        <w:rPr>
          <w:rFonts w:ascii="Times New Roman" w:hAnsi="Times New Roman"/>
          <w:color w:val="000000"/>
          <w:sz w:val="22"/>
        </w:rPr>
      </w:pPr>
      <w:r>
        <w:rPr>
          <w:rFonts w:ascii="Times New Roman" w:hAnsi="Times New Roman"/>
          <w:color w:val="000000"/>
          <w:sz w:val="22"/>
        </w:rPr>
        <w:t>Eligible transit projects include the design and construction of stations, track, and other transit-related infrastructure, purchase of transit vehicles, and any other type of project that is eligible for grant assistance under the transit title</w:t>
      </w:r>
      <w:r w:rsidR="00DF24CE">
        <w:rPr>
          <w:rFonts w:ascii="Times New Roman" w:hAnsi="Times New Roman"/>
          <w:color w:val="000000"/>
          <w:sz w:val="22"/>
        </w:rPr>
        <w:t xml:space="preserve"> of the U.S. Code</w:t>
      </w:r>
      <w:r>
        <w:rPr>
          <w:rFonts w:ascii="Times New Roman" w:hAnsi="Times New Roman"/>
          <w:color w:val="000000"/>
          <w:sz w:val="22"/>
        </w:rPr>
        <w:t xml:space="preserve"> </w:t>
      </w:r>
      <w:r w:rsidR="00DF24CE">
        <w:rPr>
          <w:rFonts w:ascii="Times New Roman" w:hAnsi="Times New Roman"/>
          <w:color w:val="000000"/>
          <w:sz w:val="22"/>
        </w:rPr>
        <w:t>(</w:t>
      </w:r>
      <w:r>
        <w:rPr>
          <w:rFonts w:ascii="Times New Roman" w:hAnsi="Times New Roman"/>
          <w:color w:val="000000"/>
          <w:sz w:val="22"/>
        </w:rPr>
        <w:t>chapter 53 of 49 U.S.C.</w:t>
      </w:r>
      <w:r w:rsidR="00DF24CE">
        <w:rPr>
          <w:rFonts w:ascii="Times New Roman" w:hAnsi="Times New Roman"/>
          <w:color w:val="000000"/>
          <w:sz w:val="22"/>
        </w:rPr>
        <w:t>).</w:t>
      </w:r>
      <w:r w:rsidR="00DF24CE">
        <w:rPr>
          <w:rStyle w:val="FootnoteReference"/>
          <w:rFonts w:ascii="Times New Roman" w:hAnsi="Times New Roman"/>
          <w:color w:val="000000"/>
        </w:rPr>
        <w:footnoteReference w:id="75"/>
      </w:r>
      <w:r>
        <w:rPr>
          <w:rFonts w:ascii="Times New Roman" w:hAnsi="Times New Roman"/>
          <w:color w:val="000000"/>
          <w:sz w:val="22"/>
        </w:rPr>
        <w:t xml:space="preserve">  Additionally, intercity bus vehicles and facilities are eligible to receive TIFIA </w:t>
      </w:r>
      <w:r w:rsidR="008550D5">
        <w:rPr>
          <w:rFonts w:ascii="Times New Roman" w:hAnsi="Times New Roman"/>
          <w:sz w:val="22"/>
        </w:rPr>
        <w:t xml:space="preserve">credit </w:t>
      </w:r>
      <w:r>
        <w:rPr>
          <w:rFonts w:ascii="Times New Roman" w:hAnsi="Times New Roman"/>
          <w:color w:val="000000"/>
          <w:sz w:val="22"/>
        </w:rPr>
        <w:t>assistance.</w:t>
      </w:r>
      <w:r w:rsidR="00DF24CE">
        <w:rPr>
          <w:rStyle w:val="FootnoteReference"/>
          <w:rFonts w:ascii="Times New Roman" w:hAnsi="Times New Roman"/>
          <w:color w:val="000000"/>
        </w:rPr>
        <w:footnoteReference w:id="76"/>
      </w:r>
      <w:r>
        <w:rPr>
          <w:rFonts w:ascii="Times New Roman" w:hAnsi="Times New Roman"/>
          <w:color w:val="000000"/>
          <w:sz w:val="22"/>
        </w:rPr>
        <w:t xml:space="preserve">  </w:t>
      </w:r>
    </w:p>
    <w:p w:rsidR="00B77793" w:rsidRDefault="00B77793" w:rsidP="00D41612">
      <w:pPr>
        <w:pStyle w:val="CM9"/>
        <w:widowControl/>
        <w:numPr>
          <w:ilvl w:val="0"/>
          <w:numId w:val="20"/>
        </w:numPr>
        <w:spacing w:after="240" w:line="271" w:lineRule="exact"/>
        <w:jc w:val="both"/>
        <w:rPr>
          <w:rFonts w:ascii="Times New Roman" w:hAnsi="Times New Roman"/>
          <w:color w:val="000000"/>
          <w:sz w:val="22"/>
        </w:rPr>
      </w:pPr>
      <w:r>
        <w:rPr>
          <w:rFonts w:ascii="Times New Roman" w:hAnsi="Times New Roman"/>
          <w:color w:val="000000"/>
          <w:sz w:val="22"/>
        </w:rPr>
        <w:t xml:space="preserve">Rail projects involving the design and construction of intercity passenger rail facilities or the procurement of intercity passenger rail vehicles are eligible for TIFIA </w:t>
      </w:r>
      <w:r w:rsidR="008550D5">
        <w:rPr>
          <w:rFonts w:ascii="Times New Roman" w:hAnsi="Times New Roman"/>
          <w:sz w:val="22"/>
        </w:rPr>
        <w:t xml:space="preserve">credit </w:t>
      </w:r>
      <w:r>
        <w:rPr>
          <w:rFonts w:ascii="Times New Roman" w:hAnsi="Times New Roman"/>
          <w:color w:val="000000"/>
          <w:sz w:val="22"/>
        </w:rPr>
        <w:t>assistance.</w:t>
      </w:r>
      <w:r w:rsidR="00DF24CE">
        <w:rPr>
          <w:rStyle w:val="FootnoteReference"/>
          <w:rFonts w:ascii="Times New Roman" w:hAnsi="Times New Roman"/>
          <w:color w:val="000000"/>
        </w:rPr>
        <w:footnoteReference w:id="77"/>
      </w:r>
      <w:r>
        <w:rPr>
          <w:rFonts w:ascii="Times New Roman" w:hAnsi="Times New Roman"/>
          <w:color w:val="000000"/>
          <w:sz w:val="22"/>
        </w:rPr>
        <w:t xml:space="preserve">  </w:t>
      </w:r>
    </w:p>
    <w:p w:rsidR="00B77793" w:rsidRDefault="00B77793" w:rsidP="00D41612">
      <w:pPr>
        <w:pStyle w:val="CM9"/>
        <w:widowControl/>
        <w:numPr>
          <w:ilvl w:val="0"/>
          <w:numId w:val="20"/>
        </w:numPr>
        <w:spacing w:after="240" w:line="271" w:lineRule="exact"/>
        <w:jc w:val="both"/>
        <w:rPr>
          <w:rFonts w:ascii="Times New Roman" w:hAnsi="Times New Roman"/>
          <w:color w:val="000000"/>
          <w:sz w:val="22"/>
        </w:rPr>
      </w:pPr>
      <w:r>
        <w:rPr>
          <w:rFonts w:ascii="Times New Roman" w:hAnsi="Times New Roman"/>
          <w:color w:val="000000"/>
          <w:sz w:val="22"/>
        </w:rPr>
        <w:t>Public freight rail facilities, private facilities providing public benefit for highway users</w:t>
      </w:r>
      <w:r w:rsidR="000760FB">
        <w:rPr>
          <w:rFonts w:ascii="Times New Roman" w:hAnsi="Times New Roman"/>
          <w:color w:val="000000"/>
          <w:sz w:val="22"/>
        </w:rPr>
        <w:t xml:space="preserve"> by way of direct freight interchange between highway and rail carriers</w:t>
      </w:r>
      <w:r>
        <w:rPr>
          <w:rFonts w:ascii="Times New Roman" w:hAnsi="Times New Roman"/>
          <w:color w:val="000000"/>
          <w:sz w:val="22"/>
        </w:rPr>
        <w:t xml:space="preserve">, intermodal freight transfer facilities, projects that provide access to such facilities, and service improvements (including capital investments for intelligent transportation systems) at such facilities, are also eligible for TIFIA </w:t>
      </w:r>
      <w:r w:rsidR="008550D5">
        <w:rPr>
          <w:rFonts w:ascii="Times New Roman" w:hAnsi="Times New Roman"/>
          <w:sz w:val="22"/>
        </w:rPr>
        <w:t xml:space="preserve">credit </w:t>
      </w:r>
      <w:r>
        <w:rPr>
          <w:rFonts w:ascii="Times New Roman" w:hAnsi="Times New Roman"/>
          <w:color w:val="000000"/>
          <w:sz w:val="22"/>
        </w:rPr>
        <w:t>assistance.</w:t>
      </w:r>
      <w:r w:rsidR="000760FB">
        <w:rPr>
          <w:rStyle w:val="FootnoteReference"/>
          <w:rFonts w:ascii="Times New Roman" w:hAnsi="Times New Roman"/>
          <w:color w:val="000000"/>
        </w:rPr>
        <w:footnoteReference w:id="78"/>
      </w:r>
      <w:r>
        <w:rPr>
          <w:rFonts w:ascii="Times New Roman" w:hAnsi="Times New Roman"/>
          <w:color w:val="000000"/>
          <w:sz w:val="22"/>
        </w:rPr>
        <w:t xml:space="preserve">  In addition, a logical series of such projects with the common objective of improving the flow of goods can be combined.</w:t>
      </w:r>
      <w:r w:rsidR="000760FB">
        <w:rPr>
          <w:rStyle w:val="FootnoteReference"/>
          <w:rFonts w:ascii="Times New Roman" w:hAnsi="Times New Roman"/>
          <w:color w:val="000000"/>
        </w:rPr>
        <w:footnoteReference w:id="79"/>
      </w:r>
      <w:r>
        <w:rPr>
          <w:rFonts w:ascii="Times New Roman" w:hAnsi="Times New Roman"/>
          <w:color w:val="000000"/>
          <w:sz w:val="22"/>
        </w:rPr>
        <w:t xml:space="preserve">  </w:t>
      </w:r>
    </w:p>
    <w:p w:rsidR="00B77793" w:rsidRDefault="00B77793" w:rsidP="00D41612">
      <w:pPr>
        <w:pStyle w:val="CM9"/>
        <w:widowControl/>
        <w:numPr>
          <w:ilvl w:val="0"/>
          <w:numId w:val="20"/>
        </w:numPr>
        <w:spacing w:after="240" w:line="271" w:lineRule="exact"/>
        <w:jc w:val="both"/>
        <w:rPr>
          <w:rFonts w:ascii="Times New Roman" w:hAnsi="Times New Roman"/>
          <w:color w:val="000000"/>
          <w:sz w:val="22"/>
        </w:rPr>
      </w:pPr>
      <w:r>
        <w:rPr>
          <w:rFonts w:ascii="Times New Roman" w:hAnsi="Times New Roman"/>
          <w:color w:val="000000"/>
          <w:sz w:val="22"/>
        </w:rPr>
        <w:t xml:space="preserve">Projects located within the boundary of a port terminal are also eligible to receive TIFIA </w:t>
      </w:r>
      <w:r w:rsidR="008550D5">
        <w:rPr>
          <w:rFonts w:ascii="Times New Roman" w:hAnsi="Times New Roman"/>
          <w:sz w:val="22"/>
        </w:rPr>
        <w:t xml:space="preserve">credit </w:t>
      </w:r>
      <w:r>
        <w:rPr>
          <w:rFonts w:ascii="Times New Roman" w:hAnsi="Times New Roman"/>
          <w:color w:val="000000"/>
          <w:sz w:val="22"/>
        </w:rPr>
        <w:t xml:space="preserve">assistance, so long as the project is limited to only such surface transportation </w:t>
      </w:r>
      <w:r>
        <w:rPr>
          <w:rFonts w:ascii="Times New Roman" w:hAnsi="Times New Roman"/>
          <w:color w:val="000000"/>
          <w:sz w:val="22"/>
        </w:rPr>
        <w:lastRenderedPageBreak/>
        <w:t>infrastructure modifications as are necessary to facilitate direct intermodal interchange, transfer, and access into and out of the port.</w:t>
      </w:r>
      <w:r w:rsidR="000760FB">
        <w:rPr>
          <w:rStyle w:val="FootnoteReference"/>
          <w:rFonts w:ascii="Times New Roman" w:hAnsi="Times New Roman"/>
          <w:color w:val="000000"/>
        </w:rPr>
        <w:footnoteReference w:id="80"/>
      </w:r>
    </w:p>
    <w:p w:rsidR="00030B1D" w:rsidRPr="00EC479F" w:rsidRDefault="00030B1D" w:rsidP="00152396">
      <w:pPr>
        <w:pStyle w:val="Default"/>
        <w:numPr>
          <w:ilvl w:val="0"/>
          <w:numId w:val="20"/>
        </w:numPr>
        <w:spacing w:after="240" w:line="271" w:lineRule="exact"/>
        <w:jc w:val="both"/>
      </w:pPr>
      <w:r>
        <w:rPr>
          <w:rFonts w:ascii="Times New Roman" w:hAnsi="Times New Roman"/>
          <w:sz w:val="22"/>
        </w:rPr>
        <w:t xml:space="preserve">MAP-21 expands eligibility to </w:t>
      </w:r>
      <w:r w:rsidR="00BD43DD">
        <w:rPr>
          <w:rFonts w:ascii="Times New Roman" w:hAnsi="Times New Roman"/>
          <w:sz w:val="22"/>
        </w:rPr>
        <w:t xml:space="preserve">encourage </w:t>
      </w:r>
      <w:r>
        <w:rPr>
          <w:rFonts w:ascii="Times New Roman" w:hAnsi="Times New Roman"/>
          <w:sz w:val="22"/>
        </w:rPr>
        <w:t>rural infrastructure projects.  As much as</w:t>
      </w:r>
      <w:r w:rsidRPr="00030B1D">
        <w:rPr>
          <w:rFonts w:ascii="Times New Roman" w:hAnsi="Times New Roman"/>
          <w:sz w:val="22"/>
        </w:rPr>
        <w:t xml:space="preserve"> 10 percent of the TIFIA </w:t>
      </w:r>
      <w:r w:rsidR="00427D30">
        <w:rPr>
          <w:rFonts w:ascii="Times New Roman" w:hAnsi="Times New Roman"/>
          <w:sz w:val="22"/>
        </w:rPr>
        <w:t>P</w:t>
      </w:r>
      <w:r w:rsidRPr="00030B1D">
        <w:rPr>
          <w:rFonts w:ascii="Times New Roman" w:hAnsi="Times New Roman"/>
          <w:sz w:val="22"/>
        </w:rPr>
        <w:t>rogram’s budget authority</w:t>
      </w:r>
      <w:r>
        <w:rPr>
          <w:rFonts w:ascii="Times New Roman" w:hAnsi="Times New Roman"/>
          <w:sz w:val="22"/>
        </w:rPr>
        <w:t xml:space="preserve"> can</w:t>
      </w:r>
      <w:r w:rsidRPr="00030B1D">
        <w:rPr>
          <w:rFonts w:ascii="Times New Roman" w:hAnsi="Times New Roman"/>
          <w:sz w:val="22"/>
        </w:rPr>
        <w:t xml:space="preserve"> be set aside </w:t>
      </w:r>
      <w:r w:rsidR="0091342A">
        <w:rPr>
          <w:rFonts w:ascii="Times New Roman" w:hAnsi="Times New Roman"/>
          <w:sz w:val="22"/>
        </w:rPr>
        <w:t xml:space="preserve">to fund the subsidy cost of secured loans </w:t>
      </w:r>
      <w:r w:rsidRPr="00030B1D">
        <w:rPr>
          <w:rFonts w:ascii="Times New Roman" w:hAnsi="Times New Roman"/>
          <w:sz w:val="22"/>
        </w:rPr>
        <w:t>for rural infrastructure projects at a reduced interest rate of one-half of the Treasury Rate.</w:t>
      </w:r>
      <w:r w:rsidR="00C17677">
        <w:rPr>
          <w:rStyle w:val="FootnoteReference"/>
          <w:rFonts w:ascii="Times New Roman" w:hAnsi="Times New Roman"/>
        </w:rPr>
        <w:footnoteReference w:id="81"/>
      </w:r>
      <w:r w:rsidRPr="00030B1D">
        <w:rPr>
          <w:rFonts w:ascii="Times New Roman" w:hAnsi="Times New Roman"/>
          <w:sz w:val="22"/>
        </w:rPr>
        <w:t xml:space="preserve">  Rural infrastructure projects are defined as surface transportation infrastructure projects located in any area other than a city with a population of more than 250,000 inhabitants within the city limits.</w:t>
      </w:r>
      <w:r w:rsidR="00BE7760">
        <w:rPr>
          <w:rStyle w:val="FootnoteReference"/>
          <w:rFonts w:ascii="Times New Roman" w:hAnsi="Times New Roman"/>
        </w:rPr>
        <w:footnoteReference w:id="82"/>
      </w:r>
      <w:r w:rsidRPr="00030B1D">
        <w:rPr>
          <w:rFonts w:ascii="Times New Roman" w:hAnsi="Times New Roman"/>
          <w:sz w:val="22"/>
        </w:rPr>
        <w:t xml:space="preserve">  </w:t>
      </w:r>
      <w:r w:rsidR="00E73667">
        <w:rPr>
          <w:rFonts w:ascii="Times New Roman" w:hAnsi="Times New Roman"/>
          <w:sz w:val="22"/>
        </w:rPr>
        <w:t>In reviewing Letters of Interest for</w:t>
      </w:r>
      <w:r w:rsidR="00237A71">
        <w:rPr>
          <w:rFonts w:ascii="Times New Roman" w:hAnsi="Times New Roman"/>
          <w:sz w:val="22"/>
        </w:rPr>
        <w:t xml:space="preserve"> rural infrastructure projects, </w:t>
      </w:r>
      <w:r w:rsidR="000D4F00">
        <w:rPr>
          <w:rFonts w:ascii="Times New Roman" w:hAnsi="Times New Roman"/>
          <w:sz w:val="22"/>
        </w:rPr>
        <w:t xml:space="preserve">the </w:t>
      </w:r>
      <w:r w:rsidR="00237A71">
        <w:rPr>
          <w:rFonts w:ascii="Times New Roman" w:hAnsi="Times New Roman"/>
          <w:sz w:val="22"/>
        </w:rPr>
        <w:t>DOT may prioritize rural infrastructure projec</w:t>
      </w:r>
      <w:r w:rsidR="00E73667">
        <w:rPr>
          <w:rFonts w:ascii="Times New Roman" w:hAnsi="Times New Roman"/>
          <w:sz w:val="22"/>
        </w:rPr>
        <w:t xml:space="preserve">ts to receive the reduced rate </w:t>
      </w:r>
      <w:r w:rsidR="00152396" w:rsidRPr="00152396">
        <w:rPr>
          <w:rFonts w:ascii="Times New Roman" w:hAnsi="Times New Roman"/>
          <w:sz w:val="22"/>
        </w:rPr>
        <w:t>based on the project’s (</w:t>
      </w:r>
      <w:proofErr w:type="spellStart"/>
      <w:r w:rsidR="00152396" w:rsidRPr="00152396">
        <w:rPr>
          <w:rFonts w:ascii="Times New Roman" w:hAnsi="Times New Roman"/>
          <w:sz w:val="22"/>
        </w:rPr>
        <w:t>i</w:t>
      </w:r>
      <w:proofErr w:type="spellEnd"/>
      <w:r w:rsidR="00152396" w:rsidRPr="00152396">
        <w:rPr>
          <w:rFonts w:ascii="Times New Roman" w:hAnsi="Times New Roman"/>
          <w:sz w:val="22"/>
        </w:rPr>
        <w:t>) location outside of an urbanized area (as defined in Section 101(a)(34)), (ii) alignment with MAP-21’s reduced total minimum eligible project cost requirement of $25 million for rural infrastructure projects, and (iii) readiness to proceed</w:t>
      </w:r>
      <w:r w:rsidR="00237A71">
        <w:rPr>
          <w:rFonts w:ascii="Times New Roman" w:hAnsi="Times New Roman"/>
          <w:sz w:val="22"/>
        </w:rPr>
        <w:t>.</w:t>
      </w:r>
    </w:p>
    <w:p w:rsidR="007238F2" w:rsidRPr="00EC479F" w:rsidRDefault="007238F2" w:rsidP="006C2620">
      <w:pPr>
        <w:pStyle w:val="Default"/>
        <w:numPr>
          <w:ilvl w:val="0"/>
          <w:numId w:val="20"/>
        </w:numPr>
        <w:spacing w:after="240" w:line="271" w:lineRule="exact"/>
        <w:jc w:val="both"/>
        <w:rPr>
          <w:rFonts w:ascii="Times New Roman" w:hAnsi="Times New Roman"/>
          <w:sz w:val="22"/>
          <w:szCs w:val="22"/>
        </w:rPr>
      </w:pPr>
      <w:r w:rsidRPr="00EC479F">
        <w:rPr>
          <w:rFonts w:ascii="Times New Roman" w:hAnsi="Times New Roman"/>
          <w:sz w:val="22"/>
          <w:szCs w:val="22"/>
        </w:rPr>
        <w:t xml:space="preserve">Additionally, MAP-21 expands eligibility to include related </w:t>
      </w:r>
      <w:r w:rsidR="00BD43DD">
        <w:rPr>
          <w:rFonts w:ascii="Times New Roman" w:hAnsi="Times New Roman"/>
          <w:sz w:val="22"/>
          <w:szCs w:val="22"/>
        </w:rPr>
        <w:t xml:space="preserve">transportation </w:t>
      </w:r>
      <w:r w:rsidRPr="00EC479F">
        <w:rPr>
          <w:rFonts w:ascii="Times New Roman" w:hAnsi="Times New Roman"/>
          <w:sz w:val="22"/>
          <w:szCs w:val="22"/>
        </w:rPr>
        <w:t>improvement projects grouped together</w:t>
      </w:r>
      <w:r w:rsidR="00717DEE">
        <w:rPr>
          <w:rFonts w:ascii="Times New Roman" w:hAnsi="Times New Roman"/>
          <w:sz w:val="22"/>
          <w:szCs w:val="22"/>
        </w:rPr>
        <w:t xml:space="preserve"> </w:t>
      </w:r>
      <w:r w:rsidR="00717DEE">
        <w:rPr>
          <w:rFonts w:ascii="Times New Roman" w:hAnsi="Times New Roman"/>
          <w:sz w:val="22"/>
        </w:rPr>
        <w:t>in order to reach the minimum cost threshold for eligibility</w:t>
      </w:r>
      <w:r w:rsidRPr="00EC479F">
        <w:rPr>
          <w:rFonts w:ascii="Times New Roman" w:hAnsi="Times New Roman"/>
          <w:sz w:val="22"/>
          <w:szCs w:val="22"/>
        </w:rPr>
        <w:t>, so long as the individual components are eligible and the related projects are secured by a common pledge.</w:t>
      </w:r>
      <w:r w:rsidR="00BE7760">
        <w:rPr>
          <w:rStyle w:val="FootnoteReference"/>
          <w:rFonts w:ascii="Times New Roman" w:hAnsi="Times New Roman"/>
          <w:szCs w:val="22"/>
        </w:rPr>
        <w:footnoteReference w:id="83"/>
      </w:r>
      <w:r w:rsidRPr="00EC479F">
        <w:rPr>
          <w:rFonts w:ascii="Times New Roman" w:hAnsi="Times New Roman"/>
          <w:sz w:val="22"/>
          <w:szCs w:val="22"/>
        </w:rPr>
        <w:t xml:space="preserve">  </w:t>
      </w:r>
    </w:p>
    <w:p w:rsidR="00B77793" w:rsidRDefault="000067B2" w:rsidP="004D692A">
      <w:pPr>
        <w:pStyle w:val="CM9"/>
        <w:widowControl/>
        <w:spacing w:after="240" w:line="271" w:lineRule="exact"/>
        <w:jc w:val="both"/>
        <w:rPr>
          <w:rFonts w:ascii="Times New Roman" w:hAnsi="Times New Roman"/>
          <w:color w:val="000000"/>
          <w:sz w:val="22"/>
        </w:rPr>
      </w:pPr>
      <w:r>
        <w:rPr>
          <w:rFonts w:ascii="Times New Roman" w:hAnsi="Times New Roman"/>
          <w:color w:val="000000"/>
          <w:sz w:val="22"/>
        </w:rPr>
        <w:t xml:space="preserve">TIFIA </w:t>
      </w:r>
      <w:r w:rsidR="00B77793">
        <w:rPr>
          <w:rFonts w:ascii="Times New Roman" w:hAnsi="Times New Roman"/>
          <w:color w:val="000000"/>
          <w:sz w:val="22"/>
        </w:rPr>
        <w:t>credit assistance is available to cover only eligible project costs.</w:t>
      </w:r>
      <w:r w:rsidR="00676EAF">
        <w:rPr>
          <w:rStyle w:val="FootnoteReference"/>
          <w:rFonts w:ascii="Times New Roman" w:hAnsi="Times New Roman"/>
          <w:color w:val="000000"/>
        </w:rPr>
        <w:footnoteReference w:id="84"/>
      </w:r>
      <w:r w:rsidR="00B77793">
        <w:rPr>
          <w:rFonts w:ascii="Times New Roman" w:hAnsi="Times New Roman"/>
          <w:color w:val="000000"/>
          <w:sz w:val="22"/>
        </w:rPr>
        <w:t xml:space="preserve">  A calculation of total eligible project costs is important to determine whether the project meets the eligibility test for minimum project size</w:t>
      </w:r>
      <w:r w:rsidR="00676EAF">
        <w:rPr>
          <w:rStyle w:val="FootnoteReference"/>
          <w:rFonts w:ascii="Times New Roman" w:hAnsi="Times New Roman"/>
          <w:color w:val="000000"/>
        </w:rPr>
        <w:footnoteReference w:id="85"/>
      </w:r>
      <w:r w:rsidR="00B77793">
        <w:rPr>
          <w:rFonts w:ascii="Times New Roman" w:hAnsi="Times New Roman"/>
          <w:color w:val="000000"/>
          <w:sz w:val="22"/>
        </w:rPr>
        <w:t xml:space="preserve"> and whether the credit request does not exceed </w:t>
      </w:r>
      <w:r w:rsidR="00761FB4">
        <w:rPr>
          <w:rFonts w:ascii="Times New Roman" w:hAnsi="Times New Roman"/>
          <w:color w:val="000000"/>
          <w:sz w:val="22"/>
        </w:rPr>
        <w:t>applicable thresholds</w:t>
      </w:r>
      <w:r w:rsidR="00B77793">
        <w:rPr>
          <w:rFonts w:ascii="Times New Roman" w:hAnsi="Times New Roman"/>
          <w:color w:val="000000"/>
          <w:sz w:val="22"/>
        </w:rPr>
        <w:t xml:space="preserve"> of reasonably anticipated eligible project costs</w:t>
      </w:r>
      <w:r w:rsidR="00676EAF">
        <w:rPr>
          <w:rStyle w:val="FootnoteReference"/>
          <w:rFonts w:ascii="Times New Roman" w:hAnsi="Times New Roman"/>
          <w:color w:val="000000"/>
        </w:rPr>
        <w:footnoteReference w:id="86"/>
      </w:r>
      <w:r w:rsidR="00B77793">
        <w:rPr>
          <w:rFonts w:ascii="Times New Roman" w:hAnsi="Times New Roman"/>
          <w:color w:val="000000"/>
          <w:sz w:val="22"/>
        </w:rPr>
        <w:t xml:space="preserve">, as required by statute. </w:t>
      </w:r>
    </w:p>
    <w:p w:rsidR="00B77793" w:rsidRDefault="00B77793" w:rsidP="004D692A">
      <w:pPr>
        <w:pStyle w:val="CM9"/>
        <w:widowControl/>
        <w:spacing w:after="240" w:line="271" w:lineRule="exact"/>
        <w:jc w:val="both"/>
        <w:rPr>
          <w:rFonts w:ascii="Times New Roman" w:hAnsi="Times New Roman"/>
          <w:color w:val="000000"/>
          <w:sz w:val="22"/>
        </w:rPr>
      </w:pPr>
      <w:r>
        <w:rPr>
          <w:rFonts w:ascii="Times New Roman" w:hAnsi="Times New Roman"/>
          <w:color w:val="000000"/>
          <w:sz w:val="22"/>
        </w:rPr>
        <w:t>The TIFIA statute, codified at 23 U.S.C. §601</w:t>
      </w:r>
      <w:r w:rsidR="00676EAF">
        <w:rPr>
          <w:rFonts w:ascii="Times New Roman" w:hAnsi="Times New Roman"/>
          <w:color w:val="000000"/>
          <w:sz w:val="22"/>
        </w:rPr>
        <w:t xml:space="preserve"> </w:t>
      </w:r>
      <w:r w:rsidR="00676EAF" w:rsidRPr="00676EAF">
        <w:rPr>
          <w:rFonts w:ascii="Times New Roman" w:hAnsi="Times New Roman"/>
          <w:color w:val="000000"/>
          <w:sz w:val="22"/>
        </w:rPr>
        <w:t xml:space="preserve">et </w:t>
      </w:r>
      <w:proofErr w:type="spellStart"/>
      <w:r w:rsidR="00676EAF" w:rsidRPr="00676EAF">
        <w:rPr>
          <w:rFonts w:ascii="Times New Roman" w:hAnsi="Times New Roman"/>
          <w:color w:val="000000"/>
          <w:sz w:val="22"/>
        </w:rPr>
        <w:t>seq</w:t>
      </w:r>
      <w:proofErr w:type="spellEnd"/>
      <w:r>
        <w:rPr>
          <w:rFonts w:ascii="Times New Roman" w:hAnsi="Times New Roman"/>
          <w:color w:val="000000"/>
          <w:sz w:val="22"/>
        </w:rPr>
        <w:t xml:space="preserve">, defines eligible project costs as those expenses associated with the following: </w:t>
      </w:r>
    </w:p>
    <w:p w:rsidR="00B77793" w:rsidRDefault="00B77793" w:rsidP="00D41612">
      <w:pPr>
        <w:pStyle w:val="Default"/>
        <w:widowControl/>
        <w:numPr>
          <w:ilvl w:val="0"/>
          <w:numId w:val="21"/>
        </w:numPr>
        <w:spacing w:after="240" w:line="271" w:lineRule="exact"/>
        <w:jc w:val="both"/>
        <w:rPr>
          <w:rFonts w:ascii="Times New Roman" w:hAnsi="Times New Roman"/>
          <w:sz w:val="22"/>
        </w:rPr>
      </w:pPr>
      <w:r>
        <w:rPr>
          <w:rFonts w:ascii="Times New Roman" w:hAnsi="Times New Roman"/>
          <w:sz w:val="22"/>
        </w:rPr>
        <w:t>Development phase activities, including planning, feasibility analysis, revenue forecasting, environmental review, permitting, preliminary engineering and design work, and other pre-construction activities;</w:t>
      </w:r>
      <w:r w:rsidR="003601A9">
        <w:rPr>
          <w:rStyle w:val="FootnoteReference"/>
          <w:rFonts w:ascii="Times New Roman" w:hAnsi="Times New Roman"/>
        </w:rPr>
        <w:footnoteReference w:id="87"/>
      </w:r>
      <w:r>
        <w:rPr>
          <w:rFonts w:ascii="Times New Roman" w:hAnsi="Times New Roman"/>
          <w:sz w:val="22"/>
        </w:rPr>
        <w:t xml:space="preserve"> </w:t>
      </w:r>
    </w:p>
    <w:p w:rsidR="00B77793" w:rsidRDefault="00B77793" w:rsidP="00D41612">
      <w:pPr>
        <w:pStyle w:val="Default"/>
        <w:widowControl/>
        <w:numPr>
          <w:ilvl w:val="0"/>
          <w:numId w:val="21"/>
        </w:numPr>
        <w:spacing w:after="240" w:line="271" w:lineRule="exact"/>
        <w:jc w:val="both"/>
        <w:rPr>
          <w:rFonts w:ascii="Times New Roman" w:hAnsi="Times New Roman"/>
          <w:sz w:val="22"/>
        </w:rPr>
      </w:pPr>
      <w:r>
        <w:rPr>
          <w:rFonts w:ascii="Times New Roman" w:hAnsi="Times New Roman"/>
          <w:sz w:val="22"/>
        </w:rPr>
        <w:t>Construction, reconstruction, rehabilitation, replacement, and acquisition of real property (including land related to the project and improvements to land), environmental mitigation, construction contingencies, and acquisition of equipment;</w:t>
      </w:r>
      <w:r w:rsidR="003601A9">
        <w:rPr>
          <w:rStyle w:val="FootnoteReference"/>
          <w:rFonts w:ascii="Times New Roman" w:hAnsi="Times New Roman"/>
        </w:rPr>
        <w:footnoteReference w:id="88"/>
      </w:r>
      <w:r>
        <w:rPr>
          <w:rFonts w:ascii="Times New Roman" w:hAnsi="Times New Roman"/>
          <w:sz w:val="22"/>
        </w:rPr>
        <w:t xml:space="preserve"> and </w:t>
      </w:r>
    </w:p>
    <w:p w:rsidR="00B77793" w:rsidRDefault="00B77793" w:rsidP="00D41612">
      <w:pPr>
        <w:pStyle w:val="Default"/>
        <w:widowControl/>
        <w:numPr>
          <w:ilvl w:val="0"/>
          <w:numId w:val="21"/>
        </w:numPr>
        <w:spacing w:after="240" w:line="271" w:lineRule="exact"/>
        <w:jc w:val="both"/>
        <w:rPr>
          <w:rFonts w:ascii="Times New Roman" w:hAnsi="Times New Roman"/>
          <w:sz w:val="22"/>
        </w:rPr>
      </w:pPr>
      <w:r>
        <w:rPr>
          <w:rFonts w:ascii="Times New Roman" w:hAnsi="Times New Roman"/>
          <w:sz w:val="22"/>
        </w:rPr>
        <w:t>Capitalized interest necessary to meet market requirements, reasonably required reserve funds, capital issuance expenses, and other carrying costs during construction.</w:t>
      </w:r>
      <w:r w:rsidR="003601A9">
        <w:rPr>
          <w:rStyle w:val="FootnoteReference"/>
          <w:rFonts w:ascii="Times New Roman" w:hAnsi="Times New Roman"/>
        </w:rPr>
        <w:footnoteReference w:id="89"/>
      </w:r>
      <w:r>
        <w:rPr>
          <w:rFonts w:ascii="Times New Roman" w:hAnsi="Times New Roman"/>
          <w:sz w:val="22"/>
        </w:rPr>
        <w:t xml:space="preserve"> </w:t>
      </w:r>
    </w:p>
    <w:p w:rsidR="00B77793" w:rsidRDefault="00B77793" w:rsidP="004D692A">
      <w:pPr>
        <w:pStyle w:val="CM9"/>
        <w:widowControl/>
        <w:spacing w:after="240" w:line="271" w:lineRule="exact"/>
        <w:jc w:val="both"/>
        <w:rPr>
          <w:rFonts w:ascii="Times New Roman" w:hAnsi="Times New Roman"/>
          <w:color w:val="000000"/>
          <w:sz w:val="22"/>
        </w:rPr>
      </w:pPr>
      <w:r>
        <w:rPr>
          <w:rFonts w:ascii="Times New Roman" w:hAnsi="Times New Roman"/>
          <w:color w:val="000000"/>
          <w:sz w:val="22"/>
        </w:rPr>
        <w:lastRenderedPageBreak/>
        <w:t xml:space="preserve">Capitalized interest on TIFIA credit assistance may not be included as an eligible project cost. </w:t>
      </w:r>
    </w:p>
    <w:p w:rsidR="00B77793" w:rsidRDefault="00B77793" w:rsidP="004D692A">
      <w:pPr>
        <w:pStyle w:val="CM2"/>
        <w:widowControl/>
        <w:spacing w:after="240" w:line="271" w:lineRule="exact"/>
        <w:jc w:val="both"/>
        <w:rPr>
          <w:rFonts w:ascii="Times New Roman" w:hAnsi="Times New Roman"/>
          <w:color w:val="000000"/>
          <w:sz w:val="22"/>
        </w:rPr>
      </w:pPr>
      <w:r>
        <w:rPr>
          <w:rFonts w:ascii="Times New Roman" w:hAnsi="Times New Roman"/>
          <w:color w:val="000000"/>
          <w:sz w:val="22"/>
        </w:rPr>
        <w:t>Also, TIFIA administrative charges, such as application fees, transaction fees, loan servicing fees, and credit monitoring fees will not be considered among the eligible project costs.</w:t>
      </w:r>
      <w:r w:rsidR="003601A9">
        <w:rPr>
          <w:rStyle w:val="FootnoteReference"/>
          <w:rFonts w:ascii="Times New Roman" w:hAnsi="Times New Roman"/>
          <w:color w:val="000000"/>
        </w:rPr>
        <w:footnoteReference w:id="90"/>
      </w:r>
      <w:r>
        <w:rPr>
          <w:rFonts w:ascii="Times New Roman" w:hAnsi="Times New Roman"/>
          <w:color w:val="000000"/>
          <w:sz w:val="22"/>
        </w:rPr>
        <w:t xml:space="preserve">  In all cases, eligible project costs should be calculated and presented on a cash basis (that is, as year-of-expenditure dollars) with the year of planned expenditure clearly identified.</w:t>
      </w:r>
      <w:r w:rsidR="003601A9">
        <w:rPr>
          <w:rStyle w:val="FootnoteReference"/>
          <w:rFonts w:ascii="Times New Roman" w:hAnsi="Times New Roman"/>
          <w:color w:val="000000"/>
        </w:rPr>
        <w:footnoteReference w:id="91"/>
      </w:r>
      <w:r>
        <w:rPr>
          <w:rFonts w:ascii="Times New Roman" w:hAnsi="Times New Roman"/>
          <w:color w:val="000000"/>
          <w:sz w:val="22"/>
        </w:rPr>
        <w:t xml:space="preserve"> </w:t>
      </w:r>
    </w:p>
    <w:p w:rsidR="00B77793" w:rsidRDefault="00B77793" w:rsidP="004D692A">
      <w:pPr>
        <w:pStyle w:val="CM9"/>
        <w:widowControl/>
        <w:spacing w:after="240" w:line="271" w:lineRule="exact"/>
        <w:jc w:val="both"/>
        <w:rPr>
          <w:rFonts w:ascii="Times New Roman" w:hAnsi="Times New Roman"/>
          <w:color w:val="000000"/>
          <w:sz w:val="22"/>
        </w:rPr>
      </w:pPr>
      <w:r>
        <w:rPr>
          <w:rFonts w:ascii="Times New Roman" w:hAnsi="Times New Roman"/>
          <w:color w:val="000000"/>
          <w:sz w:val="22"/>
        </w:rPr>
        <w:t xml:space="preserve">In determining eligible project costs, the following two clarifications should be considered: </w:t>
      </w:r>
    </w:p>
    <w:p w:rsidR="00B77793" w:rsidRDefault="00B77793" w:rsidP="00D41612">
      <w:pPr>
        <w:pStyle w:val="Default"/>
        <w:widowControl/>
        <w:numPr>
          <w:ilvl w:val="0"/>
          <w:numId w:val="22"/>
        </w:numPr>
        <w:spacing w:after="240" w:line="271" w:lineRule="exact"/>
        <w:jc w:val="both"/>
        <w:rPr>
          <w:rFonts w:ascii="Times New Roman" w:hAnsi="Times New Roman"/>
          <w:sz w:val="22"/>
        </w:rPr>
      </w:pPr>
      <w:r>
        <w:rPr>
          <w:rFonts w:ascii="Times New Roman" w:hAnsi="Times New Roman"/>
          <w:sz w:val="22"/>
          <w:u w:val="single"/>
        </w:rPr>
        <w:t>Acquisition of Real Property</w:t>
      </w:r>
      <w:r>
        <w:rPr>
          <w:rFonts w:ascii="Times New Roman" w:hAnsi="Times New Roman"/>
          <w:sz w:val="22"/>
        </w:rPr>
        <w:t>.  While acquisition of real property is eligible for TIFIA reimbursement, such property must be physically and functionally related to the transportation project.  If excess land surrounding the project’s immediate right-of-way is acquired for development, the cost of this real property may not be included among eligible project costs.  The acquisition of real property must be in accordance with the Uniform Relocation Assistance and Real Property Acquisition Policies Act of 1970 (see page 3-</w:t>
      </w:r>
      <w:r w:rsidR="00D26376">
        <w:rPr>
          <w:rFonts w:ascii="Times New Roman" w:hAnsi="Times New Roman"/>
          <w:sz w:val="22"/>
        </w:rPr>
        <w:t>6</w:t>
      </w:r>
      <w:r>
        <w:rPr>
          <w:rFonts w:ascii="Times New Roman" w:hAnsi="Times New Roman"/>
          <w:sz w:val="22"/>
        </w:rPr>
        <w:t>).</w:t>
      </w:r>
      <w:r w:rsidR="002733CA">
        <w:rPr>
          <w:rStyle w:val="FootnoteReference"/>
          <w:rFonts w:ascii="Times New Roman" w:hAnsi="Times New Roman"/>
        </w:rPr>
        <w:footnoteReference w:id="92"/>
      </w:r>
      <w:r>
        <w:rPr>
          <w:rFonts w:ascii="Times New Roman" w:hAnsi="Times New Roman"/>
          <w:sz w:val="22"/>
        </w:rPr>
        <w:t xml:space="preserve"> </w:t>
      </w:r>
    </w:p>
    <w:p w:rsidR="00B77793" w:rsidRDefault="00B77793" w:rsidP="00D41612">
      <w:pPr>
        <w:pStyle w:val="Default"/>
        <w:widowControl/>
        <w:numPr>
          <w:ilvl w:val="0"/>
          <w:numId w:val="22"/>
        </w:numPr>
        <w:spacing w:after="240" w:line="271" w:lineRule="exact"/>
        <w:jc w:val="both"/>
        <w:rPr>
          <w:rFonts w:ascii="Times New Roman" w:hAnsi="Times New Roman"/>
          <w:sz w:val="22"/>
        </w:rPr>
      </w:pPr>
      <w:r>
        <w:rPr>
          <w:rFonts w:ascii="Times New Roman" w:hAnsi="Times New Roman"/>
          <w:sz w:val="22"/>
          <w:u w:val="single"/>
        </w:rPr>
        <w:t>Costs Incurred Prior to Application</w:t>
      </w:r>
      <w:r>
        <w:rPr>
          <w:rFonts w:ascii="Times New Roman" w:hAnsi="Times New Roman"/>
          <w:sz w:val="22"/>
        </w:rPr>
        <w:t>.  It is permissible for an applicant to incur costs prior to submitting an application for TIFIA credit assistance.  However, these costs may be considered eligible project costs for TIFIA purposes only upon approval from the DOT.</w:t>
      </w:r>
      <w:r w:rsidR="002733CA">
        <w:rPr>
          <w:rStyle w:val="FootnoteReference"/>
          <w:rFonts w:ascii="Times New Roman" w:hAnsi="Times New Roman"/>
        </w:rPr>
        <w:footnoteReference w:id="93"/>
      </w:r>
      <w:r>
        <w:rPr>
          <w:rFonts w:ascii="Times New Roman" w:hAnsi="Times New Roman"/>
          <w:sz w:val="22"/>
        </w:rPr>
        <w:t xml:space="preserve">  Generally, such costs will be confined to development phase or right-of-way acquisition expenses.  This eligibility determination will be made on a case-by-case basis, depending on the nature and timing of the costs. </w:t>
      </w:r>
      <w:r w:rsidR="00A31F28">
        <w:rPr>
          <w:rFonts w:ascii="Times New Roman" w:hAnsi="Times New Roman"/>
          <w:sz w:val="22"/>
        </w:rPr>
        <w:t xml:space="preserve"> Project sponsors that intend to</w:t>
      </w:r>
      <w:r w:rsidR="009A511B">
        <w:rPr>
          <w:rFonts w:ascii="Times New Roman" w:hAnsi="Times New Roman"/>
          <w:sz w:val="22"/>
        </w:rPr>
        <w:t xml:space="preserve"> request the</w:t>
      </w:r>
      <w:r w:rsidR="00A31F28">
        <w:rPr>
          <w:rFonts w:ascii="Times New Roman" w:hAnsi="Times New Roman"/>
          <w:sz w:val="22"/>
        </w:rPr>
        <w:t xml:space="preserve"> inclu</w:t>
      </w:r>
      <w:r w:rsidR="009A511B">
        <w:rPr>
          <w:rFonts w:ascii="Times New Roman" w:hAnsi="Times New Roman"/>
          <w:sz w:val="22"/>
        </w:rPr>
        <w:t>sion of</w:t>
      </w:r>
      <w:r w:rsidR="00A31F28">
        <w:rPr>
          <w:rFonts w:ascii="Times New Roman" w:hAnsi="Times New Roman"/>
          <w:sz w:val="22"/>
        </w:rPr>
        <w:t xml:space="preserve"> such costs as eligible project costs are encouraged to p</w:t>
      </w:r>
      <w:r w:rsidR="009A511B">
        <w:rPr>
          <w:rFonts w:ascii="Times New Roman" w:hAnsi="Times New Roman"/>
          <w:sz w:val="22"/>
        </w:rPr>
        <w:t>rovide the DOT with supporting materials and information for such costs as early as possible to provide adequate time for DOT staff to review and make a determination as to eligibility.</w:t>
      </w:r>
    </w:p>
    <w:p w:rsidR="00B77793" w:rsidRDefault="00B77793">
      <w:pPr>
        <w:pStyle w:val="TIFIAHeading1a"/>
        <w:widowControl/>
        <w:spacing w:before="0"/>
        <w:jc w:val="both"/>
        <w:outlineLvl w:val="0"/>
      </w:pPr>
      <w:r>
        <w:t>Section 3-2</w:t>
      </w:r>
    </w:p>
    <w:p w:rsidR="00B77793" w:rsidRDefault="00B77793">
      <w:pPr>
        <w:pStyle w:val="TIFIAHeading1b"/>
        <w:widowControl/>
        <w:spacing w:after="240"/>
        <w:jc w:val="both"/>
        <w:outlineLvl w:val="0"/>
      </w:pPr>
      <w:r>
        <w:t>Government Requirements</w:t>
      </w:r>
    </w:p>
    <w:p w:rsidR="00B77793" w:rsidRDefault="00B77793" w:rsidP="004D692A">
      <w:pPr>
        <w:pStyle w:val="CM9"/>
        <w:widowControl/>
        <w:spacing w:after="240" w:line="271" w:lineRule="atLeast"/>
        <w:jc w:val="both"/>
        <w:rPr>
          <w:rFonts w:ascii="Times New Roman" w:hAnsi="Times New Roman"/>
          <w:color w:val="000000"/>
          <w:sz w:val="22"/>
        </w:rPr>
      </w:pPr>
      <w:r>
        <w:rPr>
          <w:rFonts w:ascii="Times New Roman" w:hAnsi="Times New Roman"/>
          <w:color w:val="000000"/>
          <w:sz w:val="22"/>
        </w:rPr>
        <w:t>The TIFIA statute requires all projects receiving TIFIA</w:t>
      </w:r>
      <w:r w:rsidR="00320860">
        <w:rPr>
          <w:rFonts w:ascii="Times New Roman" w:hAnsi="Times New Roman"/>
          <w:color w:val="000000"/>
          <w:sz w:val="22"/>
        </w:rPr>
        <w:t xml:space="preserve"> credit</w:t>
      </w:r>
      <w:r>
        <w:rPr>
          <w:rFonts w:ascii="Times New Roman" w:hAnsi="Times New Roman"/>
          <w:color w:val="000000"/>
          <w:sz w:val="22"/>
        </w:rPr>
        <w:t xml:space="preserve"> assistance to comply with 23 U.S.C. (for highway projects) and chapter 53 of 49 U.S.C. (for transit projects), as applicable.</w:t>
      </w:r>
      <w:r w:rsidR="002733CA">
        <w:rPr>
          <w:rStyle w:val="FootnoteReference"/>
          <w:rFonts w:ascii="Times New Roman" w:hAnsi="Times New Roman"/>
          <w:color w:val="000000"/>
        </w:rPr>
        <w:footnoteReference w:id="94"/>
      </w:r>
      <w:r>
        <w:rPr>
          <w:rFonts w:ascii="Times New Roman" w:hAnsi="Times New Roman"/>
          <w:color w:val="000000"/>
          <w:sz w:val="22"/>
        </w:rPr>
        <w:t xml:space="preserve">  In addition, all projects receiving TIFIA </w:t>
      </w:r>
      <w:r w:rsidR="007D700B">
        <w:rPr>
          <w:rFonts w:ascii="Times New Roman" w:hAnsi="Times New Roman"/>
          <w:color w:val="000000"/>
          <w:sz w:val="22"/>
        </w:rPr>
        <w:t xml:space="preserve">credit </w:t>
      </w:r>
      <w:r>
        <w:rPr>
          <w:rFonts w:ascii="Times New Roman" w:hAnsi="Times New Roman"/>
          <w:color w:val="000000"/>
          <w:sz w:val="22"/>
        </w:rPr>
        <w:t>assistance must comply with generally applicable Federal laws and regulations, including title VI of the Civil Rights Act of 1964, the National Environmental Policy Act of 1969,</w:t>
      </w:r>
      <w:r w:rsidR="008D633C">
        <w:rPr>
          <w:rFonts w:ascii="Times New Roman" w:hAnsi="Times New Roman"/>
          <w:color w:val="000000"/>
          <w:sz w:val="22"/>
        </w:rPr>
        <w:t xml:space="preserve"> the</w:t>
      </w:r>
      <w:r>
        <w:rPr>
          <w:rFonts w:ascii="Times New Roman" w:hAnsi="Times New Roman"/>
          <w:color w:val="000000"/>
          <w:sz w:val="22"/>
        </w:rPr>
        <w:t xml:space="preserve"> </w:t>
      </w:r>
      <w:r w:rsidR="00BD43DD" w:rsidRPr="00EC479F">
        <w:rPr>
          <w:rFonts w:ascii="Times New Roman" w:hAnsi="Times New Roman"/>
          <w:color w:val="000000"/>
          <w:sz w:val="22"/>
        </w:rPr>
        <w:t>Disadvantaged Business Enterprises (DBE)</w:t>
      </w:r>
      <w:r w:rsidR="008D633C">
        <w:rPr>
          <w:rFonts w:ascii="Times New Roman" w:hAnsi="Times New Roman"/>
          <w:color w:val="000000"/>
          <w:sz w:val="22"/>
        </w:rPr>
        <w:t xml:space="preserve"> Program (49 C.F.R. Part 26)</w:t>
      </w:r>
      <w:r w:rsidR="00A378CE">
        <w:rPr>
          <w:rFonts w:ascii="Times New Roman" w:hAnsi="Times New Roman"/>
          <w:color w:val="000000"/>
          <w:sz w:val="22"/>
        </w:rPr>
        <w:t>,</w:t>
      </w:r>
      <w:r w:rsidR="00BD43DD" w:rsidRPr="00EC479F">
        <w:rPr>
          <w:rFonts w:ascii="Times New Roman" w:hAnsi="Times New Roman"/>
          <w:color w:val="000000"/>
          <w:sz w:val="22"/>
        </w:rPr>
        <w:t xml:space="preserve"> </w:t>
      </w:r>
      <w:r>
        <w:rPr>
          <w:rFonts w:ascii="Times New Roman" w:hAnsi="Times New Roman"/>
          <w:color w:val="000000"/>
          <w:sz w:val="22"/>
        </w:rPr>
        <w:t>and the Uniform Relocation Assistance and Real Property Acquisition Policies Act of 1970.</w:t>
      </w:r>
      <w:r w:rsidR="002733CA">
        <w:rPr>
          <w:rStyle w:val="FootnoteReference"/>
          <w:rFonts w:ascii="Times New Roman" w:hAnsi="Times New Roman"/>
          <w:color w:val="000000"/>
        </w:rPr>
        <w:footnoteReference w:id="95"/>
      </w:r>
      <w:r>
        <w:rPr>
          <w:rFonts w:ascii="Times New Roman" w:hAnsi="Times New Roman"/>
          <w:color w:val="000000"/>
          <w:sz w:val="22"/>
        </w:rPr>
        <w:t xml:space="preserve"> </w:t>
      </w:r>
    </w:p>
    <w:p w:rsidR="00B77793" w:rsidRDefault="00B77793" w:rsidP="004D692A">
      <w:pPr>
        <w:pStyle w:val="CM9"/>
        <w:widowControl/>
        <w:spacing w:after="240" w:line="271" w:lineRule="atLeast"/>
        <w:jc w:val="both"/>
        <w:rPr>
          <w:rFonts w:ascii="Times New Roman" w:hAnsi="Times New Roman"/>
          <w:color w:val="000000"/>
          <w:sz w:val="22"/>
        </w:rPr>
      </w:pPr>
      <w:r>
        <w:rPr>
          <w:rFonts w:ascii="Times New Roman" w:hAnsi="Times New Roman"/>
          <w:color w:val="000000"/>
          <w:sz w:val="22"/>
        </w:rPr>
        <w:t xml:space="preserve">Some of the key Federal Government requirements related to TIFIA credit assistance are listed below.  In addition, applicants seeking TIFIA credit assistance are advised to contact </w:t>
      </w:r>
      <w:r>
        <w:rPr>
          <w:rFonts w:ascii="Times New Roman" w:hAnsi="Times New Roman"/>
          <w:color w:val="000000"/>
          <w:sz w:val="22"/>
        </w:rPr>
        <w:lastRenderedPageBreak/>
        <w:t xml:space="preserve">the TIFIA JPO as well as the relevant modal agencies (FHWA, FRA, FTA, </w:t>
      </w:r>
      <w:r w:rsidR="00BD43DD">
        <w:rPr>
          <w:rFonts w:ascii="Times New Roman" w:hAnsi="Times New Roman"/>
          <w:color w:val="000000"/>
          <w:sz w:val="22"/>
        </w:rPr>
        <w:t>FAA</w:t>
      </w:r>
      <w:r w:rsidR="00A378CE">
        <w:rPr>
          <w:rFonts w:ascii="Times New Roman" w:hAnsi="Times New Roman"/>
          <w:color w:val="000000"/>
          <w:sz w:val="22"/>
        </w:rPr>
        <w:t>,</w:t>
      </w:r>
      <w:r w:rsidR="00BD43DD">
        <w:rPr>
          <w:rFonts w:ascii="Times New Roman" w:hAnsi="Times New Roman"/>
          <w:color w:val="000000"/>
          <w:sz w:val="22"/>
        </w:rPr>
        <w:t xml:space="preserve"> </w:t>
      </w:r>
      <w:r>
        <w:rPr>
          <w:rFonts w:ascii="Times New Roman" w:hAnsi="Times New Roman"/>
          <w:color w:val="000000"/>
          <w:sz w:val="22"/>
        </w:rPr>
        <w:t xml:space="preserve">and MARAD) for further information on these and other Federal laws and regulations that may apply. </w:t>
      </w:r>
      <w:r w:rsidR="008D633C">
        <w:rPr>
          <w:rFonts w:ascii="Times New Roman" w:hAnsi="Times New Roman"/>
          <w:color w:val="000000"/>
          <w:sz w:val="22"/>
        </w:rPr>
        <w:t xml:space="preserve"> </w:t>
      </w:r>
      <w:r w:rsidR="00CF09D4">
        <w:rPr>
          <w:rFonts w:ascii="Times New Roman" w:hAnsi="Times New Roman"/>
          <w:color w:val="000000"/>
          <w:sz w:val="22"/>
        </w:rPr>
        <w:t xml:space="preserve">Applicants seeking TIFIA credit assistance must comply with all applicable modal and Federal laws and regulations.  </w:t>
      </w:r>
      <w:r w:rsidR="00916992">
        <w:rPr>
          <w:rFonts w:ascii="Times New Roman" w:hAnsi="Times New Roman"/>
          <w:color w:val="000000"/>
          <w:sz w:val="22"/>
        </w:rPr>
        <w:t xml:space="preserve">We encourage project sponsors to coordinate with the TIFIA </w:t>
      </w:r>
      <w:r w:rsidR="008D633C">
        <w:rPr>
          <w:rFonts w:ascii="Times New Roman" w:hAnsi="Times New Roman"/>
          <w:color w:val="000000"/>
          <w:sz w:val="22"/>
        </w:rPr>
        <w:t>JPO</w:t>
      </w:r>
      <w:r w:rsidR="00916992">
        <w:rPr>
          <w:rFonts w:ascii="Times New Roman" w:hAnsi="Times New Roman"/>
          <w:color w:val="000000"/>
          <w:sz w:val="22"/>
        </w:rPr>
        <w:t xml:space="preserve"> </w:t>
      </w:r>
      <w:r w:rsidR="009A511B">
        <w:rPr>
          <w:rFonts w:ascii="Times New Roman" w:hAnsi="Times New Roman"/>
          <w:color w:val="000000"/>
          <w:sz w:val="22"/>
        </w:rPr>
        <w:t xml:space="preserve">and the relevant modal agencies </w:t>
      </w:r>
      <w:r w:rsidR="00916992">
        <w:rPr>
          <w:rFonts w:ascii="Times New Roman" w:hAnsi="Times New Roman"/>
          <w:color w:val="000000"/>
          <w:sz w:val="22"/>
        </w:rPr>
        <w:t xml:space="preserve">early in their planning process to ensure satisfaction of all Federal requirements. </w:t>
      </w:r>
    </w:p>
    <w:p w:rsidR="00B77793" w:rsidRDefault="00B77793" w:rsidP="004D29BE">
      <w:pPr>
        <w:pStyle w:val="CM9"/>
        <w:widowControl/>
        <w:spacing w:after="240" w:line="271" w:lineRule="atLeast"/>
        <w:jc w:val="both"/>
        <w:outlineLvl w:val="0"/>
        <w:rPr>
          <w:color w:val="000000"/>
          <w:sz w:val="22"/>
        </w:rPr>
      </w:pPr>
      <w:r>
        <w:rPr>
          <w:b/>
          <w:color w:val="000000"/>
          <w:sz w:val="22"/>
        </w:rPr>
        <w:t xml:space="preserve">Title 23 – Highway Projects </w:t>
      </w:r>
    </w:p>
    <w:p w:rsidR="00B77793" w:rsidRDefault="00B77793" w:rsidP="004D29BE">
      <w:pPr>
        <w:pStyle w:val="CM9"/>
        <w:widowControl/>
        <w:spacing w:after="240" w:line="271" w:lineRule="atLeast"/>
        <w:jc w:val="both"/>
        <w:rPr>
          <w:rFonts w:ascii="Times New Roman" w:hAnsi="Times New Roman"/>
          <w:color w:val="000000"/>
          <w:sz w:val="22"/>
        </w:rPr>
      </w:pPr>
      <w:r>
        <w:rPr>
          <w:rFonts w:ascii="Times New Roman" w:hAnsi="Times New Roman"/>
          <w:color w:val="000000"/>
          <w:sz w:val="22"/>
        </w:rPr>
        <w:t xml:space="preserve">Title 23 of the U.S. Code </w:t>
      </w:r>
      <w:r w:rsidR="00DB1CE2">
        <w:rPr>
          <w:rFonts w:ascii="Times New Roman" w:hAnsi="Times New Roman"/>
          <w:color w:val="000000"/>
          <w:sz w:val="22"/>
        </w:rPr>
        <w:t xml:space="preserve">(U.S.C.) </w:t>
      </w:r>
      <w:r>
        <w:rPr>
          <w:rFonts w:ascii="Times New Roman" w:hAnsi="Times New Roman"/>
          <w:color w:val="000000"/>
          <w:sz w:val="22"/>
        </w:rPr>
        <w:t>and related implementing regulations in title 23 of the Code of Federal Regulations</w:t>
      </w:r>
      <w:r w:rsidR="00DB1CE2">
        <w:rPr>
          <w:rFonts w:ascii="Times New Roman" w:hAnsi="Times New Roman"/>
          <w:color w:val="000000"/>
          <w:sz w:val="22"/>
        </w:rPr>
        <w:t xml:space="preserve"> (C.F.R.)</w:t>
      </w:r>
      <w:r>
        <w:rPr>
          <w:rFonts w:ascii="Times New Roman" w:hAnsi="Times New Roman"/>
          <w:color w:val="000000"/>
          <w:sz w:val="22"/>
        </w:rPr>
        <w:t xml:space="preserve"> set forth the rules that govern the design, construction, and operation of federally assisted highway infrastructure.  These rules cover a broad range of activities.  The following bullet points provide an example of some of the relevant regulations: </w:t>
      </w:r>
    </w:p>
    <w:p w:rsidR="00B77793" w:rsidRDefault="00B77793" w:rsidP="004D29BE">
      <w:pPr>
        <w:pStyle w:val="Default"/>
        <w:widowControl/>
        <w:numPr>
          <w:ilvl w:val="0"/>
          <w:numId w:val="23"/>
        </w:numPr>
        <w:spacing w:after="240" w:line="271" w:lineRule="atLeast"/>
        <w:jc w:val="both"/>
        <w:rPr>
          <w:rFonts w:ascii="Times New Roman" w:hAnsi="Times New Roman"/>
          <w:sz w:val="22"/>
        </w:rPr>
      </w:pPr>
      <w:r>
        <w:rPr>
          <w:rFonts w:ascii="Times New Roman" w:hAnsi="Times New Roman"/>
          <w:sz w:val="22"/>
          <w:u w:val="single"/>
        </w:rPr>
        <w:t>Design</w:t>
      </w:r>
      <w:r>
        <w:rPr>
          <w:rFonts w:ascii="Times New Roman" w:hAnsi="Times New Roman"/>
          <w:sz w:val="22"/>
        </w:rPr>
        <w:t>. Part 625 of 23 C</w:t>
      </w:r>
      <w:r w:rsidR="00DB1CE2">
        <w:rPr>
          <w:rFonts w:ascii="Times New Roman" w:hAnsi="Times New Roman"/>
          <w:sz w:val="22"/>
        </w:rPr>
        <w:t>.</w:t>
      </w:r>
      <w:r>
        <w:rPr>
          <w:rFonts w:ascii="Times New Roman" w:hAnsi="Times New Roman"/>
          <w:sz w:val="22"/>
        </w:rPr>
        <w:t>F</w:t>
      </w:r>
      <w:r w:rsidR="00DB1CE2">
        <w:rPr>
          <w:rFonts w:ascii="Times New Roman" w:hAnsi="Times New Roman"/>
          <w:sz w:val="22"/>
        </w:rPr>
        <w:t>.</w:t>
      </w:r>
      <w:r>
        <w:rPr>
          <w:rFonts w:ascii="Times New Roman" w:hAnsi="Times New Roman"/>
          <w:sz w:val="22"/>
        </w:rPr>
        <w:t>R</w:t>
      </w:r>
      <w:r w:rsidR="00DB1CE2">
        <w:rPr>
          <w:rFonts w:ascii="Times New Roman" w:hAnsi="Times New Roman"/>
          <w:sz w:val="22"/>
        </w:rPr>
        <w:t>.</w:t>
      </w:r>
      <w:r>
        <w:rPr>
          <w:rFonts w:ascii="Times New Roman" w:hAnsi="Times New Roman"/>
          <w:sz w:val="22"/>
        </w:rPr>
        <w:t xml:space="preserve"> requires that all federally assisted roads, highways, and bridges (</w:t>
      </w:r>
      <w:r>
        <w:rPr>
          <w:rFonts w:ascii="Times New Roman" w:hAnsi="Times New Roman"/>
          <w:i/>
          <w:sz w:val="22"/>
        </w:rPr>
        <w:t>i.e.,</w:t>
      </w:r>
      <w:r>
        <w:rPr>
          <w:rFonts w:ascii="Times New Roman" w:hAnsi="Times New Roman"/>
          <w:sz w:val="22"/>
        </w:rPr>
        <w:t xml:space="preserve"> “Federal-aid projects”) adhere to minimum design standards and specifications.  Generally speaking, the regulations refer all applicants for Federal-aid projects to the relevant standards and specifications published by the American Association of State Highway and Transportation Officials. </w:t>
      </w:r>
    </w:p>
    <w:p w:rsidR="00B77793" w:rsidRDefault="00B77793" w:rsidP="004D29BE">
      <w:pPr>
        <w:pStyle w:val="Default"/>
        <w:widowControl/>
        <w:numPr>
          <w:ilvl w:val="0"/>
          <w:numId w:val="23"/>
        </w:numPr>
        <w:spacing w:after="240" w:line="271" w:lineRule="atLeast"/>
        <w:jc w:val="both"/>
        <w:rPr>
          <w:rFonts w:ascii="Times New Roman" w:hAnsi="Times New Roman"/>
          <w:sz w:val="22"/>
          <w:szCs w:val="22"/>
        </w:rPr>
      </w:pPr>
      <w:r>
        <w:rPr>
          <w:rFonts w:ascii="Times New Roman" w:hAnsi="Times New Roman"/>
          <w:sz w:val="22"/>
          <w:u w:val="single"/>
        </w:rPr>
        <w:t>Procurement</w:t>
      </w:r>
      <w:r>
        <w:rPr>
          <w:rFonts w:ascii="Times New Roman" w:hAnsi="Times New Roman"/>
          <w:sz w:val="22"/>
        </w:rPr>
        <w:t>. Part 172 of 23 C</w:t>
      </w:r>
      <w:r w:rsidR="00DB1CE2">
        <w:rPr>
          <w:rFonts w:ascii="Times New Roman" w:hAnsi="Times New Roman"/>
          <w:sz w:val="22"/>
        </w:rPr>
        <w:t>.</w:t>
      </w:r>
      <w:r>
        <w:rPr>
          <w:rFonts w:ascii="Times New Roman" w:hAnsi="Times New Roman"/>
          <w:sz w:val="22"/>
        </w:rPr>
        <w:t>F</w:t>
      </w:r>
      <w:r w:rsidR="00DB1CE2">
        <w:rPr>
          <w:rFonts w:ascii="Times New Roman" w:hAnsi="Times New Roman"/>
          <w:sz w:val="22"/>
        </w:rPr>
        <w:t>.</w:t>
      </w:r>
      <w:r>
        <w:rPr>
          <w:rFonts w:ascii="Times New Roman" w:hAnsi="Times New Roman"/>
          <w:sz w:val="22"/>
        </w:rPr>
        <w:t>R</w:t>
      </w:r>
      <w:r w:rsidR="00DB1CE2">
        <w:rPr>
          <w:rFonts w:ascii="Times New Roman" w:hAnsi="Times New Roman"/>
          <w:sz w:val="22"/>
        </w:rPr>
        <w:t>.</w:t>
      </w:r>
      <w:r>
        <w:rPr>
          <w:rFonts w:ascii="Times New Roman" w:hAnsi="Times New Roman"/>
          <w:sz w:val="22"/>
        </w:rPr>
        <w:t xml:space="preserve"> prescribes policies and procedures related to procurement of engineering and design related services.  </w:t>
      </w:r>
      <w:r>
        <w:rPr>
          <w:rFonts w:ascii="Times New Roman" w:hAnsi="Times New Roman"/>
          <w:sz w:val="22"/>
          <w:szCs w:val="22"/>
        </w:rPr>
        <w:t>Part 636 of 23 C</w:t>
      </w:r>
      <w:r w:rsidR="00DB1CE2">
        <w:rPr>
          <w:rFonts w:ascii="Times New Roman" w:hAnsi="Times New Roman"/>
          <w:sz w:val="22"/>
          <w:szCs w:val="22"/>
        </w:rPr>
        <w:t>.</w:t>
      </w:r>
      <w:r>
        <w:rPr>
          <w:rFonts w:ascii="Times New Roman" w:hAnsi="Times New Roman"/>
          <w:sz w:val="22"/>
          <w:szCs w:val="22"/>
        </w:rPr>
        <w:t>F</w:t>
      </w:r>
      <w:r w:rsidR="00DB1CE2">
        <w:rPr>
          <w:rFonts w:ascii="Times New Roman" w:hAnsi="Times New Roman"/>
          <w:sz w:val="22"/>
          <w:szCs w:val="22"/>
        </w:rPr>
        <w:t>.</w:t>
      </w:r>
      <w:r>
        <w:rPr>
          <w:rFonts w:ascii="Times New Roman" w:hAnsi="Times New Roman"/>
          <w:sz w:val="22"/>
          <w:szCs w:val="22"/>
        </w:rPr>
        <w:t>R</w:t>
      </w:r>
      <w:r w:rsidR="00DB1CE2">
        <w:rPr>
          <w:rFonts w:ascii="Times New Roman" w:hAnsi="Times New Roman"/>
          <w:sz w:val="22"/>
          <w:szCs w:val="22"/>
        </w:rPr>
        <w:t>.</w:t>
      </w:r>
      <w:r>
        <w:rPr>
          <w:rFonts w:ascii="Times New Roman" w:hAnsi="Times New Roman"/>
          <w:sz w:val="22"/>
          <w:szCs w:val="22"/>
        </w:rPr>
        <w:t xml:space="preserve"> describes FHWA policies and procedures relating to design-build projects financed under title 23.  </w:t>
      </w:r>
      <w:r>
        <w:rPr>
          <w:rFonts w:ascii="Times New Roman" w:hAnsi="Times New Roman"/>
          <w:sz w:val="22"/>
        </w:rPr>
        <w:t>Part 6</w:t>
      </w:r>
      <w:r>
        <w:rPr>
          <w:rFonts w:ascii="Times New Roman" w:hAnsi="Times New Roman"/>
          <w:sz w:val="22"/>
          <w:szCs w:val="22"/>
        </w:rPr>
        <w:t>35 of 23 C</w:t>
      </w:r>
      <w:r w:rsidR="00DB1CE2">
        <w:rPr>
          <w:rFonts w:ascii="Times New Roman" w:hAnsi="Times New Roman"/>
          <w:sz w:val="22"/>
          <w:szCs w:val="22"/>
        </w:rPr>
        <w:t>.</w:t>
      </w:r>
      <w:r>
        <w:rPr>
          <w:rFonts w:ascii="Times New Roman" w:hAnsi="Times New Roman"/>
          <w:sz w:val="22"/>
          <w:szCs w:val="22"/>
        </w:rPr>
        <w:t>F</w:t>
      </w:r>
      <w:r w:rsidR="00DB1CE2">
        <w:rPr>
          <w:rFonts w:ascii="Times New Roman" w:hAnsi="Times New Roman"/>
          <w:sz w:val="22"/>
          <w:szCs w:val="22"/>
        </w:rPr>
        <w:t>.</w:t>
      </w:r>
      <w:r>
        <w:rPr>
          <w:rFonts w:ascii="Times New Roman" w:hAnsi="Times New Roman"/>
          <w:sz w:val="22"/>
          <w:szCs w:val="22"/>
        </w:rPr>
        <w:t>R</w:t>
      </w:r>
      <w:r w:rsidR="00DB1CE2">
        <w:rPr>
          <w:rFonts w:ascii="Times New Roman" w:hAnsi="Times New Roman"/>
          <w:sz w:val="22"/>
          <w:szCs w:val="22"/>
        </w:rPr>
        <w:t>.</w:t>
      </w:r>
      <w:r>
        <w:rPr>
          <w:rFonts w:ascii="Times New Roman" w:hAnsi="Times New Roman"/>
          <w:sz w:val="22"/>
          <w:szCs w:val="22"/>
        </w:rPr>
        <w:t xml:space="preserve"> covers many topics related to purchasing materials and procuring construction services.  For example, </w:t>
      </w:r>
      <w:r w:rsidR="00B3086C">
        <w:rPr>
          <w:rFonts w:ascii="Times New Roman" w:hAnsi="Times New Roman"/>
          <w:sz w:val="22"/>
          <w:szCs w:val="22"/>
        </w:rPr>
        <w:t xml:space="preserve">Section </w:t>
      </w:r>
      <w:r>
        <w:rPr>
          <w:rFonts w:ascii="Times New Roman" w:hAnsi="Times New Roman"/>
          <w:sz w:val="22"/>
          <w:szCs w:val="22"/>
        </w:rPr>
        <w:t>635.107 requires the applicant to affirmatively encourage di</w:t>
      </w:r>
      <w:r>
        <w:rPr>
          <w:rFonts w:ascii="Times New Roman" w:hAnsi="Times New Roman"/>
          <w:sz w:val="22"/>
        </w:rPr>
        <w:t>sadvantaged business enterprise participation in the highway construction program.  Section 635.410 (“Buy America”) limits the a</w:t>
      </w:r>
      <w:r>
        <w:rPr>
          <w:rFonts w:ascii="Times New Roman" w:hAnsi="Times New Roman"/>
          <w:sz w:val="22"/>
          <w:szCs w:val="22"/>
        </w:rPr>
        <w:t xml:space="preserve">mount of foreign-produced steel and iron that may be used on Federal-aid projects.  </w:t>
      </w:r>
    </w:p>
    <w:p w:rsidR="00B77793" w:rsidRDefault="00B77793" w:rsidP="004D29BE">
      <w:pPr>
        <w:pStyle w:val="CM9"/>
        <w:widowControl/>
        <w:numPr>
          <w:ilvl w:val="0"/>
          <w:numId w:val="23"/>
        </w:numPr>
        <w:spacing w:after="240" w:line="271" w:lineRule="atLeast"/>
        <w:jc w:val="both"/>
        <w:rPr>
          <w:rFonts w:ascii="Times New Roman" w:hAnsi="Times New Roman"/>
          <w:color w:val="000000"/>
          <w:sz w:val="22"/>
        </w:rPr>
      </w:pPr>
      <w:r>
        <w:rPr>
          <w:rFonts w:ascii="Times New Roman" w:hAnsi="Times New Roman"/>
          <w:color w:val="000000"/>
          <w:sz w:val="22"/>
          <w:szCs w:val="22"/>
          <w:u w:val="single"/>
        </w:rPr>
        <w:t>Construction</w:t>
      </w:r>
      <w:r>
        <w:rPr>
          <w:rFonts w:ascii="Times New Roman" w:hAnsi="Times New Roman"/>
          <w:color w:val="000000"/>
          <w:sz w:val="22"/>
          <w:szCs w:val="22"/>
        </w:rPr>
        <w:t xml:space="preserve">.  </w:t>
      </w:r>
      <w:r>
        <w:rPr>
          <w:rFonts w:ascii="Times New Roman" w:hAnsi="Times New Roman"/>
          <w:sz w:val="22"/>
          <w:szCs w:val="22"/>
        </w:rPr>
        <w:t xml:space="preserve">Part 633 Subpart A relates to required contract provisions for Federal-aid construction contracts. </w:t>
      </w:r>
      <w:r w:rsidR="006C23B7">
        <w:rPr>
          <w:rFonts w:ascii="Times New Roman" w:hAnsi="Times New Roman"/>
          <w:sz w:val="22"/>
          <w:szCs w:val="22"/>
        </w:rPr>
        <w:t xml:space="preserve"> </w:t>
      </w:r>
      <w:r>
        <w:rPr>
          <w:rFonts w:ascii="Times New Roman" w:hAnsi="Times New Roman"/>
          <w:sz w:val="22"/>
          <w:szCs w:val="22"/>
        </w:rPr>
        <w:t xml:space="preserve">Part 635 contains construction and maintenance procedures and includes a number of labor and employment rules that apply to employees working on a Federal-aid construction project.  </w:t>
      </w:r>
      <w:r>
        <w:rPr>
          <w:rFonts w:ascii="Times New Roman" w:hAnsi="Times New Roman"/>
          <w:color w:val="000000"/>
          <w:sz w:val="22"/>
          <w:szCs w:val="22"/>
        </w:rPr>
        <w:t>For example, the minimum wage rates that the Secretary of Labor determines to be prev</w:t>
      </w:r>
      <w:r>
        <w:rPr>
          <w:rFonts w:ascii="Times New Roman" w:hAnsi="Times New Roman"/>
          <w:color w:val="000000"/>
          <w:sz w:val="22"/>
        </w:rPr>
        <w:t xml:space="preserve">ailing for the same type of work on similar construction in the same locality must be part of the construction contract.  Labor rules also state that no construction work may be performed by convict labor unless the convicts are on parole, supervised release, or probation. </w:t>
      </w:r>
    </w:p>
    <w:p w:rsidR="00B77793" w:rsidRDefault="00B77793" w:rsidP="004D29BE">
      <w:pPr>
        <w:pStyle w:val="CM9"/>
        <w:keepNext/>
        <w:widowControl/>
        <w:spacing w:after="240" w:line="271" w:lineRule="atLeast"/>
        <w:jc w:val="both"/>
        <w:outlineLvl w:val="0"/>
        <w:rPr>
          <w:color w:val="000000"/>
          <w:sz w:val="22"/>
        </w:rPr>
      </w:pPr>
      <w:r>
        <w:rPr>
          <w:b/>
          <w:color w:val="000000"/>
          <w:sz w:val="22"/>
        </w:rPr>
        <w:t xml:space="preserve">Title 49 – Transit </w:t>
      </w:r>
      <w:r w:rsidR="009A511B">
        <w:rPr>
          <w:b/>
          <w:color w:val="000000"/>
          <w:sz w:val="22"/>
        </w:rPr>
        <w:t xml:space="preserve">and Public Transportation </w:t>
      </w:r>
      <w:r>
        <w:rPr>
          <w:b/>
          <w:color w:val="000000"/>
          <w:sz w:val="22"/>
        </w:rPr>
        <w:t xml:space="preserve">Projects </w:t>
      </w:r>
    </w:p>
    <w:p w:rsidR="00B77793" w:rsidRPr="004F54FE" w:rsidRDefault="00B77793" w:rsidP="004D29BE">
      <w:pPr>
        <w:pStyle w:val="CM7"/>
        <w:widowControl/>
        <w:spacing w:after="240"/>
        <w:jc w:val="both"/>
        <w:rPr>
          <w:rFonts w:ascii="Times New Roman" w:hAnsi="Times New Roman"/>
          <w:sz w:val="22"/>
          <w:szCs w:val="22"/>
        </w:rPr>
      </w:pPr>
      <w:r>
        <w:rPr>
          <w:rFonts w:ascii="Times New Roman" w:hAnsi="Times New Roman"/>
          <w:sz w:val="22"/>
          <w:szCs w:val="22"/>
        </w:rPr>
        <w:t>As with title 23, title 49 of the U.S.C. and related regulations in</w:t>
      </w:r>
      <w:r w:rsidR="00DB1CE2">
        <w:rPr>
          <w:rFonts w:ascii="Times New Roman" w:hAnsi="Times New Roman"/>
          <w:sz w:val="22"/>
          <w:szCs w:val="22"/>
        </w:rPr>
        <w:t xml:space="preserve"> title</w:t>
      </w:r>
      <w:r>
        <w:rPr>
          <w:rFonts w:ascii="Times New Roman" w:hAnsi="Times New Roman"/>
          <w:sz w:val="22"/>
          <w:szCs w:val="22"/>
        </w:rPr>
        <w:t xml:space="preserve"> 49</w:t>
      </w:r>
      <w:r w:rsidR="00DB1CE2">
        <w:rPr>
          <w:rFonts w:ascii="Times New Roman" w:hAnsi="Times New Roman"/>
          <w:sz w:val="22"/>
          <w:szCs w:val="22"/>
        </w:rPr>
        <w:t xml:space="preserve"> of the</w:t>
      </w:r>
      <w:r>
        <w:rPr>
          <w:rFonts w:ascii="Times New Roman" w:hAnsi="Times New Roman"/>
          <w:sz w:val="22"/>
          <w:szCs w:val="22"/>
        </w:rPr>
        <w:t xml:space="preserve"> C</w:t>
      </w:r>
      <w:r w:rsidR="00CD4951">
        <w:rPr>
          <w:rFonts w:ascii="Times New Roman" w:hAnsi="Times New Roman"/>
          <w:sz w:val="22"/>
          <w:szCs w:val="22"/>
        </w:rPr>
        <w:t>.</w:t>
      </w:r>
      <w:r>
        <w:rPr>
          <w:rFonts w:ascii="Times New Roman" w:hAnsi="Times New Roman"/>
          <w:sz w:val="22"/>
          <w:szCs w:val="22"/>
        </w:rPr>
        <w:t>F</w:t>
      </w:r>
      <w:r w:rsidR="00CD4951">
        <w:rPr>
          <w:rFonts w:ascii="Times New Roman" w:hAnsi="Times New Roman"/>
          <w:sz w:val="22"/>
          <w:szCs w:val="22"/>
        </w:rPr>
        <w:t>.</w:t>
      </w:r>
      <w:r>
        <w:rPr>
          <w:rFonts w:ascii="Times New Roman" w:hAnsi="Times New Roman"/>
          <w:sz w:val="22"/>
          <w:szCs w:val="22"/>
        </w:rPr>
        <w:t>R</w:t>
      </w:r>
      <w:r w:rsidR="00CD4951">
        <w:rPr>
          <w:rFonts w:ascii="Times New Roman" w:hAnsi="Times New Roman"/>
          <w:sz w:val="22"/>
          <w:szCs w:val="22"/>
        </w:rPr>
        <w:t>.</w:t>
      </w:r>
      <w:r>
        <w:rPr>
          <w:rFonts w:ascii="Times New Roman" w:hAnsi="Times New Roman"/>
          <w:sz w:val="22"/>
          <w:szCs w:val="22"/>
        </w:rPr>
        <w:t xml:space="preserve"> concern a wide range of activities.  Chapter 53 of 49 U.S.C. and related regulations, address </w:t>
      </w:r>
      <w:r w:rsidR="009A511B" w:rsidRPr="009A511B">
        <w:rPr>
          <w:rFonts w:ascii="Times New Roman" w:hAnsi="Times New Roman"/>
          <w:sz w:val="22"/>
          <w:szCs w:val="22"/>
        </w:rPr>
        <w:t>public transportation</w:t>
      </w:r>
      <w:r w:rsidR="009A511B">
        <w:rPr>
          <w:rFonts w:ascii="Times New Roman" w:hAnsi="Times New Roman"/>
          <w:sz w:val="22"/>
          <w:szCs w:val="22"/>
        </w:rPr>
        <w:t xml:space="preserve"> projects</w:t>
      </w:r>
      <w:r>
        <w:rPr>
          <w:rFonts w:ascii="Times New Roman" w:hAnsi="Times New Roman"/>
          <w:sz w:val="22"/>
          <w:szCs w:val="22"/>
        </w:rPr>
        <w:t>.  For example, drug and alcohol rules specific to FTA-funded projects appear at 49 C</w:t>
      </w:r>
      <w:r w:rsidR="00DB1CE2">
        <w:rPr>
          <w:rFonts w:ascii="Times New Roman" w:hAnsi="Times New Roman"/>
          <w:sz w:val="22"/>
          <w:szCs w:val="22"/>
        </w:rPr>
        <w:t>.</w:t>
      </w:r>
      <w:r>
        <w:rPr>
          <w:rFonts w:ascii="Times New Roman" w:hAnsi="Times New Roman"/>
          <w:sz w:val="22"/>
          <w:szCs w:val="22"/>
        </w:rPr>
        <w:t>F</w:t>
      </w:r>
      <w:r w:rsidR="00DB1CE2">
        <w:rPr>
          <w:rFonts w:ascii="Times New Roman" w:hAnsi="Times New Roman"/>
          <w:sz w:val="22"/>
          <w:szCs w:val="22"/>
        </w:rPr>
        <w:t>.</w:t>
      </w:r>
      <w:r>
        <w:rPr>
          <w:rFonts w:ascii="Times New Roman" w:hAnsi="Times New Roman"/>
          <w:sz w:val="22"/>
          <w:szCs w:val="22"/>
        </w:rPr>
        <w:t>R</w:t>
      </w:r>
      <w:r w:rsidR="00DB1CE2">
        <w:rPr>
          <w:rFonts w:ascii="Times New Roman" w:hAnsi="Times New Roman"/>
          <w:sz w:val="22"/>
          <w:szCs w:val="22"/>
        </w:rPr>
        <w:t>.</w:t>
      </w:r>
      <w:r>
        <w:rPr>
          <w:rFonts w:ascii="Times New Roman" w:hAnsi="Times New Roman"/>
          <w:sz w:val="22"/>
          <w:szCs w:val="22"/>
        </w:rPr>
        <w:t xml:space="preserve"> </w:t>
      </w:r>
      <w:r>
        <w:rPr>
          <w:rFonts w:ascii="Times New Roman" w:hAnsi="Times New Roman"/>
          <w:color w:val="000000"/>
          <w:sz w:val="22"/>
        </w:rPr>
        <w:t>§</w:t>
      </w:r>
      <w:r>
        <w:rPr>
          <w:rFonts w:ascii="Times New Roman" w:hAnsi="Times New Roman"/>
          <w:sz w:val="22"/>
          <w:szCs w:val="22"/>
        </w:rPr>
        <w:t>655</w:t>
      </w:r>
      <w:r w:rsidR="0067215E">
        <w:rPr>
          <w:rFonts w:ascii="Times New Roman" w:hAnsi="Times New Roman"/>
          <w:sz w:val="22"/>
          <w:szCs w:val="22"/>
        </w:rPr>
        <w:t>.</w:t>
      </w:r>
      <w:r>
        <w:rPr>
          <w:rFonts w:ascii="Times New Roman" w:hAnsi="Times New Roman"/>
          <w:sz w:val="22"/>
          <w:szCs w:val="22"/>
        </w:rPr>
        <w:t xml:space="preserve">  In other cases, the regulations appearing in 49 C</w:t>
      </w:r>
      <w:r w:rsidR="00DB1CE2">
        <w:rPr>
          <w:rFonts w:ascii="Times New Roman" w:hAnsi="Times New Roman"/>
          <w:sz w:val="22"/>
          <w:szCs w:val="22"/>
        </w:rPr>
        <w:t>.</w:t>
      </w:r>
      <w:r>
        <w:rPr>
          <w:rFonts w:ascii="Times New Roman" w:hAnsi="Times New Roman"/>
          <w:sz w:val="22"/>
          <w:szCs w:val="22"/>
        </w:rPr>
        <w:t>F</w:t>
      </w:r>
      <w:r w:rsidR="00DB1CE2">
        <w:rPr>
          <w:rFonts w:ascii="Times New Roman" w:hAnsi="Times New Roman"/>
          <w:sz w:val="22"/>
          <w:szCs w:val="22"/>
        </w:rPr>
        <w:t>.</w:t>
      </w:r>
      <w:r>
        <w:rPr>
          <w:rFonts w:ascii="Times New Roman" w:hAnsi="Times New Roman"/>
          <w:sz w:val="22"/>
          <w:szCs w:val="22"/>
        </w:rPr>
        <w:t>R</w:t>
      </w:r>
      <w:r w:rsidR="00DB1CE2">
        <w:rPr>
          <w:rFonts w:ascii="Times New Roman" w:hAnsi="Times New Roman"/>
          <w:sz w:val="22"/>
          <w:szCs w:val="22"/>
        </w:rPr>
        <w:t>.</w:t>
      </w:r>
      <w:r>
        <w:rPr>
          <w:rFonts w:ascii="Times New Roman" w:hAnsi="Times New Roman"/>
          <w:sz w:val="22"/>
          <w:szCs w:val="22"/>
        </w:rPr>
        <w:t xml:space="preserve"> apply common types of rules specifically to transit-oriented concerns, such as the procurement of buses and rail cars.  For example, the “Buy America” regulations, described above, appear also at 49 C</w:t>
      </w:r>
      <w:r w:rsidR="00DB1CE2">
        <w:rPr>
          <w:rFonts w:ascii="Times New Roman" w:hAnsi="Times New Roman"/>
          <w:sz w:val="22"/>
          <w:szCs w:val="22"/>
        </w:rPr>
        <w:t>.</w:t>
      </w:r>
      <w:r>
        <w:rPr>
          <w:rFonts w:ascii="Times New Roman" w:hAnsi="Times New Roman"/>
          <w:sz w:val="22"/>
          <w:szCs w:val="22"/>
        </w:rPr>
        <w:t>F</w:t>
      </w:r>
      <w:r w:rsidR="00DB1CE2">
        <w:rPr>
          <w:rFonts w:ascii="Times New Roman" w:hAnsi="Times New Roman"/>
          <w:sz w:val="22"/>
          <w:szCs w:val="22"/>
        </w:rPr>
        <w:t>.</w:t>
      </w:r>
      <w:r>
        <w:rPr>
          <w:rFonts w:ascii="Times New Roman" w:hAnsi="Times New Roman"/>
          <w:sz w:val="22"/>
          <w:szCs w:val="22"/>
        </w:rPr>
        <w:t>R</w:t>
      </w:r>
      <w:r w:rsidR="00DB1CE2">
        <w:rPr>
          <w:rFonts w:ascii="Times New Roman" w:hAnsi="Times New Roman"/>
          <w:sz w:val="22"/>
          <w:szCs w:val="22"/>
        </w:rPr>
        <w:t>.</w:t>
      </w:r>
      <w:r>
        <w:rPr>
          <w:rFonts w:ascii="Times New Roman" w:hAnsi="Times New Roman"/>
          <w:sz w:val="22"/>
          <w:szCs w:val="22"/>
        </w:rPr>
        <w:t xml:space="preserve"> </w:t>
      </w:r>
      <w:r w:rsidR="00FF42B8">
        <w:rPr>
          <w:rFonts w:ascii="Times New Roman" w:hAnsi="Times New Roman"/>
          <w:color w:val="000000"/>
          <w:sz w:val="22"/>
        </w:rPr>
        <w:t>§</w:t>
      </w:r>
      <w:r>
        <w:rPr>
          <w:rFonts w:ascii="Times New Roman" w:hAnsi="Times New Roman"/>
          <w:sz w:val="22"/>
          <w:szCs w:val="22"/>
        </w:rPr>
        <w:t xml:space="preserve">661, and provide that Federal funds may not be obligated unless steel, iron, </w:t>
      </w:r>
      <w:r>
        <w:rPr>
          <w:rFonts w:ascii="Times New Roman" w:hAnsi="Times New Roman"/>
          <w:sz w:val="22"/>
          <w:szCs w:val="22"/>
        </w:rPr>
        <w:lastRenderedPageBreak/>
        <w:t xml:space="preserve">and manufactured products used in FTA-funded projects are produced in the United States, unless a waiver has been granted by the FTA, or the product is subject to a general waiver.  The FTA has </w:t>
      </w:r>
      <w:r w:rsidRPr="004F54FE">
        <w:rPr>
          <w:rFonts w:ascii="Times New Roman" w:hAnsi="Times New Roman"/>
          <w:sz w:val="22"/>
          <w:szCs w:val="22"/>
        </w:rPr>
        <w:t>published a best practices manual on transit procurement regulations.  This manual can be found on-line at</w:t>
      </w:r>
      <w:r w:rsidR="009A511B" w:rsidRPr="009A511B">
        <w:rPr>
          <w:rFonts w:ascii="Times New Roman" w:hAnsi="Times New Roman"/>
          <w:sz w:val="22"/>
          <w:szCs w:val="22"/>
        </w:rPr>
        <w:t>:  http://www.fta.dot.gov/grants/13054_6037.html</w:t>
      </w:r>
      <w:hyperlink r:id="rId39" w:history="1"/>
      <w:r w:rsidRPr="004F54FE">
        <w:rPr>
          <w:rFonts w:ascii="Times New Roman" w:hAnsi="Times New Roman"/>
          <w:sz w:val="22"/>
          <w:szCs w:val="22"/>
        </w:rPr>
        <w:t xml:space="preserve">. </w:t>
      </w:r>
    </w:p>
    <w:p w:rsidR="00B77793" w:rsidRDefault="00B77793" w:rsidP="004D29BE">
      <w:pPr>
        <w:pStyle w:val="CM9"/>
        <w:widowControl/>
        <w:spacing w:after="240" w:line="271" w:lineRule="atLeast"/>
        <w:jc w:val="both"/>
        <w:rPr>
          <w:rFonts w:ascii="Times New Roman" w:hAnsi="Times New Roman"/>
          <w:color w:val="000000"/>
          <w:sz w:val="22"/>
        </w:rPr>
      </w:pPr>
      <w:r>
        <w:rPr>
          <w:rFonts w:ascii="Times New Roman" w:hAnsi="Times New Roman"/>
          <w:color w:val="000000"/>
          <w:sz w:val="22"/>
        </w:rPr>
        <w:t xml:space="preserve">The regulations that implement chapter 53 of 49 U.S.C. apply to all </w:t>
      </w:r>
      <w:r w:rsidR="00DB1CE2">
        <w:rPr>
          <w:rFonts w:ascii="Times New Roman" w:hAnsi="Times New Roman"/>
          <w:color w:val="000000"/>
          <w:sz w:val="22"/>
        </w:rPr>
        <w:t xml:space="preserve">Federally </w:t>
      </w:r>
      <w:r>
        <w:rPr>
          <w:rFonts w:ascii="Times New Roman" w:hAnsi="Times New Roman"/>
          <w:color w:val="000000"/>
          <w:sz w:val="22"/>
        </w:rPr>
        <w:t xml:space="preserve">assisted transit projects, including those receiving credit assistance under the </w:t>
      </w:r>
      <w:r w:rsidR="00427D30">
        <w:rPr>
          <w:rFonts w:ascii="Times New Roman" w:hAnsi="Times New Roman"/>
          <w:color w:val="000000"/>
          <w:sz w:val="22"/>
        </w:rPr>
        <w:t>TIFIA Program</w:t>
      </w:r>
      <w:r>
        <w:rPr>
          <w:rFonts w:ascii="Times New Roman" w:hAnsi="Times New Roman"/>
          <w:color w:val="000000"/>
          <w:sz w:val="22"/>
        </w:rPr>
        <w:t xml:space="preserve">.  For transit projects, all regulatory requirements of chapter 53 are contained in a standard compliance agreement that is attached to and incorporated in the TIFIA credit agreement. </w:t>
      </w:r>
    </w:p>
    <w:p w:rsidR="00B77793" w:rsidRDefault="00B77793" w:rsidP="004D29BE">
      <w:pPr>
        <w:pStyle w:val="CM9"/>
        <w:widowControl/>
        <w:spacing w:after="240" w:line="271" w:lineRule="atLeast"/>
        <w:jc w:val="both"/>
        <w:rPr>
          <w:rFonts w:ascii="Times New Roman" w:hAnsi="Times New Roman"/>
          <w:color w:val="000000"/>
          <w:sz w:val="22"/>
        </w:rPr>
      </w:pPr>
      <w:r>
        <w:rPr>
          <w:rFonts w:ascii="Times New Roman" w:hAnsi="Times New Roman"/>
          <w:color w:val="000000"/>
          <w:sz w:val="22"/>
        </w:rPr>
        <w:t xml:space="preserve">Projects receiving TIFIA </w:t>
      </w:r>
      <w:r w:rsidR="00DB1CE2">
        <w:rPr>
          <w:rFonts w:ascii="Times New Roman" w:hAnsi="Times New Roman"/>
          <w:color w:val="000000"/>
          <w:sz w:val="22"/>
        </w:rPr>
        <w:t xml:space="preserve">credit </w:t>
      </w:r>
      <w:r>
        <w:rPr>
          <w:rFonts w:ascii="Times New Roman" w:hAnsi="Times New Roman"/>
          <w:color w:val="000000"/>
          <w:sz w:val="22"/>
        </w:rPr>
        <w:t xml:space="preserve">assistance also must comply with the provisions of 49 U.S.C. §5333(a).  Commonly referred to as “Davis-Bacon,” this citation concerns labor protections ensuring that all labor contracts executed by the applicant adhere to prevailing wage rates as determined by the Secretary of Labor. </w:t>
      </w:r>
    </w:p>
    <w:p w:rsidR="00B77793" w:rsidRDefault="00B77793" w:rsidP="004D29BE">
      <w:pPr>
        <w:pStyle w:val="CM9"/>
        <w:keepNext/>
        <w:widowControl/>
        <w:spacing w:after="240" w:line="271" w:lineRule="atLeast"/>
        <w:jc w:val="both"/>
        <w:outlineLvl w:val="0"/>
        <w:rPr>
          <w:color w:val="000000"/>
          <w:sz w:val="22"/>
        </w:rPr>
      </w:pPr>
      <w:r>
        <w:rPr>
          <w:b/>
          <w:color w:val="000000"/>
          <w:sz w:val="22"/>
        </w:rPr>
        <w:t xml:space="preserve">Title VI of the Civil Rights Act of 1964 </w:t>
      </w:r>
    </w:p>
    <w:p w:rsidR="00B77793" w:rsidRDefault="00B77793" w:rsidP="004D29BE">
      <w:pPr>
        <w:pStyle w:val="CM7"/>
        <w:widowControl/>
        <w:spacing w:after="240"/>
        <w:jc w:val="both"/>
        <w:rPr>
          <w:rFonts w:ascii="Times New Roman" w:hAnsi="Times New Roman"/>
          <w:color w:val="000000"/>
          <w:sz w:val="22"/>
        </w:rPr>
      </w:pPr>
      <w:r>
        <w:rPr>
          <w:rFonts w:ascii="Times New Roman" w:hAnsi="Times New Roman"/>
          <w:sz w:val="22"/>
        </w:rPr>
        <w:t>Title VI of the Civil Rights Act of 1964 states that no person in the Unites States shall, on the grounds of race, color, or national origin, be excluded from participation in, be denied the benefits of, or be otherwise subjected to discrimination under any program or activity for which the recipient receives Federal assistance.</w:t>
      </w:r>
      <w:r w:rsidR="00FF42B8">
        <w:rPr>
          <w:rStyle w:val="FootnoteReference"/>
          <w:rFonts w:ascii="Times New Roman" w:hAnsi="Times New Roman"/>
        </w:rPr>
        <w:footnoteReference w:id="96"/>
      </w:r>
      <w:r>
        <w:rPr>
          <w:rFonts w:ascii="Times New Roman" w:hAnsi="Times New Roman"/>
          <w:sz w:val="22"/>
        </w:rPr>
        <w:t xml:space="preserve">  Companion legislation extends these protections such that no person shall be subjected to discrimination on the basis of sex, age, or disability.  As applied to transportation programs, regulations to implement this statute appear at 49 C</w:t>
      </w:r>
      <w:r w:rsidR="00FF42B8">
        <w:rPr>
          <w:rFonts w:ascii="Times New Roman" w:hAnsi="Times New Roman"/>
          <w:sz w:val="22"/>
        </w:rPr>
        <w:t>.</w:t>
      </w:r>
      <w:r>
        <w:rPr>
          <w:rFonts w:ascii="Times New Roman" w:hAnsi="Times New Roman"/>
          <w:sz w:val="22"/>
        </w:rPr>
        <w:t>F</w:t>
      </w:r>
      <w:r w:rsidR="00FF42B8">
        <w:rPr>
          <w:rFonts w:ascii="Times New Roman" w:hAnsi="Times New Roman"/>
          <w:sz w:val="22"/>
        </w:rPr>
        <w:t>.</w:t>
      </w:r>
      <w:r>
        <w:rPr>
          <w:rFonts w:ascii="Times New Roman" w:hAnsi="Times New Roman"/>
          <w:sz w:val="22"/>
        </w:rPr>
        <w:t>R</w:t>
      </w:r>
      <w:r w:rsidR="00FF42B8">
        <w:rPr>
          <w:rFonts w:ascii="Times New Roman" w:hAnsi="Times New Roman"/>
          <w:sz w:val="22"/>
        </w:rPr>
        <w:t>.</w:t>
      </w:r>
      <w:r>
        <w:rPr>
          <w:rFonts w:ascii="Times New Roman" w:hAnsi="Times New Roman"/>
          <w:sz w:val="22"/>
        </w:rPr>
        <w:t xml:space="preserve"> </w:t>
      </w:r>
      <w:r w:rsidR="00FF42B8">
        <w:rPr>
          <w:rFonts w:ascii="Times New Roman" w:hAnsi="Times New Roman"/>
          <w:color w:val="000000"/>
          <w:sz w:val="22"/>
        </w:rPr>
        <w:t>§</w:t>
      </w:r>
      <w:r>
        <w:rPr>
          <w:rFonts w:ascii="Times New Roman" w:hAnsi="Times New Roman"/>
          <w:sz w:val="22"/>
        </w:rPr>
        <w:t xml:space="preserve">21. </w:t>
      </w:r>
    </w:p>
    <w:p w:rsidR="00B77793" w:rsidRDefault="00B77793" w:rsidP="004D29BE">
      <w:pPr>
        <w:pStyle w:val="CM9"/>
        <w:widowControl/>
        <w:spacing w:after="240" w:line="271" w:lineRule="atLeast"/>
        <w:jc w:val="both"/>
        <w:outlineLvl w:val="0"/>
        <w:rPr>
          <w:sz w:val="22"/>
        </w:rPr>
      </w:pPr>
      <w:r>
        <w:rPr>
          <w:b/>
          <w:sz w:val="22"/>
        </w:rPr>
        <w:t>National Environmental Policy Act of 1969 (NEPA)</w:t>
      </w:r>
      <w:r w:rsidR="00FF42B8">
        <w:rPr>
          <w:rStyle w:val="FootnoteReference"/>
          <w:b/>
        </w:rPr>
        <w:footnoteReference w:id="97"/>
      </w:r>
      <w:r>
        <w:rPr>
          <w:b/>
          <w:sz w:val="22"/>
        </w:rPr>
        <w:t xml:space="preserve"> </w:t>
      </w:r>
    </w:p>
    <w:p w:rsidR="00B77793" w:rsidRDefault="00B77793" w:rsidP="004D29BE">
      <w:pPr>
        <w:pStyle w:val="CM9"/>
        <w:widowControl/>
        <w:spacing w:after="240" w:line="271" w:lineRule="atLeast"/>
        <w:jc w:val="both"/>
        <w:rPr>
          <w:rFonts w:ascii="Times New Roman" w:hAnsi="Times New Roman"/>
          <w:sz w:val="22"/>
        </w:rPr>
      </w:pPr>
      <w:r>
        <w:rPr>
          <w:rFonts w:ascii="Times New Roman" w:hAnsi="Times New Roman"/>
          <w:sz w:val="22"/>
        </w:rPr>
        <w:t xml:space="preserve">To comply with NEPA, each proposed TIFIA project must be evaluated to determine its impact on the environment.  </w:t>
      </w:r>
      <w:r w:rsidR="000D4F00">
        <w:rPr>
          <w:rFonts w:ascii="Times New Roman" w:hAnsi="Times New Roman"/>
          <w:sz w:val="22"/>
        </w:rPr>
        <w:t xml:space="preserve">The </w:t>
      </w:r>
      <w:r>
        <w:rPr>
          <w:rFonts w:ascii="Times New Roman" w:hAnsi="Times New Roman"/>
          <w:sz w:val="22"/>
        </w:rPr>
        <w:t>DOT will not obligate funds for a project until it has received a final agency decision, including (if necessary) a Record of Decision (ROD).</w:t>
      </w:r>
      <w:r w:rsidR="00FF42B8">
        <w:rPr>
          <w:rStyle w:val="FootnoteReference"/>
          <w:rFonts w:ascii="Times New Roman" w:hAnsi="Times New Roman"/>
        </w:rPr>
        <w:footnoteReference w:id="98"/>
      </w:r>
      <w:r>
        <w:rPr>
          <w:rFonts w:ascii="Times New Roman" w:hAnsi="Times New Roman"/>
          <w:sz w:val="22"/>
        </w:rPr>
        <w:t xml:space="preserve">  The three scenarios for addressing NEPA requirements are outlined below. </w:t>
      </w:r>
    </w:p>
    <w:p w:rsidR="00B77793" w:rsidRDefault="00B77793" w:rsidP="004D29BE">
      <w:pPr>
        <w:pStyle w:val="Default"/>
        <w:widowControl/>
        <w:numPr>
          <w:ilvl w:val="0"/>
          <w:numId w:val="24"/>
        </w:numPr>
        <w:spacing w:after="240" w:line="271" w:lineRule="atLeast"/>
        <w:jc w:val="both"/>
        <w:rPr>
          <w:rFonts w:ascii="Times New Roman" w:hAnsi="Times New Roman"/>
          <w:color w:val="auto"/>
          <w:sz w:val="22"/>
        </w:rPr>
      </w:pPr>
      <w:r>
        <w:rPr>
          <w:rFonts w:ascii="Times New Roman" w:hAnsi="Times New Roman"/>
          <w:color w:val="auto"/>
          <w:sz w:val="22"/>
          <w:u w:val="single"/>
        </w:rPr>
        <w:t>Categorical Exclusion</w:t>
      </w:r>
      <w:r>
        <w:rPr>
          <w:rFonts w:ascii="Times New Roman" w:hAnsi="Times New Roman"/>
          <w:color w:val="auto"/>
          <w:sz w:val="22"/>
        </w:rPr>
        <w:t xml:space="preserve">. Some projects, such as minor widening, rehabilitation, safety upgrading, or bus replacements, do not individually or cumulatively affect the environment significantly.  These projects are termed Categorical Exclusions, and thus are exempt from the requirement to prepare an Environmental Assessment or an Environmental Impact Statement (EIS). </w:t>
      </w:r>
    </w:p>
    <w:p w:rsidR="00B77793" w:rsidRDefault="00B77793" w:rsidP="004D29BE">
      <w:pPr>
        <w:pStyle w:val="Default"/>
        <w:widowControl/>
        <w:numPr>
          <w:ilvl w:val="0"/>
          <w:numId w:val="24"/>
        </w:numPr>
        <w:spacing w:after="240" w:line="271" w:lineRule="atLeast"/>
        <w:jc w:val="both"/>
        <w:rPr>
          <w:rFonts w:ascii="Times New Roman" w:hAnsi="Times New Roman"/>
          <w:color w:val="auto"/>
          <w:sz w:val="22"/>
        </w:rPr>
      </w:pPr>
      <w:r>
        <w:rPr>
          <w:rFonts w:ascii="Times New Roman" w:hAnsi="Times New Roman"/>
          <w:color w:val="auto"/>
          <w:sz w:val="22"/>
          <w:u w:val="single"/>
        </w:rPr>
        <w:t>Environmental Assessment</w:t>
      </w:r>
      <w:r>
        <w:rPr>
          <w:rFonts w:ascii="Times New Roman" w:hAnsi="Times New Roman"/>
          <w:color w:val="auto"/>
          <w:sz w:val="22"/>
        </w:rPr>
        <w:t xml:space="preserve">. An Environmental Assessment is usually prepared for a project that does not qualify as a Categorical Exclusion.  The Environmental Assessment may reveal that the project’s impacts are not significant, in which case a Finding of No Significant Impact (FONSI) is issued for the project. </w:t>
      </w:r>
    </w:p>
    <w:p w:rsidR="00B77793" w:rsidRDefault="00B77793" w:rsidP="004D29BE">
      <w:pPr>
        <w:pStyle w:val="Default"/>
        <w:widowControl/>
        <w:numPr>
          <w:ilvl w:val="0"/>
          <w:numId w:val="24"/>
        </w:numPr>
        <w:spacing w:after="240" w:line="271" w:lineRule="atLeast"/>
        <w:jc w:val="both"/>
        <w:rPr>
          <w:rFonts w:ascii="Times New Roman" w:hAnsi="Times New Roman"/>
          <w:color w:val="auto"/>
          <w:sz w:val="22"/>
        </w:rPr>
      </w:pPr>
      <w:r>
        <w:rPr>
          <w:rFonts w:ascii="Times New Roman" w:hAnsi="Times New Roman"/>
          <w:color w:val="auto"/>
          <w:sz w:val="22"/>
          <w:u w:val="single"/>
        </w:rPr>
        <w:lastRenderedPageBreak/>
        <w:t>Environmental Impact Statement and Record of Decision</w:t>
      </w:r>
      <w:r>
        <w:rPr>
          <w:rFonts w:ascii="Times New Roman" w:hAnsi="Times New Roman"/>
          <w:color w:val="auto"/>
          <w:sz w:val="22"/>
        </w:rPr>
        <w:t xml:space="preserve">. Assuming that a project does not qualify for a Categorical Exclusion or FONSI, the applicant is required to prepare a draft EIS. </w:t>
      </w:r>
      <w:r w:rsidR="00FF42B8">
        <w:rPr>
          <w:rFonts w:ascii="Times New Roman" w:hAnsi="Times New Roman"/>
          <w:color w:val="auto"/>
          <w:sz w:val="22"/>
        </w:rPr>
        <w:t xml:space="preserve"> </w:t>
      </w:r>
      <w:r>
        <w:rPr>
          <w:rFonts w:ascii="Times New Roman" w:hAnsi="Times New Roman"/>
          <w:color w:val="auto"/>
          <w:sz w:val="22"/>
        </w:rPr>
        <w:t xml:space="preserve">For highway projects, this is typically done in cooperation with the state department of transportation.  For major investments, the draft EIS must include an analysis of various alternative solutions. </w:t>
      </w:r>
    </w:p>
    <w:p w:rsidR="00B77793" w:rsidRDefault="00B77793" w:rsidP="004D29BE">
      <w:pPr>
        <w:pStyle w:val="CM9"/>
        <w:widowControl/>
        <w:spacing w:after="240" w:line="271" w:lineRule="atLeast"/>
        <w:ind w:left="360"/>
        <w:jc w:val="both"/>
        <w:rPr>
          <w:rFonts w:ascii="Times New Roman" w:hAnsi="Times New Roman"/>
          <w:sz w:val="22"/>
        </w:rPr>
      </w:pPr>
      <w:r>
        <w:rPr>
          <w:rFonts w:ascii="Times New Roman" w:hAnsi="Times New Roman"/>
          <w:sz w:val="22"/>
        </w:rPr>
        <w:t>A variety of agencies and the public at large have the opportunity to comment on the draft EIS.</w:t>
      </w:r>
      <w:r w:rsidR="00FF42B8">
        <w:rPr>
          <w:rFonts w:ascii="Times New Roman" w:hAnsi="Times New Roman"/>
          <w:sz w:val="22"/>
        </w:rPr>
        <w:t xml:space="preserve"> </w:t>
      </w:r>
      <w:r>
        <w:rPr>
          <w:rFonts w:ascii="Times New Roman" w:hAnsi="Times New Roman"/>
          <w:sz w:val="22"/>
        </w:rPr>
        <w:t xml:space="preserve"> These comments are addressed during the preparation of the final EIS.  This second iteration ensures that adequate consideration has been given to public comments and the anticipated effects of the project.  Depending on the nature of the project, the FHWA, FRA, FTA, or MARAD issues a Record of Decision to signify Federal approval of the final EIS. </w:t>
      </w:r>
      <w:r w:rsidR="00CF09D4">
        <w:rPr>
          <w:rFonts w:ascii="Times New Roman" w:hAnsi="Times New Roman"/>
          <w:sz w:val="22"/>
        </w:rPr>
        <w:t xml:space="preserve"> </w:t>
      </w:r>
      <w:r w:rsidR="00CF09D4">
        <w:rPr>
          <w:rFonts w:ascii="Times New Roman" w:hAnsi="Times New Roman"/>
          <w:color w:val="000000"/>
          <w:sz w:val="22"/>
        </w:rPr>
        <w:t>We encourage project sponsors to coordinate with the relevant modal agencies early in their planning process to ensure full compliance with and satisfaction of all NEPA requirements.</w:t>
      </w:r>
    </w:p>
    <w:p w:rsidR="00E8357E" w:rsidRPr="00A23497" w:rsidRDefault="00CC4313" w:rsidP="00A23497">
      <w:pPr>
        <w:pStyle w:val="Default"/>
        <w:spacing w:after="240" w:line="271" w:lineRule="atLeast"/>
        <w:ind w:left="360"/>
        <w:jc w:val="both"/>
      </w:pPr>
      <w:r>
        <w:rPr>
          <w:rFonts w:ascii="Times New Roman" w:hAnsi="Times New Roman"/>
          <w:sz w:val="22"/>
        </w:rPr>
        <w:t>To ensure project readiness</w:t>
      </w:r>
      <w:r>
        <w:rPr>
          <w:rStyle w:val="FootnoteReference"/>
          <w:rFonts w:ascii="Times New Roman" w:hAnsi="Times New Roman"/>
        </w:rPr>
        <w:footnoteReference w:id="99"/>
      </w:r>
      <w:r w:rsidRPr="00CC4313">
        <w:rPr>
          <w:rFonts w:ascii="Times New Roman" w:hAnsi="Times New Roman"/>
          <w:sz w:val="22"/>
        </w:rPr>
        <w:t xml:space="preserve">, </w:t>
      </w:r>
      <w:r>
        <w:rPr>
          <w:rFonts w:ascii="Times New Roman" w:hAnsi="Times New Roman"/>
          <w:sz w:val="22"/>
        </w:rPr>
        <w:t>an</w:t>
      </w:r>
      <w:r w:rsidRPr="00CC4313">
        <w:rPr>
          <w:rFonts w:ascii="Times New Roman" w:hAnsi="Times New Roman"/>
          <w:sz w:val="22"/>
        </w:rPr>
        <w:t xml:space="preserve"> applicant must have circulated a draft EIS at the time it submits an application</w:t>
      </w:r>
      <w:r w:rsidR="00E8357E">
        <w:rPr>
          <w:rFonts w:ascii="Times New Roman" w:hAnsi="Times New Roman"/>
          <w:sz w:val="22"/>
        </w:rPr>
        <w:t xml:space="preserve">, unless the project has received either a FONSI or a Categorical Exclusion.  </w:t>
      </w:r>
    </w:p>
    <w:p w:rsidR="00B77793" w:rsidRDefault="00B77793" w:rsidP="00EC479F">
      <w:pPr>
        <w:pStyle w:val="CM9"/>
        <w:keepNext/>
        <w:widowControl/>
        <w:spacing w:after="240" w:line="271" w:lineRule="atLeast"/>
        <w:jc w:val="both"/>
        <w:rPr>
          <w:sz w:val="22"/>
        </w:rPr>
      </w:pPr>
      <w:r>
        <w:rPr>
          <w:b/>
          <w:sz w:val="22"/>
        </w:rPr>
        <w:t xml:space="preserve">Uniform Relocation Assistance and Real Property Acquisition Policies Act of 1970 </w:t>
      </w:r>
    </w:p>
    <w:p w:rsidR="00B77793" w:rsidRDefault="00B77793" w:rsidP="004D29BE">
      <w:pPr>
        <w:pStyle w:val="CM9"/>
        <w:widowControl/>
        <w:spacing w:after="240" w:line="271" w:lineRule="atLeast"/>
        <w:jc w:val="both"/>
        <w:rPr>
          <w:rFonts w:ascii="Times New Roman" w:hAnsi="Times New Roman"/>
          <w:sz w:val="22"/>
        </w:rPr>
      </w:pPr>
      <w:r>
        <w:rPr>
          <w:rFonts w:ascii="Times New Roman" w:hAnsi="Times New Roman"/>
          <w:sz w:val="22"/>
        </w:rPr>
        <w:t>Construction of a surface transportation project may displace current residents or businesses. Under the Uniform Relocation Assistance and Real Property Acquisition Policies Act</w:t>
      </w:r>
      <w:r w:rsidR="00CC4313">
        <w:rPr>
          <w:rFonts w:ascii="Times New Roman" w:hAnsi="Times New Roman"/>
          <w:sz w:val="22"/>
        </w:rPr>
        <w:t xml:space="preserve"> of 1970,</w:t>
      </w:r>
      <w:r w:rsidR="00CC4313">
        <w:rPr>
          <w:rStyle w:val="FootnoteReference"/>
          <w:rFonts w:ascii="Times New Roman" w:hAnsi="Times New Roman"/>
        </w:rPr>
        <w:footnoteReference w:id="100"/>
      </w:r>
      <w:r>
        <w:rPr>
          <w:rFonts w:ascii="Times New Roman" w:hAnsi="Times New Roman"/>
          <w:sz w:val="22"/>
        </w:rPr>
        <w:t xml:space="preserve"> every displaced resident must be offered a comparable replacement dwelling that is decent, safe, and sanitary. </w:t>
      </w:r>
      <w:r w:rsidR="00CC4313">
        <w:rPr>
          <w:rFonts w:ascii="Times New Roman" w:hAnsi="Times New Roman"/>
          <w:sz w:val="22"/>
        </w:rPr>
        <w:t xml:space="preserve"> </w:t>
      </w:r>
      <w:r>
        <w:rPr>
          <w:rFonts w:ascii="Times New Roman" w:hAnsi="Times New Roman"/>
          <w:sz w:val="22"/>
        </w:rPr>
        <w:t xml:space="preserve">Additionally, relocation advisory services must be furnished and payments made to those residents who must relocate.  Such payments cover moving expenses, the cost of replacement housing, and certain incidental expenses. </w:t>
      </w:r>
      <w:r w:rsidR="00CC4313">
        <w:rPr>
          <w:rFonts w:ascii="Times New Roman" w:hAnsi="Times New Roman"/>
          <w:sz w:val="22"/>
        </w:rPr>
        <w:t xml:space="preserve"> </w:t>
      </w:r>
      <w:r>
        <w:rPr>
          <w:rFonts w:ascii="Times New Roman" w:hAnsi="Times New Roman"/>
          <w:sz w:val="22"/>
        </w:rPr>
        <w:t xml:space="preserve">Businesses, farms, and non-profits must also be reimbursed for moving and related expenses. </w:t>
      </w:r>
    </w:p>
    <w:p w:rsidR="00B77793" w:rsidRDefault="00B77793">
      <w:pPr>
        <w:pStyle w:val="TIFIAHeading1a"/>
        <w:widowControl/>
        <w:spacing w:before="0"/>
        <w:jc w:val="both"/>
        <w:outlineLvl w:val="0"/>
      </w:pPr>
      <w:r>
        <w:t>Section 3-3</w:t>
      </w:r>
    </w:p>
    <w:p w:rsidR="00B77793" w:rsidRDefault="00B77793">
      <w:pPr>
        <w:pStyle w:val="TIFIAHeading1b"/>
        <w:widowControl/>
        <w:spacing w:after="240"/>
        <w:jc w:val="both"/>
        <w:outlineLvl w:val="0"/>
      </w:pPr>
      <w:r>
        <w:t>Eligible Applicants</w:t>
      </w:r>
    </w:p>
    <w:p w:rsidR="00B77793" w:rsidRDefault="00B77793" w:rsidP="00154D1C">
      <w:pPr>
        <w:pStyle w:val="CM9"/>
        <w:widowControl/>
        <w:spacing w:after="240" w:line="271" w:lineRule="atLeast"/>
        <w:jc w:val="both"/>
        <w:rPr>
          <w:rFonts w:ascii="Times New Roman" w:hAnsi="Times New Roman"/>
          <w:sz w:val="22"/>
        </w:rPr>
      </w:pPr>
      <w:r>
        <w:rPr>
          <w:rFonts w:ascii="Times New Roman" w:hAnsi="Times New Roman"/>
          <w:sz w:val="22"/>
        </w:rPr>
        <w:t xml:space="preserve">Public or private entities seeking to finance, design, construct, own, or operate an eligible surface transportation project may apply for TIFIA </w:t>
      </w:r>
      <w:r w:rsidR="008550D5">
        <w:rPr>
          <w:rFonts w:ascii="Times New Roman" w:hAnsi="Times New Roman"/>
          <w:sz w:val="22"/>
        </w:rPr>
        <w:t xml:space="preserve">credit </w:t>
      </w:r>
      <w:r>
        <w:rPr>
          <w:rFonts w:ascii="Times New Roman" w:hAnsi="Times New Roman"/>
          <w:sz w:val="22"/>
        </w:rPr>
        <w:t>assistance.  Examples of such entities include state departments of transportation; local governments; transit agencies; special authorities; special districts; railroad companies; and private firms or consortia that may include companies specializing in engineering, construction, materials, and/or the operation of transportation facilities.</w:t>
      </w:r>
      <w:r w:rsidR="00CC4313">
        <w:rPr>
          <w:rStyle w:val="FootnoteReference"/>
          <w:rFonts w:ascii="Times New Roman" w:hAnsi="Times New Roman"/>
        </w:rPr>
        <w:footnoteReference w:id="101"/>
      </w:r>
      <w:r>
        <w:rPr>
          <w:rFonts w:ascii="Times New Roman" w:hAnsi="Times New Roman"/>
          <w:sz w:val="22"/>
        </w:rPr>
        <w:t xml:space="preserve"> </w:t>
      </w:r>
    </w:p>
    <w:p w:rsidR="00B77793" w:rsidRDefault="00B77793" w:rsidP="00154D1C">
      <w:pPr>
        <w:pStyle w:val="CM9"/>
        <w:widowControl/>
        <w:spacing w:after="240" w:line="271" w:lineRule="atLeast"/>
        <w:jc w:val="both"/>
        <w:rPr>
          <w:rFonts w:ascii="Times New Roman" w:hAnsi="Times New Roman"/>
          <w:sz w:val="22"/>
        </w:rPr>
      </w:pPr>
      <w:r>
        <w:rPr>
          <w:rFonts w:ascii="Times New Roman" w:hAnsi="Times New Roman"/>
          <w:sz w:val="22"/>
        </w:rPr>
        <w:t xml:space="preserve">All applicants must demonstrate relevant experience, strong qualifications, a sound project approach, and financial stability, as each of these items ultimately has </w:t>
      </w:r>
      <w:r w:rsidR="00273F63">
        <w:rPr>
          <w:rFonts w:ascii="Times New Roman" w:hAnsi="Times New Roman"/>
          <w:sz w:val="22"/>
        </w:rPr>
        <w:t xml:space="preserve">a </w:t>
      </w:r>
      <w:r>
        <w:rPr>
          <w:rFonts w:ascii="Times New Roman" w:hAnsi="Times New Roman"/>
          <w:sz w:val="22"/>
        </w:rPr>
        <w:t xml:space="preserve">bearing on the project’s creditworthiness.  </w:t>
      </w:r>
    </w:p>
    <w:p w:rsidR="00B77793" w:rsidRDefault="00B77793" w:rsidP="00154D1C">
      <w:pPr>
        <w:pStyle w:val="CM9"/>
        <w:widowControl/>
        <w:spacing w:after="240" w:line="271" w:lineRule="atLeast"/>
        <w:jc w:val="both"/>
        <w:rPr>
          <w:rFonts w:ascii="Times New Roman" w:hAnsi="Times New Roman"/>
          <w:sz w:val="22"/>
        </w:rPr>
      </w:pPr>
      <w:r>
        <w:rPr>
          <w:rFonts w:ascii="Times New Roman" w:hAnsi="Times New Roman"/>
          <w:sz w:val="22"/>
        </w:rPr>
        <w:lastRenderedPageBreak/>
        <w:t>Applicants also must meet various Federal standards for participation in a Federal credit program</w:t>
      </w:r>
      <w:r w:rsidR="004E3EA8">
        <w:rPr>
          <w:rFonts w:ascii="Times New Roman" w:hAnsi="Times New Roman"/>
          <w:sz w:val="22"/>
        </w:rPr>
        <w:t xml:space="preserve"> </w:t>
      </w:r>
      <w:r w:rsidR="005A3E67">
        <w:rPr>
          <w:rFonts w:ascii="Times New Roman" w:hAnsi="Times New Roman"/>
          <w:sz w:val="22"/>
        </w:rPr>
        <w:t>as well as modal-specific requirements</w:t>
      </w:r>
      <w:r w:rsidR="005232C7">
        <w:rPr>
          <w:rFonts w:ascii="Times New Roman" w:hAnsi="Times New Roman"/>
          <w:sz w:val="22"/>
        </w:rPr>
        <w:t>,</w:t>
      </w:r>
      <w:r w:rsidR="005A3E67">
        <w:rPr>
          <w:rFonts w:ascii="Times New Roman" w:hAnsi="Times New Roman"/>
          <w:sz w:val="22"/>
        </w:rPr>
        <w:t xml:space="preserve"> among other factors</w:t>
      </w:r>
      <w:r w:rsidR="00273F63">
        <w:rPr>
          <w:rFonts w:ascii="Times New Roman" w:hAnsi="Times New Roman"/>
          <w:sz w:val="22"/>
        </w:rPr>
        <w:t>,</w:t>
      </w:r>
      <w:r w:rsidR="005A3E67">
        <w:rPr>
          <w:rFonts w:ascii="Times New Roman" w:hAnsi="Times New Roman"/>
          <w:sz w:val="22"/>
        </w:rPr>
        <w:t xml:space="preserve"> to receive TIFIA credit </w:t>
      </w:r>
      <w:r w:rsidR="00D22A80">
        <w:rPr>
          <w:rFonts w:ascii="Times New Roman" w:hAnsi="Times New Roman"/>
          <w:sz w:val="22"/>
        </w:rPr>
        <w:t>assistance</w:t>
      </w:r>
      <w:r w:rsidR="005A3E67">
        <w:rPr>
          <w:rFonts w:ascii="Times New Roman" w:hAnsi="Times New Roman"/>
          <w:sz w:val="22"/>
        </w:rPr>
        <w:t>.</w:t>
      </w:r>
      <w:r w:rsidR="005232C7">
        <w:rPr>
          <w:rStyle w:val="FootnoteReference"/>
          <w:rFonts w:ascii="Times New Roman" w:hAnsi="Times New Roman"/>
        </w:rPr>
        <w:footnoteReference w:id="102"/>
      </w:r>
      <w:r>
        <w:rPr>
          <w:rFonts w:ascii="Times New Roman" w:hAnsi="Times New Roman"/>
          <w:sz w:val="22"/>
        </w:rPr>
        <w:t xml:space="preserve">  For example, applicants may not be delinquent or in default on any Federal debts.</w:t>
      </w:r>
      <w:r w:rsidR="004E3EA8">
        <w:rPr>
          <w:rStyle w:val="FootnoteReference"/>
          <w:rFonts w:ascii="Times New Roman" w:hAnsi="Times New Roman"/>
        </w:rPr>
        <w:footnoteReference w:id="103"/>
      </w:r>
      <w:r>
        <w:rPr>
          <w:rFonts w:ascii="Times New Roman" w:hAnsi="Times New Roman"/>
          <w:sz w:val="22"/>
        </w:rPr>
        <w:t xml:space="preserve">  Such requirements will be specified in the contractual documents between the DOT and each applicant.  </w:t>
      </w:r>
    </w:p>
    <w:p w:rsidR="005A3E67" w:rsidRPr="0034369E" w:rsidRDefault="005A3E67" w:rsidP="0034369E">
      <w:pPr>
        <w:pStyle w:val="Default"/>
        <w:spacing w:after="240" w:line="271" w:lineRule="atLeast"/>
        <w:jc w:val="both"/>
        <w:rPr>
          <w:rFonts w:ascii="Times New Roman" w:hAnsi="Times New Roman"/>
          <w:color w:val="auto"/>
          <w:sz w:val="22"/>
        </w:rPr>
      </w:pPr>
      <w:r w:rsidRPr="005A3E67">
        <w:rPr>
          <w:rFonts w:ascii="Times New Roman" w:hAnsi="Times New Roman"/>
          <w:color w:val="auto"/>
          <w:sz w:val="22"/>
        </w:rPr>
        <w:t>In the</w:t>
      </w:r>
      <w:r>
        <w:rPr>
          <w:rFonts w:ascii="Times New Roman" w:hAnsi="Times New Roman"/>
          <w:color w:val="auto"/>
          <w:sz w:val="22"/>
        </w:rPr>
        <w:t xml:space="preserve"> context of a public-private partnership, where multiple bidders may be competing for a concession such that the obligor has not yet been identified, the procuring agency must submit the project’s Letter of Interest on behalf of the eventual obligor.</w:t>
      </w:r>
      <w:r w:rsidR="00925EA0">
        <w:rPr>
          <w:rStyle w:val="FootnoteReference"/>
          <w:rFonts w:ascii="Times New Roman" w:hAnsi="Times New Roman"/>
          <w:color w:val="auto"/>
        </w:rPr>
        <w:footnoteReference w:id="104"/>
      </w:r>
      <w:r w:rsidR="0034369E">
        <w:rPr>
          <w:rFonts w:ascii="Times New Roman" w:hAnsi="Times New Roman"/>
          <w:color w:val="auto"/>
          <w:sz w:val="22"/>
        </w:rPr>
        <w:t xml:space="preserve">  </w:t>
      </w:r>
      <w:r w:rsidR="000D4F00">
        <w:rPr>
          <w:rFonts w:ascii="Times New Roman" w:hAnsi="Times New Roman"/>
          <w:color w:val="auto"/>
          <w:sz w:val="22"/>
        </w:rPr>
        <w:t xml:space="preserve">The </w:t>
      </w:r>
      <w:r w:rsidR="0034369E">
        <w:rPr>
          <w:rFonts w:ascii="Times New Roman" w:hAnsi="Times New Roman"/>
          <w:color w:val="auto"/>
          <w:sz w:val="22"/>
        </w:rPr>
        <w:t xml:space="preserve">DOT will not consider </w:t>
      </w:r>
      <w:r w:rsidR="00237A71">
        <w:rPr>
          <w:rFonts w:ascii="Times New Roman" w:hAnsi="Times New Roman"/>
          <w:color w:val="auto"/>
          <w:sz w:val="22"/>
        </w:rPr>
        <w:t>Letters of Interest</w:t>
      </w:r>
      <w:r w:rsidR="0034369E">
        <w:rPr>
          <w:rFonts w:ascii="Times New Roman" w:hAnsi="Times New Roman"/>
          <w:color w:val="auto"/>
          <w:sz w:val="22"/>
        </w:rPr>
        <w:t xml:space="preserve"> from entities that have not obtained rights to develop the project.</w:t>
      </w:r>
      <w:r w:rsidR="00925EA0">
        <w:rPr>
          <w:rStyle w:val="FootnoteReference"/>
          <w:rFonts w:ascii="Times New Roman" w:hAnsi="Times New Roman"/>
          <w:color w:val="auto"/>
        </w:rPr>
        <w:footnoteReference w:id="105"/>
      </w:r>
      <w:r w:rsidR="00BE3239">
        <w:rPr>
          <w:rFonts w:ascii="Times New Roman" w:hAnsi="Times New Roman"/>
          <w:color w:val="auto"/>
          <w:sz w:val="22"/>
        </w:rPr>
        <w:t xml:space="preserve">  However, the DOT is able to wo</w:t>
      </w:r>
      <w:r w:rsidR="00FB2B78">
        <w:rPr>
          <w:rFonts w:ascii="Times New Roman" w:hAnsi="Times New Roman"/>
          <w:color w:val="auto"/>
          <w:sz w:val="22"/>
        </w:rPr>
        <w:t>rk with the procuring agency to better facilitate the integration of the TIFIA application process into the public-private partnership procurement.  In this context, the DOT may negotiate a</w:t>
      </w:r>
      <w:r w:rsidR="00A9230E">
        <w:rPr>
          <w:rFonts w:ascii="Times New Roman" w:hAnsi="Times New Roman"/>
          <w:color w:val="auto"/>
          <w:sz w:val="22"/>
        </w:rPr>
        <w:t xml:space="preserve"> preliminary</w:t>
      </w:r>
      <w:r w:rsidR="00FB2B78">
        <w:rPr>
          <w:rFonts w:ascii="Times New Roman" w:hAnsi="Times New Roman"/>
          <w:color w:val="auto"/>
          <w:sz w:val="22"/>
        </w:rPr>
        <w:t xml:space="preserve"> indicative term sheet with the procuring agency that sets forth </w:t>
      </w:r>
      <w:r w:rsidR="00A9230E">
        <w:rPr>
          <w:rFonts w:ascii="Times New Roman" w:hAnsi="Times New Roman"/>
          <w:color w:val="auto"/>
          <w:sz w:val="22"/>
        </w:rPr>
        <w:t>the general intent of the DOT, which the procuring agency may provide to potential bidders.</w:t>
      </w:r>
      <w:r w:rsidR="00190D5A">
        <w:rPr>
          <w:rFonts w:ascii="Times New Roman" w:hAnsi="Times New Roman"/>
          <w:color w:val="auto"/>
          <w:sz w:val="22"/>
        </w:rPr>
        <w:t xml:space="preserve">  An indicative term sheet will assist private bidders in understanding certain basic terms and conditions for TIFIA credit assistance and will help to reduce any delays in the application process and ultimate negotiation of a credit agreement.</w:t>
      </w:r>
    </w:p>
    <w:p w:rsidR="00B77793" w:rsidRDefault="00B77793">
      <w:pPr>
        <w:pStyle w:val="TIFIAHeading1a"/>
        <w:widowControl/>
        <w:spacing w:before="0"/>
        <w:jc w:val="both"/>
        <w:outlineLvl w:val="0"/>
      </w:pPr>
      <w:r>
        <w:t>Section 3-4</w:t>
      </w:r>
    </w:p>
    <w:p w:rsidR="00B77793" w:rsidRDefault="00B77793">
      <w:pPr>
        <w:pStyle w:val="TIFIAHeading1b"/>
        <w:widowControl/>
        <w:spacing w:after="240"/>
        <w:jc w:val="both"/>
        <w:outlineLvl w:val="0"/>
      </w:pPr>
      <w:r>
        <w:t>Threshold Requirements</w:t>
      </w:r>
    </w:p>
    <w:p w:rsidR="00B77793" w:rsidRDefault="00B77793" w:rsidP="004D29BE">
      <w:pPr>
        <w:pStyle w:val="CM9"/>
        <w:widowControl/>
        <w:spacing w:after="240" w:line="271" w:lineRule="atLeast"/>
        <w:jc w:val="both"/>
        <w:rPr>
          <w:rFonts w:ascii="Times New Roman" w:hAnsi="Times New Roman"/>
          <w:sz w:val="22"/>
        </w:rPr>
      </w:pPr>
      <w:r>
        <w:rPr>
          <w:rFonts w:ascii="Times New Roman" w:hAnsi="Times New Roman"/>
          <w:sz w:val="22"/>
        </w:rPr>
        <w:t xml:space="preserve">A project’s eligibility to </w:t>
      </w:r>
      <w:r w:rsidR="00925EA0">
        <w:rPr>
          <w:rFonts w:ascii="Times New Roman" w:hAnsi="Times New Roman"/>
          <w:sz w:val="22"/>
        </w:rPr>
        <w:t xml:space="preserve">apply </w:t>
      </w:r>
      <w:r>
        <w:rPr>
          <w:rFonts w:ascii="Times New Roman" w:hAnsi="Times New Roman"/>
          <w:sz w:val="22"/>
        </w:rPr>
        <w:t xml:space="preserve">for TIFIA </w:t>
      </w:r>
      <w:r w:rsidR="00CD4951">
        <w:rPr>
          <w:rFonts w:ascii="Times New Roman" w:hAnsi="Times New Roman"/>
          <w:sz w:val="22"/>
        </w:rPr>
        <w:t xml:space="preserve">credit </w:t>
      </w:r>
      <w:r>
        <w:rPr>
          <w:rFonts w:ascii="Times New Roman" w:hAnsi="Times New Roman"/>
          <w:sz w:val="22"/>
        </w:rPr>
        <w:t>assistance depend</w:t>
      </w:r>
      <w:r w:rsidR="00CD4951">
        <w:rPr>
          <w:rFonts w:ascii="Times New Roman" w:hAnsi="Times New Roman"/>
          <w:sz w:val="22"/>
        </w:rPr>
        <w:t>s</w:t>
      </w:r>
      <w:r>
        <w:rPr>
          <w:rFonts w:ascii="Times New Roman" w:hAnsi="Times New Roman"/>
          <w:sz w:val="22"/>
        </w:rPr>
        <w:t xml:space="preserve"> on its satisfaction of the </w:t>
      </w:r>
      <w:r w:rsidRPr="00D22A80">
        <w:rPr>
          <w:rFonts w:ascii="Times New Roman" w:hAnsi="Times New Roman"/>
          <w:sz w:val="22"/>
        </w:rPr>
        <w:t>requirements listed at U.S.C. Title 23, Chapter 6.  This section details these statutory threshold requirements.</w:t>
      </w:r>
      <w:r>
        <w:rPr>
          <w:rFonts w:ascii="Times New Roman" w:hAnsi="Times New Roman"/>
          <w:sz w:val="22"/>
        </w:rPr>
        <w:t xml:space="preserve"> </w:t>
      </w:r>
    </w:p>
    <w:p w:rsidR="00B77793" w:rsidRDefault="00B77793" w:rsidP="0093122E">
      <w:pPr>
        <w:pStyle w:val="CM9"/>
        <w:keepNext/>
        <w:widowControl/>
        <w:spacing w:after="240" w:line="271" w:lineRule="atLeast"/>
        <w:jc w:val="both"/>
        <w:outlineLvl w:val="0"/>
        <w:rPr>
          <w:sz w:val="22"/>
        </w:rPr>
      </w:pPr>
      <w:r>
        <w:rPr>
          <w:b/>
          <w:sz w:val="22"/>
        </w:rPr>
        <w:t xml:space="preserve">Total Eligible Costs </w:t>
      </w:r>
    </w:p>
    <w:p w:rsidR="00B77793" w:rsidRDefault="00B77793" w:rsidP="0093122E">
      <w:pPr>
        <w:pStyle w:val="CM8"/>
        <w:keepNext/>
        <w:widowControl/>
        <w:spacing w:after="240" w:line="271" w:lineRule="atLeast"/>
        <w:jc w:val="both"/>
        <w:rPr>
          <w:rFonts w:ascii="Times New Roman" w:hAnsi="Times New Roman"/>
          <w:sz w:val="22"/>
        </w:rPr>
      </w:pPr>
      <w:r>
        <w:rPr>
          <w:rFonts w:ascii="Times New Roman" w:hAnsi="Times New Roman"/>
          <w:sz w:val="22"/>
        </w:rPr>
        <w:t xml:space="preserve">The project’s eligible costs, as defined under 23 U.S.C. </w:t>
      </w:r>
      <w:r>
        <w:rPr>
          <w:rFonts w:ascii="Times New Roman" w:hAnsi="Times New Roman"/>
          <w:color w:val="000000"/>
          <w:sz w:val="22"/>
        </w:rPr>
        <w:t>§</w:t>
      </w:r>
      <w:r>
        <w:rPr>
          <w:rFonts w:ascii="Times New Roman" w:hAnsi="Times New Roman"/>
          <w:sz w:val="22"/>
        </w:rPr>
        <w:t>601</w:t>
      </w:r>
      <w:r w:rsidR="00D22F92">
        <w:rPr>
          <w:rStyle w:val="FootnoteReference"/>
          <w:rFonts w:ascii="Times New Roman" w:hAnsi="Times New Roman"/>
        </w:rPr>
        <w:footnoteReference w:id="106"/>
      </w:r>
      <w:r>
        <w:rPr>
          <w:rFonts w:ascii="Times New Roman" w:hAnsi="Times New Roman"/>
          <w:sz w:val="22"/>
        </w:rPr>
        <w:t>, must be reasonably anticipated to total at least $50 million, or, alternatively, equal 33 1/3 percent or more of the state’s Federal-aid highway apportionments for the most recently completed fiscal year, whichever is less.</w:t>
      </w:r>
      <w:r w:rsidR="00D22F92">
        <w:rPr>
          <w:rStyle w:val="FootnoteReference"/>
          <w:rFonts w:ascii="Times New Roman" w:hAnsi="Times New Roman"/>
        </w:rPr>
        <w:footnoteReference w:id="107"/>
      </w:r>
      <w:r>
        <w:rPr>
          <w:rFonts w:ascii="Times New Roman" w:hAnsi="Times New Roman"/>
          <w:sz w:val="22"/>
        </w:rPr>
        <w:t xml:space="preserve">  The DOT will revisit apportionments to states annually, to determine if any states qualify under the alternative test.  </w:t>
      </w:r>
    </w:p>
    <w:p w:rsidR="00D22F92" w:rsidRDefault="003C7851" w:rsidP="00D22F92">
      <w:pPr>
        <w:widowControl/>
        <w:overflowPunct/>
        <w:spacing w:line="271" w:lineRule="atLeast"/>
        <w:jc w:val="both"/>
        <w:textAlignment w:val="auto"/>
        <w:rPr>
          <w:rFonts w:ascii="Times New Roman" w:hAnsi="Times New Roman"/>
          <w:sz w:val="22"/>
        </w:rPr>
      </w:pPr>
      <w:r>
        <w:rPr>
          <w:rFonts w:ascii="Times New Roman" w:hAnsi="Times New Roman"/>
          <w:sz w:val="22"/>
          <w:szCs w:val="22"/>
        </w:rPr>
        <w:t>MAP-21</w:t>
      </w:r>
      <w:r w:rsidR="00D22F92">
        <w:rPr>
          <w:rFonts w:ascii="Times New Roman" w:hAnsi="Times New Roman"/>
          <w:sz w:val="22"/>
          <w:szCs w:val="22"/>
        </w:rPr>
        <w:t xml:space="preserve"> </w:t>
      </w:r>
      <w:r>
        <w:rPr>
          <w:rFonts w:ascii="Times New Roman" w:hAnsi="Times New Roman"/>
          <w:sz w:val="22"/>
          <w:szCs w:val="22"/>
        </w:rPr>
        <w:t xml:space="preserve">sets a lower eligible cost </w:t>
      </w:r>
      <w:r w:rsidR="00D22F92">
        <w:rPr>
          <w:rFonts w:ascii="Times New Roman" w:hAnsi="Times New Roman"/>
          <w:sz w:val="22"/>
          <w:szCs w:val="22"/>
        </w:rPr>
        <w:t>threshold for r</w:t>
      </w:r>
      <w:r w:rsidR="00D22F92" w:rsidRPr="00396C54">
        <w:rPr>
          <w:rFonts w:ascii="Times New Roman" w:hAnsi="Times New Roman"/>
          <w:sz w:val="22"/>
          <w:szCs w:val="22"/>
        </w:rPr>
        <w:t>ural infrastructure projects</w:t>
      </w:r>
      <w:r>
        <w:rPr>
          <w:rFonts w:ascii="Times New Roman" w:hAnsi="Times New Roman"/>
          <w:sz w:val="22"/>
          <w:szCs w:val="22"/>
        </w:rPr>
        <w:t>, requiring</w:t>
      </w:r>
      <w:r w:rsidR="00D22F92">
        <w:rPr>
          <w:rFonts w:ascii="Times New Roman" w:hAnsi="Times New Roman"/>
          <w:sz w:val="22"/>
          <w:szCs w:val="22"/>
        </w:rPr>
        <w:t xml:space="preserve"> such projects</w:t>
      </w:r>
      <w:r w:rsidR="00D22F92" w:rsidRPr="00396C54">
        <w:rPr>
          <w:rFonts w:ascii="Times New Roman" w:hAnsi="Times New Roman"/>
          <w:sz w:val="22"/>
          <w:szCs w:val="22"/>
        </w:rPr>
        <w:t xml:space="preserve"> </w:t>
      </w:r>
      <w:r>
        <w:rPr>
          <w:rFonts w:ascii="Times New Roman" w:hAnsi="Times New Roman"/>
          <w:sz w:val="22"/>
          <w:szCs w:val="22"/>
        </w:rPr>
        <w:t>to</w:t>
      </w:r>
      <w:r w:rsidR="00D22F92" w:rsidRPr="00396C54">
        <w:rPr>
          <w:rFonts w:ascii="Times New Roman" w:hAnsi="Times New Roman"/>
          <w:sz w:val="22"/>
          <w:szCs w:val="22"/>
        </w:rPr>
        <w:t xml:space="preserve"> have</w:t>
      </w:r>
      <w:r w:rsidR="00D22F92">
        <w:rPr>
          <w:rFonts w:ascii="Times New Roman" w:hAnsi="Times New Roman"/>
          <w:sz w:val="22"/>
          <w:szCs w:val="22"/>
        </w:rPr>
        <w:t xml:space="preserve"> reasonably anticipated </w:t>
      </w:r>
      <w:r w:rsidR="00D22F92" w:rsidRPr="00396C54">
        <w:rPr>
          <w:rFonts w:ascii="Times New Roman" w:hAnsi="Times New Roman"/>
          <w:sz w:val="22"/>
          <w:szCs w:val="22"/>
        </w:rPr>
        <w:t xml:space="preserve">total </w:t>
      </w:r>
      <w:r w:rsidR="00D22F92">
        <w:rPr>
          <w:rFonts w:ascii="Times New Roman" w:hAnsi="Times New Roman"/>
          <w:sz w:val="22"/>
          <w:szCs w:val="22"/>
        </w:rPr>
        <w:t xml:space="preserve">project </w:t>
      </w:r>
      <w:r w:rsidR="00D22F92" w:rsidRPr="00396C54">
        <w:rPr>
          <w:rFonts w:ascii="Times New Roman" w:hAnsi="Times New Roman"/>
          <w:sz w:val="22"/>
          <w:szCs w:val="22"/>
        </w:rPr>
        <w:t>cost</w:t>
      </w:r>
      <w:r w:rsidR="00D22F92">
        <w:rPr>
          <w:rFonts w:ascii="Times New Roman" w:hAnsi="Times New Roman"/>
          <w:sz w:val="22"/>
          <w:szCs w:val="22"/>
        </w:rPr>
        <w:t>s</w:t>
      </w:r>
      <w:r w:rsidR="00D22F92" w:rsidRPr="00396C54">
        <w:rPr>
          <w:rFonts w:ascii="Times New Roman" w:hAnsi="Times New Roman"/>
          <w:sz w:val="22"/>
          <w:szCs w:val="22"/>
        </w:rPr>
        <w:t xml:space="preserve"> of at least $25 million</w:t>
      </w:r>
      <w:r w:rsidR="00D22F92">
        <w:rPr>
          <w:rFonts w:ascii="Times New Roman" w:hAnsi="Times New Roman"/>
          <w:sz w:val="22"/>
          <w:szCs w:val="22"/>
        </w:rPr>
        <w:t xml:space="preserve"> or </w:t>
      </w:r>
      <w:r w:rsidR="00D22F92">
        <w:rPr>
          <w:rFonts w:ascii="Times New Roman" w:hAnsi="Times New Roman"/>
          <w:sz w:val="22"/>
        </w:rPr>
        <w:t>33 1/3 percent or more of the state’s Federal-aid highway apportionments for the most recently completed fiscal year, whichever is less</w:t>
      </w:r>
      <w:r w:rsidR="00D22F92" w:rsidRPr="00396C54">
        <w:rPr>
          <w:rFonts w:ascii="Times New Roman" w:hAnsi="Times New Roman"/>
          <w:sz w:val="22"/>
          <w:szCs w:val="22"/>
        </w:rPr>
        <w:t>.</w:t>
      </w:r>
      <w:r w:rsidR="00372E86">
        <w:rPr>
          <w:rStyle w:val="FootnoteReference"/>
          <w:rFonts w:ascii="Times New Roman" w:hAnsi="Times New Roman"/>
          <w:szCs w:val="22"/>
        </w:rPr>
        <w:footnoteReference w:id="108"/>
      </w:r>
      <w:r w:rsidR="00D22F92">
        <w:rPr>
          <w:rFonts w:ascii="Times New Roman" w:hAnsi="Times New Roman"/>
          <w:sz w:val="22"/>
          <w:szCs w:val="22"/>
        </w:rPr>
        <w:t xml:space="preserve">  As noted above, r</w:t>
      </w:r>
      <w:r w:rsidR="00D22F92" w:rsidRPr="00030B1D">
        <w:rPr>
          <w:rFonts w:ascii="Times New Roman" w:hAnsi="Times New Roman"/>
          <w:sz w:val="22"/>
        </w:rPr>
        <w:t xml:space="preserve">ural infrastructure projects are </w:t>
      </w:r>
      <w:r w:rsidR="00D22F92" w:rsidRPr="00030B1D">
        <w:rPr>
          <w:rFonts w:ascii="Times New Roman" w:hAnsi="Times New Roman"/>
          <w:sz w:val="22"/>
        </w:rPr>
        <w:lastRenderedPageBreak/>
        <w:t>defined as surface transportation infrastructure projects located in any area other than a city with a population of more than 250,000 inhabitants within the city limits.</w:t>
      </w:r>
      <w:r w:rsidR="008550D5">
        <w:rPr>
          <w:rStyle w:val="FootnoteReference"/>
          <w:rFonts w:ascii="Times New Roman" w:hAnsi="Times New Roman"/>
        </w:rPr>
        <w:footnoteReference w:id="109"/>
      </w:r>
    </w:p>
    <w:p w:rsidR="00D22F92" w:rsidRDefault="003C7851" w:rsidP="008550D5">
      <w:pPr>
        <w:pStyle w:val="Default"/>
        <w:jc w:val="both"/>
        <w:rPr>
          <w:rFonts w:ascii="Times New Roman" w:hAnsi="Times New Roman"/>
          <w:sz w:val="22"/>
          <w:szCs w:val="22"/>
        </w:rPr>
      </w:pPr>
      <w:r>
        <w:rPr>
          <w:rFonts w:ascii="Times New Roman" w:hAnsi="Times New Roman"/>
          <w:sz w:val="22"/>
        </w:rPr>
        <w:t xml:space="preserve">In addition, </w:t>
      </w:r>
      <w:r w:rsidRPr="00531DD6">
        <w:rPr>
          <w:rFonts w:ascii="Times New Roman" w:hAnsi="Times New Roman"/>
          <w:sz w:val="22"/>
          <w:szCs w:val="22"/>
        </w:rPr>
        <w:t>MAP-21 expands eligibility to include related improvement projects grouped together</w:t>
      </w:r>
      <w:r>
        <w:rPr>
          <w:rFonts w:ascii="Times New Roman" w:hAnsi="Times New Roman"/>
          <w:sz w:val="22"/>
          <w:szCs w:val="22"/>
        </w:rPr>
        <w:t xml:space="preserve"> to meet the eligible cost threshold</w:t>
      </w:r>
      <w:r w:rsidRPr="00531DD6">
        <w:rPr>
          <w:rFonts w:ascii="Times New Roman" w:hAnsi="Times New Roman"/>
          <w:sz w:val="22"/>
          <w:szCs w:val="22"/>
        </w:rPr>
        <w:t>, so long as the individual components are eligible and the related projects are secured by a common pledge.</w:t>
      </w:r>
      <w:r>
        <w:rPr>
          <w:rStyle w:val="FootnoteReference"/>
          <w:rFonts w:ascii="Times New Roman" w:hAnsi="Times New Roman"/>
          <w:szCs w:val="22"/>
        </w:rPr>
        <w:footnoteReference w:id="110"/>
      </w:r>
      <w:r w:rsidRPr="00531DD6">
        <w:rPr>
          <w:rFonts w:ascii="Times New Roman" w:hAnsi="Times New Roman"/>
          <w:sz w:val="22"/>
          <w:szCs w:val="22"/>
        </w:rPr>
        <w:t xml:space="preserve">  </w:t>
      </w:r>
    </w:p>
    <w:p w:rsidR="008550D5" w:rsidRPr="00EC479F" w:rsidRDefault="008550D5" w:rsidP="008550D5">
      <w:pPr>
        <w:pStyle w:val="Default"/>
        <w:jc w:val="both"/>
      </w:pPr>
    </w:p>
    <w:p w:rsidR="00B77793" w:rsidRDefault="00B77793" w:rsidP="004D29BE">
      <w:pPr>
        <w:widowControl/>
        <w:overflowPunct/>
        <w:spacing w:line="271" w:lineRule="atLeast"/>
        <w:jc w:val="both"/>
        <w:textAlignment w:val="auto"/>
        <w:rPr>
          <w:rFonts w:ascii="Times New Roman" w:hAnsi="Times New Roman"/>
          <w:sz w:val="22"/>
        </w:rPr>
      </w:pPr>
      <w:r>
        <w:rPr>
          <w:rFonts w:ascii="Times New Roman" w:hAnsi="Times New Roman"/>
          <w:sz w:val="22"/>
        </w:rPr>
        <w:t>For projects that principally involve the installation of an intelligent transportation system (ITS), eligible project costs must be reasonably anticipated to total at least $15 million.  This $15 million threshold applies only to projects for which the ITS component is the central feature of the project and not an ancillary component.</w:t>
      </w:r>
      <w:r w:rsidR="00D22F92">
        <w:rPr>
          <w:rStyle w:val="FootnoteReference"/>
          <w:rFonts w:ascii="Times New Roman" w:hAnsi="Times New Roman"/>
        </w:rPr>
        <w:footnoteReference w:id="111"/>
      </w:r>
    </w:p>
    <w:p w:rsidR="00B77793" w:rsidRDefault="00B77793" w:rsidP="004D29BE">
      <w:pPr>
        <w:pStyle w:val="CM9"/>
        <w:widowControl/>
        <w:spacing w:after="240" w:line="271" w:lineRule="atLeast"/>
        <w:jc w:val="both"/>
        <w:rPr>
          <w:rFonts w:ascii="Times New Roman" w:hAnsi="Times New Roman"/>
          <w:sz w:val="22"/>
        </w:rPr>
      </w:pPr>
      <w:r>
        <w:rPr>
          <w:rFonts w:ascii="Times New Roman" w:hAnsi="Times New Roman"/>
          <w:sz w:val="22"/>
        </w:rPr>
        <w:t xml:space="preserve">In all cases, the principal amount of the requested credit assistance </w:t>
      </w:r>
      <w:r w:rsidR="00761FB4" w:rsidRPr="00761FB4">
        <w:rPr>
          <w:rFonts w:ascii="Times New Roman" w:hAnsi="Times New Roman"/>
          <w:sz w:val="22"/>
        </w:rPr>
        <w:t xml:space="preserve">is limited to 49 percent of </w:t>
      </w:r>
      <w:r w:rsidR="00B3689E">
        <w:rPr>
          <w:rFonts w:ascii="Times New Roman" w:hAnsi="Times New Roman"/>
          <w:sz w:val="22"/>
        </w:rPr>
        <w:t xml:space="preserve">reasonably </w:t>
      </w:r>
      <w:r w:rsidR="00761FB4" w:rsidRPr="00761FB4">
        <w:rPr>
          <w:rFonts w:ascii="Times New Roman" w:hAnsi="Times New Roman"/>
          <w:sz w:val="22"/>
        </w:rPr>
        <w:t xml:space="preserve">anticipated eligible project costs for a TIFIA secured loan </w:t>
      </w:r>
      <w:r w:rsidR="00B3689E">
        <w:rPr>
          <w:rFonts w:ascii="Times New Roman" w:hAnsi="Times New Roman"/>
          <w:sz w:val="22"/>
        </w:rPr>
        <w:t xml:space="preserve">or loan guarantee </w:t>
      </w:r>
      <w:r w:rsidR="00761FB4" w:rsidRPr="00761FB4">
        <w:rPr>
          <w:rFonts w:ascii="Times New Roman" w:hAnsi="Times New Roman"/>
          <w:sz w:val="22"/>
        </w:rPr>
        <w:t>and 33 percent for a TIFIA standby line of credit.</w:t>
      </w:r>
      <w:r w:rsidR="00372E86">
        <w:rPr>
          <w:rStyle w:val="FootnoteReference"/>
          <w:rFonts w:ascii="Times New Roman" w:hAnsi="Times New Roman"/>
        </w:rPr>
        <w:footnoteReference w:id="112"/>
      </w:r>
      <w:r w:rsidR="00761FB4" w:rsidRPr="00761FB4">
        <w:rPr>
          <w:rFonts w:ascii="Times New Roman" w:hAnsi="Times New Roman"/>
          <w:sz w:val="22"/>
        </w:rPr>
        <w:t xml:space="preserve">  </w:t>
      </w:r>
      <w:r>
        <w:rPr>
          <w:rFonts w:ascii="Times New Roman" w:hAnsi="Times New Roman"/>
          <w:sz w:val="22"/>
        </w:rPr>
        <w:t>Applicants should calculate and represent all costs, including both eligible project costs and the credit assistance request, on a cash (year-of-expenditure) basis.</w:t>
      </w:r>
      <w:r w:rsidR="00372E86">
        <w:rPr>
          <w:rStyle w:val="FootnoteReference"/>
          <w:rFonts w:ascii="Times New Roman" w:hAnsi="Times New Roman"/>
        </w:rPr>
        <w:footnoteReference w:id="113"/>
      </w:r>
      <w:r>
        <w:rPr>
          <w:rFonts w:ascii="Times New Roman" w:hAnsi="Times New Roman"/>
          <w:sz w:val="22"/>
        </w:rPr>
        <w:t xml:space="preserve"> </w:t>
      </w:r>
    </w:p>
    <w:p w:rsidR="00B77793" w:rsidRDefault="00B77793" w:rsidP="00461B8D">
      <w:pPr>
        <w:pStyle w:val="CM9"/>
        <w:keepNext/>
        <w:widowControl/>
        <w:spacing w:after="240" w:line="271" w:lineRule="atLeast"/>
        <w:jc w:val="both"/>
        <w:outlineLvl w:val="0"/>
        <w:rPr>
          <w:sz w:val="22"/>
        </w:rPr>
      </w:pPr>
      <w:r>
        <w:rPr>
          <w:b/>
          <w:sz w:val="22"/>
        </w:rPr>
        <w:t xml:space="preserve">Transportation Planning Process </w:t>
      </w:r>
    </w:p>
    <w:p w:rsidR="00B77793" w:rsidRDefault="00B77793" w:rsidP="00461B8D">
      <w:pPr>
        <w:pStyle w:val="CM9"/>
        <w:keepNext/>
        <w:widowControl/>
        <w:spacing w:after="240" w:line="271" w:lineRule="atLeast"/>
        <w:jc w:val="both"/>
        <w:rPr>
          <w:rFonts w:ascii="Times New Roman" w:hAnsi="Times New Roman"/>
          <w:sz w:val="22"/>
        </w:rPr>
      </w:pPr>
      <w:r>
        <w:rPr>
          <w:rFonts w:ascii="Times New Roman" w:hAnsi="Times New Roman"/>
          <w:sz w:val="22"/>
        </w:rPr>
        <w:t xml:space="preserve">The TIFIA statute conditions a project’s receipt of TIFIA </w:t>
      </w:r>
      <w:r w:rsidR="008550D5">
        <w:rPr>
          <w:rFonts w:ascii="Times New Roman" w:hAnsi="Times New Roman"/>
          <w:sz w:val="22"/>
        </w:rPr>
        <w:t xml:space="preserve">credit </w:t>
      </w:r>
      <w:r>
        <w:rPr>
          <w:rFonts w:ascii="Times New Roman" w:hAnsi="Times New Roman"/>
          <w:sz w:val="22"/>
        </w:rPr>
        <w:t>assistance on the project’s satisfaction of all applicable planning and programming requirements.</w:t>
      </w:r>
      <w:r w:rsidR="00B3086C">
        <w:rPr>
          <w:rStyle w:val="FootnoteReference"/>
          <w:rFonts w:ascii="Times New Roman" w:hAnsi="Times New Roman"/>
        </w:rPr>
        <w:footnoteReference w:id="114"/>
      </w:r>
      <w:r>
        <w:rPr>
          <w:rFonts w:ascii="Times New Roman" w:hAnsi="Times New Roman"/>
          <w:sz w:val="22"/>
        </w:rPr>
        <w:t xml:space="preserve">  That generally means inclusion in both the state’s long-range transportation plan and the approved State Transportation Improvement Program (STIP).</w:t>
      </w:r>
      <w:r w:rsidR="00B3086C">
        <w:rPr>
          <w:rStyle w:val="FootnoteReference"/>
          <w:rFonts w:ascii="Times New Roman" w:hAnsi="Times New Roman"/>
        </w:rPr>
        <w:footnoteReference w:id="115"/>
      </w:r>
      <w:r>
        <w:rPr>
          <w:rFonts w:ascii="Times New Roman" w:hAnsi="Times New Roman"/>
          <w:sz w:val="22"/>
        </w:rPr>
        <w:t xml:space="preserve"> </w:t>
      </w:r>
    </w:p>
    <w:p w:rsidR="00B77793" w:rsidRDefault="00B77793" w:rsidP="004D29BE">
      <w:pPr>
        <w:pStyle w:val="CM9"/>
        <w:widowControl/>
        <w:spacing w:after="240" w:line="271" w:lineRule="atLeast"/>
        <w:jc w:val="both"/>
        <w:rPr>
          <w:rFonts w:ascii="Times New Roman" w:hAnsi="Times New Roman"/>
          <w:sz w:val="22"/>
        </w:rPr>
      </w:pPr>
      <w:r>
        <w:rPr>
          <w:rFonts w:ascii="Times New Roman" w:hAnsi="Times New Roman"/>
          <w:sz w:val="22"/>
        </w:rPr>
        <w:t>State transportation plans extend as far as 20 years into the future and are often geared to setting general priorities rather than listing individual projects.  Therefore, at the time of submitting an application, each applicant must certify that the proposed project is consistent with the transportation plan(s) of the affected state(s).  For projects in metropolitan areas, the applicant must also demonstrate that the project is or can be included in the metropolitan transportation plan.</w:t>
      </w:r>
      <w:r w:rsidR="00B3086C">
        <w:rPr>
          <w:rStyle w:val="FootnoteReference"/>
          <w:rFonts w:ascii="Times New Roman" w:hAnsi="Times New Roman"/>
        </w:rPr>
        <w:footnoteReference w:id="116"/>
      </w:r>
      <w:r>
        <w:rPr>
          <w:rFonts w:ascii="Times New Roman" w:hAnsi="Times New Roman"/>
          <w:sz w:val="22"/>
        </w:rPr>
        <w:t xml:space="preserve"> </w:t>
      </w:r>
    </w:p>
    <w:p w:rsidR="00B77793" w:rsidRDefault="00B77793" w:rsidP="004D29BE">
      <w:pPr>
        <w:pStyle w:val="CM9"/>
        <w:widowControl/>
        <w:spacing w:after="240" w:line="271" w:lineRule="atLeast"/>
        <w:jc w:val="both"/>
        <w:rPr>
          <w:rFonts w:ascii="Times New Roman" w:hAnsi="Times New Roman"/>
          <w:sz w:val="22"/>
        </w:rPr>
      </w:pPr>
      <w:r>
        <w:rPr>
          <w:rFonts w:ascii="Times New Roman" w:hAnsi="Times New Roman"/>
          <w:sz w:val="22"/>
        </w:rPr>
        <w:t xml:space="preserve">In contrast to the long-range state transportation plan, the STIP focuses on specific projects to be funded in the near term; STIPs typically look ahead no more than three years.  The TIFIA statute requires that the project satisfy planning and programming requirements of </w:t>
      </w:r>
      <w:r w:rsidR="004D20EA">
        <w:rPr>
          <w:rFonts w:ascii="Times New Roman" w:hAnsi="Times New Roman"/>
          <w:color w:val="000000"/>
          <w:sz w:val="22"/>
        </w:rPr>
        <w:t xml:space="preserve">Section </w:t>
      </w:r>
      <w:r>
        <w:rPr>
          <w:rFonts w:ascii="Times New Roman" w:hAnsi="Times New Roman"/>
          <w:sz w:val="22"/>
        </w:rPr>
        <w:t xml:space="preserve">134 (“Metropolitan Planning”) and </w:t>
      </w:r>
      <w:r w:rsidR="004D20EA">
        <w:rPr>
          <w:rFonts w:ascii="Times New Roman" w:hAnsi="Times New Roman"/>
          <w:color w:val="000000"/>
          <w:sz w:val="22"/>
        </w:rPr>
        <w:t xml:space="preserve">Section </w:t>
      </w:r>
      <w:r>
        <w:rPr>
          <w:rFonts w:ascii="Times New Roman" w:hAnsi="Times New Roman"/>
          <w:sz w:val="22"/>
        </w:rPr>
        <w:t>135 (“Statewide Planning”) of Title 23, at such time as a TIFIA credit agreement is executed.</w:t>
      </w:r>
      <w:r w:rsidR="004D20EA">
        <w:rPr>
          <w:rStyle w:val="FootnoteReference"/>
          <w:rFonts w:ascii="Times New Roman" w:hAnsi="Times New Roman"/>
        </w:rPr>
        <w:footnoteReference w:id="117"/>
      </w:r>
      <w:r>
        <w:rPr>
          <w:rFonts w:ascii="Times New Roman" w:hAnsi="Times New Roman"/>
          <w:sz w:val="22"/>
        </w:rPr>
        <w:t xml:space="preserve">  Therefore, the applicant must demonstrate </w:t>
      </w:r>
      <w:r>
        <w:rPr>
          <w:rFonts w:ascii="Times New Roman" w:hAnsi="Times New Roman"/>
          <w:sz w:val="22"/>
        </w:rPr>
        <w:lastRenderedPageBreak/>
        <w:t>that the proposed project is part of the appropriate STIP(s) before the DOT will select the project, issue a term sheet, and obligate funds.</w:t>
      </w:r>
      <w:r w:rsidR="004D20EA">
        <w:rPr>
          <w:rStyle w:val="FootnoteReference"/>
          <w:rFonts w:ascii="Times New Roman" w:hAnsi="Times New Roman"/>
        </w:rPr>
        <w:footnoteReference w:id="118"/>
      </w:r>
    </w:p>
    <w:p w:rsidR="00B77793" w:rsidRDefault="00B77793" w:rsidP="004D29BE">
      <w:pPr>
        <w:pStyle w:val="CM9"/>
        <w:widowControl/>
        <w:spacing w:after="240" w:line="271" w:lineRule="atLeast"/>
        <w:jc w:val="both"/>
        <w:outlineLvl w:val="0"/>
        <w:rPr>
          <w:sz w:val="22"/>
        </w:rPr>
      </w:pPr>
      <w:r>
        <w:rPr>
          <w:b/>
          <w:sz w:val="22"/>
        </w:rPr>
        <w:t xml:space="preserve">Dedicated Revenue Sources </w:t>
      </w:r>
    </w:p>
    <w:p w:rsidR="00B77793" w:rsidRDefault="00B77793" w:rsidP="004D29BE">
      <w:pPr>
        <w:pStyle w:val="CM2"/>
        <w:widowControl/>
        <w:spacing w:after="240"/>
        <w:jc w:val="both"/>
        <w:rPr>
          <w:rFonts w:ascii="Times New Roman" w:hAnsi="Times New Roman"/>
          <w:sz w:val="22"/>
        </w:rPr>
      </w:pPr>
      <w:r>
        <w:rPr>
          <w:rFonts w:ascii="Times New Roman" w:hAnsi="Times New Roman"/>
          <w:sz w:val="22"/>
        </w:rPr>
        <w:t>The TIFIA statute states that the TIFIA credit instrument shall be repayable, in whole or in part, from tolls, user fees or other dedicated revenue sources that also secure the senior project obligations.</w:t>
      </w:r>
      <w:r w:rsidR="004D20EA">
        <w:rPr>
          <w:rStyle w:val="FootnoteReference"/>
          <w:rFonts w:ascii="Times New Roman" w:hAnsi="Times New Roman"/>
        </w:rPr>
        <w:footnoteReference w:id="119"/>
      </w:r>
      <w:r>
        <w:rPr>
          <w:rFonts w:ascii="Times New Roman" w:hAnsi="Times New Roman"/>
          <w:sz w:val="22"/>
        </w:rPr>
        <w:t xml:space="preserve">  </w:t>
      </w:r>
    </w:p>
    <w:p w:rsidR="00B77793" w:rsidRDefault="00B77793" w:rsidP="004D29BE">
      <w:pPr>
        <w:pStyle w:val="CM2"/>
        <w:widowControl/>
        <w:spacing w:after="240"/>
        <w:jc w:val="both"/>
        <w:rPr>
          <w:rFonts w:ascii="Times New Roman" w:hAnsi="Times New Roman"/>
          <w:sz w:val="22"/>
        </w:rPr>
      </w:pPr>
      <w:r>
        <w:rPr>
          <w:rFonts w:ascii="Times New Roman" w:hAnsi="Times New Roman"/>
          <w:sz w:val="22"/>
        </w:rPr>
        <w:t>The DOT interprets “dedicated revenue sources” to include such levies as tolls, user fees, special assessments, tax increment financing, and any portion of a tax or fee that produces revenues that are pledged for the purpose of retiring debt on the project.  The Secretary may accept general obligation pledges or corporate promissory pledges and will determine the acceptability of other pledges or forms of collateral as dedicated revenue sources on a case-by-case basis.  Without exception, the Secretary will not accept a pledge of Federal funds, regardless of source, as security for the TIFIA credit instrument.</w:t>
      </w:r>
      <w:r w:rsidR="004D20EA">
        <w:rPr>
          <w:rStyle w:val="FootnoteReference"/>
          <w:rFonts w:ascii="Times New Roman" w:hAnsi="Times New Roman"/>
        </w:rPr>
        <w:footnoteReference w:id="120"/>
      </w:r>
      <w:r>
        <w:rPr>
          <w:rFonts w:ascii="Times New Roman" w:hAnsi="Times New Roman"/>
          <w:sz w:val="22"/>
        </w:rPr>
        <w:t xml:space="preserve"> </w:t>
      </w:r>
    </w:p>
    <w:p w:rsidR="00B77793" w:rsidRDefault="00B77793" w:rsidP="004D29BE">
      <w:pPr>
        <w:pStyle w:val="CM9"/>
        <w:keepNext/>
        <w:widowControl/>
        <w:spacing w:after="240" w:line="271" w:lineRule="atLeast"/>
        <w:jc w:val="both"/>
        <w:outlineLvl w:val="0"/>
        <w:rPr>
          <w:sz w:val="22"/>
        </w:rPr>
      </w:pPr>
      <w:r>
        <w:rPr>
          <w:b/>
          <w:sz w:val="22"/>
        </w:rPr>
        <w:t xml:space="preserve">Public Approval of Privately Sponsored Projects </w:t>
      </w:r>
    </w:p>
    <w:p w:rsidR="00B77793" w:rsidRDefault="00D22A80" w:rsidP="004D29BE">
      <w:pPr>
        <w:pStyle w:val="CM9"/>
        <w:widowControl/>
        <w:spacing w:after="240" w:line="271" w:lineRule="atLeast"/>
        <w:jc w:val="both"/>
        <w:rPr>
          <w:rFonts w:ascii="Times New Roman" w:hAnsi="Times New Roman"/>
          <w:sz w:val="22"/>
        </w:rPr>
      </w:pPr>
      <w:r>
        <w:rPr>
          <w:rFonts w:ascii="Times New Roman" w:hAnsi="Times New Roman"/>
          <w:sz w:val="22"/>
        </w:rPr>
        <w:t xml:space="preserve">Any </w:t>
      </w:r>
      <w:r w:rsidR="00B77793">
        <w:rPr>
          <w:rFonts w:ascii="Times New Roman" w:hAnsi="Times New Roman"/>
          <w:sz w:val="22"/>
        </w:rPr>
        <w:t>private entity applying for TIFIA</w:t>
      </w:r>
      <w:r w:rsidR="008550D5">
        <w:rPr>
          <w:rFonts w:ascii="Times New Roman" w:hAnsi="Times New Roman"/>
          <w:sz w:val="22"/>
        </w:rPr>
        <w:t xml:space="preserve"> credit</w:t>
      </w:r>
      <w:r w:rsidR="00B77793">
        <w:rPr>
          <w:rFonts w:ascii="Times New Roman" w:hAnsi="Times New Roman"/>
          <w:sz w:val="22"/>
        </w:rPr>
        <w:t xml:space="preserve"> assistance </w:t>
      </w:r>
      <w:r>
        <w:rPr>
          <w:rFonts w:ascii="Times New Roman" w:hAnsi="Times New Roman"/>
          <w:sz w:val="22"/>
        </w:rPr>
        <w:t xml:space="preserve">must </w:t>
      </w:r>
      <w:r w:rsidR="00B77793">
        <w:rPr>
          <w:rFonts w:ascii="Times New Roman" w:hAnsi="Times New Roman"/>
          <w:sz w:val="22"/>
        </w:rPr>
        <w:t>demonstrate state support for the project through the project’s inclusion in the state’s planning documents (the long-range plan and the STIP), as noted above.</w:t>
      </w:r>
      <w:r w:rsidR="00683979">
        <w:rPr>
          <w:rStyle w:val="FootnoteReference"/>
          <w:rFonts w:ascii="Times New Roman" w:hAnsi="Times New Roman"/>
        </w:rPr>
        <w:footnoteReference w:id="121"/>
      </w:r>
      <w:r w:rsidR="00B77793">
        <w:rPr>
          <w:rFonts w:ascii="Times New Roman" w:hAnsi="Times New Roman"/>
          <w:sz w:val="22"/>
        </w:rPr>
        <w:t xml:space="preserve"> </w:t>
      </w:r>
    </w:p>
    <w:p w:rsidR="00BC75C4" w:rsidRDefault="00BC75C4" w:rsidP="00BC75C4">
      <w:pPr>
        <w:pStyle w:val="CM9"/>
        <w:keepNext/>
        <w:widowControl/>
        <w:spacing w:after="240" w:line="271" w:lineRule="atLeast"/>
        <w:jc w:val="both"/>
        <w:outlineLvl w:val="0"/>
        <w:rPr>
          <w:sz w:val="22"/>
        </w:rPr>
      </w:pPr>
      <w:r>
        <w:rPr>
          <w:b/>
          <w:sz w:val="22"/>
        </w:rPr>
        <w:t>Invitation to Submit Application</w:t>
      </w:r>
    </w:p>
    <w:p w:rsidR="00BC75C4" w:rsidRPr="0020109F" w:rsidRDefault="00BC75C4" w:rsidP="00BC75C4">
      <w:pPr>
        <w:pStyle w:val="CM2"/>
        <w:widowControl/>
        <w:spacing w:after="240"/>
        <w:jc w:val="both"/>
        <w:rPr>
          <w:rFonts w:ascii="Times New Roman" w:hAnsi="Times New Roman"/>
          <w:sz w:val="22"/>
          <w:szCs w:val="22"/>
        </w:rPr>
      </w:pPr>
      <w:r w:rsidRPr="0020109F">
        <w:rPr>
          <w:rFonts w:ascii="Times New Roman" w:hAnsi="Times New Roman"/>
          <w:sz w:val="22"/>
          <w:szCs w:val="22"/>
        </w:rPr>
        <w:t xml:space="preserve">Each </w:t>
      </w:r>
      <w:r>
        <w:rPr>
          <w:rFonts w:ascii="Times New Roman" w:hAnsi="Times New Roman"/>
          <w:sz w:val="22"/>
          <w:szCs w:val="22"/>
        </w:rPr>
        <w:t xml:space="preserve">potential </w:t>
      </w:r>
      <w:r w:rsidRPr="0020109F">
        <w:rPr>
          <w:rFonts w:ascii="Times New Roman" w:hAnsi="Times New Roman"/>
          <w:sz w:val="22"/>
          <w:szCs w:val="22"/>
        </w:rPr>
        <w:t xml:space="preserve">applicant seeking TIFIA </w:t>
      </w:r>
      <w:r>
        <w:rPr>
          <w:rFonts w:ascii="Times New Roman" w:hAnsi="Times New Roman"/>
          <w:sz w:val="22"/>
          <w:szCs w:val="22"/>
        </w:rPr>
        <w:t xml:space="preserve">credit </w:t>
      </w:r>
      <w:r w:rsidRPr="0020109F">
        <w:rPr>
          <w:rFonts w:ascii="Times New Roman" w:hAnsi="Times New Roman"/>
          <w:sz w:val="22"/>
          <w:szCs w:val="22"/>
        </w:rPr>
        <w:t xml:space="preserve">assistance must demonstrate </w:t>
      </w:r>
      <w:r>
        <w:rPr>
          <w:rFonts w:ascii="Times New Roman" w:hAnsi="Times New Roman"/>
          <w:sz w:val="22"/>
          <w:szCs w:val="22"/>
        </w:rPr>
        <w:t>its</w:t>
      </w:r>
      <w:r w:rsidRPr="0020109F">
        <w:rPr>
          <w:rFonts w:ascii="Times New Roman" w:hAnsi="Times New Roman"/>
          <w:sz w:val="22"/>
          <w:szCs w:val="22"/>
        </w:rPr>
        <w:t xml:space="preserve"> ability to meet the statutory eligibility </w:t>
      </w:r>
      <w:r>
        <w:rPr>
          <w:rFonts w:ascii="Times New Roman" w:hAnsi="Times New Roman"/>
          <w:sz w:val="22"/>
          <w:szCs w:val="22"/>
        </w:rPr>
        <w:t>requirements, including an in-depth review of a project’s creditworthiness,</w:t>
      </w:r>
      <w:r w:rsidRPr="0020109F">
        <w:rPr>
          <w:rFonts w:ascii="Times New Roman" w:hAnsi="Times New Roman"/>
          <w:sz w:val="22"/>
          <w:szCs w:val="22"/>
        </w:rPr>
        <w:t xml:space="preserve"> at the Letter of Interest stage</w:t>
      </w:r>
      <w:r>
        <w:rPr>
          <w:rFonts w:ascii="Times New Roman" w:hAnsi="Times New Roman"/>
          <w:sz w:val="22"/>
          <w:szCs w:val="22"/>
        </w:rPr>
        <w:t xml:space="preserve">.  A project sponsor may only submit an application once a determination of eligibility, including a satisfactory review of a project’s creditworthiness, is made and the project sponsor has </w:t>
      </w:r>
      <w:r w:rsidRPr="0020109F">
        <w:rPr>
          <w:rFonts w:ascii="Times New Roman" w:hAnsi="Times New Roman"/>
          <w:sz w:val="22"/>
          <w:szCs w:val="22"/>
        </w:rPr>
        <w:t>receive</w:t>
      </w:r>
      <w:r>
        <w:rPr>
          <w:rFonts w:ascii="Times New Roman" w:hAnsi="Times New Roman"/>
          <w:sz w:val="22"/>
          <w:szCs w:val="22"/>
        </w:rPr>
        <w:t>d</w:t>
      </w:r>
      <w:r w:rsidRPr="0020109F">
        <w:rPr>
          <w:rFonts w:ascii="Times New Roman" w:hAnsi="Times New Roman"/>
          <w:sz w:val="22"/>
          <w:szCs w:val="22"/>
        </w:rPr>
        <w:t xml:space="preserve"> an invitation</w:t>
      </w:r>
      <w:r>
        <w:rPr>
          <w:rFonts w:ascii="Times New Roman" w:hAnsi="Times New Roman"/>
          <w:sz w:val="22"/>
          <w:szCs w:val="22"/>
        </w:rPr>
        <w:t xml:space="preserve"> from the DOT</w:t>
      </w:r>
      <w:r w:rsidRPr="0020109F">
        <w:rPr>
          <w:rFonts w:ascii="Times New Roman" w:hAnsi="Times New Roman"/>
          <w:sz w:val="22"/>
          <w:szCs w:val="22"/>
        </w:rPr>
        <w:t xml:space="preserve"> to submit a formal application.</w:t>
      </w:r>
      <w:r>
        <w:rPr>
          <w:rStyle w:val="FootnoteReference"/>
          <w:rFonts w:ascii="Times New Roman" w:hAnsi="Times New Roman"/>
          <w:szCs w:val="22"/>
        </w:rPr>
        <w:footnoteReference w:id="122"/>
      </w:r>
      <w:r>
        <w:rPr>
          <w:rFonts w:ascii="Times New Roman" w:hAnsi="Times New Roman"/>
          <w:sz w:val="22"/>
          <w:szCs w:val="22"/>
        </w:rPr>
        <w:t xml:space="preserve">  </w:t>
      </w:r>
      <w:r w:rsidR="002D1F66">
        <w:rPr>
          <w:rFonts w:ascii="Times New Roman" w:hAnsi="Times New Roman"/>
          <w:sz w:val="22"/>
          <w:szCs w:val="22"/>
        </w:rPr>
        <w:t>A downloadable version of</w:t>
      </w:r>
      <w:r w:rsidRPr="0020109F">
        <w:rPr>
          <w:rFonts w:ascii="Times New Roman" w:hAnsi="Times New Roman"/>
          <w:sz w:val="22"/>
          <w:szCs w:val="22"/>
        </w:rPr>
        <w:t xml:space="preserve"> the application</w:t>
      </w:r>
      <w:r>
        <w:rPr>
          <w:rFonts w:ascii="Times New Roman" w:hAnsi="Times New Roman"/>
          <w:sz w:val="22"/>
          <w:szCs w:val="22"/>
        </w:rPr>
        <w:t xml:space="preserve"> for the current fiscal year</w:t>
      </w:r>
      <w:r w:rsidR="002D1F66">
        <w:rPr>
          <w:rFonts w:ascii="Times New Roman" w:hAnsi="Times New Roman"/>
          <w:sz w:val="22"/>
          <w:szCs w:val="22"/>
        </w:rPr>
        <w:t xml:space="preserve"> </w:t>
      </w:r>
      <w:r w:rsidR="002D1F66" w:rsidRPr="002D1F66">
        <w:rPr>
          <w:rFonts w:ascii="Times New Roman" w:hAnsi="Times New Roman"/>
          <w:sz w:val="22"/>
          <w:szCs w:val="22"/>
        </w:rPr>
        <w:t>can be found on the TIFIA website at http://www.fhwa.dot.gov/ipd/tifia/guidance_applications/tifia_applications.htm</w:t>
      </w:r>
      <w:r w:rsidRPr="0020109F">
        <w:rPr>
          <w:rFonts w:ascii="Times New Roman" w:hAnsi="Times New Roman"/>
          <w:sz w:val="22"/>
          <w:szCs w:val="22"/>
        </w:rPr>
        <w:t xml:space="preserve">.  </w:t>
      </w:r>
    </w:p>
    <w:p w:rsidR="00BC75C4" w:rsidRPr="00BC75C4" w:rsidRDefault="00BC75C4" w:rsidP="00BC75C4">
      <w:pPr>
        <w:pStyle w:val="Default"/>
      </w:pPr>
    </w:p>
    <w:p w:rsidR="00B77793" w:rsidRDefault="00B77793">
      <w:pPr>
        <w:pStyle w:val="TIFIAHeading1a"/>
        <w:widowControl/>
        <w:spacing w:before="0"/>
        <w:jc w:val="both"/>
        <w:outlineLvl w:val="0"/>
      </w:pPr>
      <w:r>
        <w:t>Section 3-5</w:t>
      </w:r>
    </w:p>
    <w:p w:rsidR="00B77793" w:rsidRDefault="00B77793">
      <w:pPr>
        <w:pStyle w:val="TIFIAHeading1b"/>
        <w:widowControl/>
        <w:spacing w:after="240"/>
        <w:jc w:val="both"/>
        <w:outlineLvl w:val="0"/>
      </w:pPr>
      <w:r>
        <w:t>Rating Opinions</w:t>
      </w:r>
    </w:p>
    <w:p w:rsidR="00B66082" w:rsidRDefault="00B77793" w:rsidP="00703D6D">
      <w:pPr>
        <w:pStyle w:val="CM10"/>
        <w:widowControl/>
        <w:spacing w:after="240" w:line="271" w:lineRule="exact"/>
        <w:jc w:val="both"/>
        <w:rPr>
          <w:rFonts w:ascii="Times New Roman" w:hAnsi="Times New Roman"/>
          <w:sz w:val="22"/>
        </w:rPr>
      </w:pPr>
      <w:r>
        <w:rPr>
          <w:rFonts w:ascii="Times New Roman" w:hAnsi="Times New Roman"/>
          <w:sz w:val="22"/>
        </w:rPr>
        <w:t xml:space="preserve">In addition to the requirements described in Section 3-4, the TIFIA statute requires each </w:t>
      </w:r>
      <w:r w:rsidR="00315010">
        <w:rPr>
          <w:rFonts w:ascii="Times New Roman" w:hAnsi="Times New Roman"/>
          <w:sz w:val="22"/>
        </w:rPr>
        <w:t xml:space="preserve">potential </w:t>
      </w:r>
      <w:r>
        <w:rPr>
          <w:rFonts w:ascii="Times New Roman" w:hAnsi="Times New Roman"/>
          <w:sz w:val="22"/>
        </w:rPr>
        <w:t xml:space="preserve">applicant to provide a preliminary rating opinion letter from at least one </w:t>
      </w:r>
      <w:r w:rsidR="00BF6F86" w:rsidRPr="0006423C">
        <w:rPr>
          <w:rFonts w:ascii="Times New Roman" w:hAnsi="Times New Roman"/>
          <w:sz w:val="22"/>
          <w:szCs w:val="22"/>
        </w:rPr>
        <w:t>NRSRO</w:t>
      </w:r>
      <w:r>
        <w:rPr>
          <w:rStyle w:val="FootnoteReference"/>
          <w:rFonts w:ascii="Times New Roman" w:hAnsi="Times New Roman"/>
          <w:sz w:val="22"/>
        </w:rPr>
        <w:footnoteReference w:id="123"/>
      </w:r>
      <w:r>
        <w:rPr>
          <w:rFonts w:ascii="Times New Roman" w:hAnsi="Times New Roman"/>
          <w:sz w:val="22"/>
        </w:rPr>
        <w:t xml:space="preserve"> </w:t>
      </w:r>
      <w:r>
        <w:rPr>
          <w:rFonts w:ascii="Times New Roman" w:hAnsi="Times New Roman"/>
          <w:sz w:val="22"/>
        </w:rPr>
        <w:lastRenderedPageBreak/>
        <w:t xml:space="preserve">indicating that the project’s senior obligations </w:t>
      </w:r>
      <w:r w:rsidR="00683979">
        <w:rPr>
          <w:rFonts w:ascii="Times New Roman" w:hAnsi="Times New Roman"/>
          <w:sz w:val="22"/>
        </w:rPr>
        <w:t>(which may include</w:t>
      </w:r>
      <w:r w:rsidR="00683979" w:rsidRPr="00683979">
        <w:rPr>
          <w:rFonts w:ascii="Times New Roman" w:hAnsi="Times New Roman"/>
          <w:sz w:val="22"/>
        </w:rPr>
        <w:t xml:space="preserve"> the TIFIA credit instrument)</w:t>
      </w:r>
      <w:r w:rsidR="00683979">
        <w:rPr>
          <w:rFonts w:ascii="Times New Roman" w:hAnsi="Times New Roman"/>
          <w:sz w:val="22"/>
        </w:rPr>
        <w:t xml:space="preserve"> </w:t>
      </w:r>
      <w:r>
        <w:rPr>
          <w:rFonts w:ascii="Times New Roman" w:hAnsi="Times New Roman"/>
          <w:sz w:val="22"/>
        </w:rPr>
        <w:t>have the potential to achieve an investment grade rating</w:t>
      </w:r>
      <w:r w:rsidR="00400D87">
        <w:rPr>
          <w:rFonts w:ascii="Times New Roman" w:hAnsi="Times New Roman"/>
          <w:sz w:val="22"/>
        </w:rPr>
        <w:t xml:space="preserve"> and </w:t>
      </w:r>
      <w:r w:rsidR="00683979">
        <w:rPr>
          <w:rFonts w:ascii="Times New Roman" w:hAnsi="Times New Roman"/>
          <w:sz w:val="22"/>
        </w:rPr>
        <w:t xml:space="preserve">providing </w:t>
      </w:r>
      <w:r w:rsidR="00400D87">
        <w:rPr>
          <w:rFonts w:ascii="Times New Roman" w:hAnsi="Times New Roman"/>
          <w:sz w:val="22"/>
        </w:rPr>
        <w:t xml:space="preserve">a </w:t>
      </w:r>
      <w:r w:rsidR="00683979">
        <w:rPr>
          <w:rFonts w:ascii="Times New Roman" w:hAnsi="Times New Roman"/>
          <w:sz w:val="22"/>
        </w:rPr>
        <w:t xml:space="preserve">preliminary </w:t>
      </w:r>
      <w:r w:rsidR="00400D87">
        <w:rPr>
          <w:rFonts w:ascii="Times New Roman" w:hAnsi="Times New Roman"/>
          <w:sz w:val="22"/>
        </w:rPr>
        <w:t>rating</w:t>
      </w:r>
      <w:r w:rsidR="00683979">
        <w:rPr>
          <w:rFonts w:ascii="Times New Roman" w:hAnsi="Times New Roman"/>
          <w:sz w:val="22"/>
        </w:rPr>
        <w:t xml:space="preserve"> opinion</w:t>
      </w:r>
      <w:r w:rsidR="00400D87">
        <w:rPr>
          <w:rFonts w:ascii="Times New Roman" w:hAnsi="Times New Roman"/>
          <w:sz w:val="22"/>
        </w:rPr>
        <w:t xml:space="preserve"> on the TIFIA credit instrument</w:t>
      </w:r>
      <w:r>
        <w:rPr>
          <w:rFonts w:ascii="Times New Roman" w:hAnsi="Times New Roman"/>
          <w:sz w:val="22"/>
        </w:rPr>
        <w:t>.</w:t>
      </w:r>
      <w:r w:rsidR="004925E8">
        <w:rPr>
          <w:rStyle w:val="FootnoteReference"/>
          <w:rFonts w:ascii="Times New Roman" w:hAnsi="Times New Roman"/>
        </w:rPr>
        <w:footnoteReference w:id="124"/>
      </w:r>
      <w:r>
        <w:rPr>
          <w:rFonts w:ascii="Times New Roman" w:hAnsi="Times New Roman"/>
          <w:sz w:val="22"/>
        </w:rPr>
        <w:t xml:space="preserve"> </w:t>
      </w:r>
      <w:r w:rsidR="00B66082">
        <w:rPr>
          <w:rFonts w:ascii="Times New Roman" w:hAnsi="Times New Roman"/>
          <w:sz w:val="22"/>
        </w:rPr>
        <w:t xml:space="preserve"> Before the </w:t>
      </w:r>
      <w:r w:rsidR="00B66082" w:rsidRPr="00B66082">
        <w:rPr>
          <w:rFonts w:ascii="Times New Roman" w:hAnsi="Times New Roman"/>
          <w:sz w:val="22"/>
        </w:rPr>
        <w:t>DOT completes</w:t>
      </w:r>
      <w:r w:rsidR="00B66082">
        <w:rPr>
          <w:rFonts w:ascii="Times New Roman" w:hAnsi="Times New Roman"/>
          <w:sz w:val="22"/>
        </w:rPr>
        <w:t xml:space="preserve"> its</w:t>
      </w:r>
      <w:r w:rsidR="00B66082" w:rsidRPr="00B66082">
        <w:rPr>
          <w:rFonts w:ascii="Times New Roman" w:hAnsi="Times New Roman"/>
          <w:sz w:val="22"/>
        </w:rPr>
        <w:t xml:space="preserve"> review</w:t>
      </w:r>
      <w:r w:rsidR="00B66082">
        <w:rPr>
          <w:rFonts w:ascii="Times New Roman" w:hAnsi="Times New Roman"/>
          <w:sz w:val="22"/>
        </w:rPr>
        <w:t xml:space="preserve"> of</w:t>
      </w:r>
      <w:r w:rsidR="00B66082" w:rsidRPr="00B66082">
        <w:rPr>
          <w:rFonts w:ascii="Times New Roman" w:hAnsi="Times New Roman"/>
          <w:sz w:val="22"/>
        </w:rPr>
        <w:t xml:space="preserve"> a </w:t>
      </w:r>
      <w:r w:rsidR="00B66082">
        <w:rPr>
          <w:rFonts w:ascii="Times New Roman" w:hAnsi="Times New Roman"/>
          <w:sz w:val="22"/>
        </w:rPr>
        <w:t>Letter of Interest and renders</w:t>
      </w:r>
      <w:r w:rsidR="00B66082" w:rsidRPr="00B66082">
        <w:rPr>
          <w:rFonts w:ascii="Times New Roman" w:hAnsi="Times New Roman"/>
          <w:sz w:val="22"/>
        </w:rPr>
        <w:t xml:space="preserve"> a dete</w:t>
      </w:r>
      <w:r w:rsidR="00B66082">
        <w:rPr>
          <w:rFonts w:ascii="Times New Roman" w:hAnsi="Times New Roman"/>
          <w:sz w:val="22"/>
        </w:rPr>
        <w:t xml:space="preserve">rmination of eligibility, the </w:t>
      </w:r>
      <w:r w:rsidR="00B66082" w:rsidRPr="00B66082">
        <w:rPr>
          <w:rFonts w:ascii="Times New Roman" w:hAnsi="Times New Roman"/>
          <w:sz w:val="22"/>
        </w:rPr>
        <w:t xml:space="preserve">DOT will request </w:t>
      </w:r>
      <w:r w:rsidR="00B66082">
        <w:rPr>
          <w:rFonts w:ascii="Times New Roman" w:hAnsi="Times New Roman"/>
          <w:sz w:val="22"/>
        </w:rPr>
        <w:t>that a project sponsor provide this</w:t>
      </w:r>
      <w:r w:rsidR="00B66082" w:rsidRPr="00B66082">
        <w:rPr>
          <w:rFonts w:ascii="Times New Roman" w:hAnsi="Times New Roman"/>
          <w:sz w:val="22"/>
        </w:rPr>
        <w:t xml:space="preserve"> preliminary rating opinion letter.</w:t>
      </w:r>
    </w:p>
    <w:p w:rsidR="009F065C" w:rsidRDefault="00B66082" w:rsidP="009F065C">
      <w:pPr>
        <w:pStyle w:val="CM10"/>
        <w:widowControl/>
        <w:spacing w:after="240" w:line="271" w:lineRule="exact"/>
        <w:jc w:val="both"/>
        <w:rPr>
          <w:rFonts w:ascii="Times New Roman" w:hAnsi="Times New Roman"/>
          <w:sz w:val="22"/>
        </w:rPr>
      </w:pPr>
      <w:bookmarkStart w:id="14" w:name="OLE_LINK22"/>
      <w:bookmarkStart w:id="15" w:name="OLE_LINK23"/>
      <w:r w:rsidRPr="00B66082">
        <w:rPr>
          <w:rFonts w:ascii="Times New Roman" w:hAnsi="Times New Roman"/>
          <w:sz w:val="22"/>
        </w:rPr>
        <w:t xml:space="preserve">Prior to execution of a TIFIA credit instrument, the senior debt obligations for each project receiving TIFIA credit assistance must obtain investment grade ratings from at least two </w:t>
      </w:r>
      <w:r>
        <w:rPr>
          <w:rFonts w:ascii="Times New Roman" w:hAnsi="Times New Roman"/>
          <w:sz w:val="22"/>
        </w:rPr>
        <w:t>NRSROs</w:t>
      </w:r>
      <w:r w:rsidRPr="00B66082">
        <w:rPr>
          <w:rFonts w:ascii="Times New Roman" w:hAnsi="Times New Roman"/>
          <w:sz w:val="22"/>
        </w:rPr>
        <w:t xml:space="preserve"> and the TIFIA </w:t>
      </w:r>
      <w:r w:rsidR="00942060">
        <w:rPr>
          <w:rFonts w:ascii="Times New Roman" w:hAnsi="Times New Roman"/>
          <w:sz w:val="22"/>
        </w:rPr>
        <w:t>credit instrument</w:t>
      </w:r>
      <w:r w:rsidRPr="00B66082">
        <w:rPr>
          <w:rFonts w:ascii="Times New Roman" w:hAnsi="Times New Roman"/>
          <w:sz w:val="22"/>
        </w:rPr>
        <w:t xml:space="preserve"> must obtain ratings from at least two </w:t>
      </w:r>
      <w:r>
        <w:rPr>
          <w:rFonts w:ascii="Times New Roman" w:hAnsi="Times New Roman"/>
          <w:sz w:val="22"/>
        </w:rPr>
        <w:t>NRSROs</w:t>
      </w:r>
      <w:r w:rsidRPr="00B66082">
        <w:rPr>
          <w:rFonts w:ascii="Times New Roman" w:hAnsi="Times New Roman"/>
          <w:sz w:val="22"/>
        </w:rPr>
        <w:t xml:space="preserve">, unless the total amount of the debt is less than $75 million, in which case only one investment grade rating </w:t>
      </w:r>
      <w:r w:rsidR="00876F91">
        <w:rPr>
          <w:rFonts w:ascii="Times New Roman" w:hAnsi="Times New Roman"/>
          <w:sz w:val="22"/>
        </w:rPr>
        <w:t>on</w:t>
      </w:r>
      <w:r w:rsidRPr="00B66082">
        <w:rPr>
          <w:rFonts w:ascii="Times New Roman" w:hAnsi="Times New Roman"/>
          <w:sz w:val="22"/>
        </w:rPr>
        <w:t xml:space="preserve"> the senior deb</w:t>
      </w:r>
      <w:r w:rsidR="00876F91">
        <w:rPr>
          <w:rFonts w:ascii="Times New Roman" w:hAnsi="Times New Roman"/>
          <w:sz w:val="22"/>
        </w:rPr>
        <w:t>t obligations and one rating on</w:t>
      </w:r>
      <w:r w:rsidRPr="00B66082">
        <w:rPr>
          <w:rFonts w:ascii="Times New Roman" w:hAnsi="Times New Roman"/>
          <w:sz w:val="22"/>
        </w:rPr>
        <w:t xml:space="preserve"> the TIFIA </w:t>
      </w:r>
      <w:r w:rsidR="00942060">
        <w:rPr>
          <w:rFonts w:ascii="Times New Roman" w:hAnsi="Times New Roman"/>
          <w:sz w:val="22"/>
        </w:rPr>
        <w:t>credit instrument</w:t>
      </w:r>
      <w:r w:rsidR="008550D5">
        <w:rPr>
          <w:rFonts w:ascii="Times New Roman" w:hAnsi="Times New Roman"/>
          <w:sz w:val="22"/>
        </w:rPr>
        <w:t xml:space="preserve"> are required</w:t>
      </w:r>
      <w:r w:rsidRPr="00B66082">
        <w:rPr>
          <w:rFonts w:ascii="Times New Roman" w:hAnsi="Times New Roman"/>
          <w:sz w:val="22"/>
        </w:rPr>
        <w:t>.</w:t>
      </w:r>
      <w:r>
        <w:rPr>
          <w:rStyle w:val="FootnoteReference"/>
          <w:rFonts w:ascii="Times New Roman" w:hAnsi="Times New Roman"/>
        </w:rPr>
        <w:footnoteReference w:id="125"/>
      </w:r>
      <w:r w:rsidRPr="00B66082">
        <w:rPr>
          <w:rFonts w:ascii="Times New Roman" w:hAnsi="Times New Roman"/>
          <w:sz w:val="22"/>
        </w:rPr>
        <w:t xml:space="preserve">  The TIFIA debt cannot exceed the amount of the senior obligations unless the TIFIA </w:t>
      </w:r>
      <w:r w:rsidR="008550D5">
        <w:rPr>
          <w:rFonts w:ascii="Times New Roman" w:hAnsi="Times New Roman"/>
          <w:sz w:val="22"/>
        </w:rPr>
        <w:t xml:space="preserve">credit </w:t>
      </w:r>
      <w:r w:rsidRPr="00B66082">
        <w:rPr>
          <w:rFonts w:ascii="Times New Roman" w:hAnsi="Times New Roman"/>
          <w:sz w:val="22"/>
        </w:rPr>
        <w:t xml:space="preserve">assistance receives </w:t>
      </w:r>
      <w:r w:rsidR="00AB5718">
        <w:rPr>
          <w:rFonts w:ascii="Times New Roman" w:hAnsi="Times New Roman"/>
          <w:sz w:val="22"/>
        </w:rPr>
        <w:t>two</w:t>
      </w:r>
      <w:r w:rsidRPr="00B66082">
        <w:rPr>
          <w:rFonts w:ascii="Times New Roman" w:hAnsi="Times New Roman"/>
          <w:sz w:val="22"/>
        </w:rPr>
        <w:t xml:space="preserve"> investment grade rating</w:t>
      </w:r>
      <w:r w:rsidR="00AB5718">
        <w:rPr>
          <w:rFonts w:ascii="Times New Roman" w:hAnsi="Times New Roman"/>
          <w:sz w:val="22"/>
        </w:rPr>
        <w:t>s</w:t>
      </w:r>
      <w:r w:rsidRPr="00B66082">
        <w:rPr>
          <w:rFonts w:ascii="Times New Roman" w:hAnsi="Times New Roman"/>
          <w:sz w:val="22"/>
        </w:rPr>
        <w:t>.</w:t>
      </w:r>
      <w:r>
        <w:rPr>
          <w:rStyle w:val="FootnoteReference"/>
          <w:rFonts w:ascii="Times New Roman" w:hAnsi="Times New Roman"/>
        </w:rPr>
        <w:footnoteReference w:id="126"/>
      </w:r>
      <w:r w:rsidRPr="00B66082">
        <w:rPr>
          <w:rFonts w:ascii="Times New Roman" w:hAnsi="Times New Roman"/>
          <w:sz w:val="22"/>
        </w:rPr>
        <w:t xml:space="preserve">  If the TIFIA credit instrument is proposed as the senior debt, then it must receive two investment grade ratings, unless the total amount of the debt is less than $75 million, in which case only one investment grade rating is required.</w:t>
      </w:r>
      <w:r>
        <w:rPr>
          <w:rStyle w:val="FootnoteReference"/>
          <w:rFonts w:ascii="Times New Roman" w:hAnsi="Times New Roman"/>
        </w:rPr>
        <w:footnoteReference w:id="127"/>
      </w:r>
      <w:r w:rsidR="009F065C">
        <w:rPr>
          <w:rFonts w:ascii="Times New Roman" w:hAnsi="Times New Roman"/>
          <w:sz w:val="22"/>
        </w:rPr>
        <w:t xml:space="preserve">  </w:t>
      </w:r>
    </w:p>
    <w:p w:rsidR="009F065C" w:rsidRPr="009F065C" w:rsidRDefault="009F065C" w:rsidP="009F065C">
      <w:pPr>
        <w:pStyle w:val="CM10"/>
        <w:widowControl/>
        <w:spacing w:after="240" w:line="271" w:lineRule="exact"/>
        <w:jc w:val="both"/>
        <w:rPr>
          <w:rFonts w:ascii="Times New Roman" w:hAnsi="Times New Roman"/>
          <w:sz w:val="22"/>
        </w:rPr>
      </w:pPr>
      <w:r>
        <w:rPr>
          <w:rFonts w:ascii="Times New Roman" w:hAnsi="Times New Roman"/>
          <w:sz w:val="22"/>
        </w:rPr>
        <w:t xml:space="preserve">Both the preliminary rating opinion letter and the final credit ratings must be based on the </w:t>
      </w:r>
      <w:r w:rsidR="00D208C1">
        <w:rPr>
          <w:rFonts w:ascii="Times New Roman" w:hAnsi="Times New Roman"/>
          <w:sz w:val="22"/>
        </w:rPr>
        <w:t xml:space="preserve">contemplated tenor </w:t>
      </w:r>
      <w:r>
        <w:rPr>
          <w:rFonts w:ascii="Times New Roman" w:hAnsi="Times New Roman"/>
          <w:sz w:val="22"/>
        </w:rPr>
        <w:t>of</w:t>
      </w:r>
      <w:r w:rsidR="00D208C1">
        <w:rPr>
          <w:rFonts w:ascii="Times New Roman" w:hAnsi="Times New Roman"/>
          <w:sz w:val="22"/>
        </w:rPr>
        <w:t xml:space="preserve"> both</w:t>
      </w:r>
      <w:r>
        <w:rPr>
          <w:rFonts w:ascii="Times New Roman" w:hAnsi="Times New Roman"/>
          <w:sz w:val="22"/>
        </w:rPr>
        <w:t xml:space="preserve"> the project’s senior debt obligations and the TIFIA credit instrument.  </w:t>
      </w:r>
    </w:p>
    <w:bookmarkEnd w:id="14"/>
    <w:bookmarkEnd w:id="15"/>
    <w:p w:rsidR="00B77793" w:rsidRDefault="00B77793" w:rsidP="00703D6D">
      <w:pPr>
        <w:pStyle w:val="CM9"/>
        <w:widowControl/>
        <w:spacing w:after="240" w:line="271" w:lineRule="exact"/>
        <w:jc w:val="both"/>
        <w:rPr>
          <w:rFonts w:ascii="Times New Roman" w:hAnsi="Times New Roman"/>
          <w:sz w:val="22"/>
        </w:rPr>
      </w:pPr>
      <w:r>
        <w:rPr>
          <w:rFonts w:ascii="Times New Roman" w:hAnsi="Times New Roman"/>
          <w:color w:val="000000"/>
          <w:sz w:val="22"/>
        </w:rPr>
        <w:t>T</w:t>
      </w:r>
      <w:r>
        <w:rPr>
          <w:rFonts w:ascii="Times New Roman" w:hAnsi="Times New Roman"/>
          <w:sz w:val="22"/>
        </w:rPr>
        <w:t xml:space="preserve">he following discussion summarizes the DOT’s use of </w:t>
      </w:r>
      <w:r w:rsidR="00B66082">
        <w:rPr>
          <w:rFonts w:ascii="Times New Roman" w:hAnsi="Times New Roman"/>
          <w:sz w:val="22"/>
        </w:rPr>
        <w:t>C</w:t>
      </w:r>
      <w:r>
        <w:rPr>
          <w:rFonts w:ascii="Times New Roman" w:hAnsi="Times New Roman"/>
          <w:sz w:val="22"/>
        </w:rPr>
        <w:t xml:space="preserve">redit </w:t>
      </w:r>
      <w:r w:rsidR="00B66082">
        <w:rPr>
          <w:rFonts w:ascii="Times New Roman" w:hAnsi="Times New Roman"/>
          <w:sz w:val="22"/>
        </w:rPr>
        <w:t>R</w:t>
      </w:r>
      <w:r>
        <w:rPr>
          <w:rFonts w:ascii="Times New Roman" w:hAnsi="Times New Roman"/>
          <w:sz w:val="22"/>
        </w:rPr>
        <w:t xml:space="preserve">ating </w:t>
      </w:r>
      <w:r w:rsidR="00B66082">
        <w:rPr>
          <w:rFonts w:ascii="Times New Roman" w:hAnsi="Times New Roman"/>
          <w:sz w:val="22"/>
        </w:rPr>
        <w:t>A</w:t>
      </w:r>
      <w:r>
        <w:rPr>
          <w:rFonts w:ascii="Times New Roman" w:hAnsi="Times New Roman"/>
          <w:sz w:val="22"/>
        </w:rPr>
        <w:t xml:space="preserve">gency analyses.  </w:t>
      </w:r>
    </w:p>
    <w:p w:rsidR="00B77793" w:rsidRDefault="00B77793" w:rsidP="004D29BE">
      <w:pPr>
        <w:pStyle w:val="CM9"/>
        <w:widowControl/>
        <w:spacing w:after="240" w:line="271" w:lineRule="atLeast"/>
        <w:jc w:val="both"/>
        <w:outlineLvl w:val="0"/>
        <w:rPr>
          <w:sz w:val="22"/>
        </w:rPr>
      </w:pPr>
      <w:bookmarkStart w:id="16" w:name="OLE_LINK1"/>
      <w:bookmarkStart w:id="17" w:name="OLE_LINK2"/>
      <w:r>
        <w:rPr>
          <w:b/>
          <w:sz w:val="22"/>
        </w:rPr>
        <w:t xml:space="preserve">The DOT’s Use of Credit Ratings </w:t>
      </w:r>
    </w:p>
    <w:bookmarkEnd w:id="16"/>
    <w:bookmarkEnd w:id="17"/>
    <w:p w:rsidR="00B77793" w:rsidRDefault="00B77793" w:rsidP="004D29BE">
      <w:pPr>
        <w:pStyle w:val="CM9"/>
        <w:widowControl/>
        <w:spacing w:after="240" w:line="271" w:lineRule="atLeast"/>
        <w:jc w:val="both"/>
        <w:rPr>
          <w:rFonts w:ascii="Times New Roman" w:hAnsi="Times New Roman"/>
          <w:sz w:val="22"/>
        </w:rPr>
      </w:pPr>
      <w:r>
        <w:rPr>
          <w:rFonts w:ascii="Times New Roman" w:hAnsi="Times New Roman"/>
          <w:sz w:val="22"/>
        </w:rPr>
        <w:t xml:space="preserve">Credit ratings on TIFIA-supported projects are used for three purposes. </w:t>
      </w:r>
    </w:p>
    <w:p w:rsidR="00B77793" w:rsidRDefault="00B77793" w:rsidP="004D29BE">
      <w:pPr>
        <w:pStyle w:val="Default"/>
        <w:widowControl/>
        <w:numPr>
          <w:ilvl w:val="0"/>
          <w:numId w:val="5"/>
        </w:numPr>
        <w:spacing w:after="240" w:line="271" w:lineRule="atLeast"/>
        <w:jc w:val="both"/>
        <w:rPr>
          <w:rFonts w:ascii="Times New Roman" w:hAnsi="Times New Roman"/>
          <w:color w:val="auto"/>
          <w:sz w:val="22"/>
        </w:rPr>
      </w:pPr>
      <w:r>
        <w:rPr>
          <w:rFonts w:ascii="Times New Roman" w:hAnsi="Times New Roman"/>
          <w:color w:val="auto"/>
          <w:sz w:val="22"/>
          <w:u w:val="single"/>
        </w:rPr>
        <w:t>Statutory Rating Requirement</w:t>
      </w:r>
      <w:r>
        <w:rPr>
          <w:rFonts w:ascii="Times New Roman" w:hAnsi="Times New Roman"/>
          <w:color w:val="auto"/>
          <w:sz w:val="22"/>
        </w:rPr>
        <w:t>.  By statute, a project cannot receive TIFIA</w:t>
      </w:r>
      <w:r w:rsidR="008550D5">
        <w:rPr>
          <w:rFonts w:ascii="Times New Roman" w:hAnsi="Times New Roman"/>
          <w:color w:val="auto"/>
          <w:sz w:val="22"/>
        </w:rPr>
        <w:t xml:space="preserve"> </w:t>
      </w:r>
      <w:r w:rsidR="008550D5">
        <w:rPr>
          <w:rFonts w:ascii="Times New Roman" w:hAnsi="Times New Roman"/>
          <w:sz w:val="22"/>
        </w:rPr>
        <w:t>credit</w:t>
      </w:r>
      <w:r>
        <w:rPr>
          <w:rFonts w:ascii="Times New Roman" w:hAnsi="Times New Roman"/>
          <w:color w:val="auto"/>
          <w:sz w:val="22"/>
        </w:rPr>
        <w:t xml:space="preserve"> assistance unless the senior debt obligations funding the project, </w:t>
      </w:r>
      <w:r>
        <w:rPr>
          <w:rFonts w:ascii="Times New Roman" w:hAnsi="Times New Roman"/>
          <w:i/>
          <w:color w:val="auto"/>
          <w:sz w:val="22"/>
        </w:rPr>
        <w:t>i.e.,</w:t>
      </w:r>
      <w:r>
        <w:rPr>
          <w:rFonts w:ascii="Times New Roman" w:hAnsi="Times New Roman"/>
          <w:color w:val="auto"/>
          <w:sz w:val="22"/>
        </w:rPr>
        <w:t xml:space="preserve"> those obligations having a lien senior to that of the TIFIA credit instrument on the pledged security, </w:t>
      </w:r>
      <w:r w:rsidR="00DA46E5">
        <w:rPr>
          <w:rFonts w:ascii="Times New Roman" w:hAnsi="Times New Roman"/>
          <w:color w:val="auto"/>
          <w:sz w:val="22"/>
        </w:rPr>
        <w:t xml:space="preserve">receive </w:t>
      </w:r>
      <w:r>
        <w:rPr>
          <w:rFonts w:ascii="Times New Roman" w:hAnsi="Times New Roman"/>
          <w:color w:val="auto"/>
          <w:sz w:val="22"/>
        </w:rPr>
        <w:t>investment grade rating</w:t>
      </w:r>
      <w:r w:rsidR="00DA46E5">
        <w:rPr>
          <w:rFonts w:ascii="Times New Roman" w:hAnsi="Times New Roman"/>
          <w:color w:val="auto"/>
          <w:sz w:val="22"/>
        </w:rPr>
        <w:t>s from at least two Credit Rating Agencies, as discussed above</w:t>
      </w:r>
      <w:r>
        <w:rPr>
          <w:rFonts w:ascii="Times New Roman" w:hAnsi="Times New Roman"/>
          <w:color w:val="auto"/>
          <w:sz w:val="22"/>
        </w:rPr>
        <w:t xml:space="preserve">.  Therefore, even though a project may be selected for TIFIA </w:t>
      </w:r>
      <w:r w:rsidR="00DA46E5">
        <w:rPr>
          <w:rFonts w:ascii="Times New Roman" w:hAnsi="Times New Roman"/>
          <w:color w:val="auto"/>
          <w:sz w:val="22"/>
        </w:rPr>
        <w:t xml:space="preserve">credit </w:t>
      </w:r>
      <w:r>
        <w:rPr>
          <w:rFonts w:ascii="Times New Roman" w:hAnsi="Times New Roman"/>
          <w:color w:val="auto"/>
          <w:sz w:val="22"/>
        </w:rPr>
        <w:t xml:space="preserve">assistance, this </w:t>
      </w:r>
      <w:r w:rsidR="00DA46E5">
        <w:rPr>
          <w:rFonts w:ascii="Times New Roman" w:hAnsi="Times New Roman"/>
          <w:color w:val="auto"/>
          <w:sz w:val="22"/>
        </w:rPr>
        <w:t xml:space="preserve">credit </w:t>
      </w:r>
      <w:r w:rsidR="00876F91">
        <w:rPr>
          <w:rFonts w:ascii="Times New Roman" w:hAnsi="Times New Roman"/>
          <w:color w:val="auto"/>
          <w:sz w:val="22"/>
        </w:rPr>
        <w:t>assistance will not be provided;</w:t>
      </w:r>
      <w:r>
        <w:rPr>
          <w:rFonts w:ascii="Times New Roman" w:hAnsi="Times New Roman"/>
          <w:color w:val="auto"/>
          <w:sz w:val="22"/>
        </w:rPr>
        <w:t xml:space="preserve"> that is, the DOT will not close on the credit agreement, until</w:t>
      </w:r>
      <w:r w:rsidR="00DA46E5">
        <w:rPr>
          <w:rFonts w:ascii="Times New Roman" w:hAnsi="Times New Roman"/>
          <w:color w:val="auto"/>
          <w:sz w:val="22"/>
        </w:rPr>
        <w:t xml:space="preserve"> two Credit Rating Agencies assign</w:t>
      </w:r>
      <w:r>
        <w:rPr>
          <w:rFonts w:ascii="Times New Roman" w:hAnsi="Times New Roman"/>
          <w:color w:val="auto"/>
          <w:sz w:val="22"/>
        </w:rPr>
        <w:t xml:space="preserve"> an investment grade rating to the project’s senior debt obligations, or the TIFIA facility itself, if there are no debt obligations senior to the TIFIA credit instrument.  </w:t>
      </w:r>
    </w:p>
    <w:p w:rsidR="00B77793" w:rsidRDefault="00B77793" w:rsidP="004D29BE">
      <w:pPr>
        <w:pStyle w:val="Default"/>
        <w:widowControl/>
        <w:numPr>
          <w:ilvl w:val="0"/>
          <w:numId w:val="5"/>
        </w:numPr>
        <w:spacing w:after="240" w:line="271" w:lineRule="atLeast"/>
        <w:jc w:val="both"/>
        <w:rPr>
          <w:rFonts w:ascii="Times New Roman" w:hAnsi="Times New Roman"/>
          <w:color w:val="auto"/>
          <w:sz w:val="22"/>
        </w:rPr>
      </w:pPr>
      <w:r>
        <w:rPr>
          <w:rFonts w:ascii="Times New Roman" w:hAnsi="Times New Roman"/>
          <w:color w:val="auto"/>
          <w:sz w:val="22"/>
          <w:u w:val="single"/>
        </w:rPr>
        <w:t>Capital Allocation Requirement</w:t>
      </w:r>
      <w:r>
        <w:rPr>
          <w:rFonts w:ascii="Times New Roman" w:hAnsi="Times New Roman"/>
          <w:color w:val="auto"/>
          <w:sz w:val="22"/>
        </w:rPr>
        <w:t xml:space="preserve">.  Default risk is a key component of the DOT’s assessment of expected losses related to the </w:t>
      </w:r>
      <w:r w:rsidR="00427D30">
        <w:rPr>
          <w:rFonts w:ascii="Times New Roman" w:hAnsi="Times New Roman"/>
          <w:color w:val="auto"/>
          <w:sz w:val="22"/>
        </w:rPr>
        <w:t>TIFIA Program</w:t>
      </w:r>
      <w:r>
        <w:rPr>
          <w:rFonts w:ascii="Times New Roman" w:hAnsi="Times New Roman"/>
          <w:color w:val="auto"/>
          <w:sz w:val="22"/>
        </w:rPr>
        <w:t xml:space="preserve">.  The Federal Credit Reform Act of 1990 requires Federal agencies with credit programs to allocate capital, in the form of budget authority, to cover these expected losses.  The DOT uses the TIFIA Capital Allocation Model to estimate credit exposure.  The model employs such variables </w:t>
      </w:r>
      <w:r>
        <w:rPr>
          <w:rFonts w:ascii="Times New Roman" w:hAnsi="Times New Roman"/>
          <w:color w:val="auto"/>
          <w:sz w:val="22"/>
        </w:rPr>
        <w:lastRenderedPageBreak/>
        <w:t>as the repayment structure, the draw</w:t>
      </w:r>
      <w:r>
        <w:rPr>
          <w:rFonts w:ascii="Times New Roman" w:hAnsi="Times New Roman"/>
          <w:color w:val="auto"/>
          <w:sz w:val="22"/>
        </w:rPr>
        <w:softHyphen/>
        <w:t>down assumptions, the nature of the dedicated revenues securing the TIFIA</w:t>
      </w:r>
      <w:r w:rsidR="00DA46E5">
        <w:rPr>
          <w:rFonts w:ascii="Times New Roman" w:hAnsi="Times New Roman"/>
          <w:color w:val="auto"/>
          <w:sz w:val="22"/>
        </w:rPr>
        <w:t xml:space="preserve"> credit</w:t>
      </w:r>
      <w:r>
        <w:rPr>
          <w:rFonts w:ascii="Times New Roman" w:hAnsi="Times New Roman"/>
          <w:color w:val="auto"/>
          <w:sz w:val="22"/>
        </w:rPr>
        <w:t xml:space="preserve"> instrument, and the rating</w:t>
      </w:r>
      <w:r w:rsidR="00DA46E5">
        <w:rPr>
          <w:rFonts w:ascii="Times New Roman" w:hAnsi="Times New Roman"/>
          <w:color w:val="auto"/>
          <w:sz w:val="22"/>
        </w:rPr>
        <w:t>s</w:t>
      </w:r>
      <w:r>
        <w:rPr>
          <w:rFonts w:ascii="Times New Roman" w:hAnsi="Times New Roman"/>
          <w:color w:val="auto"/>
          <w:sz w:val="22"/>
        </w:rPr>
        <w:t xml:space="preserve"> assigned to the TIFIA credit instrument.  </w:t>
      </w:r>
    </w:p>
    <w:p w:rsidR="00B77793" w:rsidRDefault="00B77793" w:rsidP="004D29BE">
      <w:pPr>
        <w:pStyle w:val="Default"/>
        <w:widowControl/>
        <w:numPr>
          <w:ilvl w:val="0"/>
          <w:numId w:val="5"/>
        </w:numPr>
        <w:spacing w:after="240" w:line="271" w:lineRule="atLeast"/>
        <w:jc w:val="both"/>
        <w:rPr>
          <w:rFonts w:ascii="Times New Roman" w:hAnsi="Times New Roman"/>
          <w:color w:val="auto"/>
          <w:sz w:val="22"/>
        </w:rPr>
      </w:pPr>
      <w:r>
        <w:rPr>
          <w:rFonts w:ascii="Times New Roman" w:hAnsi="Times New Roman"/>
          <w:color w:val="auto"/>
          <w:sz w:val="22"/>
          <w:u w:val="single"/>
        </w:rPr>
        <w:t>Annual Capital Reserve Adjustments</w:t>
      </w:r>
      <w:r>
        <w:rPr>
          <w:rFonts w:ascii="Times New Roman" w:hAnsi="Times New Roman"/>
          <w:color w:val="auto"/>
          <w:sz w:val="22"/>
        </w:rPr>
        <w:t>.  As part of its ongoing portfolio monitoring, the DOT is required to annually adjust, or “</w:t>
      </w:r>
      <w:proofErr w:type="spellStart"/>
      <w:r>
        <w:rPr>
          <w:rFonts w:ascii="Times New Roman" w:hAnsi="Times New Roman"/>
          <w:color w:val="auto"/>
          <w:sz w:val="22"/>
        </w:rPr>
        <w:t>reestimate</w:t>
      </w:r>
      <w:proofErr w:type="spellEnd"/>
      <w:r>
        <w:rPr>
          <w:rFonts w:ascii="Times New Roman" w:hAnsi="Times New Roman"/>
          <w:color w:val="auto"/>
          <w:sz w:val="22"/>
        </w:rPr>
        <w:t>,” its allowance for credit losses based on updated loss expectations.</w:t>
      </w:r>
      <w:r w:rsidR="00964CF8">
        <w:rPr>
          <w:rStyle w:val="FootnoteReference"/>
          <w:rFonts w:ascii="Times New Roman" w:hAnsi="Times New Roman"/>
          <w:color w:val="auto"/>
        </w:rPr>
        <w:footnoteReference w:id="128"/>
      </w:r>
      <w:r>
        <w:rPr>
          <w:rFonts w:ascii="Times New Roman" w:hAnsi="Times New Roman"/>
          <w:color w:val="auto"/>
          <w:sz w:val="22"/>
        </w:rPr>
        <w:t xml:space="preserve">  The DOT will incorporate information from credit surveillance reports, including changes in credit ratings, on TIFIA-supported projects in this annual reassessment process.</w:t>
      </w:r>
    </w:p>
    <w:p w:rsidR="00B77793" w:rsidRDefault="00B77793" w:rsidP="004D29BE">
      <w:pPr>
        <w:pStyle w:val="CM9"/>
        <w:widowControl/>
        <w:spacing w:after="240" w:line="271" w:lineRule="atLeast"/>
        <w:jc w:val="both"/>
        <w:outlineLvl w:val="0"/>
        <w:rPr>
          <w:sz w:val="22"/>
        </w:rPr>
      </w:pPr>
      <w:r>
        <w:rPr>
          <w:b/>
          <w:sz w:val="22"/>
        </w:rPr>
        <w:t>Preliminary Rating Opinion Letter</w:t>
      </w:r>
    </w:p>
    <w:p w:rsidR="00B77793" w:rsidRDefault="00B77793" w:rsidP="004D29BE">
      <w:pPr>
        <w:pStyle w:val="CM9"/>
        <w:widowControl/>
        <w:spacing w:after="240" w:line="271" w:lineRule="atLeast"/>
        <w:jc w:val="both"/>
        <w:rPr>
          <w:rFonts w:ascii="Times New Roman" w:hAnsi="Times New Roman"/>
          <w:sz w:val="22"/>
        </w:rPr>
      </w:pPr>
      <w:r>
        <w:rPr>
          <w:rFonts w:ascii="Times New Roman" w:hAnsi="Times New Roman"/>
          <w:sz w:val="22"/>
        </w:rPr>
        <w:t xml:space="preserve">The DOT requires </w:t>
      </w:r>
      <w:r w:rsidR="00315010">
        <w:rPr>
          <w:rFonts w:ascii="Times New Roman" w:hAnsi="Times New Roman"/>
          <w:sz w:val="22"/>
        </w:rPr>
        <w:t xml:space="preserve">potential </w:t>
      </w:r>
      <w:r>
        <w:rPr>
          <w:rFonts w:ascii="Times New Roman" w:hAnsi="Times New Roman"/>
          <w:sz w:val="22"/>
        </w:rPr>
        <w:t>applicants to provide a preliminary rating opinion letter</w:t>
      </w:r>
      <w:r w:rsidR="00813B7C">
        <w:rPr>
          <w:rFonts w:ascii="Times New Roman" w:hAnsi="Times New Roman"/>
          <w:sz w:val="22"/>
        </w:rPr>
        <w:t xml:space="preserve"> that sets forth an indicative rating on the project’s senior obligations and the TIFIA credit instrument and provides rating rationales for both indicative ratings</w:t>
      </w:r>
      <w:r>
        <w:rPr>
          <w:rFonts w:ascii="Times New Roman" w:hAnsi="Times New Roman"/>
          <w:sz w:val="22"/>
        </w:rPr>
        <w:t>.  The letter must address the creditworthiness of both the senior debt obligations funding the project (</w:t>
      </w:r>
      <w:r>
        <w:rPr>
          <w:rFonts w:ascii="Times New Roman" w:hAnsi="Times New Roman"/>
          <w:i/>
          <w:sz w:val="22"/>
        </w:rPr>
        <w:t>i.e.,</w:t>
      </w:r>
      <w:r>
        <w:rPr>
          <w:rFonts w:ascii="Times New Roman" w:hAnsi="Times New Roman"/>
          <w:sz w:val="22"/>
        </w:rPr>
        <w:t xml:space="preserve"> those which have a lien senior to that of the TIFIA credit instrument on the pledged security) and the TIFIA credit instrument.  The letter must conclude that there is a reasonable probability for the senior debt obligations (or the TIFIA credit instrument if there are no debt obligations senior to the TIFIA facility) to receive an investment grade rating.</w:t>
      </w:r>
      <w:r w:rsidR="004925E8">
        <w:rPr>
          <w:rStyle w:val="FootnoteReference"/>
          <w:rFonts w:ascii="Times New Roman" w:hAnsi="Times New Roman"/>
        </w:rPr>
        <w:footnoteReference w:id="129"/>
      </w:r>
      <w:r>
        <w:rPr>
          <w:rFonts w:ascii="Times New Roman" w:hAnsi="Times New Roman"/>
          <w:sz w:val="22"/>
        </w:rPr>
        <w:t xml:space="preserve">  This requirement applies to all </w:t>
      </w:r>
      <w:r w:rsidR="00876F91">
        <w:rPr>
          <w:rFonts w:ascii="Times New Roman" w:hAnsi="Times New Roman"/>
          <w:sz w:val="22"/>
        </w:rPr>
        <w:t xml:space="preserve">potential </w:t>
      </w:r>
      <w:r>
        <w:rPr>
          <w:rFonts w:ascii="Times New Roman" w:hAnsi="Times New Roman"/>
          <w:sz w:val="22"/>
        </w:rPr>
        <w:t xml:space="preserve">TIFIA applicants, even those with current credit ratings on other debt instruments.  The DOT will not </w:t>
      </w:r>
      <w:r w:rsidR="00315010">
        <w:rPr>
          <w:rFonts w:ascii="Times New Roman" w:hAnsi="Times New Roman"/>
          <w:sz w:val="22"/>
        </w:rPr>
        <w:t>complete its review of a Letter of Interest and make a determination of eligibility until a project sponsor has provided</w:t>
      </w:r>
      <w:r>
        <w:rPr>
          <w:rFonts w:ascii="Times New Roman" w:hAnsi="Times New Roman"/>
          <w:sz w:val="22"/>
        </w:rPr>
        <w:t xml:space="preserve"> a preliminary rating opinion letter.  </w:t>
      </w:r>
      <w:r w:rsidR="00297A1F">
        <w:rPr>
          <w:rFonts w:ascii="Times New Roman" w:hAnsi="Times New Roman"/>
          <w:sz w:val="22"/>
        </w:rPr>
        <w:t xml:space="preserve">As part of the DOT’s review, the DOT will also request that the TIFIA applicant provide </w:t>
      </w:r>
      <w:r w:rsidR="00297A1F" w:rsidRPr="00297A1F">
        <w:rPr>
          <w:rFonts w:ascii="Times New Roman" w:hAnsi="Times New Roman"/>
          <w:sz w:val="22"/>
        </w:rPr>
        <w:t xml:space="preserve">copies of all documents submitted to the </w:t>
      </w:r>
      <w:r w:rsidR="004925E8">
        <w:rPr>
          <w:rFonts w:ascii="Times New Roman" w:hAnsi="Times New Roman"/>
          <w:sz w:val="22"/>
        </w:rPr>
        <w:t>Credit Rating Agency</w:t>
      </w:r>
      <w:r w:rsidR="004925E8" w:rsidRPr="00297A1F" w:rsidDel="004925E8">
        <w:rPr>
          <w:rFonts w:ascii="Times New Roman" w:hAnsi="Times New Roman"/>
          <w:sz w:val="22"/>
        </w:rPr>
        <w:t xml:space="preserve"> </w:t>
      </w:r>
      <w:r w:rsidR="00297A1F" w:rsidRPr="00297A1F">
        <w:rPr>
          <w:rFonts w:ascii="Times New Roman" w:hAnsi="Times New Roman"/>
          <w:sz w:val="22"/>
        </w:rPr>
        <w:t>in connection with the preliminary rating process</w:t>
      </w:r>
      <w:r w:rsidR="00297A1F">
        <w:rPr>
          <w:rFonts w:ascii="Times New Roman" w:hAnsi="Times New Roman"/>
          <w:sz w:val="22"/>
        </w:rPr>
        <w:t>.</w:t>
      </w:r>
      <w:r w:rsidR="00297A1F" w:rsidRPr="00297A1F">
        <w:rPr>
          <w:rFonts w:ascii="Times New Roman" w:hAnsi="Times New Roman"/>
          <w:sz w:val="22"/>
        </w:rPr>
        <w:t xml:space="preserve"> </w:t>
      </w:r>
      <w:r w:rsidR="00297A1F">
        <w:rPr>
          <w:rFonts w:ascii="Times New Roman" w:hAnsi="Times New Roman"/>
          <w:sz w:val="22"/>
        </w:rPr>
        <w:t xml:space="preserve"> </w:t>
      </w:r>
      <w:r>
        <w:rPr>
          <w:rFonts w:ascii="Times New Roman" w:hAnsi="Times New Roman"/>
          <w:sz w:val="22"/>
        </w:rPr>
        <w:t xml:space="preserve">The DOT will use the preliminary rating opinion letter for two purposes. </w:t>
      </w:r>
    </w:p>
    <w:p w:rsidR="00B77793" w:rsidRDefault="00B77793" w:rsidP="004D29BE">
      <w:pPr>
        <w:pStyle w:val="CM5"/>
        <w:widowControl/>
        <w:spacing w:after="240"/>
        <w:ind w:left="360" w:hanging="360"/>
        <w:jc w:val="both"/>
        <w:rPr>
          <w:rFonts w:ascii="Times New Roman" w:hAnsi="Times New Roman"/>
          <w:sz w:val="22"/>
        </w:rPr>
      </w:pPr>
      <w:r>
        <w:rPr>
          <w:rFonts w:ascii="Times New Roman" w:hAnsi="Times New Roman"/>
          <w:sz w:val="22"/>
        </w:rPr>
        <w:t>1.</w:t>
      </w:r>
      <w:r>
        <w:rPr>
          <w:rFonts w:ascii="Times New Roman" w:hAnsi="Times New Roman"/>
          <w:sz w:val="22"/>
        </w:rPr>
        <w:tab/>
      </w:r>
      <w:r>
        <w:rPr>
          <w:rFonts w:ascii="Times New Roman" w:hAnsi="Times New Roman"/>
          <w:sz w:val="22"/>
          <w:u w:val="single"/>
        </w:rPr>
        <w:t>Potential for Senior Obligations to Receive Investment Grade Rating</w:t>
      </w:r>
      <w:r>
        <w:rPr>
          <w:rFonts w:ascii="Times New Roman" w:hAnsi="Times New Roman"/>
          <w:sz w:val="22"/>
        </w:rPr>
        <w:t xml:space="preserve">.  The letter must indicate that the senior obligations funding the project have the potential to receive an investment grade rating.  This preliminary assessment by the </w:t>
      </w:r>
      <w:r w:rsidR="004925E8">
        <w:rPr>
          <w:rFonts w:ascii="Times New Roman" w:hAnsi="Times New Roman"/>
          <w:sz w:val="22"/>
        </w:rPr>
        <w:t>Credit Rating Agencies</w:t>
      </w:r>
      <w:r w:rsidR="004925E8" w:rsidDel="004925E8">
        <w:rPr>
          <w:rFonts w:ascii="Times New Roman" w:hAnsi="Times New Roman"/>
          <w:sz w:val="22"/>
        </w:rPr>
        <w:t xml:space="preserve"> </w:t>
      </w:r>
      <w:r>
        <w:rPr>
          <w:rFonts w:ascii="Times New Roman" w:hAnsi="Times New Roman"/>
          <w:sz w:val="22"/>
        </w:rPr>
        <w:t xml:space="preserve">will be based on the financing structure proposed by the applicant.  The DOT will not consider projects that do not demonstrate the potential for their senior obligations to receive an investment grade rating. </w:t>
      </w:r>
    </w:p>
    <w:p w:rsidR="00B77793" w:rsidRDefault="00B77793" w:rsidP="004D29BE">
      <w:pPr>
        <w:pStyle w:val="CM9"/>
        <w:widowControl/>
        <w:spacing w:after="240" w:line="271" w:lineRule="atLeast"/>
        <w:ind w:left="360" w:hanging="360"/>
        <w:jc w:val="both"/>
        <w:rPr>
          <w:rFonts w:ascii="Times New Roman" w:hAnsi="Times New Roman"/>
          <w:sz w:val="22"/>
        </w:rPr>
      </w:pPr>
      <w:r>
        <w:rPr>
          <w:rFonts w:ascii="Times New Roman" w:hAnsi="Times New Roman"/>
          <w:sz w:val="22"/>
        </w:rPr>
        <w:t>2.</w:t>
      </w:r>
      <w:r>
        <w:rPr>
          <w:rFonts w:ascii="Times New Roman" w:hAnsi="Times New Roman"/>
          <w:sz w:val="22"/>
        </w:rPr>
        <w:tab/>
      </w:r>
      <w:r>
        <w:rPr>
          <w:rFonts w:ascii="Times New Roman" w:hAnsi="Times New Roman"/>
          <w:sz w:val="22"/>
          <w:u w:val="single"/>
        </w:rPr>
        <w:t>Default Risk</w:t>
      </w:r>
      <w:r>
        <w:rPr>
          <w:rFonts w:ascii="Times New Roman" w:hAnsi="Times New Roman"/>
          <w:sz w:val="22"/>
        </w:rPr>
        <w:t>.  The DOT will also use the preliminary rating opinion letter to assess the project’s overall economic, legal, and financial viability and the default risk on the requested TIFIA instrument</w:t>
      </w:r>
      <w:r w:rsidR="009A13F1">
        <w:rPr>
          <w:rFonts w:ascii="Times New Roman" w:hAnsi="Times New Roman"/>
          <w:sz w:val="22"/>
        </w:rPr>
        <w:t xml:space="preserve"> and on any senior project obligations</w:t>
      </w:r>
      <w:r>
        <w:rPr>
          <w:rFonts w:ascii="Times New Roman" w:hAnsi="Times New Roman"/>
          <w:sz w:val="22"/>
        </w:rPr>
        <w:t xml:space="preserve">.  </w:t>
      </w:r>
      <w:bookmarkStart w:id="18" w:name="OLE_LINK4"/>
      <w:bookmarkStart w:id="19" w:name="OLE_LINK5"/>
      <w:r>
        <w:rPr>
          <w:rFonts w:ascii="Times New Roman" w:hAnsi="Times New Roman"/>
          <w:sz w:val="22"/>
        </w:rPr>
        <w:t xml:space="preserve">Therefore, </w:t>
      </w:r>
      <w:bookmarkStart w:id="20" w:name="OLE_LINK3"/>
      <w:r>
        <w:rPr>
          <w:rFonts w:ascii="Times New Roman" w:hAnsi="Times New Roman"/>
          <w:sz w:val="22"/>
        </w:rPr>
        <w:t xml:space="preserve">the letter should provide a preliminary rating </w:t>
      </w:r>
      <w:r w:rsidR="005F0267">
        <w:rPr>
          <w:rFonts w:ascii="Times New Roman" w:hAnsi="Times New Roman"/>
          <w:sz w:val="22"/>
        </w:rPr>
        <w:t>and rating analysis</w:t>
      </w:r>
      <w:r>
        <w:rPr>
          <w:rFonts w:ascii="Times New Roman" w:hAnsi="Times New Roman"/>
          <w:sz w:val="22"/>
        </w:rPr>
        <w:t xml:space="preserve"> of the financial strength of the overall project and the default risk (</w:t>
      </w:r>
      <w:r>
        <w:rPr>
          <w:rFonts w:ascii="Times New Roman" w:hAnsi="Times New Roman"/>
          <w:i/>
          <w:sz w:val="22"/>
        </w:rPr>
        <w:t>i.e.,</w:t>
      </w:r>
      <w:r>
        <w:rPr>
          <w:rFonts w:ascii="Times New Roman" w:hAnsi="Times New Roman"/>
          <w:sz w:val="22"/>
        </w:rPr>
        <w:t xml:space="preserve"> without regard to recovery potential) of the requested TIFIA </w:t>
      </w:r>
      <w:r w:rsidR="004925E8">
        <w:rPr>
          <w:rFonts w:ascii="Times New Roman" w:hAnsi="Times New Roman"/>
          <w:sz w:val="22"/>
        </w:rPr>
        <w:t xml:space="preserve">credit </w:t>
      </w:r>
      <w:r>
        <w:rPr>
          <w:rFonts w:ascii="Times New Roman" w:hAnsi="Times New Roman"/>
          <w:sz w:val="22"/>
        </w:rPr>
        <w:t>instrument</w:t>
      </w:r>
      <w:bookmarkEnd w:id="18"/>
      <w:bookmarkEnd w:id="19"/>
      <w:r w:rsidR="009A13F1">
        <w:rPr>
          <w:rFonts w:ascii="Times New Roman" w:hAnsi="Times New Roman"/>
          <w:sz w:val="22"/>
        </w:rPr>
        <w:t xml:space="preserve"> and the project’s senior debt</w:t>
      </w:r>
      <w:r w:rsidR="00297A1F">
        <w:rPr>
          <w:rFonts w:ascii="Times New Roman" w:hAnsi="Times New Roman"/>
          <w:sz w:val="22"/>
        </w:rPr>
        <w:t>.</w:t>
      </w:r>
      <w:r>
        <w:rPr>
          <w:rFonts w:ascii="Times New Roman" w:hAnsi="Times New Roman"/>
          <w:sz w:val="22"/>
        </w:rPr>
        <w:t xml:space="preserve"> </w:t>
      </w:r>
    </w:p>
    <w:bookmarkEnd w:id="20"/>
    <w:p w:rsidR="00B77793" w:rsidRDefault="00B77793" w:rsidP="004D29BE">
      <w:pPr>
        <w:pStyle w:val="CM9"/>
        <w:keepNext/>
        <w:spacing w:after="240" w:line="271" w:lineRule="atLeast"/>
        <w:jc w:val="both"/>
        <w:outlineLvl w:val="0"/>
        <w:rPr>
          <w:sz w:val="22"/>
        </w:rPr>
      </w:pPr>
      <w:r>
        <w:rPr>
          <w:b/>
          <w:sz w:val="22"/>
        </w:rPr>
        <w:lastRenderedPageBreak/>
        <w:t>Credit Rating</w:t>
      </w:r>
      <w:r w:rsidR="00876F91">
        <w:rPr>
          <w:b/>
          <w:sz w:val="22"/>
        </w:rPr>
        <w:t>s</w:t>
      </w:r>
      <w:r>
        <w:rPr>
          <w:b/>
          <w:sz w:val="22"/>
        </w:rPr>
        <w:t xml:space="preserve"> of Senior Obligations </w:t>
      </w:r>
    </w:p>
    <w:p w:rsidR="00B77793" w:rsidRDefault="00B77793" w:rsidP="009F1747">
      <w:pPr>
        <w:pStyle w:val="CM9"/>
        <w:widowControl/>
        <w:spacing w:after="240" w:line="271" w:lineRule="atLeast"/>
        <w:jc w:val="both"/>
        <w:rPr>
          <w:rFonts w:ascii="Times New Roman" w:hAnsi="Times New Roman"/>
          <w:sz w:val="22"/>
        </w:rPr>
      </w:pPr>
      <w:r>
        <w:rPr>
          <w:rFonts w:ascii="Times New Roman" w:hAnsi="Times New Roman"/>
          <w:sz w:val="22"/>
        </w:rPr>
        <w:t xml:space="preserve">In addition to providing the preliminary rating opinion letter, </w:t>
      </w:r>
      <w:r w:rsidR="009A57B2">
        <w:rPr>
          <w:rFonts w:ascii="Times New Roman" w:hAnsi="Times New Roman"/>
          <w:sz w:val="22"/>
        </w:rPr>
        <w:t>p</w:t>
      </w:r>
      <w:r w:rsidR="009A57B2" w:rsidRPr="00531DD6">
        <w:rPr>
          <w:rFonts w:ascii="Times New Roman" w:hAnsi="Times New Roman"/>
          <w:sz w:val="22"/>
          <w:szCs w:val="22"/>
        </w:rPr>
        <w:t xml:space="preserve">rior to execution of a TIFIA credit instrument, the senior debt obligations for each project receiving TIFIA credit assistance must obtain investment grade ratings from at least two </w:t>
      </w:r>
      <w:r w:rsidR="00BF6F86" w:rsidRPr="0006423C">
        <w:rPr>
          <w:rFonts w:ascii="Times New Roman" w:hAnsi="Times New Roman"/>
          <w:sz w:val="22"/>
          <w:szCs w:val="22"/>
        </w:rPr>
        <w:t>NRSRO</w:t>
      </w:r>
      <w:r w:rsidR="00BF6F86">
        <w:rPr>
          <w:rFonts w:ascii="Times New Roman" w:hAnsi="Times New Roman"/>
          <w:sz w:val="22"/>
          <w:szCs w:val="22"/>
        </w:rPr>
        <w:t>s</w:t>
      </w:r>
      <w:r w:rsidR="009A57B2" w:rsidRPr="00531DD6">
        <w:rPr>
          <w:rFonts w:ascii="Times New Roman" w:hAnsi="Times New Roman"/>
          <w:sz w:val="22"/>
          <w:szCs w:val="22"/>
        </w:rPr>
        <w:t xml:space="preserve">, and the TIFIA </w:t>
      </w:r>
      <w:r w:rsidR="00942060">
        <w:rPr>
          <w:rFonts w:ascii="Times New Roman" w:hAnsi="Times New Roman"/>
          <w:sz w:val="22"/>
          <w:szCs w:val="22"/>
        </w:rPr>
        <w:t>credit instrument</w:t>
      </w:r>
      <w:r w:rsidR="009A57B2" w:rsidRPr="00531DD6">
        <w:rPr>
          <w:rFonts w:ascii="Times New Roman" w:hAnsi="Times New Roman"/>
          <w:sz w:val="22"/>
          <w:szCs w:val="22"/>
        </w:rPr>
        <w:t xml:space="preserve"> must obtain ratings from at least two </w:t>
      </w:r>
      <w:r w:rsidR="00BF6F86" w:rsidRPr="0006423C">
        <w:rPr>
          <w:rFonts w:ascii="Times New Roman" w:hAnsi="Times New Roman"/>
          <w:sz w:val="22"/>
          <w:szCs w:val="22"/>
        </w:rPr>
        <w:t>NRSRO</w:t>
      </w:r>
      <w:r w:rsidR="00BF6F86">
        <w:rPr>
          <w:rFonts w:ascii="Times New Roman" w:hAnsi="Times New Roman"/>
          <w:sz w:val="22"/>
          <w:szCs w:val="22"/>
        </w:rPr>
        <w:t>s</w:t>
      </w:r>
      <w:r w:rsidR="009A57B2" w:rsidRPr="00531DD6">
        <w:rPr>
          <w:rFonts w:ascii="Times New Roman" w:hAnsi="Times New Roman"/>
          <w:sz w:val="22"/>
          <w:szCs w:val="22"/>
        </w:rPr>
        <w:t xml:space="preserve">, unless the total amount of the debt is less than $75 million, in which case only one investment grade rating </w:t>
      </w:r>
      <w:r w:rsidR="00876F91">
        <w:rPr>
          <w:rFonts w:ascii="Times New Roman" w:hAnsi="Times New Roman"/>
          <w:sz w:val="22"/>
          <w:szCs w:val="22"/>
        </w:rPr>
        <w:t>on</w:t>
      </w:r>
      <w:r w:rsidR="009A57B2" w:rsidRPr="00531DD6">
        <w:rPr>
          <w:rFonts w:ascii="Times New Roman" w:hAnsi="Times New Roman"/>
          <w:sz w:val="22"/>
          <w:szCs w:val="22"/>
        </w:rPr>
        <w:t xml:space="preserve"> the senior deb</w:t>
      </w:r>
      <w:r w:rsidR="00876F91">
        <w:rPr>
          <w:rFonts w:ascii="Times New Roman" w:hAnsi="Times New Roman"/>
          <w:sz w:val="22"/>
          <w:szCs w:val="22"/>
        </w:rPr>
        <w:t>t obligations and one rating on</w:t>
      </w:r>
      <w:r w:rsidR="009A57B2" w:rsidRPr="00531DD6">
        <w:rPr>
          <w:rFonts w:ascii="Times New Roman" w:hAnsi="Times New Roman"/>
          <w:sz w:val="22"/>
          <w:szCs w:val="22"/>
        </w:rPr>
        <w:t xml:space="preserve"> the TIFIA </w:t>
      </w:r>
      <w:r w:rsidR="00942060">
        <w:rPr>
          <w:rFonts w:ascii="Times New Roman" w:hAnsi="Times New Roman"/>
          <w:sz w:val="22"/>
          <w:szCs w:val="22"/>
        </w:rPr>
        <w:t>credit instrument</w:t>
      </w:r>
      <w:r w:rsidR="00876F91">
        <w:rPr>
          <w:rFonts w:ascii="Times New Roman" w:hAnsi="Times New Roman"/>
          <w:sz w:val="22"/>
          <w:szCs w:val="22"/>
        </w:rPr>
        <w:t xml:space="preserve"> are required</w:t>
      </w:r>
      <w:r w:rsidR="009A57B2" w:rsidRPr="00531DD6">
        <w:rPr>
          <w:rFonts w:ascii="Times New Roman" w:hAnsi="Times New Roman"/>
          <w:sz w:val="22"/>
          <w:szCs w:val="22"/>
        </w:rPr>
        <w:t xml:space="preserve">.  </w:t>
      </w:r>
      <w:r w:rsidR="009A57B2">
        <w:rPr>
          <w:rFonts w:ascii="Times New Roman" w:hAnsi="Times New Roman"/>
          <w:sz w:val="22"/>
        </w:rPr>
        <w:t>The applicant must provide</w:t>
      </w:r>
      <w:r>
        <w:rPr>
          <w:rFonts w:ascii="Times New Roman" w:hAnsi="Times New Roman"/>
          <w:sz w:val="22"/>
        </w:rPr>
        <w:t xml:space="preserve"> confirmation of the assigned rating</w:t>
      </w:r>
      <w:r w:rsidR="002A60C2">
        <w:rPr>
          <w:rFonts w:ascii="Times New Roman" w:hAnsi="Times New Roman"/>
          <w:sz w:val="22"/>
        </w:rPr>
        <w:t>s</w:t>
      </w:r>
      <w:r>
        <w:rPr>
          <w:rFonts w:ascii="Times New Roman" w:hAnsi="Times New Roman"/>
          <w:sz w:val="22"/>
        </w:rPr>
        <w:t xml:space="preserve"> at least two weeks prior to execution of a TIFIA credit </w:t>
      </w:r>
      <w:r w:rsidR="009F7045">
        <w:rPr>
          <w:rFonts w:ascii="Times New Roman" w:hAnsi="Times New Roman"/>
          <w:sz w:val="22"/>
        </w:rPr>
        <w:t>instrument</w:t>
      </w:r>
      <w:r>
        <w:rPr>
          <w:rFonts w:ascii="Times New Roman" w:hAnsi="Times New Roman"/>
          <w:sz w:val="22"/>
        </w:rPr>
        <w:t xml:space="preserve">.  </w:t>
      </w:r>
    </w:p>
    <w:p w:rsidR="008F5495" w:rsidRPr="004925E8" w:rsidRDefault="00B77793">
      <w:pPr>
        <w:pStyle w:val="CM9"/>
        <w:widowControl/>
        <w:spacing w:after="240" w:line="271" w:lineRule="atLeast"/>
        <w:jc w:val="both"/>
      </w:pPr>
      <w:r>
        <w:rPr>
          <w:rFonts w:ascii="Times New Roman" w:hAnsi="Times New Roman"/>
          <w:sz w:val="22"/>
        </w:rPr>
        <w:t>The rating requirement offers security to the DOT only if the same repayment source is being pledged to both the senior debt obligations and the subordinate TIFIA credit instrument.  In such a structure, the investment grade rating</w:t>
      </w:r>
      <w:r w:rsidR="009A57B2">
        <w:rPr>
          <w:rFonts w:ascii="Times New Roman" w:hAnsi="Times New Roman"/>
          <w:sz w:val="22"/>
        </w:rPr>
        <w:t>s</w:t>
      </w:r>
      <w:r>
        <w:rPr>
          <w:rFonts w:ascii="Times New Roman" w:hAnsi="Times New Roman"/>
          <w:sz w:val="22"/>
        </w:rPr>
        <w:t xml:space="preserve"> for senior debt helps the DOT evaluate its credi</w:t>
      </w:r>
      <w:r w:rsidR="005F0267">
        <w:rPr>
          <w:rFonts w:ascii="Times New Roman" w:hAnsi="Times New Roman"/>
          <w:sz w:val="22"/>
        </w:rPr>
        <w:t>t risk as a subordinate lender</w:t>
      </w:r>
      <w:r>
        <w:rPr>
          <w:rFonts w:ascii="Times New Roman" w:hAnsi="Times New Roman"/>
          <w:sz w:val="22"/>
        </w:rPr>
        <w:t xml:space="preserve">. </w:t>
      </w:r>
      <w:r w:rsidR="00002EFD">
        <w:rPr>
          <w:rFonts w:ascii="Times New Roman" w:hAnsi="Times New Roman"/>
          <w:sz w:val="22"/>
        </w:rPr>
        <w:t xml:space="preserve"> </w:t>
      </w:r>
      <w:r>
        <w:rPr>
          <w:rFonts w:ascii="Times New Roman" w:hAnsi="Times New Roman"/>
          <w:sz w:val="22"/>
          <w:szCs w:val="22"/>
        </w:rPr>
        <w:t>To maintain the value implied by the senior debt rating, t</w:t>
      </w:r>
      <w:r w:rsidRPr="00752261">
        <w:rPr>
          <w:rFonts w:ascii="Times New Roman" w:hAnsi="Times New Roman"/>
          <w:sz w:val="22"/>
          <w:szCs w:val="22"/>
        </w:rPr>
        <w:t xml:space="preserve">he TIFIA debt cannot exceed the amount of the senior obligations unless the TIFIA </w:t>
      </w:r>
      <w:r w:rsidR="008550D5">
        <w:rPr>
          <w:rFonts w:ascii="Times New Roman" w:hAnsi="Times New Roman"/>
          <w:sz w:val="22"/>
        </w:rPr>
        <w:t xml:space="preserve">credit </w:t>
      </w:r>
      <w:r w:rsidR="008550D5">
        <w:rPr>
          <w:rFonts w:ascii="Times New Roman" w:hAnsi="Times New Roman"/>
          <w:sz w:val="22"/>
          <w:szCs w:val="22"/>
        </w:rPr>
        <w:t>instrument</w:t>
      </w:r>
      <w:r w:rsidRPr="00752261">
        <w:rPr>
          <w:rFonts w:ascii="Times New Roman" w:hAnsi="Times New Roman"/>
          <w:sz w:val="22"/>
          <w:szCs w:val="22"/>
        </w:rPr>
        <w:t xml:space="preserve"> receives </w:t>
      </w:r>
      <w:r w:rsidR="009F7045">
        <w:rPr>
          <w:rFonts w:ascii="Times New Roman" w:hAnsi="Times New Roman"/>
          <w:sz w:val="22"/>
          <w:szCs w:val="22"/>
        </w:rPr>
        <w:t>two</w:t>
      </w:r>
      <w:r w:rsidRPr="00752261">
        <w:rPr>
          <w:rFonts w:ascii="Times New Roman" w:hAnsi="Times New Roman"/>
          <w:sz w:val="22"/>
          <w:szCs w:val="22"/>
        </w:rPr>
        <w:t xml:space="preserve"> investment grade rating</w:t>
      </w:r>
      <w:r w:rsidR="009F7045">
        <w:rPr>
          <w:rFonts w:ascii="Times New Roman" w:hAnsi="Times New Roman"/>
          <w:sz w:val="22"/>
          <w:szCs w:val="22"/>
        </w:rPr>
        <w:t>s</w:t>
      </w:r>
      <w:r w:rsidR="00B21267">
        <w:rPr>
          <w:rFonts w:ascii="Times New Roman" w:hAnsi="Times New Roman"/>
          <w:sz w:val="22"/>
          <w:szCs w:val="22"/>
        </w:rPr>
        <w:t>.</w:t>
      </w:r>
      <w:r w:rsidR="00B21267">
        <w:rPr>
          <w:rStyle w:val="FootnoteReference"/>
          <w:rFonts w:ascii="Times New Roman" w:hAnsi="Times New Roman"/>
          <w:szCs w:val="22"/>
        </w:rPr>
        <w:footnoteReference w:id="130"/>
      </w:r>
    </w:p>
    <w:p w:rsidR="00B77793" w:rsidRDefault="00B77793" w:rsidP="00BC75C4">
      <w:pPr>
        <w:pStyle w:val="CM9"/>
        <w:keepNext/>
        <w:widowControl/>
        <w:spacing w:after="240" w:line="271" w:lineRule="atLeast"/>
        <w:jc w:val="both"/>
        <w:outlineLvl w:val="0"/>
        <w:rPr>
          <w:b/>
          <w:sz w:val="22"/>
        </w:rPr>
      </w:pPr>
      <w:r>
        <w:rPr>
          <w:b/>
          <w:sz w:val="22"/>
        </w:rPr>
        <w:t>Ongoing Rating Requirements</w:t>
      </w:r>
    </w:p>
    <w:p w:rsidR="00B77793" w:rsidRPr="00774BA0" w:rsidRDefault="00B77793" w:rsidP="00BC75C4">
      <w:pPr>
        <w:pStyle w:val="HTMLPreformatted"/>
        <w:keepNext/>
        <w:spacing w:after="240" w:line="271" w:lineRule="atLeast"/>
        <w:jc w:val="both"/>
        <w:rPr>
          <w:rFonts w:ascii="Times New Roman" w:hAnsi="Times New Roman"/>
          <w:sz w:val="22"/>
          <w:szCs w:val="22"/>
        </w:rPr>
      </w:pPr>
      <w:r w:rsidRPr="00774BA0">
        <w:rPr>
          <w:rFonts w:ascii="Times New Roman" w:hAnsi="Times New Roman"/>
          <w:sz w:val="22"/>
          <w:szCs w:val="22"/>
        </w:rPr>
        <w:t>Throughout the life of the Federal credit instrument, the borrower must obtain annually, at no cost to the Federal Government, current credit evaluations of the project, the project obligations, and the Federal credit instrument.</w:t>
      </w:r>
      <w:r w:rsidR="002A60C2">
        <w:rPr>
          <w:rStyle w:val="FootnoteReference"/>
          <w:rFonts w:ascii="Times New Roman" w:hAnsi="Times New Roman"/>
          <w:szCs w:val="22"/>
        </w:rPr>
        <w:footnoteReference w:id="131"/>
      </w:r>
      <w:r w:rsidRPr="00774BA0">
        <w:rPr>
          <w:rFonts w:ascii="Times New Roman" w:hAnsi="Times New Roman"/>
          <w:sz w:val="22"/>
          <w:szCs w:val="22"/>
        </w:rPr>
        <w:t xml:space="preserve">  The current credit evaluations must be performed by a </w:t>
      </w:r>
      <w:r w:rsidR="002A60C2">
        <w:rPr>
          <w:rFonts w:ascii="Times New Roman" w:hAnsi="Times New Roman"/>
          <w:sz w:val="22"/>
        </w:rPr>
        <w:t>Credit Rating Agency</w:t>
      </w:r>
      <w:r w:rsidRPr="00774BA0">
        <w:rPr>
          <w:rFonts w:ascii="Times New Roman" w:hAnsi="Times New Roman"/>
          <w:sz w:val="22"/>
          <w:szCs w:val="22"/>
        </w:rPr>
        <w:t>.</w:t>
      </w:r>
      <w:r w:rsidR="002A60C2">
        <w:rPr>
          <w:rStyle w:val="FootnoteReference"/>
          <w:rFonts w:ascii="Times New Roman" w:hAnsi="Times New Roman"/>
          <w:szCs w:val="22"/>
        </w:rPr>
        <w:footnoteReference w:id="132"/>
      </w:r>
      <w:r w:rsidRPr="00774BA0">
        <w:rPr>
          <w:rFonts w:ascii="Times New Roman" w:hAnsi="Times New Roman"/>
          <w:sz w:val="22"/>
          <w:szCs w:val="22"/>
        </w:rPr>
        <w:t xml:space="preserve">  By “current credit evaluation</w:t>
      </w:r>
      <w:r w:rsidR="000D4F00">
        <w:rPr>
          <w:rFonts w:ascii="Times New Roman" w:hAnsi="Times New Roman"/>
          <w:sz w:val="22"/>
          <w:szCs w:val="22"/>
        </w:rPr>
        <w:t>,</w:t>
      </w:r>
      <w:r w:rsidRPr="00774BA0">
        <w:rPr>
          <w:rFonts w:ascii="Times New Roman" w:hAnsi="Times New Roman"/>
          <w:sz w:val="22"/>
          <w:szCs w:val="22"/>
        </w:rPr>
        <w:t xml:space="preserve">” </w:t>
      </w:r>
      <w:r w:rsidR="000D4F00">
        <w:rPr>
          <w:rFonts w:ascii="Times New Roman" w:hAnsi="Times New Roman"/>
          <w:sz w:val="22"/>
          <w:szCs w:val="22"/>
        </w:rPr>
        <w:t xml:space="preserve">the </w:t>
      </w:r>
      <w:r w:rsidRPr="00774BA0">
        <w:rPr>
          <w:rFonts w:ascii="Times New Roman" w:hAnsi="Times New Roman"/>
          <w:sz w:val="22"/>
          <w:szCs w:val="22"/>
        </w:rPr>
        <w:t xml:space="preserve">DOT means: </w:t>
      </w:r>
      <w:r w:rsidRPr="005F0267">
        <w:rPr>
          <w:rFonts w:ascii="Times New Roman" w:hAnsi="Times New Roman"/>
          <w:sz w:val="22"/>
          <w:szCs w:val="22"/>
        </w:rPr>
        <w:t>(</w:t>
      </w:r>
      <w:proofErr w:type="spellStart"/>
      <w:r w:rsidRPr="005F0267">
        <w:rPr>
          <w:rFonts w:ascii="Times New Roman" w:hAnsi="Times New Roman"/>
          <w:sz w:val="22"/>
          <w:szCs w:val="22"/>
        </w:rPr>
        <w:t>i</w:t>
      </w:r>
      <w:proofErr w:type="spellEnd"/>
      <w:r w:rsidRPr="005F0267">
        <w:rPr>
          <w:rFonts w:ascii="Times New Roman" w:hAnsi="Times New Roman"/>
          <w:sz w:val="22"/>
          <w:szCs w:val="22"/>
        </w:rPr>
        <w:t>)</w:t>
      </w:r>
      <w:r w:rsidRPr="00774BA0">
        <w:rPr>
          <w:rFonts w:ascii="Times New Roman" w:hAnsi="Times New Roman"/>
          <w:sz w:val="22"/>
          <w:szCs w:val="22"/>
        </w:rPr>
        <w:t xml:space="preserve"> in the case of a project with a published rating, either a current rating or the borrower’s certification stating that the rating and outlook are unchanged from the previous year</w:t>
      </w:r>
      <w:r w:rsidR="005F0267">
        <w:rPr>
          <w:rFonts w:ascii="Times New Roman" w:hAnsi="Times New Roman"/>
          <w:sz w:val="22"/>
          <w:szCs w:val="22"/>
        </w:rPr>
        <w:t>,</w:t>
      </w:r>
      <w:r w:rsidRPr="00774BA0">
        <w:rPr>
          <w:rFonts w:ascii="Times New Roman" w:hAnsi="Times New Roman"/>
          <w:sz w:val="22"/>
          <w:szCs w:val="22"/>
        </w:rPr>
        <w:t xml:space="preserve"> and </w:t>
      </w:r>
      <w:r w:rsidRPr="005F0267">
        <w:rPr>
          <w:rFonts w:ascii="Times New Roman" w:hAnsi="Times New Roman"/>
          <w:sz w:val="22"/>
          <w:szCs w:val="22"/>
        </w:rPr>
        <w:t>(ii)</w:t>
      </w:r>
      <w:r w:rsidRPr="00774BA0">
        <w:rPr>
          <w:rFonts w:ascii="Times New Roman" w:hAnsi="Times New Roman"/>
          <w:sz w:val="22"/>
          <w:szCs w:val="22"/>
        </w:rPr>
        <w:t xml:space="preserve"> in the case of a project without a published rating, a current rating of the project obligations and the Federal credit instrument.</w:t>
      </w:r>
      <w:r w:rsidR="005F0267">
        <w:rPr>
          <w:rFonts w:ascii="Times New Roman" w:hAnsi="Times New Roman"/>
          <w:sz w:val="22"/>
          <w:szCs w:val="22"/>
        </w:rPr>
        <w:t xml:space="preserve">  </w:t>
      </w:r>
    </w:p>
    <w:p w:rsidR="00B77793" w:rsidRDefault="00B77793" w:rsidP="004D29BE">
      <w:pPr>
        <w:pStyle w:val="CM9"/>
        <w:keepNext/>
        <w:widowControl/>
        <w:spacing w:after="240" w:line="271" w:lineRule="atLeast"/>
        <w:jc w:val="both"/>
        <w:outlineLvl w:val="0"/>
        <w:rPr>
          <w:sz w:val="22"/>
        </w:rPr>
      </w:pPr>
      <w:r>
        <w:rPr>
          <w:b/>
          <w:sz w:val="22"/>
        </w:rPr>
        <w:t xml:space="preserve">Use of Underlying Ratings </w:t>
      </w:r>
    </w:p>
    <w:p w:rsidR="00B77793" w:rsidRDefault="00B77793" w:rsidP="004D29BE">
      <w:pPr>
        <w:pStyle w:val="CM9"/>
        <w:widowControl/>
        <w:spacing w:after="240" w:line="271" w:lineRule="atLeast"/>
        <w:jc w:val="both"/>
        <w:rPr>
          <w:rFonts w:ascii="Times New Roman" w:hAnsi="Times New Roman"/>
          <w:sz w:val="22"/>
        </w:rPr>
      </w:pPr>
      <w:r>
        <w:rPr>
          <w:rFonts w:ascii="Times New Roman" w:hAnsi="Times New Roman"/>
          <w:sz w:val="22"/>
        </w:rPr>
        <w:t>Neither the preliminary rating opinion letter nor the credit rating</w:t>
      </w:r>
      <w:r w:rsidR="003025B5">
        <w:rPr>
          <w:rFonts w:ascii="Times New Roman" w:hAnsi="Times New Roman"/>
          <w:sz w:val="22"/>
        </w:rPr>
        <w:t>s</w:t>
      </w:r>
      <w:r>
        <w:rPr>
          <w:rFonts w:ascii="Times New Roman" w:hAnsi="Times New Roman"/>
          <w:sz w:val="22"/>
        </w:rPr>
        <w:t xml:space="preserve"> should reflect the use of bond insurance or other credit enhancement that does not also secure the TIFIA instrument.</w:t>
      </w:r>
      <w:r w:rsidR="002A60C2">
        <w:rPr>
          <w:rStyle w:val="FootnoteReference"/>
          <w:rFonts w:ascii="Times New Roman" w:hAnsi="Times New Roman"/>
        </w:rPr>
        <w:footnoteReference w:id="133"/>
      </w:r>
      <w:r>
        <w:rPr>
          <w:rFonts w:ascii="Times New Roman" w:hAnsi="Times New Roman"/>
          <w:sz w:val="22"/>
        </w:rPr>
        <w:t xml:space="preserve">  The assessment of the senior obligations’ investment grade potential and the</w:t>
      </w:r>
      <w:r w:rsidR="00E4118D">
        <w:rPr>
          <w:rFonts w:ascii="Times New Roman" w:hAnsi="Times New Roman"/>
          <w:sz w:val="22"/>
        </w:rPr>
        <w:t xml:space="preserve"> default risk for the</w:t>
      </w:r>
      <w:r>
        <w:rPr>
          <w:rFonts w:ascii="Times New Roman" w:hAnsi="Times New Roman"/>
          <w:sz w:val="22"/>
        </w:rPr>
        <w:t xml:space="preserve"> TIFIA </w:t>
      </w:r>
      <w:r w:rsidR="002A60C2">
        <w:rPr>
          <w:rFonts w:ascii="Times New Roman" w:hAnsi="Times New Roman"/>
          <w:sz w:val="22"/>
        </w:rPr>
        <w:t xml:space="preserve">credit </w:t>
      </w:r>
      <w:r>
        <w:rPr>
          <w:rFonts w:ascii="Times New Roman" w:hAnsi="Times New Roman"/>
          <w:sz w:val="22"/>
        </w:rPr>
        <w:t>instrument</w:t>
      </w:r>
      <w:r w:rsidR="00E4118D">
        <w:rPr>
          <w:rFonts w:ascii="Times New Roman" w:hAnsi="Times New Roman"/>
          <w:sz w:val="22"/>
        </w:rPr>
        <w:t xml:space="preserve"> and the senior obligations</w:t>
      </w:r>
      <w:r>
        <w:rPr>
          <w:rFonts w:ascii="Times New Roman" w:hAnsi="Times New Roman"/>
          <w:sz w:val="22"/>
        </w:rPr>
        <w:t xml:space="preserve"> should be based on the underlying ratings of</w:t>
      </w:r>
      <w:r w:rsidR="005A4B80">
        <w:rPr>
          <w:rFonts w:ascii="Times New Roman" w:hAnsi="Times New Roman"/>
          <w:sz w:val="22"/>
        </w:rPr>
        <w:t xml:space="preserve"> the</w:t>
      </w:r>
      <w:r>
        <w:rPr>
          <w:rFonts w:ascii="Times New Roman" w:hAnsi="Times New Roman"/>
          <w:sz w:val="22"/>
        </w:rPr>
        <w:t xml:space="preserve"> </w:t>
      </w:r>
      <w:r w:rsidR="00E4118D">
        <w:rPr>
          <w:rFonts w:ascii="Times New Roman" w:hAnsi="Times New Roman"/>
          <w:sz w:val="22"/>
        </w:rPr>
        <w:t xml:space="preserve">unenhanced </w:t>
      </w:r>
      <w:r>
        <w:rPr>
          <w:rFonts w:ascii="Times New Roman" w:hAnsi="Times New Roman"/>
          <w:sz w:val="22"/>
        </w:rPr>
        <w:t xml:space="preserve">debt obligations and the project’s fundamentals.  </w:t>
      </w:r>
      <w:r w:rsidR="005459DE">
        <w:rPr>
          <w:rFonts w:ascii="Times New Roman" w:hAnsi="Times New Roman"/>
          <w:sz w:val="22"/>
        </w:rPr>
        <w:t xml:space="preserve">The DOT will not consider projects where the TIFIA loan is subordinate to debt that is supported by credit enhancement or other credit support not shared by TIFIA.  </w:t>
      </w:r>
    </w:p>
    <w:p w:rsidR="00B77793" w:rsidRDefault="00B77793" w:rsidP="004D29BE">
      <w:pPr>
        <w:pStyle w:val="CM9"/>
        <w:keepNext/>
        <w:widowControl/>
        <w:tabs>
          <w:tab w:val="left" w:pos="5580"/>
        </w:tabs>
        <w:spacing w:after="240" w:line="271" w:lineRule="atLeast"/>
        <w:jc w:val="both"/>
        <w:outlineLvl w:val="0"/>
        <w:rPr>
          <w:sz w:val="22"/>
        </w:rPr>
      </w:pPr>
      <w:r>
        <w:rPr>
          <w:b/>
          <w:sz w:val="22"/>
        </w:rPr>
        <w:t xml:space="preserve">Applicant Questions about Rating Requirements </w:t>
      </w:r>
    </w:p>
    <w:p w:rsidR="00B77793" w:rsidRDefault="00B77793" w:rsidP="004D29BE">
      <w:pPr>
        <w:widowControl/>
        <w:spacing w:line="271" w:lineRule="atLeast"/>
        <w:jc w:val="both"/>
        <w:rPr>
          <w:rFonts w:ascii="Times New Roman" w:hAnsi="Times New Roman"/>
          <w:sz w:val="22"/>
        </w:rPr>
      </w:pPr>
      <w:r>
        <w:rPr>
          <w:rFonts w:ascii="Times New Roman" w:hAnsi="Times New Roman"/>
          <w:sz w:val="22"/>
        </w:rPr>
        <w:t xml:space="preserve">Applicants should contact the TIFIA JPO with any questions about the rating process and the requirements for a preliminary rating opinion letter, </w:t>
      </w:r>
      <w:r w:rsidR="002A60C2">
        <w:rPr>
          <w:rFonts w:ascii="Times New Roman" w:hAnsi="Times New Roman"/>
          <w:sz w:val="22"/>
        </w:rPr>
        <w:t xml:space="preserve">two </w:t>
      </w:r>
      <w:r>
        <w:rPr>
          <w:rFonts w:ascii="Times New Roman" w:hAnsi="Times New Roman"/>
          <w:sz w:val="22"/>
        </w:rPr>
        <w:t>investment grade credit rating</w:t>
      </w:r>
      <w:r w:rsidR="002A60C2">
        <w:rPr>
          <w:rFonts w:ascii="Times New Roman" w:hAnsi="Times New Roman"/>
          <w:sz w:val="22"/>
        </w:rPr>
        <w:t>s</w:t>
      </w:r>
      <w:r>
        <w:rPr>
          <w:rFonts w:ascii="Times New Roman" w:hAnsi="Times New Roman"/>
          <w:sz w:val="22"/>
        </w:rPr>
        <w:t xml:space="preserve"> on </w:t>
      </w:r>
      <w:r>
        <w:rPr>
          <w:rFonts w:ascii="Times New Roman" w:hAnsi="Times New Roman"/>
          <w:sz w:val="22"/>
        </w:rPr>
        <w:lastRenderedPageBreak/>
        <w:t xml:space="preserve">the senior obligations’ and </w:t>
      </w:r>
      <w:r w:rsidR="002A60C2">
        <w:rPr>
          <w:rFonts w:ascii="Times New Roman" w:hAnsi="Times New Roman"/>
          <w:sz w:val="22"/>
        </w:rPr>
        <w:t>two</w:t>
      </w:r>
      <w:r>
        <w:rPr>
          <w:rFonts w:ascii="Times New Roman" w:hAnsi="Times New Roman"/>
          <w:sz w:val="22"/>
        </w:rPr>
        <w:t xml:space="preserve"> rating</w:t>
      </w:r>
      <w:r w:rsidR="002A60C2">
        <w:rPr>
          <w:rFonts w:ascii="Times New Roman" w:hAnsi="Times New Roman"/>
          <w:sz w:val="22"/>
        </w:rPr>
        <w:t>s</w:t>
      </w:r>
      <w:r>
        <w:rPr>
          <w:rFonts w:ascii="Times New Roman" w:hAnsi="Times New Roman"/>
          <w:sz w:val="22"/>
        </w:rPr>
        <w:t xml:space="preserve"> on the TIFIA credit instrument.  The </w:t>
      </w:r>
      <w:r w:rsidR="00876F91">
        <w:rPr>
          <w:rFonts w:ascii="Times New Roman" w:hAnsi="Times New Roman"/>
          <w:sz w:val="22"/>
          <w:szCs w:val="22"/>
        </w:rPr>
        <w:t>Credit Rating Agencie</w:t>
      </w:r>
      <w:r w:rsidR="009B75B3">
        <w:rPr>
          <w:rFonts w:ascii="Times New Roman" w:hAnsi="Times New Roman"/>
          <w:sz w:val="22"/>
          <w:szCs w:val="22"/>
        </w:rPr>
        <w:t xml:space="preserve">s </w:t>
      </w:r>
      <w:r>
        <w:rPr>
          <w:rFonts w:ascii="Times New Roman" w:hAnsi="Times New Roman"/>
          <w:sz w:val="22"/>
        </w:rPr>
        <w:t xml:space="preserve">will be able to answer questions concerning fees, timing of assessments, information requirements, and surveillance practices associated with obtaining preliminary opinion letters, credit ratings, periodic rating updates, and credit surveillance reports. </w:t>
      </w:r>
    </w:p>
    <w:p w:rsidR="00B77793" w:rsidRDefault="00B77793">
      <w:pPr>
        <w:pStyle w:val="TIFIAHeading1a"/>
        <w:widowControl/>
        <w:spacing w:before="0"/>
        <w:jc w:val="both"/>
        <w:outlineLvl w:val="0"/>
      </w:pPr>
      <w:r>
        <w:t>Section 3-6</w:t>
      </w:r>
    </w:p>
    <w:p w:rsidR="00B77793" w:rsidRDefault="00B77793">
      <w:pPr>
        <w:pStyle w:val="TIFIAHeading1b"/>
        <w:widowControl/>
        <w:spacing w:after="240"/>
        <w:jc w:val="both"/>
        <w:outlineLvl w:val="0"/>
      </w:pPr>
      <w:r>
        <w:t>Timing of Environmental, Planning, and Credit Documents</w:t>
      </w:r>
    </w:p>
    <w:p w:rsidR="00DD4EF4" w:rsidRDefault="00B77793" w:rsidP="00703D6D">
      <w:pPr>
        <w:pStyle w:val="CM9"/>
        <w:widowControl/>
        <w:spacing w:after="240" w:line="271" w:lineRule="atLeast"/>
        <w:jc w:val="both"/>
        <w:rPr>
          <w:rFonts w:ascii="Times New Roman" w:hAnsi="Times New Roman"/>
          <w:sz w:val="22"/>
        </w:rPr>
      </w:pPr>
      <w:r>
        <w:rPr>
          <w:rFonts w:ascii="Times New Roman" w:hAnsi="Times New Roman"/>
          <w:sz w:val="22"/>
        </w:rPr>
        <w:t xml:space="preserve">Requirements for environmental, planning, and credit documents correspond with the application and selection processes, which are described in Chapters 4 and 5, respectively.  Exhibit 3-A provides an overview of how these requirements relate to the various stages of the application and selection processes. </w:t>
      </w:r>
      <w:r w:rsidR="003025B5">
        <w:rPr>
          <w:rFonts w:ascii="Times New Roman" w:hAnsi="Times New Roman"/>
          <w:sz w:val="22"/>
        </w:rPr>
        <w:t xml:space="preserve"> </w:t>
      </w:r>
    </w:p>
    <w:p w:rsidR="00DD4EF4" w:rsidRDefault="00DD4EF4">
      <w:pPr>
        <w:widowControl/>
        <w:overflowPunct/>
        <w:autoSpaceDE/>
        <w:autoSpaceDN/>
        <w:adjustRightInd/>
        <w:spacing w:after="0" w:line="240" w:lineRule="auto"/>
        <w:textAlignment w:val="auto"/>
        <w:rPr>
          <w:rFonts w:ascii="Times New Roman" w:hAnsi="Times New Roman"/>
          <w:sz w:val="22"/>
        </w:rPr>
      </w:pPr>
      <w:r>
        <w:rPr>
          <w:rFonts w:ascii="Times New Roman" w:hAnsi="Times New Roman"/>
          <w:sz w:val="22"/>
        </w:rPr>
        <w:br w:type="page"/>
      </w:r>
    </w:p>
    <w:p w:rsidR="00B77793" w:rsidRPr="001C4FEF" w:rsidRDefault="00B77793">
      <w:pPr>
        <w:pStyle w:val="TIFIATableTitle"/>
        <w:widowControl/>
        <w:spacing w:before="0" w:after="240"/>
        <w:rPr>
          <w:rFonts w:ascii="Times New Roman" w:hAnsi="Times New Roman"/>
          <w:sz w:val="22"/>
          <w:szCs w:val="22"/>
        </w:rPr>
      </w:pPr>
      <w:r w:rsidRPr="001C4FEF">
        <w:rPr>
          <w:rFonts w:ascii="Times New Roman" w:hAnsi="Times New Roman"/>
          <w:sz w:val="22"/>
          <w:szCs w:val="22"/>
        </w:rPr>
        <w:lastRenderedPageBreak/>
        <w:t>Exhibit 3-A: Major Documentation Required During the Application and Selection Processes</w:t>
      </w:r>
    </w:p>
    <w:p w:rsidR="00B77793" w:rsidRPr="00DD4EF4" w:rsidRDefault="00DD4EF4" w:rsidP="00AB5718">
      <w:pPr>
        <w:pStyle w:val="Default"/>
        <w:widowControl/>
        <w:jc w:val="center"/>
        <w:rPr>
          <w:rFonts w:ascii="Times New Roman" w:hAnsi="Times New Roman"/>
          <w:noProof/>
          <w:color w:val="auto"/>
          <w:sz w:val="22"/>
          <w:szCs w:val="22"/>
        </w:rPr>
      </w:pPr>
      <w:r>
        <w:rPr>
          <w:noProof/>
        </w:rPr>
        <w:drawing>
          <wp:inline distT="0" distB="0" distL="0" distR="0" wp14:anchorId="38745805" wp14:editId="62618870">
            <wp:extent cx="5257800" cy="31252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57800" cy="3125266"/>
                    </a:xfrm>
                    <a:prstGeom prst="rect">
                      <a:avLst/>
                    </a:prstGeom>
                    <a:noFill/>
                  </pic:spPr>
                </pic:pic>
              </a:graphicData>
            </a:graphic>
          </wp:inline>
        </w:drawing>
      </w:r>
    </w:p>
    <w:p w:rsidR="00B77793" w:rsidRDefault="00B77793">
      <w:pPr>
        <w:pStyle w:val="Default"/>
        <w:widowControl/>
        <w:jc w:val="both"/>
        <w:rPr>
          <w:color w:val="auto"/>
        </w:rPr>
      </w:pPr>
    </w:p>
    <w:p w:rsidR="00B77793" w:rsidRDefault="00B77793">
      <w:pPr>
        <w:pStyle w:val="Default"/>
        <w:widowControl/>
        <w:jc w:val="both"/>
        <w:rPr>
          <w:color w:val="auto"/>
        </w:rPr>
        <w:sectPr w:rsidR="00B77793" w:rsidSect="0093122E">
          <w:headerReference w:type="even" r:id="rId41"/>
          <w:headerReference w:type="default" r:id="rId42"/>
          <w:footerReference w:type="even" r:id="rId43"/>
          <w:footerReference w:type="default" r:id="rId44"/>
          <w:footerReference w:type="first" r:id="rId45"/>
          <w:endnotePr>
            <w:numFmt w:val="decimal"/>
          </w:endnotePr>
          <w:type w:val="continuous"/>
          <w:pgSz w:w="12240" w:h="15840"/>
          <w:pgMar w:top="1440" w:right="1440" w:bottom="1440" w:left="2520" w:header="720" w:footer="720" w:gutter="0"/>
          <w:pgNumType w:start="1"/>
          <w:cols w:space="720"/>
          <w:noEndnote/>
          <w:titlePg/>
        </w:sectPr>
      </w:pPr>
    </w:p>
    <w:p w:rsidR="00B77793" w:rsidRDefault="00B77793">
      <w:pPr>
        <w:pStyle w:val="TIFIAChapterTitle"/>
        <w:widowControl/>
        <w:spacing w:after="240"/>
        <w:ind w:left="2160" w:hanging="2160"/>
        <w:outlineLvl w:val="0"/>
      </w:pPr>
      <w:r>
        <w:lastRenderedPageBreak/>
        <w:t>Chapter 4: Application Process</w:t>
      </w:r>
    </w:p>
    <w:p w:rsidR="00B77793" w:rsidRDefault="00B77793" w:rsidP="00F07A4C">
      <w:pPr>
        <w:pStyle w:val="TIFIABodyText"/>
        <w:widowControl/>
        <w:spacing w:line="271" w:lineRule="atLeast"/>
        <w:rPr>
          <w:color w:val="000000"/>
        </w:rPr>
      </w:pPr>
      <w:r>
        <w:t xml:space="preserve">This chapter describes the process to apply for TIFIA credit assistance.  </w:t>
      </w:r>
      <w:r>
        <w:rPr>
          <w:color w:val="000000"/>
        </w:rPr>
        <w:t xml:space="preserve">The </w:t>
      </w:r>
      <w:r>
        <w:t xml:space="preserve">DOT welcomes informal consultations with prospective applicants at any time.  TIFIA staff contact information is on the inside front cover of this </w:t>
      </w:r>
      <w:r w:rsidR="00DD6B14">
        <w:t>P</w:t>
      </w:r>
      <w:r>
        <w:t xml:space="preserve">rogram </w:t>
      </w:r>
      <w:r w:rsidR="00DD6B14">
        <w:t>G</w:t>
      </w:r>
      <w:r>
        <w:t xml:space="preserve">uide.  </w:t>
      </w:r>
    </w:p>
    <w:p w:rsidR="00B77793" w:rsidRDefault="00B77793" w:rsidP="009527C5">
      <w:pPr>
        <w:pStyle w:val="TIFIAHeading1a"/>
        <w:widowControl/>
      </w:pPr>
      <w:r>
        <w:t>Section 4-1</w:t>
      </w:r>
    </w:p>
    <w:p w:rsidR="00B77793" w:rsidRDefault="00B77793" w:rsidP="009527C5">
      <w:pPr>
        <w:pStyle w:val="TIFIAHeading1b"/>
        <w:widowControl/>
      </w:pPr>
      <w:r>
        <w:t xml:space="preserve">Solicitation for </w:t>
      </w:r>
      <w:r w:rsidR="009975D6">
        <w:t>Letters of Interest</w:t>
      </w:r>
    </w:p>
    <w:p w:rsidR="009F1747" w:rsidRPr="009975D6" w:rsidRDefault="00975B87" w:rsidP="00975B87">
      <w:pPr>
        <w:jc w:val="both"/>
        <w:rPr>
          <w:rFonts w:ascii="Times New Roman" w:hAnsi="Times New Roman"/>
          <w:sz w:val="22"/>
          <w:szCs w:val="22"/>
        </w:rPr>
      </w:pPr>
      <w:r w:rsidRPr="00975B87">
        <w:rPr>
          <w:rFonts w:ascii="Times New Roman" w:hAnsi="Times New Roman"/>
          <w:sz w:val="22"/>
          <w:szCs w:val="22"/>
        </w:rPr>
        <w:t xml:space="preserve">All </w:t>
      </w:r>
      <w:r w:rsidRPr="009975D6">
        <w:rPr>
          <w:rFonts w:ascii="Times New Roman" w:hAnsi="Times New Roman"/>
          <w:sz w:val="22"/>
          <w:szCs w:val="22"/>
        </w:rPr>
        <w:t xml:space="preserve">projects wishing to apply for TIFIA credit assistance must first submit a Letter of Interest </w:t>
      </w:r>
      <w:r w:rsidR="005A4B80">
        <w:rPr>
          <w:rFonts w:ascii="Times New Roman" w:hAnsi="Times New Roman"/>
          <w:sz w:val="22"/>
          <w:szCs w:val="22"/>
        </w:rPr>
        <w:t>in order to be eligible to receive</w:t>
      </w:r>
      <w:r w:rsidRPr="009975D6">
        <w:rPr>
          <w:rFonts w:ascii="Times New Roman" w:hAnsi="Times New Roman"/>
          <w:sz w:val="22"/>
          <w:szCs w:val="22"/>
        </w:rPr>
        <w:t xml:space="preserve"> an invitation</w:t>
      </w:r>
      <w:r w:rsidR="005A4B80">
        <w:rPr>
          <w:rFonts w:ascii="Times New Roman" w:hAnsi="Times New Roman"/>
          <w:sz w:val="22"/>
          <w:szCs w:val="22"/>
        </w:rPr>
        <w:t xml:space="preserve"> from the DOT</w:t>
      </w:r>
      <w:r w:rsidRPr="009975D6">
        <w:rPr>
          <w:rFonts w:ascii="Times New Roman" w:hAnsi="Times New Roman"/>
          <w:sz w:val="22"/>
          <w:szCs w:val="22"/>
        </w:rPr>
        <w:t xml:space="preserve"> to submit a formal application.</w:t>
      </w:r>
      <w:r w:rsidR="006413B9" w:rsidRPr="009975D6">
        <w:rPr>
          <w:rStyle w:val="FootnoteReference"/>
          <w:rFonts w:ascii="Times New Roman" w:hAnsi="Times New Roman"/>
          <w:sz w:val="22"/>
          <w:szCs w:val="22"/>
        </w:rPr>
        <w:footnoteReference w:id="134"/>
      </w:r>
      <w:r w:rsidR="009F1747" w:rsidRPr="009975D6">
        <w:rPr>
          <w:rFonts w:ascii="Times New Roman" w:hAnsi="Times New Roman"/>
          <w:sz w:val="22"/>
          <w:szCs w:val="22"/>
        </w:rPr>
        <w:t xml:space="preserve">  </w:t>
      </w:r>
      <w:r w:rsidR="00E73667">
        <w:rPr>
          <w:rFonts w:ascii="Times New Roman" w:hAnsi="Times New Roman"/>
          <w:sz w:val="22"/>
          <w:szCs w:val="22"/>
        </w:rPr>
        <w:t>T</w:t>
      </w:r>
      <w:r w:rsidR="009F1747" w:rsidRPr="009975D6">
        <w:rPr>
          <w:rFonts w:ascii="Times New Roman" w:hAnsi="Times New Roman"/>
          <w:sz w:val="22"/>
          <w:szCs w:val="22"/>
        </w:rPr>
        <w:t>he submission of Letters of Interest</w:t>
      </w:r>
      <w:r w:rsidR="00407AEA" w:rsidRPr="009975D6">
        <w:rPr>
          <w:rFonts w:ascii="Times New Roman" w:hAnsi="Times New Roman"/>
          <w:sz w:val="22"/>
          <w:szCs w:val="22"/>
        </w:rPr>
        <w:t xml:space="preserve"> </w:t>
      </w:r>
      <w:r w:rsidR="009F1747" w:rsidRPr="009975D6">
        <w:rPr>
          <w:rFonts w:ascii="Times New Roman" w:hAnsi="Times New Roman"/>
          <w:sz w:val="22"/>
          <w:szCs w:val="22"/>
        </w:rPr>
        <w:t>will be conducted on a rolling basis by the DOT.</w:t>
      </w:r>
      <w:r w:rsidR="006413B9" w:rsidRPr="009975D6">
        <w:rPr>
          <w:rStyle w:val="FootnoteReference"/>
          <w:rFonts w:ascii="Times New Roman" w:hAnsi="Times New Roman"/>
          <w:sz w:val="22"/>
          <w:szCs w:val="22"/>
        </w:rPr>
        <w:footnoteReference w:id="135"/>
      </w:r>
      <w:r w:rsidRPr="009975D6">
        <w:rPr>
          <w:rFonts w:ascii="Times New Roman" w:hAnsi="Times New Roman"/>
          <w:sz w:val="22"/>
          <w:szCs w:val="22"/>
        </w:rPr>
        <w:t xml:space="preserve">  </w:t>
      </w:r>
      <w:r w:rsidR="009975D6" w:rsidRPr="009975D6">
        <w:rPr>
          <w:rFonts w:ascii="Times New Roman" w:hAnsi="Times New Roman"/>
          <w:sz w:val="22"/>
          <w:szCs w:val="22"/>
        </w:rPr>
        <w:t>All TIFIA credit assistance will be awarded based on a project’s merits and its satisfaction of the eligibility requirements discussed above.  When</w:t>
      </w:r>
      <w:r w:rsidR="002C27DA">
        <w:rPr>
          <w:rFonts w:ascii="Times New Roman" w:hAnsi="Times New Roman"/>
          <w:sz w:val="22"/>
          <w:szCs w:val="22"/>
        </w:rPr>
        <w:t xml:space="preserve"> new</w:t>
      </w:r>
      <w:r w:rsidR="009975D6" w:rsidRPr="009975D6">
        <w:rPr>
          <w:rFonts w:ascii="Times New Roman" w:hAnsi="Times New Roman"/>
          <w:sz w:val="22"/>
          <w:szCs w:val="22"/>
        </w:rPr>
        <w:t xml:space="preserve"> funding is available, the DOT will issue a NOFA in the Federal Register.  In addition to publication in the Federal Register, the NOFA (and other program information) will be posted on the TIFIA web site, located at:  </w:t>
      </w:r>
      <w:hyperlink r:id="rId46" w:history="1">
        <w:r w:rsidR="009975D6" w:rsidRPr="009975D6">
          <w:rPr>
            <w:rStyle w:val="Hyperlink"/>
            <w:rFonts w:ascii="Times New Roman" w:hAnsi="Times New Roman"/>
            <w:sz w:val="22"/>
            <w:szCs w:val="22"/>
          </w:rPr>
          <w:t>http://www.fhwa.dot.gov/ipd/tifia</w:t>
        </w:r>
      </w:hyperlink>
      <w:r w:rsidR="009975D6" w:rsidRPr="009975D6">
        <w:rPr>
          <w:rFonts w:ascii="Times New Roman" w:hAnsi="Times New Roman"/>
          <w:sz w:val="22"/>
          <w:szCs w:val="22"/>
        </w:rPr>
        <w:t>.</w:t>
      </w:r>
    </w:p>
    <w:p w:rsidR="00B77793" w:rsidRDefault="00B77793">
      <w:pPr>
        <w:pStyle w:val="TIFIAHeading1a"/>
        <w:widowControl/>
        <w:outlineLvl w:val="0"/>
      </w:pPr>
      <w:r>
        <w:t>Section 4-2</w:t>
      </w:r>
    </w:p>
    <w:p w:rsidR="00B77793" w:rsidRDefault="00B77793" w:rsidP="004D29BE">
      <w:pPr>
        <w:pStyle w:val="TIFIAHeading1b"/>
        <w:widowControl/>
        <w:spacing w:after="240"/>
        <w:outlineLvl w:val="0"/>
      </w:pPr>
      <w:r>
        <w:t>Initial Submission: Letter of Interest</w:t>
      </w:r>
    </w:p>
    <w:p w:rsidR="00B77793" w:rsidRPr="009975D6" w:rsidRDefault="001545ED" w:rsidP="009975D6">
      <w:pPr>
        <w:jc w:val="both"/>
        <w:rPr>
          <w:rFonts w:ascii="Times New Roman" w:hAnsi="Times New Roman"/>
          <w:sz w:val="22"/>
          <w:szCs w:val="22"/>
        </w:rPr>
      </w:pPr>
      <w:r w:rsidRPr="009975D6">
        <w:rPr>
          <w:rFonts w:ascii="Times New Roman" w:hAnsi="Times New Roman"/>
          <w:sz w:val="22"/>
          <w:szCs w:val="22"/>
        </w:rPr>
        <w:t xml:space="preserve">MAP-21 establishes a process for </w:t>
      </w:r>
      <w:r w:rsidR="00B46800" w:rsidRPr="009975D6">
        <w:rPr>
          <w:rFonts w:ascii="Times New Roman" w:hAnsi="Times New Roman"/>
          <w:sz w:val="22"/>
          <w:szCs w:val="22"/>
        </w:rPr>
        <w:t xml:space="preserve">applying for </w:t>
      </w:r>
      <w:r w:rsidRPr="009975D6">
        <w:rPr>
          <w:rFonts w:ascii="Times New Roman" w:hAnsi="Times New Roman"/>
          <w:sz w:val="22"/>
          <w:szCs w:val="22"/>
        </w:rPr>
        <w:t>TIFIA credit assistance that begins with the submission of a Letter of Interest and determination of eligibility</w:t>
      </w:r>
      <w:r w:rsidR="00B77793" w:rsidRPr="009975D6">
        <w:rPr>
          <w:rFonts w:ascii="Times New Roman" w:hAnsi="Times New Roman"/>
          <w:sz w:val="22"/>
          <w:szCs w:val="22"/>
        </w:rPr>
        <w:t>.</w:t>
      </w:r>
      <w:r w:rsidR="000B4300" w:rsidRPr="009975D6">
        <w:rPr>
          <w:rStyle w:val="FootnoteReference"/>
          <w:rFonts w:ascii="Times New Roman" w:hAnsi="Times New Roman"/>
          <w:sz w:val="22"/>
          <w:szCs w:val="22"/>
        </w:rPr>
        <w:footnoteReference w:id="136"/>
      </w:r>
      <w:r w:rsidR="00B77793" w:rsidRPr="009975D6">
        <w:rPr>
          <w:rFonts w:ascii="Times New Roman" w:hAnsi="Times New Roman"/>
          <w:sz w:val="22"/>
          <w:szCs w:val="22"/>
        </w:rPr>
        <w:t xml:space="preserve">  </w:t>
      </w:r>
      <w:r w:rsidR="009975D6" w:rsidRPr="009975D6">
        <w:rPr>
          <w:rFonts w:ascii="Times New Roman" w:hAnsi="Times New Roman"/>
          <w:sz w:val="22"/>
          <w:szCs w:val="22"/>
        </w:rPr>
        <w:t>Project sponsors must submit a Letter of Interest that: (</w:t>
      </w:r>
      <w:proofErr w:type="spellStart"/>
      <w:r w:rsidR="001C4FEF">
        <w:rPr>
          <w:rFonts w:ascii="Times New Roman" w:hAnsi="Times New Roman"/>
          <w:sz w:val="22"/>
          <w:szCs w:val="22"/>
        </w:rPr>
        <w:t>i</w:t>
      </w:r>
      <w:proofErr w:type="spellEnd"/>
      <w:r w:rsidR="009975D6" w:rsidRPr="009975D6">
        <w:rPr>
          <w:rFonts w:ascii="Times New Roman" w:hAnsi="Times New Roman"/>
          <w:sz w:val="22"/>
          <w:szCs w:val="22"/>
        </w:rPr>
        <w:t>) describes the project and the location, purpose, and cost of the project, (</w:t>
      </w:r>
      <w:r w:rsidR="001C4FEF">
        <w:rPr>
          <w:rFonts w:ascii="Times New Roman" w:hAnsi="Times New Roman"/>
          <w:sz w:val="22"/>
          <w:szCs w:val="22"/>
        </w:rPr>
        <w:t>ii</w:t>
      </w:r>
      <w:r w:rsidR="009975D6" w:rsidRPr="009975D6">
        <w:rPr>
          <w:rFonts w:ascii="Times New Roman" w:hAnsi="Times New Roman"/>
          <w:sz w:val="22"/>
          <w:szCs w:val="22"/>
        </w:rPr>
        <w:t>) outlines the proposed financial plan, including the requested credit assistance and the proposed obligor, (</w:t>
      </w:r>
      <w:r w:rsidR="001C4FEF">
        <w:rPr>
          <w:rFonts w:ascii="Times New Roman" w:hAnsi="Times New Roman"/>
          <w:sz w:val="22"/>
          <w:szCs w:val="22"/>
        </w:rPr>
        <w:t>iii</w:t>
      </w:r>
      <w:r w:rsidR="009975D6" w:rsidRPr="009975D6">
        <w:rPr>
          <w:rFonts w:ascii="Times New Roman" w:hAnsi="Times New Roman"/>
          <w:sz w:val="22"/>
          <w:szCs w:val="22"/>
        </w:rPr>
        <w:t>) provides a status of environmental review, and (</w:t>
      </w:r>
      <w:r w:rsidR="001C4FEF">
        <w:rPr>
          <w:rFonts w:ascii="Times New Roman" w:hAnsi="Times New Roman"/>
          <w:sz w:val="22"/>
          <w:szCs w:val="22"/>
        </w:rPr>
        <w:t>iv</w:t>
      </w:r>
      <w:r w:rsidR="009975D6" w:rsidRPr="009975D6">
        <w:rPr>
          <w:rFonts w:ascii="Times New Roman" w:hAnsi="Times New Roman"/>
          <w:sz w:val="22"/>
          <w:szCs w:val="22"/>
        </w:rPr>
        <w:t>) provides information regarding satisfaction the eligibility requirements of the TIFIA Program.</w:t>
      </w:r>
      <w:r w:rsidR="009975D6" w:rsidRPr="009975D6">
        <w:rPr>
          <w:rStyle w:val="FootnoteReference"/>
          <w:rFonts w:ascii="Times New Roman" w:hAnsi="Times New Roman"/>
          <w:sz w:val="22"/>
          <w:szCs w:val="22"/>
        </w:rPr>
        <w:footnoteReference w:id="137"/>
      </w:r>
      <w:r w:rsidR="009975D6" w:rsidRPr="009975D6">
        <w:rPr>
          <w:rFonts w:ascii="Times New Roman" w:hAnsi="Times New Roman"/>
          <w:sz w:val="22"/>
          <w:szCs w:val="22"/>
        </w:rPr>
        <w:t xml:space="preserve">  </w:t>
      </w:r>
      <w:r w:rsidR="00B77793" w:rsidRPr="009975D6">
        <w:rPr>
          <w:rFonts w:ascii="Times New Roman" w:hAnsi="Times New Roman"/>
          <w:sz w:val="22"/>
          <w:szCs w:val="22"/>
        </w:rPr>
        <w:t xml:space="preserve">The DOT template for the required Letter of Interest for the specified Federal fiscal year can be found </w:t>
      </w:r>
      <w:r w:rsidR="009975D6" w:rsidRPr="009975D6">
        <w:rPr>
          <w:rFonts w:ascii="Times New Roman" w:hAnsi="Times New Roman"/>
          <w:sz w:val="22"/>
          <w:szCs w:val="22"/>
        </w:rPr>
        <w:t>on the TIFIA website</w:t>
      </w:r>
      <w:r w:rsidR="007632A8">
        <w:rPr>
          <w:rFonts w:ascii="Times New Roman" w:hAnsi="Times New Roman"/>
          <w:sz w:val="22"/>
          <w:szCs w:val="22"/>
        </w:rPr>
        <w:t>, which can be found</w:t>
      </w:r>
      <w:r w:rsidR="009975D6" w:rsidRPr="009975D6">
        <w:rPr>
          <w:rFonts w:ascii="Times New Roman" w:hAnsi="Times New Roman"/>
          <w:sz w:val="22"/>
          <w:szCs w:val="22"/>
        </w:rPr>
        <w:t xml:space="preserve"> at: www.fhwa.dot.gov/ipd/tifia/guidance_applications/tifia_applications.htm</w:t>
      </w:r>
      <w:r w:rsidR="00B77793" w:rsidRPr="009975D6">
        <w:rPr>
          <w:rFonts w:ascii="Times New Roman" w:hAnsi="Times New Roman"/>
          <w:sz w:val="22"/>
          <w:szCs w:val="22"/>
        </w:rPr>
        <w:t xml:space="preserve">.  The form has been expanded to address the TIFIA </w:t>
      </w:r>
      <w:r w:rsidR="0054311F" w:rsidRPr="009975D6">
        <w:rPr>
          <w:rFonts w:ascii="Times New Roman" w:hAnsi="Times New Roman"/>
          <w:sz w:val="22"/>
          <w:szCs w:val="22"/>
        </w:rPr>
        <w:t>eligibility requirements</w:t>
      </w:r>
      <w:r w:rsidR="00B77793" w:rsidRPr="009975D6">
        <w:rPr>
          <w:rFonts w:ascii="Times New Roman" w:hAnsi="Times New Roman"/>
          <w:sz w:val="22"/>
          <w:szCs w:val="22"/>
        </w:rPr>
        <w:t xml:space="preserve">, and it identifies the specific information that must be provided to the DOT.  </w:t>
      </w:r>
      <w:r w:rsidR="005A4B80">
        <w:rPr>
          <w:rFonts w:ascii="Times New Roman" w:hAnsi="Times New Roman"/>
          <w:sz w:val="22"/>
          <w:szCs w:val="22"/>
        </w:rPr>
        <w:t>Potential a</w:t>
      </w:r>
      <w:r w:rsidR="007632A8" w:rsidRPr="009975D6">
        <w:rPr>
          <w:rFonts w:ascii="Times New Roman" w:hAnsi="Times New Roman"/>
          <w:sz w:val="22"/>
          <w:szCs w:val="22"/>
        </w:rPr>
        <w:t xml:space="preserve">pplicants must submit detailed </w:t>
      </w:r>
      <w:r w:rsidR="00BC75C4">
        <w:rPr>
          <w:rFonts w:ascii="Times New Roman" w:hAnsi="Times New Roman"/>
          <w:sz w:val="22"/>
          <w:szCs w:val="22"/>
        </w:rPr>
        <w:t>Letters of I</w:t>
      </w:r>
      <w:r w:rsidR="007632A8" w:rsidRPr="009975D6">
        <w:rPr>
          <w:rFonts w:ascii="Times New Roman" w:hAnsi="Times New Roman"/>
          <w:sz w:val="22"/>
          <w:szCs w:val="22"/>
        </w:rPr>
        <w:t xml:space="preserve">nterest so the DOT can </w:t>
      </w:r>
      <w:r w:rsidR="00BC75C4">
        <w:rPr>
          <w:rFonts w:ascii="Times New Roman" w:hAnsi="Times New Roman"/>
          <w:sz w:val="22"/>
          <w:szCs w:val="22"/>
        </w:rPr>
        <w:t>review</w:t>
      </w:r>
      <w:r w:rsidR="007632A8" w:rsidRPr="009975D6">
        <w:rPr>
          <w:rFonts w:ascii="Times New Roman" w:hAnsi="Times New Roman"/>
          <w:sz w:val="22"/>
          <w:szCs w:val="22"/>
        </w:rPr>
        <w:t xml:space="preserve"> creditworthiness and the other TIFIA statutory eligibility req</w:t>
      </w:r>
      <w:r w:rsidR="002D1F66">
        <w:rPr>
          <w:rFonts w:ascii="Times New Roman" w:hAnsi="Times New Roman"/>
          <w:sz w:val="22"/>
          <w:szCs w:val="22"/>
        </w:rPr>
        <w:t>uirements detailed in Chapter 5</w:t>
      </w:r>
      <w:r w:rsidR="007632A8" w:rsidRPr="009975D6">
        <w:rPr>
          <w:rFonts w:ascii="Times New Roman" w:hAnsi="Times New Roman"/>
          <w:sz w:val="22"/>
          <w:szCs w:val="22"/>
        </w:rPr>
        <w:t xml:space="preserve">.  </w:t>
      </w:r>
      <w:r w:rsidR="00B77793" w:rsidRPr="009975D6">
        <w:rPr>
          <w:rFonts w:ascii="Times New Roman" w:hAnsi="Times New Roman"/>
          <w:sz w:val="22"/>
          <w:szCs w:val="22"/>
        </w:rPr>
        <w:t xml:space="preserve">The DOT requests that </w:t>
      </w:r>
      <w:r w:rsidRPr="009975D6">
        <w:rPr>
          <w:rFonts w:ascii="Times New Roman" w:hAnsi="Times New Roman"/>
          <w:sz w:val="22"/>
          <w:szCs w:val="22"/>
        </w:rPr>
        <w:t xml:space="preserve">project sponsors </w:t>
      </w:r>
      <w:r w:rsidR="00B77793" w:rsidRPr="009975D6">
        <w:rPr>
          <w:rFonts w:ascii="Times New Roman" w:hAnsi="Times New Roman"/>
          <w:sz w:val="22"/>
          <w:szCs w:val="22"/>
        </w:rPr>
        <w:t xml:space="preserve">submit the Letter of Interest by attaching it via email to </w:t>
      </w:r>
      <w:hyperlink r:id="rId47" w:history="1">
        <w:r w:rsidR="006E236B" w:rsidRPr="009975D6">
          <w:rPr>
            <w:rStyle w:val="Hyperlink"/>
            <w:rFonts w:ascii="Times New Roman" w:hAnsi="Times New Roman"/>
            <w:sz w:val="22"/>
            <w:szCs w:val="22"/>
          </w:rPr>
          <w:t>TIFIACredit@dot.gov</w:t>
        </w:r>
      </w:hyperlink>
      <w:r w:rsidR="006E236B" w:rsidRPr="009975D6">
        <w:rPr>
          <w:rFonts w:ascii="Times New Roman" w:hAnsi="Times New Roman"/>
          <w:color w:val="0000FF"/>
          <w:sz w:val="22"/>
          <w:szCs w:val="22"/>
        </w:rPr>
        <w:t xml:space="preserve">.  </w:t>
      </w:r>
    </w:p>
    <w:p w:rsidR="002A04CA" w:rsidRDefault="00E90D59" w:rsidP="009975D6">
      <w:pPr>
        <w:jc w:val="both"/>
        <w:rPr>
          <w:rFonts w:ascii="Times New Roman" w:hAnsi="Times New Roman"/>
          <w:sz w:val="22"/>
          <w:szCs w:val="22"/>
        </w:rPr>
      </w:pPr>
      <w:r>
        <w:rPr>
          <w:rFonts w:ascii="Times New Roman" w:hAnsi="Times New Roman"/>
          <w:sz w:val="22"/>
          <w:szCs w:val="22"/>
        </w:rPr>
        <w:t xml:space="preserve">In order to maximize the credit assistance available for rural infrastructure projects, the DOT will establish a date by which rural infrastructure projects requesting the reduced interest rate should submit their Letters of Interest for review and evaluation by the DOT.  </w:t>
      </w:r>
      <w:r w:rsidRPr="00E90D59">
        <w:rPr>
          <w:rFonts w:ascii="Times New Roman" w:hAnsi="Times New Roman"/>
          <w:sz w:val="22"/>
          <w:szCs w:val="22"/>
        </w:rPr>
        <w:t xml:space="preserve">The applicable date for each fiscal year will be posted on the TIFIA website, commencing with the date for </w:t>
      </w:r>
      <w:r w:rsidRPr="00E90D59">
        <w:rPr>
          <w:rFonts w:ascii="Times New Roman" w:hAnsi="Times New Roman"/>
          <w:sz w:val="22"/>
          <w:szCs w:val="22"/>
        </w:rPr>
        <w:lastRenderedPageBreak/>
        <w:t>FY2014 submissions</w:t>
      </w:r>
      <w:r>
        <w:rPr>
          <w:rFonts w:ascii="Times New Roman" w:hAnsi="Times New Roman"/>
          <w:sz w:val="22"/>
          <w:szCs w:val="22"/>
        </w:rPr>
        <w:t>.  This will ensure that the DOT is able to optimize its deployment of credit assistance for rural infrastructure projects in each fiscal year.</w:t>
      </w:r>
      <w:r w:rsidR="002A04CA">
        <w:rPr>
          <w:rStyle w:val="FootnoteReference"/>
          <w:rFonts w:ascii="Times New Roman" w:hAnsi="Times New Roman"/>
          <w:szCs w:val="22"/>
        </w:rPr>
        <w:footnoteReference w:id="138"/>
      </w:r>
    </w:p>
    <w:p w:rsidR="00BC75C4" w:rsidRDefault="009975D6" w:rsidP="009975D6">
      <w:pPr>
        <w:jc w:val="both"/>
        <w:rPr>
          <w:rFonts w:ascii="Times New Roman" w:hAnsi="Times New Roman"/>
          <w:sz w:val="22"/>
          <w:szCs w:val="22"/>
        </w:rPr>
      </w:pPr>
      <w:r w:rsidRPr="00975B87">
        <w:rPr>
          <w:rFonts w:ascii="Times New Roman" w:hAnsi="Times New Roman"/>
          <w:sz w:val="22"/>
          <w:szCs w:val="22"/>
        </w:rPr>
        <w:t xml:space="preserve">The eligibility criteria require a determination by </w:t>
      </w:r>
      <w:r>
        <w:rPr>
          <w:rFonts w:ascii="Times New Roman" w:hAnsi="Times New Roman"/>
          <w:sz w:val="22"/>
          <w:szCs w:val="22"/>
        </w:rPr>
        <w:t xml:space="preserve">the </w:t>
      </w:r>
      <w:r w:rsidRPr="00975B87">
        <w:rPr>
          <w:rFonts w:ascii="Times New Roman" w:hAnsi="Times New Roman"/>
          <w:sz w:val="22"/>
          <w:szCs w:val="22"/>
        </w:rPr>
        <w:t>DOT</w:t>
      </w:r>
      <w:r w:rsidR="005A4B80">
        <w:rPr>
          <w:rFonts w:ascii="Times New Roman" w:hAnsi="Times New Roman"/>
          <w:sz w:val="22"/>
          <w:szCs w:val="22"/>
        </w:rPr>
        <w:t xml:space="preserve"> that: (</w:t>
      </w:r>
      <w:proofErr w:type="spellStart"/>
      <w:r w:rsidR="001C4FEF">
        <w:rPr>
          <w:rFonts w:ascii="Times New Roman" w:hAnsi="Times New Roman"/>
          <w:sz w:val="22"/>
          <w:szCs w:val="22"/>
        </w:rPr>
        <w:t>i</w:t>
      </w:r>
      <w:proofErr w:type="spellEnd"/>
      <w:r w:rsidR="005A4B80">
        <w:rPr>
          <w:rFonts w:ascii="Times New Roman" w:hAnsi="Times New Roman"/>
          <w:sz w:val="22"/>
          <w:szCs w:val="22"/>
        </w:rPr>
        <w:t>)</w:t>
      </w:r>
      <w:r>
        <w:rPr>
          <w:rFonts w:ascii="Times New Roman" w:hAnsi="Times New Roman"/>
          <w:sz w:val="22"/>
          <w:szCs w:val="22"/>
        </w:rPr>
        <w:t xml:space="preserve"> </w:t>
      </w:r>
      <w:r w:rsidRPr="00975B87">
        <w:rPr>
          <w:rFonts w:ascii="Times New Roman" w:hAnsi="Times New Roman"/>
          <w:sz w:val="22"/>
          <w:szCs w:val="22"/>
        </w:rPr>
        <w:t xml:space="preserve">the project </w:t>
      </w:r>
      <w:r>
        <w:rPr>
          <w:rFonts w:ascii="Times New Roman" w:hAnsi="Times New Roman"/>
          <w:sz w:val="22"/>
          <w:szCs w:val="22"/>
        </w:rPr>
        <w:t>is creditworthy</w:t>
      </w:r>
      <w:r w:rsidR="005A4B80">
        <w:rPr>
          <w:rFonts w:ascii="Times New Roman" w:hAnsi="Times New Roman"/>
          <w:sz w:val="22"/>
          <w:szCs w:val="22"/>
        </w:rPr>
        <w:t>;</w:t>
      </w:r>
      <w:r>
        <w:rPr>
          <w:rStyle w:val="FootnoteReference"/>
          <w:rFonts w:ascii="Times New Roman" w:hAnsi="Times New Roman"/>
          <w:szCs w:val="22"/>
        </w:rPr>
        <w:footnoteReference w:id="139"/>
      </w:r>
      <w:r w:rsidR="005A4B80">
        <w:rPr>
          <w:rFonts w:ascii="Times New Roman" w:hAnsi="Times New Roman"/>
          <w:sz w:val="22"/>
          <w:szCs w:val="22"/>
        </w:rPr>
        <w:t xml:space="preserve"> (</w:t>
      </w:r>
      <w:r w:rsidR="001C4FEF">
        <w:rPr>
          <w:rFonts w:ascii="Times New Roman" w:hAnsi="Times New Roman"/>
          <w:sz w:val="22"/>
          <w:szCs w:val="22"/>
        </w:rPr>
        <w:t>ii</w:t>
      </w:r>
      <w:r w:rsidR="005A4B80">
        <w:rPr>
          <w:rFonts w:ascii="Times New Roman" w:hAnsi="Times New Roman"/>
          <w:sz w:val="22"/>
          <w:szCs w:val="22"/>
        </w:rPr>
        <w:t>)</w:t>
      </w:r>
      <w:r w:rsidRPr="00975B87">
        <w:rPr>
          <w:rFonts w:ascii="Times New Roman" w:hAnsi="Times New Roman"/>
          <w:sz w:val="22"/>
          <w:szCs w:val="22"/>
        </w:rPr>
        <w:t xml:space="preserve"> </w:t>
      </w:r>
      <w:r>
        <w:rPr>
          <w:rFonts w:ascii="Times New Roman" w:hAnsi="Times New Roman"/>
          <w:sz w:val="22"/>
          <w:szCs w:val="22"/>
        </w:rPr>
        <w:t xml:space="preserve">Federal credit assistance </w:t>
      </w:r>
      <w:r w:rsidR="005A4B80">
        <w:rPr>
          <w:rFonts w:ascii="Times New Roman" w:hAnsi="Times New Roman"/>
          <w:sz w:val="22"/>
          <w:szCs w:val="22"/>
        </w:rPr>
        <w:t xml:space="preserve">(a) </w:t>
      </w:r>
      <w:r>
        <w:rPr>
          <w:rFonts w:ascii="Times New Roman" w:hAnsi="Times New Roman"/>
          <w:sz w:val="22"/>
          <w:szCs w:val="22"/>
        </w:rPr>
        <w:t xml:space="preserve">would </w:t>
      </w:r>
      <w:r w:rsidRPr="00975B87">
        <w:rPr>
          <w:rFonts w:ascii="Times New Roman" w:hAnsi="Times New Roman"/>
          <w:sz w:val="22"/>
          <w:szCs w:val="22"/>
        </w:rPr>
        <w:t>foster (if appropriate) partnerships that attract public and private investment for the project</w:t>
      </w:r>
      <w:r>
        <w:rPr>
          <w:rFonts w:ascii="Times New Roman" w:hAnsi="Times New Roman"/>
          <w:sz w:val="22"/>
          <w:szCs w:val="22"/>
        </w:rPr>
        <w:t>,</w:t>
      </w:r>
      <w:r>
        <w:rPr>
          <w:rStyle w:val="FootnoteReference"/>
          <w:rFonts w:ascii="Times New Roman" w:hAnsi="Times New Roman"/>
          <w:szCs w:val="22"/>
        </w:rPr>
        <w:footnoteReference w:id="140"/>
      </w:r>
      <w:r>
        <w:rPr>
          <w:rFonts w:ascii="Times New Roman" w:hAnsi="Times New Roman"/>
          <w:sz w:val="22"/>
          <w:szCs w:val="22"/>
        </w:rPr>
        <w:t xml:space="preserve"> </w:t>
      </w:r>
      <w:r w:rsidR="005A4B80">
        <w:rPr>
          <w:rFonts w:ascii="Times New Roman" w:hAnsi="Times New Roman"/>
          <w:sz w:val="22"/>
          <w:szCs w:val="22"/>
        </w:rPr>
        <w:t xml:space="preserve">(b) </w:t>
      </w:r>
      <w:r>
        <w:rPr>
          <w:rFonts w:ascii="Times New Roman" w:hAnsi="Times New Roman"/>
          <w:sz w:val="22"/>
          <w:szCs w:val="22"/>
        </w:rPr>
        <w:t>would</w:t>
      </w:r>
      <w:r w:rsidRPr="00975B87">
        <w:rPr>
          <w:rFonts w:ascii="Times New Roman" w:hAnsi="Times New Roman"/>
          <w:sz w:val="22"/>
          <w:szCs w:val="22"/>
        </w:rPr>
        <w:t xml:space="preserve"> enable the project to proceed at an earlier date than the project would otherwise be able to proceed or</w:t>
      </w:r>
      <w:r w:rsidR="005A4B80">
        <w:rPr>
          <w:rFonts w:ascii="Times New Roman" w:hAnsi="Times New Roman"/>
          <w:sz w:val="22"/>
          <w:szCs w:val="22"/>
        </w:rPr>
        <w:t xml:space="preserve"> </w:t>
      </w:r>
      <w:r>
        <w:rPr>
          <w:rFonts w:ascii="Times New Roman" w:hAnsi="Times New Roman"/>
          <w:sz w:val="22"/>
          <w:szCs w:val="22"/>
        </w:rPr>
        <w:t>would</w:t>
      </w:r>
      <w:r w:rsidRPr="00975B87">
        <w:rPr>
          <w:rFonts w:ascii="Times New Roman" w:hAnsi="Times New Roman"/>
          <w:sz w:val="22"/>
          <w:szCs w:val="22"/>
        </w:rPr>
        <w:t xml:space="preserve"> reduce lifecycle costs (including debt service costs) of the project</w:t>
      </w:r>
      <w:r w:rsidR="005A4B80">
        <w:rPr>
          <w:rFonts w:ascii="Times New Roman" w:hAnsi="Times New Roman"/>
          <w:sz w:val="22"/>
          <w:szCs w:val="22"/>
        </w:rPr>
        <w:t>,</w:t>
      </w:r>
      <w:r>
        <w:rPr>
          <w:rStyle w:val="FootnoteReference"/>
          <w:rFonts w:ascii="Times New Roman" w:hAnsi="Times New Roman"/>
          <w:szCs w:val="22"/>
        </w:rPr>
        <w:footnoteReference w:id="141"/>
      </w:r>
      <w:r w:rsidRPr="00975B87">
        <w:rPr>
          <w:rFonts w:ascii="Times New Roman" w:hAnsi="Times New Roman"/>
          <w:sz w:val="22"/>
          <w:szCs w:val="22"/>
        </w:rPr>
        <w:t xml:space="preserve"> </w:t>
      </w:r>
      <w:r>
        <w:rPr>
          <w:rFonts w:ascii="Times New Roman" w:hAnsi="Times New Roman"/>
          <w:sz w:val="22"/>
          <w:szCs w:val="22"/>
        </w:rPr>
        <w:t xml:space="preserve">and </w:t>
      </w:r>
      <w:r w:rsidR="005A4B80">
        <w:rPr>
          <w:rFonts w:ascii="Times New Roman" w:hAnsi="Times New Roman"/>
          <w:sz w:val="22"/>
          <w:szCs w:val="22"/>
        </w:rPr>
        <w:t xml:space="preserve">(c) </w:t>
      </w:r>
      <w:r>
        <w:rPr>
          <w:rFonts w:ascii="Times New Roman" w:hAnsi="Times New Roman"/>
          <w:sz w:val="22"/>
          <w:szCs w:val="22"/>
        </w:rPr>
        <w:t xml:space="preserve">would </w:t>
      </w:r>
      <w:r w:rsidRPr="00975B87">
        <w:rPr>
          <w:rFonts w:ascii="Times New Roman" w:hAnsi="Times New Roman"/>
          <w:sz w:val="22"/>
          <w:szCs w:val="22"/>
        </w:rPr>
        <w:t>reduce the contribution of Federal grant assistance for the project</w:t>
      </w:r>
      <w:r w:rsidR="005A4B80">
        <w:rPr>
          <w:rFonts w:ascii="Times New Roman" w:hAnsi="Times New Roman"/>
          <w:sz w:val="22"/>
          <w:szCs w:val="22"/>
        </w:rPr>
        <w:t>;</w:t>
      </w:r>
      <w:r>
        <w:rPr>
          <w:rStyle w:val="FootnoteReference"/>
          <w:rFonts w:ascii="Times New Roman" w:hAnsi="Times New Roman"/>
          <w:szCs w:val="22"/>
        </w:rPr>
        <w:footnoteReference w:id="142"/>
      </w:r>
      <w:r w:rsidRPr="00975B87">
        <w:rPr>
          <w:rFonts w:ascii="Times New Roman" w:hAnsi="Times New Roman"/>
          <w:sz w:val="22"/>
          <w:szCs w:val="22"/>
        </w:rPr>
        <w:t xml:space="preserve"> and </w:t>
      </w:r>
      <w:r w:rsidR="005A4B80">
        <w:rPr>
          <w:rFonts w:ascii="Times New Roman" w:hAnsi="Times New Roman"/>
          <w:sz w:val="22"/>
          <w:szCs w:val="22"/>
        </w:rPr>
        <w:t>(</w:t>
      </w:r>
      <w:r w:rsidR="001C4FEF">
        <w:rPr>
          <w:rFonts w:ascii="Times New Roman" w:hAnsi="Times New Roman"/>
          <w:sz w:val="22"/>
          <w:szCs w:val="22"/>
        </w:rPr>
        <w:t>iii</w:t>
      </w:r>
      <w:r w:rsidR="005A4B80">
        <w:rPr>
          <w:rFonts w:ascii="Times New Roman" w:hAnsi="Times New Roman"/>
          <w:sz w:val="22"/>
          <w:szCs w:val="22"/>
        </w:rPr>
        <w:t>)</w:t>
      </w:r>
      <w:r>
        <w:rPr>
          <w:rFonts w:ascii="Times New Roman" w:hAnsi="Times New Roman"/>
          <w:sz w:val="22"/>
          <w:szCs w:val="22"/>
        </w:rPr>
        <w:t xml:space="preserve"> the applicant has </w:t>
      </w:r>
      <w:r w:rsidRPr="00975B87">
        <w:rPr>
          <w:rFonts w:ascii="Times New Roman" w:hAnsi="Times New Roman"/>
          <w:sz w:val="22"/>
          <w:szCs w:val="22"/>
        </w:rPr>
        <w:t>demonstrate</w:t>
      </w:r>
      <w:r>
        <w:rPr>
          <w:rFonts w:ascii="Times New Roman" w:hAnsi="Times New Roman"/>
          <w:sz w:val="22"/>
          <w:szCs w:val="22"/>
        </w:rPr>
        <w:t>d</w:t>
      </w:r>
      <w:r w:rsidRPr="00975B87">
        <w:rPr>
          <w:rFonts w:ascii="Times New Roman" w:hAnsi="Times New Roman"/>
          <w:sz w:val="22"/>
          <w:szCs w:val="22"/>
        </w:rPr>
        <w:t xml:space="preserve"> that the construction contracting process for the project can commence </w:t>
      </w:r>
      <w:r w:rsidR="00E651F3">
        <w:rPr>
          <w:rFonts w:ascii="Times New Roman" w:hAnsi="Times New Roman"/>
          <w:sz w:val="22"/>
          <w:szCs w:val="22"/>
        </w:rPr>
        <w:t>no more than</w:t>
      </w:r>
      <w:r w:rsidRPr="00975B87">
        <w:rPr>
          <w:rFonts w:ascii="Times New Roman" w:hAnsi="Times New Roman"/>
          <w:sz w:val="22"/>
          <w:szCs w:val="22"/>
        </w:rPr>
        <w:t xml:space="preserve"> 90 days </w:t>
      </w:r>
      <w:r>
        <w:rPr>
          <w:rFonts w:ascii="Times New Roman" w:hAnsi="Times New Roman"/>
          <w:sz w:val="22"/>
          <w:szCs w:val="22"/>
        </w:rPr>
        <w:t xml:space="preserve">after the </w:t>
      </w:r>
      <w:r w:rsidRPr="00975B87">
        <w:rPr>
          <w:rFonts w:ascii="Times New Roman" w:hAnsi="Times New Roman"/>
          <w:sz w:val="22"/>
          <w:szCs w:val="22"/>
        </w:rPr>
        <w:t>execution of a TIFIA credit instrument</w:t>
      </w:r>
      <w:r>
        <w:rPr>
          <w:rStyle w:val="FootnoteReference"/>
          <w:rFonts w:ascii="Times New Roman" w:hAnsi="Times New Roman"/>
          <w:szCs w:val="22"/>
        </w:rPr>
        <w:footnoteReference w:id="143"/>
      </w:r>
      <w:r w:rsidRPr="00975B87">
        <w:rPr>
          <w:rFonts w:ascii="Times New Roman" w:hAnsi="Times New Roman"/>
          <w:sz w:val="22"/>
          <w:szCs w:val="22"/>
        </w:rPr>
        <w:t xml:space="preserve">. </w:t>
      </w:r>
      <w:r>
        <w:rPr>
          <w:rFonts w:ascii="Times New Roman" w:hAnsi="Times New Roman"/>
          <w:sz w:val="22"/>
          <w:szCs w:val="22"/>
        </w:rPr>
        <w:t xml:space="preserve"> </w:t>
      </w:r>
    </w:p>
    <w:p w:rsidR="00BC75C4" w:rsidRPr="00782563" w:rsidRDefault="00105408" w:rsidP="00BC75C4">
      <w:pPr>
        <w:jc w:val="both"/>
        <w:rPr>
          <w:rFonts w:ascii="Times New Roman" w:hAnsi="Times New Roman"/>
          <w:sz w:val="22"/>
          <w:szCs w:val="22"/>
        </w:rPr>
      </w:pPr>
      <w:r w:rsidRPr="00782563">
        <w:rPr>
          <w:rFonts w:ascii="Times New Roman" w:hAnsi="Times New Roman"/>
          <w:sz w:val="22"/>
          <w:szCs w:val="22"/>
        </w:rPr>
        <w:t>A technical review team drawn from agencies throughout the Department (</w:t>
      </w:r>
      <w:r w:rsidRPr="00782563">
        <w:rPr>
          <w:rFonts w:ascii="Times New Roman" w:hAnsi="Times New Roman"/>
          <w:i/>
          <w:sz w:val="22"/>
          <w:szCs w:val="22"/>
        </w:rPr>
        <w:t>e.g</w:t>
      </w:r>
      <w:r w:rsidRPr="00782563">
        <w:rPr>
          <w:rFonts w:ascii="Times New Roman" w:hAnsi="Times New Roman"/>
          <w:sz w:val="22"/>
          <w:szCs w:val="22"/>
        </w:rPr>
        <w:t xml:space="preserve">., FHWA, FRA, FTA, MARAD, and OST) </w:t>
      </w:r>
      <w:r w:rsidR="00782563" w:rsidRPr="00782563">
        <w:rPr>
          <w:rFonts w:ascii="Times New Roman" w:hAnsi="Times New Roman"/>
          <w:sz w:val="22"/>
          <w:szCs w:val="22"/>
        </w:rPr>
        <w:t>will review the Letter of Interest upon receipt by the DOT.  This team</w:t>
      </w:r>
      <w:r w:rsidR="00BC75C4" w:rsidRPr="00782563">
        <w:rPr>
          <w:rFonts w:ascii="Times New Roman" w:hAnsi="Times New Roman"/>
          <w:sz w:val="22"/>
          <w:szCs w:val="22"/>
        </w:rPr>
        <w:t xml:space="preserve"> will conduct an initial review of </w:t>
      </w:r>
      <w:r w:rsidR="008C2111" w:rsidRPr="00782563">
        <w:rPr>
          <w:rFonts w:ascii="Times New Roman" w:hAnsi="Times New Roman"/>
          <w:sz w:val="22"/>
          <w:szCs w:val="22"/>
        </w:rPr>
        <w:t>the</w:t>
      </w:r>
      <w:r w:rsidR="00BC75C4" w:rsidRPr="00782563">
        <w:rPr>
          <w:rFonts w:ascii="Times New Roman" w:hAnsi="Times New Roman"/>
          <w:sz w:val="22"/>
          <w:szCs w:val="22"/>
        </w:rPr>
        <w:t xml:space="preserve"> Letter of Interest to determine whether the project meets the </w:t>
      </w:r>
      <w:r w:rsidR="008C2111" w:rsidRPr="00782563">
        <w:rPr>
          <w:rFonts w:ascii="Times New Roman" w:hAnsi="Times New Roman"/>
          <w:sz w:val="22"/>
          <w:szCs w:val="22"/>
        </w:rPr>
        <w:t xml:space="preserve">threshold </w:t>
      </w:r>
      <w:r w:rsidR="00BC75C4" w:rsidRPr="00782563">
        <w:rPr>
          <w:rFonts w:ascii="Times New Roman" w:hAnsi="Times New Roman"/>
          <w:sz w:val="22"/>
          <w:szCs w:val="22"/>
        </w:rPr>
        <w:t>requirements for TIFIA participation</w:t>
      </w:r>
      <w:r w:rsidR="008C2111" w:rsidRPr="00782563">
        <w:rPr>
          <w:rFonts w:ascii="Times New Roman" w:hAnsi="Times New Roman"/>
          <w:sz w:val="22"/>
          <w:szCs w:val="22"/>
        </w:rPr>
        <w:t xml:space="preserve">, including whether any </w:t>
      </w:r>
      <w:r w:rsidR="00BC75C4" w:rsidRPr="00782563">
        <w:rPr>
          <w:rFonts w:ascii="Times New Roman" w:hAnsi="Times New Roman"/>
          <w:sz w:val="22"/>
          <w:szCs w:val="22"/>
        </w:rPr>
        <w:t xml:space="preserve">major statutory, regulatory, or timing issues </w:t>
      </w:r>
      <w:r w:rsidR="008C2111" w:rsidRPr="00782563">
        <w:rPr>
          <w:rFonts w:ascii="Times New Roman" w:hAnsi="Times New Roman"/>
          <w:sz w:val="22"/>
          <w:szCs w:val="22"/>
        </w:rPr>
        <w:t xml:space="preserve">exist </w:t>
      </w:r>
      <w:r w:rsidR="00BC75C4" w:rsidRPr="00782563">
        <w:rPr>
          <w:rFonts w:ascii="Times New Roman" w:hAnsi="Times New Roman"/>
          <w:sz w:val="22"/>
          <w:szCs w:val="22"/>
        </w:rPr>
        <w:t>that would r</w:t>
      </w:r>
      <w:r w:rsidR="008C2111" w:rsidRPr="00782563">
        <w:rPr>
          <w:rFonts w:ascii="Times New Roman" w:hAnsi="Times New Roman"/>
          <w:sz w:val="22"/>
          <w:szCs w:val="22"/>
        </w:rPr>
        <w:t>equire modifications to the project’s intended plan of finance</w:t>
      </w:r>
      <w:r w:rsidR="00BC75C4" w:rsidRPr="00782563">
        <w:rPr>
          <w:rFonts w:ascii="Times New Roman" w:hAnsi="Times New Roman"/>
          <w:sz w:val="22"/>
          <w:szCs w:val="22"/>
        </w:rPr>
        <w:t xml:space="preserve"> or prevent the project from receiving TIFIA credit </w:t>
      </w:r>
      <w:r w:rsidR="008C2111" w:rsidRPr="00782563">
        <w:rPr>
          <w:rFonts w:ascii="Times New Roman" w:hAnsi="Times New Roman"/>
          <w:sz w:val="22"/>
          <w:szCs w:val="22"/>
        </w:rPr>
        <w:t xml:space="preserve">assistance.  </w:t>
      </w:r>
      <w:r w:rsidR="00593399" w:rsidRPr="00782563">
        <w:rPr>
          <w:rFonts w:ascii="Times New Roman" w:hAnsi="Times New Roman"/>
          <w:sz w:val="22"/>
          <w:szCs w:val="22"/>
        </w:rPr>
        <w:t>The DOT may contact project sponsors for clarification of specific information included in the Letter of Interest</w:t>
      </w:r>
      <w:r w:rsidR="007A5537" w:rsidRPr="00782563">
        <w:rPr>
          <w:rFonts w:ascii="Times New Roman" w:hAnsi="Times New Roman"/>
          <w:sz w:val="22"/>
          <w:szCs w:val="22"/>
        </w:rPr>
        <w:t xml:space="preserve"> or for additional information to supplement the Letter of Interest and complete the DOT’s eligibility determination. </w:t>
      </w:r>
      <w:r w:rsidR="00593399" w:rsidRPr="00782563">
        <w:rPr>
          <w:rFonts w:ascii="Times New Roman" w:hAnsi="Times New Roman"/>
          <w:sz w:val="22"/>
          <w:szCs w:val="22"/>
        </w:rPr>
        <w:t xml:space="preserve"> Project sponsors will be notified by the DOT if it is determined that their projects are not eligible or if the DOT is unable to continue reviewing their Letter of Interest until eligibility requirements are addressed.  </w:t>
      </w:r>
      <w:r w:rsidR="008C2111" w:rsidRPr="00782563">
        <w:rPr>
          <w:rFonts w:ascii="Times New Roman" w:hAnsi="Times New Roman"/>
          <w:sz w:val="22"/>
          <w:szCs w:val="22"/>
        </w:rPr>
        <w:t>All requested material must be received by the DOT before the DOT can proceed with its in-depth review of a project’s creditworthiness.</w:t>
      </w:r>
    </w:p>
    <w:p w:rsidR="0054311F" w:rsidRDefault="00BC75C4" w:rsidP="008C2111">
      <w:pPr>
        <w:jc w:val="both"/>
        <w:rPr>
          <w:rFonts w:ascii="Times New Roman" w:hAnsi="Times New Roman"/>
          <w:color w:val="333333"/>
          <w:sz w:val="22"/>
          <w:szCs w:val="22"/>
        </w:rPr>
      </w:pPr>
      <w:r w:rsidRPr="008C2111">
        <w:rPr>
          <w:rFonts w:ascii="Times New Roman" w:hAnsi="Times New Roman"/>
          <w:sz w:val="22"/>
          <w:szCs w:val="22"/>
        </w:rPr>
        <w:t xml:space="preserve">After concluding its initial review of the Letter of Interest and upon making a determination that the project is reasonably likely to satisfy all of the eligibility requirements of the TIFIA Program, the DOT will conduct an in-depth creditworthiness review of the project sponsor and the proposed revenue stream.  </w:t>
      </w:r>
      <w:r w:rsidR="008C2111" w:rsidRPr="008C2111">
        <w:rPr>
          <w:rFonts w:ascii="Times New Roman" w:hAnsi="Times New Roman"/>
          <w:sz w:val="22"/>
          <w:szCs w:val="22"/>
        </w:rPr>
        <w:t xml:space="preserve">In connection with this review, </w:t>
      </w:r>
      <w:r w:rsidR="000D4F00" w:rsidRPr="008C2111">
        <w:rPr>
          <w:rFonts w:ascii="Times New Roman" w:hAnsi="Times New Roman"/>
          <w:sz w:val="22"/>
          <w:szCs w:val="22"/>
        </w:rPr>
        <w:t xml:space="preserve">the </w:t>
      </w:r>
      <w:r w:rsidR="0054311F" w:rsidRPr="008C2111">
        <w:rPr>
          <w:rFonts w:ascii="Times New Roman" w:hAnsi="Times New Roman"/>
          <w:sz w:val="22"/>
          <w:szCs w:val="22"/>
        </w:rPr>
        <w:t>DOT will request that the project sponsor provide a preliminary rating opinion letter</w:t>
      </w:r>
      <w:r w:rsidR="006D4E8F" w:rsidRPr="008C2111">
        <w:rPr>
          <w:rFonts w:ascii="Times New Roman" w:hAnsi="Times New Roman"/>
          <w:sz w:val="22"/>
          <w:szCs w:val="22"/>
        </w:rPr>
        <w:t>, a feasibility study (as applicable), and a fully functional Microsoft Excel-based financial model</w:t>
      </w:r>
      <w:r w:rsidR="00D936ED" w:rsidRPr="008C2111">
        <w:rPr>
          <w:rFonts w:ascii="Times New Roman" w:hAnsi="Times New Roman"/>
          <w:sz w:val="22"/>
          <w:szCs w:val="22"/>
        </w:rPr>
        <w:t>.  At this time,</w:t>
      </w:r>
      <w:r w:rsidR="0054311F" w:rsidRPr="008C2111">
        <w:rPr>
          <w:rFonts w:ascii="Times New Roman" w:hAnsi="Times New Roman"/>
          <w:sz w:val="22"/>
          <w:szCs w:val="22"/>
        </w:rPr>
        <w:t xml:space="preserve"> the project sponsor will </w:t>
      </w:r>
      <w:r w:rsidR="00D936ED" w:rsidRPr="008C2111">
        <w:rPr>
          <w:rFonts w:ascii="Times New Roman" w:hAnsi="Times New Roman"/>
          <w:sz w:val="22"/>
          <w:szCs w:val="22"/>
        </w:rPr>
        <w:t xml:space="preserve">also </w:t>
      </w:r>
      <w:r w:rsidR="0054311F" w:rsidRPr="008C2111">
        <w:rPr>
          <w:rFonts w:ascii="Times New Roman" w:hAnsi="Times New Roman"/>
          <w:sz w:val="22"/>
          <w:szCs w:val="22"/>
        </w:rPr>
        <w:t xml:space="preserve">be required to </w:t>
      </w:r>
      <w:r w:rsidR="00D936ED" w:rsidRPr="008C2111">
        <w:rPr>
          <w:rFonts w:ascii="Times New Roman" w:hAnsi="Times New Roman"/>
          <w:sz w:val="22"/>
          <w:szCs w:val="22"/>
        </w:rPr>
        <w:t>submit $100,000</w:t>
      </w:r>
      <w:r w:rsidR="009975D6" w:rsidRPr="008C2111">
        <w:rPr>
          <w:rFonts w:ascii="Times New Roman" w:hAnsi="Times New Roman"/>
          <w:sz w:val="22"/>
          <w:szCs w:val="22"/>
        </w:rPr>
        <w:t xml:space="preserve"> to the DOT</w:t>
      </w:r>
      <w:r w:rsidR="00D936ED" w:rsidRPr="008C2111">
        <w:rPr>
          <w:rFonts w:ascii="Times New Roman" w:hAnsi="Times New Roman"/>
          <w:sz w:val="22"/>
          <w:szCs w:val="22"/>
        </w:rPr>
        <w:t xml:space="preserve"> in order to continu</w:t>
      </w:r>
      <w:r w:rsidR="009975D6" w:rsidRPr="008C2111">
        <w:rPr>
          <w:rFonts w:ascii="Times New Roman" w:hAnsi="Times New Roman"/>
          <w:sz w:val="22"/>
          <w:szCs w:val="22"/>
        </w:rPr>
        <w:t xml:space="preserve">e the </w:t>
      </w:r>
      <w:r w:rsidR="00105408">
        <w:rPr>
          <w:rFonts w:ascii="Times New Roman" w:hAnsi="Times New Roman"/>
          <w:sz w:val="22"/>
          <w:szCs w:val="22"/>
        </w:rPr>
        <w:t>review</w:t>
      </w:r>
      <w:r w:rsidR="00105408" w:rsidRPr="002A5FD3">
        <w:rPr>
          <w:rFonts w:ascii="Times New Roman" w:hAnsi="Times New Roman"/>
          <w:sz w:val="22"/>
          <w:szCs w:val="22"/>
        </w:rPr>
        <w:t xml:space="preserve"> </w:t>
      </w:r>
      <w:r w:rsidR="009975D6" w:rsidRPr="008C2111">
        <w:rPr>
          <w:rFonts w:ascii="Times New Roman" w:hAnsi="Times New Roman"/>
          <w:sz w:val="22"/>
          <w:szCs w:val="22"/>
        </w:rPr>
        <w:t xml:space="preserve">process.  These funds </w:t>
      </w:r>
      <w:r w:rsidR="00D936ED" w:rsidRPr="008C2111">
        <w:rPr>
          <w:rFonts w:ascii="Times New Roman" w:hAnsi="Times New Roman"/>
          <w:sz w:val="22"/>
          <w:szCs w:val="22"/>
        </w:rPr>
        <w:t>will be used to reimburse the DOT for costs incurred for services provided by the DOT’s outside financial and</w:t>
      </w:r>
      <w:r w:rsidR="008C2111">
        <w:rPr>
          <w:rFonts w:ascii="Times New Roman" w:hAnsi="Times New Roman"/>
          <w:sz w:val="22"/>
          <w:szCs w:val="22"/>
        </w:rPr>
        <w:t xml:space="preserve">, as </w:t>
      </w:r>
      <w:r w:rsidR="00157F91">
        <w:rPr>
          <w:rFonts w:ascii="Times New Roman" w:hAnsi="Times New Roman"/>
          <w:sz w:val="22"/>
          <w:szCs w:val="22"/>
        </w:rPr>
        <w:t>and when necessary</w:t>
      </w:r>
      <w:r w:rsidR="008C2111">
        <w:rPr>
          <w:rFonts w:ascii="Times New Roman" w:hAnsi="Times New Roman"/>
          <w:sz w:val="22"/>
          <w:szCs w:val="22"/>
        </w:rPr>
        <w:t>,</w:t>
      </w:r>
      <w:r w:rsidR="00D936ED" w:rsidRPr="008C2111">
        <w:rPr>
          <w:rFonts w:ascii="Times New Roman" w:hAnsi="Times New Roman"/>
          <w:sz w:val="22"/>
          <w:szCs w:val="22"/>
        </w:rPr>
        <w:t xml:space="preserve"> legal advisors in connection with the </w:t>
      </w:r>
      <w:r w:rsidR="00105408">
        <w:rPr>
          <w:rFonts w:ascii="Times New Roman" w:hAnsi="Times New Roman"/>
          <w:sz w:val="22"/>
          <w:szCs w:val="22"/>
        </w:rPr>
        <w:t>review</w:t>
      </w:r>
      <w:r w:rsidR="00105408" w:rsidRPr="002A5FD3">
        <w:rPr>
          <w:rFonts w:ascii="Times New Roman" w:hAnsi="Times New Roman"/>
          <w:sz w:val="22"/>
          <w:szCs w:val="22"/>
        </w:rPr>
        <w:t xml:space="preserve"> </w:t>
      </w:r>
      <w:r w:rsidR="00D936ED" w:rsidRPr="008C2111">
        <w:rPr>
          <w:rFonts w:ascii="Times New Roman" w:hAnsi="Times New Roman"/>
          <w:sz w:val="22"/>
          <w:szCs w:val="22"/>
        </w:rPr>
        <w:t>of the TIFIA Letter of Interest</w:t>
      </w:r>
      <w:r w:rsidR="0054311F" w:rsidRPr="008C2111">
        <w:rPr>
          <w:rFonts w:ascii="Times New Roman" w:hAnsi="Times New Roman"/>
          <w:sz w:val="22"/>
          <w:szCs w:val="22"/>
        </w:rPr>
        <w:t xml:space="preserve">.  After </w:t>
      </w:r>
      <w:r w:rsidR="00D936ED" w:rsidRPr="008C2111">
        <w:rPr>
          <w:rFonts w:ascii="Times New Roman" w:hAnsi="Times New Roman"/>
          <w:sz w:val="22"/>
          <w:szCs w:val="22"/>
        </w:rPr>
        <w:t xml:space="preserve">the $100,000 </w:t>
      </w:r>
      <w:r w:rsidR="00E75F8C" w:rsidRPr="008C2111">
        <w:rPr>
          <w:rFonts w:ascii="Times New Roman" w:hAnsi="Times New Roman"/>
          <w:sz w:val="22"/>
          <w:szCs w:val="22"/>
        </w:rPr>
        <w:t xml:space="preserve">has </w:t>
      </w:r>
      <w:r w:rsidR="0054311F" w:rsidRPr="008C2111">
        <w:rPr>
          <w:rFonts w:ascii="Times New Roman" w:hAnsi="Times New Roman"/>
          <w:sz w:val="22"/>
          <w:szCs w:val="22"/>
        </w:rPr>
        <w:t xml:space="preserve">been </w:t>
      </w:r>
      <w:r w:rsidR="0054311F" w:rsidRPr="008C2111">
        <w:rPr>
          <w:rFonts w:ascii="Times New Roman" w:hAnsi="Times New Roman"/>
          <w:sz w:val="22"/>
          <w:szCs w:val="22"/>
        </w:rPr>
        <w:lastRenderedPageBreak/>
        <w:t xml:space="preserve">received, the DOT will engage an independent financial advisor to prepare a report and recommendation to the DOT.  The DOT may also engage an independent legal advisor </w:t>
      </w:r>
      <w:r w:rsidR="00E75F8C" w:rsidRPr="008C2111">
        <w:rPr>
          <w:rFonts w:ascii="Times New Roman" w:hAnsi="Times New Roman"/>
          <w:sz w:val="22"/>
          <w:szCs w:val="22"/>
        </w:rPr>
        <w:t xml:space="preserve">and other advisors </w:t>
      </w:r>
      <w:r w:rsidR="0054311F" w:rsidRPr="008C2111">
        <w:rPr>
          <w:rFonts w:ascii="Times New Roman" w:hAnsi="Times New Roman"/>
          <w:sz w:val="22"/>
          <w:szCs w:val="22"/>
        </w:rPr>
        <w:t xml:space="preserve">to help complete its </w:t>
      </w:r>
      <w:r w:rsidR="00105408">
        <w:rPr>
          <w:rFonts w:ascii="Times New Roman" w:hAnsi="Times New Roman"/>
          <w:sz w:val="22"/>
          <w:szCs w:val="22"/>
        </w:rPr>
        <w:t>review</w:t>
      </w:r>
      <w:r w:rsidR="00105408" w:rsidRPr="002A5FD3">
        <w:rPr>
          <w:rFonts w:ascii="Times New Roman" w:hAnsi="Times New Roman"/>
          <w:sz w:val="22"/>
          <w:szCs w:val="22"/>
        </w:rPr>
        <w:t xml:space="preserve"> </w:t>
      </w:r>
      <w:r w:rsidR="0054311F" w:rsidRPr="008C2111">
        <w:rPr>
          <w:rFonts w:ascii="Times New Roman" w:hAnsi="Times New Roman"/>
          <w:sz w:val="22"/>
          <w:szCs w:val="22"/>
        </w:rPr>
        <w:t>of a project’s eligibility.</w:t>
      </w:r>
      <w:r w:rsidR="001545ED" w:rsidRPr="008C2111">
        <w:rPr>
          <w:rFonts w:ascii="Times New Roman" w:hAnsi="Times New Roman"/>
          <w:sz w:val="22"/>
          <w:szCs w:val="22"/>
        </w:rPr>
        <w:t xml:space="preserve">  </w:t>
      </w:r>
      <w:r w:rsidR="001545ED" w:rsidRPr="008C2111">
        <w:rPr>
          <w:rFonts w:ascii="Times New Roman" w:hAnsi="Times New Roman"/>
          <w:bCs/>
          <w:sz w:val="22"/>
          <w:szCs w:val="22"/>
        </w:rPr>
        <w:t>For projects seeking</w:t>
      </w:r>
      <w:r w:rsidR="001545ED" w:rsidRPr="008C2111">
        <w:rPr>
          <w:rFonts w:ascii="Times New Roman" w:hAnsi="Times New Roman"/>
          <w:color w:val="333333"/>
          <w:sz w:val="22"/>
          <w:szCs w:val="22"/>
        </w:rPr>
        <w:t xml:space="preserve"> more than $1 billion in TIFIA credit assistance, two financial advisors will be hired to produce independent financial </w:t>
      </w:r>
      <w:r w:rsidR="0054749A" w:rsidRPr="008C2111">
        <w:rPr>
          <w:rFonts w:ascii="Times New Roman" w:hAnsi="Times New Roman"/>
          <w:color w:val="333333"/>
          <w:sz w:val="22"/>
          <w:szCs w:val="22"/>
        </w:rPr>
        <w:t>evaluations</w:t>
      </w:r>
      <w:r w:rsidR="001545ED" w:rsidRPr="008C2111">
        <w:rPr>
          <w:rFonts w:ascii="Times New Roman" w:hAnsi="Times New Roman"/>
          <w:color w:val="333333"/>
          <w:sz w:val="22"/>
          <w:szCs w:val="22"/>
        </w:rPr>
        <w:t xml:space="preserve"> and recommendations to the DOT.  </w:t>
      </w:r>
      <w:r w:rsidR="007A5537">
        <w:rPr>
          <w:rFonts w:ascii="Times New Roman" w:hAnsi="Times New Roman"/>
          <w:color w:val="333333"/>
          <w:sz w:val="22"/>
          <w:szCs w:val="22"/>
        </w:rPr>
        <w:t xml:space="preserve">The DOT will not complete its creditworthiness review until the project sponsor has provided all requested information and materials, including a preliminary rating opinion letter, and the $100,000 necessary to enable the DOT to engage its outside financial and, </w:t>
      </w:r>
      <w:r w:rsidR="00157F91">
        <w:rPr>
          <w:rFonts w:ascii="Times New Roman" w:hAnsi="Times New Roman"/>
          <w:sz w:val="22"/>
          <w:szCs w:val="22"/>
        </w:rPr>
        <w:t>as and when necessary</w:t>
      </w:r>
      <w:r w:rsidR="007A5537">
        <w:rPr>
          <w:rFonts w:ascii="Times New Roman" w:hAnsi="Times New Roman"/>
          <w:color w:val="333333"/>
          <w:sz w:val="22"/>
          <w:szCs w:val="22"/>
        </w:rPr>
        <w:t>, legal advisors.</w:t>
      </w:r>
    </w:p>
    <w:p w:rsidR="00B77793" w:rsidRDefault="00442D1C" w:rsidP="00442D1C">
      <w:pPr>
        <w:jc w:val="both"/>
        <w:rPr>
          <w:rFonts w:ascii="Times New Roman" w:hAnsi="Times New Roman"/>
          <w:sz w:val="22"/>
          <w:szCs w:val="22"/>
        </w:rPr>
      </w:pPr>
      <w:r w:rsidRPr="007632A8">
        <w:rPr>
          <w:rFonts w:ascii="Times New Roman" w:hAnsi="Times New Roman"/>
          <w:sz w:val="22"/>
          <w:szCs w:val="22"/>
        </w:rPr>
        <w:t>In the context of a public-private partnership, where multiple bidders may be competing for a concession such that the obligor has not yet been identified, the procuring agency must submit the project’s Letter of Interest on behalf of the eventual obligor.</w:t>
      </w:r>
      <w:r w:rsidRPr="007632A8">
        <w:rPr>
          <w:rStyle w:val="FootnoteReference"/>
          <w:rFonts w:ascii="Times New Roman" w:hAnsi="Times New Roman"/>
          <w:sz w:val="22"/>
          <w:szCs w:val="22"/>
        </w:rPr>
        <w:footnoteReference w:id="144"/>
      </w:r>
      <w:r w:rsidRPr="007632A8">
        <w:rPr>
          <w:rFonts w:ascii="Times New Roman" w:hAnsi="Times New Roman"/>
          <w:sz w:val="22"/>
          <w:szCs w:val="22"/>
        </w:rPr>
        <w:t xml:space="preserve">  The DOT will not consider Letters of Interest that have not obtained the legal rights to develop the project.</w:t>
      </w:r>
      <w:r w:rsidRPr="007632A8">
        <w:rPr>
          <w:rStyle w:val="FootnoteReference"/>
          <w:rFonts w:ascii="Times New Roman" w:hAnsi="Times New Roman"/>
          <w:sz w:val="22"/>
          <w:szCs w:val="22"/>
        </w:rPr>
        <w:footnoteReference w:id="145"/>
      </w:r>
      <w:r w:rsidR="0054311F" w:rsidRPr="007632A8">
        <w:rPr>
          <w:rFonts w:ascii="Times New Roman" w:hAnsi="Times New Roman"/>
          <w:sz w:val="22"/>
          <w:szCs w:val="22"/>
        </w:rPr>
        <w:t xml:space="preserve">  </w:t>
      </w:r>
      <w:r w:rsidR="00190D5A">
        <w:rPr>
          <w:rFonts w:ascii="Times New Roman" w:hAnsi="Times New Roman"/>
          <w:sz w:val="22"/>
          <w:szCs w:val="22"/>
        </w:rPr>
        <w:t xml:space="preserve">However, as noted in Section 3-3 above, </w:t>
      </w:r>
      <w:r w:rsidR="00190D5A">
        <w:rPr>
          <w:rFonts w:ascii="Times New Roman" w:hAnsi="Times New Roman"/>
          <w:sz w:val="22"/>
        </w:rPr>
        <w:t>the DOT can assist procuring agencies in integrating the TIFIA application process w</w:t>
      </w:r>
      <w:r w:rsidR="001E0A4A">
        <w:rPr>
          <w:rFonts w:ascii="Times New Roman" w:hAnsi="Times New Roman"/>
          <w:sz w:val="22"/>
        </w:rPr>
        <w:t xml:space="preserve">ith </w:t>
      </w:r>
      <w:r w:rsidR="00190D5A">
        <w:rPr>
          <w:rFonts w:ascii="Times New Roman" w:hAnsi="Times New Roman"/>
          <w:sz w:val="22"/>
        </w:rPr>
        <w:t xml:space="preserve">the </w:t>
      </w:r>
      <w:r w:rsidR="001E0A4A">
        <w:rPr>
          <w:rFonts w:ascii="Times New Roman" w:hAnsi="Times New Roman"/>
          <w:sz w:val="22"/>
        </w:rPr>
        <w:t>procurement</w:t>
      </w:r>
      <w:r w:rsidR="00190D5A">
        <w:rPr>
          <w:rFonts w:ascii="Times New Roman" w:hAnsi="Times New Roman"/>
          <w:sz w:val="22"/>
        </w:rPr>
        <w:t xml:space="preserve"> process</w:t>
      </w:r>
      <w:r w:rsidR="001E0A4A">
        <w:rPr>
          <w:rFonts w:ascii="Times New Roman" w:hAnsi="Times New Roman"/>
          <w:sz w:val="22"/>
        </w:rPr>
        <w:t>.  In these circumstances,</w:t>
      </w:r>
      <w:r w:rsidR="00190D5A">
        <w:rPr>
          <w:rFonts w:ascii="Times New Roman" w:hAnsi="Times New Roman"/>
          <w:sz w:val="22"/>
        </w:rPr>
        <w:t xml:space="preserve"> the DOT </w:t>
      </w:r>
      <w:r w:rsidR="001E0A4A">
        <w:rPr>
          <w:rFonts w:ascii="Times New Roman" w:hAnsi="Times New Roman"/>
          <w:sz w:val="22"/>
        </w:rPr>
        <w:t>may</w:t>
      </w:r>
      <w:r w:rsidR="00190D5A">
        <w:rPr>
          <w:rFonts w:ascii="Times New Roman" w:hAnsi="Times New Roman"/>
          <w:sz w:val="22"/>
        </w:rPr>
        <w:t xml:space="preserve"> negotiate a preliminary indicative term sheet with the procuring agency that sets forth the general intent of the DOT, which the procuring agency may provide to potential bidders</w:t>
      </w:r>
      <w:r w:rsidR="001E0A4A">
        <w:rPr>
          <w:rFonts w:ascii="Times New Roman" w:hAnsi="Times New Roman"/>
          <w:sz w:val="22"/>
        </w:rPr>
        <w:t>.</w:t>
      </w:r>
    </w:p>
    <w:p w:rsidR="00B77793" w:rsidRDefault="00B77793" w:rsidP="004D29BE">
      <w:pPr>
        <w:pStyle w:val="TIFIAHeading2"/>
        <w:widowControl/>
        <w:spacing w:line="271" w:lineRule="atLeast"/>
        <w:outlineLvl w:val="0"/>
      </w:pPr>
      <w:r>
        <w:t>Components</w:t>
      </w:r>
    </w:p>
    <w:p w:rsidR="00B77793" w:rsidRPr="00D8398F" w:rsidRDefault="00B77793" w:rsidP="004D29BE">
      <w:pPr>
        <w:pStyle w:val="TIFIABodyText"/>
        <w:widowControl/>
        <w:spacing w:line="271" w:lineRule="atLeast"/>
        <w:rPr>
          <w:szCs w:val="22"/>
        </w:rPr>
      </w:pPr>
      <w:r w:rsidRPr="00D8398F">
        <w:rPr>
          <w:szCs w:val="22"/>
        </w:rPr>
        <w:t xml:space="preserve">The Letter of Interest should describe the project and the proposed financial plan, identify the proposed TIFIA borrower, detail how the TIFIA statutory </w:t>
      </w:r>
      <w:r w:rsidR="00846DE6">
        <w:rPr>
          <w:szCs w:val="22"/>
        </w:rPr>
        <w:t>eligibility requirements</w:t>
      </w:r>
      <w:r w:rsidRPr="00D8398F">
        <w:rPr>
          <w:szCs w:val="22"/>
        </w:rPr>
        <w:t xml:space="preserve"> are met, and discuss the benefits of the proposed project and its use of TIFIA </w:t>
      </w:r>
      <w:r w:rsidR="00171404">
        <w:rPr>
          <w:szCs w:val="22"/>
        </w:rPr>
        <w:t xml:space="preserve">credit </w:t>
      </w:r>
      <w:r w:rsidRPr="00D8398F">
        <w:rPr>
          <w:szCs w:val="22"/>
        </w:rPr>
        <w:t xml:space="preserve">assistance.  The letter should also summarize the project’s status in the environmental review process.  </w:t>
      </w:r>
    </w:p>
    <w:p w:rsidR="00B77793" w:rsidRPr="00D8398F" w:rsidRDefault="00B77793" w:rsidP="004D29BE">
      <w:pPr>
        <w:pStyle w:val="TIFIABodyText"/>
        <w:keepLines/>
        <w:widowControl/>
        <w:numPr>
          <w:ilvl w:val="0"/>
          <w:numId w:val="2"/>
        </w:numPr>
        <w:tabs>
          <w:tab w:val="left" w:pos="360"/>
        </w:tabs>
        <w:spacing w:line="271" w:lineRule="atLeast"/>
        <w:rPr>
          <w:szCs w:val="22"/>
        </w:rPr>
      </w:pPr>
      <w:r w:rsidRPr="00D8398F">
        <w:rPr>
          <w:szCs w:val="22"/>
          <w:u w:val="single"/>
        </w:rPr>
        <w:t>Project Description</w:t>
      </w:r>
      <w:r w:rsidRPr="00D8398F">
        <w:rPr>
          <w:szCs w:val="22"/>
        </w:rPr>
        <w:t>.  The letter should describe the project, including its location, purpose</w:t>
      </w:r>
      <w:r w:rsidR="006D59BF">
        <w:rPr>
          <w:szCs w:val="22"/>
        </w:rPr>
        <w:t xml:space="preserve"> (</w:t>
      </w:r>
      <w:r w:rsidR="006D59BF" w:rsidRPr="00EC479F">
        <w:rPr>
          <w:szCs w:val="22"/>
        </w:rPr>
        <w:t xml:space="preserve">including quantitative </w:t>
      </w:r>
      <w:r w:rsidR="00687777">
        <w:rPr>
          <w:szCs w:val="22"/>
        </w:rPr>
        <w:t xml:space="preserve">or </w:t>
      </w:r>
      <w:r w:rsidR="006D59BF" w:rsidRPr="00EC479F">
        <w:rPr>
          <w:szCs w:val="22"/>
        </w:rPr>
        <w:t>qualitative details on public benefits the project will achieve</w:t>
      </w:r>
      <w:r w:rsidR="006D59BF">
        <w:rPr>
          <w:szCs w:val="22"/>
        </w:rPr>
        <w:t>)</w:t>
      </w:r>
      <w:r w:rsidRPr="00D8398F">
        <w:rPr>
          <w:szCs w:val="22"/>
        </w:rPr>
        <w:t>, design features, estimated capital cost, development schedule</w:t>
      </w:r>
      <w:r w:rsidR="006D59BF">
        <w:rPr>
          <w:szCs w:val="22"/>
        </w:rPr>
        <w:t>, and other relevant descriptions of the project</w:t>
      </w:r>
      <w:r w:rsidRPr="00D8398F">
        <w:rPr>
          <w:szCs w:val="22"/>
        </w:rPr>
        <w:t>.</w:t>
      </w:r>
      <w:r w:rsidR="00171404">
        <w:rPr>
          <w:rStyle w:val="FootnoteReference"/>
          <w:szCs w:val="22"/>
        </w:rPr>
        <w:footnoteReference w:id="146"/>
      </w:r>
      <w:r w:rsidRPr="00D8398F">
        <w:rPr>
          <w:szCs w:val="22"/>
        </w:rPr>
        <w:t xml:space="preserve"> </w:t>
      </w:r>
    </w:p>
    <w:p w:rsidR="00B77793" w:rsidRPr="00D8398F" w:rsidRDefault="00B77793" w:rsidP="00F96EE3">
      <w:pPr>
        <w:pStyle w:val="TIFIABodyText"/>
        <w:keepLines/>
        <w:widowControl/>
        <w:numPr>
          <w:ilvl w:val="0"/>
          <w:numId w:val="2"/>
        </w:numPr>
        <w:tabs>
          <w:tab w:val="left" w:pos="360"/>
        </w:tabs>
        <w:spacing w:line="271" w:lineRule="atLeast"/>
        <w:rPr>
          <w:szCs w:val="22"/>
        </w:rPr>
      </w:pPr>
      <w:r w:rsidRPr="00D8398F">
        <w:rPr>
          <w:szCs w:val="22"/>
          <w:u w:val="single"/>
        </w:rPr>
        <w:lastRenderedPageBreak/>
        <w:t xml:space="preserve">Proposed </w:t>
      </w:r>
      <w:r w:rsidR="006D59BF">
        <w:rPr>
          <w:szCs w:val="22"/>
          <w:u w:val="single"/>
        </w:rPr>
        <w:t xml:space="preserve">Plan of </w:t>
      </w:r>
      <w:r w:rsidRPr="00D8398F">
        <w:rPr>
          <w:szCs w:val="22"/>
          <w:u w:val="single"/>
        </w:rPr>
        <w:t>Financ</w:t>
      </w:r>
      <w:r w:rsidR="006D59BF">
        <w:rPr>
          <w:szCs w:val="22"/>
          <w:u w:val="single"/>
        </w:rPr>
        <w:t>e</w:t>
      </w:r>
      <w:r w:rsidRPr="00D8398F">
        <w:rPr>
          <w:szCs w:val="22"/>
        </w:rPr>
        <w:t xml:space="preserve">.  The </w:t>
      </w:r>
      <w:r w:rsidR="006D59BF">
        <w:rPr>
          <w:szCs w:val="22"/>
        </w:rPr>
        <w:t xml:space="preserve">project sponsor </w:t>
      </w:r>
      <w:r w:rsidRPr="00D8398F">
        <w:rPr>
          <w:szCs w:val="22"/>
        </w:rPr>
        <w:t>should</w:t>
      </w:r>
      <w:r w:rsidR="006D59BF">
        <w:rPr>
          <w:szCs w:val="22"/>
        </w:rPr>
        <w:t xml:space="preserve"> detail the plan of finance in sufficient detail to assist the DOT in its creditworthiness assessment.</w:t>
      </w:r>
      <w:r w:rsidR="00144949">
        <w:rPr>
          <w:rStyle w:val="FootnoteReference"/>
          <w:szCs w:val="22"/>
        </w:rPr>
        <w:footnoteReference w:id="147"/>
      </w:r>
      <w:r w:rsidR="006D59BF">
        <w:rPr>
          <w:szCs w:val="22"/>
        </w:rPr>
        <w:t xml:space="preserve"> </w:t>
      </w:r>
      <w:r w:rsidR="00171404">
        <w:rPr>
          <w:szCs w:val="22"/>
        </w:rPr>
        <w:t xml:space="preserve"> </w:t>
      </w:r>
      <w:r w:rsidR="006D59BF">
        <w:rPr>
          <w:szCs w:val="22"/>
        </w:rPr>
        <w:t>The letter should</w:t>
      </w:r>
      <w:r w:rsidRPr="00D8398F">
        <w:rPr>
          <w:szCs w:val="22"/>
        </w:rPr>
        <w:t xml:space="preserve"> include the proposed sources and uses of funds for the project</w:t>
      </w:r>
      <w:r w:rsidR="00F96EE3">
        <w:rPr>
          <w:szCs w:val="22"/>
        </w:rPr>
        <w:t xml:space="preserve">, </w:t>
      </w:r>
      <w:r w:rsidR="00F96EE3" w:rsidRPr="00F96EE3">
        <w:rPr>
          <w:szCs w:val="22"/>
        </w:rPr>
        <w:t xml:space="preserve">a </w:t>
      </w:r>
      <w:r w:rsidR="002B54B7">
        <w:rPr>
          <w:szCs w:val="22"/>
        </w:rPr>
        <w:t xml:space="preserve">proposed </w:t>
      </w:r>
      <w:r w:rsidR="00F96EE3" w:rsidRPr="00F96EE3">
        <w:rPr>
          <w:szCs w:val="22"/>
        </w:rPr>
        <w:t>flow of funds of the proceeds that will be used to satisfy repayment of TIFIA credit assistance as well as any other project obligations</w:t>
      </w:r>
      <w:r w:rsidR="00F96EE3">
        <w:rPr>
          <w:szCs w:val="22"/>
        </w:rPr>
        <w:t>,</w:t>
      </w:r>
      <w:r w:rsidRPr="00D8398F">
        <w:rPr>
          <w:szCs w:val="22"/>
        </w:rPr>
        <w:t xml:space="preserve"> and state the type and amount of credit assistance to be sought from the DOT</w:t>
      </w:r>
      <w:r w:rsidR="00171404">
        <w:rPr>
          <w:szCs w:val="22"/>
        </w:rPr>
        <w:t>, including whether the project sponsor is requesting</w:t>
      </w:r>
      <w:r w:rsidR="007632A8">
        <w:rPr>
          <w:szCs w:val="22"/>
        </w:rPr>
        <w:t xml:space="preserve"> a </w:t>
      </w:r>
      <w:r w:rsidR="0009358F">
        <w:rPr>
          <w:szCs w:val="22"/>
        </w:rPr>
        <w:t>m</w:t>
      </w:r>
      <w:r w:rsidR="007632A8">
        <w:rPr>
          <w:szCs w:val="22"/>
        </w:rPr>
        <w:t xml:space="preserve">aster </w:t>
      </w:r>
      <w:r w:rsidR="0009358F">
        <w:rPr>
          <w:szCs w:val="22"/>
        </w:rPr>
        <w:t>c</w:t>
      </w:r>
      <w:r w:rsidR="007632A8">
        <w:rPr>
          <w:szCs w:val="22"/>
        </w:rPr>
        <w:t>redit</w:t>
      </w:r>
      <w:r w:rsidR="00A345A5" w:rsidRPr="00A345A5">
        <w:rPr>
          <w:szCs w:val="22"/>
        </w:rPr>
        <w:t xml:space="preserve"> </w:t>
      </w:r>
      <w:r w:rsidR="0009358F">
        <w:rPr>
          <w:szCs w:val="22"/>
        </w:rPr>
        <w:t>a</w:t>
      </w:r>
      <w:r w:rsidR="00A345A5" w:rsidRPr="00A345A5">
        <w:rPr>
          <w:szCs w:val="22"/>
        </w:rPr>
        <w:t>greement</w:t>
      </w:r>
      <w:r w:rsidR="00A345A5">
        <w:rPr>
          <w:szCs w:val="22"/>
        </w:rPr>
        <w:t>.</w:t>
      </w:r>
      <w:r w:rsidR="00A345A5" w:rsidRPr="00A345A5">
        <w:rPr>
          <w:szCs w:val="22"/>
        </w:rPr>
        <w:t xml:space="preserve"> </w:t>
      </w:r>
      <w:r w:rsidR="00A345A5">
        <w:rPr>
          <w:szCs w:val="22"/>
        </w:rPr>
        <w:t xml:space="preserve"> </w:t>
      </w:r>
      <w:r w:rsidR="00877032">
        <w:rPr>
          <w:szCs w:val="22"/>
        </w:rPr>
        <w:t>A potential applicant</w:t>
      </w:r>
      <w:r w:rsidR="00877032" w:rsidRPr="00877032">
        <w:rPr>
          <w:szCs w:val="22"/>
        </w:rPr>
        <w:t xml:space="preserve"> may combine more than one type of TIFIA credit assistance (secured loan, guaranteed loan, line of credit) for a single project in the same </w:t>
      </w:r>
      <w:r w:rsidR="00877032">
        <w:rPr>
          <w:szCs w:val="22"/>
        </w:rPr>
        <w:t>Letter of Interest</w:t>
      </w:r>
      <w:r w:rsidR="00877032" w:rsidRPr="00877032">
        <w:rPr>
          <w:szCs w:val="22"/>
        </w:rPr>
        <w:t>, provided that the total amount of requested credit assistance does not exceed the relevant percent of reasonably anticipated eligible project costs, as detailed in Chapter 2 of this Program Guide.</w:t>
      </w:r>
      <w:r w:rsidR="00877032">
        <w:rPr>
          <w:szCs w:val="22"/>
        </w:rPr>
        <w:t xml:space="preserve">  </w:t>
      </w:r>
      <w:r w:rsidR="009F065C" w:rsidRPr="00D8398F">
        <w:rPr>
          <w:szCs w:val="22"/>
        </w:rPr>
        <w:t xml:space="preserve">In both the Letter of Interest and in the subsequent application, the </w:t>
      </w:r>
      <w:r w:rsidR="009F065C">
        <w:rPr>
          <w:szCs w:val="22"/>
        </w:rPr>
        <w:t>project sponsor</w:t>
      </w:r>
      <w:r w:rsidR="009F065C" w:rsidRPr="00D8398F">
        <w:rPr>
          <w:szCs w:val="22"/>
        </w:rPr>
        <w:t xml:space="preserve"> should propose a single financing structure representing the most likely scenario.</w:t>
      </w:r>
      <w:r w:rsidR="009F065C">
        <w:rPr>
          <w:szCs w:val="22"/>
        </w:rPr>
        <w:t xml:space="preserve">  </w:t>
      </w:r>
      <w:r w:rsidR="009F065C" w:rsidRPr="00D8398F">
        <w:rPr>
          <w:szCs w:val="22"/>
        </w:rPr>
        <w:t xml:space="preserve">The DOT may ask applicants to develop alternative scenarios, as necessary.  </w:t>
      </w:r>
      <w:r w:rsidR="009F065C">
        <w:rPr>
          <w:szCs w:val="22"/>
        </w:rPr>
        <w:t>If the project sponsor has requested TIFIA credit assistance in excess of 33% of reasonably anticipated eligible project costs, the project sponsor should p</w:t>
      </w:r>
      <w:r w:rsidR="009F065C" w:rsidRPr="00531DD6">
        <w:rPr>
          <w:szCs w:val="22"/>
        </w:rPr>
        <w:t xml:space="preserve">rovide a rationale for the amount of TIFIA credit assistance requested.  </w:t>
      </w:r>
      <w:r w:rsidR="009F065C">
        <w:rPr>
          <w:szCs w:val="22"/>
        </w:rPr>
        <w:t>The letter should also e</w:t>
      </w:r>
      <w:r w:rsidR="009F065C" w:rsidRPr="00531DD6">
        <w:rPr>
          <w:szCs w:val="22"/>
        </w:rPr>
        <w:t>xplain the flexibility in the financial plan to finance the project with a reduced percentage of TIFIA credit assistance</w:t>
      </w:r>
      <w:r w:rsidR="009F065C" w:rsidRPr="00A345A5">
        <w:rPr>
          <w:szCs w:val="22"/>
        </w:rPr>
        <w:t>.</w:t>
      </w:r>
      <w:r w:rsidR="009F065C" w:rsidRPr="00EC479F">
        <w:rPr>
          <w:sz w:val="20"/>
        </w:rPr>
        <w:t xml:space="preserve">  </w:t>
      </w:r>
      <w:r w:rsidRPr="00D8398F">
        <w:rPr>
          <w:szCs w:val="22"/>
        </w:rPr>
        <w:t>The discussion of proposed financing should also identify the source(s) of revenue or other security that would be pledged to the TIFIA credit instrument.  Additionally, the letter should address the status of any revenue feasibility study.</w:t>
      </w:r>
      <w:r w:rsidR="009F065C">
        <w:rPr>
          <w:szCs w:val="22"/>
        </w:rPr>
        <w:t xml:space="preserve"> </w:t>
      </w:r>
    </w:p>
    <w:p w:rsidR="00B77793" w:rsidRPr="00D8398F" w:rsidRDefault="00B77793" w:rsidP="004D29BE">
      <w:pPr>
        <w:pStyle w:val="TIFIABodyText"/>
        <w:keepLines/>
        <w:widowControl/>
        <w:numPr>
          <w:ilvl w:val="0"/>
          <w:numId w:val="2"/>
        </w:numPr>
        <w:tabs>
          <w:tab w:val="left" w:pos="360"/>
        </w:tabs>
        <w:spacing w:line="271" w:lineRule="atLeast"/>
        <w:rPr>
          <w:szCs w:val="22"/>
        </w:rPr>
      </w:pPr>
      <w:r w:rsidRPr="00D8398F">
        <w:rPr>
          <w:szCs w:val="22"/>
          <w:u w:val="single"/>
        </w:rPr>
        <w:t>Environmental Review</w:t>
      </w:r>
      <w:r w:rsidRPr="00D8398F">
        <w:rPr>
          <w:szCs w:val="22"/>
        </w:rPr>
        <w:t>.  The letter should summarize the status of the project’s environmental review, and it should state specifically whether the project has received a Categorical Exclusion, Finding of No Significant Impact, or Record of Decision, or whether a draft Environmental Impact Statement has been circulated.</w:t>
      </w:r>
      <w:r w:rsidR="00144949">
        <w:rPr>
          <w:rStyle w:val="FootnoteReference"/>
          <w:szCs w:val="22"/>
        </w:rPr>
        <w:footnoteReference w:id="148"/>
      </w:r>
    </w:p>
    <w:p w:rsidR="00AD2661" w:rsidRPr="00AD2661" w:rsidRDefault="006D59BF" w:rsidP="002B54B7">
      <w:pPr>
        <w:pStyle w:val="TIFIABodyText"/>
        <w:keepLines/>
        <w:widowControl/>
        <w:numPr>
          <w:ilvl w:val="0"/>
          <w:numId w:val="2"/>
        </w:numPr>
        <w:tabs>
          <w:tab w:val="left" w:pos="360"/>
        </w:tabs>
        <w:spacing w:line="271" w:lineRule="atLeast"/>
        <w:rPr>
          <w:szCs w:val="22"/>
        </w:rPr>
      </w:pPr>
      <w:r w:rsidRPr="00AF056E">
        <w:rPr>
          <w:bCs/>
          <w:iCs/>
          <w:szCs w:val="22"/>
          <w:u w:val="single"/>
        </w:rPr>
        <w:t>Satisfaction of TIFIA Eligibility Requirements.</w:t>
      </w:r>
      <w:r w:rsidRPr="0048661D">
        <w:rPr>
          <w:bCs/>
          <w:iCs/>
          <w:szCs w:val="22"/>
        </w:rPr>
        <w:t xml:space="preserve">  The letter should </w:t>
      </w:r>
      <w:r w:rsidR="00AD2661" w:rsidRPr="00AD2661">
        <w:rPr>
          <w:szCs w:val="22"/>
        </w:rPr>
        <w:t xml:space="preserve">provide information regarding satisfaction the eligibility requirements of the TIFIA </w:t>
      </w:r>
      <w:r w:rsidR="00D02234">
        <w:rPr>
          <w:szCs w:val="22"/>
        </w:rPr>
        <w:t>P</w:t>
      </w:r>
      <w:r w:rsidR="00AD2661" w:rsidRPr="00AD2661">
        <w:rPr>
          <w:szCs w:val="22"/>
        </w:rPr>
        <w:t>rogram</w:t>
      </w:r>
      <w:r w:rsidRPr="00AF056E">
        <w:rPr>
          <w:bCs/>
          <w:iCs/>
          <w:szCs w:val="22"/>
        </w:rPr>
        <w:t xml:space="preserve"> </w:t>
      </w:r>
      <w:r w:rsidRPr="0048661D">
        <w:rPr>
          <w:szCs w:val="22"/>
        </w:rPr>
        <w:t>(see Chapter 5</w:t>
      </w:r>
      <w:r w:rsidRPr="00AF056E">
        <w:rPr>
          <w:szCs w:val="22"/>
        </w:rPr>
        <w:t>)</w:t>
      </w:r>
      <w:r w:rsidRPr="0048661D">
        <w:rPr>
          <w:bCs/>
          <w:iCs/>
          <w:szCs w:val="22"/>
        </w:rPr>
        <w:t>.</w:t>
      </w:r>
      <w:r w:rsidR="00144949">
        <w:rPr>
          <w:rStyle w:val="FootnoteReference"/>
          <w:bCs/>
          <w:iCs/>
          <w:szCs w:val="22"/>
        </w:rPr>
        <w:footnoteReference w:id="149"/>
      </w:r>
      <w:r w:rsidR="00AD2661" w:rsidRPr="007478FF">
        <w:rPr>
          <w:bCs/>
          <w:iCs/>
          <w:szCs w:val="22"/>
        </w:rPr>
        <w:t xml:space="preserve">  </w:t>
      </w:r>
      <w:r w:rsidR="00AD2661" w:rsidRPr="00AD2661">
        <w:rPr>
          <w:szCs w:val="22"/>
        </w:rPr>
        <w:t>The</w:t>
      </w:r>
      <w:r w:rsidR="002B54B7">
        <w:rPr>
          <w:szCs w:val="22"/>
        </w:rPr>
        <w:t xml:space="preserve"> letter must demonstrate how the project satisfies</w:t>
      </w:r>
      <w:r w:rsidR="00E651F3">
        <w:rPr>
          <w:szCs w:val="22"/>
        </w:rPr>
        <w:t xml:space="preserve"> </w:t>
      </w:r>
      <w:r w:rsidR="002B54B7" w:rsidRPr="002B54B7">
        <w:rPr>
          <w:szCs w:val="22"/>
        </w:rPr>
        <w:t>applicable creditworthiness standards</w:t>
      </w:r>
      <w:r w:rsidR="002B54B7">
        <w:rPr>
          <w:szCs w:val="22"/>
        </w:rPr>
        <w:t xml:space="preserve"> </w:t>
      </w:r>
      <w:r w:rsidR="00892DB6">
        <w:rPr>
          <w:szCs w:val="22"/>
        </w:rPr>
        <w:t xml:space="preserve">and must include proposed </w:t>
      </w:r>
      <w:r w:rsidR="002B54B7" w:rsidRPr="002B54B7">
        <w:rPr>
          <w:szCs w:val="22"/>
        </w:rPr>
        <w:t>indicative terms sought for the TIFIA credit assistance (</w:t>
      </w:r>
      <w:r w:rsidR="00892DB6">
        <w:rPr>
          <w:szCs w:val="22"/>
        </w:rPr>
        <w:t xml:space="preserve">including proposed </w:t>
      </w:r>
      <w:r w:rsidR="002B54B7" w:rsidRPr="002B54B7">
        <w:rPr>
          <w:szCs w:val="22"/>
        </w:rPr>
        <w:t xml:space="preserve">lien position, amortization schedule, </w:t>
      </w:r>
      <w:r w:rsidR="00892DB6">
        <w:rPr>
          <w:szCs w:val="22"/>
        </w:rPr>
        <w:t>and debt service coverage ratios</w:t>
      </w:r>
      <w:r w:rsidR="002B54B7" w:rsidRPr="002B54B7">
        <w:rPr>
          <w:szCs w:val="22"/>
        </w:rPr>
        <w:t xml:space="preserve">) </w:t>
      </w:r>
      <w:r w:rsidR="006D4E8F">
        <w:rPr>
          <w:szCs w:val="22"/>
        </w:rPr>
        <w:t>(see Section 5-1 for additional discussion regarding creditworthiness requirements)</w:t>
      </w:r>
      <w:r w:rsidR="00892DB6">
        <w:rPr>
          <w:szCs w:val="22"/>
        </w:rPr>
        <w:t xml:space="preserve">.  In addition, the letter must demonstrate that the project satisfies the following eligibility criteria: </w:t>
      </w:r>
      <w:r w:rsidR="00E651F3">
        <w:rPr>
          <w:szCs w:val="22"/>
        </w:rPr>
        <w:t>(</w:t>
      </w:r>
      <w:proofErr w:type="spellStart"/>
      <w:r w:rsidR="001C4FEF">
        <w:rPr>
          <w:szCs w:val="22"/>
        </w:rPr>
        <w:t>i</w:t>
      </w:r>
      <w:proofErr w:type="spellEnd"/>
      <w:r w:rsidR="00E651F3">
        <w:rPr>
          <w:szCs w:val="22"/>
        </w:rPr>
        <w:t>)</w:t>
      </w:r>
      <w:r w:rsidR="00144949">
        <w:rPr>
          <w:szCs w:val="22"/>
        </w:rPr>
        <w:t xml:space="preserve"> TIFIA credit assistance </w:t>
      </w:r>
      <w:r w:rsidR="00E651F3">
        <w:rPr>
          <w:szCs w:val="22"/>
        </w:rPr>
        <w:t xml:space="preserve">(a) </w:t>
      </w:r>
      <w:r w:rsidR="00144949">
        <w:rPr>
          <w:szCs w:val="22"/>
        </w:rPr>
        <w:t xml:space="preserve">would </w:t>
      </w:r>
      <w:r w:rsidR="00AD2661" w:rsidRPr="00AD2661">
        <w:rPr>
          <w:szCs w:val="22"/>
        </w:rPr>
        <w:t>foster (if appropriate) partnerships that attract public and private investment for the project,</w:t>
      </w:r>
      <w:r w:rsidR="00144949">
        <w:rPr>
          <w:szCs w:val="22"/>
        </w:rPr>
        <w:t xml:space="preserve"> </w:t>
      </w:r>
      <w:r w:rsidR="00E651F3">
        <w:rPr>
          <w:szCs w:val="22"/>
        </w:rPr>
        <w:t xml:space="preserve">(b) </w:t>
      </w:r>
      <w:r w:rsidR="00144949">
        <w:rPr>
          <w:szCs w:val="22"/>
        </w:rPr>
        <w:t>would</w:t>
      </w:r>
      <w:r w:rsidR="00AD2661" w:rsidRPr="00AD2661">
        <w:rPr>
          <w:szCs w:val="22"/>
        </w:rPr>
        <w:t xml:space="preserve"> enable the project to proceed at an earlier date than the project would otherwise be able to proceed or </w:t>
      </w:r>
      <w:r w:rsidR="00144949">
        <w:rPr>
          <w:szCs w:val="22"/>
        </w:rPr>
        <w:t xml:space="preserve">would </w:t>
      </w:r>
      <w:r w:rsidR="00AD2661" w:rsidRPr="00AD2661">
        <w:rPr>
          <w:szCs w:val="22"/>
        </w:rPr>
        <w:t>reduce lifecycle costs</w:t>
      </w:r>
      <w:r w:rsidR="00AD2661">
        <w:rPr>
          <w:szCs w:val="22"/>
        </w:rPr>
        <w:t xml:space="preserve"> </w:t>
      </w:r>
      <w:r w:rsidR="00AD2661" w:rsidRPr="00AD2661">
        <w:rPr>
          <w:szCs w:val="22"/>
        </w:rPr>
        <w:t>of the project,</w:t>
      </w:r>
      <w:r w:rsidR="00144949">
        <w:rPr>
          <w:szCs w:val="22"/>
        </w:rPr>
        <w:t xml:space="preserve"> </w:t>
      </w:r>
      <w:r w:rsidR="00E651F3">
        <w:rPr>
          <w:szCs w:val="22"/>
        </w:rPr>
        <w:t xml:space="preserve">and (c) </w:t>
      </w:r>
      <w:r w:rsidR="00144949">
        <w:rPr>
          <w:szCs w:val="22"/>
        </w:rPr>
        <w:t>would</w:t>
      </w:r>
      <w:r w:rsidR="00AD2661" w:rsidRPr="00AD2661">
        <w:rPr>
          <w:szCs w:val="22"/>
        </w:rPr>
        <w:t xml:space="preserve"> reduce the contribution of Federal g</w:t>
      </w:r>
      <w:r w:rsidR="00E651F3">
        <w:rPr>
          <w:szCs w:val="22"/>
        </w:rPr>
        <w:t>rant assistance for the project;</w:t>
      </w:r>
      <w:r w:rsidR="00AD2661" w:rsidRPr="00AD2661">
        <w:rPr>
          <w:szCs w:val="22"/>
        </w:rPr>
        <w:t xml:space="preserve"> and</w:t>
      </w:r>
      <w:r w:rsidR="00E651F3">
        <w:rPr>
          <w:szCs w:val="22"/>
        </w:rPr>
        <w:t xml:space="preserve"> (</w:t>
      </w:r>
      <w:r w:rsidR="001C4FEF">
        <w:rPr>
          <w:szCs w:val="22"/>
        </w:rPr>
        <w:t>ii</w:t>
      </w:r>
      <w:r w:rsidR="00E651F3">
        <w:rPr>
          <w:szCs w:val="22"/>
        </w:rPr>
        <w:t>)</w:t>
      </w:r>
      <w:r w:rsidR="00AD2661" w:rsidRPr="00AD2661">
        <w:rPr>
          <w:szCs w:val="22"/>
        </w:rPr>
        <w:t xml:space="preserve"> the construction contracting process for the project can commence no more than 90 days </w:t>
      </w:r>
      <w:r w:rsidR="00E651F3">
        <w:rPr>
          <w:szCs w:val="22"/>
        </w:rPr>
        <w:t>after</w:t>
      </w:r>
      <w:r w:rsidR="00AD2661" w:rsidRPr="00AD2661">
        <w:rPr>
          <w:szCs w:val="22"/>
        </w:rPr>
        <w:t xml:space="preserve"> </w:t>
      </w:r>
      <w:r w:rsidR="00DB1A32">
        <w:rPr>
          <w:szCs w:val="22"/>
        </w:rPr>
        <w:t xml:space="preserve">the </w:t>
      </w:r>
      <w:r w:rsidR="00AD2661" w:rsidRPr="00AD2661">
        <w:rPr>
          <w:szCs w:val="22"/>
        </w:rPr>
        <w:t xml:space="preserve">execution of a TIFIA credit instrument.  </w:t>
      </w:r>
    </w:p>
    <w:p w:rsidR="006D59BF" w:rsidRPr="00D8398F" w:rsidRDefault="006D59BF" w:rsidP="006D59BF">
      <w:pPr>
        <w:pStyle w:val="TIFIABodyText"/>
        <w:keepLines/>
        <w:widowControl/>
        <w:numPr>
          <w:ilvl w:val="0"/>
          <w:numId w:val="2"/>
        </w:numPr>
        <w:tabs>
          <w:tab w:val="left" w:pos="360"/>
        </w:tabs>
        <w:spacing w:line="271" w:lineRule="atLeast"/>
        <w:rPr>
          <w:szCs w:val="22"/>
        </w:rPr>
      </w:pPr>
      <w:r w:rsidRPr="00D8398F">
        <w:rPr>
          <w:szCs w:val="22"/>
          <w:u w:val="single"/>
        </w:rPr>
        <w:lastRenderedPageBreak/>
        <w:t>Proposed Participants</w:t>
      </w:r>
      <w:r w:rsidRPr="00D8398F">
        <w:rPr>
          <w:szCs w:val="22"/>
        </w:rPr>
        <w:t xml:space="preserve">.  The letter should describe the proposed borrower’s organizational structure, </w:t>
      </w:r>
      <w:r w:rsidR="00AD2661" w:rsidRPr="00D8398F">
        <w:rPr>
          <w:szCs w:val="22"/>
        </w:rPr>
        <w:t>identify the entity that will serve as the applicant,</w:t>
      </w:r>
      <w:r w:rsidR="00AD2661">
        <w:rPr>
          <w:szCs w:val="22"/>
        </w:rPr>
        <w:t xml:space="preserve"> identify if the applicant and borrower will be the same entity, </w:t>
      </w:r>
      <w:r w:rsidRPr="00D8398F">
        <w:rPr>
          <w:szCs w:val="22"/>
        </w:rPr>
        <w:t>list significant members of the project team, describe the proposed borrower’s relationship to subsidiaries or affiliates, if any, and provide a web site link where additional information can be found.</w:t>
      </w:r>
      <w:r w:rsidR="00092D13">
        <w:rPr>
          <w:szCs w:val="22"/>
        </w:rPr>
        <w:t xml:space="preserve"> </w:t>
      </w:r>
      <w:r w:rsidR="00F40283">
        <w:rPr>
          <w:szCs w:val="22"/>
        </w:rPr>
        <w:t xml:space="preserve"> </w:t>
      </w:r>
      <w:r w:rsidR="00877032" w:rsidRPr="00D8398F">
        <w:rPr>
          <w:szCs w:val="22"/>
        </w:rPr>
        <w:t>A public agency that seeks access to TIFIA on behalf of multiple competitors for a project concession must submit the project’s Letter of Interest.  Although the public agency would not become the TIFIA borrower, nor even have yet identified the TIFIA applicant, it must provide information sufficient for the DOT to evaluate the project against the TIFIA program objectives.  The DOT will not consider Letters of Interest from entities that have not obtained rights to develop the project.</w:t>
      </w:r>
      <w:r w:rsidR="00877032">
        <w:rPr>
          <w:szCs w:val="22"/>
        </w:rPr>
        <w:t xml:space="preserve">  I</w:t>
      </w:r>
      <w:r w:rsidR="00877032" w:rsidRPr="00531DD6">
        <w:rPr>
          <w:szCs w:val="22"/>
        </w:rPr>
        <w:t xml:space="preserve">f </w:t>
      </w:r>
      <w:r w:rsidR="00877032">
        <w:rPr>
          <w:szCs w:val="22"/>
        </w:rPr>
        <w:t>the potential applicant is seeking a secured loan at the reduced, rural interest rate</w:t>
      </w:r>
      <w:r w:rsidR="00877032" w:rsidRPr="00531DD6">
        <w:rPr>
          <w:szCs w:val="22"/>
        </w:rPr>
        <w:t xml:space="preserve">, </w:t>
      </w:r>
      <w:r w:rsidR="00877032">
        <w:rPr>
          <w:szCs w:val="22"/>
        </w:rPr>
        <w:t xml:space="preserve">the letter should also </w:t>
      </w:r>
      <w:r w:rsidR="00877032" w:rsidRPr="00531DD6">
        <w:rPr>
          <w:szCs w:val="22"/>
        </w:rPr>
        <w:t>detail how the project meets MAP-21’s definition of a rural infrastructure project</w:t>
      </w:r>
      <w:r w:rsidR="00E73667">
        <w:rPr>
          <w:rStyle w:val="FootnoteReference"/>
          <w:szCs w:val="22"/>
        </w:rPr>
        <w:footnoteReference w:id="150"/>
      </w:r>
      <w:r w:rsidR="00E73667">
        <w:rPr>
          <w:szCs w:val="22"/>
        </w:rPr>
        <w:t xml:space="preserve">, </w:t>
      </w:r>
      <w:r w:rsidR="00E73667">
        <w:t>as well as whether the project is located outside of an urbanized area (as defined under title 23)</w:t>
      </w:r>
      <w:r w:rsidR="00E73667">
        <w:rPr>
          <w:rStyle w:val="FootnoteReference"/>
        </w:rPr>
        <w:footnoteReference w:id="151"/>
      </w:r>
      <w:r w:rsidR="00877032">
        <w:rPr>
          <w:szCs w:val="22"/>
        </w:rPr>
        <w:t xml:space="preserve">.  </w:t>
      </w:r>
    </w:p>
    <w:p w:rsidR="00B77793" w:rsidRPr="00D8398F" w:rsidRDefault="00B77793" w:rsidP="004D29BE">
      <w:pPr>
        <w:pStyle w:val="TIFIABodyText"/>
        <w:keepLines/>
        <w:widowControl/>
        <w:numPr>
          <w:ilvl w:val="0"/>
          <w:numId w:val="2"/>
        </w:numPr>
        <w:tabs>
          <w:tab w:val="left" w:pos="360"/>
        </w:tabs>
        <w:spacing w:line="271" w:lineRule="atLeast"/>
        <w:rPr>
          <w:szCs w:val="22"/>
        </w:rPr>
      </w:pPr>
      <w:r w:rsidRPr="00D8398F">
        <w:rPr>
          <w:szCs w:val="22"/>
          <w:u w:val="single"/>
        </w:rPr>
        <w:t>Planning</w:t>
      </w:r>
      <w:r w:rsidRPr="00D8398F">
        <w:rPr>
          <w:szCs w:val="22"/>
        </w:rPr>
        <w:t xml:space="preserve">.  </w:t>
      </w:r>
      <w:r>
        <w:rPr>
          <w:szCs w:val="22"/>
        </w:rPr>
        <w:t>The letter should e</w:t>
      </w:r>
      <w:r w:rsidRPr="00D8398F">
        <w:rPr>
          <w:szCs w:val="22"/>
        </w:rPr>
        <w:t>xplain whether the project is consistent with the Federally-required long range transportation plan and transportation improvement program</w:t>
      </w:r>
      <w:r w:rsidR="003F0599">
        <w:rPr>
          <w:szCs w:val="22"/>
        </w:rPr>
        <w:t xml:space="preserve">, and whether the project has been included in the </w:t>
      </w:r>
      <w:r w:rsidR="003F0599">
        <w:t>state’s long-range transportation plan and the approved STIP</w:t>
      </w:r>
      <w:r w:rsidRPr="00D8398F">
        <w:rPr>
          <w:szCs w:val="22"/>
        </w:rPr>
        <w:t>.</w:t>
      </w:r>
    </w:p>
    <w:p w:rsidR="00B77793" w:rsidRPr="00D8398F" w:rsidRDefault="00B77793" w:rsidP="004D29BE">
      <w:pPr>
        <w:pStyle w:val="TIFIABodyText"/>
        <w:keepLines/>
        <w:widowControl/>
        <w:numPr>
          <w:ilvl w:val="0"/>
          <w:numId w:val="2"/>
        </w:numPr>
        <w:tabs>
          <w:tab w:val="left" w:pos="360"/>
        </w:tabs>
        <w:spacing w:line="271" w:lineRule="atLeast"/>
        <w:rPr>
          <w:szCs w:val="22"/>
        </w:rPr>
      </w:pPr>
      <w:r w:rsidRPr="00D8398F">
        <w:rPr>
          <w:szCs w:val="22"/>
          <w:u w:val="single"/>
        </w:rPr>
        <w:t>Schedule</w:t>
      </w:r>
      <w:r w:rsidRPr="00D8398F">
        <w:rPr>
          <w:szCs w:val="22"/>
        </w:rPr>
        <w:t xml:space="preserve">.  </w:t>
      </w:r>
      <w:r>
        <w:rPr>
          <w:szCs w:val="22"/>
        </w:rPr>
        <w:t>The letter should d</w:t>
      </w:r>
      <w:r w:rsidRPr="00D8398F">
        <w:rPr>
          <w:szCs w:val="22"/>
        </w:rPr>
        <w:t>etail the timetable for requesting TIFIA credit assistance, demonstrate that the application could be prepared within a short timeframe, and explain any potential factors that could impact the timetable.</w:t>
      </w:r>
      <w:r w:rsidR="003F0599">
        <w:rPr>
          <w:szCs w:val="22"/>
        </w:rPr>
        <w:t xml:space="preserve">  The letter should include the project’s anticipated procurement and construction contracting scheduling (including the anticipated dates for bidder selection and contract execution), the schedule for finalization of the feasibility study (where applicable), and the timeline for achieving financial close.  </w:t>
      </w:r>
    </w:p>
    <w:p w:rsidR="00B77793" w:rsidRDefault="00B77793" w:rsidP="004D29BE">
      <w:pPr>
        <w:pStyle w:val="TIFIABodyText"/>
        <w:keepLines/>
        <w:widowControl/>
        <w:numPr>
          <w:ilvl w:val="0"/>
          <w:numId w:val="2"/>
        </w:numPr>
        <w:tabs>
          <w:tab w:val="left" w:pos="360"/>
        </w:tabs>
        <w:spacing w:line="271" w:lineRule="atLeast"/>
        <w:rPr>
          <w:szCs w:val="22"/>
        </w:rPr>
      </w:pPr>
      <w:r w:rsidRPr="00D8398F">
        <w:rPr>
          <w:szCs w:val="22"/>
          <w:u w:val="single"/>
        </w:rPr>
        <w:t>Contact Information</w:t>
      </w:r>
      <w:r w:rsidRPr="00D8398F">
        <w:rPr>
          <w:szCs w:val="22"/>
        </w:rPr>
        <w:t xml:space="preserve">.  </w:t>
      </w:r>
      <w:r>
        <w:rPr>
          <w:szCs w:val="22"/>
        </w:rPr>
        <w:t>The letter should i</w:t>
      </w:r>
      <w:r w:rsidRPr="00D8398F">
        <w:rPr>
          <w:szCs w:val="22"/>
        </w:rPr>
        <w:t>dentify a key contact person with whom all communication should flow.</w:t>
      </w:r>
    </w:p>
    <w:p w:rsidR="00204F27" w:rsidRDefault="00204F27" w:rsidP="004D29BE">
      <w:pPr>
        <w:pStyle w:val="TIFIABodyText"/>
        <w:keepLines/>
        <w:widowControl/>
        <w:numPr>
          <w:ilvl w:val="0"/>
          <w:numId w:val="2"/>
        </w:numPr>
        <w:tabs>
          <w:tab w:val="left" w:pos="360"/>
        </w:tabs>
        <w:spacing w:line="271" w:lineRule="atLeast"/>
        <w:rPr>
          <w:szCs w:val="22"/>
        </w:rPr>
      </w:pPr>
      <w:r>
        <w:rPr>
          <w:szCs w:val="22"/>
          <w:u w:val="single"/>
        </w:rPr>
        <w:t>Additional Information</w:t>
      </w:r>
      <w:r w:rsidRPr="00EC479F">
        <w:rPr>
          <w:szCs w:val="22"/>
        </w:rPr>
        <w:t>.</w:t>
      </w:r>
      <w:r>
        <w:rPr>
          <w:szCs w:val="22"/>
        </w:rPr>
        <w:t xml:space="preserve">  The letter should provide the additional information requested</w:t>
      </w:r>
      <w:r w:rsidR="00D1765F">
        <w:rPr>
          <w:szCs w:val="22"/>
        </w:rPr>
        <w:t xml:space="preserve"> in the Letter of Interest form</w:t>
      </w:r>
      <w:r>
        <w:rPr>
          <w:szCs w:val="22"/>
        </w:rPr>
        <w:t>, including certification</w:t>
      </w:r>
      <w:r w:rsidR="00D1765F">
        <w:rPr>
          <w:szCs w:val="22"/>
        </w:rPr>
        <w:t xml:space="preserve"> as to </w:t>
      </w:r>
      <w:r w:rsidR="00D1765F">
        <w:t>no delinquency or default on any Federal debt or debarment from participation in any Federal programs</w:t>
      </w:r>
      <w:r w:rsidR="0029645D">
        <w:t>,</w:t>
      </w:r>
      <w:r w:rsidR="00453543">
        <w:rPr>
          <w:rStyle w:val="FootnoteReference"/>
          <w:szCs w:val="22"/>
        </w:rPr>
        <w:footnoteReference w:id="152"/>
      </w:r>
      <w:r w:rsidR="009F065C">
        <w:rPr>
          <w:szCs w:val="22"/>
        </w:rPr>
        <w:t xml:space="preserve"> </w:t>
      </w:r>
      <w:r w:rsidR="0029645D">
        <w:rPr>
          <w:szCs w:val="22"/>
        </w:rPr>
        <w:t xml:space="preserve">and </w:t>
      </w:r>
      <w:r w:rsidR="0029645D" w:rsidRPr="00D8398F">
        <w:rPr>
          <w:szCs w:val="22"/>
        </w:rPr>
        <w:t>any other relevant information</w:t>
      </w:r>
      <w:r w:rsidR="0029645D" w:rsidRPr="00D8398F">
        <w:rPr>
          <w:bCs/>
          <w:iCs/>
          <w:szCs w:val="22"/>
        </w:rPr>
        <w:t xml:space="preserve"> that could affect the development and financing of the project, such as community support, pending legislation, or litigation</w:t>
      </w:r>
      <w:r w:rsidR="0029645D">
        <w:rPr>
          <w:szCs w:val="22"/>
        </w:rPr>
        <w:t>.</w:t>
      </w:r>
    </w:p>
    <w:p w:rsidR="00B77793" w:rsidRPr="00D8398F" w:rsidRDefault="00B77793" w:rsidP="004D29BE">
      <w:pPr>
        <w:pStyle w:val="TIFIABodyText"/>
        <w:widowControl/>
        <w:numPr>
          <w:ilvl w:val="12"/>
          <w:numId w:val="0"/>
        </w:numPr>
        <w:tabs>
          <w:tab w:val="left" w:pos="360"/>
        </w:tabs>
        <w:spacing w:line="271" w:lineRule="atLeast"/>
        <w:rPr>
          <w:szCs w:val="22"/>
        </w:rPr>
      </w:pPr>
      <w:r w:rsidRPr="00D8398F">
        <w:rPr>
          <w:szCs w:val="22"/>
        </w:rPr>
        <w:t xml:space="preserve">When preparing the Letter of Interest, applicants </w:t>
      </w:r>
      <w:r w:rsidR="00340B73">
        <w:rPr>
          <w:szCs w:val="22"/>
        </w:rPr>
        <w:t>must</w:t>
      </w:r>
      <w:r w:rsidR="00340B73" w:rsidRPr="00D8398F">
        <w:rPr>
          <w:szCs w:val="22"/>
        </w:rPr>
        <w:t xml:space="preserve"> </w:t>
      </w:r>
      <w:r w:rsidRPr="00D8398F">
        <w:rPr>
          <w:szCs w:val="22"/>
        </w:rPr>
        <w:t xml:space="preserve">utilize the format provided on the TIFIA web site.  In cases where there are differences between the guidance in this document and the guidance on the web site form, </w:t>
      </w:r>
      <w:r w:rsidR="00D1765F">
        <w:rPr>
          <w:szCs w:val="22"/>
        </w:rPr>
        <w:t xml:space="preserve">the web site form will govern and project sponsors should conform their responses to </w:t>
      </w:r>
      <w:r w:rsidRPr="00D8398F">
        <w:rPr>
          <w:szCs w:val="22"/>
        </w:rPr>
        <w:t xml:space="preserve">the </w:t>
      </w:r>
      <w:r w:rsidR="00D1765F">
        <w:rPr>
          <w:szCs w:val="22"/>
        </w:rPr>
        <w:t>form</w:t>
      </w:r>
      <w:r w:rsidRPr="00D8398F">
        <w:rPr>
          <w:szCs w:val="22"/>
        </w:rPr>
        <w:t xml:space="preserve">.  </w:t>
      </w:r>
    </w:p>
    <w:p w:rsidR="00AB08A0" w:rsidRPr="00EC479F" w:rsidRDefault="00AB08A0" w:rsidP="00AB08A0">
      <w:pPr>
        <w:pStyle w:val="TIFIABodyText"/>
        <w:keepNext/>
        <w:keepLines/>
        <w:widowControl/>
        <w:tabs>
          <w:tab w:val="left" w:pos="360"/>
        </w:tabs>
        <w:spacing w:line="271" w:lineRule="atLeast"/>
        <w:outlineLvl w:val="0"/>
        <w:rPr>
          <w:rFonts w:ascii="Arial" w:hAnsi="Arial"/>
          <w:b/>
        </w:rPr>
      </w:pPr>
      <w:r w:rsidRPr="00EC479F">
        <w:rPr>
          <w:rFonts w:ascii="Arial" w:hAnsi="Arial"/>
          <w:b/>
        </w:rPr>
        <w:lastRenderedPageBreak/>
        <w:t>Oral Presentation</w:t>
      </w:r>
    </w:p>
    <w:p w:rsidR="00B77793" w:rsidRPr="00C8450C" w:rsidRDefault="00AB5718" w:rsidP="00EC479F">
      <w:pPr>
        <w:pStyle w:val="TIFIABodyText"/>
        <w:widowControl/>
        <w:tabs>
          <w:tab w:val="left" w:pos="360"/>
        </w:tabs>
        <w:spacing w:line="271" w:lineRule="atLeast"/>
        <w:rPr>
          <w:szCs w:val="22"/>
        </w:rPr>
      </w:pPr>
      <w:r w:rsidRPr="005205A2">
        <w:rPr>
          <w:szCs w:val="22"/>
        </w:rPr>
        <w:t xml:space="preserve">Following the initial </w:t>
      </w:r>
      <w:r w:rsidR="00DA66B9">
        <w:rPr>
          <w:szCs w:val="22"/>
        </w:rPr>
        <w:t xml:space="preserve">eligibility </w:t>
      </w:r>
      <w:r w:rsidRPr="005205A2">
        <w:rPr>
          <w:szCs w:val="22"/>
        </w:rPr>
        <w:t>review of the Letter of Interest</w:t>
      </w:r>
      <w:r>
        <w:rPr>
          <w:szCs w:val="22"/>
        </w:rPr>
        <w:t xml:space="preserve"> and receipt of a preliminary rating opinion letter and the $100,000</w:t>
      </w:r>
      <w:r w:rsidRPr="005205A2">
        <w:rPr>
          <w:szCs w:val="22"/>
        </w:rPr>
        <w:t xml:space="preserve">, the DOT will </w:t>
      </w:r>
      <w:r w:rsidR="002C27DA">
        <w:rPr>
          <w:szCs w:val="22"/>
        </w:rPr>
        <w:t>request that</w:t>
      </w:r>
      <w:r w:rsidRPr="005205A2">
        <w:rPr>
          <w:szCs w:val="22"/>
        </w:rPr>
        <w:t xml:space="preserve"> the </w:t>
      </w:r>
      <w:r>
        <w:rPr>
          <w:szCs w:val="22"/>
        </w:rPr>
        <w:t xml:space="preserve">potential </w:t>
      </w:r>
      <w:r w:rsidRPr="005205A2">
        <w:rPr>
          <w:szCs w:val="22"/>
        </w:rPr>
        <w:t xml:space="preserve">applicant </w:t>
      </w:r>
      <w:r w:rsidR="002C27DA">
        <w:rPr>
          <w:szCs w:val="22"/>
        </w:rPr>
        <w:t>gives</w:t>
      </w:r>
      <w:r w:rsidRPr="005205A2">
        <w:rPr>
          <w:szCs w:val="22"/>
        </w:rPr>
        <w:t xml:space="preserve"> an oral presentation </w:t>
      </w:r>
      <w:r w:rsidR="002C27DA">
        <w:rPr>
          <w:szCs w:val="22"/>
        </w:rPr>
        <w:t xml:space="preserve">to the DOT, </w:t>
      </w:r>
      <w:r w:rsidRPr="005205A2">
        <w:rPr>
          <w:szCs w:val="22"/>
        </w:rPr>
        <w:t xml:space="preserve">followed by a question and answer session.  </w:t>
      </w:r>
      <w:r w:rsidR="00AB08A0" w:rsidRPr="00EC479F">
        <w:t>In addition to the DOT</w:t>
      </w:r>
      <w:r w:rsidR="00CB545E">
        <w:t xml:space="preserve"> technical</w:t>
      </w:r>
      <w:r w:rsidR="00AB08A0" w:rsidRPr="00EC479F">
        <w:t xml:space="preserve"> </w:t>
      </w:r>
      <w:r w:rsidR="004867FC">
        <w:t>review</w:t>
      </w:r>
      <w:r w:rsidR="00AB08A0" w:rsidRPr="00EC479F">
        <w:t xml:space="preserve"> team and its advisors, other officials, including members of the DOT Credit Council, may attend the presentation.  This presentation is intended to clarify the potential applicant’s proposed development plans for the project, including the financing structure, and to resolve other issues relating to the </w:t>
      </w:r>
      <w:r w:rsidR="00CD2D6D">
        <w:t>Letter of Interest</w:t>
      </w:r>
      <w:r w:rsidR="00AB08A0" w:rsidRPr="00EC479F">
        <w:t xml:space="preserve">.  The structure and content of the presentation will be discussed with each </w:t>
      </w:r>
      <w:r w:rsidR="00CD2D6D">
        <w:t xml:space="preserve">potential </w:t>
      </w:r>
      <w:r w:rsidR="00AB08A0" w:rsidRPr="00EC479F">
        <w:t xml:space="preserve">applicant at the time of the </w:t>
      </w:r>
      <w:r w:rsidR="002C27DA">
        <w:t>request</w:t>
      </w:r>
      <w:r w:rsidR="00AB08A0" w:rsidRPr="00EC479F">
        <w:t xml:space="preserve">.  At the presentation, the DOT may require the </w:t>
      </w:r>
      <w:r w:rsidR="00CD2D6D">
        <w:t xml:space="preserve">potential </w:t>
      </w:r>
      <w:r w:rsidR="00AB08A0" w:rsidRPr="00EC479F">
        <w:t xml:space="preserve">applicant to provide additional information, including clarifications regarding cash flows, sources and uses, or other issues.  </w:t>
      </w:r>
    </w:p>
    <w:p w:rsidR="00B77793" w:rsidRDefault="00B77793">
      <w:pPr>
        <w:pStyle w:val="TIFIAHeading1a"/>
        <w:widowControl/>
        <w:numPr>
          <w:ilvl w:val="12"/>
          <w:numId w:val="0"/>
        </w:numPr>
        <w:outlineLvl w:val="0"/>
      </w:pPr>
      <w:bookmarkStart w:id="21" w:name="OLE_LINK10"/>
      <w:bookmarkStart w:id="22" w:name="OLE_LINK11"/>
      <w:r>
        <w:t>Section 4-3</w:t>
      </w:r>
    </w:p>
    <w:p w:rsidR="00B77793" w:rsidRDefault="00B77793" w:rsidP="004D29BE">
      <w:pPr>
        <w:pStyle w:val="TIFIAHeading1b"/>
        <w:widowControl/>
        <w:numPr>
          <w:ilvl w:val="12"/>
          <w:numId w:val="0"/>
        </w:numPr>
        <w:spacing w:after="240"/>
        <w:outlineLvl w:val="0"/>
      </w:pPr>
      <w:r>
        <w:t>Application</w:t>
      </w:r>
    </w:p>
    <w:bookmarkEnd w:id="21"/>
    <w:bookmarkEnd w:id="22"/>
    <w:p w:rsidR="00B77793" w:rsidRDefault="00442D1C" w:rsidP="00442D1C">
      <w:pPr>
        <w:jc w:val="both"/>
        <w:rPr>
          <w:rFonts w:ascii="Times New Roman" w:hAnsi="Times New Roman"/>
          <w:sz w:val="22"/>
          <w:szCs w:val="22"/>
        </w:rPr>
      </w:pPr>
      <w:r w:rsidRPr="00975B87">
        <w:rPr>
          <w:rFonts w:ascii="Times New Roman" w:hAnsi="Times New Roman"/>
          <w:sz w:val="22"/>
          <w:szCs w:val="22"/>
        </w:rPr>
        <w:t xml:space="preserve">After concluding its review of each Letter of Interest </w:t>
      </w:r>
      <w:r w:rsidR="00DA66B9">
        <w:rPr>
          <w:rFonts w:ascii="Times New Roman" w:hAnsi="Times New Roman"/>
          <w:sz w:val="22"/>
          <w:szCs w:val="22"/>
        </w:rPr>
        <w:t xml:space="preserve">(including both the initial eligibility determination and an in-depth review of the creditworthiness of the project) </w:t>
      </w:r>
      <w:r w:rsidRPr="00975B87">
        <w:rPr>
          <w:rFonts w:ascii="Times New Roman" w:hAnsi="Times New Roman"/>
          <w:sz w:val="22"/>
          <w:szCs w:val="22"/>
        </w:rPr>
        <w:t xml:space="preserve">and related information submitted by </w:t>
      </w:r>
      <w:r>
        <w:rPr>
          <w:rFonts w:ascii="Times New Roman" w:hAnsi="Times New Roman"/>
          <w:sz w:val="22"/>
          <w:szCs w:val="22"/>
        </w:rPr>
        <w:t>potential applicants</w:t>
      </w:r>
      <w:r w:rsidRPr="00975B87">
        <w:rPr>
          <w:rFonts w:ascii="Times New Roman" w:hAnsi="Times New Roman"/>
          <w:sz w:val="22"/>
          <w:szCs w:val="22"/>
        </w:rPr>
        <w:t xml:space="preserve">, along with the independent financial analysis report from </w:t>
      </w:r>
      <w:r>
        <w:rPr>
          <w:rFonts w:ascii="Times New Roman" w:hAnsi="Times New Roman"/>
          <w:sz w:val="22"/>
          <w:szCs w:val="22"/>
        </w:rPr>
        <w:t xml:space="preserve">the </w:t>
      </w:r>
      <w:r w:rsidRPr="00975B87">
        <w:rPr>
          <w:rFonts w:ascii="Times New Roman" w:hAnsi="Times New Roman"/>
          <w:sz w:val="22"/>
          <w:szCs w:val="22"/>
        </w:rPr>
        <w:t xml:space="preserve">DOT’s independent financial advisor, </w:t>
      </w:r>
      <w:r w:rsidR="003E33A1">
        <w:rPr>
          <w:rFonts w:ascii="Times New Roman" w:hAnsi="Times New Roman"/>
          <w:sz w:val="22"/>
          <w:szCs w:val="22"/>
        </w:rPr>
        <w:t>and after the project sponsor’s oral presentation</w:t>
      </w:r>
      <w:r>
        <w:rPr>
          <w:rFonts w:ascii="Times New Roman" w:hAnsi="Times New Roman"/>
          <w:sz w:val="22"/>
          <w:szCs w:val="22"/>
        </w:rPr>
        <w:t xml:space="preserve">, the </w:t>
      </w:r>
      <w:r w:rsidRPr="00975B87">
        <w:rPr>
          <w:rFonts w:ascii="Times New Roman" w:hAnsi="Times New Roman"/>
          <w:sz w:val="22"/>
          <w:szCs w:val="22"/>
        </w:rPr>
        <w:t xml:space="preserve">DOT will </w:t>
      </w:r>
      <w:r>
        <w:rPr>
          <w:rFonts w:ascii="Times New Roman" w:hAnsi="Times New Roman"/>
          <w:sz w:val="22"/>
          <w:szCs w:val="22"/>
        </w:rPr>
        <w:t>invite</w:t>
      </w:r>
      <w:r w:rsidRPr="00975B87">
        <w:rPr>
          <w:rFonts w:ascii="Times New Roman" w:hAnsi="Times New Roman"/>
          <w:sz w:val="22"/>
          <w:szCs w:val="22"/>
        </w:rPr>
        <w:t xml:space="preserve"> sponsors of eligible projects to submit complete applications</w:t>
      </w:r>
      <w:r w:rsidRPr="00442D1C">
        <w:rPr>
          <w:rFonts w:ascii="Times New Roman" w:hAnsi="Times New Roman"/>
          <w:sz w:val="22"/>
          <w:szCs w:val="22"/>
        </w:rPr>
        <w:t xml:space="preserve">.  </w:t>
      </w:r>
      <w:r w:rsidR="00B77793" w:rsidRPr="00442D1C">
        <w:rPr>
          <w:rFonts w:ascii="Times New Roman" w:hAnsi="Times New Roman"/>
          <w:sz w:val="22"/>
          <w:szCs w:val="22"/>
        </w:rPr>
        <w:t xml:space="preserve">Upon receiving </w:t>
      </w:r>
      <w:r w:rsidR="00CD2D6D" w:rsidRPr="00442D1C">
        <w:rPr>
          <w:rFonts w:ascii="Times New Roman" w:hAnsi="Times New Roman"/>
          <w:sz w:val="22"/>
          <w:szCs w:val="22"/>
        </w:rPr>
        <w:t xml:space="preserve">an invitation from the </w:t>
      </w:r>
      <w:r w:rsidR="00B77793" w:rsidRPr="00442D1C">
        <w:rPr>
          <w:rFonts w:ascii="Times New Roman" w:hAnsi="Times New Roman"/>
          <w:sz w:val="22"/>
          <w:szCs w:val="22"/>
        </w:rPr>
        <w:t>DOT, the applicant may submit an application.</w:t>
      </w:r>
      <w:r w:rsidR="00840358" w:rsidRPr="00442D1C">
        <w:rPr>
          <w:rFonts w:ascii="Times New Roman" w:hAnsi="Times New Roman"/>
          <w:sz w:val="22"/>
          <w:szCs w:val="22"/>
        </w:rPr>
        <w:t xml:space="preserve">  </w:t>
      </w:r>
      <w:r w:rsidR="00B77793" w:rsidRPr="00442D1C">
        <w:rPr>
          <w:rFonts w:ascii="Times New Roman" w:hAnsi="Times New Roman"/>
          <w:sz w:val="22"/>
          <w:szCs w:val="22"/>
        </w:rPr>
        <w:t>The application form for the current fiscal year required to request TIFIA credit assistance is available on the TIFIA web site</w:t>
      </w:r>
      <w:r w:rsidR="00CD2D6D" w:rsidRPr="00442D1C">
        <w:rPr>
          <w:rFonts w:ascii="Times New Roman" w:hAnsi="Times New Roman"/>
          <w:sz w:val="22"/>
          <w:szCs w:val="22"/>
        </w:rPr>
        <w:t xml:space="preserve">, </w:t>
      </w:r>
      <w:r w:rsidR="002D1F66">
        <w:rPr>
          <w:rFonts w:ascii="Times New Roman" w:hAnsi="Times New Roman"/>
          <w:sz w:val="22"/>
          <w:szCs w:val="22"/>
        </w:rPr>
        <w:t>which can be found</w:t>
      </w:r>
      <w:r w:rsidR="00CD2D6D" w:rsidRPr="00442D1C">
        <w:rPr>
          <w:rFonts w:ascii="Times New Roman" w:hAnsi="Times New Roman"/>
          <w:sz w:val="22"/>
          <w:szCs w:val="22"/>
        </w:rPr>
        <w:t xml:space="preserve"> at:  </w:t>
      </w:r>
      <w:r w:rsidR="002D1F66" w:rsidRPr="002D1F66">
        <w:t>http://www.fhwa.dot.gov/ipd/tifia/guidance_applications/tifia_applications.htm</w:t>
      </w:r>
      <w:r w:rsidR="00B77793" w:rsidRPr="00442D1C">
        <w:rPr>
          <w:rFonts w:ascii="Times New Roman" w:hAnsi="Times New Roman"/>
          <w:sz w:val="22"/>
          <w:szCs w:val="22"/>
        </w:rPr>
        <w:t xml:space="preserve">. </w:t>
      </w:r>
    </w:p>
    <w:p w:rsidR="00442D1C" w:rsidRDefault="00442D1C" w:rsidP="00442D1C">
      <w:pPr>
        <w:jc w:val="both"/>
        <w:rPr>
          <w:rFonts w:ascii="Times New Roman" w:hAnsi="Times New Roman"/>
          <w:sz w:val="22"/>
          <w:szCs w:val="22"/>
        </w:rPr>
      </w:pPr>
      <w:r w:rsidRPr="00975B87">
        <w:rPr>
          <w:rFonts w:ascii="Times New Roman" w:hAnsi="Times New Roman"/>
          <w:sz w:val="22"/>
          <w:szCs w:val="22"/>
        </w:rPr>
        <w:t xml:space="preserve">In accordance with MAP-21, </w:t>
      </w:r>
      <w:r>
        <w:rPr>
          <w:rFonts w:ascii="Times New Roman" w:hAnsi="Times New Roman"/>
          <w:sz w:val="22"/>
          <w:szCs w:val="22"/>
        </w:rPr>
        <w:t xml:space="preserve">the </w:t>
      </w:r>
      <w:r w:rsidRPr="00975B87">
        <w:rPr>
          <w:rFonts w:ascii="Times New Roman" w:hAnsi="Times New Roman"/>
          <w:sz w:val="22"/>
          <w:szCs w:val="22"/>
        </w:rPr>
        <w:t>DOT must inform each applicant whether its application is complete, or if not complete, identify additional materials needed for completion within 30 days of receiving the application.</w:t>
      </w:r>
      <w:r>
        <w:rPr>
          <w:rStyle w:val="FootnoteReference"/>
          <w:rFonts w:ascii="Times New Roman" w:hAnsi="Times New Roman"/>
          <w:szCs w:val="22"/>
        </w:rPr>
        <w:footnoteReference w:id="153"/>
      </w:r>
      <w:r w:rsidRPr="00975B87">
        <w:rPr>
          <w:rFonts w:ascii="Times New Roman" w:hAnsi="Times New Roman"/>
          <w:sz w:val="22"/>
          <w:szCs w:val="22"/>
        </w:rPr>
        <w:t xml:space="preserve">  No later than 60 days after issuing such notice, the applicant will be notified whether the application is approved or disapproved.</w:t>
      </w:r>
      <w:r>
        <w:rPr>
          <w:rStyle w:val="FootnoteReference"/>
          <w:rFonts w:ascii="Times New Roman" w:hAnsi="Times New Roman"/>
          <w:szCs w:val="22"/>
        </w:rPr>
        <w:footnoteReference w:id="154"/>
      </w:r>
    </w:p>
    <w:p w:rsidR="00192A1F" w:rsidRDefault="00192A1F" w:rsidP="00192A1F">
      <w:pPr>
        <w:widowControl/>
        <w:suppressAutoHyphens/>
        <w:spacing w:line="271" w:lineRule="atLeast"/>
        <w:jc w:val="both"/>
        <w:rPr>
          <w:rFonts w:ascii="Times New Roman" w:hAnsi="Times New Roman"/>
          <w:sz w:val="22"/>
          <w:szCs w:val="22"/>
        </w:rPr>
      </w:pPr>
      <w:r w:rsidRPr="00C8450C">
        <w:rPr>
          <w:rFonts w:ascii="Times New Roman" w:hAnsi="Times New Roman"/>
          <w:sz w:val="22"/>
          <w:szCs w:val="22"/>
        </w:rPr>
        <w:t xml:space="preserve">An invitation to </w:t>
      </w:r>
      <w:r>
        <w:rPr>
          <w:rFonts w:ascii="Times New Roman" w:hAnsi="Times New Roman"/>
          <w:sz w:val="22"/>
          <w:szCs w:val="22"/>
        </w:rPr>
        <w:t xml:space="preserve">submit an application </w:t>
      </w:r>
      <w:r w:rsidRPr="00C8450C">
        <w:rPr>
          <w:rFonts w:ascii="Times New Roman" w:hAnsi="Times New Roman"/>
          <w:sz w:val="22"/>
          <w:szCs w:val="22"/>
        </w:rPr>
        <w:t>for credit assistance does not guarantee the DOT’s approval, which will remain subject to evaluation</w:t>
      </w:r>
      <w:r>
        <w:rPr>
          <w:rFonts w:ascii="Times New Roman" w:hAnsi="Times New Roman"/>
          <w:sz w:val="22"/>
          <w:szCs w:val="22"/>
        </w:rPr>
        <w:t>,</w:t>
      </w:r>
      <w:r w:rsidRPr="00C8450C">
        <w:rPr>
          <w:rFonts w:ascii="Times New Roman" w:hAnsi="Times New Roman"/>
          <w:sz w:val="22"/>
          <w:szCs w:val="22"/>
        </w:rPr>
        <w:t xml:space="preserve"> based on all </w:t>
      </w:r>
      <w:r>
        <w:rPr>
          <w:rFonts w:ascii="Times New Roman" w:hAnsi="Times New Roman"/>
          <w:sz w:val="22"/>
          <w:szCs w:val="22"/>
        </w:rPr>
        <w:t xml:space="preserve">of </w:t>
      </w:r>
      <w:r w:rsidRPr="00C8450C">
        <w:rPr>
          <w:rFonts w:ascii="Times New Roman" w:hAnsi="Times New Roman"/>
          <w:sz w:val="22"/>
          <w:szCs w:val="22"/>
        </w:rPr>
        <w:t xml:space="preserve">the </w:t>
      </w:r>
      <w:r w:rsidRPr="00204F27">
        <w:rPr>
          <w:rFonts w:ascii="Times New Roman" w:hAnsi="Times New Roman"/>
          <w:sz w:val="22"/>
          <w:szCs w:val="22"/>
        </w:rPr>
        <w:t>TIFIA statutory evaluation criteria</w:t>
      </w:r>
      <w:r w:rsidR="00B00122">
        <w:rPr>
          <w:rFonts w:ascii="Times New Roman" w:hAnsi="Times New Roman"/>
          <w:sz w:val="22"/>
          <w:szCs w:val="22"/>
        </w:rPr>
        <w:t>,</w:t>
      </w:r>
      <w:r w:rsidRPr="00C8450C">
        <w:rPr>
          <w:rFonts w:ascii="Times New Roman" w:hAnsi="Times New Roman"/>
          <w:sz w:val="22"/>
          <w:szCs w:val="22"/>
        </w:rPr>
        <w:t xml:space="preserve"> and the successful negotiation of terms and conditions</w:t>
      </w:r>
      <w:r w:rsidR="00B00122">
        <w:rPr>
          <w:rFonts w:ascii="Times New Roman" w:hAnsi="Times New Roman"/>
          <w:sz w:val="22"/>
          <w:szCs w:val="22"/>
        </w:rPr>
        <w:t xml:space="preserve"> acceptable to the Secretary</w:t>
      </w:r>
      <w:r w:rsidRPr="00C8450C">
        <w:rPr>
          <w:rFonts w:ascii="Times New Roman" w:hAnsi="Times New Roman"/>
          <w:sz w:val="22"/>
          <w:szCs w:val="22"/>
        </w:rPr>
        <w:t>.</w:t>
      </w:r>
    </w:p>
    <w:p w:rsidR="00B77793" w:rsidRDefault="00B77793" w:rsidP="00FE6982">
      <w:pPr>
        <w:pStyle w:val="TIFIAHeading2"/>
        <w:widowControl/>
        <w:numPr>
          <w:ilvl w:val="12"/>
          <w:numId w:val="0"/>
        </w:numPr>
        <w:spacing w:line="271" w:lineRule="atLeast"/>
        <w:outlineLvl w:val="0"/>
      </w:pPr>
      <w:r>
        <w:t>Components</w:t>
      </w:r>
    </w:p>
    <w:p w:rsidR="00B77793" w:rsidRDefault="00B77793" w:rsidP="001038F9">
      <w:pPr>
        <w:pStyle w:val="TIFIABodyText"/>
        <w:widowControl/>
        <w:numPr>
          <w:ilvl w:val="12"/>
          <w:numId w:val="0"/>
        </w:numPr>
        <w:spacing w:line="271" w:lineRule="atLeast"/>
      </w:pPr>
      <w:r>
        <w:t>The TIFIA application is divided into the following sections:</w:t>
      </w:r>
    </w:p>
    <w:p w:rsidR="00B77793" w:rsidRDefault="00B77793" w:rsidP="00FE6982">
      <w:pPr>
        <w:pStyle w:val="TIFIABodyText"/>
        <w:widowControl/>
        <w:numPr>
          <w:ilvl w:val="0"/>
          <w:numId w:val="2"/>
        </w:numPr>
        <w:tabs>
          <w:tab w:val="left" w:pos="360"/>
        </w:tabs>
        <w:spacing w:line="271" w:lineRule="atLeast"/>
      </w:pPr>
      <w:r>
        <w:rPr>
          <w:u w:val="single"/>
        </w:rPr>
        <w:t>Application Checklist</w:t>
      </w:r>
      <w:r>
        <w:t>.  The second page of the application form provides a useful checklist detailing the requirements of the application submission, including the page limits for each section, the number of copies required, and the application fee amount.</w:t>
      </w:r>
    </w:p>
    <w:p w:rsidR="00B77793" w:rsidRDefault="00B77793" w:rsidP="00FE6982">
      <w:pPr>
        <w:pStyle w:val="TIFIABodyText"/>
        <w:widowControl/>
        <w:numPr>
          <w:ilvl w:val="0"/>
          <w:numId w:val="2"/>
        </w:numPr>
        <w:tabs>
          <w:tab w:val="left" w:pos="360"/>
        </w:tabs>
        <w:spacing w:line="271" w:lineRule="atLeast"/>
      </w:pPr>
      <w:r>
        <w:rPr>
          <w:u w:val="single"/>
        </w:rPr>
        <w:lastRenderedPageBreak/>
        <w:t>Section A</w:t>
      </w:r>
      <w:r>
        <w:t>.  Information on where and how to contact the applicant.</w:t>
      </w:r>
    </w:p>
    <w:p w:rsidR="00B77793" w:rsidRDefault="00B77793" w:rsidP="00FE6982">
      <w:pPr>
        <w:pStyle w:val="TIFIABodyText"/>
        <w:widowControl/>
        <w:numPr>
          <w:ilvl w:val="0"/>
          <w:numId w:val="2"/>
        </w:numPr>
        <w:tabs>
          <w:tab w:val="left" w:pos="360"/>
        </w:tabs>
        <w:spacing w:line="271" w:lineRule="atLeast"/>
      </w:pPr>
      <w:r>
        <w:rPr>
          <w:u w:val="single"/>
        </w:rPr>
        <w:t>Section B</w:t>
      </w:r>
      <w:r>
        <w:t>.  Project information, including a description of the project</w:t>
      </w:r>
      <w:r w:rsidR="00A34074">
        <w:t xml:space="preserve"> and</w:t>
      </w:r>
      <w:r>
        <w:t xml:space="preserve"> </w:t>
      </w:r>
      <w:r w:rsidR="00684AE5">
        <w:t xml:space="preserve">project purpose, </w:t>
      </w:r>
      <w:r>
        <w:t xml:space="preserve">the </w:t>
      </w:r>
      <w:r w:rsidR="00A34074">
        <w:t xml:space="preserve">type and amount </w:t>
      </w:r>
      <w:r>
        <w:t>of TIFIA credit assistance requested, cost estimates, a project management and compliance monitoring plan, and a description of project operations and maintenance</w:t>
      </w:r>
      <w:r w:rsidR="00A34074">
        <w:t xml:space="preserve"> plans</w:t>
      </w:r>
      <w:r>
        <w:t>.</w:t>
      </w:r>
      <w:r w:rsidR="00A34074">
        <w:t xml:space="preserve">  If the applicant has been invited to apply for consideration as a rural infrastructure project, a description of how the project meets the MAP-21 definition of a rural infrastructure project, as well as whether the project is located outside of an urbanized area (as defined under title 23)</w:t>
      </w:r>
      <w:r w:rsidR="00CF091E">
        <w:rPr>
          <w:rStyle w:val="FootnoteReference"/>
        </w:rPr>
        <w:footnoteReference w:id="155"/>
      </w:r>
      <w:r w:rsidR="00A34074">
        <w:t>, should be included in this section.  If the applicant is requesting a master credit agreement, the timing and amount of each credit instrument to be provided thereunder should be described in this section.</w:t>
      </w:r>
    </w:p>
    <w:p w:rsidR="00B77793" w:rsidRDefault="00B77793" w:rsidP="00FE6982">
      <w:pPr>
        <w:pStyle w:val="TIFIABodyText"/>
        <w:widowControl/>
        <w:numPr>
          <w:ilvl w:val="0"/>
          <w:numId w:val="2"/>
        </w:numPr>
        <w:tabs>
          <w:tab w:val="left" w:pos="360"/>
        </w:tabs>
        <w:spacing w:line="271" w:lineRule="atLeast"/>
      </w:pPr>
      <w:r>
        <w:rPr>
          <w:u w:val="single"/>
        </w:rPr>
        <w:t>Section C</w:t>
      </w:r>
      <w:r>
        <w:t xml:space="preserve">.  A narrative in which the applicant explains the extent to which the proposed project satisfies </w:t>
      </w:r>
      <w:r w:rsidRPr="009D0955">
        <w:t xml:space="preserve">the TIFIA </w:t>
      </w:r>
      <w:r w:rsidR="00641A02" w:rsidRPr="009D0955">
        <w:t>eligibility requirements</w:t>
      </w:r>
      <w:r w:rsidRPr="009D0955">
        <w:t xml:space="preserve"> (see Chapter 5</w:t>
      </w:r>
      <w:r>
        <w:t>)</w:t>
      </w:r>
      <w:r w:rsidR="009D0955">
        <w:t xml:space="preserve"> as well as </w:t>
      </w:r>
      <w:r w:rsidR="00A34074">
        <w:t xml:space="preserve">a project schedule and </w:t>
      </w:r>
      <w:r w:rsidR="009D0955">
        <w:t>information on required approvals and permits</w:t>
      </w:r>
      <w:r>
        <w:t>.</w:t>
      </w:r>
    </w:p>
    <w:p w:rsidR="00B77793" w:rsidRDefault="00B77793" w:rsidP="00FE6982">
      <w:pPr>
        <w:pStyle w:val="TIFIABodyText"/>
        <w:widowControl/>
        <w:numPr>
          <w:ilvl w:val="0"/>
          <w:numId w:val="2"/>
        </w:numPr>
        <w:tabs>
          <w:tab w:val="left" w:pos="360"/>
        </w:tabs>
        <w:spacing w:line="271" w:lineRule="atLeast"/>
      </w:pPr>
      <w:r>
        <w:rPr>
          <w:u w:val="single"/>
        </w:rPr>
        <w:t>Section D</w:t>
      </w:r>
      <w:r>
        <w:t>.  A detailed financial plan, including estimated project costs and activity breakdowns, sources and uses of funds, cash flow pro forma, supplementary narratives on borrowed funds and revenue sources, proposed terms for the requested TIFIA credit instrument, and risk and mitigation strategies.  The applicant also must provide the DOT with executable electronic copies of all materials in this section as well as the Exhibit VII cash flow pro forma (</w:t>
      </w:r>
      <w:r>
        <w:rPr>
          <w:i/>
        </w:rPr>
        <w:t>i.e</w:t>
      </w:r>
      <w:r>
        <w:t xml:space="preserve">., files cannot be “values” or PDF files, and all spreadsheet documents should be operational). </w:t>
      </w:r>
      <w:r w:rsidR="00CF091E">
        <w:t xml:space="preserve"> If the applicant is requesting a waiver of TIFIA’s </w:t>
      </w:r>
      <w:proofErr w:type="spellStart"/>
      <w:r w:rsidR="00CF091E">
        <w:t>nonsubordination</w:t>
      </w:r>
      <w:proofErr w:type="spellEnd"/>
      <w:r w:rsidR="00CF091E">
        <w:t xml:space="preserve"> requirements, a description of how the applicant meets the MAP-21 requirements for such a waiver should be included in this section.</w:t>
      </w:r>
      <w:r w:rsidR="00CF091E">
        <w:rPr>
          <w:rStyle w:val="FootnoteReference"/>
        </w:rPr>
        <w:footnoteReference w:id="156"/>
      </w:r>
    </w:p>
    <w:p w:rsidR="00B77793" w:rsidRDefault="00B77793" w:rsidP="00FE6982">
      <w:pPr>
        <w:pStyle w:val="TIFIABodyText"/>
        <w:widowControl/>
        <w:numPr>
          <w:ilvl w:val="0"/>
          <w:numId w:val="2"/>
        </w:numPr>
        <w:tabs>
          <w:tab w:val="left" w:pos="360"/>
        </w:tabs>
        <w:spacing w:line="271" w:lineRule="atLeast"/>
      </w:pPr>
      <w:r>
        <w:rPr>
          <w:u w:val="single"/>
        </w:rPr>
        <w:t>Section E</w:t>
      </w:r>
      <w:r>
        <w:t>.  Information on the applicant’s organizational structure, experience, and its legal authority to carry out the activities described in the application.</w:t>
      </w:r>
    </w:p>
    <w:p w:rsidR="00B77793" w:rsidRDefault="00B77793" w:rsidP="00FE6982">
      <w:pPr>
        <w:pStyle w:val="TIFIABodyText"/>
        <w:widowControl/>
        <w:numPr>
          <w:ilvl w:val="0"/>
          <w:numId w:val="2"/>
        </w:numPr>
        <w:tabs>
          <w:tab w:val="left" w:pos="360"/>
        </w:tabs>
        <w:spacing w:line="271" w:lineRule="atLeast"/>
      </w:pPr>
      <w:r>
        <w:rPr>
          <w:u w:val="single"/>
        </w:rPr>
        <w:t>Section F</w:t>
      </w:r>
      <w:r>
        <w:t>.  Certifications of compliance with TIFIA statutory requirements and other requirements common to all Federal credit programs</w:t>
      </w:r>
      <w:r w:rsidR="00717766">
        <w:t xml:space="preserve">, including </w:t>
      </w:r>
      <w:r w:rsidR="00717766">
        <w:rPr>
          <w:szCs w:val="22"/>
        </w:rPr>
        <w:t xml:space="preserve">certification as to </w:t>
      </w:r>
      <w:r w:rsidR="00717766">
        <w:t>no delinquency or default on any Federal debt or debarment from participation in any Federal program</w:t>
      </w:r>
      <w:r>
        <w:t xml:space="preserve">. </w:t>
      </w:r>
    </w:p>
    <w:p w:rsidR="00B77793" w:rsidRDefault="00B77793" w:rsidP="00FE6982">
      <w:pPr>
        <w:pStyle w:val="TIFIABodyText"/>
        <w:widowControl/>
        <w:tabs>
          <w:tab w:val="left" w:pos="360"/>
        </w:tabs>
        <w:spacing w:line="271" w:lineRule="atLeast"/>
      </w:pPr>
      <w:r>
        <w:t xml:space="preserve">The application form also requires an applicant to submit 12 supplementary exhibits.  These exhibits include a map of the project, </w:t>
      </w:r>
      <w:r w:rsidR="00717766">
        <w:t xml:space="preserve">existing </w:t>
      </w:r>
      <w:r w:rsidR="009D0955">
        <w:t>financing documents</w:t>
      </w:r>
      <w:r w:rsidR="00717766">
        <w:t xml:space="preserve"> (if any)</w:t>
      </w:r>
      <w:r w:rsidR="009D0955">
        <w:t xml:space="preserve">, </w:t>
      </w:r>
      <w:r>
        <w:t>the required preliminary rating opinion letter, revenue and cost projections, cash flow pro forma, supporting documentation regarding the applicant’s legal status, an organizational chart</w:t>
      </w:r>
      <w:r w:rsidR="00E8345D">
        <w:t>, and audited financial statements</w:t>
      </w:r>
      <w:r>
        <w:t xml:space="preserve">.  </w:t>
      </w:r>
    </w:p>
    <w:p w:rsidR="007101B2" w:rsidRDefault="007101B2" w:rsidP="007101B2">
      <w:pPr>
        <w:pStyle w:val="TIFIAHeading2"/>
        <w:widowControl/>
        <w:numPr>
          <w:ilvl w:val="12"/>
          <w:numId w:val="0"/>
        </w:numPr>
        <w:spacing w:line="271" w:lineRule="atLeast"/>
        <w:outlineLvl w:val="0"/>
      </w:pPr>
      <w:r>
        <w:t>Submission</w:t>
      </w:r>
    </w:p>
    <w:p w:rsidR="003E76B6" w:rsidRDefault="007101B2" w:rsidP="007101B2">
      <w:pPr>
        <w:pStyle w:val="TIFIABodyText"/>
        <w:widowControl/>
        <w:tabs>
          <w:tab w:val="left" w:pos="360"/>
        </w:tabs>
        <w:spacing w:line="271" w:lineRule="atLeast"/>
      </w:pPr>
      <w:r>
        <w:t xml:space="preserve">The applicant must submit </w:t>
      </w:r>
      <w:r w:rsidRPr="007101B2">
        <w:rPr>
          <w:u w:val="single"/>
        </w:rPr>
        <w:t>one</w:t>
      </w:r>
      <w:r>
        <w:t xml:space="preserve"> original copy of the complete application package with all supporting exhibits and related documentation.  In addition, the applicant must submit </w:t>
      </w:r>
      <w:r w:rsidR="007F3BBB">
        <w:rPr>
          <w:u w:val="single"/>
        </w:rPr>
        <w:t>five</w:t>
      </w:r>
      <w:r>
        <w:t xml:space="preserve"> </w:t>
      </w:r>
      <w:r>
        <w:lastRenderedPageBreak/>
        <w:t>additional hard copies of the completed application form, without attachments, and a computer diskette (CD) containing electronic versions of the entire application with attachments as well as separate files for Section D (Financial Plan) and Exhibit VII (</w:t>
      </w:r>
      <w:proofErr w:type="spellStart"/>
      <w:r>
        <w:t>Cashflow</w:t>
      </w:r>
      <w:proofErr w:type="spellEnd"/>
      <w:r>
        <w:t xml:space="preserve"> Pro Forma) </w:t>
      </w:r>
      <w:r w:rsidRPr="00116344">
        <w:t xml:space="preserve">– but </w:t>
      </w:r>
      <w:r w:rsidRPr="00F46B30">
        <w:rPr>
          <w:u w:val="single"/>
        </w:rPr>
        <w:t>not</w:t>
      </w:r>
      <w:r w:rsidRPr="00116344">
        <w:t xml:space="preserve"> in PDF or “values” format</w:t>
      </w:r>
      <w:r>
        <w:t>.</w:t>
      </w:r>
    </w:p>
    <w:p w:rsidR="00B77793" w:rsidRDefault="00E03932" w:rsidP="00FE6982">
      <w:pPr>
        <w:pStyle w:val="TIFIAHeading2"/>
        <w:widowControl/>
        <w:spacing w:line="271" w:lineRule="atLeast"/>
        <w:outlineLvl w:val="0"/>
      </w:pPr>
      <w:r>
        <w:t>Charges</w:t>
      </w:r>
    </w:p>
    <w:p w:rsidR="00B77793" w:rsidRDefault="00B77793" w:rsidP="00176DB6">
      <w:pPr>
        <w:pStyle w:val="TIFIABodyText"/>
        <w:keepNext/>
        <w:widowControl/>
        <w:spacing w:line="271" w:lineRule="atLeast"/>
      </w:pPr>
      <w:r>
        <w:t xml:space="preserve">The DOT </w:t>
      </w:r>
      <w:r w:rsidR="004A7B11" w:rsidRPr="004A7B11">
        <w:t>requires TIFIA participants</w:t>
      </w:r>
      <w:r w:rsidR="00E03932">
        <w:t xml:space="preserve"> to </w:t>
      </w:r>
      <w:r w:rsidR="004A7B11" w:rsidRPr="004A7B11">
        <w:t xml:space="preserve">reimburse the government for its out-of-pocket costs for its outside legal counsel and financial advisors needed to </w:t>
      </w:r>
      <w:r w:rsidR="00105408">
        <w:rPr>
          <w:szCs w:val="22"/>
        </w:rPr>
        <w:t>review</w:t>
      </w:r>
      <w:r w:rsidR="00105408" w:rsidRPr="002A5FD3">
        <w:rPr>
          <w:szCs w:val="22"/>
        </w:rPr>
        <w:t xml:space="preserve"> </w:t>
      </w:r>
      <w:r w:rsidR="004A7B11">
        <w:t xml:space="preserve">an applicant’s Letter of Interest and application, and to </w:t>
      </w:r>
      <w:r w:rsidR="004A7B11" w:rsidRPr="004A7B11">
        <w:t>negotiate and close the credit agreement.</w:t>
      </w:r>
      <w:r w:rsidR="00B630FF">
        <w:rPr>
          <w:rStyle w:val="FootnoteReference"/>
        </w:rPr>
        <w:footnoteReference w:id="157"/>
      </w:r>
      <w:r w:rsidR="004A7B11" w:rsidRPr="004A7B11">
        <w:t xml:space="preserve"> </w:t>
      </w:r>
      <w:r w:rsidR="004A7B11">
        <w:t xml:space="preserve"> </w:t>
      </w:r>
      <w:r w:rsidR="00E03932">
        <w:t>These charges are</w:t>
      </w:r>
      <w:r w:rsidR="004A7B11" w:rsidRPr="004A7B11">
        <w:t xml:space="preserve"> not considered as eligible project costs</w:t>
      </w:r>
      <w:r w:rsidR="004A7B11">
        <w:rPr>
          <w:rStyle w:val="FootnoteReference"/>
        </w:rPr>
        <w:footnoteReference w:id="158"/>
      </w:r>
      <w:r>
        <w:t xml:space="preserve">:  </w:t>
      </w:r>
    </w:p>
    <w:p w:rsidR="00D60452" w:rsidRDefault="00E03932" w:rsidP="004E54F5">
      <w:pPr>
        <w:pStyle w:val="TIFIABodyText"/>
        <w:widowControl/>
        <w:numPr>
          <w:ilvl w:val="0"/>
          <w:numId w:val="6"/>
        </w:numPr>
        <w:spacing w:line="271" w:lineRule="atLeast"/>
      </w:pPr>
      <w:r>
        <w:t>Upon request by the DOT, p</w:t>
      </w:r>
      <w:r w:rsidR="007E24E6">
        <w:t>roject sponsor</w:t>
      </w:r>
      <w:r>
        <w:t>s</w:t>
      </w:r>
      <w:r w:rsidR="00D60452">
        <w:t xml:space="preserve"> must pay </w:t>
      </w:r>
      <w:r>
        <w:t>the DOT in the amount of</w:t>
      </w:r>
      <w:r w:rsidR="00D60452">
        <w:t xml:space="preserve"> $100,000 as part of the Letter of Interest review process, </w:t>
      </w:r>
      <w:r>
        <w:t>which amount is not refundable</w:t>
      </w:r>
      <w:r w:rsidR="00D60452">
        <w:t>.</w:t>
      </w:r>
      <w:r w:rsidR="007E7C83">
        <w:t xml:space="preserve"> </w:t>
      </w:r>
      <w:r w:rsidR="007E7C83">
        <w:rPr>
          <w:color w:val="333333"/>
        </w:rPr>
        <w:t xml:space="preserve"> </w:t>
      </w:r>
      <w:r>
        <w:rPr>
          <w:color w:val="333333"/>
        </w:rPr>
        <w:t>These funds enable</w:t>
      </w:r>
      <w:r w:rsidR="004A7B11">
        <w:rPr>
          <w:color w:val="333333"/>
        </w:rPr>
        <w:t xml:space="preserve"> the DOT to hire outside financial and, </w:t>
      </w:r>
      <w:r w:rsidR="00157F91">
        <w:rPr>
          <w:szCs w:val="22"/>
        </w:rPr>
        <w:t>as and when necessary</w:t>
      </w:r>
      <w:r w:rsidR="004A7B11">
        <w:rPr>
          <w:color w:val="333333"/>
        </w:rPr>
        <w:t xml:space="preserve">, legal advisors as part of the Letter of Interest review process.  </w:t>
      </w:r>
      <w:r w:rsidR="007E7C83">
        <w:rPr>
          <w:color w:val="333333"/>
        </w:rPr>
        <w:t>F</w:t>
      </w:r>
      <w:r w:rsidR="007E7C83" w:rsidRPr="00531DD6">
        <w:rPr>
          <w:color w:val="333333"/>
        </w:rPr>
        <w:t xml:space="preserve">or </w:t>
      </w:r>
      <w:r w:rsidR="007E7C83" w:rsidRPr="00EC479F">
        <w:rPr>
          <w:color w:val="333333"/>
        </w:rPr>
        <w:t>projects with multiple sponsors</w:t>
      </w:r>
      <w:r w:rsidR="007E7C83" w:rsidRPr="00531DD6">
        <w:rPr>
          <w:color w:val="333333"/>
        </w:rPr>
        <w:t xml:space="preserve"> that may be pursuing different loans and/or credit structures, the DOT will require each entity to submit $100,000 upon request </w:t>
      </w:r>
      <w:r w:rsidR="009C790E">
        <w:rPr>
          <w:color w:val="333333"/>
        </w:rPr>
        <w:t xml:space="preserve">during the </w:t>
      </w:r>
      <w:r w:rsidR="00105408">
        <w:rPr>
          <w:szCs w:val="22"/>
        </w:rPr>
        <w:t>review</w:t>
      </w:r>
      <w:r w:rsidR="00105408" w:rsidRPr="002A5FD3">
        <w:rPr>
          <w:szCs w:val="22"/>
        </w:rPr>
        <w:t xml:space="preserve"> </w:t>
      </w:r>
      <w:r w:rsidR="009C790E">
        <w:rPr>
          <w:color w:val="333333"/>
        </w:rPr>
        <w:t xml:space="preserve">of the </w:t>
      </w:r>
      <w:r w:rsidR="007E7C83" w:rsidRPr="00531DD6">
        <w:rPr>
          <w:color w:val="333333"/>
        </w:rPr>
        <w:t>Letter of Interest</w:t>
      </w:r>
      <w:r w:rsidR="00C070E6">
        <w:rPr>
          <w:color w:val="333333"/>
        </w:rPr>
        <w:t>.  In addition,</w:t>
      </w:r>
      <w:r w:rsidR="007E7C83" w:rsidRPr="00531DD6">
        <w:rPr>
          <w:color w:val="333333"/>
        </w:rPr>
        <w:t xml:space="preserve"> each party would be responsible for the final cost of the individual evaluation</w:t>
      </w:r>
      <w:r w:rsidR="00C070E6">
        <w:rPr>
          <w:color w:val="333333"/>
        </w:rPr>
        <w:t xml:space="preserve"> (including review by both the DOT’s financial and legal advisors)</w:t>
      </w:r>
      <w:r w:rsidR="007E7C83" w:rsidRPr="00531DD6">
        <w:rPr>
          <w:color w:val="333333"/>
        </w:rPr>
        <w:t>.</w:t>
      </w:r>
    </w:p>
    <w:p w:rsidR="00B77793" w:rsidRDefault="00B77793" w:rsidP="00C070E6">
      <w:pPr>
        <w:pStyle w:val="TIFIABodyText"/>
        <w:widowControl/>
        <w:numPr>
          <w:ilvl w:val="0"/>
          <w:numId w:val="6"/>
        </w:numPr>
        <w:spacing w:line="271" w:lineRule="atLeast"/>
      </w:pPr>
      <w:r>
        <w:t>A transaction (credit processing) fee, typically between $</w:t>
      </w:r>
      <w:r w:rsidR="00722CD4">
        <w:t>3</w:t>
      </w:r>
      <w:r>
        <w:t>00,000 and $</w:t>
      </w:r>
      <w:r w:rsidR="00722CD4">
        <w:t>4</w:t>
      </w:r>
      <w:r>
        <w:t xml:space="preserve">00,000, for projects selected to receive assistance.  This fee may be higher, depending on the complexity of the project’s financing structure and the extent of related loan documents, such as the </w:t>
      </w:r>
      <w:proofErr w:type="spellStart"/>
      <w:r w:rsidR="006C74EA">
        <w:t>intercreditor</w:t>
      </w:r>
      <w:proofErr w:type="spellEnd"/>
      <w:r>
        <w:t xml:space="preserve"> agreement, compliance agreements, equity funding agreements, etc.  </w:t>
      </w:r>
      <w:r w:rsidR="007E7C83">
        <w:rPr>
          <w:szCs w:val="22"/>
        </w:rPr>
        <w:t>For successful applicants</w:t>
      </w:r>
      <w:r w:rsidR="00D95996">
        <w:rPr>
          <w:szCs w:val="22"/>
        </w:rPr>
        <w:t>,</w:t>
      </w:r>
      <w:r w:rsidR="007E7C83">
        <w:rPr>
          <w:szCs w:val="22"/>
        </w:rPr>
        <w:t xml:space="preserve"> </w:t>
      </w:r>
      <w:r w:rsidR="007E7C83">
        <w:t>t</w:t>
      </w:r>
      <w:r w:rsidR="00F33D6F">
        <w:t>he</w:t>
      </w:r>
      <w:r w:rsidR="00E03932">
        <w:t xml:space="preserve"> initial</w:t>
      </w:r>
      <w:r w:rsidR="00F33D6F">
        <w:t xml:space="preserve"> $100,000 paid by the project sponsor</w:t>
      </w:r>
      <w:r w:rsidR="007E7C83">
        <w:t>(s)</w:t>
      </w:r>
      <w:r w:rsidR="009E5F6B">
        <w:t xml:space="preserve"> </w:t>
      </w:r>
      <w:r w:rsidR="009C790E">
        <w:t xml:space="preserve">as well as any </w:t>
      </w:r>
      <w:r w:rsidR="00E03932">
        <w:t xml:space="preserve">additional </w:t>
      </w:r>
      <w:r w:rsidR="0088378A">
        <w:t>costs reimbursed</w:t>
      </w:r>
      <w:r w:rsidR="009C790E">
        <w:t xml:space="preserve"> prior to financial close </w:t>
      </w:r>
      <w:r w:rsidR="007E7C83" w:rsidRPr="00913A11">
        <w:rPr>
          <w:szCs w:val="22"/>
        </w:rPr>
        <w:t xml:space="preserve">will be credited toward final payment of </w:t>
      </w:r>
      <w:r w:rsidR="007E7C83">
        <w:rPr>
          <w:szCs w:val="22"/>
        </w:rPr>
        <w:t>the</w:t>
      </w:r>
      <w:r w:rsidR="007E7C83" w:rsidRPr="00913A11">
        <w:rPr>
          <w:szCs w:val="22"/>
        </w:rPr>
        <w:t xml:space="preserve"> transaction </w:t>
      </w:r>
      <w:r w:rsidR="007E7C83">
        <w:rPr>
          <w:szCs w:val="22"/>
        </w:rPr>
        <w:t xml:space="preserve">(credit processing) </w:t>
      </w:r>
      <w:r w:rsidR="007E7C83" w:rsidRPr="00913A11">
        <w:rPr>
          <w:szCs w:val="22"/>
        </w:rPr>
        <w:t>fee</w:t>
      </w:r>
      <w:r w:rsidR="007E7C83">
        <w:rPr>
          <w:szCs w:val="22"/>
        </w:rPr>
        <w:t>, to be assessed at financial close</w:t>
      </w:r>
      <w:r w:rsidR="00192A1F">
        <w:rPr>
          <w:szCs w:val="22"/>
        </w:rPr>
        <w:t xml:space="preserve"> </w:t>
      </w:r>
      <w:r w:rsidR="00192A1F">
        <w:t>or shortly thereafter</w:t>
      </w:r>
      <w:r w:rsidR="009E5F6B">
        <w:t>.</w:t>
      </w:r>
      <w:r w:rsidR="00C070E6">
        <w:t xml:space="preserve">  </w:t>
      </w:r>
      <w:r w:rsidR="00C070E6" w:rsidRPr="00C070E6">
        <w:t xml:space="preserve">The transaction (credit processing) fee and the </w:t>
      </w:r>
      <w:r w:rsidR="0088378A">
        <w:t xml:space="preserve">initial </w:t>
      </w:r>
      <w:r w:rsidR="00C070E6" w:rsidRPr="00C070E6">
        <w:t>$100,000 together are equal to th</w:t>
      </w:r>
      <w:r w:rsidR="00C070E6">
        <w:t xml:space="preserve">e actual costs incurred by the </w:t>
      </w:r>
      <w:r w:rsidR="00C070E6" w:rsidRPr="00C070E6">
        <w:t xml:space="preserve">DOT in </w:t>
      </w:r>
      <w:r w:rsidR="0088378A">
        <w:t xml:space="preserve">connection with the </w:t>
      </w:r>
      <w:r w:rsidR="00105408">
        <w:rPr>
          <w:szCs w:val="22"/>
        </w:rPr>
        <w:t>review</w:t>
      </w:r>
      <w:r w:rsidR="00105408" w:rsidRPr="002A5FD3">
        <w:rPr>
          <w:szCs w:val="22"/>
        </w:rPr>
        <w:t xml:space="preserve"> </w:t>
      </w:r>
      <w:r w:rsidR="00C070E6">
        <w:t>a Letter of Interest</w:t>
      </w:r>
      <w:r w:rsidR="0088378A">
        <w:t xml:space="preserve"> and application, negotiation and</w:t>
      </w:r>
      <w:r w:rsidR="00C070E6" w:rsidRPr="00C070E6">
        <w:t xml:space="preserve"> execution of the credit agreement(s)</w:t>
      </w:r>
      <w:r w:rsidR="0088378A">
        <w:t>,</w:t>
      </w:r>
      <w:r w:rsidR="00C070E6" w:rsidRPr="00C070E6">
        <w:t xml:space="preserve"> and </w:t>
      </w:r>
      <w:r w:rsidR="0088378A">
        <w:t xml:space="preserve">confirmation of </w:t>
      </w:r>
      <w:r w:rsidR="00C070E6" w:rsidRPr="00C070E6">
        <w:t xml:space="preserve">satisfaction of all funding requirements of those agreements. </w:t>
      </w:r>
      <w:r w:rsidR="00C070E6">
        <w:t xml:space="preserve"> </w:t>
      </w:r>
      <w:r w:rsidR="00C070E6" w:rsidRPr="00C070E6">
        <w:t xml:space="preserve">These </w:t>
      </w:r>
      <w:r w:rsidR="0088378A">
        <w:t>amounts</w:t>
      </w:r>
      <w:r w:rsidR="00C070E6" w:rsidRPr="00C070E6">
        <w:t xml:space="preserve"> reimburse the government for its out-of-pocket costs for its outside legal counsel and financial advisors needed to </w:t>
      </w:r>
      <w:r w:rsidR="00105408">
        <w:rPr>
          <w:szCs w:val="22"/>
        </w:rPr>
        <w:t>review</w:t>
      </w:r>
      <w:r w:rsidR="00105408" w:rsidRPr="002A5FD3">
        <w:rPr>
          <w:szCs w:val="22"/>
        </w:rPr>
        <w:t xml:space="preserve"> </w:t>
      </w:r>
      <w:r w:rsidR="00105408">
        <w:t>the Letter of Interest and</w:t>
      </w:r>
      <w:r w:rsidR="00C070E6">
        <w:t xml:space="preserve"> application and </w:t>
      </w:r>
      <w:r w:rsidR="00C070E6" w:rsidRPr="00C070E6">
        <w:t xml:space="preserve">negotiate and close the credit agreement. </w:t>
      </w:r>
      <w:r w:rsidR="00C070E6">
        <w:t xml:space="preserve"> </w:t>
      </w:r>
      <w:r w:rsidR="00C070E6" w:rsidRPr="00C070E6">
        <w:t>For projects seeking more than $1 billion in TIFIA credit assistance, two financial advisors will be hired to produce independent financial analyses and recommendations acceptab</w:t>
      </w:r>
      <w:r w:rsidR="00C070E6">
        <w:t xml:space="preserve">le in form and content to the </w:t>
      </w:r>
      <w:r w:rsidR="00C070E6" w:rsidRPr="00C070E6">
        <w:t>DOT.</w:t>
      </w:r>
      <w:r w:rsidR="00C070E6">
        <w:t xml:space="preserve"> </w:t>
      </w:r>
      <w:r w:rsidR="00C070E6" w:rsidRPr="00C070E6">
        <w:t xml:space="preserve"> The costs of the additional financial advisor will be included in the total transaction</w:t>
      </w:r>
      <w:r w:rsidR="00C070E6">
        <w:t xml:space="preserve"> (credit processing)</w:t>
      </w:r>
      <w:r w:rsidR="00C070E6" w:rsidRPr="00C070E6">
        <w:t xml:space="preserve"> fee assessed on the proposed borrower. </w:t>
      </w:r>
      <w:r w:rsidR="00C070E6">
        <w:t xml:space="preserve"> </w:t>
      </w:r>
      <w:r w:rsidR="00C070E6" w:rsidRPr="00EC479F">
        <w:rPr>
          <w:b/>
        </w:rPr>
        <w:t>The borrower is responsible for payment of this fee regardless of whether the credit agreement is executed.</w:t>
      </w:r>
    </w:p>
    <w:p w:rsidR="00B77793" w:rsidRDefault="00B77793" w:rsidP="00FE6982">
      <w:pPr>
        <w:pStyle w:val="TIFIABodyText"/>
        <w:widowControl/>
        <w:numPr>
          <w:ilvl w:val="0"/>
          <w:numId w:val="6"/>
        </w:numPr>
        <w:spacing w:line="271" w:lineRule="atLeast"/>
      </w:pPr>
      <w:r>
        <w:lastRenderedPageBreak/>
        <w:t xml:space="preserve">An annual servicing fee, </w:t>
      </w:r>
      <w:r w:rsidR="00FF1C3C">
        <w:t>indexed to inflation</w:t>
      </w:r>
      <w:r w:rsidR="007D0139">
        <w:t>,</w:t>
      </w:r>
      <w:r w:rsidR="00FF1C3C">
        <w:t xml:space="preserve"> </w:t>
      </w:r>
      <w:r w:rsidR="007D0139">
        <w:t>of</w:t>
      </w:r>
      <w:r w:rsidR="00EB0746">
        <w:t xml:space="preserve"> approximately </w:t>
      </w:r>
      <w:r w:rsidRPr="008E08DD">
        <w:t>$</w:t>
      </w:r>
      <w:r w:rsidR="0001059E" w:rsidRPr="008E08DD">
        <w:t>1</w:t>
      </w:r>
      <w:r w:rsidR="0001059E">
        <w:t>2</w:t>
      </w:r>
      <w:r w:rsidRPr="008E08DD">
        <w:t>,</w:t>
      </w:r>
      <w:r w:rsidR="00192A1F">
        <w:t>5</w:t>
      </w:r>
      <w:r w:rsidR="0001059E" w:rsidRPr="008E08DD">
        <w:t>00</w:t>
      </w:r>
      <w:r>
        <w:t xml:space="preserve"> for each credit instrument approved, due by November 15 each year.  </w:t>
      </w:r>
      <w:r w:rsidR="007D0139">
        <w:t xml:space="preserve">The servicing fee </w:t>
      </w:r>
      <w:r w:rsidR="00B00122">
        <w:t>will be collected based on</w:t>
      </w:r>
      <w:r w:rsidR="007D0139">
        <w:t xml:space="preserve"> the DOT’s out-of-pocket costs to administer the credit instruments, including accounting, collections, document maintenance, and financial reporting.</w:t>
      </w:r>
    </w:p>
    <w:p w:rsidR="00B77793" w:rsidRDefault="00B77793" w:rsidP="00FE6982">
      <w:pPr>
        <w:pStyle w:val="TIFIABodyText"/>
        <w:widowControl/>
        <w:numPr>
          <w:ilvl w:val="0"/>
          <w:numId w:val="6"/>
        </w:numPr>
        <w:spacing w:line="271" w:lineRule="atLeast"/>
      </w:pPr>
      <w:r>
        <w:t xml:space="preserve">Project monitoring fees </w:t>
      </w:r>
      <w:r w:rsidRPr="00913A11">
        <w:rPr>
          <w:szCs w:val="22"/>
        </w:rPr>
        <w:t>are charged to borrowers</w:t>
      </w:r>
      <w:r>
        <w:t xml:space="preserve"> in cases where the DOT incurs costs in connection with monitoring the performance of a project, the enforcement of credit agreement provisions, amendments to the credit agreement and related documents, and other performance-related activities.  The </w:t>
      </w:r>
      <w:r w:rsidR="007D2D45">
        <w:t xml:space="preserve">DOT includes a provision requiring the borrower to reimburse </w:t>
      </w:r>
      <w:r w:rsidR="000D4F00">
        <w:t xml:space="preserve">the </w:t>
      </w:r>
      <w:r w:rsidR="007D2D45">
        <w:t>DOT for such costs in each TIFIA credit agreement.</w:t>
      </w:r>
      <w:r>
        <w:t xml:space="preserve"> </w:t>
      </w:r>
    </w:p>
    <w:p w:rsidR="00B77793" w:rsidRDefault="00B77793" w:rsidP="00FE6982">
      <w:pPr>
        <w:pStyle w:val="TIFIABodyText"/>
        <w:widowControl/>
        <w:spacing w:line="271" w:lineRule="atLeast"/>
      </w:pPr>
      <w:r>
        <w:t xml:space="preserve">The DOT periodically will announce in the Federal Register changes to the types and amounts of fees for applicants and program participants, and in some cases may provide more current information than this </w:t>
      </w:r>
      <w:r w:rsidR="00DD6B14">
        <w:t>P</w:t>
      </w:r>
      <w:r>
        <w:t xml:space="preserve">rogram </w:t>
      </w:r>
      <w:r w:rsidR="00DD6B14">
        <w:t>G</w:t>
      </w:r>
      <w:r>
        <w:t xml:space="preserve">uide.  Applicants should be sure to check the Federal Register for the most current information.    </w:t>
      </w:r>
    </w:p>
    <w:p w:rsidR="00B77793" w:rsidRDefault="00B77793" w:rsidP="00FE6982">
      <w:pPr>
        <w:pStyle w:val="TIFIAHeading2"/>
        <w:widowControl/>
        <w:spacing w:line="271" w:lineRule="atLeast"/>
        <w:outlineLvl w:val="0"/>
      </w:pPr>
      <w:r>
        <w:t>Multi-Sponsor Projects</w:t>
      </w:r>
    </w:p>
    <w:p w:rsidR="00B77793" w:rsidRDefault="00B77793" w:rsidP="00FA6CDE">
      <w:pPr>
        <w:pStyle w:val="TIFIABodyText"/>
        <w:widowControl/>
        <w:spacing w:line="271" w:lineRule="atLeast"/>
      </w:pPr>
      <w:r>
        <w:t>An application for a project located in or sponsored by more than one state or other entity must be submitted to the DOT by a single state or entity.  Multiple-party applicants need to designate a single borrower for purposes of applying for, receiving, and repaying TIFIA credit assistance.</w:t>
      </w:r>
      <w:r w:rsidR="00B630FF">
        <w:rPr>
          <w:rStyle w:val="FootnoteReference"/>
        </w:rPr>
        <w:footnoteReference w:id="159"/>
      </w:r>
      <w:r w:rsidR="0084092E">
        <w:t xml:space="preserve">  </w:t>
      </w:r>
    </w:p>
    <w:p w:rsidR="00B77793" w:rsidRDefault="00B77793">
      <w:pPr>
        <w:pStyle w:val="TIFIABodyText"/>
        <w:widowControl/>
      </w:pPr>
      <w:r>
        <w:t xml:space="preserve"> </w:t>
      </w:r>
    </w:p>
    <w:p w:rsidR="00B77793" w:rsidRDefault="00B77793">
      <w:pPr>
        <w:pStyle w:val="TIFIABodyText"/>
        <w:widowControl/>
      </w:pPr>
    </w:p>
    <w:p w:rsidR="00B77793" w:rsidRDefault="00B77793">
      <w:pPr>
        <w:pStyle w:val="TIFIABodyText"/>
        <w:widowControl/>
        <w:sectPr w:rsidR="00B77793">
          <w:headerReference w:type="even" r:id="rId48"/>
          <w:headerReference w:type="default" r:id="rId49"/>
          <w:footerReference w:type="even" r:id="rId50"/>
          <w:footerReference w:type="default" r:id="rId51"/>
          <w:headerReference w:type="first" r:id="rId52"/>
          <w:footerReference w:type="first" r:id="rId53"/>
          <w:endnotePr>
            <w:numFmt w:val="decimal"/>
          </w:endnotePr>
          <w:pgSz w:w="12240" w:h="15840"/>
          <w:pgMar w:top="1440" w:right="1440" w:bottom="1440" w:left="2520" w:header="720" w:footer="720" w:gutter="0"/>
          <w:pgNumType w:start="1"/>
          <w:cols w:space="720"/>
          <w:noEndnote/>
          <w:titlePg/>
        </w:sectPr>
      </w:pPr>
    </w:p>
    <w:p w:rsidR="00B77793" w:rsidRDefault="00B77793" w:rsidP="0051120F">
      <w:pPr>
        <w:pStyle w:val="TIFIAChapterTitle"/>
        <w:widowControl/>
        <w:spacing w:after="251"/>
        <w:outlineLvl w:val="0"/>
      </w:pPr>
      <w:r>
        <w:lastRenderedPageBreak/>
        <w:t>Chapter 5:</w:t>
      </w:r>
      <w:r>
        <w:tab/>
        <w:t>Selection Process</w:t>
      </w:r>
    </w:p>
    <w:p w:rsidR="00B77793" w:rsidRDefault="00B77793" w:rsidP="00A436C0">
      <w:pPr>
        <w:pStyle w:val="TIFIABodyText"/>
        <w:widowControl/>
        <w:spacing w:line="271" w:lineRule="atLeast"/>
      </w:pPr>
      <w:r>
        <w:t xml:space="preserve">This chapter describes the TIFIA project </w:t>
      </w:r>
      <w:r w:rsidR="00105408">
        <w:rPr>
          <w:szCs w:val="22"/>
        </w:rPr>
        <w:t>review</w:t>
      </w:r>
      <w:r w:rsidR="00105408" w:rsidRPr="002A5FD3">
        <w:rPr>
          <w:szCs w:val="22"/>
        </w:rPr>
        <w:t xml:space="preserve"> </w:t>
      </w:r>
      <w:r>
        <w:t xml:space="preserve">and selection process.  </w:t>
      </w:r>
    </w:p>
    <w:p w:rsidR="00B77793" w:rsidRDefault="00B77793">
      <w:pPr>
        <w:pStyle w:val="TIFIAHeading1a"/>
        <w:widowControl/>
        <w:outlineLvl w:val="0"/>
      </w:pPr>
      <w:r>
        <w:t>Section 5-1</w:t>
      </w:r>
    </w:p>
    <w:p w:rsidR="00B77793" w:rsidRDefault="00B77793" w:rsidP="00FA71EE">
      <w:pPr>
        <w:pStyle w:val="TIFIAHeading1b"/>
        <w:widowControl/>
        <w:spacing w:after="240"/>
        <w:outlineLvl w:val="0"/>
      </w:pPr>
      <w:r>
        <w:t xml:space="preserve">Project </w:t>
      </w:r>
      <w:r w:rsidR="00105408">
        <w:t>Review</w:t>
      </w:r>
    </w:p>
    <w:p w:rsidR="00B77793" w:rsidRDefault="00B77793" w:rsidP="00C8450C">
      <w:pPr>
        <w:pStyle w:val="TIFIAHeading2"/>
        <w:widowControl/>
        <w:spacing w:line="271" w:lineRule="atLeast"/>
        <w:outlineLvl w:val="0"/>
      </w:pPr>
      <w:r>
        <w:t>Submission of the Letter of Interest</w:t>
      </w:r>
      <w:r w:rsidR="00B02C77">
        <w:t xml:space="preserve"> and Invitation to Submit an Application</w:t>
      </w:r>
    </w:p>
    <w:p w:rsidR="00B77793" w:rsidRDefault="00B77793" w:rsidP="00FA71EE">
      <w:pPr>
        <w:pStyle w:val="TIFIABodyText"/>
        <w:widowControl/>
        <w:spacing w:line="271" w:lineRule="atLeast"/>
      </w:pPr>
      <w:r>
        <w:t>As described</w:t>
      </w:r>
      <w:r w:rsidR="00B02C77">
        <w:t xml:space="preserve"> </w:t>
      </w:r>
      <w:r>
        <w:t xml:space="preserve">in Chapter 4, each potential applicant must first submit a Letter of Interest.  </w:t>
      </w:r>
      <w:r w:rsidR="00B02C77" w:rsidRPr="005205A2">
        <w:rPr>
          <w:szCs w:val="22"/>
        </w:rPr>
        <w:t xml:space="preserve">Following the initial </w:t>
      </w:r>
      <w:r w:rsidR="00D048C2">
        <w:rPr>
          <w:szCs w:val="22"/>
        </w:rPr>
        <w:t xml:space="preserve">eligibility </w:t>
      </w:r>
      <w:r w:rsidR="00B02C77" w:rsidRPr="005205A2">
        <w:rPr>
          <w:szCs w:val="22"/>
        </w:rPr>
        <w:t>review of the Letter of Interest, the DOT will</w:t>
      </w:r>
      <w:r w:rsidR="003257AE">
        <w:rPr>
          <w:szCs w:val="22"/>
        </w:rPr>
        <w:t xml:space="preserve"> conduct an in-depth creditworthiness review of the </w:t>
      </w:r>
      <w:r w:rsidR="003257AE" w:rsidRPr="002A5FD3">
        <w:rPr>
          <w:szCs w:val="22"/>
        </w:rPr>
        <w:t>project sponsor and the proposed revenue stream</w:t>
      </w:r>
      <w:r w:rsidR="003257AE">
        <w:rPr>
          <w:szCs w:val="22"/>
        </w:rPr>
        <w:t xml:space="preserve">.  In connection with that review, the DOT will </w:t>
      </w:r>
      <w:r w:rsidR="002C27DA">
        <w:rPr>
          <w:szCs w:val="22"/>
        </w:rPr>
        <w:t>ask</w:t>
      </w:r>
      <w:r w:rsidR="003257AE">
        <w:rPr>
          <w:szCs w:val="22"/>
        </w:rPr>
        <w:t xml:space="preserve"> the project sponsor</w:t>
      </w:r>
      <w:r w:rsidR="002C27DA">
        <w:rPr>
          <w:szCs w:val="22"/>
        </w:rPr>
        <w:t xml:space="preserve"> to</w:t>
      </w:r>
      <w:r w:rsidR="003257AE">
        <w:rPr>
          <w:szCs w:val="22"/>
        </w:rPr>
        <w:t xml:space="preserve"> provide a preliminary rating opinion letter and $100,000 to enable the DOT to hire outside financial</w:t>
      </w:r>
      <w:r w:rsidR="00157F91">
        <w:rPr>
          <w:szCs w:val="22"/>
        </w:rPr>
        <w:t xml:space="preserve"> and,</w:t>
      </w:r>
      <w:r w:rsidR="00157F91" w:rsidRPr="00157F91">
        <w:rPr>
          <w:szCs w:val="22"/>
        </w:rPr>
        <w:t xml:space="preserve"> </w:t>
      </w:r>
      <w:r w:rsidR="00157F91">
        <w:rPr>
          <w:szCs w:val="22"/>
        </w:rPr>
        <w:t>as and when necessary, legal</w:t>
      </w:r>
      <w:r w:rsidR="003257AE">
        <w:rPr>
          <w:szCs w:val="22"/>
        </w:rPr>
        <w:t xml:space="preserve"> advisors to complete its review of the project.  In addition, the DOT will </w:t>
      </w:r>
      <w:r w:rsidR="002C27DA">
        <w:rPr>
          <w:szCs w:val="22"/>
        </w:rPr>
        <w:t>request that</w:t>
      </w:r>
      <w:r w:rsidR="00B02C77" w:rsidRPr="005205A2">
        <w:rPr>
          <w:szCs w:val="22"/>
        </w:rPr>
        <w:t xml:space="preserve"> the </w:t>
      </w:r>
      <w:r w:rsidR="00B02C77">
        <w:rPr>
          <w:szCs w:val="22"/>
        </w:rPr>
        <w:t xml:space="preserve">potential </w:t>
      </w:r>
      <w:r w:rsidR="002C27DA">
        <w:rPr>
          <w:szCs w:val="22"/>
        </w:rPr>
        <w:t>applicant gives</w:t>
      </w:r>
      <w:r w:rsidR="00B02C77" w:rsidRPr="005205A2">
        <w:rPr>
          <w:szCs w:val="22"/>
        </w:rPr>
        <w:t xml:space="preserve"> an oral presentation </w:t>
      </w:r>
      <w:r w:rsidR="002C27DA">
        <w:rPr>
          <w:szCs w:val="22"/>
        </w:rPr>
        <w:t xml:space="preserve">to the DOT </w:t>
      </w:r>
      <w:r w:rsidR="00B02C77" w:rsidRPr="005205A2">
        <w:rPr>
          <w:szCs w:val="22"/>
        </w:rPr>
        <w:t>followed by a question and answer session</w:t>
      </w:r>
      <w:r w:rsidR="00B02C77">
        <w:rPr>
          <w:szCs w:val="22"/>
        </w:rPr>
        <w:t xml:space="preserve">. </w:t>
      </w:r>
      <w:r w:rsidR="00B02C77" w:rsidRPr="00B540B2">
        <w:t xml:space="preserve"> </w:t>
      </w:r>
      <w:r w:rsidR="00D06B5B" w:rsidRPr="00B540B2">
        <w:t xml:space="preserve">As noted above, </w:t>
      </w:r>
      <w:r w:rsidR="00863876">
        <w:t xml:space="preserve">potential </w:t>
      </w:r>
      <w:r w:rsidR="00D06B5B" w:rsidRPr="00B540B2">
        <w:t xml:space="preserve">applicants </w:t>
      </w:r>
      <w:r w:rsidR="00863876">
        <w:t xml:space="preserve">will be </w:t>
      </w:r>
      <w:r w:rsidR="00D06B5B" w:rsidRPr="00B540B2">
        <w:t>invit</w:t>
      </w:r>
      <w:r w:rsidR="00863876">
        <w:t>ed</w:t>
      </w:r>
      <w:r w:rsidR="00D06B5B" w:rsidRPr="00B540B2">
        <w:t xml:space="preserve"> to submit a formal application</w:t>
      </w:r>
      <w:r w:rsidR="00863876">
        <w:t xml:space="preserve"> </w:t>
      </w:r>
      <w:r w:rsidR="00D048C2">
        <w:t xml:space="preserve">only </w:t>
      </w:r>
      <w:r w:rsidR="00863876">
        <w:t xml:space="preserve">once </w:t>
      </w:r>
      <w:r w:rsidR="000D4F00">
        <w:t xml:space="preserve">the </w:t>
      </w:r>
      <w:r w:rsidR="00863876">
        <w:t xml:space="preserve">DOT has satisfactorily completed </w:t>
      </w:r>
      <w:r w:rsidR="00B02C77">
        <w:t>its</w:t>
      </w:r>
      <w:r w:rsidR="00863876">
        <w:t xml:space="preserve"> review of </w:t>
      </w:r>
      <w:r w:rsidR="00B02C77">
        <w:t xml:space="preserve">a project’s </w:t>
      </w:r>
      <w:r w:rsidR="00863876">
        <w:t>eligibility</w:t>
      </w:r>
      <w:r w:rsidR="003257AE">
        <w:t>, including a satisfactory review of the creditworthiness of the project</w:t>
      </w:r>
      <w:r w:rsidR="00D06B5B" w:rsidRPr="00B540B2">
        <w:t xml:space="preserve">.  </w:t>
      </w:r>
    </w:p>
    <w:p w:rsidR="00B77793" w:rsidRDefault="00105408" w:rsidP="00D3722A">
      <w:pPr>
        <w:pStyle w:val="TIFIAHeading2"/>
        <w:widowControl/>
        <w:spacing w:line="271" w:lineRule="atLeast"/>
        <w:outlineLvl w:val="0"/>
      </w:pPr>
      <w:r>
        <w:t>Eligibility</w:t>
      </w:r>
      <w:r w:rsidR="00D47FFE">
        <w:t xml:space="preserve"> Criteria</w:t>
      </w:r>
    </w:p>
    <w:p w:rsidR="00B77793" w:rsidRDefault="00B77793" w:rsidP="00FA71EE">
      <w:pPr>
        <w:pStyle w:val="TIFIABodyText"/>
        <w:widowControl/>
        <w:spacing w:line="271" w:lineRule="atLeast"/>
      </w:pPr>
      <w:r>
        <w:t xml:space="preserve">The </w:t>
      </w:r>
      <w:r w:rsidR="00105408">
        <w:t>technical</w:t>
      </w:r>
      <w:r w:rsidRPr="00E102D0">
        <w:t xml:space="preserve"> team </w:t>
      </w:r>
      <w:r w:rsidR="00D47FFE">
        <w:t>reviews the</w:t>
      </w:r>
      <w:r>
        <w:t xml:space="preserve"> </w:t>
      </w:r>
      <w:r w:rsidR="00D47FFE">
        <w:t xml:space="preserve">Letter of Interest </w:t>
      </w:r>
      <w:r>
        <w:t xml:space="preserve">for completeness of information, satisfaction of the threshold requirements described in Chapter 3, </w:t>
      </w:r>
      <w:r w:rsidR="00A350AA">
        <w:t>and</w:t>
      </w:r>
      <w:r>
        <w:t xml:space="preserve"> project readiness.  The DOT employs the services of an </w:t>
      </w:r>
      <w:r w:rsidR="00DF6E5C">
        <w:t xml:space="preserve">independent </w:t>
      </w:r>
      <w:r>
        <w:t>financial advisor to assist with financial and credit risk assessments of the project.</w:t>
      </w:r>
      <w:r w:rsidR="0006079A">
        <w:t xml:space="preserve"> </w:t>
      </w:r>
    </w:p>
    <w:p w:rsidR="00B77793" w:rsidRDefault="00B77793" w:rsidP="001C7D9A">
      <w:pPr>
        <w:pStyle w:val="TIFIABodyText"/>
        <w:widowControl/>
        <w:spacing w:line="271" w:lineRule="atLeast"/>
      </w:pPr>
      <w:r>
        <w:t xml:space="preserve">Upon receipt of the </w:t>
      </w:r>
      <w:r w:rsidR="00D47FFE">
        <w:t>Letter of Interest</w:t>
      </w:r>
      <w:r>
        <w:t>, the DOT will</w:t>
      </w:r>
      <w:r w:rsidR="00D47FFE">
        <w:t xml:space="preserve"> commence its</w:t>
      </w:r>
      <w:r>
        <w:t xml:space="preserve"> </w:t>
      </w:r>
      <w:r w:rsidR="003257AE">
        <w:t xml:space="preserve">initial </w:t>
      </w:r>
      <w:r>
        <w:t xml:space="preserve">review with respect to </w:t>
      </w:r>
      <w:r w:rsidR="003257AE">
        <w:t>preliminary eligibility and timing requirements</w:t>
      </w:r>
      <w:r>
        <w:t>, including:</w:t>
      </w:r>
    </w:p>
    <w:p w:rsidR="00B77793" w:rsidRDefault="00B77793" w:rsidP="001C7D9A">
      <w:pPr>
        <w:pStyle w:val="TIFIABodyText"/>
        <w:widowControl/>
        <w:numPr>
          <w:ilvl w:val="0"/>
          <w:numId w:val="2"/>
        </w:numPr>
        <w:tabs>
          <w:tab w:val="left" w:pos="360"/>
        </w:tabs>
        <w:spacing w:line="271" w:lineRule="atLeast"/>
      </w:pPr>
      <w:r>
        <w:rPr>
          <w:u w:val="single"/>
        </w:rPr>
        <w:t>Project Cost</w:t>
      </w:r>
      <w:r>
        <w:t xml:space="preserve">.  The reasonably anticipated eligible project costs must total at least $50 million </w:t>
      </w:r>
      <w:r w:rsidR="00D47FFE">
        <w:t>(or, in the case of</w:t>
      </w:r>
      <w:r w:rsidR="00503914">
        <w:t xml:space="preserve"> a</w:t>
      </w:r>
      <w:r w:rsidR="00D47FFE">
        <w:t xml:space="preserve"> rural infrastr</w:t>
      </w:r>
      <w:r w:rsidR="00503914">
        <w:t>ucture project</w:t>
      </w:r>
      <w:r w:rsidR="00D47FFE">
        <w:t xml:space="preserve">, $25 million) </w:t>
      </w:r>
      <w:r>
        <w:t xml:space="preserve">or </w:t>
      </w:r>
      <w:r w:rsidR="0088378A">
        <w:t xml:space="preserve">33 1/3 percent or more </w:t>
      </w:r>
      <w:r>
        <w:t>of the state’s Federal-aid highway apportionments for the most recently completed fiscal year (whichever is less).  If the project principally involves the installation of an Intelligent Transportation System, it must cost at least $15 million.</w:t>
      </w:r>
      <w:r w:rsidR="00D47FFE">
        <w:rPr>
          <w:rStyle w:val="FootnoteReference"/>
        </w:rPr>
        <w:footnoteReference w:id="160"/>
      </w:r>
    </w:p>
    <w:p w:rsidR="00B77793" w:rsidRDefault="00B77793" w:rsidP="00FA71EE">
      <w:pPr>
        <w:pStyle w:val="TIFIABodyText"/>
        <w:widowControl/>
        <w:numPr>
          <w:ilvl w:val="0"/>
          <w:numId w:val="2"/>
        </w:numPr>
        <w:tabs>
          <w:tab w:val="left" w:pos="360"/>
        </w:tabs>
        <w:spacing w:line="271" w:lineRule="atLeast"/>
      </w:pPr>
      <w:r>
        <w:rPr>
          <w:szCs w:val="22"/>
          <w:u w:val="single"/>
        </w:rPr>
        <w:t>Planning Requirements</w:t>
      </w:r>
      <w:r>
        <w:rPr>
          <w:szCs w:val="22"/>
        </w:rPr>
        <w:t xml:space="preserve">.  The project must be consistent with the Federally-required long-range </w:t>
      </w:r>
      <w:r>
        <w:t>transportation plan and must be included in the transportation improvement program.</w:t>
      </w:r>
      <w:r w:rsidR="00474BA6">
        <w:rPr>
          <w:rStyle w:val="FootnoteReference"/>
        </w:rPr>
        <w:footnoteReference w:id="161"/>
      </w:r>
    </w:p>
    <w:p w:rsidR="00B77793" w:rsidRDefault="00B77793" w:rsidP="00FA71EE">
      <w:pPr>
        <w:pStyle w:val="TIFIABodyText"/>
        <w:widowControl/>
        <w:numPr>
          <w:ilvl w:val="0"/>
          <w:numId w:val="2"/>
        </w:numPr>
        <w:tabs>
          <w:tab w:val="left" w:pos="360"/>
        </w:tabs>
        <w:spacing w:line="271" w:lineRule="atLeast"/>
      </w:pPr>
      <w:r>
        <w:rPr>
          <w:u w:val="single"/>
        </w:rPr>
        <w:t>Credit Assistance Request</w:t>
      </w:r>
      <w:r>
        <w:t xml:space="preserve">.  </w:t>
      </w:r>
      <w:r w:rsidR="007A0A85">
        <w:t xml:space="preserve">TIFIA </w:t>
      </w:r>
      <w:r w:rsidR="00A47EB0">
        <w:t>credit assistance</w:t>
      </w:r>
      <w:r w:rsidR="007A0A85">
        <w:t xml:space="preserve"> is limited to </w:t>
      </w:r>
      <w:r w:rsidR="00863876">
        <w:t xml:space="preserve">no more </w:t>
      </w:r>
      <w:r w:rsidR="007A0A85">
        <w:t xml:space="preserve">49 percent of </w:t>
      </w:r>
      <w:r w:rsidR="00B3689E">
        <w:t xml:space="preserve">reasonably </w:t>
      </w:r>
      <w:r w:rsidR="007A0A85">
        <w:t xml:space="preserve">anticipated eligible project costs for a TIFIA secured loan </w:t>
      </w:r>
      <w:r w:rsidR="00A47EB0">
        <w:t xml:space="preserve">or loan guarantee </w:t>
      </w:r>
      <w:r w:rsidR="007A0A85">
        <w:t>and 33 percent for a TIFIA standby line of credit.</w:t>
      </w:r>
      <w:r w:rsidR="00B3689E">
        <w:rPr>
          <w:rStyle w:val="FootnoteReference"/>
        </w:rPr>
        <w:footnoteReference w:id="162"/>
      </w:r>
    </w:p>
    <w:p w:rsidR="003257AE" w:rsidRPr="00D8398F" w:rsidRDefault="003257AE" w:rsidP="001C7D9A">
      <w:pPr>
        <w:pStyle w:val="TIFIABodyText"/>
        <w:widowControl/>
        <w:numPr>
          <w:ilvl w:val="0"/>
          <w:numId w:val="2"/>
        </w:numPr>
        <w:tabs>
          <w:tab w:val="left" w:pos="1980"/>
        </w:tabs>
        <w:spacing w:line="271" w:lineRule="atLeast"/>
        <w:rPr>
          <w:szCs w:val="22"/>
        </w:rPr>
      </w:pPr>
      <w:r w:rsidRPr="00F46B30">
        <w:rPr>
          <w:u w:val="single"/>
        </w:rPr>
        <w:lastRenderedPageBreak/>
        <w:t>Project Readiness</w:t>
      </w:r>
      <w:r>
        <w:t>:  Construction contracting process can commence no more than 90 days after the execution of a TIFIA credit instrument.</w:t>
      </w:r>
      <w:r>
        <w:rPr>
          <w:rStyle w:val="FootnoteReference"/>
        </w:rPr>
        <w:footnoteReference w:id="163"/>
      </w:r>
    </w:p>
    <w:p w:rsidR="00474BA6" w:rsidRDefault="003257AE" w:rsidP="001C7D9A">
      <w:pPr>
        <w:pStyle w:val="TIFIABodyText"/>
        <w:widowControl/>
        <w:spacing w:line="271" w:lineRule="atLeast"/>
      </w:pPr>
      <w:r w:rsidRPr="008C2111">
        <w:rPr>
          <w:szCs w:val="22"/>
        </w:rPr>
        <w:t xml:space="preserve">After concluding its initial review of the Letter of Interest and upon making a determination that the project is reasonably likely to satisfy all of the eligibility requirements of the TIFIA Program, the DOT will conduct an in-depth creditworthiness review of the project sponsor and the proposed revenue stream. </w:t>
      </w:r>
      <w:r>
        <w:rPr>
          <w:szCs w:val="22"/>
        </w:rPr>
        <w:t xml:space="preserve"> </w:t>
      </w:r>
      <w:r w:rsidR="001C7D9A">
        <w:t>This review focuses on the</w:t>
      </w:r>
      <w:r w:rsidR="00474BA6">
        <w:t xml:space="preserve"> following eligibility criteria set forth in MAP-21:</w:t>
      </w:r>
    </w:p>
    <w:p w:rsidR="003257AE" w:rsidRDefault="003257AE" w:rsidP="001C7D9A">
      <w:pPr>
        <w:pStyle w:val="TIFIABodyText"/>
        <w:widowControl/>
        <w:numPr>
          <w:ilvl w:val="0"/>
          <w:numId w:val="27"/>
        </w:numPr>
        <w:tabs>
          <w:tab w:val="left" w:pos="360"/>
        </w:tabs>
        <w:spacing w:line="271" w:lineRule="atLeast"/>
        <w:ind w:left="360" w:hanging="360"/>
      </w:pPr>
      <w:r>
        <w:rPr>
          <w:u w:val="single"/>
        </w:rPr>
        <w:t>Repayment Source</w:t>
      </w:r>
      <w:r>
        <w:t>.  Both project debt generally and TIFIA debt specifically must be repaid in whole or in part by a dedicated revenue source</w:t>
      </w:r>
      <w:r w:rsidR="00157F91">
        <w:t>(s)</w:t>
      </w:r>
      <w:r>
        <w:t xml:space="preserve"> as discussed in Chapter 3.</w:t>
      </w:r>
      <w:r>
        <w:rPr>
          <w:rStyle w:val="FootnoteReference"/>
        </w:rPr>
        <w:footnoteReference w:id="164"/>
      </w:r>
      <w:r>
        <w:t xml:space="preserve">  The DOT will require that revenues pledged to the TIFIA obligation be of substantially similar credit quality to those securing the senior debt, except with respect to TIFIA’s lien position, which can be junior (i.e., subordinated) the project’s other debt obligations.</w:t>
      </w:r>
      <w:r>
        <w:rPr>
          <w:rStyle w:val="FootnoteReference"/>
        </w:rPr>
        <w:footnoteReference w:id="165"/>
      </w:r>
      <w:r>
        <w:t xml:space="preserve">  </w:t>
      </w:r>
    </w:p>
    <w:p w:rsidR="003257AE" w:rsidRPr="001C7D9A" w:rsidRDefault="003257AE" w:rsidP="001C7D9A">
      <w:pPr>
        <w:pStyle w:val="TIFIABodyText"/>
        <w:widowControl/>
        <w:numPr>
          <w:ilvl w:val="0"/>
          <w:numId w:val="27"/>
        </w:numPr>
        <w:tabs>
          <w:tab w:val="left" w:pos="360"/>
        </w:tabs>
        <w:spacing w:line="271" w:lineRule="atLeast"/>
        <w:ind w:left="360" w:hanging="360"/>
      </w:pPr>
      <w:r>
        <w:rPr>
          <w:szCs w:val="22"/>
          <w:u w:val="single"/>
        </w:rPr>
        <w:t>Rating Opinion</w:t>
      </w:r>
      <w:r>
        <w:rPr>
          <w:szCs w:val="22"/>
        </w:rPr>
        <w:t xml:space="preserve">.  The DOT will not </w:t>
      </w:r>
      <w:r w:rsidRPr="00B66082">
        <w:t>complete</w:t>
      </w:r>
      <w:r>
        <w:t xml:space="preserve"> its</w:t>
      </w:r>
      <w:r w:rsidRPr="00B66082">
        <w:t xml:space="preserve"> review</w:t>
      </w:r>
      <w:r>
        <w:t xml:space="preserve"> of</w:t>
      </w:r>
      <w:r w:rsidRPr="00B66082">
        <w:t xml:space="preserve"> a </w:t>
      </w:r>
      <w:r>
        <w:t>Letter of Interest and render</w:t>
      </w:r>
      <w:r w:rsidRPr="00B66082">
        <w:t xml:space="preserve"> a dete</w:t>
      </w:r>
      <w:r>
        <w:t>rmination of eligibility before the project sponsor has submitted</w:t>
      </w:r>
      <w:r w:rsidDel="00474BA6">
        <w:rPr>
          <w:szCs w:val="22"/>
        </w:rPr>
        <w:t xml:space="preserve"> </w:t>
      </w:r>
      <w:r>
        <w:rPr>
          <w:szCs w:val="22"/>
        </w:rPr>
        <w:t>at least one preliminary rating opinion letter from a NRSRO.  The preliminary rating opinion letter must also be included in the application.  This preliminary assessment of the project’s proposed financing structure must indicate that the senior obligations funding the project have the potential to receive an investment grade rating.</w:t>
      </w:r>
      <w:r>
        <w:rPr>
          <w:rStyle w:val="FootnoteReference"/>
          <w:sz w:val="22"/>
          <w:szCs w:val="22"/>
        </w:rPr>
        <w:footnoteReference w:id="166"/>
      </w:r>
      <w:r>
        <w:rPr>
          <w:szCs w:val="22"/>
        </w:rPr>
        <w:t xml:space="preserve">  The DOT will not consider projects that do not demonstrate the potential for the obligations senior to TIFIA to receive an investment grade rating.  The letter also should provide a preliminary assessment of the likely rating category for the requested TIFIA instrument.  In addition, the letter should provide a preliminary rating assessment of the financial strength of the overall project and the default risk (</w:t>
      </w:r>
      <w:r>
        <w:rPr>
          <w:i/>
          <w:szCs w:val="22"/>
        </w:rPr>
        <w:t>i.e.,</w:t>
      </w:r>
      <w:r>
        <w:rPr>
          <w:szCs w:val="22"/>
        </w:rPr>
        <w:t xml:space="preserve"> without regard to recovery potential) of the requested TIFIA instrument.</w:t>
      </w:r>
      <w:r>
        <w:rPr>
          <w:rStyle w:val="FootnoteReference"/>
          <w:szCs w:val="22"/>
        </w:rPr>
        <w:footnoteReference w:id="167"/>
      </w:r>
      <w:r>
        <w:rPr>
          <w:szCs w:val="22"/>
        </w:rPr>
        <w:t xml:space="preserve"> </w:t>
      </w:r>
    </w:p>
    <w:p w:rsidR="00474BA6" w:rsidRPr="00461B8D" w:rsidRDefault="00474BA6" w:rsidP="009C22B6">
      <w:pPr>
        <w:pStyle w:val="TIFIABodyText"/>
        <w:widowControl/>
        <w:numPr>
          <w:ilvl w:val="0"/>
          <w:numId w:val="27"/>
        </w:numPr>
        <w:spacing w:line="271" w:lineRule="atLeast"/>
        <w:ind w:left="360" w:hanging="360"/>
        <w:rPr>
          <w:u w:val="single"/>
        </w:rPr>
      </w:pPr>
      <w:r w:rsidRPr="00461B8D">
        <w:rPr>
          <w:u w:val="single"/>
        </w:rPr>
        <w:t>Creditworthiness</w:t>
      </w:r>
      <w:r>
        <w:t xml:space="preserve">:  The </w:t>
      </w:r>
      <w:r w:rsidR="001C7D9A">
        <w:t xml:space="preserve">DOT will review the </w:t>
      </w:r>
      <w:r>
        <w:t>creditworthiness of the project.  This includes a demonstrated capacity to repay the Federal credit assistance as well as a determination that the project has appropriate security features, such as appropriate coverage ratios, rate covenants and reserves, as applicable.  Specifically, projects will need to demonstrate the following:</w:t>
      </w:r>
    </w:p>
    <w:p w:rsidR="00474BA6" w:rsidRPr="00461B8D" w:rsidRDefault="00474BA6" w:rsidP="00474BA6">
      <w:pPr>
        <w:pStyle w:val="TIFIABodyText"/>
        <w:widowControl/>
        <w:numPr>
          <w:ilvl w:val="0"/>
          <w:numId w:val="28"/>
        </w:numPr>
        <w:spacing w:line="271" w:lineRule="atLeast"/>
        <w:rPr>
          <w:u w:val="single"/>
        </w:rPr>
      </w:pPr>
      <w:r>
        <w:t>Ability to satisfy applicable creditworthiness standards;</w:t>
      </w:r>
      <w:r>
        <w:rPr>
          <w:rStyle w:val="FootnoteReference"/>
        </w:rPr>
        <w:footnoteReference w:id="168"/>
      </w:r>
    </w:p>
    <w:p w:rsidR="00474BA6" w:rsidRPr="00461B8D" w:rsidRDefault="00474BA6" w:rsidP="00474BA6">
      <w:pPr>
        <w:pStyle w:val="TIFIABodyText"/>
        <w:widowControl/>
        <w:numPr>
          <w:ilvl w:val="0"/>
          <w:numId w:val="28"/>
        </w:numPr>
        <w:spacing w:line="271" w:lineRule="atLeast"/>
        <w:rPr>
          <w:u w:val="single"/>
        </w:rPr>
      </w:pPr>
      <w:r>
        <w:lastRenderedPageBreak/>
        <w:t>Rate covenant, if applicable;</w:t>
      </w:r>
      <w:r>
        <w:rPr>
          <w:rStyle w:val="FootnoteReference"/>
        </w:rPr>
        <w:footnoteReference w:id="169"/>
      </w:r>
    </w:p>
    <w:p w:rsidR="00474BA6" w:rsidRPr="00461B8D" w:rsidRDefault="00474BA6" w:rsidP="00474BA6">
      <w:pPr>
        <w:pStyle w:val="TIFIABodyText"/>
        <w:widowControl/>
        <w:numPr>
          <w:ilvl w:val="0"/>
          <w:numId w:val="28"/>
        </w:numPr>
        <w:spacing w:line="271" w:lineRule="atLeast"/>
        <w:rPr>
          <w:u w:val="single"/>
        </w:rPr>
      </w:pPr>
      <w:r>
        <w:t>Adequate coverage requirements to ensure repayment;</w:t>
      </w:r>
      <w:r>
        <w:rPr>
          <w:rStyle w:val="FootnoteReference"/>
        </w:rPr>
        <w:footnoteReference w:id="170"/>
      </w:r>
      <w:r>
        <w:t xml:space="preserve"> and</w:t>
      </w:r>
    </w:p>
    <w:p w:rsidR="00474BA6" w:rsidRPr="00461B8D" w:rsidRDefault="00474BA6" w:rsidP="00474BA6">
      <w:pPr>
        <w:pStyle w:val="TIFIABodyText"/>
        <w:widowControl/>
        <w:numPr>
          <w:ilvl w:val="0"/>
          <w:numId w:val="28"/>
        </w:numPr>
        <w:spacing w:line="271" w:lineRule="atLeast"/>
        <w:rPr>
          <w:u w:val="single"/>
        </w:rPr>
      </w:pPr>
      <w:r>
        <w:t>Ability to obtain investment grade ratings on senior debt.</w:t>
      </w:r>
      <w:r>
        <w:rPr>
          <w:rStyle w:val="FootnoteReference"/>
        </w:rPr>
        <w:footnoteReference w:id="171"/>
      </w:r>
    </w:p>
    <w:p w:rsidR="00474BA6" w:rsidRPr="00461B8D" w:rsidRDefault="00474BA6" w:rsidP="009C22B6">
      <w:pPr>
        <w:pStyle w:val="TIFIABodyText"/>
        <w:widowControl/>
        <w:numPr>
          <w:ilvl w:val="0"/>
          <w:numId w:val="27"/>
        </w:numPr>
        <w:spacing w:line="271" w:lineRule="atLeast"/>
        <w:ind w:left="360" w:hanging="360"/>
        <w:rPr>
          <w:u w:val="single"/>
        </w:rPr>
      </w:pPr>
      <w:r>
        <w:rPr>
          <w:u w:val="single"/>
        </w:rPr>
        <w:t>Foster Partnerships that Attract Public and Private Investment to the Project</w:t>
      </w:r>
      <w:r>
        <w:t>:  The extent to which assistance would foster innovative public-private partnerships and attracts debt and/or equity investment from private capital.</w:t>
      </w:r>
      <w:r>
        <w:rPr>
          <w:rStyle w:val="FootnoteReference"/>
        </w:rPr>
        <w:footnoteReference w:id="172"/>
      </w:r>
    </w:p>
    <w:p w:rsidR="00474BA6" w:rsidRPr="00B540B2" w:rsidRDefault="00474BA6" w:rsidP="009C22B6">
      <w:pPr>
        <w:pStyle w:val="TIFIABodyText"/>
        <w:widowControl/>
        <w:numPr>
          <w:ilvl w:val="0"/>
          <w:numId w:val="27"/>
        </w:numPr>
        <w:tabs>
          <w:tab w:val="left" w:pos="1980"/>
        </w:tabs>
        <w:spacing w:line="271" w:lineRule="atLeast"/>
        <w:ind w:left="360" w:hanging="360"/>
        <w:rPr>
          <w:u w:val="single"/>
        </w:rPr>
      </w:pPr>
      <w:r>
        <w:rPr>
          <w:u w:val="single"/>
        </w:rPr>
        <w:t>Ability to Proceed at an Earlier Date or Reduced Lifecycle Costs (Including Debt Service Costs)</w:t>
      </w:r>
      <w:r>
        <w:t xml:space="preserve">:  </w:t>
      </w:r>
      <w:r w:rsidRPr="00461B8D">
        <w:rPr>
          <w:szCs w:val="22"/>
        </w:rPr>
        <w:t>The likelihood that assistance would enable the project to proceed at an earlier date than the project would otherwise be possible.</w:t>
      </w:r>
      <w:r>
        <w:rPr>
          <w:rStyle w:val="FootnoteReference"/>
          <w:szCs w:val="22"/>
        </w:rPr>
        <w:footnoteReference w:id="173"/>
      </w:r>
      <w:r>
        <w:rPr>
          <w:szCs w:val="22"/>
        </w:rPr>
        <w:t xml:space="preserve"> </w:t>
      </w:r>
      <w:r w:rsidRPr="00461B8D">
        <w:rPr>
          <w:szCs w:val="22"/>
        </w:rPr>
        <w:t xml:space="preserve"> This includes </w:t>
      </w:r>
      <w:r>
        <w:rPr>
          <w:szCs w:val="22"/>
        </w:rPr>
        <w:t xml:space="preserve">documenting how the applicant has been unable to obtain credit assistance from private sources on reasonable terms.  In addition, the applicant may describe how </w:t>
      </w:r>
      <w:r w:rsidRPr="00461B8D">
        <w:rPr>
          <w:szCs w:val="22"/>
        </w:rPr>
        <w:t>the costs of traditional financing would constrain their ability to deliver the project, or that delivery of this project through traditional financing approaches would constrain their ability to deliver additional components of their capital programs.</w:t>
      </w:r>
    </w:p>
    <w:p w:rsidR="006358E1" w:rsidRPr="00F56944" w:rsidRDefault="00474BA6" w:rsidP="009C22B6">
      <w:pPr>
        <w:pStyle w:val="TIFIABodyText"/>
        <w:widowControl/>
        <w:numPr>
          <w:ilvl w:val="0"/>
          <w:numId w:val="27"/>
        </w:numPr>
        <w:tabs>
          <w:tab w:val="left" w:pos="1980"/>
        </w:tabs>
        <w:spacing w:line="271" w:lineRule="atLeast"/>
        <w:ind w:left="360" w:hanging="360"/>
        <w:rPr>
          <w:szCs w:val="22"/>
        </w:rPr>
      </w:pPr>
      <w:r>
        <w:rPr>
          <w:u w:val="single"/>
        </w:rPr>
        <w:t>Reduces Contribution of Federal Grant Assistance for the Project</w:t>
      </w:r>
      <w:r>
        <w:t>: The extent to which assistance would reduce the contribution of Federal grant assistance to the project.</w:t>
      </w:r>
      <w:r>
        <w:rPr>
          <w:rStyle w:val="FootnoteReference"/>
        </w:rPr>
        <w:footnoteReference w:id="174"/>
      </w:r>
    </w:p>
    <w:p w:rsidR="003257AE" w:rsidRDefault="003257AE" w:rsidP="003257AE">
      <w:pPr>
        <w:pStyle w:val="TIFIABodyText"/>
        <w:widowControl/>
        <w:tabs>
          <w:tab w:val="left" w:pos="360"/>
        </w:tabs>
        <w:spacing w:line="271" w:lineRule="atLeast"/>
      </w:pPr>
      <w:r w:rsidRPr="00975B87">
        <w:rPr>
          <w:szCs w:val="22"/>
        </w:rPr>
        <w:t xml:space="preserve">After concluding its review of each Letter of Interest and related information submitted by </w:t>
      </w:r>
      <w:r>
        <w:rPr>
          <w:szCs w:val="22"/>
        </w:rPr>
        <w:t>potential applicants</w:t>
      </w:r>
      <w:r w:rsidRPr="00975B87">
        <w:rPr>
          <w:szCs w:val="22"/>
        </w:rPr>
        <w:t xml:space="preserve">, along with the independent financial analysis report from </w:t>
      </w:r>
      <w:r>
        <w:rPr>
          <w:szCs w:val="22"/>
        </w:rPr>
        <w:t xml:space="preserve">the </w:t>
      </w:r>
      <w:r w:rsidRPr="00975B87">
        <w:rPr>
          <w:szCs w:val="22"/>
        </w:rPr>
        <w:t xml:space="preserve">DOT’s independent financial advisor, </w:t>
      </w:r>
      <w:r>
        <w:rPr>
          <w:szCs w:val="22"/>
        </w:rPr>
        <w:t xml:space="preserve">and after the project sponsor’s oral presentation, the </w:t>
      </w:r>
      <w:r w:rsidRPr="00975B87">
        <w:rPr>
          <w:szCs w:val="22"/>
        </w:rPr>
        <w:t xml:space="preserve">DOT will </w:t>
      </w:r>
      <w:r>
        <w:rPr>
          <w:szCs w:val="22"/>
        </w:rPr>
        <w:t>invite</w:t>
      </w:r>
      <w:r w:rsidRPr="00975B87">
        <w:rPr>
          <w:szCs w:val="22"/>
        </w:rPr>
        <w:t xml:space="preserve"> sponsors of eligible projects to submit complete applications</w:t>
      </w:r>
      <w:r w:rsidRPr="00442D1C">
        <w:rPr>
          <w:szCs w:val="22"/>
        </w:rPr>
        <w:t xml:space="preserve">.  </w:t>
      </w:r>
      <w:r>
        <w:t>In addition to the foregoing requirements to be reviewed in connection with Letters of Interest, project sponsors must have completed, and must be in compliance with, the following prior to submitting an application:</w:t>
      </w:r>
    </w:p>
    <w:p w:rsidR="003257AE" w:rsidRDefault="003257AE" w:rsidP="003257AE">
      <w:pPr>
        <w:pStyle w:val="TIFIABodyText"/>
        <w:widowControl/>
        <w:numPr>
          <w:ilvl w:val="0"/>
          <w:numId w:val="2"/>
        </w:numPr>
        <w:tabs>
          <w:tab w:val="left" w:pos="360"/>
        </w:tabs>
        <w:spacing w:line="271" w:lineRule="atLeast"/>
      </w:pPr>
      <w:r>
        <w:rPr>
          <w:u w:val="single"/>
        </w:rPr>
        <w:t>Environmental Review</w:t>
      </w:r>
      <w:r>
        <w:t>.  The applicant must have circulated a draft EIS by the time it submits an application, unless the project has received either a FONSI or a Categorical Exclusion.  The DOT will not obligate funds for a project before a ROD (if required, or the equivalent final agency decision) has been issued for that project.</w:t>
      </w:r>
      <w:r>
        <w:rPr>
          <w:rStyle w:val="FootnoteReference"/>
        </w:rPr>
        <w:footnoteReference w:id="175"/>
      </w:r>
    </w:p>
    <w:p w:rsidR="003257AE" w:rsidRDefault="003257AE" w:rsidP="003257AE">
      <w:pPr>
        <w:pStyle w:val="TIFIABodyText"/>
        <w:widowControl/>
        <w:numPr>
          <w:ilvl w:val="0"/>
          <w:numId w:val="2"/>
        </w:numPr>
        <w:tabs>
          <w:tab w:val="left" w:pos="360"/>
        </w:tabs>
        <w:spacing w:line="271" w:lineRule="atLeast"/>
      </w:pPr>
      <w:r>
        <w:rPr>
          <w:u w:val="single"/>
        </w:rPr>
        <w:t>TIFIA Compliance Certifications</w:t>
      </w:r>
      <w:r>
        <w:t xml:space="preserve">.  The applicant must certify compliance with 23 U.S.C. or relevant provisions of 49 U.S.C., as applicable.  Also, the applicant must certify compliance with the National Environmental Policy Act of 1969, the Uniform Relocation </w:t>
      </w:r>
      <w:r>
        <w:lastRenderedPageBreak/>
        <w:t>Assistance and Real Property Acquisition Policies Act of 1970, and Title VI of the Civil Rights Act of 1964.</w:t>
      </w:r>
      <w:r>
        <w:rPr>
          <w:rStyle w:val="FootnoteReference"/>
        </w:rPr>
        <w:footnoteReference w:id="176"/>
      </w:r>
    </w:p>
    <w:p w:rsidR="003257AE" w:rsidRDefault="003257AE" w:rsidP="003257AE">
      <w:pPr>
        <w:pStyle w:val="TIFIABodyText"/>
        <w:widowControl/>
        <w:numPr>
          <w:ilvl w:val="0"/>
          <w:numId w:val="2"/>
        </w:numPr>
        <w:tabs>
          <w:tab w:val="left" w:pos="360"/>
        </w:tabs>
        <w:spacing w:line="271" w:lineRule="atLeast"/>
      </w:pPr>
      <w:r>
        <w:rPr>
          <w:u w:val="single"/>
        </w:rPr>
        <w:t>Other Compliance Issues</w:t>
      </w:r>
      <w:r>
        <w:t>.  The applicant must certify compliance with other application requirements shared by all Federal credit programs, such as no delinquency or default on any Federal debt or debarment from participation in any Federal programs.</w:t>
      </w:r>
      <w:r>
        <w:rPr>
          <w:rStyle w:val="FootnoteReference"/>
        </w:rPr>
        <w:footnoteReference w:id="177"/>
      </w:r>
      <w:r>
        <w:t xml:space="preserve">  In addition, the applicant must provide a comprehensive project management and monitoring proposal that will assure the DOT of the applicant’s ongoing compliance with all applicable Federal laws and regulations. </w:t>
      </w:r>
    </w:p>
    <w:p w:rsidR="00B77793" w:rsidRPr="00E070B9" w:rsidRDefault="00453543" w:rsidP="00FA71EE">
      <w:pPr>
        <w:pStyle w:val="TIFIAHeading2"/>
        <w:widowControl/>
        <w:spacing w:line="271" w:lineRule="atLeast"/>
        <w:outlineLvl w:val="0"/>
      </w:pPr>
      <w:r>
        <w:t>Credit Subsidy Calculation</w:t>
      </w:r>
    </w:p>
    <w:p w:rsidR="00B77793" w:rsidRDefault="00B77793" w:rsidP="00FA71EE">
      <w:pPr>
        <w:pStyle w:val="TIFIABodyText"/>
        <w:widowControl/>
        <w:spacing w:line="271" w:lineRule="atLeast"/>
      </w:pPr>
      <w:r w:rsidRPr="00E070B9">
        <w:t>Based on the financial information presented in the</w:t>
      </w:r>
      <w:r w:rsidR="001C3587">
        <w:t xml:space="preserve"> Letter of Interest and</w:t>
      </w:r>
      <w:r w:rsidRPr="00E070B9">
        <w:t xml:space="preserve"> application (and any supplemental materials), the DOT will estimate the subsidy cost for the proposed credit assistance.  This preliminary subsidy calculation, reflecting the DOT’s estimated credit risk, will determine the amount of TIFIA budget authority the project would consume if selected for credit assistance.</w:t>
      </w:r>
    </w:p>
    <w:p w:rsidR="00B77793" w:rsidRDefault="00B77793">
      <w:pPr>
        <w:pStyle w:val="TIFIAHeading1a"/>
        <w:keepLines/>
        <w:widowControl/>
        <w:outlineLvl w:val="0"/>
      </w:pPr>
      <w:r>
        <w:t>Section 5-2</w:t>
      </w:r>
    </w:p>
    <w:p w:rsidR="00B77793" w:rsidRDefault="00B77793" w:rsidP="00FA71EE">
      <w:pPr>
        <w:pStyle w:val="TIFIAHeading1b"/>
        <w:keepLines/>
        <w:widowControl/>
        <w:spacing w:after="240"/>
        <w:outlineLvl w:val="0"/>
      </w:pPr>
      <w:r>
        <w:t xml:space="preserve">Project Recommendations </w:t>
      </w:r>
    </w:p>
    <w:p w:rsidR="00B77793" w:rsidRDefault="00B77793" w:rsidP="002B6AD8">
      <w:pPr>
        <w:pStyle w:val="TIFIABodyText"/>
        <w:widowControl/>
        <w:tabs>
          <w:tab w:val="left" w:pos="360"/>
        </w:tabs>
        <w:spacing w:line="271" w:lineRule="atLeast"/>
      </w:pPr>
      <w:r>
        <w:t>Based on work of the</w:t>
      </w:r>
      <w:r w:rsidR="00CB545E">
        <w:t xml:space="preserve"> technical</w:t>
      </w:r>
      <w:r>
        <w:t xml:space="preserve"> </w:t>
      </w:r>
      <w:r w:rsidR="004867FC">
        <w:t>review</w:t>
      </w:r>
      <w:r>
        <w:t xml:space="preserve"> team, the TIFIA staff will prepare a recommendation regarding TIFIA credit assistance and present it to the DOT Credit Council.</w:t>
      </w:r>
    </w:p>
    <w:p w:rsidR="00B77793" w:rsidRDefault="00B77793">
      <w:pPr>
        <w:pStyle w:val="TIFIAHeading1a"/>
        <w:widowControl/>
        <w:outlineLvl w:val="0"/>
      </w:pPr>
      <w:r>
        <w:t>Section 5-3</w:t>
      </w:r>
    </w:p>
    <w:p w:rsidR="00B77793" w:rsidRDefault="00B77793" w:rsidP="00FA71EE">
      <w:pPr>
        <w:pStyle w:val="TIFIAHeading1b"/>
        <w:widowControl/>
        <w:spacing w:after="240"/>
        <w:outlineLvl w:val="0"/>
      </w:pPr>
      <w:r>
        <w:t>Project Selection</w:t>
      </w:r>
    </w:p>
    <w:p w:rsidR="00B77793" w:rsidRDefault="00B77793" w:rsidP="00A436C0">
      <w:pPr>
        <w:pStyle w:val="TIFIABodyText"/>
        <w:widowControl/>
        <w:spacing w:line="271" w:lineRule="atLeast"/>
      </w:pPr>
      <w:r>
        <w:t xml:space="preserve">The DOT Credit Council provides recommendations to the Secretary, who will make the final determination regarding award of TIFIA </w:t>
      </w:r>
      <w:r w:rsidR="00160D50">
        <w:t xml:space="preserve">credit </w:t>
      </w:r>
      <w:r>
        <w:t xml:space="preserve">assistance.  Following a favorable decision and applicant notification, the TIFIA JPO will prepare a term sheet for execution with the applicant.  While the term sheet demonstrates </w:t>
      </w:r>
      <w:r w:rsidR="000D4F00">
        <w:t xml:space="preserve">the </w:t>
      </w:r>
      <w:r>
        <w:t>DOT’s commitment to fund the project, the decision to provide financing does not mean that the DOT agrees with all specific terms in the application.  The term sheet is subject in all respects to the execution of a credit agreement on acceptable terms and conditions</w:t>
      </w:r>
      <w:r w:rsidR="005014F3">
        <w:t xml:space="preserve"> to the DOT</w:t>
      </w:r>
      <w:r>
        <w:t>.  Once negotiations are completed, the parties will execute a definitive credit agreement and close the transaction.  These contractual documents are described in Chapter 6.</w:t>
      </w:r>
    </w:p>
    <w:p w:rsidR="00B77793" w:rsidRDefault="00B77793">
      <w:pPr>
        <w:pStyle w:val="TIFIAHeading1a"/>
        <w:widowControl/>
        <w:outlineLvl w:val="0"/>
      </w:pPr>
      <w:r>
        <w:t>Section 5-4</w:t>
      </w:r>
    </w:p>
    <w:p w:rsidR="00B77793" w:rsidRDefault="00B77793" w:rsidP="00FA71EE">
      <w:pPr>
        <w:pStyle w:val="TIFIAHeading1b"/>
        <w:widowControl/>
        <w:spacing w:after="240"/>
        <w:outlineLvl w:val="0"/>
      </w:pPr>
      <w:r>
        <w:t>Summary of the TIFIA Selection Process</w:t>
      </w:r>
    </w:p>
    <w:p w:rsidR="00B77793" w:rsidRDefault="00B77793" w:rsidP="00A436C0">
      <w:pPr>
        <w:pStyle w:val="BodyText"/>
        <w:widowControl/>
        <w:spacing w:line="271" w:lineRule="atLeast"/>
        <w:rPr>
          <w:rFonts w:ascii="Times New Roman" w:hAnsi="Times New Roman"/>
          <w:sz w:val="22"/>
        </w:rPr>
      </w:pPr>
      <w:r>
        <w:rPr>
          <w:rFonts w:ascii="Times New Roman" w:hAnsi="Times New Roman"/>
          <w:sz w:val="22"/>
        </w:rPr>
        <w:t xml:space="preserve">Exhibit 5-A provides a summary of the TIFIA application and selection processes addressed in Chapters 4 and 5. </w:t>
      </w:r>
    </w:p>
    <w:p w:rsidR="00B77793" w:rsidRPr="00EC479F" w:rsidRDefault="00B77793" w:rsidP="00FA71EE">
      <w:pPr>
        <w:pStyle w:val="TIFIATableTitle"/>
        <w:widowControl/>
        <w:spacing w:after="240"/>
        <w:outlineLvl w:val="0"/>
        <w:rPr>
          <w:rFonts w:ascii="Times New Roman" w:hAnsi="Times New Roman"/>
          <w:sz w:val="22"/>
          <w:szCs w:val="22"/>
        </w:rPr>
      </w:pPr>
      <w:r w:rsidRPr="00EC479F">
        <w:rPr>
          <w:rFonts w:ascii="Times New Roman" w:hAnsi="Times New Roman"/>
          <w:sz w:val="22"/>
          <w:szCs w:val="22"/>
        </w:rPr>
        <w:lastRenderedPageBreak/>
        <w:t xml:space="preserve">Exhibit 5-A: The TIFIA </w:t>
      </w:r>
      <w:r w:rsidR="006358E1">
        <w:rPr>
          <w:rFonts w:ascii="Times New Roman" w:hAnsi="Times New Roman"/>
          <w:sz w:val="22"/>
          <w:szCs w:val="22"/>
        </w:rPr>
        <w:t>Application</w:t>
      </w:r>
      <w:r w:rsidR="006358E1" w:rsidRPr="00EC479F">
        <w:rPr>
          <w:rFonts w:ascii="Times New Roman" w:hAnsi="Times New Roman"/>
          <w:sz w:val="22"/>
          <w:szCs w:val="22"/>
        </w:rPr>
        <w:t xml:space="preserve"> </w:t>
      </w:r>
      <w:r w:rsidRPr="00EC479F">
        <w:rPr>
          <w:rFonts w:ascii="Times New Roman" w:hAnsi="Times New Roman"/>
          <w:sz w:val="22"/>
          <w:szCs w:val="22"/>
        </w:rPr>
        <w:t>Process</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5397"/>
        <w:gridCol w:w="3099"/>
      </w:tblGrid>
      <w:tr w:rsidR="00B77793" w:rsidRPr="00152531" w:rsidTr="002B3EC0">
        <w:trPr>
          <w:tblHeader/>
        </w:trPr>
        <w:tc>
          <w:tcPr>
            <w:tcW w:w="3176" w:type="pct"/>
            <w:tcBorders>
              <w:top w:val="double" w:sz="6" w:space="0" w:color="auto"/>
            </w:tcBorders>
          </w:tcPr>
          <w:p w:rsidR="00B77793" w:rsidRPr="00EC479F" w:rsidRDefault="00B77793" w:rsidP="00EC479F">
            <w:pPr>
              <w:keepNext/>
              <w:keepLines/>
              <w:widowControl/>
              <w:spacing w:before="40" w:after="0" w:line="240" w:lineRule="auto"/>
              <w:jc w:val="center"/>
              <w:rPr>
                <w:rFonts w:ascii="Times New Roman" w:hAnsi="Times New Roman"/>
                <w:sz w:val="18"/>
              </w:rPr>
            </w:pPr>
            <w:r w:rsidRPr="00EC479F">
              <w:rPr>
                <w:rFonts w:ascii="Times New Roman" w:hAnsi="Times New Roman"/>
                <w:b/>
                <w:sz w:val="18"/>
              </w:rPr>
              <w:t>Action</w:t>
            </w:r>
          </w:p>
        </w:tc>
        <w:tc>
          <w:tcPr>
            <w:tcW w:w="1824" w:type="pct"/>
            <w:tcBorders>
              <w:top w:val="double" w:sz="6" w:space="0" w:color="auto"/>
            </w:tcBorders>
          </w:tcPr>
          <w:p w:rsidR="00B77793" w:rsidRPr="00EC479F" w:rsidRDefault="00B77793" w:rsidP="00EC479F">
            <w:pPr>
              <w:keepNext/>
              <w:keepLines/>
              <w:widowControl/>
              <w:spacing w:before="40" w:after="0" w:line="240" w:lineRule="auto"/>
              <w:jc w:val="center"/>
              <w:rPr>
                <w:rFonts w:ascii="Times New Roman" w:hAnsi="Times New Roman"/>
                <w:sz w:val="18"/>
              </w:rPr>
            </w:pPr>
            <w:r w:rsidRPr="00EC479F">
              <w:rPr>
                <w:rFonts w:ascii="Times New Roman" w:hAnsi="Times New Roman"/>
                <w:b/>
                <w:sz w:val="18"/>
              </w:rPr>
              <w:t xml:space="preserve">Responsible Party </w:t>
            </w:r>
          </w:p>
        </w:tc>
      </w:tr>
      <w:tr w:rsidR="00B77793" w:rsidRPr="00152531" w:rsidTr="002B3EC0">
        <w:tc>
          <w:tcPr>
            <w:tcW w:w="3176" w:type="pct"/>
          </w:tcPr>
          <w:p w:rsidR="00B77793" w:rsidRPr="00EC479F" w:rsidRDefault="00B77793" w:rsidP="00EC479F">
            <w:pPr>
              <w:pStyle w:val="Heading9"/>
              <w:keepLines/>
              <w:widowControl/>
              <w:rPr>
                <w:rFonts w:ascii="Times New Roman" w:hAnsi="Times New Roman"/>
                <w:szCs w:val="18"/>
              </w:rPr>
            </w:pPr>
            <w:r w:rsidRPr="00EC479F">
              <w:rPr>
                <w:rFonts w:ascii="Times New Roman" w:hAnsi="Times New Roman"/>
                <w:szCs w:val="18"/>
              </w:rPr>
              <w:t xml:space="preserve">Solicitation for </w:t>
            </w:r>
            <w:r w:rsidR="00534897">
              <w:rPr>
                <w:rFonts w:ascii="Times New Roman" w:hAnsi="Times New Roman"/>
                <w:szCs w:val="18"/>
              </w:rPr>
              <w:t>Letters of Interest</w:t>
            </w:r>
            <w:r w:rsidR="00534897" w:rsidRPr="00EC479F">
              <w:rPr>
                <w:rFonts w:ascii="Times New Roman" w:hAnsi="Times New Roman"/>
                <w:szCs w:val="18"/>
              </w:rPr>
              <w:t xml:space="preserve"> </w:t>
            </w:r>
          </w:p>
          <w:p w:rsidR="00B77793" w:rsidRPr="00EC479F" w:rsidRDefault="00B77793" w:rsidP="00EC479F">
            <w:pPr>
              <w:keepNext/>
              <w:keepLines/>
              <w:widowControl/>
              <w:numPr>
                <w:ilvl w:val="0"/>
                <w:numId w:val="10"/>
              </w:numPr>
              <w:tabs>
                <w:tab w:val="clear" w:pos="2520"/>
              </w:tabs>
              <w:spacing w:before="40" w:after="0" w:line="240" w:lineRule="auto"/>
              <w:ind w:left="720"/>
              <w:rPr>
                <w:rFonts w:ascii="Times New Roman" w:hAnsi="Times New Roman"/>
                <w:sz w:val="18"/>
                <w:szCs w:val="18"/>
              </w:rPr>
            </w:pPr>
            <w:r w:rsidRPr="00EC479F">
              <w:rPr>
                <w:rFonts w:ascii="Times New Roman" w:hAnsi="Times New Roman"/>
                <w:sz w:val="18"/>
                <w:szCs w:val="18"/>
              </w:rPr>
              <w:t>Submit NOFA to Federal Register</w:t>
            </w:r>
            <w:r w:rsidR="008856A8" w:rsidRPr="00EC479F">
              <w:rPr>
                <w:rFonts w:ascii="Times New Roman" w:hAnsi="Times New Roman"/>
                <w:sz w:val="18"/>
                <w:szCs w:val="18"/>
              </w:rPr>
              <w:t>.</w:t>
            </w:r>
          </w:p>
        </w:tc>
        <w:tc>
          <w:tcPr>
            <w:tcW w:w="1824" w:type="pct"/>
          </w:tcPr>
          <w:p w:rsidR="00B77793" w:rsidRPr="00EC479F" w:rsidRDefault="00B77793" w:rsidP="00EC479F">
            <w:pPr>
              <w:keepNext/>
              <w:keepLines/>
              <w:widowControl/>
              <w:spacing w:before="40" w:after="0" w:line="240" w:lineRule="auto"/>
              <w:ind w:left="360" w:hanging="360"/>
              <w:rPr>
                <w:rFonts w:ascii="Times New Roman" w:hAnsi="Times New Roman"/>
                <w:sz w:val="18"/>
              </w:rPr>
            </w:pPr>
          </w:p>
          <w:p w:rsidR="00B77793" w:rsidRPr="00EC479F" w:rsidRDefault="00B77793" w:rsidP="00EC479F">
            <w:pPr>
              <w:keepNext/>
              <w:keepLines/>
              <w:widowControl/>
              <w:numPr>
                <w:ilvl w:val="0"/>
                <w:numId w:val="13"/>
              </w:numPr>
              <w:spacing w:before="40" w:after="0" w:line="240" w:lineRule="auto"/>
              <w:rPr>
                <w:rFonts w:ascii="Times New Roman" w:hAnsi="Times New Roman"/>
                <w:sz w:val="18"/>
              </w:rPr>
            </w:pPr>
            <w:r w:rsidRPr="00EC479F">
              <w:rPr>
                <w:rFonts w:ascii="Times New Roman" w:hAnsi="Times New Roman"/>
                <w:sz w:val="18"/>
              </w:rPr>
              <w:t xml:space="preserve">DOT  </w:t>
            </w:r>
          </w:p>
        </w:tc>
      </w:tr>
      <w:tr w:rsidR="00B77793" w:rsidRPr="00152531" w:rsidTr="002B3EC0">
        <w:tc>
          <w:tcPr>
            <w:tcW w:w="3176" w:type="pct"/>
          </w:tcPr>
          <w:p w:rsidR="00B77793" w:rsidRPr="00EC479F" w:rsidRDefault="00B77793" w:rsidP="00EC479F">
            <w:pPr>
              <w:pStyle w:val="Heading9"/>
              <w:keepLines/>
              <w:widowControl/>
              <w:rPr>
                <w:rFonts w:ascii="Times New Roman" w:hAnsi="Times New Roman"/>
              </w:rPr>
            </w:pPr>
            <w:r w:rsidRPr="00EC479F">
              <w:rPr>
                <w:rFonts w:ascii="Times New Roman" w:hAnsi="Times New Roman"/>
              </w:rPr>
              <w:t>Initial Submission - Letter of Interest:</w:t>
            </w:r>
          </w:p>
          <w:p w:rsidR="00B77793" w:rsidRPr="00EC479F" w:rsidRDefault="00B77793" w:rsidP="00EC479F">
            <w:pPr>
              <w:keepNext/>
              <w:keepLines/>
              <w:widowControl/>
              <w:numPr>
                <w:ilvl w:val="0"/>
                <w:numId w:val="7"/>
              </w:numPr>
              <w:tabs>
                <w:tab w:val="left" w:pos="360"/>
              </w:tabs>
              <w:spacing w:before="40" w:after="0" w:line="240" w:lineRule="auto"/>
              <w:ind w:left="720"/>
              <w:rPr>
                <w:rFonts w:ascii="Times New Roman" w:hAnsi="Times New Roman"/>
                <w:sz w:val="18"/>
              </w:rPr>
            </w:pPr>
            <w:r w:rsidRPr="00EC479F">
              <w:rPr>
                <w:rFonts w:ascii="Times New Roman" w:hAnsi="Times New Roman"/>
                <w:sz w:val="18"/>
              </w:rPr>
              <w:t>Prepare the Letter of Interest and submit it to the DOT.</w:t>
            </w:r>
          </w:p>
        </w:tc>
        <w:tc>
          <w:tcPr>
            <w:tcW w:w="1824" w:type="pct"/>
          </w:tcPr>
          <w:p w:rsidR="00B77793" w:rsidRPr="00EC479F" w:rsidRDefault="00B77793" w:rsidP="00EC479F">
            <w:pPr>
              <w:keepNext/>
              <w:keepLines/>
              <w:widowControl/>
              <w:spacing w:before="40" w:after="0" w:line="240" w:lineRule="auto"/>
              <w:ind w:left="360" w:hanging="360"/>
              <w:rPr>
                <w:rFonts w:ascii="Times New Roman" w:hAnsi="Times New Roman"/>
                <w:sz w:val="18"/>
              </w:rPr>
            </w:pPr>
          </w:p>
          <w:p w:rsidR="00B77793" w:rsidRPr="00EC479F" w:rsidRDefault="00436E06" w:rsidP="00EC479F">
            <w:pPr>
              <w:keepNext/>
              <w:keepLines/>
              <w:widowControl/>
              <w:numPr>
                <w:ilvl w:val="0"/>
                <w:numId w:val="13"/>
              </w:numPr>
              <w:spacing w:before="40" w:after="0" w:line="240" w:lineRule="auto"/>
              <w:rPr>
                <w:rFonts w:ascii="Times New Roman" w:hAnsi="Times New Roman"/>
                <w:sz w:val="18"/>
              </w:rPr>
            </w:pPr>
            <w:r w:rsidRPr="00EC479F">
              <w:rPr>
                <w:rFonts w:ascii="Times New Roman" w:hAnsi="Times New Roman"/>
                <w:sz w:val="18"/>
              </w:rPr>
              <w:t>Project Sponsor</w:t>
            </w:r>
          </w:p>
        </w:tc>
      </w:tr>
      <w:tr w:rsidR="00B77793" w:rsidRPr="00152531" w:rsidTr="002B3EC0">
        <w:tc>
          <w:tcPr>
            <w:tcW w:w="3176" w:type="pct"/>
          </w:tcPr>
          <w:p w:rsidR="00B77793" w:rsidRPr="00EC479F" w:rsidRDefault="002A5FD3" w:rsidP="00EC479F">
            <w:pPr>
              <w:pStyle w:val="Tabletext"/>
              <w:keepNext/>
              <w:keepLines/>
              <w:widowControl/>
              <w:spacing w:before="40" w:after="0" w:line="240" w:lineRule="auto"/>
              <w:rPr>
                <w:rFonts w:ascii="Times New Roman" w:hAnsi="Times New Roman"/>
                <w:b/>
              </w:rPr>
            </w:pPr>
            <w:r>
              <w:rPr>
                <w:rFonts w:ascii="Times New Roman" w:hAnsi="Times New Roman"/>
                <w:b/>
              </w:rPr>
              <w:t xml:space="preserve">Initial </w:t>
            </w:r>
            <w:r w:rsidR="00B77793" w:rsidRPr="00EC479F">
              <w:rPr>
                <w:rFonts w:ascii="Times New Roman" w:hAnsi="Times New Roman"/>
                <w:b/>
              </w:rPr>
              <w:t>Project Assessment:</w:t>
            </w:r>
          </w:p>
          <w:p w:rsidR="00B77793" w:rsidRPr="00EC479F" w:rsidRDefault="004867FC" w:rsidP="00EC479F">
            <w:pPr>
              <w:keepNext/>
              <w:keepLines/>
              <w:widowControl/>
              <w:numPr>
                <w:ilvl w:val="0"/>
                <w:numId w:val="10"/>
              </w:numPr>
              <w:tabs>
                <w:tab w:val="clear" w:pos="2520"/>
              </w:tabs>
              <w:spacing w:before="40" w:after="0" w:line="240" w:lineRule="auto"/>
              <w:ind w:left="720"/>
              <w:rPr>
                <w:rFonts w:ascii="Times New Roman" w:hAnsi="Times New Roman"/>
                <w:sz w:val="18"/>
              </w:rPr>
            </w:pPr>
            <w:r>
              <w:rPr>
                <w:rFonts w:ascii="Times New Roman" w:hAnsi="Times New Roman"/>
                <w:sz w:val="18"/>
              </w:rPr>
              <w:t>Establish a</w:t>
            </w:r>
            <w:r w:rsidR="00CB545E">
              <w:rPr>
                <w:rFonts w:ascii="Times New Roman" w:hAnsi="Times New Roman"/>
                <w:sz w:val="18"/>
              </w:rPr>
              <w:t xml:space="preserve"> technical</w:t>
            </w:r>
            <w:r>
              <w:rPr>
                <w:rFonts w:ascii="Times New Roman" w:hAnsi="Times New Roman"/>
                <w:sz w:val="18"/>
              </w:rPr>
              <w:t xml:space="preserve"> review </w:t>
            </w:r>
            <w:r w:rsidR="00B77793" w:rsidRPr="00EC479F">
              <w:rPr>
                <w:rFonts w:ascii="Times New Roman" w:hAnsi="Times New Roman"/>
                <w:sz w:val="18"/>
              </w:rPr>
              <w:t>team to review the project.</w:t>
            </w:r>
          </w:p>
          <w:p w:rsidR="00B77793" w:rsidRPr="00EC479F" w:rsidRDefault="00B77793" w:rsidP="00EC479F">
            <w:pPr>
              <w:keepNext/>
              <w:keepLines/>
              <w:widowControl/>
              <w:numPr>
                <w:ilvl w:val="0"/>
                <w:numId w:val="10"/>
              </w:numPr>
              <w:tabs>
                <w:tab w:val="clear" w:pos="2520"/>
              </w:tabs>
              <w:spacing w:before="40" w:after="0" w:line="240" w:lineRule="auto"/>
              <w:ind w:left="720"/>
              <w:rPr>
                <w:rFonts w:ascii="Times New Roman" w:hAnsi="Times New Roman"/>
                <w:sz w:val="18"/>
              </w:rPr>
            </w:pPr>
            <w:r w:rsidRPr="00EC479F">
              <w:rPr>
                <w:rFonts w:ascii="Times New Roman" w:hAnsi="Times New Roman"/>
                <w:sz w:val="18"/>
              </w:rPr>
              <w:t xml:space="preserve">Determine whether the prospective project meets </w:t>
            </w:r>
            <w:r w:rsidR="00534897">
              <w:rPr>
                <w:rFonts w:ascii="Times New Roman" w:hAnsi="Times New Roman"/>
                <w:sz w:val="18"/>
              </w:rPr>
              <w:t>statutory</w:t>
            </w:r>
            <w:r w:rsidR="00534897" w:rsidRPr="00EC479F">
              <w:rPr>
                <w:rFonts w:ascii="Times New Roman" w:hAnsi="Times New Roman"/>
                <w:sz w:val="18"/>
              </w:rPr>
              <w:t xml:space="preserve"> </w:t>
            </w:r>
            <w:r w:rsidRPr="00EC479F">
              <w:rPr>
                <w:rFonts w:ascii="Times New Roman" w:hAnsi="Times New Roman"/>
                <w:sz w:val="18"/>
              </w:rPr>
              <w:t>eligibility requirements.</w:t>
            </w:r>
          </w:p>
          <w:p w:rsidR="00534897" w:rsidRPr="009F65D3" w:rsidRDefault="00534897" w:rsidP="009F65D3">
            <w:pPr>
              <w:keepNext/>
              <w:keepLines/>
              <w:widowControl/>
              <w:numPr>
                <w:ilvl w:val="0"/>
                <w:numId w:val="10"/>
              </w:numPr>
              <w:tabs>
                <w:tab w:val="clear" w:pos="2520"/>
              </w:tabs>
              <w:spacing w:before="45" w:after="0" w:line="240" w:lineRule="auto"/>
              <w:ind w:left="720"/>
              <w:rPr>
                <w:rFonts w:ascii="Times New Roman" w:hAnsi="Times New Roman"/>
                <w:sz w:val="18"/>
              </w:rPr>
            </w:pPr>
            <w:r>
              <w:rPr>
                <w:rFonts w:ascii="Times New Roman" w:hAnsi="Times New Roman"/>
                <w:sz w:val="18"/>
              </w:rPr>
              <w:t>Provide</w:t>
            </w:r>
            <w:r w:rsidR="00436E06" w:rsidRPr="00EC479F">
              <w:rPr>
                <w:rFonts w:ascii="Times New Roman" w:hAnsi="Times New Roman"/>
                <w:sz w:val="18"/>
              </w:rPr>
              <w:t xml:space="preserve"> additional information </w:t>
            </w:r>
            <w:r>
              <w:rPr>
                <w:rFonts w:ascii="Times New Roman" w:hAnsi="Times New Roman"/>
                <w:sz w:val="18"/>
              </w:rPr>
              <w:t>(if requested by the DOT).</w:t>
            </w:r>
          </w:p>
        </w:tc>
        <w:tc>
          <w:tcPr>
            <w:tcW w:w="1824" w:type="pct"/>
          </w:tcPr>
          <w:p w:rsidR="00B77793" w:rsidRPr="00EC479F" w:rsidRDefault="00B77793" w:rsidP="00EC479F">
            <w:pPr>
              <w:keepNext/>
              <w:keepLines/>
              <w:widowControl/>
              <w:spacing w:before="40" w:after="0" w:line="240" w:lineRule="auto"/>
              <w:ind w:left="360" w:hanging="360"/>
              <w:rPr>
                <w:rFonts w:ascii="Times New Roman" w:hAnsi="Times New Roman"/>
                <w:sz w:val="18"/>
              </w:rPr>
            </w:pPr>
          </w:p>
          <w:p w:rsidR="00B77793" w:rsidRPr="00EC479F" w:rsidRDefault="00B77793" w:rsidP="00EC479F">
            <w:pPr>
              <w:keepNext/>
              <w:keepLines/>
              <w:widowControl/>
              <w:numPr>
                <w:ilvl w:val="0"/>
                <w:numId w:val="13"/>
              </w:numPr>
              <w:spacing w:before="40" w:after="0" w:line="240" w:lineRule="auto"/>
              <w:rPr>
                <w:rFonts w:ascii="Times New Roman" w:hAnsi="Times New Roman"/>
                <w:sz w:val="18"/>
              </w:rPr>
            </w:pPr>
            <w:bookmarkStart w:id="23" w:name=""/>
            <w:bookmarkStart w:id="24" w:name=""/>
            <w:bookmarkEnd w:id="23"/>
            <w:bookmarkEnd w:id="24"/>
            <w:r w:rsidRPr="00EC479F">
              <w:rPr>
                <w:rFonts w:ascii="Times New Roman" w:hAnsi="Times New Roman"/>
                <w:sz w:val="18"/>
              </w:rPr>
              <w:t>DOT</w:t>
            </w:r>
          </w:p>
          <w:bookmarkEnd w:id="0"/>
          <w:bookmarkEnd w:id="1"/>
          <w:p w:rsidR="00534897" w:rsidRPr="00503914" w:rsidRDefault="00B77793" w:rsidP="00EC479F">
            <w:pPr>
              <w:keepNext/>
              <w:keepLines/>
              <w:widowControl/>
              <w:numPr>
                <w:ilvl w:val="0"/>
                <w:numId w:val="13"/>
              </w:numPr>
              <w:spacing w:before="40" w:after="0" w:line="240" w:lineRule="auto"/>
              <w:rPr>
                <w:rFonts w:ascii="Times New Roman" w:hAnsi="Times New Roman"/>
                <w:sz w:val="18"/>
              </w:rPr>
            </w:pPr>
            <w:r w:rsidRPr="00503914">
              <w:rPr>
                <w:rFonts w:ascii="Times New Roman" w:hAnsi="Times New Roman"/>
                <w:sz w:val="18"/>
              </w:rPr>
              <w:t xml:space="preserve">DOT </w:t>
            </w:r>
            <w:r w:rsidR="00436E06" w:rsidRPr="00503914">
              <w:rPr>
                <w:rFonts w:ascii="Times New Roman" w:hAnsi="Times New Roman"/>
                <w:sz w:val="18"/>
              </w:rPr>
              <w:br/>
            </w:r>
          </w:p>
          <w:p w:rsidR="00AB08A0" w:rsidRPr="009F65D3" w:rsidRDefault="00534897" w:rsidP="009F65D3">
            <w:pPr>
              <w:keepNext/>
              <w:keepLines/>
              <w:widowControl/>
              <w:numPr>
                <w:ilvl w:val="0"/>
                <w:numId w:val="13"/>
              </w:numPr>
              <w:spacing w:before="40" w:after="120" w:line="240" w:lineRule="auto"/>
              <w:rPr>
                <w:rFonts w:ascii="Times New Roman" w:hAnsi="Times New Roman"/>
                <w:sz w:val="18"/>
              </w:rPr>
            </w:pPr>
            <w:r>
              <w:rPr>
                <w:rFonts w:ascii="Times New Roman" w:hAnsi="Times New Roman"/>
                <w:sz w:val="18"/>
              </w:rPr>
              <w:t>Project Sponsor</w:t>
            </w:r>
          </w:p>
        </w:tc>
      </w:tr>
      <w:tr w:rsidR="002A5FD3" w:rsidRPr="00152531" w:rsidTr="002B3EC0">
        <w:tc>
          <w:tcPr>
            <w:tcW w:w="3176" w:type="pct"/>
          </w:tcPr>
          <w:p w:rsidR="002A5FD3" w:rsidRPr="00EC479F" w:rsidRDefault="002A5FD3" w:rsidP="002A5FD3">
            <w:pPr>
              <w:pStyle w:val="Tabletext"/>
              <w:keepNext/>
              <w:keepLines/>
              <w:widowControl/>
              <w:spacing w:before="40" w:after="0" w:line="240" w:lineRule="auto"/>
              <w:rPr>
                <w:rFonts w:ascii="Times New Roman" w:hAnsi="Times New Roman"/>
                <w:b/>
              </w:rPr>
            </w:pPr>
            <w:r>
              <w:rPr>
                <w:rFonts w:ascii="Times New Roman" w:hAnsi="Times New Roman"/>
                <w:b/>
              </w:rPr>
              <w:t>In-Depth Creditworthiness Review</w:t>
            </w:r>
            <w:r w:rsidRPr="00EC479F">
              <w:rPr>
                <w:rFonts w:ascii="Times New Roman" w:hAnsi="Times New Roman"/>
                <w:b/>
              </w:rPr>
              <w:t>:</w:t>
            </w:r>
          </w:p>
          <w:p w:rsidR="009F65D3" w:rsidRDefault="009F65D3" w:rsidP="009F65D3">
            <w:pPr>
              <w:keepNext/>
              <w:keepLines/>
              <w:widowControl/>
              <w:numPr>
                <w:ilvl w:val="0"/>
                <w:numId w:val="10"/>
              </w:numPr>
              <w:spacing w:before="45" w:after="0" w:line="240" w:lineRule="auto"/>
              <w:ind w:left="720"/>
              <w:rPr>
                <w:rFonts w:ascii="Times New Roman" w:hAnsi="Times New Roman"/>
                <w:sz w:val="18"/>
              </w:rPr>
            </w:pPr>
            <w:r>
              <w:rPr>
                <w:rFonts w:ascii="Times New Roman" w:hAnsi="Times New Roman"/>
                <w:sz w:val="18"/>
              </w:rPr>
              <w:t xml:space="preserve">Review creditworthiness </w:t>
            </w:r>
            <w:r w:rsidRPr="009F65D3">
              <w:rPr>
                <w:rFonts w:ascii="Times New Roman" w:hAnsi="Times New Roman"/>
                <w:sz w:val="18"/>
              </w:rPr>
              <w:t>of the project sponsor and the proposed revenue stream</w:t>
            </w:r>
            <w:r>
              <w:rPr>
                <w:rFonts w:ascii="Times New Roman" w:hAnsi="Times New Roman"/>
                <w:sz w:val="18"/>
              </w:rPr>
              <w:t>.</w:t>
            </w:r>
          </w:p>
          <w:p w:rsidR="009F65D3" w:rsidRDefault="009F65D3" w:rsidP="009F65D3">
            <w:pPr>
              <w:keepNext/>
              <w:keepLines/>
              <w:widowControl/>
              <w:numPr>
                <w:ilvl w:val="0"/>
                <w:numId w:val="10"/>
              </w:numPr>
              <w:spacing w:before="45" w:after="0" w:line="240" w:lineRule="auto"/>
              <w:ind w:left="720"/>
              <w:rPr>
                <w:rFonts w:ascii="Times New Roman" w:hAnsi="Times New Roman"/>
                <w:sz w:val="18"/>
              </w:rPr>
            </w:pPr>
            <w:r>
              <w:rPr>
                <w:rFonts w:ascii="Times New Roman" w:hAnsi="Times New Roman"/>
                <w:sz w:val="18"/>
              </w:rPr>
              <w:t>Upon r</w:t>
            </w:r>
            <w:r w:rsidRPr="00EC479F">
              <w:rPr>
                <w:rFonts w:ascii="Times New Roman" w:hAnsi="Times New Roman"/>
                <w:sz w:val="18"/>
              </w:rPr>
              <w:t>equest</w:t>
            </w:r>
            <w:r>
              <w:rPr>
                <w:rFonts w:ascii="Times New Roman" w:hAnsi="Times New Roman"/>
                <w:sz w:val="18"/>
              </w:rPr>
              <w:t xml:space="preserve"> from the DOT, provide</w:t>
            </w:r>
            <w:r w:rsidRPr="00EC479F">
              <w:rPr>
                <w:rFonts w:ascii="Times New Roman" w:hAnsi="Times New Roman"/>
                <w:sz w:val="18"/>
              </w:rPr>
              <w:t xml:space="preserve"> </w:t>
            </w:r>
            <w:r w:rsidRPr="009F65D3">
              <w:rPr>
                <w:rFonts w:ascii="Times New Roman" w:hAnsi="Times New Roman"/>
                <w:sz w:val="18"/>
              </w:rPr>
              <w:t>a feasibility study (as applicable), and a fully functional Microsoft Excel-based financial model</w:t>
            </w:r>
            <w:r>
              <w:rPr>
                <w:rFonts w:ascii="Times New Roman" w:hAnsi="Times New Roman"/>
                <w:sz w:val="18"/>
              </w:rPr>
              <w:t>.</w:t>
            </w:r>
          </w:p>
          <w:p w:rsidR="009F65D3" w:rsidRDefault="009F65D3" w:rsidP="009F65D3">
            <w:pPr>
              <w:keepNext/>
              <w:keepLines/>
              <w:widowControl/>
              <w:numPr>
                <w:ilvl w:val="0"/>
                <w:numId w:val="10"/>
              </w:numPr>
              <w:tabs>
                <w:tab w:val="clear" w:pos="2520"/>
              </w:tabs>
              <w:spacing w:before="45" w:after="0" w:line="240" w:lineRule="auto"/>
              <w:ind w:left="720"/>
              <w:rPr>
                <w:rFonts w:ascii="Times New Roman" w:hAnsi="Times New Roman"/>
                <w:sz w:val="18"/>
              </w:rPr>
            </w:pPr>
            <w:r>
              <w:rPr>
                <w:rFonts w:ascii="Times New Roman" w:hAnsi="Times New Roman"/>
                <w:sz w:val="18"/>
              </w:rPr>
              <w:t>Upon r</w:t>
            </w:r>
            <w:r w:rsidRPr="00EC479F">
              <w:rPr>
                <w:rFonts w:ascii="Times New Roman" w:hAnsi="Times New Roman"/>
                <w:sz w:val="18"/>
              </w:rPr>
              <w:t>equest</w:t>
            </w:r>
            <w:r>
              <w:rPr>
                <w:rFonts w:ascii="Times New Roman" w:hAnsi="Times New Roman"/>
                <w:sz w:val="18"/>
              </w:rPr>
              <w:t xml:space="preserve"> from the DOT, provide</w:t>
            </w:r>
            <w:r w:rsidRPr="00EC479F">
              <w:rPr>
                <w:rFonts w:ascii="Times New Roman" w:hAnsi="Times New Roman"/>
                <w:sz w:val="18"/>
              </w:rPr>
              <w:t xml:space="preserve"> the preliminary credit rating </w:t>
            </w:r>
            <w:r>
              <w:rPr>
                <w:rFonts w:ascii="Times New Roman" w:hAnsi="Times New Roman"/>
                <w:sz w:val="18"/>
              </w:rPr>
              <w:t>opinion letter.</w:t>
            </w:r>
          </w:p>
          <w:p w:rsidR="002A5FD3" w:rsidRPr="009F65D3" w:rsidRDefault="009F65D3" w:rsidP="009F65D3">
            <w:pPr>
              <w:keepNext/>
              <w:keepLines/>
              <w:widowControl/>
              <w:numPr>
                <w:ilvl w:val="0"/>
                <w:numId w:val="10"/>
              </w:numPr>
              <w:tabs>
                <w:tab w:val="clear" w:pos="2520"/>
              </w:tabs>
              <w:spacing w:before="45" w:after="45" w:line="240" w:lineRule="auto"/>
              <w:ind w:left="720"/>
              <w:rPr>
                <w:rFonts w:ascii="Times New Roman" w:hAnsi="Times New Roman"/>
                <w:sz w:val="18"/>
              </w:rPr>
            </w:pPr>
            <w:r>
              <w:rPr>
                <w:rFonts w:ascii="Times New Roman" w:hAnsi="Times New Roman"/>
                <w:sz w:val="18"/>
              </w:rPr>
              <w:t xml:space="preserve">Upon request from the DOT, provide </w:t>
            </w:r>
            <w:r w:rsidRPr="00EC479F">
              <w:rPr>
                <w:rFonts w:ascii="Times New Roman" w:hAnsi="Times New Roman"/>
                <w:sz w:val="18"/>
              </w:rPr>
              <w:t>the</w:t>
            </w:r>
            <w:r>
              <w:rPr>
                <w:rFonts w:ascii="Times New Roman" w:hAnsi="Times New Roman"/>
                <w:sz w:val="18"/>
              </w:rPr>
              <w:t xml:space="preserve"> initial</w:t>
            </w:r>
            <w:r w:rsidRPr="00EC479F">
              <w:rPr>
                <w:rFonts w:ascii="Times New Roman" w:hAnsi="Times New Roman"/>
                <w:sz w:val="18"/>
              </w:rPr>
              <w:t xml:space="preserve"> $100,000</w:t>
            </w:r>
            <w:r>
              <w:rPr>
                <w:rFonts w:ascii="Times New Roman" w:hAnsi="Times New Roman"/>
                <w:sz w:val="18"/>
              </w:rPr>
              <w:t xml:space="preserve"> portion of the </w:t>
            </w:r>
            <w:r w:rsidRPr="00534897">
              <w:rPr>
                <w:rFonts w:ascii="Times New Roman" w:hAnsi="Times New Roman"/>
                <w:sz w:val="18"/>
              </w:rPr>
              <w:t>transaction (credit processing)</w:t>
            </w:r>
            <w:r w:rsidRPr="00EC479F">
              <w:rPr>
                <w:rFonts w:ascii="Times New Roman" w:hAnsi="Times New Roman"/>
                <w:sz w:val="18"/>
              </w:rPr>
              <w:t xml:space="preserve"> fee to </w:t>
            </w:r>
            <w:r>
              <w:rPr>
                <w:rFonts w:ascii="Times New Roman" w:hAnsi="Times New Roman"/>
                <w:sz w:val="18"/>
              </w:rPr>
              <w:t xml:space="preserve">enable the DOT to hire outside financial and legal advisors in order to </w:t>
            </w:r>
            <w:r w:rsidRPr="00EC479F">
              <w:rPr>
                <w:rFonts w:ascii="Times New Roman" w:hAnsi="Times New Roman"/>
                <w:sz w:val="18"/>
              </w:rPr>
              <w:t xml:space="preserve">continue project </w:t>
            </w:r>
            <w:r w:rsidR="00105408">
              <w:rPr>
                <w:rFonts w:ascii="Times New Roman" w:hAnsi="Times New Roman"/>
                <w:sz w:val="22"/>
                <w:szCs w:val="22"/>
              </w:rPr>
              <w:t>review</w:t>
            </w:r>
            <w:r>
              <w:rPr>
                <w:rFonts w:ascii="Times New Roman" w:hAnsi="Times New Roman"/>
                <w:sz w:val="18"/>
              </w:rPr>
              <w:t>.</w:t>
            </w:r>
          </w:p>
        </w:tc>
        <w:tc>
          <w:tcPr>
            <w:tcW w:w="1824" w:type="pct"/>
          </w:tcPr>
          <w:p w:rsidR="009F65D3" w:rsidRDefault="009F65D3" w:rsidP="009F65D3">
            <w:pPr>
              <w:keepNext/>
              <w:keepLines/>
              <w:widowControl/>
              <w:spacing w:after="0" w:line="240" w:lineRule="auto"/>
              <w:ind w:left="360"/>
              <w:rPr>
                <w:rFonts w:ascii="Times New Roman" w:hAnsi="Times New Roman"/>
                <w:sz w:val="18"/>
              </w:rPr>
            </w:pPr>
          </w:p>
          <w:p w:rsidR="009F65D3" w:rsidRDefault="009F65D3" w:rsidP="009F65D3">
            <w:pPr>
              <w:keepNext/>
              <w:keepLines/>
              <w:widowControl/>
              <w:numPr>
                <w:ilvl w:val="0"/>
                <w:numId w:val="13"/>
              </w:numPr>
              <w:spacing w:before="40" w:after="0" w:line="240" w:lineRule="auto"/>
              <w:rPr>
                <w:rFonts w:ascii="Times New Roman" w:hAnsi="Times New Roman"/>
                <w:sz w:val="18"/>
              </w:rPr>
            </w:pPr>
            <w:r w:rsidRPr="00EC479F">
              <w:rPr>
                <w:rFonts w:ascii="Times New Roman" w:hAnsi="Times New Roman"/>
                <w:sz w:val="18"/>
              </w:rPr>
              <w:t>DOT</w:t>
            </w:r>
          </w:p>
          <w:p w:rsidR="009F65D3" w:rsidRPr="00EC479F" w:rsidRDefault="009F65D3" w:rsidP="009F65D3">
            <w:pPr>
              <w:keepNext/>
              <w:keepLines/>
              <w:widowControl/>
              <w:spacing w:before="40" w:after="0" w:line="240" w:lineRule="auto"/>
              <w:ind w:left="360"/>
              <w:rPr>
                <w:rFonts w:ascii="Times New Roman" w:hAnsi="Times New Roman"/>
                <w:sz w:val="18"/>
              </w:rPr>
            </w:pPr>
          </w:p>
          <w:p w:rsidR="009F65D3" w:rsidRDefault="009F65D3" w:rsidP="009F65D3">
            <w:pPr>
              <w:keepNext/>
              <w:keepLines/>
              <w:widowControl/>
              <w:numPr>
                <w:ilvl w:val="0"/>
                <w:numId w:val="13"/>
              </w:numPr>
              <w:spacing w:before="40" w:after="0" w:line="240" w:lineRule="auto"/>
              <w:rPr>
                <w:rFonts w:ascii="Times New Roman" w:hAnsi="Times New Roman"/>
                <w:sz w:val="18"/>
              </w:rPr>
            </w:pPr>
            <w:r>
              <w:rPr>
                <w:rFonts w:ascii="Times New Roman" w:hAnsi="Times New Roman"/>
                <w:sz w:val="18"/>
              </w:rPr>
              <w:t>Project Sponsor</w:t>
            </w:r>
            <w:r w:rsidRPr="00503914">
              <w:rPr>
                <w:rFonts w:ascii="Times New Roman" w:hAnsi="Times New Roman"/>
                <w:sz w:val="18"/>
              </w:rPr>
              <w:t xml:space="preserve"> </w:t>
            </w:r>
          </w:p>
          <w:p w:rsidR="009F65D3" w:rsidRDefault="009F65D3" w:rsidP="009F65D3">
            <w:pPr>
              <w:pStyle w:val="ListParagraph"/>
              <w:rPr>
                <w:rFonts w:ascii="Times New Roman" w:hAnsi="Times New Roman"/>
                <w:sz w:val="18"/>
              </w:rPr>
            </w:pPr>
          </w:p>
          <w:p w:rsidR="009F65D3" w:rsidRDefault="009F65D3" w:rsidP="009F65D3">
            <w:pPr>
              <w:keepNext/>
              <w:keepLines/>
              <w:widowControl/>
              <w:numPr>
                <w:ilvl w:val="0"/>
                <w:numId w:val="13"/>
              </w:numPr>
              <w:spacing w:before="40" w:after="0" w:line="240" w:lineRule="auto"/>
              <w:rPr>
                <w:rFonts w:ascii="Times New Roman" w:hAnsi="Times New Roman"/>
                <w:sz w:val="18"/>
              </w:rPr>
            </w:pPr>
            <w:r>
              <w:rPr>
                <w:rFonts w:ascii="Times New Roman" w:hAnsi="Times New Roman"/>
                <w:sz w:val="18"/>
              </w:rPr>
              <w:t>Project Sponsor</w:t>
            </w:r>
          </w:p>
          <w:p w:rsidR="009F65D3" w:rsidRDefault="009F65D3" w:rsidP="009F65D3">
            <w:pPr>
              <w:keepNext/>
              <w:keepLines/>
              <w:widowControl/>
              <w:spacing w:after="0" w:line="240" w:lineRule="auto"/>
              <w:ind w:left="360"/>
              <w:rPr>
                <w:rFonts w:ascii="Times New Roman" w:hAnsi="Times New Roman"/>
                <w:sz w:val="18"/>
              </w:rPr>
            </w:pPr>
          </w:p>
          <w:p w:rsidR="009F65D3" w:rsidRPr="00503914" w:rsidRDefault="009F65D3" w:rsidP="009F65D3">
            <w:pPr>
              <w:keepNext/>
              <w:keepLines/>
              <w:widowControl/>
              <w:numPr>
                <w:ilvl w:val="0"/>
                <w:numId w:val="13"/>
              </w:numPr>
              <w:spacing w:before="40" w:after="0" w:line="240" w:lineRule="auto"/>
              <w:rPr>
                <w:rFonts w:ascii="Times New Roman" w:hAnsi="Times New Roman"/>
                <w:sz w:val="18"/>
              </w:rPr>
            </w:pPr>
            <w:r>
              <w:rPr>
                <w:rFonts w:ascii="Times New Roman" w:hAnsi="Times New Roman"/>
                <w:sz w:val="18"/>
              </w:rPr>
              <w:t>Project Sponsor</w:t>
            </w:r>
            <w:r w:rsidRPr="00503914">
              <w:rPr>
                <w:rFonts w:ascii="Times New Roman" w:hAnsi="Times New Roman"/>
                <w:sz w:val="18"/>
              </w:rPr>
              <w:br/>
            </w:r>
          </w:p>
          <w:p w:rsidR="002A5FD3" w:rsidRPr="00EC479F" w:rsidRDefault="002A5FD3" w:rsidP="00EC479F">
            <w:pPr>
              <w:keepNext/>
              <w:keepLines/>
              <w:widowControl/>
              <w:spacing w:before="40" w:after="0" w:line="240" w:lineRule="auto"/>
              <w:ind w:left="360" w:hanging="360"/>
              <w:rPr>
                <w:rFonts w:ascii="Times New Roman" w:hAnsi="Times New Roman"/>
                <w:sz w:val="18"/>
              </w:rPr>
            </w:pPr>
          </w:p>
        </w:tc>
      </w:tr>
      <w:tr w:rsidR="00AB08A0" w:rsidRPr="00152531" w:rsidTr="002B3EC0">
        <w:tc>
          <w:tcPr>
            <w:tcW w:w="3176" w:type="pct"/>
          </w:tcPr>
          <w:p w:rsidR="00AB08A0" w:rsidRPr="00EC479F" w:rsidRDefault="00AB08A0" w:rsidP="00D64FFA">
            <w:pPr>
              <w:keepNext/>
              <w:keepLines/>
              <w:widowControl/>
              <w:spacing w:before="40" w:after="0" w:line="240" w:lineRule="auto"/>
              <w:ind w:left="360" w:hanging="360"/>
              <w:rPr>
                <w:rFonts w:ascii="Times New Roman" w:hAnsi="Times New Roman"/>
                <w:sz w:val="18"/>
              </w:rPr>
            </w:pPr>
            <w:r w:rsidRPr="00EC479F">
              <w:rPr>
                <w:rFonts w:ascii="Times New Roman" w:hAnsi="Times New Roman"/>
                <w:b/>
                <w:sz w:val="18"/>
              </w:rPr>
              <w:t>Oral Presentation:</w:t>
            </w:r>
          </w:p>
          <w:p w:rsidR="00AB08A0" w:rsidRPr="00EC479F" w:rsidRDefault="00600FB1" w:rsidP="002C27DA">
            <w:pPr>
              <w:keepNext/>
              <w:keepLines/>
              <w:widowControl/>
              <w:numPr>
                <w:ilvl w:val="0"/>
                <w:numId w:val="14"/>
              </w:numPr>
              <w:tabs>
                <w:tab w:val="clear" w:pos="360"/>
              </w:tabs>
              <w:spacing w:before="40" w:after="0" w:line="240" w:lineRule="auto"/>
              <w:ind w:left="720"/>
              <w:rPr>
                <w:rFonts w:ascii="Times New Roman" w:hAnsi="Times New Roman"/>
                <w:sz w:val="18"/>
              </w:rPr>
            </w:pPr>
            <w:r>
              <w:rPr>
                <w:rFonts w:ascii="Times New Roman" w:hAnsi="Times New Roman"/>
                <w:sz w:val="18"/>
              </w:rPr>
              <w:t xml:space="preserve">After </w:t>
            </w:r>
            <w:r w:rsidR="009F65D3">
              <w:rPr>
                <w:rFonts w:ascii="Times New Roman" w:hAnsi="Times New Roman"/>
                <w:sz w:val="18"/>
              </w:rPr>
              <w:t>initial determination of eligibility and receipt</w:t>
            </w:r>
            <w:r>
              <w:rPr>
                <w:rFonts w:ascii="Times New Roman" w:hAnsi="Times New Roman"/>
                <w:sz w:val="18"/>
              </w:rPr>
              <w:t xml:space="preserve"> of preliminary rating opinion letter and $100,000 </w:t>
            </w:r>
            <w:r w:rsidR="0088378A">
              <w:rPr>
                <w:rFonts w:ascii="Times New Roman" w:hAnsi="Times New Roman"/>
                <w:sz w:val="18"/>
              </w:rPr>
              <w:t>from the project sponsor(s)</w:t>
            </w:r>
            <w:r w:rsidR="009F65D3">
              <w:rPr>
                <w:rFonts w:ascii="Times New Roman" w:hAnsi="Times New Roman"/>
                <w:sz w:val="18"/>
              </w:rPr>
              <w:t>,</w:t>
            </w:r>
            <w:r w:rsidR="0088378A">
              <w:rPr>
                <w:rFonts w:ascii="Times New Roman" w:hAnsi="Times New Roman"/>
                <w:sz w:val="18"/>
              </w:rPr>
              <w:t xml:space="preserve"> </w:t>
            </w:r>
            <w:r>
              <w:rPr>
                <w:rFonts w:ascii="Times New Roman" w:hAnsi="Times New Roman"/>
                <w:sz w:val="18"/>
              </w:rPr>
              <w:t>and u</w:t>
            </w:r>
            <w:r w:rsidR="006358E1">
              <w:rPr>
                <w:rFonts w:ascii="Times New Roman" w:hAnsi="Times New Roman"/>
                <w:sz w:val="18"/>
              </w:rPr>
              <w:t xml:space="preserve">pon </w:t>
            </w:r>
            <w:r w:rsidR="002C27DA">
              <w:rPr>
                <w:rFonts w:ascii="Times New Roman" w:hAnsi="Times New Roman"/>
                <w:sz w:val="18"/>
              </w:rPr>
              <w:t>request</w:t>
            </w:r>
            <w:r w:rsidR="006358E1">
              <w:rPr>
                <w:rFonts w:ascii="Times New Roman" w:hAnsi="Times New Roman"/>
                <w:sz w:val="18"/>
              </w:rPr>
              <w:t xml:space="preserve"> from the DOT, p</w:t>
            </w:r>
            <w:r w:rsidR="00AB08A0" w:rsidRPr="00EC479F">
              <w:rPr>
                <w:rFonts w:ascii="Times New Roman" w:hAnsi="Times New Roman"/>
                <w:sz w:val="18"/>
              </w:rPr>
              <w:t xml:space="preserve">resent the </w:t>
            </w:r>
            <w:r w:rsidR="006358E1">
              <w:rPr>
                <w:rFonts w:ascii="Times New Roman" w:hAnsi="Times New Roman"/>
                <w:sz w:val="18"/>
              </w:rPr>
              <w:t>project</w:t>
            </w:r>
            <w:r w:rsidR="00AB08A0" w:rsidRPr="00EC479F">
              <w:rPr>
                <w:rFonts w:ascii="Times New Roman" w:hAnsi="Times New Roman"/>
                <w:sz w:val="18"/>
              </w:rPr>
              <w:t xml:space="preserve"> to the </w:t>
            </w:r>
            <w:r w:rsidR="004867FC">
              <w:rPr>
                <w:rFonts w:ascii="Times New Roman" w:hAnsi="Times New Roman"/>
                <w:sz w:val="18"/>
              </w:rPr>
              <w:t>review</w:t>
            </w:r>
            <w:r w:rsidR="00AB08A0" w:rsidRPr="00EC479F">
              <w:rPr>
                <w:rFonts w:ascii="Times New Roman" w:hAnsi="Times New Roman"/>
                <w:sz w:val="18"/>
              </w:rPr>
              <w:t xml:space="preserve"> team and advisors, as well as representatives of the TIFIA JPO and the DOT Credit Council.</w:t>
            </w:r>
          </w:p>
        </w:tc>
        <w:tc>
          <w:tcPr>
            <w:tcW w:w="1824" w:type="pct"/>
          </w:tcPr>
          <w:p w:rsidR="00AB08A0" w:rsidRPr="00EC479F" w:rsidRDefault="00AB08A0" w:rsidP="00D64FFA">
            <w:pPr>
              <w:keepNext/>
              <w:keepLines/>
              <w:widowControl/>
              <w:spacing w:before="40" w:after="0" w:line="240" w:lineRule="auto"/>
              <w:ind w:left="360" w:hanging="360"/>
              <w:rPr>
                <w:rFonts w:ascii="Times New Roman" w:hAnsi="Times New Roman"/>
                <w:sz w:val="18"/>
              </w:rPr>
            </w:pPr>
          </w:p>
          <w:p w:rsidR="00AB08A0" w:rsidRPr="00EC479F" w:rsidRDefault="00DF4C0A" w:rsidP="00D64FFA">
            <w:pPr>
              <w:keepNext/>
              <w:keepLines/>
              <w:widowControl/>
              <w:numPr>
                <w:ilvl w:val="0"/>
                <w:numId w:val="14"/>
              </w:numPr>
              <w:spacing w:before="40" w:after="0" w:line="240" w:lineRule="auto"/>
              <w:rPr>
                <w:rFonts w:ascii="Times New Roman" w:hAnsi="Times New Roman"/>
                <w:sz w:val="18"/>
              </w:rPr>
            </w:pPr>
            <w:r w:rsidRPr="00EC479F">
              <w:rPr>
                <w:rFonts w:ascii="Times New Roman" w:hAnsi="Times New Roman"/>
                <w:sz w:val="18"/>
              </w:rPr>
              <w:t>Project Sponsor</w:t>
            </w:r>
          </w:p>
        </w:tc>
      </w:tr>
      <w:tr w:rsidR="00B77793" w:rsidRPr="00152531" w:rsidTr="002B3EC0">
        <w:tc>
          <w:tcPr>
            <w:tcW w:w="3176" w:type="pct"/>
          </w:tcPr>
          <w:p w:rsidR="00B77793" w:rsidRPr="00EC479F" w:rsidRDefault="00B77793" w:rsidP="00EC479F">
            <w:pPr>
              <w:keepNext/>
              <w:keepLines/>
              <w:widowControl/>
              <w:spacing w:before="40" w:after="0" w:line="240" w:lineRule="auto"/>
              <w:ind w:left="360" w:hanging="360"/>
              <w:rPr>
                <w:rFonts w:ascii="Times New Roman" w:hAnsi="Times New Roman"/>
                <w:sz w:val="18"/>
              </w:rPr>
            </w:pPr>
            <w:r w:rsidRPr="00EC479F">
              <w:rPr>
                <w:rFonts w:ascii="Times New Roman" w:hAnsi="Times New Roman"/>
                <w:b/>
                <w:sz w:val="18"/>
              </w:rPr>
              <w:t>Application:</w:t>
            </w:r>
          </w:p>
          <w:p w:rsidR="006358E1" w:rsidRDefault="00600FB1" w:rsidP="00EC479F">
            <w:pPr>
              <w:keepNext/>
              <w:keepLines/>
              <w:widowControl/>
              <w:numPr>
                <w:ilvl w:val="0"/>
                <w:numId w:val="14"/>
              </w:numPr>
              <w:tabs>
                <w:tab w:val="clear" w:pos="360"/>
              </w:tabs>
              <w:spacing w:before="40" w:after="0" w:line="240" w:lineRule="auto"/>
              <w:ind w:left="720"/>
              <w:rPr>
                <w:rFonts w:ascii="Times New Roman" w:hAnsi="Times New Roman"/>
                <w:sz w:val="18"/>
              </w:rPr>
            </w:pPr>
            <w:r>
              <w:rPr>
                <w:rFonts w:ascii="Times New Roman" w:hAnsi="Times New Roman"/>
                <w:sz w:val="18"/>
              </w:rPr>
              <w:t>A</w:t>
            </w:r>
            <w:r w:rsidR="006358E1">
              <w:rPr>
                <w:rFonts w:ascii="Times New Roman" w:hAnsi="Times New Roman"/>
                <w:sz w:val="18"/>
              </w:rPr>
              <w:t>fter</w:t>
            </w:r>
            <w:r w:rsidR="009F65D3">
              <w:rPr>
                <w:rFonts w:ascii="Times New Roman" w:hAnsi="Times New Roman"/>
                <w:sz w:val="18"/>
              </w:rPr>
              <w:t xml:space="preserve"> successful determination of eligibility,</w:t>
            </w:r>
            <w:r w:rsidR="006358E1">
              <w:rPr>
                <w:rFonts w:ascii="Times New Roman" w:hAnsi="Times New Roman"/>
                <w:sz w:val="18"/>
              </w:rPr>
              <w:t xml:space="preserve"> oral presentation, </w:t>
            </w:r>
            <w:r w:rsidR="009F65D3">
              <w:rPr>
                <w:rFonts w:ascii="Times New Roman" w:hAnsi="Times New Roman"/>
                <w:sz w:val="18"/>
              </w:rPr>
              <w:t xml:space="preserve">and receipt of preliminary rating opinion letter and $100,000, </w:t>
            </w:r>
            <w:r w:rsidR="006358E1">
              <w:rPr>
                <w:rFonts w:ascii="Times New Roman" w:hAnsi="Times New Roman"/>
                <w:sz w:val="18"/>
              </w:rPr>
              <w:t>notify selected projects that have been invited to submit an application.</w:t>
            </w:r>
          </w:p>
          <w:p w:rsidR="00B77793" w:rsidRPr="00EC479F" w:rsidRDefault="00B77793" w:rsidP="00EC479F">
            <w:pPr>
              <w:keepNext/>
              <w:keepLines/>
              <w:widowControl/>
              <w:numPr>
                <w:ilvl w:val="0"/>
                <w:numId w:val="14"/>
              </w:numPr>
              <w:tabs>
                <w:tab w:val="clear" w:pos="360"/>
              </w:tabs>
              <w:spacing w:before="40" w:after="0" w:line="240" w:lineRule="auto"/>
              <w:ind w:left="720"/>
              <w:rPr>
                <w:rFonts w:ascii="Times New Roman" w:hAnsi="Times New Roman"/>
                <w:sz w:val="18"/>
              </w:rPr>
            </w:pPr>
            <w:r w:rsidRPr="00EC479F">
              <w:rPr>
                <w:rFonts w:ascii="Times New Roman" w:hAnsi="Times New Roman"/>
                <w:sz w:val="18"/>
              </w:rPr>
              <w:t xml:space="preserve">Prepare and submit the </w:t>
            </w:r>
            <w:r w:rsidR="00503914">
              <w:rPr>
                <w:rFonts w:ascii="Times New Roman" w:hAnsi="Times New Roman"/>
                <w:sz w:val="18"/>
              </w:rPr>
              <w:t xml:space="preserve">complete </w:t>
            </w:r>
            <w:r w:rsidRPr="00EC479F">
              <w:rPr>
                <w:rFonts w:ascii="Times New Roman" w:hAnsi="Times New Roman"/>
                <w:sz w:val="18"/>
              </w:rPr>
              <w:t>application (with the appropriate number of copies)</w:t>
            </w:r>
            <w:r w:rsidR="009B5B65" w:rsidRPr="00EC479F">
              <w:rPr>
                <w:rFonts w:ascii="Times New Roman" w:hAnsi="Times New Roman"/>
                <w:sz w:val="18"/>
              </w:rPr>
              <w:t xml:space="preserve">. </w:t>
            </w:r>
          </w:p>
          <w:p w:rsidR="00B77793" w:rsidRPr="00EC479F" w:rsidRDefault="00B77793" w:rsidP="00EC479F">
            <w:pPr>
              <w:keepNext/>
              <w:keepLines/>
              <w:widowControl/>
              <w:spacing w:before="40" w:after="0" w:line="240" w:lineRule="auto"/>
              <w:ind w:left="720"/>
              <w:rPr>
                <w:rFonts w:ascii="Times New Roman" w:hAnsi="Times New Roman"/>
                <w:sz w:val="18"/>
              </w:rPr>
            </w:pPr>
          </w:p>
        </w:tc>
        <w:tc>
          <w:tcPr>
            <w:tcW w:w="1824" w:type="pct"/>
          </w:tcPr>
          <w:p w:rsidR="00B77793" w:rsidRPr="00EC479F" w:rsidRDefault="00B77793" w:rsidP="00EC479F">
            <w:pPr>
              <w:keepNext/>
              <w:keepLines/>
              <w:widowControl/>
              <w:spacing w:before="40" w:after="0" w:line="240" w:lineRule="auto"/>
              <w:ind w:left="360" w:hanging="360"/>
              <w:rPr>
                <w:rFonts w:ascii="Times New Roman" w:hAnsi="Times New Roman"/>
                <w:sz w:val="18"/>
              </w:rPr>
            </w:pPr>
          </w:p>
          <w:p w:rsidR="00B77793" w:rsidRPr="00EC479F" w:rsidRDefault="006358E1" w:rsidP="00EC479F">
            <w:pPr>
              <w:keepNext/>
              <w:keepLines/>
              <w:widowControl/>
              <w:numPr>
                <w:ilvl w:val="0"/>
                <w:numId w:val="11"/>
              </w:numPr>
              <w:spacing w:before="40" w:after="0" w:line="240" w:lineRule="auto"/>
              <w:rPr>
                <w:rFonts w:ascii="Times New Roman" w:hAnsi="Times New Roman"/>
                <w:sz w:val="18"/>
              </w:rPr>
            </w:pPr>
            <w:r>
              <w:rPr>
                <w:rFonts w:ascii="Times New Roman" w:hAnsi="Times New Roman"/>
                <w:sz w:val="18"/>
              </w:rPr>
              <w:t>DOT</w:t>
            </w:r>
          </w:p>
          <w:p w:rsidR="00B77793" w:rsidRDefault="00B77793" w:rsidP="00EC479F">
            <w:pPr>
              <w:keepNext/>
              <w:keepLines/>
              <w:widowControl/>
              <w:spacing w:before="40" w:after="0" w:line="240" w:lineRule="auto"/>
              <w:ind w:left="360" w:hanging="360"/>
              <w:rPr>
                <w:rFonts w:ascii="Times New Roman" w:hAnsi="Times New Roman"/>
                <w:sz w:val="18"/>
              </w:rPr>
            </w:pPr>
          </w:p>
          <w:p w:rsidR="008F32FE" w:rsidRDefault="008F32FE" w:rsidP="00EC479F">
            <w:pPr>
              <w:keepNext/>
              <w:keepLines/>
              <w:widowControl/>
              <w:spacing w:before="40" w:after="0" w:line="240" w:lineRule="auto"/>
              <w:ind w:left="360" w:hanging="360"/>
              <w:rPr>
                <w:rFonts w:ascii="Times New Roman" w:hAnsi="Times New Roman"/>
                <w:sz w:val="18"/>
              </w:rPr>
            </w:pPr>
          </w:p>
          <w:p w:rsidR="008F32FE" w:rsidRDefault="008F32FE" w:rsidP="008F32FE">
            <w:pPr>
              <w:keepNext/>
              <w:keepLines/>
              <w:widowControl/>
              <w:spacing w:after="0" w:line="240" w:lineRule="auto"/>
              <w:ind w:left="360" w:hanging="360"/>
              <w:rPr>
                <w:rFonts w:ascii="Times New Roman" w:hAnsi="Times New Roman"/>
                <w:sz w:val="18"/>
              </w:rPr>
            </w:pPr>
          </w:p>
          <w:p w:rsidR="00B77793" w:rsidRPr="00EC479F" w:rsidRDefault="006358E1" w:rsidP="008F32FE">
            <w:pPr>
              <w:keepNext/>
              <w:keepLines/>
              <w:widowControl/>
              <w:numPr>
                <w:ilvl w:val="0"/>
                <w:numId w:val="11"/>
              </w:numPr>
              <w:spacing w:after="0" w:line="240" w:lineRule="auto"/>
              <w:rPr>
                <w:rFonts w:ascii="Times New Roman" w:hAnsi="Times New Roman"/>
                <w:sz w:val="18"/>
              </w:rPr>
            </w:pPr>
            <w:r>
              <w:rPr>
                <w:rFonts w:ascii="Times New Roman" w:hAnsi="Times New Roman"/>
                <w:sz w:val="18"/>
              </w:rPr>
              <w:t>Project Sponsor</w:t>
            </w:r>
          </w:p>
        </w:tc>
      </w:tr>
      <w:tr w:rsidR="00B77793" w:rsidRPr="00152531" w:rsidTr="002B3EC0">
        <w:tc>
          <w:tcPr>
            <w:tcW w:w="3176" w:type="pct"/>
          </w:tcPr>
          <w:p w:rsidR="00B77793" w:rsidRPr="00EC479F" w:rsidRDefault="008F32FE">
            <w:pPr>
              <w:keepNext/>
              <w:keepLines/>
              <w:widowControl/>
              <w:spacing w:before="40" w:after="0" w:line="240" w:lineRule="auto"/>
              <w:ind w:left="360" w:hanging="360"/>
              <w:rPr>
                <w:rFonts w:ascii="Times New Roman" w:hAnsi="Times New Roman"/>
                <w:sz w:val="18"/>
              </w:rPr>
            </w:pPr>
            <w:r>
              <w:rPr>
                <w:rFonts w:ascii="Times New Roman" w:hAnsi="Times New Roman"/>
                <w:b/>
                <w:sz w:val="18"/>
              </w:rPr>
              <w:t>Application</w:t>
            </w:r>
            <w:r w:rsidR="00B77793" w:rsidRPr="00EC479F">
              <w:rPr>
                <w:rFonts w:ascii="Times New Roman" w:hAnsi="Times New Roman"/>
                <w:b/>
                <w:sz w:val="18"/>
              </w:rPr>
              <w:t xml:space="preserve"> Review:</w:t>
            </w:r>
            <w:r>
              <w:rPr>
                <w:rFonts w:ascii="Times New Roman" w:hAnsi="Times New Roman"/>
                <w:b/>
                <w:sz w:val="18"/>
              </w:rPr>
              <w:t xml:space="preserve"> </w:t>
            </w:r>
          </w:p>
          <w:p w:rsidR="00B77793" w:rsidRPr="00EC479F" w:rsidRDefault="00B77793" w:rsidP="00EC479F">
            <w:pPr>
              <w:keepNext/>
              <w:keepLines/>
              <w:widowControl/>
              <w:numPr>
                <w:ilvl w:val="0"/>
                <w:numId w:val="15"/>
              </w:numPr>
              <w:tabs>
                <w:tab w:val="clear" w:pos="360"/>
              </w:tabs>
              <w:spacing w:before="40" w:after="0" w:line="240" w:lineRule="auto"/>
              <w:ind w:left="720"/>
              <w:rPr>
                <w:rFonts w:ascii="Times New Roman" w:hAnsi="Times New Roman"/>
                <w:sz w:val="18"/>
              </w:rPr>
            </w:pPr>
            <w:r w:rsidRPr="00EC479F">
              <w:rPr>
                <w:rFonts w:ascii="Times New Roman" w:hAnsi="Times New Roman"/>
                <w:sz w:val="18"/>
              </w:rPr>
              <w:t>Based on the written application and oral presentation, reassess the project</w:t>
            </w:r>
            <w:r w:rsidR="00643558">
              <w:rPr>
                <w:rFonts w:ascii="Times New Roman" w:hAnsi="Times New Roman"/>
                <w:sz w:val="18"/>
              </w:rPr>
              <w:t xml:space="preserve">’s satisfaction of the applicable </w:t>
            </w:r>
            <w:r w:rsidRPr="00EC479F">
              <w:rPr>
                <w:rFonts w:ascii="Times New Roman" w:hAnsi="Times New Roman"/>
                <w:sz w:val="18"/>
              </w:rPr>
              <w:t xml:space="preserve"> </w:t>
            </w:r>
            <w:r w:rsidR="00436E06" w:rsidRPr="00EC479F">
              <w:rPr>
                <w:rFonts w:ascii="Times New Roman" w:hAnsi="Times New Roman"/>
                <w:sz w:val="18"/>
              </w:rPr>
              <w:t xml:space="preserve">eligibility </w:t>
            </w:r>
            <w:r w:rsidR="006358E1">
              <w:rPr>
                <w:rFonts w:ascii="Times New Roman" w:hAnsi="Times New Roman"/>
                <w:sz w:val="18"/>
              </w:rPr>
              <w:t>criteria</w:t>
            </w:r>
            <w:r w:rsidRPr="00EC479F">
              <w:rPr>
                <w:rFonts w:ascii="Times New Roman" w:hAnsi="Times New Roman"/>
                <w:sz w:val="18"/>
              </w:rPr>
              <w:t>, with particular focus on creditworthiness and consumption of budget authority.</w:t>
            </w:r>
          </w:p>
          <w:p w:rsidR="00B77793" w:rsidRPr="00EC479F" w:rsidRDefault="00B77793" w:rsidP="00EC479F">
            <w:pPr>
              <w:keepNext/>
              <w:keepLines/>
              <w:widowControl/>
              <w:numPr>
                <w:ilvl w:val="0"/>
                <w:numId w:val="15"/>
              </w:numPr>
              <w:tabs>
                <w:tab w:val="clear" w:pos="360"/>
              </w:tabs>
              <w:spacing w:before="40" w:after="0" w:line="240" w:lineRule="auto"/>
              <w:ind w:left="720"/>
              <w:rPr>
                <w:rFonts w:ascii="Times New Roman" w:hAnsi="Times New Roman"/>
                <w:sz w:val="18"/>
              </w:rPr>
            </w:pPr>
            <w:r w:rsidRPr="00EC479F">
              <w:rPr>
                <w:rFonts w:ascii="Times New Roman" w:hAnsi="Times New Roman"/>
                <w:sz w:val="18"/>
              </w:rPr>
              <w:t>Calculate the credit subsidy cost estimate.</w:t>
            </w:r>
          </w:p>
        </w:tc>
        <w:tc>
          <w:tcPr>
            <w:tcW w:w="1824" w:type="pct"/>
          </w:tcPr>
          <w:p w:rsidR="00B77793" w:rsidRPr="00EC479F" w:rsidRDefault="00B77793" w:rsidP="00EC479F">
            <w:pPr>
              <w:keepNext/>
              <w:keepLines/>
              <w:widowControl/>
              <w:spacing w:before="40" w:after="0" w:line="240" w:lineRule="auto"/>
              <w:ind w:left="360" w:hanging="360"/>
              <w:rPr>
                <w:rFonts w:ascii="Times New Roman" w:hAnsi="Times New Roman"/>
                <w:sz w:val="18"/>
              </w:rPr>
            </w:pPr>
          </w:p>
          <w:p w:rsidR="00B77793" w:rsidRPr="00EC479F" w:rsidRDefault="00B77793" w:rsidP="00EC479F">
            <w:pPr>
              <w:keepNext/>
              <w:keepLines/>
              <w:widowControl/>
              <w:numPr>
                <w:ilvl w:val="0"/>
                <w:numId w:val="16"/>
              </w:numPr>
              <w:spacing w:before="40" w:after="0" w:line="240" w:lineRule="auto"/>
              <w:rPr>
                <w:rFonts w:ascii="Times New Roman" w:hAnsi="Times New Roman"/>
                <w:sz w:val="18"/>
              </w:rPr>
            </w:pPr>
            <w:r w:rsidRPr="00EC479F">
              <w:rPr>
                <w:rFonts w:ascii="Times New Roman" w:hAnsi="Times New Roman"/>
                <w:sz w:val="18"/>
              </w:rPr>
              <w:t>DOT</w:t>
            </w:r>
          </w:p>
          <w:p w:rsidR="00871A2A" w:rsidRPr="00EC479F" w:rsidRDefault="00871A2A" w:rsidP="00EC479F">
            <w:pPr>
              <w:keepNext/>
              <w:keepLines/>
              <w:widowControl/>
              <w:spacing w:before="40" w:after="0" w:line="240" w:lineRule="auto"/>
              <w:rPr>
                <w:rFonts w:ascii="Times New Roman" w:hAnsi="Times New Roman"/>
                <w:sz w:val="18"/>
              </w:rPr>
            </w:pPr>
          </w:p>
          <w:p w:rsidR="00871A2A" w:rsidRDefault="00871A2A" w:rsidP="00503914">
            <w:pPr>
              <w:keepNext/>
              <w:keepLines/>
              <w:widowControl/>
              <w:spacing w:before="40" w:after="120" w:line="240" w:lineRule="auto"/>
              <w:rPr>
                <w:rFonts w:ascii="Times New Roman" w:hAnsi="Times New Roman"/>
                <w:sz w:val="18"/>
              </w:rPr>
            </w:pPr>
          </w:p>
          <w:p w:rsidR="00B77793" w:rsidRPr="00EC479F" w:rsidRDefault="00871A2A" w:rsidP="00EC479F">
            <w:pPr>
              <w:keepNext/>
              <w:keepLines/>
              <w:widowControl/>
              <w:numPr>
                <w:ilvl w:val="0"/>
                <w:numId w:val="16"/>
              </w:numPr>
              <w:spacing w:before="40" w:after="0" w:line="240" w:lineRule="auto"/>
              <w:rPr>
                <w:rFonts w:ascii="Times New Roman" w:hAnsi="Times New Roman"/>
                <w:sz w:val="18"/>
              </w:rPr>
            </w:pPr>
            <w:r w:rsidRPr="00EC479F">
              <w:rPr>
                <w:rFonts w:ascii="Times New Roman" w:hAnsi="Times New Roman"/>
                <w:sz w:val="18"/>
              </w:rPr>
              <w:t>DOT</w:t>
            </w:r>
          </w:p>
        </w:tc>
      </w:tr>
      <w:tr w:rsidR="00B77793" w:rsidRPr="00152531" w:rsidTr="002B3EC0">
        <w:tc>
          <w:tcPr>
            <w:tcW w:w="3176" w:type="pct"/>
          </w:tcPr>
          <w:p w:rsidR="00B77793" w:rsidRPr="00EC479F" w:rsidRDefault="00B77793" w:rsidP="00EC479F">
            <w:pPr>
              <w:pStyle w:val="BodyText3"/>
              <w:keepNext/>
              <w:keepLines/>
              <w:widowControl/>
              <w:rPr>
                <w:rFonts w:ascii="Times New Roman" w:hAnsi="Times New Roman"/>
              </w:rPr>
            </w:pPr>
            <w:r w:rsidRPr="00EC479F">
              <w:rPr>
                <w:rFonts w:ascii="Times New Roman" w:hAnsi="Times New Roman"/>
              </w:rPr>
              <w:t xml:space="preserve">Recommendations </w:t>
            </w:r>
            <w:r w:rsidR="00643558">
              <w:rPr>
                <w:rFonts w:ascii="Times New Roman" w:hAnsi="Times New Roman"/>
              </w:rPr>
              <w:t>to</w:t>
            </w:r>
            <w:r w:rsidR="00643558" w:rsidRPr="00EC479F">
              <w:rPr>
                <w:rFonts w:ascii="Times New Roman" w:hAnsi="Times New Roman"/>
              </w:rPr>
              <w:t xml:space="preserve"> </w:t>
            </w:r>
            <w:r w:rsidRPr="00EC479F">
              <w:rPr>
                <w:rFonts w:ascii="Times New Roman" w:hAnsi="Times New Roman"/>
              </w:rPr>
              <w:t>DOT Credit Council and Secretary:</w:t>
            </w:r>
          </w:p>
          <w:p w:rsidR="00B77793" w:rsidRPr="00EC479F" w:rsidRDefault="00B77793" w:rsidP="00EC479F">
            <w:pPr>
              <w:keepNext/>
              <w:keepLines/>
              <w:widowControl/>
              <w:numPr>
                <w:ilvl w:val="0"/>
                <w:numId w:val="16"/>
              </w:numPr>
              <w:tabs>
                <w:tab w:val="clear" w:pos="360"/>
              </w:tabs>
              <w:spacing w:before="40" w:after="0" w:line="240" w:lineRule="auto"/>
              <w:ind w:left="720"/>
              <w:rPr>
                <w:rFonts w:ascii="Times New Roman" w:hAnsi="Times New Roman"/>
                <w:sz w:val="18"/>
              </w:rPr>
            </w:pPr>
            <w:r w:rsidRPr="00EC479F">
              <w:rPr>
                <w:rFonts w:ascii="Times New Roman" w:hAnsi="Times New Roman"/>
                <w:sz w:val="18"/>
              </w:rPr>
              <w:t xml:space="preserve">Prepare and present a recommendation for </w:t>
            </w:r>
            <w:r w:rsidR="00643558">
              <w:rPr>
                <w:rFonts w:ascii="Times New Roman" w:hAnsi="Times New Roman"/>
                <w:sz w:val="18"/>
              </w:rPr>
              <w:t>the</w:t>
            </w:r>
            <w:r w:rsidR="00643558" w:rsidRPr="00EC479F">
              <w:rPr>
                <w:rFonts w:ascii="Times New Roman" w:hAnsi="Times New Roman"/>
                <w:sz w:val="18"/>
              </w:rPr>
              <w:t xml:space="preserve"> </w:t>
            </w:r>
            <w:r w:rsidRPr="00EC479F">
              <w:rPr>
                <w:rFonts w:ascii="Times New Roman" w:hAnsi="Times New Roman"/>
                <w:sz w:val="18"/>
              </w:rPr>
              <w:t>project to the DOT Credit Council.</w:t>
            </w:r>
          </w:p>
          <w:p w:rsidR="00B77793" w:rsidRPr="00EC479F" w:rsidRDefault="00B77793" w:rsidP="00EC479F">
            <w:pPr>
              <w:keepNext/>
              <w:keepLines/>
              <w:widowControl/>
              <w:numPr>
                <w:ilvl w:val="0"/>
                <w:numId w:val="12"/>
              </w:numPr>
              <w:spacing w:before="40" w:after="0" w:line="240" w:lineRule="auto"/>
              <w:rPr>
                <w:rFonts w:ascii="Times New Roman" w:hAnsi="Times New Roman"/>
                <w:sz w:val="18"/>
              </w:rPr>
            </w:pPr>
            <w:r w:rsidRPr="00EC479F">
              <w:rPr>
                <w:rFonts w:ascii="Times New Roman" w:hAnsi="Times New Roman"/>
                <w:sz w:val="18"/>
              </w:rPr>
              <w:t>Review, approve, or revise recommendation and forward to the Secretary for final decision on approval.</w:t>
            </w:r>
          </w:p>
        </w:tc>
        <w:tc>
          <w:tcPr>
            <w:tcW w:w="1824" w:type="pct"/>
          </w:tcPr>
          <w:p w:rsidR="00B77793" w:rsidRPr="00EC479F" w:rsidRDefault="00B77793" w:rsidP="00EC479F">
            <w:pPr>
              <w:keepNext/>
              <w:keepLines/>
              <w:widowControl/>
              <w:spacing w:before="40" w:after="0" w:line="240" w:lineRule="auto"/>
              <w:ind w:left="360" w:hanging="360"/>
              <w:rPr>
                <w:rFonts w:ascii="Times New Roman" w:hAnsi="Times New Roman"/>
                <w:sz w:val="18"/>
              </w:rPr>
            </w:pPr>
          </w:p>
          <w:p w:rsidR="00B77793" w:rsidRPr="00EC479F" w:rsidRDefault="00B77793" w:rsidP="00EC479F">
            <w:pPr>
              <w:keepNext/>
              <w:keepLines/>
              <w:widowControl/>
              <w:numPr>
                <w:ilvl w:val="0"/>
                <w:numId w:val="12"/>
              </w:numPr>
              <w:tabs>
                <w:tab w:val="clear" w:pos="720"/>
              </w:tabs>
              <w:spacing w:before="40" w:after="0" w:line="240" w:lineRule="auto"/>
              <w:ind w:left="342"/>
              <w:rPr>
                <w:rFonts w:ascii="Times New Roman" w:hAnsi="Times New Roman"/>
                <w:sz w:val="18"/>
              </w:rPr>
            </w:pPr>
            <w:r w:rsidRPr="00EC479F">
              <w:rPr>
                <w:rFonts w:ascii="Times New Roman" w:hAnsi="Times New Roman"/>
                <w:sz w:val="18"/>
              </w:rPr>
              <w:t>DOT</w:t>
            </w:r>
          </w:p>
          <w:p w:rsidR="00B77793" w:rsidRPr="00EC479F" w:rsidRDefault="00B77793" w:rsidP="00EC479F">
            <w:pPr>
              <w:keepNext/>
              <w:keepLines/>
              <w:widowControl/>
              <w:spacing w:before="40" w:after="0" w:line="240" w:lineRule="auto"/>
              <w:ind w:left="-18"/>
              <w:rPr>
                <w:rFonts w:ascii="Times New Roman" w:hAnsi="Times New Roman"/>
                <w:sz w:val="18"/>
              </w:rPr>
            </w:pPr>
          </w:p>
          <w:p w:rsidR="00B77793" w:rsidRPr="00EC479F" w:rsidRDefault="00B77793" w:rsidP="00EC479F">
            <w:pPr>
              <w:keepNext/>
              <w:keepLines/>
              <w:widowControl/>
              <w:numPr>
                <w:ilvl w:val="0"/>
                <w:numId w:val="12"/>
              </w:numPr>
              <w:tabs>
                <w:tab w:val="clear" w:pos="720"/>
              </w:tabs>
              <w:spacing w:before="40" w:after="0" w:line="240" w:lineRule="auto"/>
              <w:ind w:left="342"/>
              <w:rPr>
                <w:rFonts w:ascii="Times New Roman" w:hAnsi="Times New Roman"/>
                <w:sz w:val="18"/>
              </w:rPr>
            </w:pPr>
            <w:r w:rsidRPr="00EC479F">
              <w:rPr>
                <w:rFonts w:ascii="Times New Roman" w:hAnsi="Times New Roman"/>
                <w:sz w:val="18"/>
              </w:rPr>
              <w:t>DOT Credit Council</w:t>
            </w:r>
          </w:p>
        </w:tc>
      </w:tr>
      <w:tr w:rsidR="00B77793" w:rsidRPr="00152531" w:rsidTr="002B3EC0">
        <w:tc>
          <w:tcPr>
            <w:tcW w:w="3176" w:type="pct"/>
            <w:tcBorders>
              <w:bottom w:val="double" w:sz="6" w:space="0" w:color="auto"/>
            </w:tcBorders>
          </w:tcPr>
          <w:p w:rsidR="00B77793" w:rsidRPr="00EC479F" w:rsidRDefault="00B77793" w:rsidP="002B3EC0">
            <w:pPr>
              <w:keepNext/>
              <w:keepLines/>
              <w:pageBreakBefore/>
              <w:widowControl/>
              <w:spacing w:before="40" w:after="0" w:line="240" w:lineRule="auto"/>
              <w:ind w:left="360" w:hanging="360"/>
              <w:rPr>
                <w:rFonts w:ascii="Times New Roman" w:hAnsi="Times New Roman"/>
                <w:sz w:val="18"/>
              </w:rPr>
            </w:pPr>
            <w:r w:rsidRPr="00EC479F">
              <w:rPr>
                <w:rFonts w:ascii="Times New Roman" w:hAnsi="Times New Roman"/>
                <w:b/>
                <w:sz w:val="18"/>
              </w:rPr>
              <w:lastRenderedPageBreak/>
              <w:t>Approval and Notifications:</w:t>
            </w:r>
          </w:p>
          <w:p w:rsidR="00B77793" w:rsidRPr="00EC479F" w:rsidRDefault="00B77793" w:rsidP="002B3EC0">
            <w:pPr>
              <w:keepNext/>
              <w:keepLines/>
              <w:pageBreakBefore/>
              <w:widowControl/>
              <w:numPr>
                <w:ilvl w:val="0"/>
                <w:numId w:val="16"/>
              </w:numPr>
              <w:tabs>
                <w:tab w:val="clear" w:pos="360"/>
              </w:tabs>
              <w:spacing w:before="40" w:after="0" w:line="240" w:lineRule="auto"/>
              <w:ind w:left="720"/>
              <w:rPr>
                <w:rFonts w:ascii="Times New Roman" w:hAnsi="Times New Roman"/>
                <w:sz w:val="18"/>
              </w:rPr>
            </w:pPr>
            <w:r w:rsidRPr="00EC479F">
              <w:rPr>
                <w:rFonts w:ascii="Times New Roman" w:hAnsi="Times New Roman"/>
                <w:sz w:val="18"/>
              </w:rPr>
              <w:t>Approve project, as appropriate, and authorize the issuance of a term sheet and the subsequent negotiation of a credit agreement.</w:t>
            </w:r>
          </w:p>
          <w:p w:rsidR="00B77793" w:rsidRPr="00EC479F" w:rsidRDefault="00B77793" w:rsidP="002B3EC0">
            <w:pPr>
              <w:keepNext/>
              <w:keepLines/>
              <w:pageBreakBefore/>
              <w:widowControl/>
              <w:numPr>
                <w:ilvl w:val="0"/>
                <w:numId w:val="16"/>
              </w:numPr>
              <w:tabs>
                <w:tab w:val="clear" w:pos="360"/>
              </w:tabs>
              <w:spacing w:before="40" w:after="0" w:line="240" w:lineRule="auto"/>
              <w:ind w:left="720"/>
              <w:rPr>
                <w:rFonts w:ascii="Times New Roman" w:hAnsi="Times New Roman"/>
                <w:sz w:val="18"/>
              </w:rPr>
            </w:pPr>
            <w:r w:rsidRPr="00EC479F">
              <w:rPr>
                <w:rFonts w:ascii="Times New Roman" w:hAnsi="Times New Roman"/>
                <w:sz w:val="18"/>
              </w:rPr>
              <w:t>Advise applicant of Secretary’s determination.</w:t>
            </w:r>
          </w:p>
        </w:tc>
        <w:tc>
          <w:tcPr>
            <w:tcW w:w="1824" w:type="pct"/>
            <w:tcBorders>
              <w:bottom w:val="double" w:sz="6" w:space="0" w:color="auto"/>
            </w:tcBorders>
          </w:tcPr>
          <w:p w:rsidR="00B77793" w:rsidRPr="00EC479F" w:rsidRDefault="00B77793" w:rsidP="002B3EC0">
            <w:pPr>
              <w:keepNext/>
              <w:keepLines/>
              <w:pageBreakBefore/>
              <w:widowControl/>
              <w:spacing w:before="40" w:after="0" w:line="240" w:lineRule="auto"/>
              <w:rPr>
                <w:rFonts w:ascii="Times New Roman" w:hAnsi="Times New Roman"/>
                <w:sz w:val="18"/>
              </w:rPr>
            </w:pPr>
          </w:p>
          <w:p w:rsidR="00B77793" w:rsidRPr="00EC479F" w:rsidRDefault="00B77793" w:rsidP="002B3EC0">
            <w:pPr>
              <w:keepNext/>
              <w:keepLines/>
              <w:pageBreakBefore/>
              <w:widowControl/>
              <w:numPr>
                <w:ilvl w:val="0"/>
                <w:numId w:val="16"/>
              </w:numPr>
              <w:spacing w:before="40" w:after="0" w:line="240" w:lineRule="auto"/>
              <w:rPr>
                <w:rFonts w:ascii="Times New Roman" w:hAnsi="Times New Roman"/>
                <w:sz w:val="18"/>
              </w:rPr>
            </w:pPr>
            <w:r w:rsidRPr="00EC479F">
              <w:rPr>
                <w:rFonts w:ascii="Times New Roman" w:hAnsi="Times New Roman"/>
                <w:sz w:val="18"/>
              </w:rPr>
              <w:t>Secretary</w:t>
            </w:r>
          </w:p>
          <w:p w:rsidR="00B77793" w:rsidRPr="00EC479F" w:rsidRDefault="00B77793" w:rsidP="002B3EC0">
            <w:pPr>
              <w:keepNext/>
              <w:keepLines/>
              <w:pageBreakBefore/>
              <w:widowControl/>
              <w:spacing w:after="0" w:line="240" w:lineRule="auto"/>
              <w:rPr>
                <w:rFonts w:ascii="Times New Roman" w:hAnsi="Times New Roman"/>
                <w:sz w:val="18"/>
              </w:rPr>
            </w:pPr>
          </w:p>
          <w:p w:rsidR="00B77793" w:rsidRPr="00EC479F" w:rsidRDefault="00B77793" w:rsidP="002B3EC0">
            <w:pPr>
              <w:pStyle w:val="Tabletext"/>
              <w:keepNext/>
              <w:keepLines/>
              <w:pageBreakBefore/>
              <w:widowControl/>
              <w:spacing w:before="0" w:after="0" w:line="240" w:lineRule="auto"/>
              <w:rPr>
                <w:rFonts w:ascii="Times New Roman" w:hAnsi="Times New Roman"/>
              </w:rPr>
            </w:pPr>
          </w:p>
          <w:p w:rsidR="00B77793" w:rsidRPr="00EC479F" w:rsidRDefault="00B77793" w:rsidP="002B3EC0">
            <w:pPr>
              <w:keepNext/>
              <w:keepLines/>
              <w:pageBreakBefore/>
              <w:widowControl/>
              <w:numPr>
                <w:ilvl w:val="0"/>
                <w:numId w:val="16"/>
              </w:numPr>
              <w:spacing w:before="40" w:after="0" w:line="240" w:lineRule="auto"/>
              <w:rPr>
                <w:rFonts w:ascii="Times New Roman" w:hAnsi="Times New Roman"/>
                <w:sz w:val="18"/>
              </w:rPr>
            </w:pPr>
            <w:r w:rsidRPr="00EC479F">
              <w:rPr>
                <w:rFonts w:ascii="Times New Roman" w:hAnsi="Times New Roman"/>
                <w:sz w:val="18"/>
              </w:rPr>
              <w:t>DO</w:t>
            </w:r>
            <w:r w:rsidR="008856A8" w:rsidRPr="00EC479F">
              <w:rPr>
                <w:rFonts w:ascii="Times New Roman" w:hAnsi="Times New Roman"/>
                <w:sz w:val="18"/>
              </w:rPr>
              <w:t>T</w:t>
            </w:r>
          </w:p>
        </w:tc>
      </w:tr>
    </w:tbl>
    <w:p w:rsidR="00B77793" w:rsidRPr="000B7BE8" w:rsidRDefault="00B77793" w:rsidP="000B7BE8">
      <w:pPr>
        <w:pStyle w:val="TIFIAHeading1b"/>
        <w:widowControl/>
        <w:spacing w:after="0"/>
        <w:rPr>
          <w:sz w:val="4"/>
          <w:szCs w:val="4"/>
        </w:rPr>
      </w:pPr>
    </w:p>
    <w:p w:rsidR="00B77793" w:rsidRDefault="00B77793">
      <w:pPr>
        <w:pStyle w:val="TIFIABodyText"/>
        <w:widowControl/>
        <w:sectPr w:rsidR="00B77793">
          <w:headerReference w:type="even" r:id="rId54"/>
          <w:headerReference w:type="default" r:id="rId55"/>
          <w:footerReference w:type="even" r:id="rId56"/>
          <w:footerReference w:type="default" r:id="rId57"/>
          <w:headerReference w:type="first" r:id="rId58"/>
          <w:footerReference w:type="first" r:id="rId59"/>
          <w:endnotePr>
            <w:numFmt w:val="decimal"/>
          </w:endnotePr>
          <w:pgSz w:w="12240" w:h="15840" w:code="1"/>
          <w:pgMar w:top="1440" w:right="1440" w:bottom="1440" w:left="2520" w:header="720" w:footer="720" w:gutter="0"/>
          <w:pgNumType w:start="1"/>
          <w:cols w:space="720"/>
          <w:noEndnote/>
          <w:titlePg/>
        </w:sectPr>
      </w:pPr>
    </w:p>
    <w:p w:rsidR="00B77793" w:rsidRDefault="00B77793" w:rsidP="0051120F">
      <w:pPr>
        <w:pStyle w:val="TIFIAChapterTitle"/>
        <w:widowControl/>
        <w:spacing w:after="240"/>
        <w:ind w:left="1440" w:hanging="1440"/>
      </w:pPr>
      <w:r>
        <w:lastRenderedPageBreak/>
        <w:t xml:space="preserve">Chapter 6: Transaction Documents and Ongoing Monitoring Requirements </w:t>
      </w:r>
    </w:p>
    <w:p w:rsidR="00B77793" w:rsidRDefault="00B77793" w:rsidP="00A436C0">
      <w:pPr>
        <w:pStyle w:val="CM11"/>
        <w:widowControl/>
        <w:spacing w:after="240" w:line="271" w:lineRule="atLeast"/>
        <w:jc w:val="both"/>
        <w:rPr>
          <w:rFonts w:ascii="Times New Roman" w:hAnsi="Times New Roman"/>
          <w:color w:val="000000"/>
          <w:sz w:val="22"/>
        </w:rPr>
      </w:pPr>
      <w:r>
        <w:rPr>
          <w:rFonts w:ascii="Times New Roman" w:hAnsi="Times New Roman"/>
          <w:color w:val="000000"/>
          <w:sz w:val="22"/>
        </w:rPr>
        <w:t xml:space="preserve">This chapter describes the process by which the DOT will commit to provide credit assistance to a selected borrower (also termed “obligor”).  The chapter also describes the two major contractual documents used for the </w:t>
      </w:r>
      <w:r w:rsidR="00427D30">
        <w:rPr>
          <w:rFonts w:ascii="Times New Roman" w:hAnsi="Times New Roman"/>
          <w:color w:val="000000"/>
          <w:sz w:val="22"/>
        </w:rPr>
        <w:t>TIFIA Program</w:t>
      </w:r>
      <w:r>
        <w:rPr>
          <w:rFonts w:ascii="Times New Roman" w:hAnsi="Times New Roman"/>
          <w:color w:val="000000"/>
          <w:sz w:val="22"/>
        </w:rPr>
        <w:t xml:space="preserve">:  the term sheet and the credit agreement. </w:t>
      </w:r>
    </w:p>
    <w:p w:rsidR="00B77793" w:rsidRDefault="00B77793" w:rsidP="00A436C0">
      <w:pPr>
        <w:pStyle w:val="CM1"/>
        <w:widowControl/>
        <w:spacing w:after="240"/>
        <w:jc w:val="both"/>
        <w:rPr>
          <w:rFonts w:ascii="Times New Roman" w:hAnsi="Times New Roman"/>
          <w:sz w:val="22"/>
        </w:rPr>
      </w:pPr>
      <w:r>
        <w:rPr>
          <w:rFonts w:ascii="Times New Roman" w:hAnsi="Times New Roman"/>
          <w:color w:val="000000"/>
          <w:sz w:val="22"/>
        </w:rPr>
        <w:t>Each of the contractual documents is used for specific purposes as summarized in Exhibit 6-</w:t>
      </w:r>
      <w:r>
        <w:rPr>
          <w:rFonts w:ascii="Times New Roman" w:hAnsi="Times New Roman"/>
          <w:sz w:val="22"/>
        </w:rPr>
        <w:t>A.  The term sheet establishes the DOT’s legal commitment and triggers the obligation of budget authority for the project.</w:t>
      </w:r>
      <w:r w:rsidR="002748F8">
        <w:rPr>
          <w:rStyle w:val="FootnoteReference"/>
          <w:rFonts w:ascii="Times New Roman" w:hAnsi="Times New Roman"/>
        </w:rPr>
        <w:footnoteReference w:id="178"/>
      </w:r>
      <w:r>
        <w:rPr>
          <w:rFonts w:ascii="Times New Roman" w:hAnsi="Times New Roman"/>
          <w:sz w:val="22"/>
        </w:rPr>
        <w:t xml:space="preserve">  The credit agreement is the definitive agreement between the DOT and the borrower, containing all of the terms and conditions pursuant to which the </w:t>
      </w:r>
      <w:r w:rsidR="00152531">
        <w:rPr>
          <w:rFonts w:ascii="Times New Roman" w:hAnsi="Times New Roman"/>
          <w:sz w:val="22"/>
        </w:rPr>
        <w:t xml:space="preserve">TIFIA </w:t>
      </w:r>
      <w:r>
        <w:rPr>
          <w:rFonts w:ascii="Times New Roman" w:hAnsi="Times New Roman"/>
          <w:sz w:val="22"/>
        </w:rPr>
        <w:t>credit assistance is provided.</w:t>
      </w:r>
      <w:r w:rsidR="000D15E8">
        <w:rPr>
          <w:rStyle w:val="FootnoteReference"/>
          <w:rFonts w:ascii="Times New Roman" w:hAnsi="Times New Roman"/>
        </w:rPr>
        <w:footnoteReference w:id="179"/>
      </w:r>
      <w:r>
        <w:rPr>
          <w:rFonts w:ascii="Times New Roman" w:hAnsi="Times New Roman"/>
          <w:sz w:val="22"/>
        </w:rPr>
        <w:t xml:space="preserve"> </w:t>
      </w:r>
    </w:p>
    <w:p w:rsidR="00B77793" w:rsidRPr="00EC479F" w:rsidRDefault="00B77793">
      <w:pPr>
        <w:pStyle w:val="TIFIATableTitle"/>
        <w:widowControl/>
        <w:spacing w:before="0" w:after="240"/>
        <w:outlineLvl w:val="0"/>
        <w:rPr>
          <w:rFonts w:ascii="Times New Roman" w:hAnsi="Times New Roman"/>
          <w:sz w:val="22"/>
          <w:szCs w:val="22"/>
        </w:rPr>
      </w:pPr>
      <w:r w:rsidRPr="00EC479F">
        <w:rPr>
          <w:rFonts w:ascii="Times New Roman" w:hAnsi="Times New Roman"/>
          <w:sz w:val="22"/>
          <w:szCs w:val="22"/>
        </w:rPr>
        <w:t>Exhibit 6-A: TIFIA Prerequisites</w:t>
      </w:r>
    </w:p>
    <w:tbl>
      <w:tblPr>
        <w:tblW w:w="8568" w:type="dxa"/>
        <w:tblLook w:val="0000" w:firstRow="0" w:lastRow="0" w:firstColumn="0" w:lastColumn="0" w:noHBand="0" w:noVBand="0"/>
      </w:tblPr>
      <w:tblGrid>
        <w:gridCol w:w="1368"/>
        <w:gridCol w:w="7200"/>
      </w:tblGrid>
      <w:tr w:rsidR="00B77793">
        <w:trPr>
          <w:trHeight w:val="385"/>
        </w:trPr>
        <w:tc>
          <w:tcPr>
            <w:tcW w:w="1368" w:type="dxa"/>
            <w:tcBorders>
              <w:top w:val="single" w:sz="8" w:space="0" w:color="000000"/>
              <w:left w:val="single" w:sz="8" w:space="0" w:color="000000"/>
              <w:bottom w:val="single" w:sz="8" w:space="0" w:color="000000"/>
              <w:right w:val="single" w:sz="8" w:space="0" w:color="000000"/>
            </w:tcBorders>
            <w:vAlign w:val="center"/>
          </w:tcPr>
          <w:p w:rsidR="00B77793" w:rsidRPr="00EC479F" w:rsidRDefault="00B77793">
            <w:pPr>
              <w:pStyle w:val="Default"/>
              <w:widowControl/>
              <w:overflowPunct w:val="0"/>
              <w:spacing w:after="240" w:line="264" w:lineRule="auto"/>
              <w:jc w:val="both"/>
              <w:textAlignment w:val="baseline"/>
              <w:rPr>
                <w:rFonts w:ascii="Times New Roman" w:hAnsi="Times New Roman"/>
                <w:sz w:val="19"/>
              </w:rPr>
            </w:pPr>
            <w:r w:rsidRPr="00EC479F">
              <w:rPr>
                <w:rFonts w:ascii="Times New Roman" w:hAnsi="Times New Roman"/>
                <w:b/>
                <w:sz w:val="19"/>
              </w:rPr>
              <w:t xml:space="preserve">Document </w:t>
            </w:r>
          </w:p>
        </w:tc>
        <w:tc>
          <w:tcPr>
            <w:tcW w:w="7200" w:type="dxa"/>
            <w:tcBorders>
              <w:top w:val="single" w:sz="8" w:space="0" w:color="000000"/>
              <w:left w:val="single" w:sz="8" w:space="0" w:color="000000"/>
              <w:bottom w:val="single" w:sz="8" w:space="0" w:color="000000"/>
              <w:right w:val="single" w:sz="8" w:space="0" w:color="000000"/>
            </w:tcBorders>
            <w:vAlign w:val="center"/>
          </w:tcPr>
          <w:p w:rsidR="00B77793" w:rsidRPr="00EC479F" w:rsidRDefault="00B77793">
            <w:pPr>
              <w:pStyle w:val="Default"/>
              <w:widowControl/>
              <w:jc w:val="both"/>
              <w:rPr>
                <w:rFonts w:ascii="Times New Roman" w:hAnsi="Times New Roman"/>
                <w:sz w:val="19"/>
              </w:rPr>
            </w:pPr>
            <w:r w:rsidRPr="00EC479F">
              <w:rPr>
                <w:rFonts w:ascii="Times New Roman" w:hAnsi="Times New Roman"/>
                <w:b/>
                <w:sz w:val="19"/>
              </w:rPr>
              <w:t xml:space="preserve">Major Prerequisites </w:t>
            </w:r>
          </w:p>
        </w:tc>
      </w:tr>
      <w:tr w:rsidR="00B77793" w:rsidTr="00EC479F">
        <w:trPr>
          <w:trHeight w:val="961"/>
        </w:trPr>
        <w:tc>
          <w:tcPr>
            <w:tcW w:w="1368" w:type="dxa"/>
            <w:tcBorders>
              <w:top w:val="single" w:sz="8" w:space="0" w:color="000000"/>
              <w:left w:val="single" w:sz="8" w:space="0" w:color="000000"/>
              <w:bottom w:val="single" w:sz="8" w:space="0" w:color="000000"/>
              <w:right w:val="single" w:sz="8" w:space="0" w:color="000000"/>
            </w:tcBorders>
          </w:tcPr>
          <w:p w:rsidR="00B77793" w:rsidRPr="00EC479F" w:rsidRDefault="00B77793">
            <w:pPr>
              <w:pStyle w:val="Default"/>
              <w:widowControl/>
              <w:jc w:val="both"/>
              <w:rPr>
                <w:rFonts w:ascii="Times New Roman" w:hAnsi="Times New Roman"/>
                <w:sz w:val="19"/>
              </w:rPr>
            </w:pPr>
            <w:r w:rsidRPr="00EC479F">
              <w:rPr>
                <w:rFonts w:ascii="Times New Roman" w:hAnsi="Times New Roman"/>
                <w:sz w:val="19"/>
              </w:rPr>
              <w:t xml:space="preserve">Term Sheet </w:t>
            </w:r>
          </w:p>
        </w:tc>
        <w:tc>
          <w:tcPr>
            <w:tcW w:w="7200" w:type="dxa"/>
            <w:tcBorders>
              <w:top w:val="single" w:sz="8" w:space="0" w:color="000000"/>
              <w:left w:val="single" w:sz="8" w:space="0" w:color="000000"/>
              <w:bottom w:val="single" w:sz="8" w:space="0" w:color="000000"/>
              <w:right w:val="single" w:sz="8" w:space="0" w:color="000000"/>
            </w:tcBorders>
          </w:tcPr>
          <w:p w:rsidR="00B77793" w:rsidRPr="00EC479F" w:rsidRDefault="00B77793" w:rsidP="00EC479F">
            <w:pPr>
              <w:pStyle w:val="Default"/>
              <w:widowControl/>
              <w:numPr>
                <w:ilvl w:val="0"/>
                <w:numId w:val="25"/>
              </w:numPr>
              <w:spacing w:after="240"/>
              <w:jc w:val="both"/>
              <w:rPr>
                <w:rFonts w:ascii="Times New Roman" w:hAnsi="Times New Roman"/>
                <w:sz w:val="18"/>
              </w:rPr>
            </w:pPr>
            <w:r w:rsidRPr="00EC479F">
              <w:rPr>
                <w:rFonts w:ascii="Times New Roman" w:hAnsi="Times New Roman"/>
                <w:sz w:val="18"/>
              </w:rPr>
              <w:t xml:space="preserve">Credit Assessment: Preliminary rating opinion letter on senior debt and TIFIA credit instrument </w:t>
            </w:r>
          </w:p>
          <w:p w:rsidR="00B77793" w:rsidRPr="00EC479F" w:rsidRDefault="00B77793">
            <w:pPr>
              <w:pStyle w:val="Default"/>
              <w:widowControl/>
              <w:numPr>
                <w:ilvl w:val="0"/>
                <w:numId w:val="25"/>
              </w:numPr>
              <w:overflowPunct w:val="0"/>
              <w:spacing w:after="240" w:line="264" w:lineRule="auto"/>
              <w:jc w:val="both"/>
              <w:textAlignment w:val="baseline"/>
              <w:rPr>
                <w:rFonts w:ascii="Times New Roman" w:hAnsi="Times New Roman"/>
                <w:sz w:val="18"/>
              </w:rPr>
            </w:pPr>
            <w:r w:rsidRPr="00EC479F">
              <w:rPr>
                <w:rFonts w:ascii="Times New Roman" w:hAnsi="Times New Roman"/>
                <w:sz w:val="18"/>
              </w:rPr>
              <w:t>Environmental Clearance: ROD, FONSI, or Categorical Exclusion Planning Consistency</w:t>
            </w:r>
          </w:p>
          <w:p w:rsidR="00B77793" w:rsidRPr="00EC479F" w:rsidRDefault="00B77793" w:rsidP="00D41612">
            <w:pPr>
              <w:pStyle w:val="Default"/>
              <w:widowControl/>
              <w:numPr>
                <w:ilvl w:val="0"/>
                <w:numId w:val="25"/>
              </w:numPr>
              <w:overflowPunct w:val="0"/>
              <w:spacing w:after="240" w:line="264" w:lineRule="auto"/>
              <w:jc w:val="both"/>
              <w:textAlignment w:val="baseline"/>
              <w:rPr>
                <w:rFonts w:ascii="Times New Roman" w:hAnsi="Times New Roman"/>
                <w:sz w:val="18"/>
              </w:rPr>
            </w:pPr>
            <w:r w:rsidRPr="00EC479F">
              <w:rPr>
                <w:rFonts w:ascii="Times New Roman" w:hAnsi="Times New Roman"/>
                <w:sz w:val="18"/>
              </w:rPr>
              <w:t xml:space="preserve">Compliance with </w:t>
            </w:r>
            <w:r w:rsidR="002B3EC0">
              <w:rPr>
                <w:rFonts w:ascii="Times New Roman" w:hAnsi="Times New Roman"/>
                <w:sz w:val="18"/>
              </w:rPr>
              <w:t xml:space="preserve">Federal rules and </w:t>
            </w:r>
            <w:r w:rsidRPr="00EC479F">
              <w:rPr>
                <w:rFonts w:ascii="Times New Roman" w:hAnsi="Times New Roman"/>
                <w:sz w:val="18"/>
              </w:rPr>
              <w:t>applicable planning requirements</w:t>
            </w:r>
          </w:p>
        </w:tc>
      </w:tr>
      <w:tr w:rsidR="00B77793" w:rsidTr="00EC479F">
        <w:trPr>
          <w:trHeight w:val="1159"/>
        </w:trPr>
        <w:tc>
          <w:tcPr>
            <w:tcW w:w="1368" w:type="dxa"/>
            <w:tcBorders>
              <w:top w:val="single" w:sz="8" w:space="0" w:color="000000"/>
              <w:left w:val="single" w:sz="8" w:space="0" w:color="000000"/>
              <w:bottom w:val="single" w:sz="8" w:space="0" w:color="000000"/>
              <w:right w:val="single" w:sz="8" w:space="0" w:color="000000"/>
            </w:tcBorders>
          </w:tcPr>
          <w:p w:rsidR="00B77793" w:rsidRPr="00EC479F" w:rsidRDefault="00B77793">
            <w:pPr>
              <w:pStyle w:val="Default"/>
              <w:widowControl/>
              <w:overflowPunct w:val="0"/>
              <w:spacing w:after="240" w:line="264" w:lineRule="auto"/>
              <w:jc w:val="both"/>
              <w:textAlignment w:val="baseline"/>
              <w:rPr>
                <w:rFonts w:ascii="Times New Roman" w:hAnsi="Times New Roman"/>
                <w:sz w:val="19"/>
              </w:rPr>
            </w:pPr>
            <w:r w:rsidRPr="00EC479F">
              <w:rPr>
                <w:rFonts w:ascii="Times New Roman" w:hAnsi="Times New Roman"/>
                <w:sz w:val="19"/>
              </w:rPr>
              <w:t xml:space="preserve">Credit Agreement </w:t>
            </w:r>
          </w:p>
        </w:tc>
        <w:tc>
          <w:tcPr>
            <w:tcW w:w="7200" w:type="dxa"/>
            <w:tcBorders>
              <w:top w:val="single" w:sz="8" w:space="0" w:color="000000"/>
              <w:left w:val="single" w:sz="8" w:space="0" w:color="000000"/>
              <w:bottom w:val="single" w:sz="8" w:space="0" w:color="000000"/>
              <w:right w:val="single" w:sz="8" w:space="0" w:color="000000"/>
            </w:tcBorders>
          </w:tcPr>
          <w:p w:rsidR="00B77793" w:rsidRPr="00EC479F" w:rsidRDefault="00B77793" w:rsidP="00EC479F">
            <w:pPr>
              <w:pStyle w:val="Default"/>
              <w:widowControl/>
              <w:numPr>
                <w:ilvl w:val="0"/>
                <w:numId w:val="25"/>
              </w:numPr>
              <w:spacing w:after="240"/>
              <w:jc w:val="both"/>
              <w:rPr>
                <w:rFonts w:ascii="Times New Roman" w:hAnsi="Times New Roman"/>
                <w:sz w:val="18"/>
              </w:rPr>
            </w:pPr>
            <w:r w:rsidRPr="00EC479F">
              <w:rPr>
                <w:rFonts w:ascii="Times New Roman" w:hAnsi="Times New Roman"/>
                <w:sz w:val="18"/>
              </w:rPr>
              <w:t>Credit Assessment: Investment grade credit rating on senior debt and rating on TIFIA credit instrument</w:t>
            </w:r>
            <w:r w:rsidR="00AF2334">
              <w:rPr>
                <w:rFonts w:ascii="Times New Roman" w:hAnsi="Times New Roman"/>
                <w:sz w:val="18"/>
              </w:rPr>
              <w:t xml:space="preserve"> </w:t>
            </w:r>
            <w:r w:rsidR="007A0A85" w:rsidRPr="00EC479F">
              <w:rPr>
                <w:rFonts w:ascii="Times New Roman" w:hAnsi="Times New Roman"/>
                <w:sz w:val="18"/>
              </w:rPr>
              <w:t xml:space="preserve">by two rating agencies </w:t>
            </w:r>
            <w:r w:rsidR="00AF2334">
              <w:rPr>
                <w:rFonts w:ascii="Times New Roman" w:hAnsi="Times New Roman"/>
                <w:sz w:val="18"/>
              </w:rPr>
              <w:t xml:space="preserve">(only one rating required if </w:t>
            </w:r>
            <w:r w:rsidR="00F457D4">
              <w:rPr>
                <w:rFonts w:ascii="Times New Roman" w:hAnsi="Times New Roman"/>
                <w:sz w:val="18"/>
              </w:rPr>
              <w:t>total project debt</w:t>
            </w:r>
            <w:r w:rsidR="007A0A85" w:rsidRPr="00EC479F">
              <w:rPr>
                <w:rFonts w:ascii="Times New Roman" w:hAnsi="Times New Roman"/>
                <w:sz w:val="18"/>
              </w:rPr>
              <w:t xml:space="preserve"> is less than $75 million</w:t>
            </w:r>
            <w:r w:rsidR="00AF2334">
              <w:rPr>
                <w:rFonts w:ascii="Times New Roman" w:hAnsi="Times New Roman"/>
                <w:sz w:val="18"/>
              </w:rPr>
              <w:t>)</w:t>
            </w:r>
          </w:p>
          <w:p w:rsidR="00B77793" w:rsidRPr="00EC479F" w:rsidRDefault="00B77793" w:rsidP="00D41612">
            <w:pPr>
              <w:pStyle w:val="Default"/>
              <w:widowControl/>
              <w:numPr>
                <w:ilvl w:val="0"/>
                <w:numId w:val="25"/>
              </w:numPr>
              <w:overflowPunct w:val="0"/>
              <w:spacing w:after="240" w:line="264" w:lineRule="auto"/>
              <w:jc w:val="both"/>
              <w:textAlignment w:val="baseline"/>
              <w:rPr>
                <w:rFonts w:ascii="Times New Roman" w:hAnsi="Times New Roman"/>
                <w:sz w:val="18"/>
              </w:rPr>
            </w:pPr>
            <w:r w:rsidRPr="00EC479F">
              <w:rPr>
                <w:rFonts w:ascii="Times New Roman" w:hAnsi="Times New Roman"/>
                <w:sz w:val="18"/>
              </w:rPr>
              <w:t xml:space="preserve">Appropriate Security Features: Rate covenants, </w:t>
            </w:r>
            <w:r w:rsidR="00AF2334">
              <w:rPr>
                <w:rFonts w:ascii="Times New Roman" w:hAnsi="Times New Roman"/>
                <w:sz w:val="18"/>
              </w:rPr>
              <w:t xml:space="preserve">dedicated revenue source, </w:t>
            </w:r>
            <w:r w:rsidRPr="00EC479F">
              <w:rPr>
                <w:rFonts w:ascii="Times New Roman" w:hAnsi="Times New Roman"/>
                <w:sz w:val="18"/>
              </w:rPr>
              <w:t xml:space="preserve">etc. </w:t>
            </w:r>
          </w:p>
          <w:p w:rsidR="00B77793" w:rsidRPr="00EC479F" w:rsidRDefault="00B77793" w:rsidP="00D41612">
            <w:pPr>
              <w:pStyle w:val="Default"/>
              <w:widowControl/>
              <w:numPr>
                <w:ilvl w:val="0"/>
                <w:numId w:val="25"/>
              </w:numPr>
              <w:overflowPunct w:val="0"/>
              <w:spacing w:after="240" w:line="264" w:lineRule="auto"/>
              <w:jc w:val="both"/>
              <w:textAlignment w:val="baseline"/>
              <w:rPr>
                <w:rFonts w:ascii="Times New Roman" w:hAnsi="Times New Roman"/>
                <w:sz w:val="18"/>
              </w:rPr>
            </w:pPr>
            <w:r w:rsidRPr="00EC479F">
              <w:rPr>
                <w:rFonts w:ascii="Times New Roman" w:hAnsi="Times New Roman"/>
                <w:sz w:val="18"/>
              </w:rPr>
              <w:t xml:space="preserve">All necessary grant funds committed to the project </w:t>
            </w:r>
          </w:p>
          <w:p w:rsidR="00B77793" w:rsidRPr="00EC479F" w:rsidRDefault="00B77793" w:rsidP="00D41612">
            <w:pPr>
              <w:pStyle w:val="Default"/>
              <w:widowControl/>
              <w:numPr>
                <w:ilvl w:val="0"/>
                <w:numId w:val="25"/>
              </w:numPr>
              <w:overflowPunct w:val="0"/>
              <w:spacing w:after="240" w:line="264" w:lineRule="auto"/>
              <w:jc w:val="both"/>
              <w:textAlignment w:val="baseline"/>
              <w:rPr>
                <w:rFonts w:ascii="Times New Roman" w:hAnsi="Times New Roman"/>
                <w:sz w:val="18"/>
              </w:rPr>
            </w:pPr>
            <w:r w:rsidRPr="00EC479F">
              <w:rPr>
                <w:rFonts w:ascii="Times New Roman" w:hAnsi="Times New Roman"/>
                <w:sz w:val="18"/>
              </w:rPr>
              <w:t>All non-TIFIA equity and debt agreements executed</w:t>
            </w:r>
          </w:p>
        </w:tc>
      </w:tr>
    </w:tbl>
    <w:p w:rsidR="00B77793" w:rsidRDefault="00B77793">
      <w:pPr>
        <w:pStyle w:val="Default"/>
        <w:widowControl/>
        <w:jc w:val="both"/>
        <w:rPr>
          <w:color w:val="auto"/>
        </w:rPr>
      </w:pPr>
    </w:p>
    <w:p w:rsidR="00B77793" w:rsidRDefault="00B77793" w:rsidP="00A436C0">
      <w:pPr>
        <w:pStyle w:val="CM10"/>
        <w:widowControl/>
        <w:spacing w:after="240" w:line="271" w:lineRule="atLeast"/>
        <w:jc w:val="both"/>
        <w:rPr>
          <w:rFonts w:ascii="Times New Roman" w:hAnsi="Times New Roman"/>
          <w:sz w:val="22"/>
        </w:rPr>
      </w:pPr>
      <w:r>
        <w:rPr>
          <w:rFonts w:ascii="Times New Roman" w:hAnsi="Times New Roman"/>
          <w:sz w:val="22"/>
        </w:rPr>
        <w:t xml:space="preserve">If a TIFIA project is also financed with other DOT funds, the recipient of TIFIA credit assistance is required to comply with applicable modal project requirements and approvals as well as the </w:t>
      </w:r>
      <w:r w:rsidR="00427D30">
        <w:rPr>
          <w:rFonts w:ascii="Times New Roman" w:hAnsi="Times New Roman"/>
          <w:sz w:val="22"/>
        </w:rPr>
        <w:t>TIFIA Program</w:t>
      </w:r>
      <w:r>
        <w:rPr>
          <w:rFonts w:ascii="Times New Roman" w:hAnsi="Times New Roman"/>
          <w:sz w:val="22"/>
        </w:rPr>
        <w:t xml:space="preserve"> requirements.  These may include approval for innovative contracting approaches and “mega project” procedures</w:t>
      </w:r>
      <w:r w:rsidR="00E070B9">
        <w:rPr>
          <w:rFonts w:ascii="Times New Roman" w:hAnsi="Times New Roman"/>
          <w:sz w:val="22"/>
        </w:rPr>
        <w:t>,</w:t>
      </w:r>
      <w:r>
        <w:rPr>
          <w:rFonts w:ascii="Times New Roman" w:hAnsi="Times New Roman"/>
          <w:sz w:val="22"/>
        </w:rPr>
        <w:t xml:space="preserve"> such as submission of a financial plan and plan updates.  The TIFIA process minimizes duplication of effort by borrowers, while ensuring effective oversight and monitoring of the Federal investment for projects.  The applicant can choose to take advantage of the coordinated processes as long as the timing of the submission of required documents fulfills both TIFIA and other applicable Federal program requirements.  The TIFIA credit agreement will specifically address financial plan requirements and monitoring procedures. </w:t>
      </w:r>
    </w:p>
    <w:p w:rsidR="00B77793" w:rsidRDefault="00B77793">
      <w:pPr>
        <w:pStyle w:val="TIFIAHeading1a"/>
        <w:widowControl/>
        <w:spacing w:before="0"/>
        <w:jc w:val="both"/>
        <w:outlineLvl w:val="0"/>
      </w:pPr>
      <w:r>
        <w:lastRenderedPageBreak/>
        <w:t xml:space="preserve">Section 6-1 </w:t>
      </w:r>
    </w:p>
    <w:p w:rsidR="00B77793" w:rsidRDefault="00B77793" w:rsidP="00FA71EE">
      <w:pPr>
        <w:pStyle w:val="CM11"/>
        <w:widowControl/>
        <w:spacing w:after="240" w:line="271" w:lineRule="atLeast"/>
        <w:jc w:val="both"/>
        <w:outlineLvl w:val="0"/>
        <w:rPr>
          <w:b/>
        </w:rPr>
      </w:pPr>
      <w:r>
        <w:rPr>
          <w:b/>
        </w:rPr>
        <w:t>Term Sheet</w:t>
      </w:r>
    </w:p>
    <w:p w:rsidR="00B77793" w:rsidRDefault="00B77793" w:rsidP="00FA71EE">
      <w:pPr>
        <w:pStyle w:val="CM11"/>
        <w:widowControl/>
        <w:spacing w:after="240" w:line="271" w:lineRule="atLeast"/>
        <w:jc w:val="both"/>
        <w:rPr>
          <w:rFonts w:ascii="Times New Roman" w:hAnsi="Times New Roman"/>
          <w:sz w:val="22"/>
        </w:rPr>
      </w:pPr>
      <w:r>
        <w:rPr>
          <w:rFonts w:ascii="Times New Roman" w:hAnsi="Times New Roman"/>
          <w:sz w:val="22"/>
        </w:rPr>
        <w:t>The term sheet is a contractual agreement between the DOT and the borrower that sets forth certain business terms and conditions of TIFIA credit assistance for the project.  The DOT’s issuance of this document triggers the DOT’s obligation (</w:t>
      </w:r>
      <w:r>
        <w:rPr>
          <w:rFonts w:ascii="Times New Roman" w:hAnsi="Times New Roman"/>
          <w:i/>
          <w:sz w:val="22"/>
        </w:rPr>
        <w:t>i.e</w:t>
      </w:r>
      <w:r>
        <w:rPr>
          <w:rFonts w:ascii="Times New Roman" w:hAnsi="Times New Roman"/>
          <w:sz w:val="22"/>
        </w:rPr>
        <w:t>., legal commitment) of budget authority.</w:t>
      </w:r>
      <w:r w:rsidR="006E09A3">
        <w:rPr>
          <w:rStyle w:val="FootnoteReference"/>
          <w:rFonts w:ascii="Times New Roman" w:hAnsi="Times New Roman"/>
        </w:rPr>
        <w:footnoteReference w:id="180"/>
      </w:r>
      <w:r>
        <w:rPr>
          <w:rFonts w:ascii="Times New Roman" w:hAnsi="Times New Roman"/>
          <w:sz w:val="22"/>
        </w:rPr>
        <w:t xml:space="preserve"> </w:t>
      </w:r>
    </w:p>
    <w:p w:rsidR="00B77793" w:rsidRDefault="00B77793" w:rsidP="00FA71EE">
      <w:pPr>
        <w:pStyle w:val="CM11"/>
        <w:keepNext/>
        <w:widowControl/>
        <w:spacing w:after="240" w:line="271" w:lineRule="atLeast"/>
        <w:jc w:val="both"/>
        <w:outlineLvl w:val="0"/>
        <w:rPr>
          <w:sz w:val="22"/>
        </w:rPr>
      </w:pPr>
      <w:r>
        <w:rPr>
          <w:b/>
          <w:sz w:val="22"/>
        </w:rPr>
        <w:t xml:space="preserve">Term Sheet Prerequisites </w:t>
      </w:r>
    </w:p>
    <w:p w:rsidR="00B77793" w:rsidRDefault="00B77793" w:rsidP="00FA71EE">
      <w:pPr>
        <w:pStyle w:val="CM11"/>
        <w:widowControl/>
        <w:spacing w:after="240" w:line="271" w:lineRule="atLeast"/>
        <w:jc w:val="both"/>
        <w:rPr>
          <w:rFonts w:ascii="Times New Roman" w:hAnsi="Times New Roman"/>
          <w:sz w:val="22"/>
        </w:rPr>
      </w:pPr>
      <w:r>
        <w:rPr>
          <w:rFonts w:ascii="Times New Roman" w:hAnsi="Times New Roman"/>
          <w:sz w:val="22"/>
        </w:rPr>
        <w:t>Before issuing a term sheet, the DOT will confirm that all prerequisites for the obligation of funds have been satisfied.  As shown in Exhibits 3-A and 6-A, these prerequisites include:  (</w:t>
      </w:r>
      <w:proofErr w:type="spellStart"/>
      <w:r>
        <w:rPr>
          <w:rFonts w:ascii="Times New Roman" w:hAnsi="Times New Roman"/>
          <w:i/>
          <w:sz w:val="22"/>
        </w:rPr>
        <w:t>i</w:t>
      </w:r>
      <w:proofErr w:type="spellEnd"/>
      <w:r>
        <w:rPr>
          <w:rFonts w:ascii="Times New Roman" w:hAnsi="Times New Roman"/>
          <w:sz w:val="22"/>
        </w:rPr>
        <w:t>) submission of the preliminary rating opinion letter;</w:t>
      </w:r>
      <w:r w:rsidR="006E09A3">
        <w:rPr>
          <w:rStyle w:val="FootnoteReference"/>
          <w:rFonts w:ascii="Times New Roman" w:hAnsi="Times New Roman"/>
        </w:rPr>
        <w:footnoteReference w:id="181"/>
      </w:r>
      <w:r>
        <w:rPr>
          <w:rFonts w:ascii="Times New Roman" w:hAnsi="Times New Roman"/>
          <w:sz w:val="22"/>
        </w:rPr>
        <w:t xml:space="preserve"> (</w:t>
      </w:r>
      <w:r>
        <w:rPr>
          <w:rFonts w:ascii="Times New Roman" w:hAnsi="Times New Roman"/>
          <w:i/>
          <w:sz w:val="22"/>
        </w:rPr>
        <w:t>ii</w:t>
      </w:r>
      <w:r>
        <w:rPr>
          <w:rFonts w:ascii="Times New Roman" w:hAnsi="Times New Roman"/>
          <w:sz w:val="22"/>
        </w:rPr>
        <w:t>) the project’s receipt of its ROD, FONSI, or Categorical Exclusion;</w:t>
      </w:r>
      <w:r w:rsidR="006E09A3">
        <w:rPr>
          <w:rStyle w:val="FootnoteReference"/>
          <w:rFonts w:ascii="Times New Roman" w:hAnsi="Times New Roman"/>
        </w:rPr>
        <w:footnoteReference w:id="182"/>
      </w:r>
      <w:r>
        <w:rPr>
          <w:rFonts w:ascii="Times New Roman" w:hAnsi="Times New Roman"/>
          <w:sz w:val="22"/>
        </w:rPr>
        <w:t xml:space="preserve"> and (</w:t>
      </w:r>
      <w:r>
        <w:rPr>
          <w:rFonts w:ascii="Times New Roman" w:hAnsi="Times New Roman"/>
          <w:i/>
          <w:sz w:val="22"/>
        </w:rPr>
        <w:t>iii</w:t>
      </w:r>
      <w:r>
        <w:rPr>
          <w:rFonts w:ascii="Times New Roman" w:hAnsi="Times New Roman"/>
          <w:sz w:val="22"/>
        </w:rPr>
        <w:t xml:space="preserve">) the project’s inclusion in </w:t>
      </w:r>
      <w:r w:rsidR="006E09A3">
        <w:rPr>
          <w:rFonts w:ascii="Times New Roman" w:hAnsi="Times New Roman"/>
          <w:sz w:val="22"/>
        </w:rPr>
        <w:t>the state’s planning documents (the long-range plan and the STIP)</w:t>
      </w:r>
      <w:r>
        <w:rPr>
          <w:rFonts w:ascii="Times New Roman" w:hAnsi="Times New Roman"/>
          <w:sz w:val="22"/>
        </w:rPr>
        <w:t>.</w:t>
      </w:r>
      <w:r w:rsidR="006E09A3">
        <w:rPr>
          <w:rStyle w:val="FootnoteReference"/>
          <w:rFonts w:ascii="Times New Roman" w:hAnsi="Times New Roman"/>
        </w:rPr>
        <w:footnoteReference w:id="183"/>
      </w:r>
      <w:r>
        <w:rPr>
          <w:rFonts w:ascii="Times New Roman" w:hAnsi="Times New Roman"/>
          <w:sz w:val="22"/>
        </w:rPr>
        <w:t xml:space="preserve"> </w:t>
      </w:r>
    </w:p>
    <w:p w:rsidR="00B77793" w:rsidRDefault="00B77793" w:rsidP="00FA71EE">
      <w:pPr>
        <w:pStyle w:val="CM11"/>
        <w:widowControl/>
        <w:spacing w:after="240" w:line="271" w:lineRule="atLeast"/>
        <w:jc w:val="both"/>
        <w:rPr>
          <w:rFonts w:ascii="Times New Roman" w:hAnsi="Times New Roman"/>
          <w:sz w:val="22"/>
        </w:rPr>
      </w:pPr>
      <w:r>
        <w:rPr>
          <w:rFonts w:ascii="Times New Roman" w:hAnsi="Times New Roman"/>
          <w:sz w:val="22"/>
        </w:rPr>
        <w:t xml:space="preserve">The term sheet obligates budget authority and binds the DOT and the borrower to the specified terms; it does not bind the DOT to details of the borrower’s application.  Further, the term sheet does </w:t>
      </w:r>
      <w:r w:rsidRPr="002C27DA">
        <w:rPr>
          <w:rFonts w:ascii="Times New Roman" w:hAnsi="Times New Roman"/>
          <w:b/>
          <w:i/>
          <w:sz w:val="22"/>
        </w:rPr>
        <w:t>not</w:t>
      </w:r>
      <w:r>
        <w:rPr>
          <w:rFonts w:ascii="Times New Roman" w:hAnsi="Times New Roman"/>
          <w:sz w:val="22"/>
        </w:rPr>
        <w:t xml:space="preserve"> trigger a disbursement of funds to the borrower.  Disbursements are made pursuant to the credit agreement, which is the definitive financing agreement between the borrower and the DOT.</w:t>
      </w:r>
    </w:p>
    <w:p w:rsidR="00B77793" w:rsidRDefault="00B77793" w:rsidP="00FA71EE">
      <w:pPr>
        <w:pStyle w:val="CM11"/>
        <w:widowControl/>
        <w:spacing w:after="240" w:line="271" w:lineRule="atLeast"/>
        <w:jc w:val="both"/>
        <w:outlineLvl w:val="0"/>
        <w:rPr>
          <w:sz w:val="22"/>
        </w:rPr>
      </w:pPr>
      <w:r>
        <w:rPr>
          <w:b/>
          <w:sz w:val="22"/>
        </w:rPr>
        <w:t xml:space="preserve">Term Sheet Contents </w:t>
      </w:r>
    </w:p>
    <w:p w:rsidR="00B77793" w:rsidRDefault="00B77793" w:rsidP="00FA71EE">
      <w:pPr>
        <w:pStyle w:val="TIFIABodyText"/>
        <w:widowControl/>
        <w:spacing w:line="271" w:lineRule="atLeast"/>
      </w:pPr>
      <w:r>
        <w:t xml:space="preserve">General rules concerning the terms for secured loans, loan guarantees, and standby lines of credit appear at 23 U.S.C. </w:t>
      </w:r>
      <w:r w:rsidR="007F6E50">
        <w:t>§§</w:t>
      </w:r>
      <w:r>
        <w:t>603 and 604</w:t>
      </w:r>
      <w:r w:rsidR="007F6E50">
        <w:t>,</w:t>
      </w:r>
      <w:r>
        <w:t xml:space="preserve"> and are also summarized in Chapter 2.  More specific terms will be determined on a project-specific basis.  The DOT commitment in the term sheet is subject to subsequent negotiation of the credit agreement.</w:t>
      </w:r>
    </w:p>
    <w:p w:rsidR="00B77793" w:rsidRDefault="00B77793" w:rsidP="00FA71EE">
      <w:pPr>
        <w:pStyle w:val="CM11"/>
        <w:widowControl/>
        <w:spacing w:after="240" w:line="271" w:lineRule="atLeast"/>
        <w:jc w:val="both"/>
        <w:rPr>
          <w:rFonts w:ascii="Times New Roman" w:hAnsi="Times New Roman"/>
          <w:sz w:val="22"/>
        </w:rPr>
      </w:pPr>
      <w:r>
        <w:rPr>
          <w:rFonts w:ascii="Times New Roman" w:hAnsi="Times New Roman"/>
          <w:sz w:val="22"/>
        </w:rPr>
        <w:t xml:space="preserve">Since term sheets serve primarily as obligating instruments for TIFIA credit assistance, they include only basic terms and conditions related to the DOT’s provision of credit assistance.  Typically, the following will appear in every term sheet: </w:t>
      </w:r>
    </w:p>
    <w:p w:rsidR="00B77793" w:rsidRDefault="00B77793" w:rsidP="00FA71EE">
      <w:pPr>
        <w:pStyle w:val="Default"/>
        <w:widowControl/>
        <w:numPr>
          <w:ilvl w:val="0"/>
          <w:numId w:val="18"/>
        </w:numPr>
        <w:spacing w:after="240" w:line="271" w:lineRule="atLeast"/>
        <w:jc w:val="both"/>
        <w:rPr>
          <w:rFonts w:ascii="Times New Roman" w:hAnsi="Times New Roman"/>
          <w:color w:val="auto"/>
          <w:sz w:val="22"/>
        </w:rPr>
      </w:pPr>
      <w:r>
        <w:rPr>
          <w:rFonts w:ascii="Times New Roman" w:hAnsi="Times New Roman"/>
          <w:color w:val="auto"/>
          <w:sz w:val="22"/>
        </w:rPr>
        <w:t>Parties to the agreement (</w:t>
      </w:r>
      <w:r>
        <w:rPr>
          <w:rFonts w:ascii="Times New Roman" w:hAnsi="Times New Roman"/>
          <w:i/>
          <w:color w:val="auto"/>
          <w:sz w:val="22"/>
        </w:rPr>
        <w:t>e.g</w:t>
      </w:r>
      <w:r>
        <w:rPr>
          <w:rFonts w:ascii="Times New Roman" w:hAnsi="Times New Roman"/>
          <w:color w:val="auto"/>
          <w:sz w:val="22"/>
        </w:rPr>
        <w:t xml:space="preserve">., lender, borrower, and guaranteed lender, as applicable); </w:t>
      </w:r>
    </w:p>
    <w:p w:rsidR="00B77793" w:rsidRDefault="00B77793" w:rsidP="00FA71EE">
      <w:pPr>
        <w:pStyle w:val="Default"/>
        <w:widowControl/>
        <w:numPr>
          <w:ilvl w:val="0"/>
          <w:numId w:val="18"/>
        </w:numPr>
        <w:spacing w:after="240" w:line="271" w:lineRule="atLeast"/>
        <w:jc w:val="both"/>
        <w:rPr>
          <w:rFonts w:ascii="Times New Roman" w:hAnsi="Times New Roman"/>
          <w:color w:val="auto"/>
          <w:sz w:val="22"/>
        </w:rPr>
      </w:pPr>
      <w:r>
        <w:rPr>
          <w:rFonts w:ascii="Times New Roman" w:hAnsi="Times New Roman"/>
          <w:color w:val="auto"/>
          <w:sz w:val="22"/>
        </w:rPr>
        <w:t>Type(s) of credit instrument (</w:t>
      </w:r>
      <w:r>
        <w:rPr>
          <w:rFonts w:ascii="Times New Roman" w:hAnsi="Times New Roman"/>
          <w:i/>
          <w:color w:val="auto"/>
          <w:sz w:val="22"/>
        </w:rPr>
        <w:t>i.e</w:t>
      </w:r>
      <w:r>
        <w:rPr>
          <w:rFonts w:ascii="Times New Roman" w:hAnsi="Times New Roman"/>
          <w:color w:val="auto"/>
          <w:sz w:val="22"/>
        </w:rPr>
        <w:t xml:space="preserve">., secured loan, loan guarantee, or line of credit); </w:t>
      </w:r>
    </w:p>
    <w:p w:rsidR="00B77793" w:rsidRDefault="00B77793" w:rsidP="00FA71EE">
      <w:pPr>
        <w:pStyle w:val="Default"/>
        <w:widowControl/>
        <w:numPr>
          <w:ilvl w:val="0"/>
          <w:numId w:val="18"/>
        </w:numPr>
        <w:spacing w:after="240" w:line="271" w:lineRule="atLeast"/>
        <w:jc w:val="both"/>
        <w:rPr>
          <w:rFonts w:ascii="Times New Roman" w:hAnsi="Times New Roman"/>
          <w:color w:val="auto"/>
          <w:sz w:val="22"/>
        </w:rPr>
      </w:pPr>
      <w:r>
        <w:rPr>
          <w:rFonts w:ascii="Times New Roman" w:hAnsi="Times New Roman"/>
          <w:color w:val="auto"/>
          <w:sz w:val="22"/>
        </w:rPr>
        <w:t xml:space="preserve">Description of the project; </w:t>
      </w:r>
    </w:p>
    <w:p w:rsidR="00B77793" w:rsidRDefault="00B77793" w:rsidP="00FA71EE">
      <w:pPr>
        <w:pStyle w:val="Default"/>
        <w:widowControl/>
        <w:numPr>
          <w:ilvl w:val="0"/>
          <w:numId w:val="18"/>
        </w:numPr>
        <w:spacing w:after="240" w:line="271" w:lineRule="atLeast"/>
        <w:jc w:val="both"/>
        <w:rPr>
          <w:rFonts w:ascii="Times New Roman" w:hAnsi="Times New Roman"/>
          <w:color w:val="auto"/>
          <w:sz w:val="22"/>
        </w:rPr>
      </w:pPr>
      <w:r>
        <w:rPr>
          <w:rFonts w:ascii="Times New Roman" w:hAnsi="Times New Roman"/>
          <w:color w:val="auto"/>
          <w:sz w:val="22"/>
        </w:rPr>
        <w:t xml:space="preserve">Estimated total project costs and total TIFIA-eligible project costs; </w:t>
      </w:r>
    </w:p>
    <w:p w:rsidR="00B77793" w:rsidRDefault="00B77793" w:rsidP="00FA71EE">
      <w:pPr>
        <w:pStyle w:val="Default"/>
        <w:widowControl/>
        <w:numPr>
          <w:ilvl w:val="0"/>
          <w:numId w:val="18"/>
        </w:numPr>
        <w:spacing w:after="240" w:line="271" w:lineRule="atLeast"/>
        <w:jc w:val="both"/>
        <w:rPr>
          <w:rFonts w:ascii="Times New Roman" w:hAnsi="Times New Roman"/>
          <w:color w:val="auto"/>
          <w:sz w:val="22"/>
        </w:rPr>
      </w:pPr>
      <w:r>
        <w:rPr>
          <w:rFonts w:ascii="Times New Roman" w:hAnsi="Times New Roman"/>
          <w:color w:val="auto"/>
          <w:sz w:val="22"/>
        </w:rPr>
        <w:t xml:space="preserve">Maximum amount of TIFIA credit assistance; </w:t>
      </w:r>
    </w:p>
    <w:p w:rsidR="00B77793" w:rsidRDefault="00B77793" w:rsidP="00FA71EE">
      <w:pPr>
        <w:pStyle w:val="Default"/>
        <w:widowControl/>
        <w:numPr>
          <w:ilvl w:val="0"/>
          <w:numId w:val="18"/>
        </w:numPr>
        <w:spacing w:after="240" w:line="271" w:lineRule="atLeast"/>
        <w:jc w:val="both"/>
        <w:rPr>
          <w:rFonts w:ascii="Times New Roman" w:hAnsi="Times New Roman"/>
          <w:color w:val="auto"/>
          <w:sz w:val="22"/>
        </w:rPr>
      </w:pPr>
      <w:r>
        <w:rPr>
          <w:rFonts w:ascii="Times New Roman" w:hAnsi="Times New Roman"/>
          <w:color w:val="auto"/>
          <w:sz w:val="22"/>
        </w:rPr>
        <w:lastRenderedPageBreak/>
        <w:t xml:space="preserve">Method for establishing the interest rate; </w:t>
      </w:r>
    </w:p>
    <w:p w:rsidR="00B77793" w:rsidRDefault="00B77793" w:rsidP="00FA71EE">
      <w:pPr>
        <w:pStyle w:val="Default"/>
        <w:widowControl/>
        <w:numPr>
          <w:ilvl w:val="0"/>
          <w:numId w:val="18"/>
        </w:numPr>
        <w:spacing w:after="240" w:line="271" w:lineRule="atLeast"/>
        <w:jc w:val="both"/>
        <w:rPr>
          <w:rFonts w:ascii="Times New Roman" w:hAnsi="Times New Roman"/>
          <w:color w:val="auto"/>
          <w:sz w:val="22"/>
        </w:rPr>
      </w:pPr>
      <w:r>
        <w:rPr>
          <w:rFonts w:ascii="Times New Roman" w:hAnsi="Times New Roman"/>
          <w:color w:val="auto"/>
          <w:sz w:val="22"/>
        </w:rPr>
        <w:t xml:space="preserve">Estimated final maturity date; </w:t>
      </w:r>
    </w:p>
    <w:p w:rsidR="00B77793" w:rsidRDefault="00B77793" w:rsidP="00FA71EE">
      <w:pPr>
        <w:pStyle w:val="Default"/>
        <w:widowControl/>
        <w:numPr>
          <w:ilvl w:val="0"/>
          <w:numId w:val="18"/>
        </w:numPr>
        <w:spacing w:after="240" w:line="271" w:lineRule="atLeast"/>
        <w:jc w:val="both"/>
        <w:rPr>
          <w:rFonts w:ascii="Times New Roman" w:hAnsi="Times New Roman"/>
          <w:color w:val="auto"/>
          <w:sz w:val="22"/>
        </w:rPr>
      </w:pPr>
      <w:r>
        <w:rPr>
          <w:rFonts w:ascii="Times New Roman" w:hAnsi="Times New Roman"/>
          <w:color w:val="auto"/>
          <w:sz w:val="22"/>
        </w:rPr>
        <w:t>Source of payment and security, including lien structure and TIFIA credit instrument priority;</w:t>
      </w:r>
    </w:p>
    <w:p w:rsidR="00B77793" w:rsidRDefault="00B77793" w:rsidP="00FA71EE">
      <w:pPr>
        <w:pStyle w:val="Default"/>
        <w:widowControl/>
        <w:numPr>
          <w:ilvl w:val="0"/>
          <w:numId w:val="18"/>
        </w:numPr>
        <w:spacing w:after="240" w:line="271" w:lineRule="atLeast"/>
        <w:jc w:val="both"/>
        <w:rPr>
          <w:rFonts w:ascii="Times New Roman" w:hAnsi="Times New Roman"/>
          <w:color w:val="auto"/>
          <w:sz w:val="22"/>
        </w:rPr>
      </w:pPr>
      <w:r>
        <w:rPr>
          <w:rFonts w:ascii="Times New Roman" w:hAnsi="Times New Roman"/>
          <w:color w:val="auto"/>
          <w:sz w:val="22"/>
        </w:rPr>
        <w:t>Requirement to reimburse the DOT for credit processing fees</w:t>
      </w:r>
      <w:r w:rsidR="00BC7C0A">
        <w:rPr>
          <w:rFonts w:ascii="Times New Roman" w:hAnsi="Times New Roman"/>
          <w:color w:val="auto"/>
          <w:sz w:val="22"/>
        </w:rPr>
        <w:t>;</w:t>
      </w:r>
      <w:r>
        <w:rPr>
          <w:rFonts w:ascii="Times New Roman" w:hAnsi="Times New Roman"/>
          <w:color w:val="auto"/>
          <w:sz w:val="22"/>
        </w:rPr>
        <w:t xml:space="preserve"> </w:t>
      </w:r>
    </w:p>
    <w:p w:rsidR="00B77793" w:rsidRDefault="00B77793" w:rsidP="00FA71EE">
      <w:pPr>
        <w:pStyle w:val="Default"/>
        <w:widowControl/>
        <w:numPr>
          <w:ilvl w:val="0"/>
          <w:numId w:val="18"/>
        </w:numPr>
        <w:spacing w:after="240" w:line="271" w:lineRule="atLeast"/>
        <w:jc w:val="both"/>
        <w:rPr>
          <w:rFonts w:ascii="Times New Roman" w:hAnsi="Times New Roman"/>
          <w:color w:val="auto"/>
          <w:sz w:val="22"/>
        </w:rPr>
      </w:pPr>
      <w:r>
        <w:rPr>
          <w:rFonts w:ascii="Times New Roman" w:hAnsi="Times New Roman"/>
          <w:color w:val="auto"/>
          <w:sz w:val="22"/>
        </w:rPr>
        <w:t>Conditions, if applicable, for execution of a credit agreement; and</w:t>
      </w:r>
    </w:p>
    <w:p w:rsidR="00B77793" w:rsidRDefault="00B77793" w:rsidP="00FA71EE">
      <w:pPr>
        <w:pStyle w:val="Default"/>
        <w:widowControl/>
        <w:numPr>
          <w:ilvl w:val="0"/>
          <w:numId w:val="18"/>
        </w:numPr>
        <w:spacing w:after="240" w:line="271" w:lineRule="atLeast"/>
        <w:jc w:val="both"/>
        <w:rPr>
          <w:rFonts w:ascii="Times New Roman" w:hAnsi="Times New Roman"/>
          <w:color w:val="auto"/>
          <w:sz w:val="22"/>
        </w:rPr>
      </w:pPr>
      <w:r>
        <w:rPr>
          <w:rFonts w:ascii="Times New Roman" w:hAnsi="Times New Roman"/>
          <w:color w:val="auto"/>
          <w:sz w:val="22"/>
        </w:rPr>
        <w:t xml:space="preserve">Covenants such as limitations on additional bonds, minimum coverage ratios, and any required reserve funds.  </w:t>
      </w:r>
    </w:p>
    <w:p w:rsidR="00B77793" w:rsidRDefault="00B77793">
      <w:pPr>
        <w:pStyle w:val="TIFIAHeading1a"/>
        <w:widowControl/>
        <w:spacing w:before="0"/>
        <w:jc w:val="both"/>
        <w:outlineLvl w:val="0"/>
      </w:pPr>
      <w:r>
        <w:t xml:space="preserve">Section 6-2 </w:t>
      </w:r>
    </w:p>
    <w:p w:rsidR="00B77793" w:rsidRDefault="00B77793" w:rsidP="00FA71EE">
      <w:pPr>
        <w:pStyle w:val="CM11"/>
        <w:widowControl/>
        <w:spacing w:after="240" w:line="271" w:lineRule="atLeast"/>
        <w:jc w:val="both"/>
        <w:outlineLvl w:val="0"/>
        <w:rPr>
          <w:b/>
        </w:rPr>
      </w:pPr>
      <w:r>
        <w:rPr>
          <w:b/>
        </w:rPr>
        <w:t>Credit Agreement</w:t>
      </w:r>
    </w:p>
    <w:p w:rsidR="00B77793" w:rsidRDefault="00B77793" w:rsidP="00FA71EE">
      <w:pPr>
        <w:pStyle w:val="CM11"/>
        <w:widowControl/>
        <w:spacing w:after="240" w:line="271" w:lineRule="atLeast"/>
        <w:jc w:val="both"/>
        <w:rPr>
          <w:rFonts w:ascii="Times New Roman" w:hAnsi="Times New Roman"/>
          <w:sz w:val="22"/>
        </w:rPr>
      </w:pPr>
      <w:r>
        <w:rPr>
          <w:rFonts w:ascii="Times New Roman" w:hAnsi="Times New Roman"/>
          <w:sz w:val="22"/>
        </w:rPr>
        <w:t xml:space="preserve">The credit agreement is the definitive agreement between the DOT and the borrower (and the guaranteed lender, if applicable).  It specifies all terms and conditions of the credit assistance and authorizes the disbursement of TIFIA credit assistance to the project.  </w:t>
      </w:r>
    </w:p>
    <w:p w:rsidR="00B77793" w:rsidRDefault="00B77793" w:rsidP="00FA71EE">
      <w:pPr>
        <w:pStyle w:val="CM11"/>
        <w:widowControl/>
        <w:spacing w:after="240" w:line="271" w:lineRule="atLeast"/>
        <w:jc w:val="both"/>
        <w:outlineLvl w:val="0"/>
        <w:rPr>
          <w:sz w:val="22"/>
        </w:rPr>
      </w:pPr>
      <w:r>
        <w:rPr>
          <w:b/>
          <w:sz w:val="22"/>
        </w:rPr>
        <w:t xml:space="preserve">Credit Agreement Prerequisites </w:t>
      </w:r>
    </w:p>
    <w:p w:rsidR="00B77793" w:rsidRDefault="00B77793" w:rsidP="00FA71EE">
      <w:pPr>
        <w:pStyle w:val="CM11"/>
        <w:widowControl/>
        <w:spacing w:after="240" w:line="271" w:lineRule="atLeast"/>
        <w:jc w:val="both"/>
        <w:rPr>
          <w:rFonts w:ascii="Times New Roman" w:hAnsi="Times New Roman"/>
          <w:sz w:val="22"/>
        </w:rPr>
      </w:pPr>
      <w:r>
        <w:rPr>
          <w:rFonts w:ascii="Times New Roman" w:hAnsi="Times New Roman"/>
          <w:sz w:val="22"/>
        </w:rPr>
        <w:t xml:space="preserve">In order for the DOT to execute the credit agreement and disburse funds, the borrower must satisfy at a minimum any requirements set forth in the term sheet.  Also, the borrower must have </w:t>
      </w:r>
      <w:r w:rsidR="00272A18">
        <w:rPr>
          <w:rFonts w:ascii="Times New Roman" w:hAnsi="Times New Roman"/>
          <w:sz w:val="22"/>
        </w:rPr>
        <w:t xml:space="preserve">two </w:t>
      </w:r>
      <w:r>
        <w:rPr>
          <w:rFonts w:ascii="Times New Roman" w:hAnsi="Times New Roman"/>
          <w:sz w:val="22"/>
        </w:rPr>
        <w:t>investment grade rating</w:t>
      </w:r>
      <w:r w:rsidR="00272A18">
        <w:rPr>
          <w:rFonts w:ascii="Times New Roman" w:hAnsi="Times New Roman"/>
          <w:sz w:val="22"/>
        </w:rPr>
        <w:t>s</w:t>
      </w:r>
      <w:r>
        <w:rPr>
          <w:rFonts w:ascii="Times New Roman" w:hAnsi="Times New Roman"/>
          <w:sz w:val="22"/>
        </w:rPr>
        <w:t xml:space="preserve"> on the senior debt obligations and </w:t>
      </w:r>
      <w:r w:rsidR="00272A18">
        <w:rPr>
          <w:rFonts w:ascii="Times New Roman" w:hAnsi="Times New Roman"/>
          <w:sz w:val="22"/>
        </w:rPr>
        <w:t xml:space="preserve">two </w:t>
      </w:r>
      <w:r>
        <w:rPr>
          <w:rFonts w:ascii="Times New Roman" w:hAnsi="Times New Roman"/>
          <w:sz w:val="22"/>
        </w:rPr>
        <w:t>rating</w:t>
      </w:r>
      <w:r w:rsidR="00272A18">
        <w:rPr>
          <w:rFonts w:ascii="Times New Roman" w:hAnsi="Times New Roman"/>
          <w:sz w:val="22"/>
        </w:rPr>
        <w:t>s</w:t>
      </w:r>
      <w:r>
        <w:rPr>
          <w:rFonts w:ascii="Times New Roman" w:hAnsi="Times New Roman"/>
          <w:sz w:val="22"/>
        </w:rPr>
        <w:t xml:space="preserve"> on the TIFIA credit instrument, as described in Chapter 3.  If the TIFIA debt is intended to be the senior debt, it must receive </w:t>
      </w:r>
      <w:r w:rsidR="00272A18">
        <w:rPr>
          <w:rFonts w:ascii="Times New Roman" w:hAnsi="Times New Roman"/>
          <w:sz w:val="22"/>
        </w:rPr>
        <w:t xml:space="preserve">two </w:t>
      </w:r>
      <w:r>
        <w:rPr>
          <w:rFonts w:ascii="Times New Roman" w:hAnsi="Times New Roman"/>
          <w:sz w:val="22"/>
        </w:rPr>
        <w:t>investment grade rating</w:t>
      </w:r>
      <w:r w:rsidR="00272A18">
        <w:rPr>
          <w:rFonts w:ascii="Times New Roman" w:hAnsi="Times New Roman"/>
          <w:sz w:val="22"/>
        </w:rPr>
        <w:t>s</w:t>
      </w:r>
      <w:r>
        <w:rPr>
          <w:rFonts w:ascii="Times New Roman" w:hAnsi="Times New Roman"/>
          <w:sz w:val="22"/>
        </w:rPr>
        <w:t xml:space="preserve">.  </w:t>
      </w:r>
    </w:p>
    <w:p w:rsidR="00B77793" w:rsidRDefault="00B77793" w:rsidP="00FA71EE">
      <w:pPr>
        <w:pStyle w:val="Default"/>
        <w:widowControl/>
        <w:spacing w:after="240" w:line="271" w:lineRule="atLeast"/>
        <w:ind w:right="68"/>
        <w:jc w:val="both"/>
        <w:rPr>
          <w:rFonts w:ascii="Times New Roman" w:hAnsi="Times New Roman"/>
          <w:color w:val="auto"/>
          <w:sz w:val="22"/>
        </w:rPr>
      </w:pPr>
      <w:r>
        <w:rPr>
          <w:rFonts w:ascii="Times New Roman" w:hAnsi="Times New Roman"/>
          <w:color w:val="auto"/>
          <w:sz w:val="22"/>
        </w:rPr>
        <w:t xml:space="preserve">Prior to closing a TIFIA credit agreement, the borrower will be required to submit updates to both the financial plan and project management and monitoring plan. </w:t>
      </w:r>
    </w:p>
    <w:p w:rsidR="00B77793" w:rsidRDefault="00B77793" w:rsidP="00FA71EE">
      <w:pPr>
        <w:pStyle w:val="CM11"/>
        <w:widowControl/>
        <w:spacing w:after="240" w:line="271" w:lineRule="atLeast"/>
        <w:jc w:val="both"/>
        <w:rPr>
          <w:rFonts w:ascii="Times New Roman" w:hAnsi="Times New Roman"/>
          <w:sz w:val="22"/>
        </w:rPr>
      </w:pPr>
      <w:r>
        <w:rPr>
          <w:rFonts w:ascii="Times New Roman" w:hAnsi="Times New Roman"/>
          <w:sz w:val="22"/>
        </w:rPr>
        <w:t>The DOT reserves the right to review and, as appropriate, approve all related project documents, including, but not limited to design-build contracts, concession agreements, development agreements, financing agreements, and funding agreements with third parties.</w:t>
      </w:r>
    </w:p>
    <w:p w:rsidR="00B77793" w:rsidRDefault="00B77793" w:rsidP="00FA71EE">
      <w:pPr>
        <w:pStyle w:val="CM11"/>
        <w:widowControl/>
        <w:spacing w:after="240" w:line="271" w:lineRule="atLeast"/>
        <w:jc w:val="both"/>
        <w:outlineLvl w:val="0"/>
        <w:rPr>
          <w:sz w:val="22"/>
        </w:rPr>
      </w:pPr>
      <w:r>
        <w:rPr>
          <w:b/>
          <w:sz w:val="22"/>
        </w:rPr>
        <w:t xml:space="preserve">Credit Agreement Contents </w:t>
      </w:r>
    </w:p>
    <w:p w:rsidR="00B77793" w:rsidRDefault="00B77793" w:rsidP="00FA71EE">
      <w:pPr>
        <w:pStyle w:val="CM11"/>
        <w:widowControl/>
        <w:spacing w:after="240" w:line="271" w:lineRule="atLeast"/>
        <w:jc w:val="both"/>
        <w:rPr>
          <w:rFonts w:ascii="Times New Roman" w:hAnsi="Times New Roman"/>
          <w:sz w:val="22"/>
        </w:rPr>
      </w:pPr>
      <w:r>
        <w:rPr>
          <w:rFonts w:ascii="Times New Roman" w:hAnsi="Times New Roman"/>
          <w:sz w:val="22"/>
        </w:rPr>
        <w:t xml:space="preserve">The contents of the credit agreement will include both standard provisions and transaction-specific provisions.  The borrower and the DOT will execute the credit agreement for a secured loan or line of credit; the guaranteed lender, the DOT, and the borrower will execute the </w:t>
      </w:r>
      <w:r w:rsidR="00FE6385">
        <w:rPr>
          <w:rFonts w:ascii="Times New Roman" w:hAnsi="Times New Roman"/>
          <w:sz w:val="22"/>
        </w:rPr>
        <w:t xml:space="preserve">loan guarantee </w:t>
      </w:r>
      <w:r>
        <w:rPr>
          <w:rFonts w:ascii="Times New Roman" w:hAnsi="Times New Roman"/>
          <w:sz w:val="22"/>
        </w:rPr>
        <w:t>agreement</w:t>
      </w:r>
      <w:r w:rsidR="00600FB1">
        <w:rPr>
          <w:rFonts w:ascii="Times New Roman" w:hAnsi="Times New Roman"/>
          <w:sz w:val="22"/>
        </w:rPr>
        <w:t xml:space="preserve"> or instrument</w:t>
      </w:r>
      <w:r>
        <w:rPr>
          <w:rFonts w:ascii="Times New Roman" w:hAnsi="Times New Roman"/>
          <w:sz w:val="22"/>
        </w:rPr>
        <w:t xml:space="preserve"> for a loan guarantee.  Additionally, </w:t>
      </w:r>
      <w:r w:rsidR="00F56944">
        <w:rPr>
          <w:rFonts w:ascii="Times New Roman" w:hAnsi="Times New Roman"/>
          <w:sz w:val="22"/>
        </w:rPr>
        <w:t xml:space="preserve">for a loan guarantee, </w:t>
      </w:r>
      <w:r>
        <w:rPr>
          <w:rFonts w:ascii="Times New Roman" w:hAnsi="Times New Roman"/>
          <w:sz w:val="22"/>
        </w:rPr>
        <w:t xml:space="preserve">the guaranteed lender will execute a separate loan agreement with the borrower, and the borrower will execute a borrower’s certificate, compliance, and loan agreement with the DOT.  Depending on the nature of the transaction, additional documents, such as an </w:t>
      </w:r>
      <w:proofErr w:type="spellStart"/>
      <w:r>
        <w:rPr>
          <w:rFonts w:ascii="Times New Roman" w:hAnsi="Times New Roman"/>
          <w:sz w:val="22"/>
        </w:rPr>
        <w:t>intercreditor</w:t>
      </w:r>
      <w:proofErr w:type="spellEnd"/>
      <w:r>
        <w:rPr>
          <w:rFonts w:ascii="Times New Roman" w:hAnsi="Times New Roman"/>
          <w:sz w:val="22"/>
        </w:rPr>
        <w:t xml:space="preserve"> agreement, may also be necessary.  The DOT </w:t>
      </w:r>
      <w:r w:rsidR="00F56944">
        <w:rPr>
          <w:rFonts w:ascii="Times New Roman" w:hAnsi="Times New Roman"/>
          <w:sz w:val="22"/>
        </w:rPr>
        <w:t xml:space="preserve">will </w:t>
      </w:r>
      <w:r>
        <w:rPr>
          <w:rFonts w:ascii="Times New Roman" w:hAnsi="Times New Roman"/>
          <w:sz w:val="22"/>
        </w:rPr>
        <w:t xml:space="preserve">require the borrower to provide copies of the bond documents and other agreements material to the flow of funds or </w:t>
      </w:r>
      <w:r>
        <w:rPr>
          <w:rFonts w:ascii="Times New Roman" w:hAnsi="Times New Roman"/>
          <w:sz w:val="22"/>
        </w:rPr>
        <w:lastRenderedPageBreak/>
        <w:t>to DOT’s security for its review</w:t>
      </w:r>
      <w:r w:rsidR="002F3550">
        <w:rPr>
          <w:rFonts w:ascii="Times New Roman" w:hAnsi="Times New Roman"/>
          <w:sz w:val="22"/>
        </w:rPr>
        <w:t xml:space="preserve"> of the project’s creditworthiness</w:t>
      </w:r>
      <w:r>
        <w:rPr>
          <w:rFonts w:ascii="Times New Roman" w:hAnsi="Times New Roman"/>
          <w:sz w:val="22"/>
        </w:rPr>
        <w:t>.</w:t>
      </w:r>
      <w:r w:rsidR="002F3550">
        <w:rPr>
          <w:rStyle w:val="FootnoteReference"/>
          <w:rFonts w:ascii="Times New Roman" w:hAnsi="Times New Roman"/>
        </w:rPr>
        <w:footnoteReference w:id="184"/>
      </w:r>
      <w:r>
        <w:rPr>
          <w:rFonts w:ascii="Times New Roman" w:hAnsi="Times New Roman"/>
          <w:sz w:val="22"/>
        </w:rPr>
        <w:t xml:space="preserve">  The DOT </w:t>
      </w:r>
      <w:r w:rsidR="002F3550">
        <w:rPr>
          <w:rFonts w:ascii="Times New Roman" w:hAnsi="Times New Roman"/>
          <w:sz w:val="22"/>
        </w:rPr>
        <w:t xml:space="preserve">may </w:t>
      </w:r>
      <w:r>
        <w:rPr>
          <w:rFonts w:ascii="Times New Roman" w:hAnsi="Times New Roman"/>
          <w:sz w:val="22"/>
        </w:rPr>
        <w:t xml:space="preserve">also review any disclosure with respect to the TIFIA transaction </w:t>
      </w:r>
      <w:r w:rsidR="002F3550">
        <w:rPr>
          <w:rFonts w:ascii="Times New Roman" w:hAnsi="Times New Roman"/>
          <w:sz w:val="22"/>
        </w:rPr>
        <w:t>that</w:t>
      </w:r>
      <w:r>
        <w:rPr>
          <w:rFonts w:ascii="Times New Roman" w:hAnsi="Times New Roman"/>
          <w:sz w:val="22"/>
        </w:rPr>
        <w:t xml:space="preserve"> the borrower includes in offering documents. </w:t>
      </w:r>
    </w:p>
    <w:p w:rsidR="00B77793" w:rsidRDefault="00B77793" w:rsidP="00FA71EE">
      <w:pPr>
        <w:pStyle w:val="CM11"/>
        <w:widowControl/>
        <w:spacing w:after="240" w:line="271" w:lineRule="atLeast"/>
        <w:jc w:val="both"/>
        <w:rPr>
          <w:rFonts w:ascii="Times New Roman" w:hAnsi="Times New Roman"/>
          <w:sz w:val="22"/>
        </w:rPr>
      </w:pPr>
      <w:r>
        <w:rPr>
          <w:rFonts w:ascii="Times New Roman" w:hAnsi="Times New Roman"/>
          <w:sz w:val="22"/>
        </w:rPr>
        <w:t xml:space="preserve">Generally, borrowers can expect credit agreements to include, in addition to the items listed under “Term Sheet Contents,” the following: </w:t>
      </w:r>
    </w:p>
    <w:p w:rsidR="00B77793" w:rsidRDefault="00B77793" w:rsidP="00A436C0">
      <w:pPr>
        <w:pStyle w:val="Default"/>
        <w:widowControl/>
        <w:numPr>
          <w:ilvl w:val="0"/>
          <w:numId w:val="19"/>
        </w:numPr>
        <w:spacing w:after="240" w:line="271" w:lineRule="atLeast"/>
        <w:jc w:val="both"/>
        <w:rPr>
          <w:rFonts w:ascii="Times New Roman" w:hAnsi="Times New Roman"/>
          <w:color w:val="auto"/>
          <w:sz w:val="22"/>
        </w:rPr>
      </w:pPr>
      <w:r>
        <w:rPr>
          <w:rFonts w:ascii="Times New Roman" w:hAnsi="Times New Roman"/>
          <w:color w:val="auto"/>
          <w:sz w:val="22"/>
        </w:rPr>
        <w:t xml:space="preserve">Security features and additional terms; </w:t>
      </w:r>
    </w:p>
    <w:p w:rsidR="00B77793" w:rsidRDefault="00B77793" w:rsidP="00A436C0">
      <w:pPr>
        <w:pStyle w:val="Default"/>
        <w:widowControl/>
        <w:numPr>
          <w:ilvl w:val="0"/>
          <w:numId w:val="19"/>
        </w:numPr>
        <w:spacing w:after="240" w:line="271" w:lineRule="atLeast"/>
        <w:jc w:val="both"/>
        <w:rPr>
          <w:rFonts w:ascii="Times New Roman" w:hAnsi="Times New Roman"/>
          <w:color w:val="auto"/>
          <w:sz w:val="22"/>
        </w:rPr>
      </w:pPr>
      <w:r>
        <w:rPr>
          <w:rFonts w:ascii="Times New Roman" w:hAnsi="Times New Roman"/>
          <w:color w:val="auto"/>
          <w:sz w:val="22"/>
        </w:rPr>
        <w:t>Detailed description of pledged security (</w:t>
      </w:r>
      <w:r>
        <w:rPr>
          <w:rFonts w:ascii="Times New Roman" w:hAnsi="Times New Roman"/>
          <w:i/>
          <w:color w:val="auto"/>
          <w:sz w:val="22"/>
        </w:rPr>
        <w:t>e.g</w:t>
      </w:r>
      <w:r>
        <w:rPr>
          <w:rFonts w:ascii="Times New Roman" w:hAnsi="Times New Roman"/>
          <w:color w:val="auto"/>
          <w:sz w:val="22"/>
        </w:rPr>
        <w:t xml:space="preserve">., rate covenants); </w:t>
      </w:r>
    </w:p>
    <w:p w:rsidR="00B77793" w:rsidRDefault="00B77793" w:rsidP="00A436C0">
      <w:pPr>
        <w:pStyle w:val="Default"/>
        <w:widowControl/>
        <w:numPr>
          <w:ilvl w:val="0"/>
          <w:numId w:val="19"/>
        </w:numPr>
        <w:spacing w:after="240" w:line="271" w:lineRule="atLeast"/>
        <w:jc w:val="both"/>
        <w:rPr>
          <w:rFonts w:ascii="Times New Roman" w:hAnsi="Times New Roman"/>
          <w:color w:val="auto"/>
          <w:sz w:val="22"/>
        </w:rPr>
      </w:pPr>
      <w:r>
        <w:rPr>
          <w:rFonts w:ascii="Times New Roman" w:hAnsi="Times New Roman"/>
          <w:color w:val="auto"/>
          <w:sz w:val="22"/>
        </w:rPr>
        <w:t xml:space="preserve">Flow of funds; </w:t>
      </w:r>
    </w:p>
    <w:p w:rsidR="00B77793" w:rsidRDefault="00B77793" w:rsidP="00A436C0">
      <w:pPr>
        <w:pStyle w:val="Default"/>
        <w:widowControl/>
        <w:numPr>
          <w:ilvl w:val="0"/>
          <w:numId w:val="19"/>
        </w:numPr>
        <w:spacing w:after="240" w:line="271" w:lineRule="atLeast"/>
        <w:jc w:val="both"/>
        <w:rPr>
          <w:rFonts w:ascii="Times New Roman" w:hAnsi="Times New Roman"/>
          <w:color w:val="auto"/>
          <w:sz w:val="22"/>
        </w:rPr>
      </w:pPr>
      <w:r>
        <w:rPr>
          <w:rFonts w:ascii="Times New Roman" w:hAnsi="Times New Roman"/>
          <w:color w:val="auto"/>
          <w:sz w:val="22"/>
        </w:rPr>
        <w:t xml:space="preserve">Repayment terms, including amortization schedule and final maturity; </w:t>
      </w:r>
    </w:p>
    <w:p w:rsidR="00B77793" w:rsidRDefault="00B77793" w:rsidP="00A436C0">
      <w:pPr>
        <w:pStyle w:val="Default"/>
        <w:widowControl/>
        <w:numPr>
          <w:ilvl w:val="0"/>
          <w:numId w:val="19"/>
        </w:numPr>
        <w:spacing w:after="240" w:line="271" w:lineRule="atLeast"/>
        <w:jc w:val="both"/>
        <w:rPr>
          <w:rFonts w:ascii="Times New Roman" w:hAnsi="Times New Roman"/>
          <w:color w:val="auto"/>
          <w:sz w:val="22"/>
        </w:rPr>
      </w:pPr>
      <w:r>
        <w:rPr>
          <w:rFonts w:ascii="Times New Roman" w:hAnsi="Times New Roman"/>
          <w:color w:val="auto"/>
          <w:sz w:val="22"/>
        </w:rPr>
        <w:t xml:space="preserve">Representations and warranties; </w:t>
      </w:r>
    </w:p>
    <w:p w:rsidR="00B77793" w:rsidRDefault="00B77793" w:rsidP="00A436C0">
      <w:pPr>
        <w:pStyle w:val="Default"/>
        <w:widowControl/>
        <w:numPr>
          <w:ilvl w:val="0"/>
          <w:numId w:val="19"/>
        </w:numPr>
        <w:spacing w:after="240" w:line="271" w:lineRule="atLeast"/>
        <w:jc w:val="both"/>
        <w:rPr>
          <w:rFonts w:ascii="Times New Roman" w:hAnsi="Times New Roman"/>
          <w:color w:val="auto"/>
          <w:sz w:val="22"/>
        </w:rPr>
      </w:pPr>
      <w:r>
        <w:rPr>
          <w:rFonts w:ascii="Times New Roman" w:hAnsi="Times New Roman"/>
          <w:color w:val="auto"/>
          <w:sz w:val="22"/>
        </w:rPr>
        <w:t xml:space="preserve">Borrower covenants; </w:t>
      </w:r>
    </w:p>
    <w:p w:rsidR="00B77793" w:rsidRDefault="00B77793" w:rsidP="00A436C0">
      <w:pPr>
        <w:pStyle w:val="Default"/>
        <w:widowControl/>
        <w:numPr>
          <w:ilvl w:val="0"/>
          <w:numId w:val="19"/>
        </w:numPr>
        <w:spacing w:after="240" w:line="271" w:lineRule="atLeast"/>
        <w:jc w:val="both"/>
        <w:rPr>
          <w:rFonts w:ascii="Times New Roman" w:hAnsi="Times New Roman"/>
          <w:color w:val="auto"/>
          <w:sz w:val="22"/>
        </w:rPr>
      </w:pPr>
      <w:r>
        <w:rPr>
          <w:rFonts w:ascii="Times New Roman" w:hAnsi="Times New Roman"/>
          <w:color w:val="auto"/>
          <w:sz w:val="22"/>
        </w:rPr>
        <w:t xml:space="preserve">Annual disbursement schedule and conditions for draws; </w:t>
      </w:r>
    </w:p>
    <w:p w:rsidR="00B77793" w:rsidRDefault="00B77793" w:rsidP="00A436C0">
      <w:pPr>
        <w:pStyle w:val="Default"/>
        <w:widowControl/>
        <w:numPr>
          <w:ilvl w:val="0"/>
          <w:numId w:val="19"/>
        </w:numPr>
        <w:spacing w:after="240" w:line="271" w:lineRule="atLeast"/>
        <w:jc w:val="both"/>
        <w:rPr>
          <w:rFonts w:ascii="Times New Roman" w:hAnsi="Times New Roman"/>
          <w:color w:val="auto"/>
          <w:sz w:val="22"/>
        </w:rPr>
      </w:pPr>
      <w:r>
        <w:rPr>
          <w:rFonts w:ascii="Times New Roman" w:hAnsi="Times New Roman"/>
          <w:color w:val="auto"/>
          <w:sz w:val="22"/>
        </w:rPr>
        <w:t xml:space="preserve">Financial plan requirements; and </w:t>
      </w:r>
    </w:p>
    <w:p w:rsidR="00B77793" w:rsidRDefault="00B77793" w:rsidP="00A436C0">
      <w:pPr>
        <w:pStyle w:val="Default"/>
        <w:widowControl/>
        <w:numPr>
          <w:ilvl w:val="0"/>
          <w:numId w:val="19"/>
        </w:numPr>
        <w:spacing w:after="240" w:line="271" w:lineRule="atLeast"/>
        <w:jc w:val="both"/>
        <w:rPr>
          <w:rFonts w:ascii="Times New Roman" w:hAnsi="Times New Roman"/>
          <w:color w:val="auto"/>
          <w:sz w:val="22"/>
        </w:rPr>
      </w:pPr>
      <w:r>
        <w:rPr>
          <w:rFonts w:ascii="Times New Roman" w:hAnsi="Times New Roman"/>
          <w:color w:val="auto"/>
          <w:sz w:val="22"/>
        </w:rPr>
        <w:t xml:space="preserve">Monitoring and reporting requirements.  </w:t>
      </w:r>
    </w:p>
    <w:p w:rsidR="00B77793" w:rsidRDefault="00B77793" w:rsidP="00A436C0">
      <w:pPr>
        <w:pStyle w:val="CM12"/>
        <w:widowControl/>
        <w:spacing w:after="240" w:line="271" w:lineRule="atLeast"/>
        <w:jc w:val="both"/>
        <w:rPr>
          <w:rFonts w:ascii="Times New Roman" w:hAnsi="Times New Roman"/>
          <w:sz w:val="22"/>
        </w:rPr>
      </w:pPr>
      <w:r>
        <w:rPr>
          <w:rFonts w:ascii="Times New Roman" w:hAnsi="Times New Roman"/>
          <w:sz w:val="22"/>
        </w:rPr>
        <w:t xml:space="preserve">The credit agreement will also include the form of requisition for disbursements and the </w:t>
      </w:r>
      <w:r w:rsidR="002F3550">
        <w:rPr>
          <w:rFonts w:ascii="Times New Roman" w:hAnsi="Times New Roman"/>
          <w:sz w:val="22"/>
        </w:rPr>
        <w:t xml:space="preserve">form of </w:t>
      </w:r>
      <w:r>
        <w:rPr>
          <w:rFonts w:ascii="Times New Roman" w:hAnsi="Times New Roman"/>
          <w:sz w:val="22"/>
        </w:rPr>
        <w:t xml:space="preserve">note. </w:t>
      </w:r>
      <w:r w:rsidR="002F3550">
        <w:rPr>
          <w:rFonts w:ascii="Times New Roman" w:hAnsi="Times New Roman"/>
          <w:sz w:val="22"/>
        </w:rPr>
        <w:t xml:space="preserve"> </w:t>
      </w:r>
      <w:r w:rsidR="002F3550" w:rsidRPr="002F3550">
        <w:rPr>
          <w:rFonts w:ascii="Times New Roman" w:hAnsi="Times New Roman"/>
          <w:sz w:val="22"/>
        </w:rPr>
        <w:t xml:space="preserve">Each borrower under a TIFIA secured loan </w:t>
      </w:r>
      <w:r w:rsidR="002F3550">
        <w:rPr>
          <w:rFonts w:ascii="Times New Roman" w:hAnsi="Times New Roman"/>
          <w:sz w:val="22"/>
        </w:rPr>
        <w:t xml:space="preserve">agreement </w:t>
      </w:r>
      <w:r w:rsidR="002F3550" w:rsidRPr="002F3550">
        <w:rPr>
          <w:rFonts w:ascii="Times New Roman" w:hAnsi="Times New Roman"/>
          <w:sz w:val="22"/>
        </w:rPr>
        <w:t>executes a note evidencing the obligation to repay the loan.</w:t>
      </w:r>
    </w:p>
    <w:p w:rsidR="00B77793" w:rsidRDefault="00B77793">
      <w:pPr>
        <w:pStyle w:val="TIFIAHeading1a"/>
        <w:widowControl/>
        <w:spacing w:before="0"/>
        <w:outlineLvl w:val="0"/>
      </w:pPr>
      <w:r>
        <w:t>Section 6-3</w:t>
      </w:r>
    </w:p>
    <w:p w:rsidR="00B77793" w:rsidRDefault="00B77793" w:rsidP="00FA71EE">
      <w:pPr>
        <w:pStyle w:val="CM1"/>
        <w:widowControl/>
        <w:spacing w:after="240"/>
        <w:jc w:val="both"/>
        <w:outlineLvl w:val="0"/>
        <w:rPr>
          <w:b/>
        </w:rPr>
      </w:pPr>
      <w:r>
        <w:rPr>
          <w:b/>
        </w:rPr>
        <w:t>Closing Activities</w:t>
      </w:r>
    </w:p>
    <w:p w:rsidR="00B77793" w:rsidRDefault="00B77793" w:rsidP="00A436C0">
      <w:pPr>
        <w:pStyle w:val="CM1"/>
        <w:widowControl/>
        <w:spacing w:after="240"/>
        <w:jc w:val="both"/>
        <w:rPr>
          <w:rFonts w:ascii="Times New Roman" w:hAnsi="Times New Roman"/>
          <w:sz w:val="22"/>
        </w:rPr>
      </w:pPr>
      <w:r>
        <w:rPr>
          <w:rFonts w:ascii="Times New Roman" w:hAnsi="Times New Roman"/>
          <w:sz w:val="22"/>
        </w:rPr>
        <w:t xml:space="preserve">When the parties to the transaction have completed negotiations and finalized the TIFIA credit agreement and other related financing documents, the pre-closing and closing occur.  This process is very similar to a bond transaction closing. </w:t>
      </w:r>
    </w:p>
    <w:p w:rsidR="00B77793" w:rsidRDefault="00B77793" w:rsidP="00A436C0">
      <w:pPr>
        <w:pStyle w:val="CM1"/>
        <w:widowControl/>
        <w:spacing w:after="240"/>
        <w:jc w:val="both"/>
        <w:rPr>
          <w:rFonts w:ascii="Times New Roman" w:hAnsi="Times New Roman"/>
          <w:sz w:val="22"/>
        </w:rPr>
      </w:pPr>
      <w:r>
        <w:rPr>
          <w:rFonts w:ascii="Times New Roman" w:hAnsi="Times New Roman"/>
          <w:sz w:val="22"/>
        </w:rPr>
        <w:t xml:space="preserve">At closing, authorized representatives of the borrower, the DOT, and the guaranteed lender (if applicable) execute the legal documents.  Documents requiring execution by persons not attending the closing are signed in advance.  Copies of the agreements are made and distributed to the appropriate parties.  The timing of the TIFIA closing is typically tied to the closing of the senior financing.  The closing of the senior and TIFIA debt can be simultaneous, but the TIFIA transaction </w:t>
      </w:r>
      <w:r w:rsidR="000728F8">
        <w:rPr>
          <w:rFonts w:ascii="Times New Roman" w:hAnsi="Times New Roman"/>
          <w:sz w:val="22"/>
        </w:rPr>
        <w:t>will no</w:t>
      </w:r>
      <w:r>
        <w:rPr>
          <w:rFonts w:ascii="Times New Roman" w:hAnsi="Times New Roman"/>
          <w:sz w:val="22"/>
        </w:rPr>
        <w:t xml:space="preserve">t close until the senior documents have been finalized and execution is within a week of the TIFIA closing.  Standard transaction closing documents are required, including various legal opinions.  A closing memorandum is prepared describing the actions that will take place, including funds disbursement, if </w:t>
      </w:r>
      <w:r>
        <w:rPr>
          <w:rFonts w:ascii="Times New Roman" w:hAnsi="Times New Roman"/>
          <w:sz w:val="22"/>
        </w:rPr>
        <w:lastRenderedPageBreak/>
        <w:t xml:space="preserve">applicable.  This memorandum sets forth in detail the time and place of the closing, conditions precedent, and the required documentation. </w:t>
      </w:r>
    </w:p>
    <w:p w:rsidR="00B77793" w:rsidRDefault="00B77793" w:rsidP="00A436C0">
      <w:pPr>
        <w:pStyle w:val="CM14"/>
        <w:widowControl/>
        <w:spacing w:after="240" w:line="271" w:lineRule="atLeast"/>
        <w:jc w:val="both"/>
        <w:rPr>
          <w:rFonts w:ascii="Times New Roman" w:hAnsi="Times New Roman"/>
          <w:sz w:val="22"/>
        </w:rPr>
      </w:pPr>
      <w:r>
        <w:rPr>
          <w:rFonts w:ascii="Times New Roman" w:hAnsi="Times New Roman"/>
          <w:sz w:val="22"/>
        </w:rPr>
        <w:t xml:space="preserve">Following the closing, a binder is prepared which includes all the legal documents, project selection materials, and other closing documents.  The TIFIA JPO uses this closing binder as the source of project information for accounting, budgeting, and program monitoring systems.  Exhibit 6-B contains a sample checklist for a secured loan closing. </w:t>
      </w:r>
    </w:p>
    <w:p w:rsidR="00B77793" w:rsidRDefault="00B77793">
      <w:pPr>
        <w:pStyle w:val="TIFIATableTitle"/>
        <w:widowControl/>
        <w:spacing w:before="0" w:after="240"/>
        <w:outlineLvl w:val="0"/>
      </w:pPr>
      <w:r>
        <w:t xml:space="preserve">Exhibit 6-B:  Sample Loan Closing Checklist for a Secured Loan </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88"/>
      </w:tblGrid>
      <w:tr w:rsidR="00B77793">
        <w:tc>
          <w:tcPr>
            <w:tcW w:w="8388" w:type="dxa"/>
            <w:tcBorders>
              <w:top w:val="single" w:sz="4" w:space="0" w:color="auto"/>
              <w:bottom w:val="single" w:sz="4" w:space="0" w:color="auto"/>
            </w:tcBorders>
          </w:tcPr>
          <w:p w:rsidR="00B77793" w:rsidRPr="00EC479F" w:rsidRDefault="00B77793">
            <w:pPr>
              <w:widowControl/>
              <w:numPr>
                <w:ilvl w:val="0"/>
                <w:numId w:val="17"/>
              </w:numPr>
              <w:overflowPunct/>
              <w:autoSpaceDE/>
              <w:autoSpaceDN/>
              <w:adjustRightInd/>
              <w:spacing w:before="80" w:after="80" w:line="240" w:lineRule="auto"/>
              <w:jc w:val="both"/>
              <w:textAlignment w:val="auto"/>
              <w:rPr>
                <w:rFonts w:ascii="Times New Roman" w:hAnsi="Times New Roman"/>
                <w:sz w:val="19"/>
              </w:rPr>
            </w:pPr>
            <w:r w:rsidRPr="00EC479F">
              <w:rPr>
                <w:rFonts w:ascii="Times New Roman" w:hAnsi="Times New Roman"/>
                <w:sz w:val="19"/>
              </w:rPr>
              <w:t>Organizational Documents of the Borrower</w:t>
            </w:r>
          </w:p>
          <w:p w:rsidR="00B77793" w:rsidRPr="00EC479F" w:rsidRDefault="00B77793">
            <w:pPr>
              <w:widowControl/>
              <w:spacing w:before="80" w:after="80" w:line="240" w:lineRule="auto"/>
              <w:ind w:left="900"/>
              <w:jc w:val="both"/>
              <w:rPr>
                <w:rFonts w:ascii="Times New Roman" w:hAnsi="Times New Roman"/>
                <w:sz w:val="19"/>
              </w:rPr>
            </w:pPr>
            <w:r w:rsidRPr="00EC479F">
              <w:rPr>
                <w:rFonts w:ascii="Times New Roman" w:hAnsi="Times New Roman"/>
                <w:sz w:val="19"/>
              </w:rPr>
              <w:t xml:space="preserve">If the Borrower is </w:t>
            </w:r>
            <w:r w:rsidR="002478C8">
              <w:rPr>
                <w:rFonts w:ascii="Times New Roman" w:hAnsi="Times New Roman"/>
                <w:sz w:val="19"/>
              </w:rPr>
              <w:t xml:space="preserve">a </w:t>
            </w:r>
            <w:r w:rsidRPr="00EC479F">
              <w:rPr>
                <w:rFonts w:ascii="Times New Roman" w:hAnsi="Times New Roman"/>
                <w:sz w:val="19"/>
              </w:rPr>
              <w:t>public entity:</w:t>
            </w:r>
          </w:p>
          <w:p w:rsidR="00B77793" w:rsidRPr="00EC479F" w:rsidRDefault="00B77793" w:rsidP="003260B6">
            <w:pPr>
              <w:widowControl/>
              <w:numPr>
                <w:ilvl w:val="1"/>
                <w:numId w:val="17"/>
              </w:numPr>
              <w:tabs>
                <w:tab w:val="left" w:pos="1440"/>
              </w:tabs>
              <w:overflowPunct/>
              <w:autoSpaceDE/>
              <w:autoSpaceDN/>
              <w:adjustRightInd/>
              <w:spacing w:before="80" w:after="80" w:line="240" w:lineRule="auto"/>
              <w:jc w:val="both"/>
              <w:textAlignment w:val="auto"/>
              <w:rPr>
                <w:rFonts w:ascii="Times New Roman" w:hAnsi="Times New Roman"/>
                <w:sz w:val="19"/>
              </w:rPr>
            </w:pPr>
            <w:r w:rsidRPr="00EC479F">
              <w:rPr>
                <w:rFonts w:ascii="Times New Roman" w:hAnsi="Times New Roman"/>
                <w:sz w:val="19"/>
              </w:rPr>
              <w:t>Approval resolutions approving project and authorizing official to execute documents</w:t>
            </w:r>
          </w:p>
          <w:p w:rsidR="00B77793" w:rsidRPr="00EC479F" w:rsidRDefault="00B77793">
            <w:pPr>
              <w:widowControl/>
              <w:numPr>
                <w:ilvl w:val="1"/>
                <w:numId w:val="17"/>
              </w:numPr>
              <w:overflowPunct/>
              <w:autoSpaceDE/>
              <w:autoSpaceDN/>
              <w:adjustRightInd/>
              <w:spacing w:before="80" w:after="80" w:line="240" w:lineRule="auto"/>
              <w:jc w:val="both"/>
              <w:textAlignment w:val="auto"/>
              <w:rPr>
                <w:rFonts w:ascii="Times New Roman" w:hAnsi="Times New Roman"/>
                <w:sz w:val="19"/>
              </w:rPr>
            </w:pPr>
            <w:r w:rsidRPr="00EC479F">
              <w:rPr>
                <w:rFonts w:ascii="Times New Roman" w:hAnsi="Times New Roman"/>
                <w:sz w:val="19"/>
              </w:rPr>
              <w:t>Copies of enabling legislation, bylaws, minutes of meetings regarding the project</w:t>
            </w:r>
          </w:p>
          <w:p w:rsidR="00B77793" w:rsidRPr="00EC479F" w:rsidRDefault="00B77793">
            <w:pPr>
              <w:widowControl/>
              <w:spacing w:before="80" w:after="80" w:line="240" w:lineRule="auto"/>
              <w:ind w:left="900"/>
              <w:jc w:val="both"/>
              <w:rPr>
                <w:rFonts w:ascii="Times New Roman" w:hAnsi="Times New Roman"/>
                <w:sz w:val="19"/>
              </w:rPr>
            </w:pPr>
            <w:r w:rsidRPr="00EC479F">
              <w:rPr>
                <w:rFonts w:ascii="Times New Roman" w:hAnsi="Times New Roman"/>
                <w:sz w:val="19"/>
              </w:rPr>
              <w:t xml:space="preserve">If the Borrower is </w:t>
            </w:r>
            <w:r w:rsidR="002478C8">
              <w:rPr>
                <w:rFonts w:ascii="Times New Roman" w:hAnsi="Times New Roman"/>
                <w:sz w:val="19"/>
              </w:rPr>
              <w:t xml:space="preserve">a </w:t>
            </w:r>
            <w:r w:rsidRPr="00EC479F">
              <w:rPr>
                <w:rFonts w:ascii="Times New Roman" w:hAnsi="Times New Roman"/>
                <w:sz w:val="19"/>
              </w:rPr>
              <w:t>private entity:</w:t>
            </w:r>
          </w:p>
          <w:p w:rsidR="00B77793" w:rsidRPr="00EC479F" w:rsidRDefault="00B77793" w:rsidP="00EC479F">
            <w:pPr>
              <w:widowControl/>
              <w:numPr>
                <w:ilvl w:val="0"/>
                <w:numId w:val="29"/>
              </w:numPr>
              <w:overflowPunct/>
              <w:autoSpaceDE/>
              <w:autoSpaceDN/>
              <w:adjustRightInd/>
              <w:spacing w:before="80" w:after="80" w:line="240" w:lineRule="auto"/>
              <w:jc w:val="both"/>
              <w:textAlignment w:val="auto"/>
              <w:rPr>
                <w:rFonts w:ascii="Times New Roman" w:hAnsi="Times New Roman"/>
                <w:sz w:val="19"/>
              </w:rPr>
            </w:pPr>
            <w:r w:rsidRPr="00EC479F">
              <w:rPr>
                <w:rFonts w:ascii="Times New Roman" w:hAnsi="Times New Roman"/>
                <w:sz w:val="19"/>
              </w:rPr>
              <w:t>Articles of incorporation, partnership agreement or similar documents, as appropriate</w:t>
            </w:r>
          </w:p>
          <w:p w:rsidR="00B77793" w:rsidRPr="00EC479F" w:rsidRDefault="00B77793" w:rsidP="00EC479F">
            <w:pPr>
              <w:widowControl/>
              <w:numPr>
                <w:ilvl w:val="0"/>
                <w:numId w:val="29"/>
              </w:numPr>
              <w:overflowPunct/>
              <w:autoSpaceDE/>
              <w:autoSpaceDN/>
              <w:adjustRightInd/>
              <w:spacing w:before="80" w:after="80" w:line="240" w:lineRule="auto"/>
              <w:jc w:val="both"/>
              <w:textAlignment w:val="auto"/>
              <w:rPr>
                <w:rFonts w:ascii="Times New Roman" w:hAnsi="Times New Roman"/>
                <w:sz w:val="19"/>
              </w:rPr>
            </w:pPr>
            <w:r w:rsidRPr="00EC479F">
              <w:rPr>
                <w:rFonts w:ascii="Times New Roman" w:hAnsi="Times New Roman"/>
                <w:sz w:val="19"/>
              </w:rPr>
              <w:t>Good standing certificate</w:t>
            </w:r>
          </w:p>
          <w:p w:rsidR="00B77793" w:rsidRPr="00EC479F" w:rsidRDefault="00B77793" w:rsidP="00EC479F">
            <w:pPr>
              <w:widowControl/>
              <w:numPr>
                <w:ilvl w:val="0"/>
                <w:numId w:val="29"/>
              </w:numPr>
              <w:overflowPunct/>
              <w:autoSpaceDE/>
              <w:autoSpaceDN/>
              <w:adjustRightInd/>
              <w:spacing w:before="80" w:after="80" w:line="240" w:lineRule="auto"/>
              <w:jc w:val="both"/>
              <w:textAlignment w:val="auto"/>
              <w:rPr>
                <w:rFonts w:ascii="Times New Roman" w:hAnsi="Times New Roman"/>
                <w:sz w:val="19"/>
              </w:rPr>
            </w:pPr>
            <w:r w:rsidRPr="00EC479F">
              <w:rPr>
                <w:rFonts w:ascii="Times New Roman" w:hAnsi="Times New Roman"/>
                <w:sz w:val="19"/>
              </w:rPr>
              <w:t>Bylaws</w:t>
            </w:r>
          </w:p>
          <w:p w:rsidR="00B77793" w:rsidRPr="00EC479F" w:rsidRDefault="00B77793">
            <w:pPr>
              <w:widowControl/>
              <w:spacing w:before="80" w:after="80" w:line="240" w:lineRule="auto"/>
              <w:ind w:left="900"/>
              <w:jc w:val="both"/>
              <w:rPr>
                <w:rFonts w:ascii="Times New Roman" w:hAnsi="Times New Roman"/>
                <w:sz w:val="19"/>
              </w:rPr>
            </w:pPr>
            <w:r w:rsidRPr="00EC479F">
              <w:rPr>
                <w:rFonts w:ascii="Times New Roman" w:hAnsi="Times New Roman"/>
                <w:sz w:val="19"/>
              </w:rPr>
              <w:t xml:space="preserve">   d.   Incumbency certificate</w:t>
            </w:r>
          </w:p>
          <w:p w:rsidR="00B77793" w:rsidRPr="00EC479F" w:rsidRDefault="00B77793">
            <w:pPr>
              <w:widowControl/>
              <w:spacing w:before="80" w:after="80" w:line="240" w:lineRule="auto"/>
              <w:ind w:left="900"/>
              <w:jc w:val="both"/>
              <w:rPr>
                <w:rFonts w:ascii="Times New Roman" w:hAnsi="Times New Roman"/>
                <w:sz w:val="19"/>
              </w:rPr>
            </w:pPr>
            <w:r w:rsidRPr="00EC479F">
              <w:rPr>
                <w:rFonts w:ascii="Times New Roman" w:hAnsi="Times New Roman"/>
                <w:sz w:val="19"/>
              </w:rPr>
              <w:t xml:space="preserve">   e.   Resolutions authorizing officials to execute documents</w:t>
            </w:r>
          </w:p>
          <w:p w:rsidR="00B77793" w:rsidRPr="00EC479F" w:rsidRDefault="002F3550">
            <w:pPr>
              <w:widowControl/>
              <w:numPr>
                <w:ilvl w:val="0"/>
                <w:numId w:val="17"/>
              </w:numPr>
              <w:overflowPunct/>
              <w:autoSpaceDE/>
              <w:autoSpaceDN/>
              <w:adjustRightInd/>
              <w:spacing w:before="80" w:after="80" w:line="240" w:lineRule="auto"/>
              <w:jc w:val="both"/>
              <w:textAlignment w:val="auto"/>
              <w:rPr>
                <w:rFonts w:ascii="Times New Roman" w:hAnsi="Times New Roman"/>
                <w:sz w:val="19"/>
              </w:rPr>
            </w:pPr>
            <w:r>
              <w:rPr>
                <w:rFonts w:ascii="Times New Roman" w:hAnsi="Times New Roman"/>
                <w:sz w:val="19"/>
              </w:rPr>
              <w:t xml:space="preserve">TIFIA </w:t>
            </w:r>
            <w:r w:rsidR="00B77793" w:rsidRPr="00EC479F">
              <w:rPr>
                <w:rFonts w:ascii="Times New Roman" w:hAnsi="Times New Roman"/>
                <w:sz w:val="19"/>
              </w:rPr>
              <w:t>Loan Agreement and Promissory Note</w:t>
            </w:r>
          </w:p>
          <w:p w:rsidR="00B77793" w:rsidRPr="00EC479F" w:rsidRDefault="00B77793">
            <w:pPr>
              <w:widowControl/>
              <w:numPr>
                <w:ilvl w:val="0"/>
                <w:numId w:val="17"/>
              </w:numPr>
              <w:overflowPunct/>
              <w:autoSpaceDE/>
              <w:autoSpaceDN/>
              <w:adjustRightInd/>
              <w:spacing w:before="80" w:after="80" w:line="240" w:lineRule="auto"/>
              <w:jc w:val="both"/>
              <w:textAlignment w:val="auto"/>
              <w:rPr>
                <w:rFonts w:ascii="Times New Roman" w:hAnsi="Times New Roman"/>
                <w:sz w:val="19"/>
              </w:rPr>
            </w:pPr>
            <w:r w:rsidRPr="00EC479F">
              <w:rPr>
                <w:rFonts w:ascii="Times New Roman" w:hAnsi="Times New Roman"/>
                <w:sz w:val="19"/>
              </w:rPr>
              <w:t>Intercreditor Agreement</w:t>
            </w:r>
          </w:p>
          <w:p w:rsidR="00B77793" w:rsidRPr="00EC479F" w:rsidRDefault="00B77793">
            <w:pPr>
              <w:widowControl/>
              <w:numPr>
                <w:ilvl w:val="0"/>
                <w:numId w:val="17"/>
              </w:numPr>
              <w:overflowPunct/>
              <w:autoSpaceDE/>
              <w:autoSpaceDN/>
              <w:adjustRightInd/>
              <w:spacing w:before="80" w:after="80" w:line="240" w:lineRule="auto"/>
              <w:jc w:val="both"/>
              <w:textAlignment w:val="auto"/>
              <w:rPr>
                <w:rFonts w:ascii="Times New Roman" w:hAnsi="Times New Roman"/>
                <w:sz w:val="19"/>
              </w:rPr>
            </w:pPr>
            <w:r w:rsidRPr="00EC479F">
              <w:rPr>
                <w:rFonts w:ascii="Times New Roman" w:hAnsi="Times New Roman"/>
                <w:sz w:val="19"/>
              </w:rPr>
              <w:t xml:space="preserve">Evidence of site control </w:t>
            </w:r>
          </w:p>
          <w:p w:rsidR="00B77793" w:rsidRPr="00EC479F" w:rsidRDefault="00B77793">
            <w:pPr>
              <w:widowControl/>
              <w:numPr>
                <w:ilvl w:val="0"/>
                <w:numId w:val="17"/>
              </w:numPr>
              <w:overflowPunct/>
              <w:autoSpaceDE/>
              <w:autoSpaceDN/>
              <w:adjustRightInd/>
              <w:spacing w:before="80" w:after="80" w:line="240" w:lineRule="auto"/>
              <w:jc w:val="both"/>
              <w:textAlignment w:val="auto"/>
              <w:rPr>
                <w:rFonts w:ascii="Times New Roman" w:hAnsi="Times New Roman"/>
                <w:sz w:val="19"/>
              </w:rPr>
            </w:pPr>
            <w:r w:rsidRPr="00EC479F">
              <w:rPr>
                <w:rFonts w:ascii="Times New Roman" w:hAnsi="Times New Roman"/>
                <w:sz w:val="19"/>
              </w:rPr>
              <w:t>Evidence of project’s inclusion in State Transportation Improvement Program</w:t>
            </w:r>
          </w:p>
          <w:p w:rsidR="00B77793" w:rsidRPr="00EC479F" w:rsidRDefault="00B77793">
            <w:pPr>
              <w:widowControl/>
              <w:numPr>
                <w:ilvl w:val="0"/>
                <w:numId w:val="17"/>
              </w:numPr>
              <w:overflowPunct/>
              <w:autoSpaceDE/>
              <w:autoSpaceDN/>
              <w:adjustRightInd/>
              <w:spacing w:before="80" w:after="80" w:line="240" w:lineRule="auto"/>
              <w:jc w:val="both"/>
              <w:textAlignment w:val="auto"/>
              <w:rPr>
                <w:rFonts w:ascii="Times New Roman" w:hAnsi="Times New Roman"/>
                <w:sz w:val="19"/>
              </w:rPr>
            </w:pPr>
            <w:r w:rsidRPr="00EC479F">
              <w:rPr>
                <w:rFonts w:ascii="Times New Roman" w:hAnsi="Times New Roman"/>
                <w:sz w:val="19"/>
              </w:rPr>
              <w:t>Evidence of consistency with other State or metropolitan transportation plans</w:t>
            </w:r>
          </w:p>
          <w:p w:rsidR="00B77793" w:rsidRPr="00EC479F" w:rsidRDefault="00B77793">
            <w:pPr>
              <w:widowControl/>
              <w:numPr>
                <w:ilvl w:val="0"/>
                <w:numId w:val="17"/>
              </w:numPr>
              <w:overflowPunct/>
              <w:autoSpaceDE/>
              <w:autoSpaceDN/>
              <w:adjustRightInd/>
              <w:spacing w:before="80" w:after="80" w:line="240" w:lineRule="auto"/>
              <w:jc w:val="both"/>
              <w:textAlignment w:val="auto"/>
              <w:rPr>
                <w:rFonts w:ascii="Times New Roman" w:hAnsi="Times New Roman"/>
                <w:sz w:val="19"/>
              </w:rPr>
            </w:pPr>
            <w:r w:rsidRPr="00EC479F">
              <w:rPr>
                <w:rFonts w:ascii="Times New Roman" w:hAnsi="Times New Roman"/>
                <w:sz w:val="19"/>
              </w:rPr>
              <w:t>Evidence of approval by all necessary State or local governmental entities</w:t>
            </w:r>
          </w:p>
          <w:p w:rsidR="00B77793" w:rsidRPr="00EC479F" w:rsidRDefault="00B77793">
            <w:pPr>
              <w:widowControl/>
              <w:numPr>
                <w:ilvl w:val="0"/>
                <w:numId w:val="17"/>
              </w:numPr>
              <w:overflowPunct/>
              <w:autoSpaceDE/>
              <w:autoSpaceDN/>
              <w:adjustRightInd/>
              <w:spacing w:before="80" w:after="80" w:line="240" w:lineRule="auto"/>
              <w:jc w:val="both"/>
              <w:textAlignment w:val="auto"/>
              <w:rPr>
                <w:rFonts w:ascii="Times New Roman" w:hAnsi="Times New Roman"/>
                <w:sz w:val="19"/>
              </w:rPr>
            </w:pPr>
            <w:r w:rsidRPr="00EC479F">
              <w:rPr>
                <w:rFonts w:ascii="Times New Roman" w:hAnsi="Times New Roman"/>
                <w:sz w:val="19"/>
              </w:rPr>
              <w:t>List of all required permits</w:t>
            </w:r>
          </w:p>
          <w:p w:rsidR="00B77793" w:rsidRPr="00EC479F" w:rsidRDefault="00B77793">
            <w:pPr>
              <w:widowControl/>
              <w:numPr>
                <w:ilvl w:val="0"/>
                <w:numId w:val="17"/>
              </w:numPr>
              <w:overflowPunct/>
              <w:autoSpaceDE/>
              <w:autoSpaceDN/>
              <w:adjustRightInd/>
              <w:spacing w:before="80" w:after="80" w:line="240" w:lineRule="auto"/>
              <w:ind w:right="145"/>
              <w:jc w:val="both"/>
              <w:textAlignment w:val="auto"/>
              <w:rPr>
                <w:rFonts w:ascii="Times New Roman" w:hAnsi="Times New Roman"/>
                <w:sz w:val="19"/>
              </w:rPr>
            </w:pPr>
            <w:r w:rsidRPr="00EC479F">
              <w:rPr>
                <w:rFonts w:ascii="Times New Roman" w:hAnsi="Times New Roman"/>
                <w:sz w:val="19"/>
              </w:rPr>
              <w:t>Environmental Record of Decision, Finding of No Significant Impact or Categorical Exclusion</w:t>
            </w:r>
          </w:p>
          <w:p w:rsidR="00B77793" w:rsidRPr="00EC479F" w:rsidRDefault="00B77793">
            <w:pPr>
              <w:widowControl/>
              <w:numPr>
                <w:ilvl w:val="0"/>
                <w:numId w:val="17"/>
              </w:numPr>
              <w:overflowPunct/>
              <w:autoSpaceDE/>
              <w:autoSpaceDN/>
              <w:adjustRightInd/>
              <w:spacing w:before="80" w:after="80" w:line="240" w:lineRule="auto"/>
              <w:ind w:right="145"/>
              <w:jc w:val="both"/>
              <w:textAlignment w:val="auto"/>
              <w:rPr>
                <w:rFonts w:ascii="Times New Roman" w:hAnsi="Times New Roman"/>
                <w:sz w:val="19"/>
              </w:rPr>
            </w:pPr>
            <w:r w:rsidRPr="00EC479F">
              <w:rPr>
                <w:rFonts w:ascii="Times New Roman" w:hAnsi="Times New Roman"/>
                <w:sz w:val="19"/>
              </w:rPr>
              <w:t>Development agreements (including design/build or concession agreements) and any other construction contracts</w:t>
            </w:r>
          </w:p>
          <w:p w:rsidR="00B77793" w:rsidRPr="00EC479F" w:rsidRDefault="00B77793">
            <w:pPr>
              <w:widowControl/>
              <w:numPr>
                <w:ilvl w:val="0"/>
                <w:numId w:val="17"/>
              </w:numPr>
              <w:overflowPunct/>
              <w:autoSpaceDE/>
              <w:autoSpaceDN/>
              <w:adjustRightInd/>
              <w:spacing w:before="80" w:after="80" w:line="240" w:lineRule="auto"/>
              <w:ind w:right="145"/>
              <w:jc w:val="both"/>
              <w:textAlignment w:val="auto"/>
              <w:rPr>
                <w:rFonts w:ascii="Times New Roman" w:hAnsi="Times New Roman"/>
                <w:sz w:val="19"/>
              </w:rPr>
            </w:pPr>
            <w:r w:rsidRPr="00EC479F">
              <w:rPr>
                <w:rFonts w:ascii="Times New Roman" w:hAnsi="Times New Roman"/>
                <w:sz w:val="19"/>
              </w:rPr>
              <w:t>Independent Engineer’s Report</w:t>
            </w:r>
          </w:p>
          <w:p w:rsidR="00B77793" w:rsidRPr="00EC479F" w:rsidRDefault="00B77793">
            <w:pPr>
              <w:widowControl/>
              <w:numPr>
                <w:ilvl w:val="0"/>
                <w:numId w:val="17"/>
              </w:numPr>
              <w:overflowPunct/>
              <w:autoSpaceDE/>
              <w:autoSpaceDN/>
              <w:adjustRightInd/>
              <w:spacing w:before="80" w:after="80" w:line="240" w:lineRule="auto"/>
              <w:ind w:right="145"/>
              <w:jc w:val="both"/>
              <w:textAlignment w:val="auto"/>
              <w:rPr>
                <w:rFonts w:ascii="Times New Roman" w:hAnsi="Times New Roman"/>
                <w:sz w:val="19"/>
              </w:rPr>
            </w:pPr>
            <w:r w:rsidRPr="00EC479F">
              <w:rPr>
                <w:rFonts w:ascii="Times New Roman" w:hAnsi="Times New Roman"/>
                <w:sz w:val="19"/>
              </w:rPr>
              <w:t>Feasibility Study/Traffic and Revenue Study</w:t>
            </w:r>
          </w:p>
          <w:p w:rsidR="00B77793" w:rsidRPr="00EC479F" w:rsidRDefault="000728F8">
            <w:pPr>
              <w:widowControl/>
              <w:numPr>
                <w:ilvl w:val="0"/>
                <w:numId w:val="17"/>
              </w:numPr>
              <w:overflowPunct/>
              <w:autoSpaceDE/>
              <w:autoSpaceDN/>
              <w:adjustRightInd/>
              <w:spacing w:before="80" w:after="80" w:line="240" w:lineRule="auto"/>
              <w:ind w:right="145"/>
              <w:jc w:val="both"/>
              <w:textAlignment w:val="auto"/>
              <w:rPr>
                <w:rFonts w:ascii="Times New Roman" w:hAnsi="Times New Roman"/>
                <w:sz w:val="19"/>
              </w:rPr>
            </w:pPr>
            <w:r w:rsidRPr="00EC479F">
              <w:rPr>
                <w:rFonts w:ascii="Times New Roman" w:hAnsi="Times New Roman"/>
                <w:sz w:val="19"/>
              </w:rPr>
              <w:t xml:space="preserve">Working Financial Model </w:t>
            </w:r>
            <w:r w:rsidR="006644B1" w:rsidRPr="00EC479F">
              <w:rPr>
                <w:rFonts w:ascii="Times New Roman" w:hAnsi="Times New Roman"/>
                <w:sz w:val="19"/>
              </w:rPr>
              <w:t>(not in .</w:t>
            </w:r>
            <w:proofErr w:type="spellStart"/>
            <w:r w:rsidR="006644B1" w:rsidRPr="00EC479F">
              <w:rPr>
                <w:rFonts w:ascii="Times New Roman" w:hAnsi="Times New Roman"/>
                <w:sz w:val="19"/>
              </w:rPr>
              <w:t>pdf</w:t>
            </w:r>
            <w:proofErr w:type="spellEnd"/>
            <w:r w:rsidR="006644B1" w:rsidRPr="00EC479F">
              <w:rPr>
                <w:rFonts w:ascii="Times New Roman" w:hAnsi="Times New Roman"/>
                <w:sz w:val="19"/>
              </w:rPr>
              <w:t xml:space="preserve"> or values format) </w:t>
            </w:r>
            <w:r w:rsidR="00B77793" w:rsidRPr="00EC479F">
              <w:rPr>
                <w:rFonts w:ascii="Times New Roman" w:hAnsi="Times New Roman"/>
                <w:sz w:val="19"/>
              </w:rPr>
              <w:t>and Financial Plan</w:t>
            </w:r>
          </w:p>
          <w:p w:rsidR="00B77793" w:rsidRPr="00EC479F" w:rsidRDefault="00B77793">
            <w:pPr>
              <w:widowControl/>
              <w:numPr>
                <w:ilvl w:val="0"/>
                <w:numId w:val="17"/>
              </w:numPr>
              <w:overflowPunct/>
              <w:autoSpaceDE/>
              <w:autoSpaceDN/>
              <w:adjustRightInd/>
              <w:spacing w:before="80" w:after="80" w:line="240" w:lineRule="auto"/>
              <w:ind w:right="145"/>
              <w:jc w:val="both"/>
              <w:textAlignment w:val="auto"/>
              <w:rPr>
                <w:rFonts w:ascii="Times New Roman" w:hAnsi="Times New Roman"/>
                <w:sz w:val="19"/>
              </w:rPr>
            </w:pPr>
            <w:r w:rsidRPr="00EC479F">
              <w:rPr>
                <w:rFonts w:ascii="Times New Roman" w:hAnsi="Times New Roman"/>
                <w:sz w:val="19"/>
              </w:rPr>
              <w:t>Credit rating(s)</w:t>
            </w:r>
          </w:p>
          <w:p w:rsidR="00B77793" w:rsidRPr="00EC479F" w:rsidRDefault="00B77793">
            <w:pPr>
              <w:widowControl/>
              <w:numPr>
                <w:ilvl w:val="0"/>
                <w:numId w:val="17"/>
              </w:numPr>
              <w:overflowPunct/>
              <w:autoSpaceDE/>
              <w:autoSpaceDN/>
              <w:adjustRightInd/>
              <w:spacing w:before="80" w:after="80" w:line="240" w:lineRule="auto"/>
              <w:ind w:right="145"/>
              <w:jc w:val="both"/>
              <w:textAlignment w:val="auto"/>
              <w:rPr>
                <w:rFonts w:ascii="Times New Roman" w:hAnsi="Times New Roman"/>
                <w:sz w:val="19"/>
              </w:rPr>
            </w:pPr>
            <w:r w:rsidRPr="00EC479F">
              <w:rPr>
                <w:rFonts w:ascii="Times New Roman" w:hAnsi="Times New Roman"/>
                <w:sz w:val="19"/>
              </w:rPr>
              <w:t xml:space="preserve">Opinion of borrower’s counsel (addressing legal authority of Borrower, execution of documents, etc.); </w:t>
            </w:r>
            <w:r w:rsidR="000D4F00" w:rsidRPr="00EC479F">
              <w:rPr>
                <w:rFonts w:ascii="Times New Roman" w:hAnsi="Times New Roman"/>
                <w:sz w:val="19"/>
              </w:rPr>
              <w:t xml:space="preserve">the </w:t>
            </w:r>
            <w:r w:rsidRPr="00EC479F">
              <w:rPr>
                <w:rFonts w:ascii="Times New Roman" w:hAnsi="Times New Roman"/>
                <w:sz w:val="19"/>
              </w:rPr>
              <w:t>DOT also requires 10b-5 opinions from attorneys participating in the transaction</w:t>
            </w:r>
          </w:p>
          <w:p w:rsidR="00B77793" w:rsidRPr="00EC479F" w:rsidRDefault="00B77793">
            <w:pPr>
              <w:widowControl/>
              <w:numPr>
                <w:ilvl w:val="0"/>
                <w:numId w:val="17"/>
              </w:numPr>
              <w:overflowPunct/>
              <w:autoSpaceDE/>
              <w:autoSpaceDN/>
              <w:adjustRightInd/>
              <w:spacing w:before="80" w:after="80" w:line="240" w:lineRule="auto"/>
              <w:ind w:right="145"/>
              <w:jc w:val="both"/>
              <w:textAlignment w:val="auto"/>
              <w:rPr>
                <w:rFonts w:ascii="Times New Roman" w:hAnsi="Times New Roman"/>
                <w:sz w:val="19"/>
              </w:rPr>
            </w:pPr>
            <w:r w:rsidRPr="00EC479F">
              <w:rPr>
                <w:rFonts w:ascii="Times New Roman" w:hAnsi="Times New Roman"/>
                <w:sz w:val="19"/>
              </w:rPr>
              <w:t xml:space="preserve">Opinion of </w:t>
            </w:r>
            <w:r w:rsidR="000D4F00" w:rsidRPr="00EC479F">
              <w:rPr>
                <w:rFonts w:ascii="Times New Roman" w:hAnsi="Times New Roman"/>
                <w:sz w:val="19"/>
              </w:rPr>
              <w:t xml:space="preserve">the </w:t>
            </w:r>
            <w:r w:rsidRPr="00EC479F">
              <w:rPr>
                <w:rFonts w:ascii="Times New Roman" w:hAnsi="Times New Roman"/>
                <w:sz w:val="19"/>
              </w:rPr>
              <w:t xml:space="preserve">DOT’s counsel (addressing </w:t>
            </w:r>
            <w:r w:rsidR="000D4F00" w:rsidRPr="00EC479F">
              <w:rPr>
                <w:rFonts w:ascii="Times New Roman" w:hAnsi="Times New Roman"/>
                <w:sz w:val="19"/>
              </w:rPr>
              <w:t xml:space="preserve">the </w:t>
            </w:r>
            <w:r w:rsidRPr="00EC479F">
              <w:rPr>
                <w:rFonts w:ascii="Times New Roman" w:hAnsi="Times New Roman"/>
                <w:sz w:val="19"/>
              </w:rPr>
              <w:t>DOT’s authority to make loan to the borrower)</w:t>
            </w:r>
          </w:p>
          <w:p w:rsidR="00B77793" w:rsidRPr="00EC479F" w:rsidRDefault="00B77793">
            <w:pPr>
              <w:widowControl/>
              <w:numPr>
                <w:ilvl w:val="0"/>
                <w:numId w:val="17"/>
              </w:numPr>
              <w:overflowPunct/>
              <w:autoSpaceDE/>
              <w:autoSpaceDN/>
              <w:adjustRightInd/>
              <w:spacing w:before="80" w:after="80" w:line="240" w:lineRule="auto"/>
              <w:ind w:right="145"/>
              <w:jc w:val="both"/>
              <w:textAlignment w:val="auto"/>
              <w:rPr>
                <w:rFonts w:ascii="Times New Roman" w:hAnsi="Times New Roman"/>
                <w:sz w:val="19"/>
              </w:rPr>
            </w:pPr>
            <w:r w:rsidRPr="00EC479F">
              <w:rPr>
                <w:rFonts w:ascii="Times New Roman" w:hAnsi="Times New Roman"/>
                <w:sz w:val="19"/>
              </w:rPr>
              <w:t>For Senior Project Bonds (tax-exempt or taxable bonds):</w:t>
            </w:r>
          </w:p>
          <w:p w:rsidR="00B77793" w:rsidRPr="00EC479F" w:rsidRDefault="00B77793">
            <w:pPr>
              <w:widowControl/>
              <w:numPr>
                <w:ilvl w:val="1"/>
                <w:numId w:val="17"/>
              </w:numPr>
              <w:spacing w:before="80" w:after="80" w:line="240" w:lineRule="auto"/>
              <w:jc w:val="both"/>
              <w:rPr>
                <w:rFonts w:ascii="Times New Roman" w:hAnsi="Times New Roman"/>
                <w:sz w:val="19"/>
              </w:rPr>
            </w:pPr>
            <w:r w:rsidRPr="00EC479F">
              <w:rPr>
                <w:rFonts w:ascii="Times New Roman" w:hAnsi="Times New Roman"/>
                <w:sz w:val="19"/>
              </w:rPr>
              <w:t>Enabling legislation and other documentation of issuer of senior project bonds</w:t>
            </w:r>
          </w:p>
          <w:p w:rsidR="00B77793" w:rsidRPr="00EC479F" w:rsidRDefault="00B77793">
            <w:pPr>
              <w:widowControl/>
              <w:numPr>
                <w:ilvl w:val="1"/>
                <w:numId w:val="17"/>
              </w:numPr>
              <w:spacing w:before="80" w:after="80" w:line="240" w:lineRule="auto"/>
              <w:jc w:val="both"/>
              <w:rPr>
                <w:rFonts w:ascii="Times New Roman" w:hAnsi="Times New Roman"/>
                <w:sz w:val="19"/>
              </w:rPr>
            </w:pPr>
            <w:r w:rsidRPr="00EC479F">
              <w:rPr>
                <w:rFonts w:ascii="Times New Roman" w:hAnsi="Times New Roman"/>
                <w:sz w:val="19"/>
              </w:rPr>
              <w:t>Borrower’s resolution</w:t>
            </w:r>
          </w:p>
          <w:p w:rsidR="00B77793" w:rsidRPr="00EC479F" w:rsidRDefault="00B77793">
            <w:pPr>
              <w:widowControl/>
              <w:numPr>
                <w:ilvl w:val="1"/>
                <w:numId w:val="17"/>
              </w:numPr>
              <w:spacing w:before="80" w:after="80" w:line="240" w:lineRule="auto"/>
              <w:jc w:val="both"/>
              <w:rPr>
                <w:rFonts w:ascii="Times New Roman" w:hAnsi="Times New Roman"/>
                <w:sz w:val="19"/>
              </w:rPr>
            </w:pPr>
            <w:r w:rsidRPr="00EC479F">
              <w:rPr>
                <w:rFonts w:ascii="Times New Roman" w:hAnsi="Times New Roman"/>
                <w:sz w:val="19"/>
              </w:rPr>
              <w:t>Trust indenture</w:t>
            </w:r>
          </w:p>
          <w:p w:rsidR="00B77793" w:rsidRPr="00EC479F" w:rsidRDefault="00B77793">
            <w:pPr>
              <w:widowControl/>
              <w:numPr>
                <w:ilvl w:val="1"/>
                <w:numId w:val="17"/>
              </w:numPr>
              <w:spacing w:before="80" w:after="80" w:line="240" w:lineRule="auto"/>
              <w:jc w:val="both"/>
              <w:rPr>
                <w:rFonts w:ascii="Times New Roman" w:hAnsi="Times New Roman"/>
                <w:sz w:val="19"/>
              </w:rPr>
            </w:pPr>
            <w:r w:rsidRPr="00EC479F">
              <w:rPr>
                <w:rFonts w:ascii="Times New Roman" w:hAnsi="Times New Roman"/>
                <w:sz w:val="19"/>
              </w:rPr>
              <w:t>Loan agreement (if applicable)</w:t>
            </w:r>
          </w:p>
          <w:p w:rsidR="00B77793" w:rsidRPr="00EC479F" w:rsidRDefault="00B77793">
            <w:pPr>
              <w:widowControl/>
              <w:numPr>
                <w:ilvl w:val="1"/>
                <w:numId w:val="17"/>
              </w:numPr>
              <w:spacing w:before="80" w:after="80" w:line="240" w:lineRule="auto"/>
              <w:jc w:val="both"/>
              <w:rPr>
                <w:rFonts w:ascii="Times New Roman" w:hAnsi="Times New Roman"/>
                <w:sz w:val="19"/>
              </w:rPr>
            </w:pPr>
            <w:r w:rsidRPr="00EC479F">
              <w:rPr>
                <w:rFonts w:ascii="Times New Roman" w:hAnsi="Times New Roman"/>
                <w:sz w:val="19"/>
              </w:rPr>
              <w:t>Bond purchase agreement</w:t>
            </w:r>
          </w:p>
          <w:p w:rsidR="00B77793" w:rsidRPr="00EC479F" w:rsidRDefault="00B77793">
            <w:pPr>
              <w:widowControl/>
              <w:numPr>
                <w:ilvl w:val="1"/>
                <w:numId w:val="17"/>
              </w:numPr>
              <w:spacing w:before="80" w:after="80" w:line="240" w:lineRule="auto"/>
              <w:jc w:val="both"/>
              <w:rPr>
                <w:rFonts w:ascii="Times New Roman" w:hAnsi="Times New Roman"/>
                <w:sz w:val="19"/>
              </w:rPr>
            </w:pPr>
            <w:r w:rsidRPr="00EC479F">
              <w:rPr>
                <w:rFonts w:ascii="Times New Roman" w:hAnsi="Times New Roman"/>
                <w:sz w:val="19"/>
              </w:rPr>
              <w:t>Preliminary official statement</w:t>
            </w:r>
          </w:p>
          <w:p w:rsidR="00B77793" w:rsidRPr="00EC479F" w:rsidRDefault="00B77793">
            <w:pPr>
              <w:widowControl/>
              <w:numPr>
                <w:ilvl w:val="1"/>
                <w:numId w:val="17"/>
              </w:numPr>
              <w:spacing w:before="80" w:after="80" w:line="240" w:lineRule="auto"/>
              <w:jc w:val="both"/>
              <w:rPr>
                <w:rFonts w:ascii="Times New Roman" w:hAnsi="Times New Roman"/>
                <w:sz w:val="19"/>
              </w:rPr>
            </w:pPr>
            <w:r w:rsidRPr="00EC479F">
              <w:rPr>
                <w:rFonts w:ascii="Times New Roman" w:hAnsi="Times New Roman"/>
                <w:sz w:val="19"/>
              </w:rPr>
              <w:lastRenderedPageBreak/>
              <w:t>Official statement</w:t>
            </w:r>
          </w:p>
          <w:p w:rsidR="00B77793" w:rsidRPr="00EC479F" w:rsidRDefault="00B77793">
            <w:pPr>
              <w:widowControl/>
              <w:numPr>
                <w:ilvl w:val="1"/>
                <w:numId w:val="17"/>
              </w:numPr>
              <w:spacing w:before="80" w:after="80" w:line="240" w:lineRule="auto"/>
              <w:jc w:val="both"/>
              <w:rPr>
                <w:rFonts w:ascii="Times New Roman" w:hAnsi="Times New Roman"/>
                <w:sz w:val="19"/>
              </w:rPr>
            </w:pPr>
            <w:r w:rsidRPr="00EC479F">
              <w:rPr>
                <w:rFonts w:ascii="Times New Roman" w:hAnsi="Times New Roman"/>
                <w:sz w:val="19"/>
              </w:rPr>
              <w:t>Continuing disclosure agreement</w:t>
            </w:r>
          </w:p>
          <w:p w:rsidR="00B77793" w:rsidRPr="00D41612" w:rsidRDefault="00B77793" w:rsidP="00D41612">
            <w:pPr>
              <w:widowControl/>
              <w:numPr>
                <w:ilvl w:val="1"/>
                <w:numId w:val="17"/>
              </w:numPr>
              <w:spacing w:before="80" w:after="80" w:line="240" w:lineRule="auto"/>
              <w:jc w:val="both"/>
              <w:rPr>
                <w:rFonts w:ascii="Arial" w:hAnsi="Arial"/>
                <w:sz w:val="19"/>
              </w:rPr>
            </w:pPr>
            <w:r w:rsidRPr="00EC479F">
              <w:rPr>
                <w:rFonts w:ascii="Times New Roman" w:hAnsi="Times New Roman"/>
                <w:sz w:val="19"/>
              </w:rPr>
              <w:t>Bond insurance policy or other credit enhancement</w:t>
            </w:r>
          </w:p>
        </w:tc>
      </w:tr>
    </w:tbl>
    <w:p w:rsidR="00B77793" w:rsidRDefault="00B77793" w:rsidP="00D41612">
      <w:pPr>
        <w:pStyle w:val="Default"/>
        <w:widowControl/>
        <w:spacing w:after="240"/>
        <w:jc w:val="both"/>
        <w:rPr>
          <w:b/>
          <w:color w:val="auto"/>
          <w:sz w:val="19"/>
        </w:rPr>
      </w:pPr>
    </w:p>
    <w:p w:rsidR="00B77793" w:rsidRDefault="00B77793">
      <w:pPr>
        <w:pStyle w:val="TIFIAHeading1a"/>
        <w:widowControl/>
        <w:spacing w:before="0"/>
        <w:outlineLvl w:val="0"/>
      </w:pPr>
      <w:r>
        <w:t xml:space="preserve">Section 6-4 </w:t>
      </w:r>
    </w:p>
    <w:p w:rsidR="00B77793" w:rsidRDefault="00B77793" w:rsidP="00FA71EE">
      <w:pPr>
        <w:pStyle w:val="CM11"/>
        <w:widowControl/>
        <w:spacing w:after="240" w:line="271" w:lineRule="atLeast"/>
        <w:jc w:val="both"/>
        <w:outlineLvl w:val="0"/>
        <w:rPr>
          <w:b/>
        </w:rPr>
      </w:pPr>
      <w:r>
        <w:rPr>
          <w:b/>
        </w:rPr>
        <w:t>Oversight and Monitoring Requirements</w:t>
      </w:r>
    </w:p>
    <w:p w:rsidR="00B77793" w:rsidRDefault="00B77793" w:rsidP="00D41612">
      <w:pPr>
        <w:pStyle w:val="CM11"/>
        <w:widowControl/>
        <w:spacing w:after="240" w:line="271" w:lineRule="atLeast"/>
        <w:jc w:val="both"/>
        <w:rPr>
          <w:rFonts w:ascii="Times New Roman" w:hAnsi="Times New Roman"/>
          <w:sz w:val="22"/>
        </w:rPr>
      </w:pPr>
      <w:r>
        <w:rPr>
          <w:rFonts w:ascii="Times New Roman" w:hAnsi="Times New Roman"/>
          <w:sz w:val="22"/>
        </w:rPr>
        <w:t xml:space="preserve">The DOT </w:t>
      </w:r>
      <w:r w:rsidR="00E210A3">
        <w:rPr>
          <w:rFonts w:ascii="Times New Roman" w:hAnsi="Times New Roman"/>
          <w:sz w:val="22"/>
        </w:rPr>
        <w:t>requires certain ongoing, periodic reporting with respect to project receiving TIFIA credit assistance</w:t>
      </w:r>
      <w:r>
        <w:rPr>
          <w:rFonts w:ascii="Times New Roman" w:hAnsi="Times New Roman"/>
          <w:sz w:val="22"/>
        </w:rPr>
        <w:t>.  This periodic review has three purposes: (</w:t>
      </w:r>
      <w:proofErr w:type="spellStart"/>
      <w:r>
        <w:rPr>
          <w:rFonts w:ascii="Times New Roman" w:hAnsi="Times New Roman"/>
          <w:i/>
          <w:sz w:val="22"/>
        </w:rPr>
        <w:t>i</w:t>
      </w:r>
      <w:proofErr w:type="spellEnd"/>
      <w:r>
        <w:rPr>
          <w:rFonts w:ascii="Times New Roman" w:hAnsi="Times New Roman"/>
          <w:sz w:val="22"/>
        </w:rPr>
        <w:t>) to provide the DOT with an oversight tool for ensuring the borrower's compliance with the provisions of the credit agreement; (</w:t>
      </w:r>
      <w:r>
        <w:rPr>
          <w:rFonts w:ascii="Times New Roman" w:hAnsi="Times New Roman"/>
          <w:i/>
          <w:sz w:val="22"/>
        </w:rPr>
        <w:t>ii</w:t>
      </w:r>
      <w:r>
        <w:rPr>
          <w:rFonts w:ascii="Times New Roman" w:hAnsi="Times New Roman"/>
          <w:sz w:val="22"/>
        </w:rPr>
        <w:t>) to monitor the overall status of the project; and (</w:t>
      </w:r>
      <w:r>
        <w:rPr>
          <w:rFonts w:ascii="Times New Roman" w:hAnsi="Times New Roman"/>
          <w:i/>
          <w:sz w:val="22"/>
        </w:rPr>
        <w:t>iii</w:t>
      </w:r>
      <w:r>
        <w:rPr>
          <w:rFonts w:ascii="Times New Roman" w:hAnsi="Times New Roman"/>
          <w:sz w:val="22"/>
        </w:rPr>
        <w:t xml:space="preserve">) to assist the DOT and the Office of Management and Budget (OMB) in identifying any changes to the credit risk posed to the Federal Government under individual credit agreements. </w:t>
      </w:r>
      <w:r w:rsidR="00E210A3">
        <w:rPr>
          <w:rFonts w:ascii="Times New Roman" w:hAnsi="Times New Roman"/>
          <w:sz w:val="22"/>
        </w:rPr>
        <w:t xml:space="preserve"> The TIFIA credit instrument will specify the scheduled annual and project milestone reporting requirements, as well as any other periodic reporting requirements.</w:t>
      </w:r>
    </w:p>
    <w:p w:rsidR="00B77793" w:rsidRDefault="00B77793" w:rsidP="00D41612">
      <w:pPr>
        <w:pStyle w:val="CM10"/>
        <w:widowControl/>
        <w:spacing w:after="240" w:line="271" w:lineRule="atLeast"/>
        <w:jc w:val="both"/>
        <w:rPr>
          <w:rFonts w:ascii="Times New Roman" w:hAnsi="Times New Roman"/>
          <w:sz w:val="22"/>
        </w:rPr>
      </w:pPr>
      <w:r>
        <w:rPr>
          <w:rFonts w:ascii="Times New Roman" w:hAnsi="Times New Roman"/>
          <w:sz w:val="22"/>
        </w:rPr>
        <w:t xml:space="preserve">As part of its oversight and monitoring of TIFIA projects, the DOT will routinely update its information on credit quality, construction schedules, legal issues, revenue forecasts, financial projections, and project performance.  Accordingly, borrowers will be required to covenant in the </w:t>
      </w:r>
      <w:r w:rsidR="008940FD">
        <w:rPr>
          <w:rFonts w:ascii="Times New Roman" w:hAnsi="Times New Roman"/>
          <w:sz w:val="22"/>
        </w:rPr>
        <w:t xml:space="preserve">TIFIA </w:t>
      </w:r>
      <w:r>
        <w:rPr>
          <w:rFonts w:ascii="Times New Roman" w:hAnsi="Times New Roman"/>
          <w:sz w:val="22"/>
        </w:rPr>
        <w:t xml:space="preserve">credit agreement to provide ongoing financial and project information not only during construction, but so long as any TIFIA credit instrument is outstanding and/or until any debt obligation to the Federal Government is fully repaid.  Documentary evidence that may be requested for each project includes:  audited financial statements, updated budget and cash flow projections, audit reports, sources and uses of funds, coverage ratios, project schedules, operating statistics, and management updates (no more than 180 days following the </w:t>
      </w:r>
      <w:r w:rsidR="00E210A3">
        <w:rPr>
          <w:rFonts w:ascii="Times New Roman" w:hAnsi="Times New Roman"/>
          <w:sz w:val="22"/>
        </w:rPr>
        <w:t xml:space="preserve">borrower’s </w:t>
      </w:r>
      <w:r>
        <w:rPr>
          <w:rFonts w:ascii="Times New Roman" w:hAnsi="Times New Roman"/>
          <w:sz w:val="22"/>
        </w:rPr>
        <w:t xml:space="preserve">fiscal year-end).  In addition, the </w:t>
      </w:r>
      <w:r w:rsidR="00395214">
        <w:rPr>
          <w:rFonts w:ascii="Times New Roman" w:hAnsi="Times New Roman"/>
          <w:sz w:val="22"/>
        </w:rPr>
        <w:t xml:space="preserve">TIFIA </w:t>
      </w:r>
      <w:r>
        <w:rPr>
          <w:rFonts w:ascii="Times New Roman" w:hAnsi="Times New Roman"/>
          <w:sz w:val="22"/>
        </w:rPr>
        <w:t xml:space="preserve">credit agreement obligates the borrower to provide the DOT with an annual update to the project’s financial plan in accordance with specified requirements. </w:t>
      </w:r>
      <w:r w:rsidR="00E210A3">
        <w:rPr>
          <w:rFonts w:ascii="Times New Roman" w:hAnsi="Times New Roman"/>
          <w:sz w:val="22"/>
        </w:rPr>
        <w:t xml:space="preserve"> </w:t>
      </w:r>
      <w:r>
        <w:rPr>
          <w:rFonts w:ascii="Times New Roman" w:hAnsi="Times New Roman"/>
          <w:sz w:val="22"/>
        </w:rPr>
        <w:t xml:space="preserve">Financial plans must show full funding for the project and are subject to review and approval </w:t>
      </w:r>
      <w:r w:rsidR="00495586">
        <w:rPr>
          <w:rFonts w:ascii="Times New Roman" w:hAnsi="Times New Roman"/>
          <w:sz w:val="22"/>
        </w:rPr>
        <w:t>by</w:t>
      </w:r>
      <w:r>
        <w:rPr>
          <w:rFonts w:ascii="Times New Roman" w:hAnsi="Times New Roman"/>
          <w:sz w:val="22"/>
        </w:rPr>
        <w:t xml:space="preserve"> the </w:t>
      </w:r>
      <w:r w:rsidR="00495586">
        <w:rPr>
          <w:rFonts w:ascii="Times New Roman" w:hAnsi="Times New Roman"/>
          <w:sz w:val="22"/>
        </w:rPr>
        <w:t>relevant DOT</w:t>
      </w:r>
      <w:r>
        <w:rPr>
          <w:rFonts w:ascii="Times New Roman" w:hAnsi="Times New Roman"/>
          <w:sz w:val="22"/>
        </w:rPr>
        <w:t xml:space="preserve"> office</w:t>
      </w:r>
      <w:r w:rsidR="00495586">
        <w:rPr>
          <w:rFonts w:ascii="Times New Roman" w:hAnsi="Times New Roman"/>
          <w:sz w:val="22"/>
        </w:rPr>
        <w:t>(s)</w:t>
      </w:r>
      <w:r>
        <w:rPr>
          <w:rFonts w:ascii="Times New Roman" w:hAnsi="Times New Roman"/>
          <w:sz w:val="22"/>
        </w:rPr>
        <w:t xml:space="preserve">. Each borrower will be required to give notice to the DOT of material events, including litigation, which could affect project development or the credit quality of the project.  </w:t>
      </w:r>
    </w:p>
    <w:p w:rsidR="00B77793" w:rsidRDefault="00B77793" w:rsidP="00D41612">
      <w:pPr>
        <w:pStyle w:val="CM11"/>
        <w:widowControl/>
        <w:spacing w:after="240" w:line="271" w:lineRule="atLeast"/>
        <w:jc w:val="both"/>
        <w:rPr>
          <w:rFonts w:ascii="Times New Roman" w:hAnsi="Times New Roman"/>
          <w:sz w:val="22"/>
          <w:szCs w:val="22"/>
        </w:rPr>
      </w:pPr>
      <w:r>
        <w:rPr>
          <w:rFonts w:ascii="Times New Roman" w:hAnsi="Times New Roman"/>
          <w:sz w:val="22"/>
        </w:rPr>
        <w:t xml:space="preserve">The borrower is also required to provide annually, at no cost to the Federal Government, ongoing credit evaluations of the project and all debt obligations, including the TIFIA credit </w:t>
      </w:r>
      <w:r>
        <w:rPr>
          <w:rFonts w:ascii="Times New Roman" w:hAnsi="Times New Roman"/>
          <w:sz w:val="22"/>
          <w:szCs w:val="22"/>
        </w:rPr>
        <w:t>instrument.</w:t>
      </w:r>
      <w:r w:rsidR="00E210A3">
        <w:rPr>
          <w:rStyle w:val="FootnoteReference"/>
          <w:rFonts w:ascii="Times New Roman" w:hAnsi="Times New Roman"/>
          <w:szCs w:val="22"/>
        </w:rPr>
        <w:footnoteReference w:id="185"/>
      </w:r>
      <w:r>
        <w:rPr>
          <w:rFonts w:ascii="Times New Roman" w:hAnsi="Times New Roman"/>
          <w:sz w:val="22"/>
          <w:szCs w:val="22"/>
        </w:rPr>
        <w:t xml:space="preserve">  These surveillance reports must be prepared by an NRSRO throughout the life of the TIFIA credit instrument.</w:t>
      </w:r>
      <w:r w:rsidR="00E210A3">
        <w:rPr>
          <w:rStyle w:val="FootnoteReference"/>
          <w:rFonts w:ascii="Times New Roman" w:hAnsi="Times New Roman"/>
          <w:szCs w:val="22"/>
        </w:rPr>
        <w:footnoteReference w:id="186"/>
      </w:r>
      <w:r>
        <w:rPr>
          <w:rFonts w:ascii="Times New Roman" w:hAnsi="Times New Roman"/>
          <w:sz w:val="22"/>
          <w:szCs w:val="22"/>
        </w:rPr>
        <w:t xml:space="preserve">  By “current credit evaluation</w:t>
      </w:r>
      <w:r w:rsidR="000D4F00">
        <w:rPr>
          <w:rFonts w:ascii="Times New Roman" w:hAnsi="Times New Roman"/>
          <w:sz w:val="22"/>
          <w:szCs w:val="22"/>
        </w:rPr>
        <w:t>,</w:t>
      </w:r>
      <w:r>
        <w:rPr>
          <w:rFonts w:ascii="Times New Roman" w:hAnsi="Times New Roman"/>
          <w:sz w:val="22"/>
          <w:szCs w:val="22"/>
        </w:rPr>
        <w:t xml:space="preserve">” </w:t>
      </w:r>
      <w:r w:rsidR="000D4F00">
        <w:rPr>
          <w:rFonts w:ascii="Times New Roman" w:hAnsi="Times New Roman"/>
          <w:sz w:val="22"/>
          <w:szCs w:val="22"/>
        </w:rPr>
        <w:t xml:space="preserve">the </w:t>
      </w:r>
      <w:r>
        <w:rPr>
          <w:rFonts w:ascii="Times New Roman" w:hAnsi="Times New Roman"/>
          <w:sz w:val="22"/>
          <w:szCs w:val="22"/>
        </w:rPr>
        <w:t>DOT means</w:t>
      </w:r>
      <w:r w:rsidRPr="00105408">
        <w:rPr>
          <w:rFonts w:ascii="Times New Roman" w:hAnsi="Times New Roman"/>
          <w:sz w:val="22"/>
          <w:szCs w:val="22"/>
        </w:rPr>
        <w:t>: (</w:t>
      </w:r>
      <w:proofErr w:type="spellStart"/>
      <w:r w:rsidRPr="00105408">
        <w:rPr>
          <w:rFonts w:ascii="Times New Roman" w:hAnsi="Times New Roman"/>
          <w:sz w:val="22"/>
          <w:szCs w:val="22"/>
        </w:rPr>
        <w:t>i</w:t>
      </w:r>
      <w:proofErr w:type="spellEnd"/>
      <w:r w:rsidRPr="00105408">
        <w:rPr>
          <w:rFonts w:ascii="Times New Roman" w:hAnsi="Times New Roman"/>
          <w:sz w:val="22"/>
          <w:szCs w:val="22"/>
        </w:rPr>
        <w:t>)</w:t>
      </w:r>
      <w:r>
        <w:rPr>
          <w:rFonts w:ascii="Times New Roman" w:hAnsi="Times New Roman"/>
          <w:sz w:val="22"/>
          <w:szCs w:val="22"/>
        </w:rPr>
        <w:t xml:space="preserve"> in the case of a project with a published rating, either a current rating or the borrower’s certification stating that the rating and outlook are unchanged from the previous year, and </w:t>
      </w:r>
      <w:r w:rsidRPr="00105408">
        <w:rPr>
          <w:rFonts w:ascii="Times New Roman" w:hAnsi="Times New Roman"/>
          <w:sz w:val="22"/>
          <w:szCs w:val="22"/>
        </w:rPr>
        <w:t>(ii)</w:t>
      </w:r>
      <w:r>
        <w:rPr>
          <w:rFonts w:ascii="Times New Roman" w:hAnsi="Times New Roman"/>
          <w:sz w:val="22"/>
          <w:szCs w:val="22"/>
        </w:rPr>
        <w:t xml:space="preserve"> in the case of a project without a published rating, a current rating of the project obligations and the Federal credit instrument.  </w:t>
      </w:r>
      <w:r w:rsidR="002B3EC0" w:rsidRPr="002B3EC0">
        <w:rPr>
          <w:rFonts w:ascii="Times New Roman" w:hAnsi="Times New Roman"/>
          <w:sz w:val="22"/>
          <w:szCs w:val="22"/>
        </w:rPr>
        <w:t xml:space="preserve">The DOT will also require periodic updates to the rating rationale to the extent that it is not included as part of the annual rating letter.  </w:t>
      </w:r>
      <w:r>
        <w:rPr>
          <w:rFonts w:ascii="Times New Roman" w:hAnsi="Times New Roman"/>
          <w:sz w:val="22"/>
          <w:szCs w:val="22"/>
        </w:rPr>
        <w:t>The borrower must furnish the DOT with any other credit surveillance reports on the TIFIA-assisted project as soon as they are available.</w:t>
      </w:r>
    </w:p>
    <w:p w:rsidR="00B77793" w:rsidRDefault="00B77793" w:rsidP="00D41612">
      <w:pPr>
        <w:pStyle w:val="CM11"/>
        <w:widowControl/>
        <w:spacing w:after="240" w:line="271" w:lineRule="atLeast"/>
        <w:jc w:val="both"/>
        <w:rPr>
          <w:rFonts w:ascii="Times New Roman" w:hAnsi="Times New Roman"/>
          <w:sz w:val="22"/>
        </w:rPr>
      </w:pPr>
      <w:r>
        <w:rPr>
          <w:rFonts w:ascii="Times New Roman" w:hAnsi="Times New Roman"/>
          <w:sz w:val="22"/>
        </w:rPr>
        <w:lastRenderedPageBreak/>
        <w:t xml:space="preserve">The DOT’s oversight and monitoring may also include site visits, periodic status meetings with the borrower, and reviews of independent engineer and/or other relevant reports.  The TIFIA JPO will coordinate oversight and monitoring activities with the appropriate DOT field offices. </w:t>
      </w:r>
    </w:p>
    <w:p w:rsidR="00B77793" w:rsidRDefault="00B77793" w:rsidP="00D41612">
      <w:pPr>
        <w:pStyle w:val="CM12"/>
        <w:widowControl/>
        <w:spacing w:after="240" w:line="271" w:lineRule="atLeast"/>
        <w:jc w:val="both"/>
        <w:rPr>
          <w:rFonts w:ascii="Times New Roman" w:hAnsi="Times New Roman"/>
          <w:sz w:val="22"/>
        </w:rPr>
      </w:pPr>
      <w:r>
        <w:rPr>
          <w:rFonts w:ascii="Times New Roman" w:hAnsi="Times New Roman"/>
          <w:sz w:val="22"/>
        </w:rPr>
        <w:t xml:space="preserve">Each credit agreement between the DOT and a borrower will specify the types of ongoing documentation required by the DOT and the frequency of such information requests.  The credit agreement will also authorize the DOT to commence increased monitoring and reporting, as may be necessary, to ensure the continued credit quality of the project and minimize the </w:t>
      </w:r>
      <w:r w:rsidR="00127E09">
        <w:rPr>
          <w:rFonts w:ascii="Times New Roman" w:hAnsi="Times New Roman"/>
          <w:sz w:val="22"/>
        </w:rPr>
        <w:t xml:space="preserve">Federal </w:t>
      </w:r>
      <w:r>
        <w:rPr>
          <w:rFonts w:ascii="Times New Roman" w:hAnsi="Times New Roman"/>
          <w:sz w:val="22"/>
        </w:rPr>
        <w:t xml:space="preserve">Government’s risk. </w:t>
      </w:r>
    </w:p>
    <w:p w:rsidR="00B77793" w:rsidRPr="00BC7C0A" w:rsidRDefault="00B77793">
      <w:pPr>
        <w:pStyle w:val="TIFIAHeading1a"/>
        <w:keepLines/>
        <w:widowControl/>
        <w:spacing w:before="0"/>
        <w:outlineLvl w:val="0"/>
      </w:pPr>
      <w:r w:rsidRPr="00BC7C0A">
        <w:t>Section 6-5</w:t>
      </w:r>
    </w:p>
    <w:p w:rsidR="00B77793" w:rsidRPr="00BC7C0A" w:rsidRDefault="00B77793" w:rsidP="00FA71EE">
      <w:pPr>
        <w:pStyle w:val="CM11"/>
        <w:keepLines/>
        <w:widowControl/>
        <w:spacing w:after="240" w:line="271" w:lineRule="atLeast"/>
        <w:jc w:val="both"/>
        <w:outlineLvl w:val="0"/>
        <w:rPr>
          <w:b/>
        </w:rPr>
      </w:pPr>
      <w:r w:rsidRPr="00BC7C0A">
        <w:rPr>
          <w:b/>
        </w:rPr>
        <w:t>Loan Servicing</w:t>
      </w:r>
    </w:p>
    <w:p w:rsidR="00B77793" w:rsidRDefault="00B77793" w:rsidP="00D41612">
      <w:pPr>
        <w:pStyle w:val="CM11"/>
        <w:widowControl/>
        <w:spacing w:after="240" w:line="271" w:lineRule="atLeast"/>
        <w:jc w:val="both"/>
        <w:rPr>
          <w:rFonts w:ascii="Times New Roman" w:hAnsi="Times New Roman"/>
          <w:sz w:val="22"/>
        </w:rPr>
      </w:pPr>
      <w:r w:rsidRPr="00BC7C0A">
        <w:rPr>
          <w:rFonts w:ascii="Times New Roman" w:hAnsi="Times New Roman"/>
          <w:sz w:val="22"/>
        </w:rPr>
        <w:t xml:space="preserve">The DOT </w:t>
      </w:r>
      <w:r w:rsidR="00FF1C3C" w:rsidRPr="00BC7C0A">
        <w:rPr>
          <w:rFonts w:ascii="Times New Roman" w:hAnsi="Times New Roman"/>
          <w:sz w:val="22"/>
        </w:rPr>
        <w:t xml:space="preserve">may retain </w:t>
      </w:r>
      <w:r w:rsidRPr="00BC7C0A">
        <w:rPr>
          <w:rFonts w:ascii="Times New Roman" w:hAnsi="Times New Roman"/>
          <w:sz w:val="22"/>
        </w:rPr>
        <w:t xml:space="preserve">outside </w:t>
      </w:r>
      <w:r w:rsidR="00FF1C3C" w:rsidRPr="00BC7C0A">
        <w:rPr>
          <w:rFonts w:ascii="Times New Roman" w:hAnsi="Times New Roman"/>
          <w:sz w:val="22"/>
        </w:rPr>
        <w:t xml:space="preserve">assistance </w:t>
      </w:r>
      <w:r w:rsidRPr="00BC7C0A">
        <w:rPr>
          <w:rFonts w:ascii="Times New Roman" w:hAnsi="Times New Roman"/>
          <w:sz w:val="22"/>
        </w:rPr>
        <w:t>to perform loan servicing for TIFIA credit instruments, including credit accounting, collections, maintenance of documents, and financial reporting.</w:t>
      </w:r>
      <w:r w:rsidR="00E210A3">
        <w:rPr>
          <w:rStyle w:val="FootnoteReference"/>
          <w:rFonts w:ascii="Times New Roman" w:hAnsi="Times New Roman"/>
        </w:rPr>
        <w:footnoteReference w:id="187"/>
      </w:r>
      <w:r w:rsidRPr="00BC7C0A">
        <w:rPr>
          <w:rFonts w:ascii="Times New Roman" w:hAnsi="Times New Roman"/>
          <w:sz w:val="22"/>
        </w:rPr>
        <w:t xml:space="preserve">  To offset in part the DOT’s costs, a TIFIA borrower is charged an annual fee for loan servicing activities associated with each TIFIA credit instrument, which is adjusted periodically</w:t>
      </w:r>
      <w:r w:rsidR="00FF1C3C" w:rsidRPr="00BC7C0A">
        <w:rPr>
          <w:rFonts w:ascii="Times New Roman" w:hAnsi="Times New Roman"/>
          <w:sz w:val="22"/>
        </w:rPr>
        <w:t xml:space="preserve"> based on inflation.</w:t>
      </w:r>
      <w:r w:rsidR="00E210A3">
        <w:rPr>
          <w:rStyle w:val="FootnoteReference"/>
          <w:rFonts w:ascii="Times New Roman" w:hAnsi="Times New Roman"/>
        </w:rPr>
        <w:footnoteReference w:id="188"/>
      </w:r>
    </w:p>
    <w:p w:rsidR="00B77793" w:rsidRDefault="00B77793" w:rsidP="00D41612">
      <w:pPr>
        <w:pStyle w:val="CM1"/>
        <w:widowControl/>
        <w:spacing w:after="240"/>
        <w:jc w:val="both"/>
        <w:rPr>
          <w:rFonts w:ascii="Times New Roman" w:hAnsi="Times New Roman"/>
          <w:sz w:val="22"/>
        </w:rPr>
      </w:pPr>
      <w:r>
        <w:rPr>
          <w:rFonts w:ascii="Times New Roman" w:hAnsi="Times New Roman"/>
          <w:sz w:val="22"/>
        </w:rPr>
        <w:t>The DOT will provide general payment instructions to the borrower for each credit agreement.  Prior to each repayment date, the DOT’s loan servicer will notify the borrower of the date and amount due in accordance with the payment schedule in the credit agreement.  The loan servicer will also bill each borrower annually for servicing fees, for the DOT’s account, in accordance with the provisions in the credit agreement.</w:t>
      </w:r>
    </w:p>
    <w:p w:rsidR="00B77793" w:rsidRDefault="00B77793">
      <w:pPr>
        <w:pStyle w:val="Default"/>
        <w:widowControl/>
        <w:jc w:val="both"/>
        <w:rPr>
          <w:rFonts w:ascii="Times New Roman" w:hAnsi="Times New Roman"/>
          <w:color w:val="auto"/>
          <w:sz w:val="22"/>
        </w:rPr>
      </w:pPr>
    </w:p>
    <w:p w:rsidR="00B77793" w:rsidRDefault="00B77793">
      <w:pPr>
        <w:pStyle w:val="TIFIABodyText"/>
        <w:widowControl/>
        <w:sectPr w:rsidR="00B77793">
          <w:headerReference w:type="even" r:id="rId60"/>
          <w:headerReference w:type="default" r:id="rId61"/>
          <w:footerReference w:type="even" r:id="rId62"/>
          <w:footerReference w:type="default" r:id="rId63"/>
          <w:footerReference w:type="first" r:id="rId64"/>
          <w:endnotePr>
            <w:numFmt w:val="decimal"/>
          </w:endnotePr>
          <w:pgSz w:w="12240" w:h="15840" w:code="1"/>
          <w:pgMar w:top="1440" w:right="1440" w:bottom="1440" w:left="2520" w:header="720" w:footer="720" w:gutter="0"/>
          <w:pgNumType w:start="1"/>
          <w:cols w:space="720"/>
          <w:noEndnote/>
          <w:titlePg/>
        </w:sectPr>
      </w:pPr>
    </w:p>
    <w:p w:rsidR="00B77793" w:rsidRDefault="00B77793" w:rsidP="0051120F">
      <w:pPr>
        <w:pStyle w:val="TIFIAChapterTitle"/>
        <w:widowControl/>
        <w:spacing w:after="240"/>
        <w:ind w:left="2160" w:hanging="2160"/>
        <w:outlineLvl w:val="0"/>
      </w:pPr>
      <w:r>
        <w:lastRenderedPageBreak/>
        <w:t>Chapter 7: Special Issues Related to Loan Guarantees</w:t>
      </w:r>
    </w:p>
    <w:p w:rsidR="00B77793" w:rsidRDefault="00B77793" w:rsidP="00D41612">
      <w:pPr>
        <w:pStyle w:val="TIFIABodyText"/>
        <w:widowControl/>
        <w:spacing w:line="271" w:lineRule="exact"/>
      </w:pPr>
      <w:r>
        <w:t>By guaranteeing a loan, the DOT promises to pay a guaranteed lender in the event that the borrower defaults on its scheduled payments of the guaranteed loan.  The TIFIA statute limits the role of guaranteed lender in such transactions to certain types of “institutional buyers”, essentially large and sophisticated financial institutions.</w:t>
      </w:r>
      <w:r w:rsidR="00FE6385">
        <w:rPr>
          <w:rStyle w:val="FootnoteReference"/>
        </w:rPr>
        <w:footnoteReference w:id="189"/>
      </w:r>
    </w:p>
    <w:p w:rsidR="00B77793" w:rsidRDefault="00B77793" w:rsidP="00D41612">
      <w:pPr>
        <w:pStyle w:val="TIFIABodyText"/>
        <w:widowControl/>
        <w:spacing w:line="271" w:lineRule="exact"/>
      </w:pPr>
      <w:r>
        <w:t>The DOT must have confidence that the guaranteed lender has entered into a reasonable loan agreement with the borrower and also is capable of fulfilling its loan servicing responsibilities.  To this end, the DOT has established basic eligibility criteria to evaluate and approve guaranteed lenders prior to execution of a loan guarantee agreement.  This chapter outlines these eligibility criteria as well as the guaranteed lender’s major responsibilities.</w:t>
      </w:r>
    </w:p>
    <w:p w:rsidR="00B77793" w:rsidRDefault="00B77793">
      <w:pPr>
        <w:pStyle w:val="TIFIAHeading1a"/>
        <w:widowControl/>
        <w:outlineLvl w:val="0"/>
      </w:pPr>
      <w:r>
        <w:t>Section 7-1</w:t>
      </w:r>
    </w:p>
    <w:p w:rsidR="00B77793" w:rsidRDefault="00B77793" w:rsidP="00FA71EE">
      <w:pPr>
        <w:pStyle w:val="TIFIAHeading1b"/>
        <w:widowControl/>
        <w:spacing w:after="240"/>
        <w:outlineLvl w:val="0"/>
      </w:pPr>
      <w:r>
        <w:t xml:space="preserve">Guaranteed Lender Eligibility </w:t>
      </w:r>
    </w:p>
    <w:p w:rsidR="00B77793" w:rsidRDefault="00B77793" w:rsidP="00D41612">
      <w:pPr>
        <w:pStyle w:val="TIFIABodyText"/>
        <w:widowControl/>
        <w:spacing w:line="271" w:lineRule="atLeast"/>
      </w:pPr>
      <w:r>
        <w:t>The guaranteed lender and the terms of the guaranteed loan must be approved by the DOT.</w:t>
      </w:r>
      <w:r w:rsidR="004B77BA">
        <w:t xml:space="preserve"> </w:t>
      </w:r>
      <w:r>
        <w:t xml:space="preserve"> The DOT will evaluate prospective guaranteed lenders with respect to the following:</w:t>
      </w:r>
    </w:p>
    <w:p w:rsidR="00B77793" w:rsidRDefault="00B77793" w:rsidP="00D41612">
      <w:pPr>
        <w:pStyle w:val="TIFIABodyText"/>
        <w:widowControl/>
        <w:numPr>
          <w:ilvl w:val="0"/>
          <w:numId w:val="2"/>
        </w:numPr>
        <w:tabs>
          <w:tab w:val="left" w:pos="360"/>
        </w:tabs>
        <w:overflowPunct/>
        <w:autoSpaceDE/>
        <w:autoSpaceDN/>
        <w:adjustRightInd/>
        <w:spacing w:line="271" w:lineRule="atLeast"/>
        <w:textAlignment w:val="auto"/>
      </w:pPr>
      <w:r>
        <w:t>The guaranteed lender must meet the definition of “lender” set forth in the initial authorizing legislation (TEA 21) for TIFIA, as amended:</w:t>
      </w:r>
    </w:p>
    <w:p w:rsidR="00B77793" w:rsidRDefault="00B77793" w:rsidP="00D41612">
      <w:pPr>
        <w:pStyle w:val="TIFIABodyText"/>
        <w:widowControl/>
        <w:numPr>
          <w:ilvl w:val="12"/>
          <w:numId w:val="0"/>
        </w:numPr>
        <w:spacing w:line="271" w:lineRule="atLeast"/>
        <w:ind w:left="900" w:right="540"/>
      </w:pPr>
      <w:r>
        <w:t xml:space="preserve">“… any non-Federal qualified institutional buyer (as defined in section 230.144A(a) of title 17, Code of Federal Regulations (or any successor regulation), known as Rule 144A(a) of the Securities and Exchange Commission and issued under the Securities Act of 1933 (15 U.S.C. 77a et seq.)), including: </w:t>
      </w:r>
    </w:p>
    <w:p w:rsidR="00B77793" w:rsidRDefault="00B77793" w:rsidP="00D41612">
      <w:pPr>
        <w:pStyle w:val="TIFIABodyText"/>
        <w:widowControl/>
        <w:numPr>
          <w:ilvl w:val="12"/>
          <w:numId w:val="0"/>
        </w:numPr>
        <w:spacing w:line="271" w:lineRule="atLeast"/>
        <w:ind w:left="1620" w:right="540" w:hanging="360"/>
      </w:pPr>
      <w:r>
        <w:t>(1) A qualified retirement plan (as defined in section 4974(c) of the Internal Revenue Code of 1986) that is a qualified institutional buyer; and</w:t>
      </w:r>
    </w:p>
    <w:p w:rsidR="00B77793" w:rsidRDefault="00B77793" w:rsidP="00D41612">
      <w:pPr>
        <w:pStyle w:val="TIFIABodyText"/>
        <w:widowControl/>
        <w:numPr>
          <w:ilvl w:val="12"/>
          <w:numId w:val="0"/>
        </w:numPr>
        <w:spacing w:line="271" w:lineRule="atLeast"/>
        <w:ind w:left="1620" w:right="540" w:hanging="360"/>
      </w:pPr>
      <w:r>
        <w:t>(2) A governmental plan (as defined in section 414(d) of the Internal Revenue Code of 1986) that is a qualified institutional buyer.”</w:t>
      </w:r>
      <w:r w:rsidR="00FE6385">
        <w:rPr>
          <w:rStyle w:val="FootnoteReference"/>
        </w:rPr>
        <w:footnoteReference w:id="190"/>
      </w:r>
    </w:p>
    <w:p w:rsidR="00B77793" w:rsidRDefault="00B77793" w:rsidP="00D41612">
      <w:pPr>
        <w:pStyle w:val="TIFIABodyText"/>
        <w:widowControl/>
        <w:numPr>
          <w:ilvl w:val="0"/>
          <w:numId w:val="2"/>
        </w:numPr>
        <w:tabs>
          <w:tab w:val="left" w:pos="360"/>
        </w:tabs>
        <w:overflowPunct/>
        <w:autoSpaceDE/>
        <w:autoSpaceDN/>
        <w:adjustRightInd/>
        <w:spacing w:line="271" w:lineRule="atLeast"/>
        <w:textAlignment w:val="auto"/>
      </w:pPr>
      <w:r>
        <w:t>The guaranteed lender must not be debarred or suspended from participation in any Federal program.</w:t>
      </w:r>
      <w:r w:rsidR="004B77BA">
        <w:rPr>
          <w:rStyle w:val="FootnoteReference"/>
        </w:rPr>
        <w:footnoteReference w:id="191"/>
      </w:r>
    </w:p>
    <w:p w:rsidR="00B77793" w:rsidRDefault="00B77793" w:rsidP="00D41612">
      <w:pPr>
        <w:pStyle w:val="TIFIABodyText"/>
        <w:widowControl/>
        <w:numPr>
          <w:ilvl w:val="0"/>
          <w:numId w:val="2"/>
        </w:numPr>
        <w:tabs>
          <w:tab w:val="left" w:pos="360"/>
        </w:tabs>
        <w:overflowPunct/>
        <w:autoSpaceDE/>
        <w:autoSpaceDN/>
        <w:adjustRightInd/>
        <w:spacing w:line="271" w:lineRule="atLeast"/>
        <w:textAlignment w:val="auto"/>
      </w:pPr>
      <w:r>
        <w:t>The guaranteed lender must not be delinquent on any Federal debt or loan.</w:t>
      </w:r>
      <w:r w:rsidR="004B77BA">
        <w:rPr>
          <w:rStyle w:val="FootnoteReference"/>
        </w:rPr>
        <w:footnoteReference w:id="192"/>
      </w:r>
    </w:p>
    <w:p w:rsidR="00B77793" w:rsidRDefault="00B77793" w:rsidP="00D41612">
      <w:pPr>
        <w:pStyle w:val="TIFIABodyText"/>
        <w:widowControl/>
        <w:numPr>
          <w:ilvl w:val="0"/>
          <w:numId w:val="2"/>
        </w:numPr>
        <w:tabs>
          <w:tab w:val="left" w:pos="360"/>
        </w:tabs>
        <w:overflowPunct/>
        <w:autoSpaceDE/>
        <w:autoSpaceDN/>
        <w:adjustRightInd/>
        <w:spacing w:line="271" w:lineRule="atLeast"/>
        <w:textAlignment w:val="auto"/>
      </w:pPr>
      <w:r>
        <w:lastRenderedPageBreak/>
        <w:t>The guaranteed lender must be duly organized and legally authorized to enter into the transaction.</w:t>
      </w:r>
    </w:p>
    <w:p w:rsidR="00B77793" w:rsidRDefault="00B77793" w:rsidP="00D41612">
      <w:pPr>
        <w:pStyle w:val="TIFIABodyText"/>
        <w:widowControl/>
        <w:numPr>
          <w:ilvl w:val="0"/>
          <w:numId w:val="2"/>
        </w:numPr>
        <w:tabs>
          <w:tab w:val="left" w:pos="360"/>
        </w:tabs>
        <w:overflowPunct/>
        <w:autoSpaceDE/>
        <w:autoSpaceDN/>
        <w:adjustRightInd/>
        <w:spacing w:line="271" w:lineRule="atLeast"/>
        <w:textAlignment w:val="auto"/>
      </w:pPr>
      <w:r>
        <w:t>The guaranteed lender must demonstrate experience in originating and servicing loans for large-scale developments.</w:t>
      </w:r>
    </w:p>
    <w:p w:rsidR="00B77793" w:rsidRDefault="00B77793" w:rsidP="00D41612">
      <w:pPr>
        <w:pStyle w:val="TIFIABodyText"/>
        <w:widowControl/>
        <w:numPr>
          <w:ilvl w:val="0"/>
          <w:numId w:val="2"/>
        </w:numPr>
        <w:tabs>
          <w:tab w:val="left" w:pos="360"/>
        </w:tabs>
        <w:overflowPunct/>
        <w:autoSpaceDE/>
        <w:autoSpaceDN/>
        <w:adjustRightInd/>
        <w:spacing w:line="271" w:lineRule="atLeast"/>
        <w:textAlignment w:val="auto"/>
      </w:pPr>
      <w:r>
        <w:t>The guaranteed lender must demonstrate that it has sufficient capital to originate the loan and disburse for its own portfolio.</w:t>
      </w:r>
    </w:p>
    <w:p w:rsidR="00B77793" w:rsidRDefault="00B77793" w:rsidP="00D41612">
      <w:pPr>
        <w:pStyle w:val="TIFIABodyText"/>
        <w:widowControl/>
        <w:numPr>
          <w:ilvl w:val="0"/>
          <w:numId w:val="2"/>
        </w:numPr>
        <w:tabs>
          <w:tab w:val="left" w:pos="360"/>
        </w:tabs>
        <w:overflowPunct/>
        <w:autoSpaceDE/>
        <w:autoSpaceDN/>
        <w:adjustRightInd/>
        <w:spacing w:line="271" w:lineRule="atLeast"/>
        <w:textAlignment w:val="auto"/>
      </w:pPr>
      <w:r>
        <w:t xml:space="preserve">If a guaranteed lender chooses to use a </w:t>
      </w:r>
      <w:proofErr w:type="spellStart"/>
      <w:r>
        <w:t>subservicer</w:t>
      </w:r>
      <w:proofErr w:type="spellEnd"/>
      <w:r>
        <w:t xml:space="preserve">, the guaranteed lender must demonstrate that the </w:t>
      </w:r>
      <w:proofErr w:type="spellStart"/>
      <w:r>
        <w:t>subservicer</w:t>
      </w:r>
      <w:proofErr w:type="spellEnd"/>
      <w:r>
        <w:t xml:space="preserve"> is capable of handling the servicing responsibilities under the credit agreement.  (The guaranteed lender shall remain responsible to the DOT for all servicing responsibilities under the credit agreement.) </w:t>
      </w:r>
    </w:p>
    <w:p w:rsidR="00B77793" w:rsidRDefault="00B77793" w:rsidP="00D41612">
      <w:pPr>
        <w:pStyle w:val="TIFIABodyText"/>
        <w:widowControl/>
        <w:numPr>
          <w:ilvl w:val="0"/>
          <w:numId w:val="2"/>
        </w:numPr>
        <w:tabs>
          <w:tab w:val="left" w:pos="360"/>
        </w:tabs>
        <w:overflowPunct/>
        <w:autoSpaceDE/>
        <w:autoSpaceDN/>
        <w:adjustRightInd/>
        <w:spacing w:line="271" w:lineRule="atLeast"/>
        <w:textAlignment w:val="auto"/>
      </w:pPr>
      <w:r>
        <w:t xml:space="preserve">The guaranteed lender must provide certifications as specified in the </w:t>
      </w:r>
      <w:r w:rsidR="00FE6385">
        <w:t xml:space="preserve">loan guarantee </w:t>
      </w:r>
      <w:r>
        <w:t>agreement with the DOT and must maintain lender eligibility conditions.</w:t>
      </w:r>
    </w:p>
    <w:p w:rsidR="00B77793" w:rsidRDefault="00B77793" w:rsidP="00D41612">
      <w:pPr>
        <w:pStyle w:val="TIFIABodyText"/>
        <w:widowControl/>
        <w:numPr>
          <w:ilvl w:val="0"/>
          <w:numId w:val="2"/>
        </w:numPr>
        <w:tabs>
          <w:tab w:val="left" w:pos="360"/>
        </w:tabs>
        <w:overflowPunct/>
        <w:autoSpaceDE/>
        <w:autoSpaceDN/>
        <w:adjustRightInd/>
        <w:spacing w:line="271" w:lineRule="atLeast"/>
        <w:textAlignment w:val="auto"/>
      </w:pPr>
      <w:r>
        <w:t xml:space="preserve">The guaranteed lender must provide periodic financial information to </w:t>
      </w:r>
      <w:r w:rsidR="000D4F00">
        <w:t xml:space="preserve">the </w:t>
      </w:r>
      <w:r>
        <w:t xml:space="preserve">DOT’s loan servicer in accordance with requirements specified in the </w:t>
      </w:r>
      <w:r w:rsidR="00FE6385">
        <w:t xml:space="preserve">loan guarantee </w:t>
      </w:r>
      <w:r>
        <w:t>agreement.</w:t>
      </w:r>
    </w:p>
    <w:p w:rsidR="00B77793" w:rsidRDefault="00B77793">
      <w:pPr>
        <w:pStyle w:val="TIFIAHeading1a"/>
        <w:widowControl/>
        <w:numPr>
          <w:ilvl w:val="12"/>
          <w:numId w:val="0"/>
        </w:numPr>
        <w:outlineLvl w:val="0"/>
      </w:pPr>
      <w:r>
        <w:t>Section 7-2</w:t>
      </w:r>
    </w:p>
    <w:p w:rsidR="00B77793" w:rsidRDefault="00B77793" w:rsidP="00FA71EE">
      <w:pPr>
        <w:pStyle w:val="TIFIAHeading1b"/>
        <w:widowControl/>
        <w:numPr>
          <w:ilvl w:val="12"/>
          <w:numId w:val="0"/>
        </w:numPr>
        <w:spacing w:after="240"/>
        <w:outlineLvl w:val="0"/>
      </w:pPr>
      <w:r>
        <w:t>Guaranteed Lender Responsibilities</w:t>
      </w:r>
    </w:p>
    <w:p w:rsidR="00B77793" w:rsidRDefault="00B77793" w:rsidP="00CA0383">
      <w:pPr>
        <w:pStyle w:val="TIFIABodyText"/>
        <w:widowControl/>
        <w:numPr>
          <w:ilvl w:val="12"/>
          <w:numId w:val="0"/>
        </w:numPr>
        <w:spacing w:line="271" w:lineRule="exact"/>
        <w:rPr>
          <w:b/>
        </w:rPr>
      </w:pPr>
      <w:r>
        <w:t>The guaranteed lender may perform the following types of activities.  The DOT may request documentation demonstrating the guaranteed lender’s capacity to handle such responsibilities.</w:t>
      </w:r>
    </w:p>
    <w:p w:rsidR="00B77793" w:rsidRDefault="00B77793" w:rsidP="00CA0383">
      <w:pPr>
        <w:pStyle w:val="TIFIABodyText"/>
        <w:widowControl/>
        <w:numPr>
          <w:ilvl w:val="0"/>
          <w:numId w:val="2"/>
        </w:numPr>
        <w:tabs>
          <w:tab w:val="left" w:pos="360"/>
        </w:tabs>
        <w:overflowPunct/>
        <w:autoSpaceDE/>
        <w:autoSpaceDN/>
        <w:adjustRightInd/>
        <w:spacing w:line="271" w:lineRule="exact"/>
        <w:textAlignment w:val="auto"/>
        <w:rPr>
          <w:b/>
        </w:rPr>
      </w:pPr>
      <w:r>
        <w:t>Loan file compilation and retention;</w:t>
      </w:r>
    </w:p>
    <w:p w:rsidR="00B77793" w:rsidRDefault="00B77793" w:rsidP="00CA0383">
      <w:pPr>
        <w:pStyle w:val="TIFIABodyText"/>
        <w:widowControl/>
        <w:numPr>
          <w:ilvl w:val="0"/>
          <w:numId w:val="2"/>
        </w:numPr>
        <w:tabs>
          <w:tab w:val="left" w:pos="360"/>
        </w:tabs>
        <w:overflowPunct/>
        <w:autoSpaceDE/>
        <w:autoSpaceDN/>
        <w:adjustRightInd/>
        <w:spacing w:line="271" w:lineRule="exact"/>
        <w:textAlignment w:val="auto"/>
        <w:rPr>
          <w:b/>
        </w:rPr>
      </w:pPr>
      <w:r>
        <w:t>Loan disbursement;</w:t>
      </w:r>
    </w:p>
    <w:p w:rsidR="00B77793" w:rsidRDefault="00B77793" w:rsidP="00CA0383">
      <w:pPr>
        <w:pStyle w:val="TIFIABodyText"/>
        <w:widowControl/>
        <w:numPr>
          <w:ilvl w:val="0"/>
          <w:numId w:val="2"/>
        </w:numPr>
        <w:tabs>
          <w:tab w:val="left" w:pos="360"/>
        </w:tabs>
        <w:overflowPunct/>
        <w:autoSpaceDE/>
        <w:autoSpaceDN/>
        <w:adjustRightInd/>
        <w:spacing w:line="271" w:lineRule="exact"/>
        <w:textAlignment w:val="auto"/>
        <w:rPr>
          <w:b/>
        </w:rPr>
      </w:pPr>
      <w:r>
        <w:t>Collection and accounting of all amounts due and received under the terms of the loan, including release of liens for pay-off at maturity and prepayments;</w:t>
      </w:r>
    </w:p>
    <w:p w:rsidR="00B77793" w:rsidRDefault="00B77793" w:rsidP="00CA0383">
      <w:pPr>
        <w:pStyle w:val="TIFIABodyText"/>
        <w:widowControl/>
        <w:numPr>
          <w:ilvl w:val="0"/>
          <w:numId w:val="2"/>
        </w:numPr>
        <w:tabs>
          <w:tab w:val="left" w:pos="360"/>
        </w:tabs>
        <w:overflowPunct/>
        <w:autoSpaceDE/>
        <w:autoSpaceDN/>
        <w:adjustRightInd/>
        <w:spacing w:line="271" w:lineRule="exact"/>
        <w:textAlignment w:val="auto"/>
      </w:pPr>
      <w:r>
        <w:t>Maintenance of reserve accounts (if applicable);</w:t>
      </w:r>
    </w:p>
    <w:p w:rsidR="00B77793" w:rsidRDefault="00B77793" w:rsidP="00CA0383">
      <w:pPr>
        <w:pStyle w:val="TIFIABodyText"/>
        <w:widowControl/>
        <w:numPr>
          <w:ilvl w:val="0"/>
          <w:numId w:val="2"/>
        </w:numPr>
        <w:tabs>
          <w:tab w:val="left" w:pos="360"/>
        </w:tabs>
        <w:overflowPunct/>
        <w:autoSpaceDE/>
        <w:autoSpaceDN/>
        <w:adjustRightInd/>
        <w:spacing w:line="271" w:lineRule="exact"/>
        <w:textAlignment w:val="auto"/>
      </w:pPr>
      <w:r>
        <w:t>Supervision and quality control of subservicing (if applicable);</w:t>
      </w:r>
    </w:p>
    <w:p w:rsidR="00B77793" w:rsidRDefault="00B77793" w:rsidP="00CA0383">
      <w:pPr>
        <w:pStyle w:val="TIFIABodyText"/>
        <w:widowControl/>
        <w:numPr>
          <w:ilvl w:val="0"/>
          <w:numId w:val="2"/>
        </w:numPr>
        <w:tabs>
          <w:tab w:val="left" w:pos="360"/>
        </w:tabs>
        <w:overflowPunct/>
        <w:autoSpaceDE/>
        <w:autoSpaceDN/>
        <w:adjustRightInd/>
        <w:spacing w:line="271" w:lineRule="exact"/>
        <w:textAlignment w:val="auto"/>
      </w:pPr>
      <w:r>
        <w:t>Negotiation and restructuring of loans - loan workouts as approved by the DOT;</w:t>
      </w:r>
    </w:p>
    <w:p w:rsidR="00B77793" w:rsidRDefault="00B77793" w:rsidP="00CA0383">
      <w:pPr>
        <w:pStyle w:val="TIFIABodyText"/>
        <w:widowControl/>
        <w:numPr>
          <w:ilvl w:val="0"/>
          <w:numId w:val="2"/>
        </w:numPr>
        <w:tabs>
          <w:tab w:val="left" w:pos="360"/>
        </w:tabs>
        <w:overflowPunct/>
        <w:autoSpaceDE/>
        <w:autoSpaceDN/>
        <w:adjustRightInd/>
        <w:spacing w:line="271" w:lineRule="exact"/>
        <w:textAlignment w:val="auto"/>
      </w:pPr>
      <w:r>
        <w:t>Coordination with senior lender/trustee (if applicable);</w:t>
      </w:r>
    </w:p>
    <w:p w:rsidR="00B77793" w:rsidRDefault="00B77793" w:rsidP="00CA0383">
      <w:pPr>
        <w:pStyle w:val="TIFIABodyText"/>
        <w:widowControl/>
        <w:numPr>
          <w:ilvl w:val="0"/>
          <w:numId w:val="2"/>
        </w:numPr>
        <w:tabs>
          <w:tab w:val="left" w:pos="360"/>
        </w:tabs>
        <w:overflowPunct/>
        <w:autoSpaceDE/>
        <w:autoSpaceDN/>
        <w:adjustRightInd/>
        <w:spacing w:line="271" w:lineRule="exact"/>
        <w:textAlignment w:val="auto"/>
        <w:rPr>
          <w:b/>
        </w:rPr>
      </w:pPr>
      <w:r>
        <w:t>Immediate notifications in the event of payment delinquency and/or default, other defaults under the loan guarantee, potential corrective action plans, potential workout plans, change in borrower status, change in lender status, change in project status, failure of borrower to meet terms of the loan, etc.</w:t>
      </w:r>
    </w:p>
    <w:p w:rsidR="00B77793" w:rsidRDefault="00B77793">
      <w:pPr>
        <w:pStyle w:val="TIFIAHeading1a"/>
        <w:widowControl/>
        <w:outlineLvl w:val="0"/>
      </w:pPr>
      <w:r>
        <w:lastRenderedPageBreak/>
        <w:t>Section 7-3</w:t>
      </w:r>
    </w:p>
    <w:p w:rsidR="00B77793" w:rsidRDefault="00B77793" w:rsidP="00FA71EE">
      <w:pPr>
        <w:pStyle w:val="TIFIAHeading1b"/>
        <w:widowControl/>
        <w:spacing w:after="240"/>
        <w:outlineLvl w:val="0"/>
      </w:pPr>
      <w:r>
        <w:t>Loan Guarantee Provisions</w:t>
      </w:r>
    </w:p>
    <w:p w:rsidR="00B77793" w:rsidRDefault="00B77793" w:rsidP="00FA71EE">
      <w:pPr>
        <w:pStyle w:val="TIFIAHeading2"/>
        <w:widowControl/>
        <w:spacing w:line="271" w:lineRule="exact"/>
        <w:outlineLvl w:val="0"/>
      </w:pPr>
      <w:r>
        <w:t>Requirements for the Guaranteed Lender</w:t>
      </w:r>
    </w:p>
    <w:p w:rsidR="00B77793" w:rsidRDefault="00B77793" w:rsidP="00176DB6">
      <w:pPr>
        <w:pStyle w:val="TIFIABodyText"/>
        <w:keepNext/>
        <w:keepLines/>
        <w:widowControl/>
        <w:spacing w:line="271" w:lineRule="exact"/>
      </w:pPr>
      <w:r>
        <w:t xml:space="preserve">After the DOT has approved a guaranteed lender and a project has satisfied all conditions for TIFIA credit assistance, a </w:t>
      </w:r>
      <w:r w:rsidR="00FE6385">
        <w:t xml:space="preserve">loan guarantee </w:t>
      </w:r>
      <w:r>
        <w:t xml:space="preserve">agreement </w:t>
      </w:r>
      <w:r w:rsidR="00600FB1">
        <w:t xml:space="preserve">or instrument </w:t>
      </w:r>
      <w:r>
        <w:t xml:space="preserve">will be negotiated and signed by the borrower, the guaranteed lender, and the DOT.  The DOT will monitor the borrower and the guaranteed lender according to the conditions and requirements specified in the </w:t>
      </w:r>
      <w:r w:rsidR="00FE6385">
        <w:t xml:space="preserve">loan guarantee </w:t>
      </w:r>
      <w:r>
        <w:t>agreement.  The DOT may periodically perform on-site reviews of the guaranteed lender’s business operations or may request audited financial statements or updated certifications from the guaranteed lender indicating that the eligibility requirements are being maintained.</w:t>
      </w:r>
    </w:p>
    <w:p w:rsidR="00B77793" w:rsidRDefault="00B77793" w:rsidP="00FA71EE">
      <w:pPr>
        <w:pStyle w:val="TIFIABodyText"/>
        <w:widowControl/>
        <w:spacing w:line="271" w:lineRule="atLeast"/>
      </w:pPr>
      <w:r>
        <w:t>If the guaranteed lender fails to meet its obligations or to maintain the eligibility requirements, the DOT will advise the guaranteed lender of corrective actions that must be performed.  If these corrective actions are not performed within the specified timeframe, the DOT may require a transfer of loan servicing to another entity and/or pursue legal remedies.</w:t>
      </w:r>
    </w:p>
    <w:p w:rsidR="00B77793" w:rsidRDefault="00B77793" w:rsidP="00FA71EE">
      <w:pPr>
        <w:pStyle w:val="TIFIAHeading2"/>
        <w:widowControl/>
        <w:spacing w:line="271" w:lineRule="atLeast"/>
        <w:outlineLvl w:val="0"/>
      </w:pPr>
      <w:r>
        <w:t>Interest Rate</w:t>
      </w:r>
    </w:p>
    <w:p w:rsidR="00B77793" w:rsidRDefault="00B77793" w:rsidP="00FA71EE">
      <w:pPr>
        <w:pStyle w:val="TIFIAHeading2"/>
        <w:keepNext w:val="0"/>
        <w:widowControl/>
        <w:spacing w:line="271" w:lineRule="atLeast"/>
        <w:rPr>
          <w:rFonts w:ascii="Times New Roman" w:hAnsi="Times New Roman"/>
          <w:b w:val="0"/>
        </w:rPr>
      </w:pPr>
      <w:r>
        <w:rPr>
          <w:rFonts w:ascii="Times New Roman" w:hAnsi="Times New Roman"/>
          <w:b w:val="0"/>
        </w:rPr>
        <w:t>The interest rate on the guaranteed loan is negotiated between the guaranteed lender and the borrower, subject to the DOT’s approval.</w:t>
      </w:r>
      <w:r w:rsidR="004714AD">
        <w:rPr>
          <w:rStyle w:val="FootnoteReference"/>
          <w:rFonts w:ascii="Times New Roman" w:hAnsi="Times New Roman"/>
          <w:b w:val="0"/>
        </w:rPr>
        <w:footnoteReference w:id="193"/>
      </w:r>
    </w:p>
    <w:p w:rsidR="00B77793" w:rsidRDefault="00B77793" w:rsidP="00FA71EE">
      <w:pPr>
        <w:pStyle w:val="TIFIAHeading2"/>
        <w:widowControl/>
        <w:spacing w:line="271" w:lineRule="atLeast"/>
        <w:outlineLvl w:val="0"/>
      </w:pPr>
      <w:r>
        <w:t>Payment Process</w:t>
      </w:r>
    </w:p>
    <w:p w:rsidR="00B77793" w:rsidRDefault="00B77793" w:rsidP="00FA71EE">
      <w:pPr>
        <w:pStyle w:val="TIFIABodyText"/>
        <w:widowControl/>
        <w:spacing w:line="271" w:lineRule="atLeast"/>
      </w:pPr>
      <w:r>
        <w:t xml:space="preserve">Under a loan guarantee, the DOT commits to pay to the guaranteed lender, upon the occurrence of a payment default by the borrower, the full amount of the defaulted payment, as specified in the </w:t>
      </w:r>
      <w:r w:rsidR="00FE6385">
        <w:t xml:space="preserve">loan guarantee </w:t>
      </w:r>
      <w:r>
        <w:t xml:space="preserve">agreement.  </w:t>
      </w:r>
    </w:p>
    <w:p w:rsidR="00B77793" w:rsidRDefault="00B77793" w:rsidP="00FA71EE">
      <w:pPr>
        <w:pStyle w:val="TIFIABodyText"/>
        <w:widowControl/>
        <w:spacing w:line="271" w:lineRule="atLeast"/>
      </w:pPr>
      <w:r>
        <w:t xml:space="preserve">In the event of a payment default, the guaranteed lender will issue a notice of default to the borrower and </w:t>
      </w:r>
      <w:r w:rsidR="00FE6385">
        <w:t xml:space="preserve">copy </w:t>
      </w:r>
      <w:r w:rsidR="000D4F00">
        <w:t xml:space="preserve">the </w:t>
      </w:r>
      <w:r>
        <w:t xml:space="preserve">DOT.  If the lender then makes a draw on the guarantee from </w:t>
      </w:r>
      <w:r w:rsidR="00FE6385">
        <w:t xml:space="preserve">the </w:t>
      </w:r>
      <w:r>
        <w:t>DOT</w:t>
      </w:r>
      <w:r w:rsidR="000D4F00">
        <w:t>,</w:t>
      </w:r>
      <w:r>
        <w:t xml:space="preserve"> the payment initiates a loan between </w:t>
      </w:r>
      <w:r w:rsidR="00FE6385">
        <w:t xml:space="preserve">the </w:t>
      </w:r>
      <w:r>
        <w:t xml:space="preserve">DOT and the borrower.  So long as the borrower makes its payments to </w:t>
      </w:r>
      <w:r w:rsidR="000D4F00">
        <w:t xml:space="preserve">the </w:t>
      </w:r>
      <w:r>
        <w:t xml:space="preserve">DOT on this new loan, there is no default of </w:t>
      </w:r>
      <w:r w:rsidR="000D4F00">
        <w:t xml:space="preserve">the </w:t>
      </w:r>
      <w:r>
        <w:t xml:space="preserve">DOT’s loan.  The guaranteed lender may enter into a loan workout or similar agreement with the borrower as approved by the DOT.  In the event of assignment of the guaranteed loan to the DOT, the guaranteed lender is responsible for transferring all the guaranteed loan documents to the DOT. </w:t>
      </w:r>
    </w:p>
    <w:p w:rsidR="00820424" w:rsidRDefault="00820424" w:rsidP="00FA71EE">
      <w:pPr>
        <w:pStyle w:val="TIFIABodyText"/>
        <w:widowControl/>
        <w:spacing w:line="271" w:lineRule="atLeast"/>
      </w:pPr>
    </w:p>
    <w:p w:rsidR="00820424" w:rsidRDefault="00820424" w:rsidP="00820424">
      <w:pPr>
        <w:pStyle w:val="TIFIAChapterTitle"/>
        <w:widowControl/>
        <w:spacing w:after="240"/>
        <w:outlineLvl w:val="0"/>
        <w:rPr>
          <w:color w:val="000000"/>
        </w:rPr>
      </w:pPr>
      <w:r>
        <w:lastRenderedPageBreak/>
        <w:t>For Further Information</w:t>
      </w:r>
    </w:p>
    <w:p w:rsidR="00820424" w:rsidRPr="00820424" w:rsidRDefault="00820424" w:rsidP="00FA71EE">
      <w:pPr>
        <w:pStyle w:val="TIFIABodyText"/>
        <w:widowControl/>
        <w:spacing w:line="271" w:lineRule="atLeast"/>
      </w:pPr>
      <w:r>
        <w:t xml:space="preserve">For further information regarding the TIFIA Program or for comments to this Program Guide, please contact the TIFIA Program at </w:t>
      </w:r>
      <w:r>
        <w:rPr>
          <w:i/>
        </w:rPr>
        <w:t xml:space="preserve">TIFIA </w:t>
      </w:r>
      <w:hyperlink r:id="rId65" w:history="1">
        <w:r w:rsidRPr="00C44ADC">
          <w:rPr>
            <w:rStyle w:val="Hyperlink"/>
            <w:i/>
          </w:rPr>
          <w:t>Credit@dot.gov</w:t>
        </w:r>
      </w:hyperlink>
      <w:r>
        <w:t xml:space="preserve">.  Additional information regarding the TIFIA Program can be obtained from the TIFIA website: </w:t>
      </w:r>
      <w:hyperlink r:id="rId66" w:history="1">
        <w:r w:rsidRPr="00C44ADC">
          <w:rPr>
            <w:rStyle w:val="Hyperlink"/>
            <w:i/>
          </w:rPr>
          <w:t>http://www.fhwa.dot.gov/ipd/tifia</w:t>
        </w:r>
      </w:hyperlink>
      <w:r>
        <w:t xml:space="preserve">. </w:t>
      </w:r>
    </w:p>
    <w:sectPr w:rsidR="00820424" w:rsidRPr="00820424" w:rsidSect="007A67F8">
      <w:headerReference w:type="even" r:id="rId67"/>
      <w:headerReference w:type="default" r:id="rId68"/>
      <w:footerReference w:type="even" r:id="rId69"/>
      <w:footerReference w:type="default" r:id="rId70"/>
      <w:footerReference w:type="first" r:id="rId71"/>
      <w:endnotePr>
        <w:numFmt w:val="decimal"/>
      </w:endnotePr>
      <w:pgSz w:w="12240" w:h="15840"/>
      <w:pgMar w:top="1440" w:right="1440" w:bottom="1440" w:left="252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513" w:rsidRDefault="00AD0513">
      <w:r>
        <w:separator/>
      </w:r>
    </w:p>
  </w:endnote>
  <w:endnote w:type="continuationSeparator" w:id="0">
    <w:p w:rsidR="00AD0513" w:rsidRDefault="00AD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EngraversGothic BT">
    <w:altName w:val="Segoe Script"/>
    <w:charset w:val="00"/>
    <w:family w:val="swiss"/>
    <w:pitch w:val="variable"/>
    <w:sig w:usb0="00000001"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Pr="0093122E" w:rsidRDefault="00AD0513">
    <w:pPr>
      <w:pStyle w:val="Footer"/>
      <w:widowControl/>
      <w:rPr>
        <w:sz w:val="18"/>
      </w:rPr>
    </w:pPr>
  </w:p>
  <w:p w:rsidR="00AD0513" w:rsidRPr="0093122E" w:rsidRDefault="00AD0513">
    <w:pPr>
      <w:pStyle w:val="Footer"/>
      <w:widowControl/>
      <w:rPr>
        <w:sz w:val="18"/>
      </w:rPr>
    </w:pPr>
  </w:p>
  <w:p w:rsidR="00AD0513" w:rsidRPr="0093122E" w:rsidRDefault="00AD0513">
    <w:pPr>
      <w:pStyle w:val="Footer"/>
      <w:widowControl/>
      <w:pBdr>
        <w:top w:val="single" w:sz="6" w:space="1" w:color="auto"/>
      </w:pBdr>
      <w:rPr>
        <w:sz w:val="18"/>
      </w:rPr>
    </w:pPr>
    <w:r w:rsidRPr="0093122E">
      <w:rPr>
        <w:sz w:val="18"/>
      </w:rPr>
      <w:t>Page 1-</w:t>
    </w:r>
    <w:r w:rsidRPr="0093122E">
      <w:rPr>
        <w:rStyle w:val="PageNumber"/>
        <w:sz w:val="18"/>
      </w:rPr>
      <w:fldChar w:fldCharType="begin"/>
    </w:r>
    <w:r w:rsidRPr="0093122E">
      <w:rPr>
        <w:rStyle w:val="PageNumber"/>
        <w:sz w:val="18"/>
      </w:rPr>
      <w:instrText xml:space="preserve">page </w:instrText>
    </w:r>
    <w:r w:rsidRPr="0093122E">
      <w:rPr>
        <w:rStyle w:val="PageNumber"/>
        <w:sz w:val="18"/>
      </w:rPr>
      <w:fldChar w:fldCharType="separate"/>
    </w:r>
    <w:r w:rsidR="002D1F66">
      <w:rPr>
        <w:rStyle w:val="PageNumber"/>
        <w:noProof/>
        <w:sz w:val="18"/>
      </w:rPr>
      <w:t>2</w:t>
    </w:r>
    <w:r w:rsidRPr="0093122E">
      <w:rPr>
        <w:rStyle w:val="PageNumber"/>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widowControl/>
      <w:jc w:val="right"/>
      <w:rPr>
        <w:rFonts w:ascii="Arial" w:hAnsi="Arial"/>
        <w:sz w:val="18"/>
      </w:rPr>
    </w:pPr>
  </w:p>
  <w:p w:rsidR="00AD0513" w:rsidRDefault="00AD0513">
    <w:pPr>
      <w:pStyle w:val="Footer"/>
      <w:widowControl/>
      <w:jc w:val="right"/>
      <w:rPr>
        <w:rFonts w:ascii="Arial" w:hAnsi="Arial"/>
        <w:sz w:val="18"/>
      </w:rPr>
    </w:pPr>
  </w:p>
  <w:p w:rsidR="00AD0513" w:rsidRPr="00EC479F" w:rsidRDefault="00AD0513">
    <w:pPr>
      <w:pStyle w:val="Footer"/>
      <w:widowControl/>
      <w:pBdr>
        <w:top w:val="single" w:sz="6" w:space="1" w:color="auto"/>
      </w:pBdr>
      <w:jc w:val="right"/>
      <w:rPr>
        <w:sz w:val="18"/>
      </w:rPr>
    </w:pPr>
    <w:r w:rsidRPr="00EC479F">
      <w:rPr>
        <w:sz w:val="18"/>
      </w:rPr>
      <w:t>Page 3-</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1</w:t>
    </w:r>
    <w:r w:rsidRPr="00EC479F">
      <w:rPr>
        <w:rStyle w:val="PageNumber"/>
        <w:sz w:val="18"/>
      </w:rPr>
      <w:fldChar w:fldCharType="end"/>
    </w:r>
    <w:r w:rsidRPr="00EC479F">
      <w:rPr>
        <w:b/>
        <w:color w:val="808080"/>
        <w:sz w:val="2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widowControl/>
      <w:rPr>
        <w:rFonts w:ascii="Arial" w:hAnsi="Arial"/>
        <w:sz w:val="18"/>
      </w:rPr>
    </w:pPr>
  </w:p>
  <w:p w:rsidR="00AD0513" w:rsidRDefault="00AD0513">
    <w:pPr>
      <w:pStyle w:val="Footer"/>
      <w:widowControl/>
      <w:rPr>
        <w:rFonts w:ascii="Arial" w:hAnsi="Arial"/>
        <w:sz w:val="18"/>
      </w:rPr>
    </w:pPr>
  </w:p>
  <w:p w:rsidR="00AD0513" w:rsidRPr="00EC479F" w:rsidRDefault="00AD0513">
    <w:pPr>
      <w:pStyle w:val="Footer"/>
      <w:widowControl/>
      <w:pBdr>
        <w:top w:val="single" w:sz="6" w:space="1" w:color="auto"/>
      </w:pBdr>
      <w:rPr>
        <w:sz w:val="18"/>
      </w:rPr>
    </w:pPr>
    <w:r w:rsidRPr="00EC479F">
      <w:rPr>
        <w:sz w:val="18"/>
      </w:rPr>
      <w:t>Page 4-</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8</w:t>
    </w:r>
    <w:r w:rsidRPr="00EC479F">
      <w:rPr>
        <w:rStyle w:val="PageNumber"/>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widowControl/>
      <w:rPr>
        <w:rFonts w:ascii="Arial" w:hAnsi="Arial"/>
        <w:sz w:val="18"/>
      </w:rPr>
    </w:pPr>
  </w:p>
  <w:p w:rsidR="00AD0513" w:rsidRPr="00EC479F" w:rsidRDefault="00AD0513">
    <w:pPr>
      <w:pStyle w:val="Footer"/>
      <w:widowControl/>
      <w:pBdr>
        <w:top w:val="single" w:sz="6" w:space="1" w:color="auto"/>
      </w:pBdr>
      <w:jc w:val="right"/>
      <w:rPr>
        <w:sz w:val="18"/>
      </w:rPr>
    </w:pPr>
    <w:r w:rsidRPr="00EC479F">
      <w:rPr>
        <w:sz w:val="18"/>
      </w:rPr>
      <w:t>Page 4-</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7</w:t>
    </w:r>
    <w:r w:rsidRPr="00EC479F">
      <w:rPr>
        <w:rStyle w:val="PageNumber"/>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widowControl/>
      <w:jc w:val="right"/>
      <w:rPr>
        <w:rFonts w:ascii="Arial" w:hAnsi="Arial"/>
        <w:sz w:val="18"/>
      </w:rPr>
    </w:pPr>
  </w:p>
  <w:p w:rsidR="00AD0513" w:rsidRDefault="00AD0513">
    <w:pPr>
      <w:pStyle w:val="Footer"/>
      <w:widowControl/>
      <w:jc w:val="right"/>
      <w:rPr>
        <w:rFonts w:ascii="Arial" w:hAnsi="Arial"/>
        <w:sz w:val="18"/>
      </w:rPr>
    </w:pPr>
  </w:p>
  <w:p w:rsidR="00AD0513" w:rsidRPr="00EC479F" w:rsidRDefault="00AD0513">
    <w:pPr>
      <w:pStyle w:val="Footer"/>
      <w:widowControl/>
      <w:pBdr>
        <w:top w:val="single" w:sz="6" w:space="1" w:color="auto"/>
      </w:pBdr>
      <w:jc w:val="right"/>
      <w:rPr>
        <w:sz w:val="18"/>
      </w:rPr>
    </w:pPr>
    <w:r w:rsidRPr="00EC479F">
      <w:rPr>
        <w:sz w:val="18"/>
      </w:rPr>
      <w:t>Page 4-</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1</w:t>
    </w:r>
    <w:r w:rsidRPr="00EC479F">
      <w:rPr>
        <w:rStyle w:val="PageNumber"/>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widowControl/>
      <w:rPr>
        <w:rFonts w:ascii="Arial" w:hAnsi="Arial"/>
        <w:sz w:val="18"/>
      </w:rPr>
    </w:pPr>
  </w:p>
  <w:p w:rsidR="00AD0513" w:rsidRPr="00EC479F" w:rsidRDefault="00AD0513">
    <w:pPr>
      <w:pStyle w:val="Footer"/>
      <w:widowControl/>
      <w:rPr>
        <w:sz w:val="18"/>
      </w:rPr>
    </w:pPr>
  </w:p>
  <w:p w:rsidR="00AD0513" w:rsidRPr="00EC479F" w:rsidRDefault="00AD0513">
    <w:pPr>
      <w:pStyle w:val="Footer"/>
      <w:widowControl/>
      <w:pBdr>
        <w:top w:val="single" w:sz="6" w:space="1" w:color="auto"/>
      </w:pBdr>
      <w:rPr>
        <w:sz w:val="18"/>
      </w:rPr>
    </w:pPr>
    <w:r w:rsidRPr="00EC479F">
      <w:rPr>
        <w:sz w:val="18"/>
      </w:rPr>
      <w:t>Page 5-</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4</w:t>
    </w:r>
    <w:r w:rsidRPr="00EC479F">
      <w:rPr>
        <w:rStyle w:val="PageNumber"/>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widowControl/>
      <w:jc w:val="right"/>
      <w:rPr>
        <w:rFonts w:ascii="Arial" w:hAnsi="Arial"/>
        <w:sz w:val="18"/>
      </w:rPr>
    </w:pPr>
  </w:p>
  <w:p w:rsidR="00AD0513" w:rsidRDefault="00AD0513">
    <w:pPr>
      <w:pStyle w:val="Footer"/>
      <w:widowControl/>
      <w:rPr>
        <w:rFonts w:ascii="Arial" w:hAnsi="Arial"/>
        <w:sz w:val="18"/>
      </w:rPr>
    </w:pPr>
  </w:p>
  <w:p w:rsidR="00AD0513" w:rsidRPr="00EC479F" w:rsidRDefault="00AD0513">
    <w:pPr>
      <w:pStyle w:val="Footer"/>
      <w:widowControl/>
      <w:pBdr>
        <w:top w:val="single" w:sz="6" w:space="1" w:color="auto"/>
      </w:pBdr>
      <w:jc w:val="right"/>
      <w:rPr>
        <w:sz w:val="18"/>
      </w:rPr>
    </w:pPr>
    <w:r w:rsidRPr="00EC479F">
      <w:rPr>
        <w:sz w:val="18"/>
      </w:rPr>
      <w:t>Page 5-</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3</w:t>
    </w:r>
    <w:r w:rsidRPr="00EC479F">
      <w:rPr>
        <w:rStyle w:val="PageNumber"/>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widowControl/>
      <w:jc w:val="right"/>
      <w:rPr>
        <w:rFonts w:ascii="Arial" w:hAnsi="Arial"/>
        <w:sz w:val="18"/>
      </w:rPr>
    </w:pPr>
  </w:p>
  <w:p w:rsidR="00AD0513" w:rsidRPr="00EC479F" w:rsidRDefault="00AD0513">
    <w:pPr>
      <w:pStyle w:val="Footer"/>
      <w:widowControl/>
      <w:pBdr>
        <w:top w:val="single" w:sz="6" w:space="1" w:color="auto"/>
      </w:pBdr>
      <w:jc w:val="right"/>
      <w:rPr>
        <w:sz w:val="18"/>
      </w:rPr>
    </w:pPr>
    <w:r w:rsidRPr="00EC479F">
      <w:rPr>
        <w:sz w:val="18"/>
      </w:rPr>
      <w:t>Page 5-</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1</w:t>
    </w:r>
    <w:r w:rsidRPr="00EC479F">
      <w:rPr>
        <w:rStyle w:val="PageNumber"/>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rPr>
        <w:rFonts w:ascii="Arial" w:hAnsi="Arial"/>
        <w:sz w:val="18"/>
      </w:rPr>
    </w:pPr>
  </w:p>
  <w:p w:rsidR="00AD0513" w:rsidRPr="00EC479F" w:rsidRDefault="00AD0513">
    <w:pPr>
      <w:pStyle w:val="Footer"/>
      <w:pBdr>
        <w:top w:val="single" w:sz="6" w:space="1" w:color="auto"/>
      </w:pBdr>
      <w:rPr>
        <w:sz w:val="18"/>
      </w:rPr>
    </w:pPr>
    <w:r w:rsidRPr="00EC479F">
      <w:rPr>
        <w:sz w:val="18"/>
      </w:rPr>
      <w:t>Page 6-</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6</w:t>
    </w:r>
    <w:r w:rsidRPr="00EC479F">
      <w:rPr>
        <w:rStyle w:val="PageNumber"/>
        <w:sz w:val="18"/>
      </w:rPr>
      <w:fldChar w:fldCharType="end"/>
    </w:r>
  </w:p>
  <w:p w:rsidR="00AD0513" w:rsidRDefault="00AD0513">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rPr>
        <w:rFonts w:ascii="Arial" w:hAnsi="Arial"/>
        <w:sz w:val="18"/>
      </w:rPr>
    </w:pPr>
  </w:p>
  <w:p w:rsidR="00AD0513" w:rsidRPr="00EC479F" w:rsidRDefault="00AD0513">
    <w:pPr>
      <w:pStyle w:val="Footer"/>
      <w:pBdr>
        <w:top w:val="single" w:sz="6" w:space="1" w:color="auto"/>
      </w:pBdr>
      <w:jc w:val="right"/>
      <w:rPr>
        <w:sz w:val="18"/>
      </w:rPr>
    </w:pPr>
    <w:r w:rsidRPr="00EC479F">
      <w:rPr>
        <w:sz w:val="18"/>
      </w:rPr>
      <w:t>Page 6-</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7</w:t>
    </w:r>
    <w:r w:rsidRPr="00EC479F">
      <w:rPr>
        <w:rStyle w:val="PageNumber"/>
        <w:sz w:val="18"/>
      </w:rPr>
      <w:fldChar w:fldCharType="end"/>
    </w:r>
  </w:p>
  <w:p w:rsidR="00AD0513" w:rsidRDefault="00AD0513">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jc w:val="right"/>
      <w:rPr>
        <w:rFonts w:ascii="Arial" w:hAnsi="Arial"/>
        <w:sz w:val="18"/>
      </w:rPr>
    </w:pPr>
  </w:p>
  <w:p w:rsidR="00AD0513" w:rsidRPr="00EC479F" w:rsidRDefault="00AD0513">
    <w:pPr>
      <w:pStyle w:val="Footer"/>
      <w:pBdr>
        <w:top w:val="single" w:sz="6" w:space="1" w:color="auto"/>
      </w:pBdr>
      <w:jc w:val="right"/>
      <w:rPr>
        <w:sz w:val="18"/>
      </w:rPr>
    </w:pPr>
    <w:r w:rsidRPr="00EC479F">
      <w:rPr>
        <w:sz w:val="18"/>
      </w:rPr>
      <w:t>Page 6-</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1</w:t>
    </w:r>
    <w:r w:rsidRPr="00EC479F">
      <w:rPr>
        <w:rStyle w:val="PageNumber"/>
        <w:sz w:val="18"/>
      </w:rPr>
      <w:fldChar w:fldCharType="end"/>
    </w:r>
    <w:r w:rsidRPr="00EC479F">
      <w:rPr>
        <w:b/>
        <w:color w:val="808080"/>
        <w:sz w:val="28"/>
      </w:rPr>
      <w:t xml:space="preserve"> </w:t>
    </w:r>
  </w:p>
  <w:p w:rsidR="00AD0513" w:rsidRDefault="00AD05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widowControl/>
      <w:jc w:val="right"/>
      <w:rPr>
        <w:rFonts w:ascii="Arial" w:hAnsi="Arial"/>
        <w:sz w:val="18"/>
      </w:rPr>
    </w:pPr>
  </w:p>
  <w:p w:rsidR="00AD0513" w:rsidRDefault="00AD0513">
    <w:pPr>
      <w:pStyle w:val="Footer"/>
      <w:widowControl/>
      <w:rPr>
        <w:rFonts w:ascii="Arial" w:hAnsi="Arial"/>
        <w:sz w:val="18"/>
      </w:rPr>
    </w:pPr>
  </w:p>
  <w:p w:rsidR="00AD0513" w:rsidRPr="00EC479F" w:rsidRDefault="00AD0513">
    <w:pPr>
      <w:pStyle w:val="Footer"/>
      <w:widowControl/>
      <w:pBdr>
        <w:top w:val="single" w:sz="6" w:space="1" w:color="auto"/>
      </w:pBdr>
      <w:jc w:val="right"/>
      <w:rPr>
        <w:sz w:val="18"/>
      </w:rPr>
    </w:pPr>
    <w:r w:rsidRPr="00EC479F">
      <w:rPr>
        <w:sz w:val="18"/>
      </w:rPr>
      <w:t>Page 1-</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3</w:t>
    </w:r>
    <w:r w:rsidRPr="00EC479F">
      <w:rPr>
        <w:rStyle w:val="PageNumber"/>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widowControl/>
      <w:rPr>
        <w:rFonts w:ascii="Arial" w:hAnsi="Arial"/>
        <w:sz w:val="18"/>
      </w:rPr>
    </w:pPr>
  </w:p>
  <w:p w:rsidR="00AD0513" w:rsidRPr="00EC479F" w:rsidRDefault="00AD0513">
    <w:pPr>
      <w:pStyle w:val="Footer"/>
      <w:widowControl/>
      <w:pBdr>
        <w:top w:val="single" w:sz="6" w:space="1" w:color="auto"/>
      </w:pBdr>
      <w:rPr>
        <w:sz w:val="18"/>
      </w:rPr>
    </w:pPr>
    <w:r w:rsidRPr="00EC479F">
      <w:rPr>
        <w:sz w:val="18"/>
      </w:rPr>
      <w:t>Page 7-</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4</w:t>
    </w:r>
    <w:r w:rsidRPr="00EC479F">
      <w:rPr>
        <w:rStyle w:val="PageNumber"/>
        <w:sz w:val="18"/>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widowControl/>
      <w:rPr>
        <w:rFonts w:ascii="Arial" w:hAnsi="Arial"/>
        <w:sz w:val="18"/>
      </w:rPr>
    </w:pPr>
  </w:p>
  <w:p w:rsidR="00AD0513" w:rsidRPr="00EC479F" w:rsidRDefault="00AD0513">
    <w:pPr>
      <w:pStyle w:val="Footer"/>
      <w:widowControl/>
      <w:pBdr>
        <w:top w:val="single" w:sz="6" w:space="1" w:color="auto"/>
      </w:pBdr>
      <w:jc w:val="right"/>
      <w:rPr>
        <w:sz w:val="18"/>
      </w:rPr>
    </w:pPr>
    <w:r w:rsidRPr="00EC479F">
      <w:rPr>
        <w:sz w:val="18"/>
      </w:rPr>
      <w:t>Page 7-</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3</w:t>
    </w:r>
    <w:r w:rsidRPr="00EC479F">
      <w:rPr>
        <w:rStyle w:val="PageNumber"/>
        <w:sz w:val="18"/>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widowControl/>
      <w:rPr>
        <w:rFonts w:ascii="Arial" w:hAnsi="Arial"/>
        <w:sz w:val="18"/>
      </w:rPr>
    </w:pPr>
  </w:p>
  <w:p w:rsidR="00AD0513" w:rsidRPr="00EC479F" w:rsidRDefault="00AD0513">
    <w:pPr>
      <w:pStyle w:val="Footer"/>
      <w:widowControl/>
      <w:pBdr>
        <w:top w:val="single" w:sz="6" w:space="1" w:color="auto"/>
      </w:pBdr>
      <w:jc w:val="right"/>
      <w:rPr>
        <w:sz w:val="18"/>
      </w:rPr>
    </w:pPr>
    <w:r w:rsidRPr="00EC479F">
      <w:rPr>
        <w:sz w:val="18"/>
      </w:rPr>
      <w:t>Page 7-</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1</w:t>
    </w:r>
    <w:r w:rsidRPr="00EC479F">
      <w:rPr>
        <w:rStyle w:val="PageNumbe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widowControl/>
      <w:jc w:val="right"/>
      <w:rPr>
        <w:rFonts w:ascii="Arial" w:hAnsi="Arial"/>
        <w:b/>
        <w:sz w:val="18"/>
      </w:rPr>
    </w:pPr>
  </w:p>
  <w:p w:rsidR="00AD0513" w:rsidRDefault="00AD0513">
    <w:pPr>
      <w:pStyle w:val="Footer"/>
      <w:widowControl/>
      <w:pBdr>
        <w:top w:val="single" w:sz="6" w:space="1" w:color="auto"/>
      </w:pBdr>
      <w:jc w:val="right"/>
      <w:rPr>
        <w:rFonts w:ascii="Arial" w:hAnsi="Arial"/>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widowControl/>
      <w:jc w:val="right"/>
      <w:rPr>
        <w:rFonts w:ascii="Arial" w:hAnsi="Arial"/>
        <w:b/>
        <w:sz w:val="18"/>
      </w:rPr>
    </w:pPr>
  </w:p>
  <w:p w:rsidR="00AD0513" w:rsidRDefault="00AD0513">
    <w:pPr>
      <w:pStyle w:val="Footer"/>
      <w:widowControl/>
      <w:rPr>
        <w:rFonts w:ascii="Arial" w:hAnsi="Arial"/>
        <w:sz w:val="18"/>
      </w:rPr>
    </w:pPr>
  </w:p>
  <w:p w:rsidR="00AD0513" w:rsidRPr="00EC479F" w:rsidRDefault="00AD0513">
    <w:pPr>
      <w:pStyle w:val="Footer"/>
      <w:widowControl/>
      <w:pBdr>
        <w:top w:val="single" w:sz="6" w:space="1" w:color="auto"/>
      </w:pBdr>
      <w:jc w:val="right"/>
      <w:rPr>
        <w:sz w:val="18"/>
      </w:rPr>
    </w:pPr>
    <w:r w:rsidRPr="00EC479F">
      <w:rPr>
        <w:sz w:val="18"/>
      </w:rPr>
      <w:t>Page 1-</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1</w:t>
    </w:r>
    <w:r w:rsidRPr="00EC479F">
      <w:rPr>
        <w:rStyle w:val="PageNumber"/>
        <w:sz w:val="18"/>
      </w:rPr>
      <w:fldChar w:fldCharType="end"/>
    </w:r>
  </w:p>
  <w:p w:rsidR="00AD0513" w:rsidRDefault="00AD0513">
    <w:pPr>
      <w:pStyle w:val="Footer"/>
      <w:widowControl/>
      <w:pBdr>
        <w:top w:val="single" w:sz="6" w:space="1" w:color="auto"/>
      </w:pBdr>
      <w:jc w:val="right"/>
      <w:rPr>
        <w:rFonts w:ascii="Arial" w:hAnsi="Arial"/>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widowControl/>
      <w:rPr>
        <w:rFonts w:ascii="Arial" w:hAnsi="Arial"/>
        <w:sz w:val="18"/>
      </w:rPr>
    </w:pPr>
  </w:p>
  <w:p w:rsidR="00AD0513" w:rsidRDefault="00AD0513">
    <w:pPr>
      <w:pStyle w:val="Footer"/>
      <w:widowControl/>
      <w:rPr>
        <w:rFonts w:ascii="Arial" w:hAnsi="Arial"/>
        <w:sz w:val="18"/>
      </w:rPr>
    </w:pPr>
  </w:p>
  <w:p w:rsidR="00AD0513" w:rsidRPr="00EC479F" w:rsidRDefault="00AD0513">
    <w:pPr>
      <w:pStyle w:val="Footer"/>
      <w:widowControl/>
      <w:pBdr>
        <w:top w:val="single" w:sz="6" w:space="1" w:color="auto"/>
      </w:pBdr>
      <w:rPr>
        <w:sz w:val="18"/>
      </w:rPr>
    </w:pPr>
    <w:r w:rsidRPr="00EC479F">
      <w:rPr>
        <w:sz w:val="18"/>
      </w:rPr>
      <w:t>Page 2-</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12</w:t>
    </w:r>
    <w:r w:rsidRPr="00EC479F">
      <w:rPr>
        <w:rStyle w:val="PageNumber"/>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widowControl/>
      <w:rPr>
        <w:rFonts w:ascii="Arial" w:hAnsi="Arial"/>
        <w:sz w:val="18"/>
      </w:rPr>
    </w:pPr>
  </w:p>
  <w:p w:rsidR="00AD0513" w:rsidRDefault="00AD0513">
    <w:pPr>
      <w:pStyle w:val="Footer"/>
      <w:widowControl/>
      <w:rPr>
        <w:rFonts w:ascii="Arial" w:hAnsi="Arial"/>
        <w:sz w:val="18"/>
      </w:rPr>
    </w:pPr>
  </w:p>
  <w:p w:rsidR="00AD0513" w:rsidRPr="00EC479F" w:rsidRDefault="00AD0513">
    <w:pPr>
      <w:pStyle w:val="Footer"/>
      <w:widowControl/>
      <w:pBdr>
        <w:top w:val="single" w:sz="6" w:space="1" w:color="auto"/>
      </w:pBdr>
      <w:jc w:val="right"/>
      <w:rPr>
        <w:sz w:val="18"/>
      </w:rPr>
    </w:pPr>
    <w:r w:rsidRPr="00EC479F">
      <w:rPr>
        <w:sz w:val="18"/>
      </w:rPr>
      <w:t>Page 2-</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11</w:t>
    </w:r>
    <w:r w:rsidRPr="00EC479F">
      <w:rPr>
        <w:rStyle w:val="PageNumber"/>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widowControl/>
      <w:jc w:val="right"/>
      <w:rPr>
        <w:rFonts w:ascii="Arial" w:hAnsi="Arial"/>
        <w:sz w:val="18"/>
      </w:rPr>
    </w:pPr>
  </w:p>
  <w:p w:rsidR="00AD0513" w:rsidRDefault="00AD0513">
    <w:pPr>
      <w:pStyle w:val="Footer"/>
      <w:widowControl/>
      <w:jc w:val="right"/>
      <w:rPr>
        <w:rFonts w:ascii="Arial" w:hAnsi="Arial"/>
        <w:sz w:val="18"/>
      </w:rPr>
    </w:pPr>
  </w:p>
  <w:p w:rsidR="00AD0513" w:rsidRPr="00EC479F" w:rsidRDefault="00AD0513">
    <w:pPr>
      <w:pStyle w:val="Footer"/>
      <w:widowControl/>
      <w:pBdr>
        <w:top w:val="single" w:sz="6" w:space="1" w:color="auto"/>
      </w:pBdr>
      <w:jc w:val="right"/>
      <w:rPr>
        <w:sz w:val="18"/>
      </w:rPr>
    </w:pPr>
    <w:r w:rsidRPr="00EC479F">
      <w:rPr>
        <w:sz w:val="18"/>
      </w:rPr>
      <w:t>Page 2-</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1</w:t>
    </w:r>
    <w:r w:rsidRPr="00EC479F">
      <w:rPr>
        <w:rStyle w:val="PageNumber"/>
        <w:sz w:val="18"/>
      </w:rPr>
      <w:fldChar w:fldCharType="end"/>
    </w:r>
    <w:r w:rsidRPr="00EC479F">
      <w:rPr>
        <w:b/>
        <w:color w:val="808080"/>
        <w:sz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rPr>
        <w:rFonts w:ascii="Arial" w:hAnsi="Arial"/>
        <w:sz w:val="18"/>
      </w:rPr>
    </w:pPr>
  </w:p>
  <w:p w:rsidR="00AD0513" w:rsidRPr="00EC479F" w:rsidRDefault="00AD0513">
    <w:pPr>
      <w:pStyle w:val="Footer"/>
      <w:pBdr>
        <w:top w:val="single" w:sz="6" w:space="1" w:color="auto"/>
      </w:pBdr>
      <w:rPr>
        <w:sz w:val="18"/>
      </w:rPr>
    </w:pPr>
    <w:r w:rsidRPr="00EC479F">
      <w:rPr>
        <w:sz w:val="18"/>
      </w:rPr>
      <w:t>Page 3-</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14</w:t>
    </w:r>
    <w:r w:rsidRPr="00EC479F">
      <w:rPr>
        <w:rStyle w:val="PageNumber"/>
        <w:sz w:val="18"/>
      </w:rPr>
      <w:fldChar w:fldCharType="end"/>
    </w:r>
  </w:p>
  <w:p w:rsidR="00AD0513" w:rsidRDefault="00AD051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Footer"/>
      <w:rPr>
        <w:rFonts w:ascii="Arial" w:hAnsi="Arial"/>
        <w:sz w:val="18"/>
      </w:rPr>
    </w:pPr>
  </w:p>
  <w:p w:rsidR="00AD0513" w:rsidRPr="00EC479F" w:rsidRDefault="00AD0513">
    <w:pPr>
      <w:pStyle w:val="Footer"/>
      <w:pBdr>
        <w:top w:val="single" w:sz="6" w:space="1" w:color="auto"/>
      </w:pBdr>
      <w:jc w:val="right"/>
      <w:rPr>
        <w:sz w:val="18"/>
      </w:rPr>
    </w:pPr>
    <w:r w:rsidRPr="00EC479F">
      <w:rPr>
        <w:sz w:val="18"/>
      </w:rPr>
      <w:t>Page 3-</w:t>
    </w:r>
    <w:r w:rsidRPr="00EC479F">
      <w:rPr>
        <w:rStyle w:val="PageNumber"/>
        <w:sz w:val="18"/>
      </w:rPr>
      <w:fldChar w:fldCharType="begin"/>
    </w:r>
    <w:r w:rsidRPr="00EC479F">
      <w:rPr>
        <w:rStyle w:val="PageNumber"/>
        <w:sz w:val="18"/>
      </w:rPr>
      <w:instrText xml:space="preserve">page </w:instrText>
    </w:r>
    <w:r w:rsidRPr="00EC479F">
      <w:rPr>
        <w:rStyle w:val="PageNumber"/>
        <w:sz w:val="18"/>
      </w:rPr>
      <w:fldChar w:fldCharType="separate"/>
    </w:r>
    <w:r w:rsidR="002D1F66">
      <w:rPr>
        <w:rStyle w:val="PageNumber"/>
        <w:noProof/>
        <w:sz w:val="18"/>
      </w:rPr>
      <w:t>9</w:t>
    </w:r>
    <w:r w:rsidRPr="00EC479F">
      <w:rPr>
        <w:rStyle w:val="PageNumber"/>
        <w:sz w:val="18"/>
      </w:rPr>
      <w:fldChar w:fldCharType="end"/>
    </w:r>
  </w:p>
  <w:p w:rsidR="00AD0513" w:rsidRDefault="00AD0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513" w:rsidRDefault="00AD0513">
      <w:r>
        <w:separator/>
      </w:r>
    </w:p>
  </w:footnote>
  <w:footnote w:type="continuationSeparator" w:id="0">
    <w:p w:rsidR="00AD0513" w:rsidRDefault="00AD0513">
      <w:r>
        <w:continuationSeparator/>
      </w:r>
    </w:p>
  </w:footnote>
  <w:footnote w:id="1">
    <w:p w:rsidR="00AD0513" w:rsidRPr="005029D7" w:rsidRDefault="00AD0513" w:rsidP="005029D7">
      <w:pPr>
        <w:pStyle w:val="FootnoteText"/>
        <w:spacing w:after="0" w:line="240" w:lineRule="auto"/>
        <w:jc w:val="both"/>
      </w:pPr>
      <w:r w:rsidRPr="005029D7">
        <w:rPr>
          <w:rStyle w:val="FootnoteReference"/>
        </w:rPr>
        <w:footnoteRef/>
      </w:r>
      <w:r w:rsidRPr="005029D7">
        <w:t xml:space="preserve"> 2 U.S.C. §</w:t>
      </w:r>
      <w:proofErr w:type="gramStart"/>
      <w:r w:rsidRPr="005029D7">
        <w:t>661c(</w:t>
      </w:r>
      <w:proofErr w:type="gramEnd"/>
      <w:r w:rsidRPr="005029D7">
        <w:t>b).</w:t>
      </w:r>
    </w:p>
  </w:footnote>
  <w:footnote w:id="2">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MAP-21, Pub.</w:t>
      </w:r>
      <w:proofErr w:type="gramEnd"/>
      <w:r w:rsidRPr="005029D7">
        <w:t xml:space="preserve"> L. No. 112-141, §1101(a</w:t>
      </w:r>
      <w:proofErr w:type="gramStart"/>
      <w:r w:rsidRPr="005029D7">
        <w:t>)(</w:t>
      </w:r>
      <w:proofErr w:type="gramEnd"/>
      <w:r w:rsidRPr="005029D7">
        <w:t>2), (126 Stat. 607) (2012).</w:t>
      </w:r>
    </w:p>
  </w:footnote>
  <w:footnote w:id="3">
    <w:p w:rsidR="00AD0513" w:rsidRPr="005029D7" w:rsidRDefault="00AD0513" w:rsidP="009B388E">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1)(A).</w:t>
      </w:r>
    </w:p>
  </w:footnote>
  <w:footnote w:id="4">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§601(a</w:t>
      </w:r>
      <w:proofErr w:type="gramStart"/>
      <w:r w:rsidRPr="005029D7">
        <w:t>)(</w:t>
      </w:r>
      <w:proofErr w:type="gramEnd"/>
      <w:r w:rsidRPr="005029D7">
        <w:t>6).</w:t>
      </w:r>
    </w:p>
  </w:footnote>
  <w:footnote w:id="5">
    <w:p w:rsidR="00AD0513" w:rsidRPr="005029D7" w:rsidRDefault="00AD0513" w:rsidP="00445BAA">
      <w:pPr>
        <w:pStyle w:val="FootnoteText"/>
        <w:spacing w:after="0" w:line="240" w:lineRule="auto"/>
        <w:jc w:val="both"/>
      </w:pPr>
      <w:r w:rsidRPr="005029D7">
        <w:rPr>
          <w:rStyle w:val="FootnoteReference"/>
        </w:rPr>
        <w:footnoteRef/>
      </w:r>
      <w:r w:rsidRPr="005029D7">
        <w:t xml:space="preserve"> To be eligible for TIFIA credit assistance, the applicant must demonstrate (a) that it satisfies (or will have satisfied at the time of obligation of Federal credit assistance) all applicable Federal requirements, including all National Environmental Policy Act requirements, and (b) a reasonable expectation that the contracting process for construction of the project can commence no later than 90 days after the date on which the TIFIA credit assistance is obligated.  (23 U.S.C. §602(a)(10) and (c))</w:t>
      </w:r>
    </w:p>
  </w:footnote>
  <w:footnote w:id="6">
    <w:p w:rsidR="00AD0513" w:rsidRPr="005029D7" w:rsidRDefault="00AD0513" w:rsidP="00445BAA">
      <w:pPr>
        <w:pStyle w:val="FootnoteText"/>
        <w:spacing w:after="0" w:line="240" w:lineRule="auto"/>
        <w:jc w:val="both"/>
      </w:pPr>
      <w:r w:rsidRPr="005029D7">
        <w:rPr>
          <w:rStyle w:val="FootnoteReference"/>
        </w:rPr>
        <w:footnoteRef/>
      </w:r>
      <w:r w:rsidRPr="005029D7">
        <w:t xml:space="preserve"> The preliminary rating opinion letter must indicate that the senior obligations of the project have the potential to achieve an investment-grade rating and must include a preliminary rating opinion on the TIFIA credit instrument.  (23 U.S.C. §602(b)(3))</w:t>
      </w:r>
    </w:p>
  </w:footnote>
  <w:footnote w:id="7">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§602(d</w:t>
      </w:r>
      <w:proofErr w:type="gramStart"/>
      <w:r w:rsidRPr="005029D7">
        <w:t>)(</w:t>
      </w:r>
      <w:proofErr w:type="gramEnd"/>
      <w:r w:rsidRPr="005029D7">
        <w:t>1).</w:t>
      </w:r>
    </w:p>
  </w:footnote>
  <w:footnote w:id="8">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§602(d</w:t>
      </w:r>
      <w:proofErr w:type="gramStart"/>
      <w:r w:rsidRPr="005029D7">
        <w:t>)(</w:t>
      </w:r>
      <w:proofErr w:type="gramEnd"/>
      <w:r w:rsidRPr="005029D7">
        <w:t>2).</w:t>
      </w:r>
    </w:p>
  </w:footnote>
  <w:footnote w:id="9">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2).</w:t>
      </w:r>
    </w:p>
  </w:footnote>
  <w:footnote w:id="10">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§§603(a), (e</w:t>
      </w:r>
      <w:proofErr w:type="gramStart"/>
      <w:r w:rsidRPr="005029D7">
        <w:t>)(</w:t>
      </w:r>
      <w:proofErr w:type="gramEnd"/>
      <w:r w:rsidRPr="005029D7">
        <w:t>2) and 604(a)(2).</w:t>
      </w:r>
    </w:p>
  </w:footnote>
  <w:footnote w:id="11">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5), (e)(2) and 604(c)(2)(B).</w:t>
      </w:r>
    </w:p>
  </w:footnote>
  <w:footnote w:id="12">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§603(c</w:t>
      </w:r>
      <w:proofErr w:type="gramStart"/>
      <w:r w:rsidRPr="005029D7">
        <w:t>)(</w:t>
      </w:r>
      <w:proofErr w:type="gramEnd"/>
      <w:r w:rsidRPr="005029D7">
        <w:t>2), (c)(3) and (e)(2).  For standby lines of credit, repayment can commence up to 15 years after substantial completion.  (23 U.S.C. §604(c)(2)(A))</w:t>
      </w:r>
    </w:p>
  </w:footnote>
  <w:footnote w:id="13">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 xml:space="preserve">6), (e)(2) and 604(b)(8). </w:t>
      </w:r>
      <w:r>
        <w:t xml:space="preserve"> However, as discussed in the following footnote, this </w:t>
      </w:r>
      <w:proofErr w:type="spellStart"/>
      <w:r>
        <w:t>nonsubordination</w:t>
      </w:r>
      <w:proofErr w:type="spellEnd"/>
      <w:r>
        <w:t xml:space="preserve"> requirement may be waived under certain specified circumstances.</w:t>
      </w:r>
    </w:p>
  </w:footnote>
  <w:footnote w:id="14">
    <w:p w:rsidR="00AD0513" w:rsidRPr="005029D7" w:rsidRDefault="00AD0513" w:rsidP="005029D7">
      <w:pPr>
        <w:pStyle w:val="FootnoteText"/>
        <w:spacing w:after="0" w:line="240" w:lineRule="auto"/>
        <w:jc w:val="both"/>
      </w:pPr>
      <w:r w:rsidRPr="005029D7">
        <w:rPr>
          <w:rStyle w:val="FootnoteReference"/>
        </w:rPr>
        <w:footnoteRef/>
      </w:r>
      <w:r w:rsidRPr="005029D7">
        <w:t xml:space="preserve"> MAP-21 </w:t>
      </w:r>
      <w:r>
        <w:t>permits</w:t>
      </w:r>
      <w:r w:rsidRPr="005029D7">
        <w:t xml:space="preserve"> </w:t>
      </w:r>
      <w:r>
        <w:t>the</w:t>
      </w:r>
      <w:r w:rsidRPr="005029D7">
        <w:t xml:space="preserve"> waiver of TIFIA’s </w:t>
      </w:r>
      <w:proofErr w:type="spellStart"/>
      <w:r w:rsidRPr="005029D7">
        <w:t>nonsubordination</w:t>
      </w:r>
      <w:proofErr w:type="spellEnd"/>
      <w:r w:rsidRPr="005029D7">
        <w:t xml:space="preserve"> requirement in connection with secured loans or lines of credit for public agency borrowers having senior bonds under preexisting indentures, so long as: (</w:t>
      </w:r>
      <w:proofErr w:type="spellStart"/>
      <w:r w:rsidRPr="005029D7">
        <w:t>i</w:t>
      </w:r>
      <w:proofErr w:type="spellEnd"/>
      <w:r w:rsidRPr="005029D7">
        <w:t>) the borrower is a public agency; (ii) the TIFIA credit instrument receives a rating within the A category or higher from at least two Credit Rating Agencies; (iii) the revenue pledge is not affected by project performance, such as a tax-backed revenue pledge or a system pledge; and (iv) TIFIA is financing 33 percent or less of the eligible project costs.  However, in such cases, the maximum credit subsidy to be paid by the Federal Government may not be more than 10 percent of the principal amount of the loan, and the obligor is responsible to pay any remaining subsidy cost.  (23 U.S.C. §§603(b)(6)(B) and 604(b)(8)(B))</w:t>
      </w:r>
    </w:p>
  </w:footnote>
  <w:footnote w:id="15">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2) and 604(b)(2).</w:t>
      </w:r>
      <w:r>
        <w:t xml:space="preserve">  As noted below, </w:t>
      </w:r>
      <w:r w:rsidRPr="00A40BD7">
        <w:rPr>
          <w:szCs w:val="22"/>
        </w:rPr>
        <w:t xml:space="preserve">TIFIA secured loans </w:t>
      </w:r>
      <w:r>
        <w:rPr>
          <w:szCs w:val="22"/>
        </w:rPr>
        <w:t xml:space="preserve">provided to date </w:t>
      </w:r>
      <w:r w:rsidRPr="00A40BD7">
        <w:rPr>
          <w:szCs w:val="22"/>
        </w:rPr>
        <w:t>have only covered up to 33 percent of reasonably ant</w:t>
      </w:r>
      <w:r>
        <w:rPr>
          <w:szCs w:val="22"/>
        </w:rPr>
        <w:t>icipated eligible project costs.  A</w:t>
      </w:r>
      <w:r w:rsidRPr="00A40BD7">
        <w:rPr>
          <w:szCs w:val="22"/>
        </w:rPr>
        <w:t xml:space="preserve">pplicants </w:t>
      </w:r>
      <w:r>
        <w:rPr>
          <w:szCs w:val="22"/>
        </w:rPr>
        <w:t xml:space="preserve">requesting assistance in excess of this amount must </w:t>
      </w:r>
      <w:r w:rsidRPr="00A40BD7">
        <w:rPr>
          <w:szCs w:val="22"/>
        </w:rPr>
        <w:t xml:space="preserve">provide a </w:t>
      </w:r>
      <w:r>
        <w:rPr>
          <w:szCs w:val="22"/>
        </w:rPr>
        <w:t>rationale for such additional assistance</w:t>
      </w:r>
      <w:r w:rsidRPr="00A40BD7">
        <w:rPr>
          <w:szCs w:val="22"/>
        </w:rPr>
        <w:t xml:space="preserve">.  </w:t>
      </w:r>
    </w:p>
  </w:footnote>
  <w:footnote w:id="16">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2)(A).</w:t>
      </w:r>
    </w:p>
  </w:footnote>
  <w:footnote w:id="17">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2)(B).</w:t>
      </w:r>
    </w:p>
  </w:footnote>
  <w:footnote w:id="18">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2)(A)(iv) and (a)(2)(B).</w:t>
      </w:r>
    </w:p>
  </w:footnote>
  <w:footnote w:id="19">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§603(a</w:t>
      </w:r>
      <w:proofErr w:type="gramStart"/>
      <w:r w:rsidRPr="005029D7">
        <w:t>)(</w:t>
      </w:r>
      <w:proofErr w:type="gramEnd"/>
      <w:r w:rsidRPr="005029D7">
        <w:t>1).</w:t>
      </w:r>
    </w:p>
  </w:footnote>
  <w:footnote w:id="20">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§603(a</w:t>
      </w:r>
      <w:proofErr w:type="gramStart"/>
      <w:r w:rsidRPr="005029D7">
        <w:t>)(</w:t>
      </w:r>
      <w:proofErr w:type="gramEnd"/>
      <w:r w:rsidRPr="005029D7">
        <w:t xml:space="preserve">2). </w:t>
      </w:r>
    </w:p>
  </w:footnote>
  <w:footnote w:id="21">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 xml:space="preserve">2).  Note that the maximum amount is limited to 33 percent where the </w:t>
      </w:r>
      <w:proofErr w:type="spellStart"/>
      <w:r w:rsidRPr="005029D7">
        <w:t>nonsubordination</w:t>
      </w:r>
      <w:proofErr w:type="spellEnd"/>
      <w:r w:rsidRPr="005029D7">
        <w:t xml:space="preserve"> requirement is waived, as described in footnote 14 above.</w:t>
      </w:r>
    </w:p>
  </w:footnote>
  <w:footnote w:id="22">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2).</w:t>
      </w:r>
    </w:p>
  </w:footnote>
  <w:footnote w:id="23">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4)(A).</w:t>
      </w:r>
    </w:p>
  </w:footnote>
  <w:footnote w:id="24">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4)(B)(</w:t>
      </w:r>
      <w:proofErr w:type="spellStart"/>
      <w:r w:rsidRPr="005029D7">
        <w:t>i</w:t>
      </w:r>
      <w:proofErr w:type="spellEnd"/>
      <w:r w:rsidRPr="005029D7">
        <w:t>).</w:t>
      </w:r>
    </w:p>
  </w:footnote>
  <w:footnote w:id="25">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4)(B)(ii).</w:t>
      </w:r>
    </w:p>
  </w:footnote>
  <w:footnote w:id="26">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§608(a</w:t>
      </w:r>
      <w:proofErr w:type="gramStart"/>
      <w:r w:rsidRPr="005029D7">
        <w:t>)(</w:t>
      </w:r>
      <w:proofErr w:type="gramEnd"/>
      <w:r w:rsidRPr="005029D7">
        <w:t>3)(A).</w:t>
      </w:r>
    </w:p>
  </w:footnote>
  <w:footnote w:id="27">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§608(a</w:t>
      </w:r>
      <w:proofErr w:type="gramStart"/>
      <w:r w:rsidRPr="005029D7">
        <w:t>)(</w:t>
      </w:r>
      <w:proofErr w:type="gramEnd"/>
      <w:r w:rsidRPr="005029D7">
        <w:t>3)(B).</w:t>
      </w:r>
    </w:p>
  </w:footnote>
  <w:footnote w:id="28">
    <w:p w:rsidR="00AD0513" w:rsidRDefault="00AD0513" w:rsidP="0009358F">
      <w:pPr>
        <w:pStyle w:val="FootnoteText"/>
        <w:spacing w:after="0" w:line="240" w:lineRule="auto"/>
        <w:jc w:val="both"/>
      </w:pPr>
      <w:r>
        <w:rPr>
          <w:rStyle w:val="FootnoteReference"/>
        </w:rPr>
        <w:footnoteRef/>
      </w:r>
      <w:r>
        <w:t xml:space="preserve"> </w:t>
      </w:r>
      <w:r w:rsidRPr="005029D7">
        <w:t>23 U.S.C. §§60</w:t>
      </w:r>
      <w:r>
        <w:t>1</w:t>
      </w:r>
      <w:r w:rsidRPr="005029D7">
        <w:t>(a</w:t>
      </w:r>
      <w:proofErr w:type="gramStart"/>
      <w:r w:rsidRPr="005029D7">
        <w:t>)(</w:t>
      </w:r>
      <w:proofErr w:type="gramEnd"/>
      <w:r>
        <w:t>8</w:t>
      </w:r>
      <w:r w:rsidRPr="005029D7">
        <w:t>)</w:t>
      </w:r>
      <w:r>
        <w:t xml:space="preserve"> and 603(b)(4)(C)</w:t>
      </w:r>
      <w:r w:rsidRPr="005029D7">
        <w:t>.</w:t>
      </w:r>
      <w:r>
        <w:t xml:space="preserve">  In addition, a limited </w:t>
      </w:r>
      <w:proofErr w:type="spellStart"/>
      <w:r>
        <w:t>buydown</w:t>
      </w:r>
      <w:proofErr w:type="spellEnd"/>
      <w:r>
        <w:t xml:space="preserve"> is available in the event a borrower has entered into a master credit agreement and the interest rate has increased between the date on which the master credit agreement was executed and the date on which an underlying secured loan is entered into in connection with such master credit agreement.</w:t>
      </w:r>
    </w:p>
  </w:footnote>
  <w:footnote w:id="29">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§603(a</w:t>
      </w:r>
      <w:proofErr w:type="gramStart"/>
      <w:r w:rsidRPr="005029D7">
        <w:t>)(</w:t>
      </w:r>
      <w:proofErr w:type="gramEnd"/>
      <w:r w:rsidRPr="005029D7">
        <w:t>1).</w:t>
      </w:r>
    </w:p>
  </w:footnote>
  <w:footnote w:id="30">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5).</w:t>
      </w:r>
    </w:p>
  </w:footnote>
  <w:footnote w:id="31">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§603(c</w:t>
      </w:r>
      <w:proofErr w:type="gramStart"/>
      <w:r w:rsidRPr="005029D7">
        <w:t>)(</w:t>
      </w:r>
      <w:proofErr w:type="gramEnd"/>
      <w:r w:rsidRPr="005029D7">
        <w:t>2).</w:t>
      </w:r>
    </w:p>
  </w:footnote>
  <w:footnote w:id="32">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§603(c</w:t>
      </w:r>
      <w:proofErr w:type="gramStart"/>
      <w:r w:rsidRPr="005029D7">
        <w:t>)(</w:t>
      </w:r>
      <w:proofErr w:type="gramEnd"/>
      <w:r w:rsidRPr="005029D7">
        <w:t>1).</w:t>
      </w:r>
    </w:p>
  </w:footnote>
  <w:footnote w:id="33">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§603(c</w:t>
      </w:r>
      <w:proofErr w:type="gramStart"/>
      <w:r w:rsidRPr="005029D7">
        <w:t>)(</w:t>
      </w:r>
      <w:proofErr w:type="gramEnd"/>
      <w:r w:rsidRPr="005029D7">
        <w:t>3).</w:t>
      </w:r>
    </w:p>
  </w:footnote>
  <w:footnote w:id="34">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§603(c</w:t>
      </w:r>
      <w:proofErr w:type="gramStart"/>
      <w:r w:rsidRPr="005029D7">
        <w:t>)(</w:t>
      </w:r>
      <w:proofErr w:type="gramEnd"/>
      <w:r w:rsidRPr="005029D7">
        <w:t>4).</w:t>
      </w:r>
    </w:p>
  </w:footnote>
  <w:footnote w:id="35">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6).</w:t>
      </w:r>
    </w:p>
  </w:footnote>
  <w:footnote w:id="36">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6)(B).</w:t>
      </w:r>
    </w:p>
  </w:footnote>
  <w:footnote w:id="37">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49 C.F.R. §80.15(c).</w:t>
      </w:r>
      <w:proofErr w:type="gramEnd"/>
    </w:p>
  </w:footnote>
  <w:footnote w:id="38">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§603(a</w:t>
      </w:r>
      <w:proofErr w:type="gramStart"/>
      <w:r w:rsidRPr="005029D7">
        <w:t>)(</w:t>
      </w:r>
      <w:proofErr w:type="gramEnd"/>
      <w:r w:rsidRPr="005029D7">
        <w:t>1)</w:t>
      </w:r>
      <w:r>
        <w:t xml:space="preserve"> and (e)(2)</w:t>
      </w:r>
      <w:r w:rsidRPr="005029D7">
        <w:t>.</w:t>
      </w:r>
    </w:p>
  </w:footnote>
  <w:footnote w:id="39">
    <w:p w:rsidR="00AD0513" w:rsidRPr="005029D7" w:rsidRDefault="00AD0513" w:rsidP="004B77BA">
      <w:pPr>
        <w:pStyle w:val="FootnoteText"/>
        <w:spacing w:after="0" w:line="240" w:lineRule="auto"/>
        <w:jc w:val="both"/>
      </w:pPr>
      <w:r w:rsidRPr="005029D7">
        <w:rPr>
          <w:rStyle w:val="FootnoteReference"/>
        </w:rPr>
        <w:footnoteRef/>
      </w:r>
      <w:r w:rsidRPr="005029D7">
        <w:t xml:space="preserve"> 23 U.S.C. §603(a</w:t>
      </w:r>
      <w:proofErr w:type="gramStart"/>
      <w:r w:rsidRPr="005029D7">
        <w:t>)(</w:t>
      </w:r>
      <w:proofErr w:type="gramEnd"/>
      <w:r w:rsidRPr="005029D7">
        <w:t>2)</w:t>
      </w:r>
      <w:r>
        <w:t xml:space="preserve"> and (e)(2)</w:t>
      </w:r>
      <w:r w:rsidRPr="005029D7">
        <w:t xml:space="preserve">. </w:t>
      </w:r>
    </w:p>
  </w:footnote>
  <w:footnote w:id="40">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 xml:space="preserve">2) and (e)(2). </w:t>
      </w:r>
    </w:p>
  </w:footnote>
  <w:footnote w:id="41">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§603(e</w:t>
      </w:r>
      <w:proofErr w:type="gramStart"/>
      <w:r w:rsidRPr="005029D7">
        <w:t>)(</w:t>
      </w:r>
      <w:proofErr w:type="gramEnd"/>
      <w:r w:rsidRPr="005029D7">
        <w:t>2).</w:t>
      </w:r>
    </w:p>
  </w:footnote>
  <w:footnote w:id="42">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5) and (e)(2).</w:t>
      </w:r>
    </w:p>
  </w:footnote>
  <w:footnote w:id="43">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§603(c</w:t>
      </w:r>
      <w:proofErr w:type="gramStart"/>
      <w:r w:rsidRPr="005029D7">
        <w:t>)(</w:t>
      </w:r>
      <w:proofErr w:type="gramEnd"/>
      <w:r w:rsidRPr="005029D7">
        <w:t>2) and (e)(2).</w:t>
      </w:r>
    </w:p>
  </w:footnote>
  <w:footnote w:id="44">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§603(c</w:t>
      </w:r>
      <w:proofErr w:type="gramStart"/>
      <w:r w:rsidRPr="005029D7">
        <w:t>)(</w:t>
      </w:r>
      <w:proofErr w:type="gramEnd"/>
      <w:r w:rsidRPr="005029D7">
        <w:t>1) and (e)(2).</w:t>
      </w:r>
    </w:p>
  </w:footnote>
  <w:footnote w:id="45">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§603(c</w:t>
      </w:r>
      <w:proofErr w:type="gramStart"/>
      <w:r w:rsidRPr="005029D7">
        <w:t>)(</w:t>
      </w:r>
      <w:proofErr w:type="gramEnd"/>
      <w:r w:rsidRPr="005029D7">
        <w:t>3) and (e)(2).</w:t>
      </w:r>
    </w:p>
  </w:footnote>
  <w:footnote w:id="46">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§603(e</w:t>
      </w:r>
      <w:proofErr w:type="gramStart"/>
      <w:r w:rsidRPr="005029D7">
        <w:t>)(</w:t>
      </w:r>
      <w:proofErr w:type="gramEnd"/>
      <w:r w:rsidRPr="005029D7">
        <w:t>2).</w:t>
      </w:r>
    </w:p>
  </w:footnote>
  <w:footnote w:id="47">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§601(a</w:t>
      </w:r>
      <w:proofErr w:type="gramStart"/>
      <w:r w:rsidRPr="005029D7">
        <w:t>)(</w:t>
      </w:r>
      <w:proofErr w:type="gramEnd"/>
      <w:r w:rsidRPr="005029D7">
        <w:t>9).</w:t>
      </w:r>
    </w:p>
  </w:footnote>
  <w:footnote w:id="48">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6) and (e)(2).</w:t>
      </w:r>
    </w:p>
  </w:footnote>
  <w:footnote w:id="49">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6)(B).</w:t>
      </w:r>
    </w:p>
  </w:footnote>
  <w:footnote w:id="50">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§604(a</w:t>
      </w:r>
      <w:proofErr w:type="gramStart"/>
      <w:r w:rsidRPr="005029D7">
        <w:t>)(</w:t>
      </w:r>
      <w:proofErr w:type="gramEnd"/>
      <w:r w:rsidRPr="005029D7">
        <w:t>1) and (b)(6).</w:t>
      </w:r>
    </w:p>
  </w:footnote>
  <w:footnote w:id="51">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§604(a</w:t>
      </w:r>
      <w:proofErr w:type="gramStart"/>
      <w:r w:rsidRPr="005029D7">
        <w:t>)(</w:t>
      </w:r>
      <w:proofErr w:type="gramEnd"/>
      <w:r w:rsidRPr="005029D7">
        <w:t>1) and (b)(1).</w:t>
      </w:r>
    </w:p>
  </w:footnote>
  <w:footnote w:id="52">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§604(a</w:t>
      </w:r>
      <w:proofErr w:type="gramStart"/>
      <w:r w:rsidRPr="005029D7">
        <w:t>)(</w:t>
      </w:r>
      <w:proofErr w:type="gramEnd"/>
      <w:r w:rsidRPr="005029D7">
        <w:t>2).</w:t>
      </w:r>
    </w:p>
  </w:footnote>
  <w:footnote w:id="53">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§604(b</w:t>
      </w:r>
      <w:proofErr w:type="gramStart"/>
      <w:r w:rsidRPr="005029D7">
        <w:t>)(</w:t>
      </w:r>
      <w:proofErr w:type="gramEnd"/>
      <w:r w:rsidRPr="005029D7">
        <w:t>2).</w:t>
      </w:r>
    </w:p>
  </w:footnote>
  <w:footnote w:id="54">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§604(b</w:t>
      </w:r>
      <w:proofErr w:type="gramStart"/>
      <w:r w:rsidRPr="005029D7">
        <w:t>)(</w:t>
      </w:r>
      <w:proofErr w:type="gramEnd"/>
      <w:r w:rsidRPr="005029D7">
        <w:t>10).</w:t>
      </w:r>
    </w:p>
  </w:footnote>
  <w:footnote w:id="55">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§604(b</w:t>
      </w:r>
      <w:proofErr w:type="gramStart"/>
      <w:r w:rsidRPr="005029D7">
        <w:t>)(</w:t>
      </w:r>
      <w:proofErr w:type="gramEnd"/>
      <w:r w:rsidRPr="005029D7">
        <w:t>3)(B).</w:t>
      </w:r>
    </w:p>
  </w:footnote>
  <w:footnote w:id="56">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§604(b</w:t>
      </w:r>
      <w:proofErr w:type="gramStart"/>
      <w:r w:rsidRPr="005029D7">
        <w:t>)(</w:t>
      </w:r>
      <w:proofErr w:type="gramEnd"/>
      <w:r w:rsidRPr="005029D7">
        <w:t>6).</w:t>
      </w:r>
    </w:p>
  </w:footnote>
  <w:footnote w:id="57">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§604(b</w:t>
      </w:r>
      <w:proofErr w:type="gramStart"/>
      <w:r w:rsidRPr="005029D7">
        <w:t>)(</w:t>
      </w:r>
      <w:proofErr w:type="gramEnd"/>
      <w:r w:rsidRPr="005029D7">
        <w:t>4).</w:t>
      </w:r>
    </w:p>
  </w:footnote>
  <w:footnote w:id="58">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§604(c</w:t>
      </w:r>
      <w:proofErr w:type="gramStart"/>
      <w:r w:rsidRPr="005029D7">
        <w:t>)(</w:t>
      </w:r>
      <w:proofErr w:type="gramEnd"/>
      <w:r w:rsidRPr="005029D7">
        <w:t>2)(B).</w:t>
      </w:r>
    </w:p>
  </w:footnote>
  <w:footnote w:id="59">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§604(c</w:t>
      </w:r>
      <w:proofErr w:type="gramStart"/>
      <w:r w:rsidRPr="005029D7">
        <w:t>)(</w:t>
      </w:r>
      <w:proofErr w:type="gramEnd"/>
      <w:r w:rsidRPr="005029D7">
        <w:t>2).</w:t>
      </w:r>
    </w:p>
  </w:footnote>
  <w:footnote w:id="60">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§604(c</w:t>
      </w:r>
      <w:proofErr w:type="gramStart"/>
      <w:r w:rsidRPr="005029D7">
        <w:t>)(</w:t>
      </w:r>
      <w:proofErr w:type="gramEnd"/>
      <w:r w:rsidRPr="005029D7">
        <w:t>1).</w:t>
      </w:r>
    </w:p>
  </w:footnote>
  <w:footnote w:id="61">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§604(b</w:t>
      </w:r>
      <w:proofErr w:type="gramStart"/>
      <w:r w:rsidRPr="005029D7">
        <w:t>)(</w:t>
      </w:r>
      <w:proofErr w:type="gramEnd"/>
      <w:r w:rsidRPr="005029D7">
        <w:t>8)(A).</w:t>
      </w:r>
    </w:p>
  </w:footnote>
  <w:footnote w:id="62">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§604(b</w:t>
      </w:r>
      <w:proofErr w:type="gramStart"/>
      <w:r w:rsidRPr="005029D7">
        <w:t>)(</w:t>
      </w:r>
      <w:proofErr w:type="gramEnd"/>
      <w:r w:rsidRPr="005029D7">
        <w:t>8)(B).</w:t>
      </w:r>
    </w:p>
  </w:footnote>
  <w:footnote w:id="63">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§603(c</w:t>
      </w:r>
      <w:proofErr w:type="gramStart"/>
      <w:r w:rsidRPr="005029D7">
        <w:t>)(</w:t>
      </w:r>
      <w:proofErr w:type="gramEnd"/>
      <w:r w:rsidRPr="005029D7">
        <w:t>2) and (e)(2).  Debt service payments on direct loans issued under a line of credit can be deferred for up to fifteen years after substantial completion (23 U.S.C. §604(c)(2)(A)).</w:t>
      </w:r>
    </w:p>
  </w:footnote>
  <w:footnote w:id="64">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§§603(c</w:t>
      </w:r>
      <w:proofErr w:type="gramStart"/>
      <w:r w:rsidRPr="005029D7">
        <w:t>)(</w:t>
      </w:r>
      <w:proofErr w:type="gramEnd"/>
      <w:r w:rsidRPr="005029D7">
        <w:t>1), (c)(3), (e)(2) and 604(c)(1).</w:t>
      </w:r>
    </w:p>
  </w:footnote>
  <w:footnote w:id="65">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§§603(c</w:t>
      </w:r>
      <w:proofErr w:type="gramStart"/>
      <w:r w:rsidRPr="005029D7">
        <w:t>)(</w:t>
      </w:r>
      <w:proofErr w:type="gramEnd"/>
      <w:r w:rsidRPr="005029D7">
        <w:t>1), (c)(3), (e)(2) and 604(c)(1).</w:t>
      </w:r>
    </w:p>
  </w:footnote>
  <w:footnote w:id="66">
    <w:p w:rsidR="00AD0513" w:rsidRDefault="00AD0513" w:rsidP="00B20BEB">
      <w:pPr>
        <w:pStyle w:val="FootnoteText"/>
        <w:spacing w:after="0" w:line="240" w:lineRule="auto"/>
      </w:pPr>
      <w:r>
        <w:rPr>
          <w:rStyle w:val="FootnoteReference"/>
        </w:rPr>
        <w:footnoteRef/>
      </w:r>
      <w:r>
        <w:t xml:space="preserve"> </w:t>
      </w:r>
      <w:r w:rsidRPr="005029D7">
        <w:t>2 U.S.C. §</w:t>
      </w:r>
      <w:proofErr w:type="gramStart"/>
      <w:r w:rsidRPr="005029D7">
        <w:t>661c(</w:t>
      </w:r>
      <w:proofErr w:type="gramEnd"/>
      <w:r w:rsidRPr="005029D7">
        <w:t>b).</w:t>
      </w:r>
    </w:p>
  </w:footnote>
  <w:footnote w:id="67">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MAP-21, Pub.</w:t>
      </w:r>
      <w:proofErr w:type="gramEnd"/>
      <w:r w:rsidRPr="005029D7">
        <w:t xml:space="preserve"> L. No. 112-141, §1101(a</w:t>
      </w:r>
      <w:proofErr w:type="gramStart"/>
      <w:r w:rsidRPr="005029D7">
        <w:t>)(</w:t>
      </w:r>
      <w:proofErr w:type="gramEnd"/>
      <w:r w:rsidRPr="005029D7">
        <w:t>2), (126 Stat. 607) (2012).</w:t>
      </w:r>
    </w:p>
  </w:footnote>
  <w:footnote w:id="68">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§608(a</w:t>
      </w:r>
      <w:proofErr w:type="gramStart"/>
      <w:r w:rsidRPr="005029D7">
        <w:t>)(</w:t>
      </w:r>
      <w:proofErr w:type="gramEnd"/>
      <w:r w:rsidRPr="005029D7">
        <w:t>5).</w:t>
      </w:r>
    </w:p>
  </w:footnote>
  <w:footnote w:id="69">
    <w:p w:rsidR="00AD0513" w:rsidRDefault="00AD0513">
      <w:pPr>
        <w:pStyle w:val="FootnoteText"/>
      </w:pPr>
      <w:r>
        <w:rPr>
          <w:rStyle w:val="FootnoteReference"/>
        </w:rPr>
        <w:footnoteRef/>
      </w:r>
      <w:r>
        <w:t xml:space="preserve"> 23 U.S.C. §608(a</w:t>
      </w:r>
      <w:proofErr w:type="gramStart"/>
      <w:r>
        <w:t>)(</w:t>
      </w:r>
      <w:proofErr w:type="gramEnd"/>
      <w:r>
        <w:t>4)(A</w:t>
      </w:r>
      <w:r w:rsidRPr="005029D7">
        <w:t>).</w:t>
      </w:r>
    </w:p>
  </w:footnote>
  <w:footnote w:id="70">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§608(a</w:t>
      </w:r>
      <w:proofErr w:type="gramStart"/>
      <w:r w:rsidRPr="005029D7">
        <w:t>)(</w:t>
      </w:r>
      <w:proofErr w:type="gramEnd"/>
      <w:r w:rsidRPr="005029D7">
        <w:t>6).</w:t>
      </w:r>
    </w:p>
  </w:footnote>
  <w:footnote w:id="71">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23 U.S.C. §605(b).</w:t>
      </w:r>
      <w:proofErr w:type="gramEnd"/>
    </w:p>
  </w:footnote>
  <w:footnote w:id="72">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§608(a</w:t>
      </w:r>
      <w:proofErr w:type="gramStart"/>
      <w:r w:rsidRPr="005029D7">
        <w:t>)(</w:t>
      </w:r>
      <w:proofErr w:type="gramEnd"/>
      <w:r w:rsidRPr="005029D7">
        <w:t>5).</w:t>
      </w:r>
    </w:p>
  </w:footnote>
  <w:footnote w:id="73">
    <w:p w:rsidR="00AD0513" w:rsidRPr="005029D7" w:rsidRDefault="00AD0513" w:rsidP="005029D7">
      <w:pPr>
        <w:pStyle w:val="FootnoteText"/>
        <w:spacing w:after="0" w:line="240" w:lineRule="auto"/>
        <w:jc w:val="both"/>
        <w:rPr>
          <w:szCs w:val="18"/>
        </w:rPr>
      </w:pPr>
      <w:r w:rsidRPr="005029D7">
        <w:rPr>
          <w:rStyle w:val="FootnoteReference"/>
          <w:sz w:val="18"/>
          <w:szCs w:val="18"/>
        </w:rPr>
        <w:footnoteRef/>
      </w:r>
      <w:r w:rsidRPr="005029D7">
        <w:rPr>
          <w:szCs w:val="18"/>
        </w:rPr>
        <w:t xml:space="preserve"> 23 U.S.C. </w:t>
      </w:r>
      <w:r w:rsidRPr="005029D7">
        <w:rPr>
          <w:color w:val="000000"/>
          <w:szCs w:val="18"/>
        </w:rPr>
        <w:t>§</w:t>
      </w:r>
      <w:r w:rsidRPr="005029D7">
        <w:rPr>
          <w:szCs w:val="18"/>
        </w:rPr>
        <w:t>601(a</w:t>
      </w:r>
      <w:proofErr w:type="gramStart"/>
      <w:r w:rsidRPr="005029D7">
        <w:rPr>
          <w:szCs w:val="18"/>
        </w:rPr>
        <w:t>)(</w:t>
      </w:r>
      <w:proofErr w:type="gramEnd"/>
      <w:r w:rsidRPr="005029D7">
        <w:rPr>
          <w:szCs w:val="18"/>
        </w:rPr>
        <w:t>12)(A).</w:t>
      </w:r>
    </w:p>
  </w:footnote>
  <w:footnote w:id="74">
    <w:p w:rsidR="00AD0513" w:rsidRPr="005029D7" w:rsidRDefault="00AD0513" w:rsidP="005029D7">
      <w:pPr>
        <w:pStyle w:val="FootnoteText"/>
        <w:spacing w:after="0" w:line="240" w:lineRule="auto"/>
        <w:jc w:val="both"/>
      </w:pPr>
      <w:r w:rsidRPr="005029D7">
        <w:rPr>
          <w:rStyle w:val="FootnoteReference"/>
          <w:sz w:val="18"/>
          <w:szCs w:val="18"/>
        </w:rPr>
        <w:footnoteRef/>
      </w:r>
      <w:r w:rsidRPr="005029D7">
        <w:rPr>
          <w:szCs w:val="18"/>
        </w:rPr>
        <w:t xml:space="preserve"> 23 U.S.C. </w:t>
      </w:r>
      <w:r w:rsidRPr="005029D7">
        <w:rPr>
          <w:color w:val="000000"/>
          <w:szCs w:val="18"/>
        </w:rPr>
        <w:t>§</w:t>
      </w:r>
      <w:r w:rsidRPr="005029D7">
        <w:rPr>
          <w:szCs w:val="18"/>
        </w:rPr>
        <w:t>601(a</w:t>
      </w:r>
      <w:proofErr w:type="gramStart"/>
      <w:r w:rsidRPr="005029D7">
        <w:rPr>
          <w:szCs w:val="18"/>
        </w:rPr>
        <w:t>)(</w:t>
      </w:r>
      <w:proofErr w:type="gramEnd"/>
      <w:r w:rsidRPr="005029D7">
        <w:rPr>
          <w:szCs w:val="18"/>
        </w:rPr>
        <w:t>12)(B).</w:t>
      </w:r>
    </w:p>
  </w:footnote>
  <w:footnote w:id="75">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w:t>
      </w:r>
      <w:r w:rsidRPr="005029D7">
        <w:rPr>
          <w:szCs w:val="18"/>
        </w:rPr>
        <w:t>601(a</w:t>
      </w:r>
      <w:proofErr w:type="gramStart"/>
      <w:r w:rsidRPr="005029D7">
        <w:rPr>
          <w:szCs w:val="18"/>
        </w:rPr>
        <w:t>)(</w:t>
      </w:r>
      <w:proofErr w:type="gramEnd"/>
      <w:r w:rsidRPr="005029D7">
        <w:rPr>
          <w:szCs w:val="18"/>
        </w:rPr>
        <w:t>12)(A).</w:t>
      </w:r>
    </w:p>
  </w:footnote>
  <w:footnote w:id="76">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w:t>
      </w:r>
      <w:r w:rsidRPr="005029D7">
        <w:rPr>
          <w:szCs w:val="18"/>
        </w:rPr>
        <w:t>601(a</w:t>
      </w:r>
      <w:proofErr w:type="gramStart"/>
      <w:r w:rsidRPr="005029D7">
        <w:rPr>
          <w:szCs w:val="18"/>
        </w:rPr>
        <w:t>)(</w:t>
      </w:r>
      <w:proofErr w:type="gramEnd"/>
      <w:r w:rsidRPr="005029D7">
        <w:rPr>
          <w:szCs w:val="18"/>
        </w:rPr>
        <w:t>12)(C).</w:t>
      </w:r>
    </w:p>
  </w:footnote>
  <w:footnote w:id="77">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w:t>
      </w:r>
      <w:r w:rsidRPr="005029D7">
        <w:rPr>
          <w:szCs w:val="18"/>
        </w:rPr>
        <w:t>601(a</w:t>
      </w:r>
      <w:proofErr w:type="gramStart"/>
      <w:r w:rsidRPr="005029D7">
        <w:rPr>
          <w:szCs w:val="18"/>
        </w:rPr>
        <w:t>)(</w:t>
      </w:r>
      <w:proofErr w:type="gramEnd"/>
      <w:r w:rsidRPr="005029D7">
        <w:rPr>
          <w:szCs w:val="18"/>
        </w:rPr>
        <w:t>12)(C).</w:t>
      </w:r>
    </w:p>
  </w:footnote>
  <w:footnote w:id="78">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w:t>
      </w:r>
      <w:r w:rsidRPr="005029D7">
        <w:rPr>
          <w:szCs w:val="18"/>
        </w:rPr>
        <w:t>601(a</w:t>
      </w:r>
      <w:proofErr w:type="gramStart"/>
      <w:r w:rsidRPr="005029D7">
        <w:rPr>
          <w:szCs w:val="18"/>
        </w:rPr>
        <w:t>)(</w:t>
      </w:r>
      <w:proofErr w:type="gramEnd"/>
      <w:r w:rsidRPr="005029D7">
        <w:rPr>
          <w:szCs w:val="18"/>
        </w:rPr>
        <w:t>12)(D)(</w:t>
      </w:r>
      <w:proofErr w:type="spellStart"/>
      <w:r w:rsidRPr="005029D7">
        <w:rPr>
          <w:szCs w:val="18"/>
        </w:rPr>
        <w:t>i</w:t>
      </w:r>
      <w:proofErr w:type="spellEnd"/>
      <w:r w:rsidRPr="005029D7">
        <w:rPr>
          <w:szCs w:val="18"/>
        </w:rPr>
        <w:t>).</w:t>
      </w:r>
    </w:p>
  </w:footnote>
  <w:footnote w:id="79">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w:t>
      </w:r>
      <w:r w:rsidRPr="005029D7">
        <w:rPr>
          <w:szCs w:val="18"/>
        </w:rPr>
        <w:t>601(a</w:t>
      </w:r>
      <w:proofErr w:type="gramStart"/>
      <w:r w:rsidRPr="005029D7">
        <w:rPr>
          <w:szCs w:val="18"/>
        </w:rPr>
        <w:t>)(</w:t>
      </w:r>
      <w:proofErr w:type="gramEnd"/>
      <w:r w:rsidRPr="005029D7">
        <w:rPr>
          <w:szCs w:val="18"/>
        </w:rPr>
        <w:t>12)(D)(</w:t>
      </w:r>
      <w:proofErr w:type="spellStart"/>
      <w:r w:rsidRPr="005029D7">
        <w:rPr>
          <w:szCs w:val="18"/>
        </w:rPr>
        <w:t>i</w:t>
      </w:r>
      <w:proofErr w:type="spellEnd"/>
      <w:r w:rsidRPr="005029D7">
        <w:rPr>
          <w:szCs w:val="18"/>
        </w:rPr>
        <w:t>)(V).</w:t>
      </w:r>
    </w:p>
  </w:footnote>
  <w:footnote w:id="80">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w:t>
      </w:r>
      <w:r w:rsidRPr="005029D7">
        <w:rPr>
          <w:szCs w:val="18"/>
        </w:rPr>
        <w:t>601(a</w:t>
      </w:r>
      <w:proofErr w:type="gramStart"/>
      <w:r w:rsidRPr="005029D7">
        <w:rPr>
          <w:szCs w:val="18"/>
        </w:rPr>
        <w:t>)(</w:t>
      </w:r>
      <w:proofErr w:type="gramEnd"/>
      <w:r w:rsidRPr="005029D7">
        <w:rPr>
          <w:szCs w:val="18"/>
        </w:rPr>
        <w:t>12)(D)(iii).</w:t>
      </w:r>
    </w:p>
  </w:footnote>
  <w:footnote w:id="81">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§§603(b</w:t>
      </w:r>
      <w:proofErr w:type="gramStart"/>
      <w:r w:rsidRPr="005029D7">
        <w:rPr>
          <w:color w:val="000000"/>
          <w:szCs w:val="18"/>
        </w:rPr>
        <w:t>)(</w:t>
      </w:r>
      <w:proofErr w:type="gramEnd"/>
      <w:r w:rsidRPr="005029D7">
        <w:rPr>
          <w:color w:val="000000"/>
          <w:szCs w:val="18"/>
        </w:rPr>
        <w:t xml:space="preserve">4)(B) and </w:t>
      </w:r>
      <w:r w:rsidRPr="005029D7">
        <w:rPr>
          <w:szCs w:val="18"/>
        </w:rPr>
        <w:t>608(a)(3)(A).</w:t>
      </w:r>
    </w:p>
  </w:footnote>
  <w:footnote w:id="82">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§601(a</w:t>
      </w:r>
      <w:proofErr w:type="gramStart"/>
      <w:r w:rsidRPr="005029D7">
        <w:rPr>
          <w:color w:val="000000"/>
          <w:szCs w:val="18"/>
        </w:rPr>
        <w:t>)(</w:t>
      </w:r>
      <w:proofErr w:type="gramEnd"/>
      <w:r w:rsidRPr="005029D7">
        <w:rPr>
          <w:color w:val="000000"/>
          <w:szCs w:val="18"/>
        </w:rPr>
        <w:t>15).</w:t>
      </w:r>
    </w:p>
  </w:footnote>
  <w:footnote w:id="83">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w:t>
      </w:r>
      <w:r w:rsidRPr="005029D7">
        <w:rPr>
          <w:szCs w:val="18"/>
        </w:rPr>
        <w:t>601(a</w:t>
      </w:r>
      <w:proofErr w:type="gramStart"/>
      <w:r w:rsidRPr="005029D7">
        <w:rPr>
          <w:szCs w:val="18"/>
        </w:rPr>
        <w:t>)(</w:t>
      </w:r>
      <w:proofErr w:type="gramEnd"/>
      <w:r w:rsidRPr="005029D7">
        <w:rPr>
          <w:szCs w:val="18"/>
        </w:rPr>
        <w:t>12)(D)(iv).</w:t>
      </w:r>
    </w:p>
  </w:footnote>
  <w:footnote w:id="84">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§§603(a</w:t>
      </w:r>
      <w:proofErr w:type="gramStart"/>
      <w:r w:rsidRPr="005029D7">
        <w:rPr>
          <w:color w:val="000000"/>
          <w:szCs w:val="18"/>
        </w:rPr>
        <w:t>)(</w:t>
      </w:r>
      <w:proofErr w:type="gramEnd"/>
      <w:r w:rsidRPr="005029D7">
        <w:rPr>
          <w:color w:val="000000"/>
          <w:szCs w:val="18"/>
        </w:rPr>
        <w:t xml:space="preserve">1)(A), 603(e)(1) and </w:t>
      </w:r>
      <w:r w:rsidRPr="005029D7">
        <w:rPr>
          <w:szCs w:val="18"/>
        </w:rPr>
        <w:t>604(a)(2).</w:t>
      </w:r>
    </w:p>
  </w:footnote>
  <w:footnote w:id="85">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w:t>
      </w:r>
      <w:r w:rsidRPr="005029D7">
        <w:rPr>
          <w:szCs w:val="18"/>
        </w:rPr>
        <w:t>602(a</w:t>
      </w:r>
      <w:proofErr w:type="gramStart"/>
      <w:r w:rsidRPr="005029D7">
        <w:rPr>
          <w:szCs w:val="18"/>
        </w:rPr>
        <w:t>)(</w:t>
      </w:r>
      <w:proofErr w:type="gramEnd"/>
      <w:r w:rsidRPr="005029D7">
        <w:rPr>
          <w:szCs w:val="18"/>
        </w:rPr>
        <w:t>5).</w:t>
      </w:r>
    </w:p>
  </w:footnote>
  <w:footnote w:id="86">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§§603(b</w:t>
      </w:r>
      <w:proofErr w:type="gramStart"/>
      <w:r w:rsidRPr="005029D7">
        <w:rPr>
          <w:color w:val="000000"/>
          <w:szCs w:val="18"/>
        </w:rPr>
        <w:t>)(</w:t>
      </w:r>
      <w:proofErr w:type="gramEnd"/>
      <w:r w:rsidRPr="005029D7">
        <w:rPr>
          <w:color w:val="000000"/>
          <w:szCs w:val="18"/>
        </w:rPr>
        <w:t xml:space="preserve">2), 603(e)(2) and </w:t>
      </w:r>
      <w:r w:rsidRPr="005029D7">
        <w:rPr>
          <w:szCs w:val="18"/>
        </w:rPr>
        <w:t>604(b)(2).</w:t>
      </w:r>
    </w:p>
  </w:footnote>
  <w:footnote w:id="87">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w:t>
      </w:r>
      <w:r w:rsidRPr="005029D7">
        <w:rPr>
          <w:szCs w:val="18"/>
        </w:rPr>
        <w:t>601(a</w:t>
      </w:r>
      <w:proofErr w:type="gramStart"/>
      <w:r w:rsidRPr="005029D7">
        <w:rPr>
          <w:szCs w:val="18"/>
        </w:rPr>
        <w:t>)(</w:t>
      </w:r>
      <w:proofErr w:type="gramEnd"/>
      <w:r w:rsidRPr="005029D7">
        <w:rPr>
          <w:szCs w:val="18"/>
        </w:rPr>
        <w:t>2)(A).</w:t>
      </w:r>
    </w:p>
  </w:footnote>
  <w:footnote w:id="88">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w:t>
      </w:r>
      <w:r w:rsidRPr="005029D7">
        <w:rPr>
          <w:szCs w:val="18"/>
        </w:rPr>
        <w:t>601(a</w:t>
      </w:r>
      <w:proofErr w:type="gramStart"/>
      <w:r w:rsidRPr="005029D7">
        <w:rPr>
          <w:szCs w:val="18"/>
        </w:rPr>
        <w:t>)(</w:t>
      </w:r>
      <w:proofErr w:type="gramEnd"/>
      <w:r w:rsidRPr="005029D7">
        <w:rPr>
          <w:szCs w:val="18"/>
        </w:rPr>
        <w:t>2)(B).</w:t>
      </w:r>
    </w:p>
  </w:footnote>
  <w:footnote w:id="89">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w:t>
      </w:r>
      <w:r w:rsidRPr="005029D7">
        <w:rPr>
          <w:szCs w:val="18"/>
        </w:rPr>
        <w:t>601(a</w:t>
      </w:r>
      <w:proofErr w:type="gramStart"/>
      <w:r w:rsidRPr="005029D7">
        <w:rPr>
          <w:szCs w:val="18"/>
        </w:rPr>
        <w:t>)(</w:t>
      </w:r>
      <w:proofErr w:type="gramEnd"/>
      <w:r w:rsidRPr="005029D7">
        <w:rPr>
          <w:szCs w:val="18"/>
        </w:rPr>
        <w:t>2)(C).</w:t>
      </w:r>
    </w:p>
  </w:footnote>
  <w:footnote w:id="90">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49 C.F.R. §§80.5(b) and 80.17(b).</w:t>
      </w:r>
      <w:proofErr w:type="gramEnd"/>
    </w:p>
  </w:footnote>
  <w:footnote w:id="91">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49 C.F.R. §80.5(a).</w:t>
      </w:r>
      <w:proofErr w:type="gramEnd"/>
    </w:p>
  </w:footnote>
  <w:footnote w:id="92">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42</w:t>
      </w:r>
      <w:r w:rsidRPr="005029D7">
        <w:rPr>
          <w:szCs w:val="18"/>
        </w:rPr>
        <w:t xml:space="preserve"> U.S.C. </w:t>
      </w:r>
      <w:r w:rsidRPr="005029D7">
        <w:rPr>
          <w:color w:val="000000"/>
          <w:szCs w:val="18"/>
        </w:rPr>
        <w:t>§4</w:t>
      </w:r>
      <w:r w:rsidRPr="005029D7">
        <w:rPr>
          <w:szCs w:val="18"/>
        </w:rPr>
        <w:t>601 et seq.</w:t>
      </w:r>
      <w:proofErr w:type="gramEnd"/>
    </w:p>
  </w:footnote>
  <w:footnote w:id="93">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 xml:space="preserve">49 C.F.R. </w:t>
      </w:r>
      <w:r w:rsidRPr="005029D7">
        <w:rPr>
          <w:color w:val="000000"/>
          <w:szCs w:val="18"/>
        </w:rPr>
        <w:t>§80.5(b).</w:t>
      </w:r>
      <w:proofErr w:type="gramEnd"/>
    </w:p>
  </w:footnote>
  <w:footnote w:id="94">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w:t>
      </w:r>
      <w:r w:rsidRPr="005029D7">
        <w:rPr>
          <w:szCs w:val="18"/>
        </w:rPr>
        <w:t>602(c</w:t>
      </w:r>
      <w:proofErr w:type="gramStart"/>
      <w:r w:rsidRPr="005029D7">
        <w:rPr>
          <w:szCs w:val="18"/>
        </w:rPr>
        <w:t>)(</w:t>
      </w:r>
      <w:proofErr w:type="gramEnd"/>
      <w:r w:rsidRPr="005029D7">
        <w:rPr>
          <w:szCs w:val="18"/>
        </w:rPr>
        <w:t>1).</w:t>
      </w:r>
    </w:p>
  </w:footnote>
  <w:footnote w:id="95">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w:t>
      </w:r>
      <w:r w:rsidRPr="005029D7">
        <w:rPr>
          <w:szCs w:val="18"/>
        </w:rPr>
        <w:t>602(c</w:t>
      </w:r>
      <w:proofErr w:type="gramStart"/>
      <w:r w:rsidRPr="005029D7">
        <w:rPr>
          <w:szCs w:val="18"/>
        </w:rPr>
        <w:t>)(</w:t>
      </w:r>
      <w:proofErr w:type="gramEnd"/>
      <w:r w:rsidRPr="005029D7">
        <w:rPr>
          <w:szCs w:val="18"/>
        </w:rPr>
        <w:t>1).</w:t>
      </w:r>
    </w:p>
  </w:footnote>
  <w:footnote w:id="96">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42 U.S.C. §2000d et seq.</w:t>
      </w:r>
      <w:proofErr w:type="gramEnd"/>
    </w:p>
  </w:footnote>
  <w:footnote w:id="97">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42 U.S.C. §4321 et seq.</w:t>
      </w:r>
      <w:proofErr w:type="gramEnd"/>
    </w:p>
  </w:footnote>
  <w:footnote w:id="98">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szCs w:val="18"/>
        </w:rPr>
        <w:t xml:space="preserve">23 U.S.C. </w:t>
      </w:r>
      <w:r w:rsidRPr="005029D7">
        <w:rPr>
          <w:color w:val="000000"/>
          <w:szCs w:val="18"/>
        </w:rPr>
        <w:t>§</w:t>
      </w:r>
      <w:r w:rsidRPr="005029D7">
        <w:rPr>
          <w:szCs w:val="18"/>
        </w:rPr>
        <w:t>602(c</w:t>
      </w:r>
      <w:proofErr w:type="gramStart"/>
      <w:r w:rsidRPr="005029D7">
        <w:rPr>
          <w:szCs w:val="18"/>
        </w:rPr>
        <w:t>)(</w:t>
      </w:r>
      <w:proofErr w:type="gramEnd"/>
      <w:r w:rsidRPr="005029D7">
        <w:rPr>
          <w:szCs w:val="18"/>
        </w:rPr>
        <w:t>2).</w:t>
      </w:r>
    </w:p>
  </w:footnote>
  <w:footnote w:id="99">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10).</w:t>
      </w:r>
    </w:p>
  </w:footnote>
  <w:footnote w:id="100">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42</w:t>
      </w:r>
      <w:r w:rsidRPr="005029D7">
        <w:rPr>
          <w:szCs w:val="18"/>
        </w:rPr>
        <w:t xml:space="preserve"> U.S.C. </w:t>
      </w:r>
      <w:r w:rsidRPr="005029D7">
        <w:rPr>
          <w:color w:val="000000"/>
          <w:szCs w:val="18"/>
        </w:rPr>
        <w:t>§4</w:t>
      </w:r>
      <w:r w:rsidRPr="005029D7">
        <w:rPr>
          <w:szCs w:val="18"/>
        </w:rPr>
        <w:t>601 et seq.</w:t>
      </w:r>
      <w:proofErr w:type="gramEnd"/>
    </w:p>
  </w:footnote>
  <w:footnote w:id="101">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i/>
        </w:rPr>
        <w:t>See</w:t>
      </w:r>
      <w:r w:rsidRPr="005029D7">
        <w:t xml:space="preserve"> </w:t>
      </w:r>
      <w:r w:rsidRPr="005029D7">
        <w:rPr>
          <w:szCs w:val="18"/>
        </w:rPr>
        <w:t xml:space="preserve">23 U.S.C. </w:t>
      </w:r>
      <w:r w:rsidRPr="005029D7">
        <w:rPr>
          <w:color w:val="000000"/>
          <w:szCs w:val="18"/>
        </w:rPr>
        <w:t>§</w:t>
      </w:r>
      <w:r w:rsidRPr="005029D7">
        <w:rPr>
          <w:szCs w:val="18"/>
        </w:rPr>
        <w:t>602(a</w:t>
      </w:r>
      <w:proofErr w:type="gramStart"/>
      <w:r w:rsidRPr="005029D7">
        <w:rPr>
          <w:szCs w:val="18"/>
        </w:rPr>
        <w:t>)(</w:t>
      </w:r>
      <w:proofErr w:type="gramEnd"/>
      <w:r w:rsidRPr="005029D7">
        <w:rPr>
          <w:szCs w:val="18"/>
        </w:rPr>
        <w:t>4).</w:t>
      </w:r>
    </w:p>
  </w:footnote>
  <w:footnote w:id="102">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23 U.S.C. §602(c).</w:t>
      </w:r>
      <w:proofErr w:type="gramEnd"/>
    </w:p>
  </w:footnote>
  <w:footnote w:id="103">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Office of Mgmt. &amp; Budget, Exec.</w:t>
      </w:r>
      <w:proofErr w:type="gramEnd"/>
      <w:r w:rsidRPr="005029D7">
        <w:t xml:space="preserve"> </w:t>
      </w:r>
      <w:proofErr w:type="gramStart"/>
      <w:r w:rsidRPr="005029D7">
        <w:t>Office of the President, OMB Circular No.</w:t>
      </w:r>
      <w:proofErr w:type="gramEnd"/>
      <w:r w:rsidRPr="005029D7">
        <w:t xml:space="preserve"> A-129, Policies for Federal Credit Programs and Non-Tax Receivables (2013).</w:t>
      </w:r>
    </w:p>
  </w:footnote>
  <w:footnote w:id="104">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1)(A), (a)(8).</w:t>
      </w:r>
    </w:p>
  </w:footnote>
  <w:footnote w:id="105">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10).</w:t>
      </w:r>
    </w:p>
  </w:footnote>
  <w:footnote w:id="106">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§601(a</w:t>
      </w:r>
      <w:proofErr w:type="gramStart"/>
      <w:r w:rsidRPr="005029D7">
        <w:t>)(</w:t>
      </w:r>
      <w:proofErr w:type="gramEnd"/>
      <w:r w:rsidRPr="005029D7">
        <w:t>2).</w:t>
      </w:r>
    </w:p>
  </w:footnote>
  <w:footnote w:id="107">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5)(A).</w:t>
      </w:r>
    </w:p>
  </w:footnote>
  <w:footnote w:id="108">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5)(A).</w:t>
      </w:r>
    </w:p>
  </w:footnote>
  <w:footnote w:id="109">
    <w:p w:rsidR="00AD0513" w:rsidRDefault="00AD0513" w:rsidP="008550D5">
      <w:pPr>
        <w:pStyle w:val="FootnoteText"/>
        <w:spacing w:after="0" w:line="240" w:lineRule="auto"/>
      </w:pPr>
      <w:r>
        <w:rPr>
          <w:rStyle w:val="FootnoteReference"/>
        </w:rPr>
        <w:footnoteRef/>
      </w:r>
      <w:r>
        <w:t xml:space="preserve"> </w:t>
      </w:r>
      <w:r w:rsidRPr="005029D7">
        <w:rPr>
          <w:szCs w:val="18"/>
        </w:rPr>
        <w:t xml:space="preserve">23 U.S.C. </w:t>
      </w:r>
      <w:r w:rsidRPr="005029D7">
        <w:rPr>
          <w:color w:val="000000"/>
          <w:szCs w:val="18"/>
        </w:rPr>
        <w:t>§601(a</w:t>
      </w:r>
      <w:proofErr w:type="gramStart"/>
      <w:r w:rsidRPr="005029D7">
        <w:rPr>
          <w:color w:val="000000"/>
          <w:szCs w:val="18"/>
        </w:rPr>
        <w:t>)(</w:t>
      </w:r>
      <w:proofErr w:type="gramEnd"/>
      <w:r w:rsidRPr="005029D7">
        <w:rPr>
          <w:color w:val="000000"/>
          <w:szCs w:val="18"/>
        </w:rPr>
        <w:t>15).</w:t>
      </w:r>
    </w:p>
  </w:footnote>
  <w:footnote w:id="110">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§601(a</w:t>
      </w:r>
      <w:proofErr w:type="gramStart"/>
      <w:r w:rsidRPr="005029D7">
        <w:t>)(</w:t>
      </w:r>
      <w:proofErr w:type="gramEnd"/>
      <w:r w:rsidRPr="005029D7">
        <w:t>12)(D)(iv).</w:t>
      </w:r>
    </w:p>
  </w:footnote>
  <w:footnote w:id="111">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5)(B).</w:t>
      </w:r>
    </w:p>
  </w:footnote>
  <w:footnote w:id="112">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2) and 604(b)(2).</w:t>
      </w:r>
      <w:r>
        <w:t xml:space="preserve">  As noted in Section 2-2 above, </w:t>
      </w:r>
      <w:r w:rsidRPr="00A40BD7">
        <w:rPr>
          <w:szCs w:val="22"/>
        </w:rPr>
        <w:t xml:space="preserve">TIFIA secured loans </w:t>
      </w:r>
      <w:r>
        <w:rPr>
          <w:szCs w:val="22"/>
        </w:rPr>
        <w:t xml:space="preserve">provided to date </w:t>
      </w:r>
      <w:r w:rsidRPr="00A40BD7">
        <w:rPr>
          <w:szCs w:val="22"/>
        </w:rPr>
        <w:t>have only covered up to 33 percent of reasonably ant</w:t>
      </w:r>
      <w:r>
        <w:rPr>
          <w:szCs w:val="22"/>
        </w:rPr>
        <w:t>icipated eligible project costs.  A</w:t>
      </w:r>
      <w:r w:rsidRPr="00A40BD7">
        <w:rPr>
          <w:szCs w:val="22"/>
        </w:rPr>
        <w:t xml:space="preserve">pplicants </w:t>
      </w:r>
      <w:r>
        <w:rPr>
          <w:szCs w:val="22"/>
        </w:rPr>
        <w:t xml:space="preserve">requesting assistance in excess of this amount must </w:t>
      </w:r>
      <w:r w:rsidRPr="00A40BD7">
        <w:rPr>
          <w:szCs w:val="22"/>
        </w:rPr>
        <w:t xml:space="preserve">provide a </w:t>
      </w:r>
      <w:r>
        <w:rPr>
          <w:szCs w:val="22"/>
        </w:rPr>
        <w:t>rationale for such additional assistance</w:t>
      </w:r>
      <w:r w:rsidRPr="00A40BD7">
        <w:rPr>
          <w:szCs w:val="22"/>
        </w:rPr>
        <w:t xml:space="preserve">.  </w:t>
      </w:r>
    </w:p>
  </w:footnote>
  <w:footnote w:id="113">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49 C.F.R. §80.5(a).</w:t>
      </w:r>
      <w:proofErr w:type="gramEnd"/>
    </w:p>
  </w:footnote>
  <w:footnote w:id="114">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3).</w:t>
      </w:r>
    </w:p>
  </w:footnote>
  <w:footnote w:id="115">
    <w:p w:rsidR="00AD0513" w:rsidRPr="005029D7" w:rsidRDefault="00AD0513" w:rsidP="005029D7">
      <w:pPr>
        <w:pStyle w:val="FootnoteText"/>
        <w:spacing w:after="0" w:line="240" w:lineRule="auto"/>
        <w:jc w:val="both"/>
      </w:pPr>
      <w:r w:rsidRPr="005029D7">
        <w:rPr>
          <w:rStyle w:val="FootnoteReference"/>
        </w:rPr>
        <w:footnoteRef/>
      </w:r>
      <w:r w:rsidRPr="005029D7">
        <w:t xml:space="preserve"> 49 C.F.R. §80.13(a</w:t>
      </w:r>
      <w:proofErr w:type="gramStart"/>
      <w:r w:rsidRPr="005029D7">
        <w:t>)(</w:t>
      </w:r>
      <w:proofErr w:type="gramEnd"/>
      <w:r w:rsidRPr="005029D7">
        <w:t>1).</w:t>
      </w:r>
    </w:p>
  </w:footnote>
  <w:footnote w:id="116">
    <w:p w:rsidR="00AD0513" w:rsidRPr="005029D7" w:rsidRDefault="00AD0513" w:rsidP="005029D7">
      <w:pPr>
        <w:pStyle w:val="FootnoteText"/>
        <w:spacing w:after="0" w:line="240" w:lineRule="auto"/>
        <w:jc w:val="both"/>
      </w:pPr>
      <w:r w:rsidRPr="005029D7">
        <w:rPr>
          <w:rStyle w:val="FootnoteReference"/>
        </w:rPr>
        <w:footnoteRef/>
      </w:r>
      <w:r w:rsidRPr="005029D7">
        <w:t xml:space="preserve"> 49 C.F.R. §§80.7(b</w:t>
      </w:r>
      <w:proofErr w:type="gramStart"/>
      <w:r w:rsidRPr="005029D7">
        <w:t>)(</w:t>
      </w:r>
      <w:proofErr w:type="gramEnd"/>
      <w:r w:rsidRPr="005029D7">
        <w:t>1) and 80.13(a)(1).</w:t>
      </w:r>
    </w:p>
  </w:footnote>
  <w:footnote w:id="117">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3).</w:t>
      </w:r>
    </w:p>
  </w:footnote>
  <w:footnote w:id="118">
    <w:p w:rsidR="00AD0513" w:rsidRPr="005029D7" w:rsidRDefault="00AD0513" w:rsidP="005029D7">
      <w:pPr>
        <w:pStyle w:val="FootnoteText"/>
        <w:spacing w:after="0" w:line="240" w:lineRule="auto"/>
        <w:jc w:val="both"/>
      </w:pPr>
      <w:r w:rsidRPr="005029D7">
        <w:rPr>
          <w:rStyle w:val="FootnoteReference"/>
        </w:rPr>
        <w:footnoteRef/>
      </w:r>
      <w:r w:rsidRPr="005029D7">
        <w:t xml:space="preserve"> 49 C.F.R. §§80.7(b</w:t>
      </w:r>
      <w:proofErr w:type="gramStart"/>
      <w:r w:rsidRPr="005029D7">
        <w:t>)(</w:t>
      </w:r>
      <w:proofErr w:type="gramEnd"/>
      <w:r w:rsidRPr="005029D7">
        <w:t>1) and 80.13(a)(1).</w:t>
      </w:r>
    </w:p>
  </w:footnote>
  <w:footnote w:id="119">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6), 603(b)(3)(A)(</w:t>
      </w:r>
      <w:proofErr w:type="spellStart"/>
      <w:r w:rsidRPr="005029D7">
        <w:t>i</w:t>
      </w:r>
      <w:proofErr w:type="spellEnd"/>
      <w:r w:rsidRPr="005029D7">
        <w:t>), and 604(b)(5)(A)(</w:t>
      </w:r>
      <w:proofErr w:type="spellStart"/>
      <w:r w:rsidRPr="005029D7">
        <w:t>i</w:t>
      </w:r>
      <w:proofErr w:type="spellEnd"/>
      <w:r w:rsidRPr="005029D7">
        <w:t>).</w:t>
      </w:r>
    </w:p>
  </w:footnote>
  <w:footnote w:id="120">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49 C.F.R. §80.13(c).</w:t>
      </w:r>
      <w:proofErr w:type="gramEnd"/>
    </w:p>
  </w:footnote>
  <w:footnote w:id="121">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3) and 49 C.F.R. §80.13(a)(1).</w:t>
      </w:r>
    </w:p>
  </w:footnote>
  <w:footnote w:id="122">
    <w:p w:rsidR="00AD0513" w:rsidRPr="005029D7" w:rsidRDefault="00AD0513" w:rsidP="00BC75C4">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1), (a)(4).</w:t>
      </w:r>
    </w:p>
  </w:footnote>
  <w:footnote w:id="123">
    <w:p w:rsidR="00AD0513" w:rsidRPr="005029D7" w:rsidRDefault="00AD0513" w:rsidP="005029D7">
      <w:pPr>
        <w:pStyle w:val="FootnoteText"/>
        <w:spacing w:after="0" w:line="240" w:lineRule="auto"/>
        <w:jc w:val="both"/>
      </w:pPr>
      <w:r w:rsidRPr="005029D7">
        <w:rPr>
          <w:rStyle w:val="FootnoteReference"/>
          <w:sz w:val="18"/>
        </w:rPr>
        <w:footnoteRef/>
      </w:r>
      <w:r w:rsidRPr="005029D7">
        <w:t xml:space="preserve"> According 23 U.S.C. §601(a)(14), “the term ‘rating agency’ means a credit rating agency identified by the Securities and Exchange Commission as a nationally recognized statistical rating organization (as that term is defined in section 3(a) of the Securities Exchange Act of 1934 (15 U.S.C. 78c(a)).”  The complete list of nationally recognized statistical rating organizations can be found at http://www.sec.gov/answers/nrsro.htm.  </w:t>
      </w:r>
    </w:p>
  </w:footnote>
  <w:footnote w:id="124">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§602(b</w:t>
      </w:r>
      <w:proofErr w:type="gramStart"/>
      <w:r w:rsidRPr="005029D7">
        <w:t>)(</w:t>
      </w:r>
      <w:proofErr w:type="gramEnd"/>
      <w:r w:rsidRPr="005029D7">
        <w:t>3).</w:t>
      </w:r>
    </w:p>
  </w:footnote>
  <w:footnote w:id="125">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2)(A).</w:t>
      </w:r>
    </w:p>
  </w:footnote>
  <w:footnote w:id="126">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2).</w:t>
      </w:r>
    </w:p>
  </w:footnote>
  <w:footnote w:id="127">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2)(B).</w:t>
      </w:r>
    </w:p>
  </w:footnote>
  <w:footnote w:id="128">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Office of Mgmt. &amp; Budget, Exec.</w:t>
      </w:r>
      <w:proofErr w:type="gramEnd"/>
      <w:r w:rsidRPr="005029D7">
        <w:t xml:space="preserve"> </w:t>
      </w:r>
      <w:proofErr w:type="gramStart"/>
      <w:r w:rsidRPr="005029D7">
        <w:t>Office of the President, OMB Circular No.</w:t>
      </w:r>
      <w:proofErr w:type="gramEnd"/>
      <w:r w:rsidRPr="005029D7">
        <w:t xml:space="preserve"> </w:t>
      </w:r>
      <w:proofErr w:type="gramStart"/>
      <w:r w:rsidRPr="005029D7">
        <w:t>A-11, Preparation, Submission, and Execution of the Budget (2012).</w:t>
      </w:r>
      <w:proofErr w:type="gramEnd"/>
    </w:p>
  </w:footnote>
  <w:footnote w:id="129">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§602(b</w:t>
      </w:r>
      <w:proofErr w:type="gramStart"/>
      <w:r w:rsidRPr="005029D7">
        <w:t>)(</w:t>
      </w:r>
      <w:proofErr w:type="gramEnd"/>
      <w:r w:rsidRPr="005029D7">
        <w:t>3).</w:t>
      </w:r>
    </w:p>
  </w:footnote>
  <w:footnote w:id="130">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2).</w:t>
      </w:r>
    </w:p>
  </w:footnote>
  <w:footnote w:id="131">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49 C.F.R. §80.11(d).</w:t>
      </w:r>
      <w:proofErr w:type="gramEnd"/>
    </w:p>
  </w:footnote>
  <w:footnote w:id="132">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49 C.F.R. §80.11(d).</w:t>
      </w:r>
      <w:proofErr w:type="gramEnd"/>
    </w:p>
  </w:footnote>
  <w:footnote w:id="133">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49 C.F.R. §80.11(c).</w:t>
      </w:r>
      <w:proofErr w:type="gramEnd"/>
    </w:p>
  </w:footnote>
  <w:footnote w:id="134">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1)(A).</w:t>
      </w:r>
    </w:p>
  </w:footnote>
  <w:footnote w:id="135">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§602(b</w:t>
      </w:r>
      <w:proofErr w:type="gramStart"/>
      <w:r w:rsidRPr="005029D7">
        <w:t>)(</w:t>
      </w:r>
      <w:proofErr w:type="gramEnd"/>
      <w:r w:rsidRPr="005029D7">
        <w:t>1).</w:t>
      </w:r>
      <w:r>
        <w:t xml:space="preserve">  However, as described below, the TIFIA Program will establish a date by which Letters of Interest for rural infrastructure projects should be submitted.  The date for these submissions will be provided on the TIFIA website.</w:t>
      </w:r>
    </w:p>
  </w:footnote>
  <w:footnote w:id="136">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1).</w:t>
      </w:r>
    </w:p>
  </w:footnote>
  <w:footnote w:id="137">
    <w:p w:rsidR="00AD0513" w:rsidRPr="005029D7" w:rsidRDefault="00AD0513" w:rsidP="009975D6">
      <w:pPr>
        <w:pStyle w:val="FootnoteText"/>
        <w:spacing w:after="0" w:line="240" w:lineRule="auto"/>
        <w:jc w:val="both"/>
      </w:pPr>
      <w:r w:rsidRPr="005029D7">
        <w:rPr>
          <w:rStyle w:val="FootnoteReference"/>
        </w:rPr>
        <w:footnoteRef/>
      </w:r>
      <w:r w:rsidRPr="005029D7">
        <w:t xml:space="preserve"> 23 U.S.C. §601(a</w:t>
      </w:r>
      <w:proofErr w:type="gramStart"/>
      <w:r w:rsidRPr="005029D7">
        <w:t>)(</w:t>
      </w:r>
      <w:proofErr w:type="gramEnd"/>
      <w:r w:rsidRPr="005029D7">
        <w:t>6).</w:t>
      </w:r>
    </w:p>
  </w:footnote>
  <w:footnote w:id="138">
    <w:p w:rsidR="00AD0513" w:rsidRDefault="00AD0513" w:rsidP="002A04CA">
      <w:pPr>
        <w:pStyle w:val="FootnoteText"/>
        <w:jc w:val="both"/>
      </w:pPr>
      <w:r>
        <w:rPr>
          <w:rStyle w:val="FootnoteReference"/>
        </w:rPr>
        <w:footnoteRef/>
      </w:r>
      <w:r>
        <w:t xml:space="preserve"> As noted above, 23 U.S.C. §608(a)(3)(A) limits TIFIA budget authority available for rural infrastructure projects receiving the reduced interest rate to not more than 10% of the total TIFIA budget authority in any fiscal year.  In addition, the TIFIA Program must </w:t>
      </w:r>
      <w:r w:rsidRPr="00E90D59">
        <w:t>make funds set aside for rural infrastructure projects available to projects not receiving the reduced interest rate after June 1 of each fiscal year</w:t>
      </w:r>
      <w:r>
        <w:t xml:space="preserve"> pursuant to 23 U.S.C. §608(a)(3)(B).</w:t>
      </w:r>
    </w:p>
  </w:footnote>
  <w:footnote w:id="139">
    <w:p w:rsidR="00AD0513" w:rsidRPr="005029D7" w:rsidRDefault="00AD0513" w:rsidP="009975D6">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2).</w:t>
      </w:r>
    </w:p>
  </w:footnote>
  <w:footnote w:id="140">
    <w:p w:rsidR="00AD0513" w:rsidRPr="005029D7" w:rsidRDefault="00AD0513" w:rsidP="009975D6">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9)(A).</w:t>
      </w:r>
    </w:p>
  </w:footnote>
  <w:footnote w:id="141">
    <w:p w:rsidR="00AD0513" w:rsidRPr="005029D7" w:rsidRDefault="00AD0513" w:rsidP="009975D6">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9)(B).</w:t>
      </w:r>
    </w:p>
  </w:footnote>
  <w:footnote w:id="142">
    <w:p w:rsidR="00AD0513" w:rsidRPr="005029D7" w:rsidRDefault="00AD0513" w:rsidP="009975D6">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9)(C).</w:t>
      </w:r>
    </w:p>
  </w:footnote>
  <w:footnote w:id="143">
    <w:p w:rsidR="00AD0513" w:rsidRPr="005029D7" w:rsidRDefault="00AD0513" w:rsidP="009975D6">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10).</w:t>
      </w:r>
    </w:p>
  </w:footnote>
  <w:footnote w:id="144">
    <w:p w:rsidR="00AD0513" w:rsidRPr="005029D7" w:rsidRDefault="00AD0513" w:rsidP="00442D1C">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1)(A), (a)(8).</w:t>
      </w:r>
    </w:p>
  </w:footnote>
  <w:footnote w:id="145">
    <w:p w:rsidR="00AD0513" w:rsidRPr="005029D7" w:rsidRDefault="00AD0513" w:rsidP="00442D1C">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10).</w:t>
      </w:r>
    </w:p>
  </w:footnote>
  <w:footnote w:id="146">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§601(a</w:t>
      </w:r>
      <w:proofErr w:type="gramStart"/>
      <w:r w:rsidRPr="005029D7">
        <w:t>)(</w:t>
      </w:r>
      <w:proofErr w:type="gramEnd"/>
      <w:r w:rsidRPr="005029D7">
        <w:t>6)(A).</w:t>
      </w:r>
    </w:p>
  </w:footnote>
  <w:footnote w:id="147">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§601(a</w:t>
      </w:r>
      <w:proofErr w:type="gramStart"/>
      <w:r w:rsidRPr="005029D7">
        <w:t>)(</w:t>
      </w:r>
      <w:proofErr w:type="gramEnd"/>
      <w:r w:rsidRPr="005029D7">
        <w:t>6)(B).</w:t>
      </w:r>
    </w:p>
  </w:footnote>
  <w:footnote w:id="148">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§601(a</w:t>
      </w:r>
      <w:proofErr w:type="gramStart"/>
      <w:r w:rsidRPr="005029D7">
        <w:t>)(</w:t>
      </w:r>
      <w:proofErr w:type="gramEnd"/>
      <w:r w:rsidRPr="005029D7">
        <w:t>6)(C).</w:t>
      </w:r>
    </w:p>
  </w:footnote>
  <w:footnote w:id="149">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§601(a</w:t>
      </w:r>
      <w:proofErr w:type="gramStart"/>
      <w:r w:rsidRPr="005029D7">
        <w:t>)(</w:t>
      </w:r>
      <w:proofErr w:type="gramEnd"/>
      <w:r w:rsidRPr="005029D7">
        <w:t>6)(D).</w:t>
      </w:r>
    </w:p>
  </w:footnote>
  <w:footnote w:id="150">
    <w:p w:rsidR="00AD0513" w:rsidRPr="005029D7" w:rsidRDefault="00AD0513" w:rsidP="00E73667">
      <w:pPr>
        <w:pStyle w:val="FootnoteText"/>
        <w:spacing w:after="0" w:line="240" w:lineRule="auto"/>
        <w:jc w:val="both"/>
      </w:pPr>
      <w:r w:rsidRPr="005029D7">
        <w:rPr>
          <w:rStyle w:val="FootnoteReference"/>
        </w:rPr>
        <w:footnoteRef/>
      </w:r>
      <w:r w:rsidRPr="005029D7">
        <w:t xml:space="preserve"> </w:t>
      </w:r>
      <w:r w:rsidRPr="005029D7">
        <w:rPr>
          <w:i/>
        </w:rPr>
        <w:t>See</w:t>
      </w:r>
      <w:r w:rsidRPr="005029D7">
        <w:t xml:space="preserve"> 23 U.S.C. §601(a</w:t>
      </w:r>
      <w:proofErr w:type="gramStart"/>
      <w:r w:rsidRPr="005029D7">
        <w:t>)(</w:t>
      </w:r>
      <w:proofErr w:type="gramEnd"/>
      <w:r w:rsidRPr="005029D7">
        <w:t>15).</w:t>
      </w:r>
    </w:p>
  </w:footnote>
  <w:footnote w:id="151">
    <w:p w:rsidR="00AD0513" w:rsidRPr="005029D7" w:rsidRDefault="00AD0513" w:rsidP="00E73667">
      <w:pPr>
        <w:pStyle w:val="FootnoteText"/>
        <w:spacing w:after="0" w:line="240" w:lineRule="auto"/>
        <w:jc w:val="both"/>
      </w:pPr>
      <w:r w:rsidRPr="005029D7">
        <w:rPr>
          <w:rStyle w:val="FootnoteReference"/>
        </w:rPr>
        <w:footnoteRef/>
      </w:r>
      <w:r w:rsidRPr="005029D7">
        <w:t xml:space="preserve"> 23 U.S.C. §101(a</w:t>
      </w:r>
      <w:proofErr w:type="gramStart"/>
      <w:r w:rsidRPr="005029D7">
        <w:t>)(</w:t>
      </w:r>
      <w:proofErr w:type="gramEnd"/>
      <w:r w:rsidRPr="005029D7">
        <w:t>34).</w:t>
      </w:r>
    </w:p>
  </w:footnote>
  <w:footnote w:id="152">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Office of Mgmt. &amp; Budget, Exec.</w:t>
      </w:r>
      <w:proofErr w:type="gramEnd"/>
      <w:r w:rsidRPr="005029D7">
        <w:t xml:space="preserve"> </w:t>
      </w:r>
      <w:proofErr w:type="gramStart"/>
      <w:r w:rsidRPr="005029D7">
        <w:t>Office of the President, OMB Circular No.</w:t>
      </w:r>
      <w:proofErr w:type="gramEnd"/>
      <w:r w:rsidRPr="005029D7">
        <w:t xml:space="preserve"> A-129, Policies for Federal Credit Programs and Non-Tax Receivables (2013).</w:t>
      </w:r>
    </w:p>
  </w:footnote>
  <w:footnote w:id="153">
    <w:p w:rsidR="00AD0513" w:rsidRPr="005029D7" w:rsidRDefault="00AD0513" w:rsidP="00442D1C">
      <w:pPr>
        <w:pStyle w:val="FootnoteText"/>
        <w:spacing w:after="0" w:line="240" w:lineRule="auto"/>
        <w:jc w:val="both"/>
      </w:pPr>
      <w:r w:rsidRPr="005029D7">
        <w:rPr>
          <w:rStyle w:val="FootnoteReference"/>
        </w:rPr>
        <w:footnoteRef/>
      </w:r>
      <w:r w:rsidRPr="005029D7">
        <w:t xml:space="preserve"> 23 U.S.C. §602(d</w:t>
      </w:r>
      <w:proofErr w:type="gramStart"/>
      <w:r w:rsidRPr="005029D7">
        <w:t>)(</w:t>
      </w:r>
      <w:proofErr w:type="gramEnd"/>
      <w:r w:rsidRPr="005029D7">
        <w:t>1).</w:t>
      </w:r>
    </w:p>
  </w:footnote>
  <w:footnote w:id="154">
    <w:p w:rsidR="00AD0513" w:rsidRPr="005029D7" w:rsidRDefault="00AD0513" w:rsidP="00442D1C">
      <w:pPr>
        <w:pStyle w:val="FootnoteText"/>
        <w:spacing w:after="0" w:line="240" w:lineRule="auto"/>
        <w:jc w:val="both"/>
      </w:pPr>
      <w:r w:rsidRPr="005029D7">
        <w:rPr>
          <w:rStyle w:val="FootnoteReference"/>
        </w:rPr>
        <w:footnoteRef/>
      </w:r>
      <w:r w:rsidRPr="005029D7">
        <w:t xml:space="preserve"> 23 U.S.C. §602(d</w:t>
      </w:r>
      <w:proofErr w:type="gramStart"/>
      <w:r w:rsidRPr="005029D7">
        <w:t>)(</w:t>
      </w:r>
      <w:proofErr w:type="gramEnd"/>
      <w:r w:rsidRPr="005029D7">
        <w:t>2).</w:t>
      </w:r>
    </w:p>
  </w:footnote>
  <w:footnote w:id="155">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§101(a</w:t>
      </w:r>
      <w:proofErr w:type="gramStart"/>
      <w:r w:rsidRPr="005029D7">
        <w:t>)(</w:t>
      </w:r>
      <w:proofErr w:type="gramEnd"/>
      <w:r w:rsidRPr="005029D7">
        <w:t>34).</w:t>
      </w:r>
    </w:p>
  </w:footnote>
  <w:footnote w:id="156">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6)(B) and 604(b)(8)(B).</w:t>
      </w:r>
    </w:p>
  </w:footnote>
  <w:footnote w:id="157">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r w:rsidRPr="005029D7">
        <w:rPr>
          <w:i/>
        </w:rPr>
        <w:t>See</w:t>
      </w:r>
      <w:r w:rsidRPr="005029D7">
        <w:t xml:space="preserve"> 23 U.S.C. §§603(b</w:t>
      </w:r>
      <w:proofErr w:type="gramStart"/>
      <w:r w:rsidRPr="005029D7">
        <w:t>)(</w:t>
      </w:r>
      <w:proofErr w:type="gramEnd"/>
      <w:r w:rsidRPr="005029D7">
        <w:t>7), (e)(2), 604(b)(9), and 605(b).</w:t>
      </w:r>
    </w:p>
  </w:footnote>
  <w:footnote w:id="158">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49 C.F.R. §80.17(b).</w:t>
      </w:r>
      <w:proofErr w:type="gramEnd"/>
    </w:p>
  </w:footnote>
  <w:footnote w:id="159">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49 C.F.R. §80.7(c).</w:t>
      </w:r>
      <w:proofErr w:type="gramEnd"/>
    </w:p>
  </w:footnote>
  <w:footnote w:id="160">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5).</w:t>
      </w:r>
    </w:p>
  </w:footnote>
  <w:footnote w:id="161">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3).</w:t>
      </w:r>
    </w:p>
  </w:footnote>
  <w:footnote w:id="162">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§§603(b</w:t>
      </w:r>
      <w:proofErr w:type="gramStart"/>
      <w:r w:rsidRPr="005029D7">
        <w:t>)(</w:t>
      </w:r>
      <w:proofErr w:type="gramEnd"/>
      <w:r w:rsidRPr="005029D7">
        <w:t>2), (e)(2) and 604(b)(2).</w:t>
      </w:r>
    </w:p>
  </w:footnote>
  <w:footnote w:id="163">
    <w:p w:rsidR="00AD0513" w:rsidRPr="005029D7" w:rsidRDefault="00AD0513" w:rsidP="003257AE">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10).</w:t>
      </w:r>
    </w:p>
  </w:footnote>
  <w:footnote w:id="164">
    <w:p w:rsidR="00AD0513" w:rsidRPr="005029D7" w:rsidRDefault="00AD0513" w:rsidP="003257AE">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6).</w:t>
      </w:r>
    </w:p>
  </w:footnote>
  <w:footnote w:id="165">
    <w:p w:rsidR="00AD0513" w:rsidRDefault="00AD0513" w:rsidP="003257AE">
      <w:pPr>
        <w:pStyle w:val="FootnoteText"/>
        <w:spacing w:after="0" w:line="240" w:lineRule="auto"/>
        <w:jc w:val="both"/>
      </w:pPr>
      <w:r>
        <w:rPr>
          <w:rStyle w:val="FootnoteReference"/>
        </w:rPr>
        <w:footnoteRef/>
      </w:r>
      <w:r>
        <w:t xml:space="preserve"> </w:t>
      </w:r>
      <w:r>
        <w:rPr>
          <w:szCs w:val="22"/>
        </w:rPr>
        <w:t>As noted in Section 2-1 above, t</w:t>
      </w:r>
      <w:r w:rsidRPr="004D692A">
        <w:rPr>
          <w:szCs w:val="22"/>
        </w:rPr>
        <w:t xml:space="preserve">he TIFIA lien on </w:t>
      </w:r>
      <w:r>
        <w:rPr>
          <w:szCs w:val="22"/>
        </w:rPr>
        <w:t>pledged</w:t>
      </w:r>
      <w:r w:rsidRPr="004D692A">
        <w:rPr>
          <w:szCs w:val="22"/>
        </w:rPr>
        <w:t xml:space="preserve"> revenues can be subordinated to those of senior lenders </w:t>
      </w:r>
      <w:r>
        <w:rPr>
          <w:szCs w:val="22"/>
        </w:rPr>
        <w:t xml:space="preserve">to the project </w:t>
      </w:r>
      <w:r w:rsidRPr="004D692A">
        <w:rPr>
          <w:szCs w:val="22"/>
        </w:rPr>
        <w:t xml:space="preserve">except in the event of bankruptcy, insolvency, or liquidation of the obligor.  In such an instance, the TIFIA lien would </w:t>
      </w:r>
      <w:r>
        <w:rPr>
          <w:szCs w:val="22"/>
        </w:rPr>
        <w:t xml:space="preserve">be on par </w:t>
      </w:r>
      <w:r w:rsidRPr="004D692A">
        <w:rPr>
          <w:szCs w:val="22"/>
        </w:rPr>
        <w:t>with</w:t>
      </w:r>
      <w:r>
        <w:rPr>
          <w:szCs w:val="22"/>
        </w:rPr>
        <w:t xml:space="preserve"> the lien of the project’s</w:t>
      </w:r>
      <w:r w:rsidRPr="004D692A">
        <w:rPr>
          <w:szCs w:val="22"/>
        </w:rPr>
        <w:t xml:space="preserve"> senior creditors</w:t>
      </w:r>
      <w:r>
        <w:rPr>
          <w:szCs w:val="22"/>
        </w:rPr>
        <w:t xml:space="preserve">.  However, this provision can be waived under certain circumstances </w:t>
      </w:r>
      <w:r>
        <w:t>for public agency borrowers having senior bonds under preexisting indentures so long as certain conditions are met, as further discussed in Section 2-1 above.</w:t>
      </w:r>
    </w:p>
  </w:footnote>
  <w:footnote w:id="166">
    <w:p w:rsidR="00AD0513" w:rsidRPr="005029D7" w:rsidRDefault="00AD0513" w:rsidP="003257AE">
      <w:pPr>
        <w:pStyle w:val="FootnoteText"/>
        <w:spacing w:after="0" w:line="240" w:lineRule="auto"/>
        <w:jc w:val="both"/>
      </w:pPr>
      <w:r w:rsidRPr="005029D7">
        <w:rPr>
          <w:rStyle w:val="FootnoteReference"/>
          <w:sz w:val="18"/>
          <w:szCs w:val="18"/>
        </w:rPr>
        <w:footnoteRef/>
      </w:r>
      <w:r w:rsidRPr="005029D7">
        <w:rPr>
          <w:szCs w:val="18"/>
        </w:rPr>
        <w:t xml:space="preserve"> If there are no debt obligations senior to the TIFIA credit instrument, then the TIFIA credit instrument itself must be shown to have the potential to obtain an investment grade rating.  (</w:t>
      </w:r>
      <w:r w:rsidRPr="005029D7">
        <w:t>23 U.S.C. §602(b</w:t>
      </w:r>
      <w:proofErr w:type="gramStart"/>
      <w:r w:rsidRPr="005029D7">
        <w:t>)(</w:t>
      </w:r>
      <w:proofErr w:type="gramEnd"/>
      <w:r w:rsidRPr="005029D7">
        <w:t>3)).</w:t>
      </w:r>
    </w:p>
  </w:footnote>
  <w:footnote w:id="167">
    <w:p w:rsidR="00AD0513" w:rsidRPr="005029D7" w:rsidRDefault="00AD0513" w:rsidP="003257AE">
      <w:pPr>
        <w:pStyle w:val="FootnoteText"/>
        <w:spacing w:after="0" w:line="240" w:lineRule="auto"/>
        <w:jc w:val="both"/>
      </w:pPr>
      <w:r w:rsidRPr="005029D7">
        <w:rPr>
          <w:rStyle w:val="FootnoteReference"/>
        </w:rPr>
        <w:footnoteRef/>
      </w:r>
      <w:r w:rsidRPr="005029D7">
        <w:t xml:space="preserve"> 23 U.S.C. §602(b</w:t>
      </w:r>
      <w:proofErr w:type="gramStart"/>
      <w:r w:rsidRPr="005029D7">
        <w:t>)(</w:t>
      </w:r>
      <w:proofErr w:type="gramEnd"/>
      <w:r w:rsidRPr="005029D7">
        <w:t>3).</w:t>
      </w:r>
    </w:p>
  </w:footnote>
  <w:footnote w:id="168">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2).</w:t>
      </w:r>
    </w:p>
  </w:footnote>
  <w:footnote w:id="169">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2)(A)(</w:t>
      </w:r>
      <w:proofErr w:type="spellStart"/>
      <w:r w:rsidRPr="005029D7">
        <w:t>i</w:t>
      </w:r>
      <w:proofErr w:type="spellEnd"/>
      <w:r w:rsidRPr="005029D7">
        <w:t>).</w:t>
      </w:r>
    </w:p>
  </w:footnote>
  <w:footnote w:id="170">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2)(A)(ii).</w:t>
      </w:r>
    </w:p>
  </w:footnote>
  <w:footnote w:id="171">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2)(A)(iii).</w:t>
      </w:r>
    </w:p>
  </w:footnote>
  <w:footnote w:id="172">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9)(A).</w:t>
      </w:r>
    </w:p>
  </w:footnote>
  <w:footnote w:id="173">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9)(B).</w:t>
      </w:r>
    </w:p>
  </w:footnote>
  <w:footnote w:id="174">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9)(C).</w:t>
      </w:r>
    </w:p>
  </w:footnote>
  <w:footnote w:id="175">
    <w:p w:rsidR="00AD0513" w:rsidRPr="005029D7" w:rsidRDefault="00AD0513" w:rsidP="003257AE">
      <w:pPr>
        <w:pStyle w:val="FootnoteText"/>
        <w:spacing w:after="0" w:line="240" w:lineRule="auto"/>
        <w:jc w:val="both"/>
      </w:pPr>
      <w:r w:rsidRPr="005029D7">
        <w:rPr>
          <w:rStyle w:val="FootnoteReference"/>
        </w:rPr>
        <w:footnoteRef/>
      </w:r>
      <w:r w:rsidRPr="005029D7">
        <w:t xml:space="preserve"> 23 U.S.C. §602(c</w:t>
      </w:r>
      <w:proofErr w:type="gramStart"/>
      <w:r w:rsidRPr="005029D7">
        <w:t>)(</w:t>
      </w:r>
      <w:proofErr w:type="gramEnd"/>
      <w:r w:rsidRPr="005029D7">
        <w:t>2).</w:t>
      </w:r>
    </w:p>
  </w:footnote>
  <w:footnote w:id="176">
    <w:p w:rsidR="00AD0513" w:rsidRPr="005029D7" w:rsidRDefault="00AD0513" w:rsidP="003257AE">
      <w:pPr>
        <w:pStyle w:val="FootnoteText"/>
        <w:spacing w:after="0" w:line="240" w:lineRule="auto"/>
        <w:jc w:val="both"/>
      </w:pPr>
      <w:r w:rsidRPr="005029D7">
        <w:rPr>
          <w:rStyle w:val="FootnoteReference"/>
        </w:rPr>
        <w:footnoteRef/>
      </w:r>
      <w:r w:rsidRPr="005029D7">
        <w:t xml:space="preserve"> 23 U.S.C. §602(c</w:t>
      </w:r>
      <w:proofErr w:type="gramStart"/>
      <w:r w:rsidRPr="005029D7">
        <w:t>)(</w:t>
      </w:r>
      <w:proofErr w:type="gramEnd"/>
      <w:r w:rsidRPr="005029D7">
        <w:t>1).</w:t>
      </w:r>
    </w:p>
  </w:footnote>
  <w:footnote w:id="177">
    <w:p w:rsidR="00AD0513" w:rsidRPr="005029D7" w:rsidRDefault="00AD0513" w:rsidP="003257AE">
      <w:pPr>
        <w:pStyle w:val="FootnoteText"/>
        <w:spacing w:after="0" w:line="240" w:lineRule="auto"/>
        <w:jc w:val="both"/>
      </w:pPr>
      <w:r w:rsidRPr="005029D7">
        <w:rPr>
          <w:rStyle w:val="FootnoteReference"/>
        </w:rPr>
        <w:footnoteRef/>
      </w:r>
      <w:r w:rsidRPr="005029D7">
        <w:t xml:space="preserve"> </w:t>
      </w:r>
      <w:proofErr w:type="gramStart"/>
      <w:r w:rsidRPr="005029D7">
        <w:t>Office of Mgmt. &amp; Budget, Exec.</w:t>
      </w:r>
      <w:proofErr w:type="gramEnd"/>
      <w:r w:rsidRPr="005029D7">
        <w:t xml:space="preserve"> </w:t>
      </w:r>
      <w:proofErr w:type="gramStart"/>
      <w:r w:rsidRPr="005029D7">
        <w:t>Office of the President, OMB Circular No.</w:t>
      </w:r>
      <w:proofErr w:type="gramEnd"/>
      <w:r w:rsidRPr="005029D7">
        <w:t xml:space="preserve"> A-129, Policies for Federal Credit Programs and Non-Tax Receivables (2013).</w:t>
      </w:r>
    </w:p>
  </w:footnote>
  <w:footnote w:id="178">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§608(b</w:t>
      </w:r>
      <w:proofErr w:type="gramStart"/>
      <w:r w:rsidRPr="005029D7">
        <w:t>)(</w:t>
      </w:r>
      <w:proofErr w:type="gramEnd"/>
      <w:r w:rsidRPr="005029D7">
        <w:t>1).</w:t>
      </w:r>
    </w:p>
  </w:footnote>
  <w:footnote w:id="179">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§§603(a</w:t>
      </w:r>
      <w:proofErr w:type="gramStart"/>
      <w:r w:rsidRPr="005029D7">
        <w:t>)(</w:t>
      </w:r>
      <w:proofErr w:type="gramEnd"/>
      <w:r w:rsidRPr="005029D7">
        <w:t>1), (e)(2) and 604(a)(1).</w:t>
      </w:r>
    </w:p>
  </w:footnote>
  <w:footnote w:id="180">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§608(b</w:t>
      </w:r>
      <w:proofErr w:type="gramStart"/>
      <w:r w:rsidRPr="005029D7">
        <w:t>)(</w:t>
      </w:r>
      <w:proofErr w:type="gramEnd"/>
      <w:r w:rsidRPr="005029D7">
        <w:t>1).</w:t>
      </w:r>
    </w:p>
  </w:footnote>
  <w:footnote w:id="181">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§602(b</w:t>
      </w:r>
      <w:proofErr w:type="gramStart"/>
      <w:r w:rsidRPr="005029D7">
        <w:t>)(</w:t>
      </w:r>
      <w:proofErr w:type="gramEnd"/>
      <w:r w:rsidRPr="005029D7">
        <w:t>3).</w:t>
      </w:r>
    </w:p>
  </w:footnote>
  <w:footnote w:id="182">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§602(c</w:t>
      </w:r>
      <w:proofErr w:type="gramStart"/>
      <w:r w:rsidRPr="005029D7">
        <w:t>)(</w:t>
      </w:r>
      <w:proofErr w:type="gramEnd"/>
      <w:r w:rsidRPr="005029D7">
        <w:t>2).</w:t>
      </w:r>
    </w:p>
  </w:footnote>
  <w:footnote w:id="183">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3) and 49 C.F.R. §80.13(a)(1).</w:t>
      </w:r>
    </w:p>
  </w:footnote>
  <w:footnote w:id="184">
    <w:p w:rsidR="00AD0513" w:rsidRPr="005029D7" w:rsidRDefault="00AD0513" w:rsidP="005029D7">
      <w:pPr>
        <w:pStyle w:val="FootnoteText"/>
        <w:spacing w:after="0" w:line="240" w:lineRule="auto"/>
        <w:jc w:val="both"/>
      </w:pPr>
      <w:r w:rsidRPr="005029D7">
        <w:rPr>
          <w:rStyle w:val="FootnoteReference"/>
        </w:rPr>
        <w:footnoteRef/>
      </w:r>
      <w:r w:rsidRPr="005029D7">
        <w:t xml:space="preserve"> 23 U.S.C. §602(a</w:t>
      </w:r>
      <w:proofErr w:type="gramStart"/>
      <w:r w:rsidRPr="005029D7">
        <w:t>)(</w:t>
      </w:r>
      <w:proofErr w:type="gramEnd"/>
      <w:r w:rsidRPr="005029D7">
        <w:t>2).</w:t>
      </w:r>
    </w:p>
  </w:footnote>
  <w:footnote w:id="185">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49 C.F.R. §80.11(d).</w:t>
      </w:r>
      <w:proofErr w:type="gramEnd"/>
    </w:p>
  </w:footnote>
  <w:footnote w:id="186">
    <w:p w:rsidR="00AD0513" w:rsidRPr="005029D7" w:rsidRDefault="00AD0513" w:rsidP="005029D7">
      <w:pPr>
        <w:pStyle w:val="FootnoteText"/>
        <w:spacing w:after="0" w:line="240" w:lineRule="auto"/>
        <w:jc w:val="both"/>
      </w:pPr>
      <w:r w:rsidRPr="005029D7">
        <w:rPr>
          <w:rStyle w:val="FootnoteReference"/>
        </w:rPr>
        <w:footnoteRef/>
      </w:r>
      <w:r w:rsidRPr="005029D7">
        <w:t xml:space="preserve"> </w:t>
      </w:r>
      <w:proofErr w:type="gramStart"/>
      <w:r w:rsidRPr="005029D7">
        <w:t>49 C.F.R. §80.11(d).</w:t>
      </w:r>
      <w:proofErr w:type="gramEnd"/>
    </w:p>
  </w:footnote>
  <w:footnote w:id="187">
    <w:p w:rsidR="00AD0513" w:rsidRPr="005029D7" w:rsidRDefault="00AD0513" w:rsidP="005029D7">
      <w:pPr>
        <w:pStyle w:val="FootnoteText"/>
        <w:spacing w:after="0" w:line="240" w:lineRule="auto"/>
        <w:jc w:val="both"/>
      </w:pPr>
      <w:r w:rsidRPr="005029D7">
        <w:rPr>
          <w:rStyle w:val="FootnoteReference"/>
        </w:rPr>
        <w:footnoteRef/>
      </w:r>
      <w:r>
        <w:t xml:space="preserve"> </w:t>
      </w:r>
      <w:r w:rsidRPr="005029D7">
        <w:t>23 U.S.C. §60</w:t>
      </w:r>
      <w:r>
        <w:t>5(c</w:t>
      </w:r>
      <w:proofErr w:type="gramStart"/>
      <w:r w:rsidRPr="005029D7">
        <w:t>)(</w:t>
      </w:r>
      <w:proofErr w:type="gramEnd"/>
      <w:r>
        <w:t>1</w:t>
      </w:r>
      <w:r w:rsidRPr="005029D7">
        <w:t>).</w:t>
      </w:r>
    </w:p>
  </w:footnote>
  <w:footnote w:id="188">
    <w:p w:rsidR="00AD0513" w:rsidRPr="005029D7" w:rsidRDefault="00AD0513" w:rsidP="005029D7">
      <w:pPr>
        <w:pStyle w:val="FootnoteText"/>
        <w:spacing w:after="0" w:line="240" w:lineRule="auto"/>
        <w:jc w:val="both"/>
      </w:pPr>
      <w:r w:rsidRPr="005029D7">
        <w:rPr>
          <w:rStyle w:val="FootnoteReference"/>
        </w:rPr>
        <w:footnoteRef/>
      </w:r>
      <w:r>
        <w:t xml:space="preserve"> </w:t>
      </w:r>
      <w:r w:rsidRPr="005029D7">
        <w:t>23 U.S.C. §60</w:t>
      </w:r>
      <w:r>
        <w:t>5(b</w:t>
      </w:r>
      <w:proofErr w:type="gramStart"/>
      <w:r w:rsidRPr="005029D7">
        <w:t>)(</w:t>
      </w:r>
      <w:proofErr w:type="gramEnd"/>
      <w:r>
        <w:t>2</w:t>
      </w:r>
      <w:r w:rsidRPr="005029D7">
        <w:t>).</w:t>
      </w:r>
    </w:p>
  </w:footnote>
  <w:footnote w:id="189">
    <w:p w:rsidR="00AD0513" w:rsidRPr="005029D7" w:rsidRDefault="00AD0513" w:rsidP="005029D7">
      <w:pPr>
        <w:pStyle w:val="FootnoteText"/>
        <w:spacing w:after="0" w:line="240" w:lineRule="auto"/>
        <w:jc w:val="both"/>
      </w:pPr>
      <w:r w:rsidRPr="005029D7">
        <w:rPr>
          <w:rStyle w:val="FootnoteReference"/>
        </w:rPr>
        <w:footnoteRef/>
      </w:r>
      <w:r>
        <w:t xml:space="preserve"> </w:t>
      </w:r>
      <w:r w:rsidRPr="005029D7">
        <w:t>23 U.S.C. §60</w:t>
      </w:r>
      <w:r>
        <w:t>1(a</w:t>
      </w:r>
      <w:proofErr w:type="gramStart"/>
      <w:r w:rsidRPr="005029D7">
        <w:t>)(</w:t>
      </w:r>
      <w:proofErr w:type="gramEnd"/>
      <w:r>
        <w:t>5</w:t>
      </w:r>
      <w:r w:rsidRPr="005029D7">
        <w:t>).</w:t>
      </w:r>
    </w:p>
  </w:footnote>
  <w:footnote w:id="190">
    <w:p w:rsidR="00AD0513" w:rsidRPr="005029D7" w:rsidRDefault="00AD0513" w:rsidP="005029D7">
      <w:pPr>
        <w:pStyle w:val="FootnoteText"/>
        <w:spacing w:after="0" w:line="240" w:lineRule="auto"/>
        <w:jc w:val="both"/>
      </w:pPr>
      <w:r w:rsidRPr="005029D7">
        <w:rPr>
          <w:rStyle w:val="FootnoteReference"/>
        </w:rPr>
        <w:footnoteRef/>
      </w:r>
      <w:r>
        <w:t xml:space="preserve"> </w:t>
      </w:r>
      <w:r w:rsidRPr="005029D7">
        <w:t>23 U.S.C. §60</w:t>
      </w:r>
      <w:r>
        <w:t>1(a</w:t>
      </w:r>
      <w:proofErr w:type="gramStart"/>
      <w:r w:rsidRPr="005029D7">
        <w:t>)(</w:t>
      </w:r>
      <w:proofErr w:type="gramEnd"/>
      <w:r>
        <w:t>5</w:t>
      </w:r>
      <w:r w:rsidRPr="005029D7">
        <w:t>).</w:t>
      </w:r>
    </w:p>
  </w:footnote>
  <w:footnote w:id="191">
    <w:p w:rsidR="00AD0513" w:rsidRDefault="00AD0513" w:rsidP="004B77BA">
      <w:pPr>
        <w:pStyle w:val="FootnoteText"/>
        <w:spacing w:after="0"/>
      </w:pPr>
      <w:r>
        <w:rPr>
          <w:rStyle w:val="FootnoteReference"/>
        </w:rPr>
        <w:footnoteRef/>
      </w:r>
      <w:r>
        <w:t xml:space="preserve"> </w:t>
      </w:r>
      <w:proofErr w:type="gramStart"/>
      <w:r w:rsidRPr="005029D7">
        <w:t>Office of Mgmt. &amp; Budget, Exec.</w:t>
      </w:r>
      <w:proofErr w:type="gramEnd"/>
      <w:r w:rsidRPr="005029D7">
        <w:t xml:space="preserve"> </w:t>
      </w:r>
      <w:proofErr w:type="gramStart"/>
      <w:r w:rsidRPr="005029D7">
        <w:t>Office of the President, OMB Circular No.</w:t>
      </w:r>
      <w:proofErr w:type="gramEnd"/>
      <w:r w:rsidRPr="005029D7">
        <w:t xml:space="preserve"> A-129, Policies for Federal Credit Programs and Non-Tax Receivables (2013).</w:t>
      </w:r>
    </w:p>
  </w:footnote>
  <w:footnote w:id="192">
    <w:p w:rsidR="00AD0513" w:rsidRDefault="00AD0513">
      <w:pPr>
        <w:pStyle w:val="FootnoteText"/>
      </w:pPr>
      <w:r>
        <w:rPr>
          <w:rStyle w:val="FootnoteReference"/>
        </w:rPr>
        <w:footnoteRef/>
      </w:r>
      <w:r>
        <w:t xml:space="preserve"> </w:t>
      </w:r>
      <w:proofErr w:type="gramStart"/>
      <w:r w:rsidRPr="005029D7">
        <w:t>Office of Mgmt. &amp; Budget, Exec.</w:t>
      </w:r>
      <w:proofErr w:type="gramEnd"/>
      <w:r w:rsidRPr="005029D7">
        <w:t xml:space="preserve"> </w:t>
      </w:r>
      <w:proofErr w:type="gramStart"/>
      <w:r w:rsidRPr="005029D7">
        <w:t>Office of the President, OMB Circular No.</w:t>
      </w:r>
      <w:proofErr w:type="gramEnd"/>
      <w:r w:rsidRPr="005029D7">
        <w:t xml:space="preserve"> A-129, Policies for Federal Credit Programs and Non-Tax Receivables (2013).</w:t>
      </w:r>
    </w:p>
  </w:footnote>
  <w:footnote w:id="193">
    <w:p w:rsidR="00AD0513" w:rsidRDefault="00AD0513">
      <w:pPr>
        <w:pStyle w:val="FootnoteText"/>
      </w:pPr>
      <w:r>
        <w:rPr>
          <w:rStyle w:val="FootnoteReference"/>
        </w:rPr>
        <w:footnoteRef/>
      </w:r>
      <w:r>
        <w:t xml:space="preserve"> </w:t>
      </w:r>
      <w:r w:rsidRPr="005029D7">
        <w:t>23 U.S.C. §60</w:t>
      </w:r>
      <w:r>
        <w:t>3(e</w:t>
      </w:r>
      <w:r w:rsidRPr="005029D7">
        <w:t>)(</w:t>
      </w:r>
      <w:r>
        <w:t>2</w:t>
      </w:r>
      <w:r w:rsidRPr="005029D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Header"/>
      <w:widowControl/>
      <w:rPr>
        <w:rFonts w:ascii="Arial" w:hAnsi="Arial"/>
        <w:sz w:val="18"/>
      </w:rPr>
    </w:pPr>
  </w:p>
  <w:p w:rsidR="00AD0513" w:rsidRDefault="00AD0513">
    <w:pPr>
      <w:pStyle w:val="Header"/>
      <w:widowControl/>
      <w:rPr>
        <w:rFonts w:ascii="Arial" w:hAnsi="Arial"/>
        <w:sz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Pr="00EC479F" w:rsidRDefault="00AD0513">
    <w:pPr>
      <w:pStyle w:val="Header"/>
      <w:widowControl/>
      <w:pBdr>
        <w:bottom w:val="single" w:sz="6" w:space="1" w:color="auto"/>
      </w:pBdr>
      <w:jc w:val="right"/>
      <w:rPr>
        <w:sz w:val="18"/>
      </w:rPr>
    </w:pPr>
    <w:r w:rsidRPr="00EC479F">
      <w:rPr>
        <w:sz w:val="18"/>
      </w:rPr>
      <w:t>Chapter 4: Application Process</w:t>
    </w:r>
  </w:p>
  <w:p w:rsidR="00AD0513" w:rsidRDefault="00AD0513">
    <w:pPr>
      <w:pStyle w:val="Header"/>
      <w:widowControl/>
      <w:rPr>
        <w:rFonts w:ascii="Arial" w:hAnsi="Arial"/>
        <w:sz w:val="18"/>
      </w:rPr>
    </w:pPr>
  </w:p>
  <w:p w:rsidR="00AD0513" w:rsidRDefault="00AD0513">
    <w:pPr>
      <w:pStyle w:val="Header"/>
      <w:widowControl/>
      <w:rPr>
        <w:rFonts w:ascii="Arial" w:hAnsi="Arial"/>
        <w:sz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Pr="00EC479F" w:rsidRDefault="00AD0513">
    <w:pPr>
      <w:pStyle w:val="Header"/>
      <w:widowControl/>
      <w:pBdr>
        <w:bottom w:val="single" w:sz="6" w:space="1" w:color="auto"/>
      </w:pBdr>
      <w:rPr>
        <w:sz w:val="18"/>
      </w:rPr>
    </w:pPr>
    <w:r w:rsidRPr="00EC479F">
      <w:rPr>
        <w:sz w:val="18"/>
      </w:rPr>
      <w:t>U.S. Department of Transportation: TIFIA Program Guide</w:t>
    </w:r>
  </w:p>
  <w:p w:rsidR="00AD0513" w:rsidRDefault="00AD0513">
    <w:pPr>
      <w:pStyle w:val="Header"/>
      <w:widowControl/>
      <w:rPr>
        <w:rFonts w:ascii="Arial" w:hAnsi="Arial"/>
        <w:sz w:val="18"/>
      </w:rPr>
    </w:pPr>
  </w:p>
  <w:p w:rsidR="00AD0513" w:rsidRDefault="00AD0513">
    <w:pPr>
      <w:pStyle w:val="Header"/>
      <w:widowControl/>
      <w:rPr>
        <w:rFonts w:ascii="Arial" w:hAnsi="Arial"/>
        <w:sz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Pr="00EC479F" w:rsidRDefault="00AD0513">
    <w:pPr>
      <w:pStyle w:val="Header"/>
      <w:widowControl/>
      <w:pBdr>
        <w:bottom w:val="single" w:sz="6" w:space="1" w:color="auto"/>
      </w:pBdr>
      <w:jc w:val="right"/>
      <w:rPr>
        <w:sz w:val="18"/>
      </w:rPr>
    </w:pPr>
    <w:r w:rsidRPr="00EC479F">
      <w:rPr>
        <w:sz w:val="18"/>
      </w:rPr>
      <w:t>Chapter 5: Selection Process</w:t>
    </w:r>
  </w:p>
  <w:p w:rsidR="00AD0513" w:rsidRDefault="00AD0513">
    <w:pPr>
      <w:pStyle w:val="Header"/>
      <w:widowControl/>
      <w:rPr>
        <w:rFonts w:ascii="Arial" w:hAnsi="Arial"/>
        <w:sz w:val="18"/>
      </w:rPr>
    </w:pPr>
  </w:p>
  <w:p w:rsidR="00AD0513" w:rsidRDefault="00AD0513">
    <w:pPr>
      <w:pStyle w:val="Header"/>
      <w:widowControl/>
      <w:rPr>
        <w:rFonts w:ascii="Arial" w:hAnsi="Arial"/>
        <w:sz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Pr="00EC479F" w:rsidRDefault="00AD0513">
    <w:pPr>
      <w:pStyle w:val="Header"/>
      <w:pBdr>
        <w:bottom w:val="single" w:sz="6" w:space="1" w:color="auto"/>
      </w:pBdr>
      <w:rPr>
        <w:sz w:val="18"/>
      </w:rPr>
    </w:pPr>
    <w:smartTag w:uri="urn:schemas-microsoft-com:office:smarttags" w:element="place">
      <w:smartTag w:uri="urn:schemas-microsoft-com:office:smarttags" w:element="country-region">
        <w:r w:rsidRPr="00EC479F">
          <w:rPr>
            <w:sz w:val="18"/>
          </w:rPr>
          <w:t>U.S.</w:t>
        </w:r>
      </w:smartTag>
    </w:smartTag>
    <w:r w:rsidRPr="00EC479F">
      <w:rPr>
        <w:sz w:val="18"/>
      </w:rPr>
      <w:t xml:space="preserve"> Department of Transportation: TIFIA Program Guide</w:t>
    </w:r>
  </w:p>
  <w:p w:rsidR="00AD0513" w:rsidRDefault="00AD0513">
    <w:pPr>
      <w:pStyle w:val="Header"/>
      <w:rPr>
        <w:rFonts w:ascii="Arial" w:hAnsi="Arial"/>
        <w:sz w:val="18"/>
      </w:rPr>
    </w:pPr>
  </w:p>
  <w:p w:rsidR="00AD0513" w:rsidRDefault="00AD051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Pr="00EC479F" w:rsidRDefault="00AD0513">
    <w:pPr>
      <w:pStyle w:val="Header"/>
      <w:pBdr>
        <w:bottom w:val="single" w:sz="6" w:space="1" w:color="auto"/>
      </w:pBdr>
      <w:jc w:val="right"/>
      <w:rPr>
        <w:sz w:val="18"/>
      </w:rPr>
    </w:pPr>
    <w:r w:rsidRPr="00EC479F">
      <w:rPr>
        <w:sz w:val="18"/>
      </w:rPr>
      <w:t>Chapter 6: Contractual Documents</w:t>
    </w:r>
  </w:p>
  <w:p w:rsidR="00AD0513" w:rsidRDefault="00AD0513">
    <w:pPr>
      <w:pStyle w:val="Header"/>
      <w:rPr>
        <w:rFonts w:ascii="Arial" w:hAnsi="Arial"/>
        <w:sz w:val="18"/>
      </w:rPr>
    </w:pPr>
  </w:p>
  <w:p w:rsidR="00AD0513" w:rsidRDefault="00AD051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Pr="00EC479F" w:rsidRDefault="00AD0513">
    <w:pPr>
      <w:pStyle w:val="Header"/>
      <w:widowControl/>
      <w:pBdr>
        <w:bottom w:val="single" w:sz="6" w:space="1" w:color="auto"/>
      </w:pBdr>
      <w:rPr>
        <w:sz w:val="18"/>
      </w:rPr>
    </w:pPr>
    <w:smartTag w:uri="urn:schemas-microsoft-com:office:smarttags" w:element="place">
      <w:smartTag w:uri="urn:schemas-microsoft-com:office:smarttags" w:element="country-region">
        <w:r w:rsidRPr="00EC479F">
          <w:rPr>
            <w:sz w:val="18"/>
          </w:rPr>
          <w:t>U.S.</w:t>
        </w:r>
      </w:smartTag>
    </w:smartTag>
    <w:r w:rsidRPr="00EC479F">
      <w:rPr>
        <w:sz w:val="18"/>
      </w:rPr>
      <w:t xml:space="preserve"> Department of Transportation: TIFIA Program Guide</w:t>
    </w:r>
  </w:p>
  <w:p w:rsidR="00AD0513" w:rsidRDefault="00AD0513">
    <w:pPr>
      <w:pStyle w:val="Header"/>
      <w:widowControl/>
      <w:rPr>
        <w:rFonts w:ascii="Arial" w:hAnsi="Arial"/>
        <w:sz w:val="18"/>
      </w:rPr>
    </w:pPr>
  </w:p>
  <w:p w:rsidR="00AD0513" w:rsidRDefault="00AD0513">
    <w:pPr>
      <w:pStyle w:val="Header"/>
      <w:widowControl/>
      <w:rPr>
        <w:rFonts w:ascii="Arial" w:hAnsi="Arial"/>
        <w:sz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Pr="00EC479F" w:rsidRDefault="00AD0513">
    <w:pPr>
      <w:pStyle w:val="Header"/>
      <w:widowControl/>
      <w:pBdr>
        <w:bottom w:val="single" w:sz="6" w:space="1" w:color="auto"/>
      </w:pBdr>
      <w:jc w:val="right"/>
      <w:rPr>
        <w:sz w:val="18"/>
      </w:rPr>
    </w:pPr>
    <w:r w:rsidRPr="00EC479F">
      <w:rPr>
        <w:sz w:val="18"/>
      </w:rPr>
      <w:t>Chapter 7: Special Issues Related to Loan Guarantees</w:t>
    </w:r>
  </w:p>
  <w:p w:rsidR="00AD0513" w:rsidRDefault="00AD0513">
    <w:pPr>
      <w:pStyle w:val="Header"/>
      <w:widowControl/>
      <w:rPr>
        <w:rFonts w:ascii="Arial" w:hAnsi="Arial"/>
        <w:sz w:val="18"/>
      </w:rPr>
    </w:pPr>
  </w:p>
  <w:p w:rsidR="00AD0513" w:rsidRDefault="00AD0513">
    <w:pPr>
      <w:pStyle w:val="Header"/>
      <w:widowControl/>
      <w:rPr>
        <w:rFonts w:ascii="Arial" w:hAnsi="Arial"/>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Pr="00EC479F" w:rsidRDefault="00AD0513">
    <w:pPr>
      <w:pStyle w:val="Header"/>
      <w:widowControl/>
      <w:pBdr>
        <w:bottom w:val="single" w:sz="6" w:space="1" w:color="auto"/>
      </w:pBdr>
      <w:jc w:val="right"/>
      <w:rPr>
        <w:sz w:val="18"/>
      </w:rPr>
    </w:pPr>
    <w:r w:rsidRPr="00EC479F">
      <w:rPr>
        <w:sz w:val="18"/>
      </w:rPr>
      <w:t>Chapter 1: Introduction</w:t>
    </w:r>
  </w:p>
  <w:p w:rsidR="00AD0513" w:rsidRDefault="00AD0513">
    <w:pPr>
      <w:pStyle w:val="Header"/>
      <w:widowControl/>
      <w:rPr>
        <w:rFonts w:ascii="Arial" w:hAnsi="Arial"/>
        <w:sz w:val="18"/>
      </w:rPr>
    </w:pPr>
  </w:p>
  <w:p w:rsidR="00AD0513" w:rsidRDefault="00AD0513">
    <w:pPr>
      <w:pStyle w:val="Header"/>
      <w:widowControl/>
      <w:rPr>
        <w:rFonts w:ascii="Arial" w:hAnsi="Arial"/>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Pr="00EC479F" w:rsidRDefault="00AD0513">
    <w:pPr>
      <w:pStyle w:val="Header"/>
      <w:widowControl/>
      <w:pBdr>
        <w:bottom w:val="single" w:sz="6" w:space="1" w:color="auto"/>
      </w:pBdr>
      <w:rPr>
        <w:sz w:val="18"/>
      </w:rPr>
    </w:pPr>
    <w:smartTag w:uri="urn:schemas-microsoft-com:office:smarttags" w:element="place">
      <w:smartTag w:uri="urn:schemas-microsoft-com:office:smarttags" w:element="country-region">
        <w:r w:rsidRPr="00EC479F">
          <w:rPr>
            <w:sz w:val="18"/>
          </w:rPr>
          <w:t>U.S.</w:t>
        </w:r>
      </w:smartTag>
    </w:smartTag>
    <w:r w:rsidRPr="00EC479F">
      <w:rPr>
        <w:sz w:val="18"/>
      </w:rPr>
      <w:t xml:space="preserve"> Department of Transportation: TIFIA Program Guide</w:t>
    </w:r>
  </w:p>
  <w:p w:rsidR="00AD0513" w:rsidRDefault="00AD0513">
    <w:pPr>
      <w:pStyle w:val="Header"/>
      <w:widowControl/>
      <w:rPr>
        <w:rFonts w:ascii="Arial" w:hAnsi="Arial"/>
        <w:sz w:val="18"/>
      </w:rPr>
    </w:pPr>
  </w:p>
  <w:p w:rsidR="00AD0513" w:rsidRDefault="00AD0513">
    <w:pPr>
      <w:pStyle w:val="Header"/>
      <w:widowControl/>
      <w:rPr>
        <w:rFonts w:ascii="Arial" w:hAnsi="Arial"/>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Default="00AD051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Pr="00EC479F" w:rsidRDefault="00AD0513">
    <w:pPr>
      <w:pStyle w:val="Header"/>
      <w:widowControl/>
      <w:pBdr>
        <w:bottom w:val="single" w:sz="6" w:space="1" w:color="auto"/>
      </w:pBdr>
      <w:rPr>
        <w:sz w:val="18"/>
      </w:rPr>
    </w:pPr>
    <w:smartTag w:uri="urn:schemas-microsoft-com:office:smarttags" w:element="place">
      <w:smartTag w:uri="urn:schemas-microsoft-com:office:smarttags" w:element="country-region">
        <w:r w:rsidRPr="00EC479F">
          <w:rPr>
            <w:sz w:val="18"/>
          </w:rPr>
          <w:t>U.S.</w:t>
        </w:r>
      </w:smartTag>
    </w:smartTag>
    <w:r w:rsidRPr="00EC479F">
      <w:rPr>
        <w:sz w:val="18"/>
      </w:rPr>
      <w:t xml:space="preserve"> Department of Transportation: TIFIA Program Guide</w:t>
    </w:r>
  </w:p>
  <w:p w:rsidR="00AD0513" w:rsidRDefault="00AD0513">
    <w:pPr>
      <w:pStyle w:val="Header"/>
      <w:widowControl/>
      <w:rPr>
        <w:rFonts w:ascii="Arial" w:hAnsi="Arial"/>
        <w:sz w:val="18"/>
      </w:rPr>
    </w:pPr>
  </w:p>
  <w:p w:rsidR="00AD0513" w:rsidRDefault="00AD0513">
    <w:pPr>
      <w:pStyle w:val="Header"/>
      <w:widowControl/>
      <w:rPr>
        <w:rFonts w:ascii="Arial" w:hAnsi="Arial"/>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Pr="00EC479F" w:rsidRDefault="00AD0513">
    <w:pPr>
      <w:pStyle w:val="Header"/>
      <w:widowControl/>
      <w:pBdr>
        <w:bottom w:val="single" w:sz="6" w:space="1" w:color="auto"/>
      </w:pBdr>
      <w:jc w:val="right"/>
      <w:rPr>
        <w:sz w:val="18"/>
      </w:rPr>
    </w:pPr>
    <w:r w:rsidRPr="00EC479F">
      <w:rPr>
        <w:sz w:val="18"/>
      </w:rPr>
      <w:t>Chapter 2: Terms and Funding of TIFIA Credit Instruments</w:t>
    </w:r>
  </w:p>
  <w:p w:rsidR="00AD0513" w:rsidRDefault="00AD0513">
    <w:pPr>
      <w:pStyle w:val="Header"/>
      <w:widowControl/>
      <w:rPr>
        <w:rFonts w:ascii="Arial" w:hAnsi="Arial"/>
        <w:sz w:val="18"/>
      </w:rPr>
    </w:pPr>
  </w:p>
  <w:p w:rsidR="00AD0513" w:rsidRDefault="00AD0513">
    <w:pPr>
      <w:pStyle w:val="Header"/>
      <w:widowControl/>
      <w:rPr>
        <w:rFonts w:ascii="Arial" w:hAnsi="Arial"/>
        <w:sz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Pr="00EC479F" w:rsidRDefault="00AD0513">
    <w:pPr>
      <w:pStyle w:val="Header"/>
      <w:pBdr>
        <w:bottom w:val="single" w:sz="6" w:space="1" w:color="auto"/>
      </w:pBdr>
      <w:rPr>
        <w:sz w:val="18"/>
      </w:rPr>
    </w:pPr>
    <w:smartTag w:uri="urn:schemas-microsoft-com:office:smarttags" w:element="place">
      <w:smartTag w:uri="urn:schemas-microsoft-com:office:smarttags" w:element="country-region">
        <w:r w:rsidRPr="00EC479F">
          <w:rPr>
            <w:sz w:val="18"/>
          </w:rPr>
          <w:t>U.S.</w:t>
        </w:r>
      </w:smartTag>
    </w:smartTag>
    <w:r w:rsidRPr="00EC479F">
      <w:rPr>
        <w:sz w:val="18"/>
      </w:rPr>
      <w:t xml:space="preserve"> Department of Transportation: TIFIA Program Guide</w:t>
    </w:r>
  </w:p>
  <w:p w:rsidR="00AD0513" w:rsidRDefault="00AD0513">
    <w:pPr>
      <w:pStyle w:val="Header"/>
      <w:rPr>
        <w:rFonts w:ascii="Arial" w:hAnsi="Arial"/>
        <w:sz w:val="18"/>
      </w:rPr>
    </w:pPr>
  </w:p>
  <w:p w:rsidR="00AD0513" w:rsidRDefault="00AD051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Pr="00EC479F" w:rsidRDefault="00AD0513">
    <w:pPr>
      <w:pStyle w:val="Header"/>
      <w:pBdr>
        <w:bottom w:val="single" w:sz="6" w:space="1" w:color="auto"/>
      </w:pBdr>
      <w:jc w:val="right"/>
      <w:rPr>
        <w:sz w:val="18"/>
      </w:rPr>
    </w:pPr>
    <w:r w:rsidRPr="00EC479F">
      <w:rPr>
        <w:sz w:val="18"/>
      </w:rPr>
      <w:t>Chapter 3: Eligibility Requirements</w:t>
    </w:r>
  </w:p>
  <w:p w:rsidR="00AD0513" w:rsidRDefault="00AD0513">
    <w:pPr>
      <w:pStyle w:val="Header"/>
      <w:rPr>
        <w:rFonts w:ascii="Arial" w:hAnsi="Arial"/>
        <w:sz w:val="18"/>
      </w:rPr>
    </w:pPr>
  </w:p>
  <w:p w:rsidR="00AD0513" w:rsidRDefault="00AD051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13" w:rsidRPr="00EC479F" w:rsidRDefault="00AD0513">
    <w:pPr>
      <w:pStyle w:val="Header"/>
      <w:widowControl/>
      <w:pBdr>
        <w:bottom w:val="single" w:sz="6" w:space="1" w:color="auto"/>
      </w:pBdr>
      <w:rPr>
        <w:sz w:val="18"/>
      </w:rPr>
    </w:pPr>
    <w:smartTag w:uri="urn:schemas-microsoft-com:office:smarttags" w:element="place">
      <w:smartTag w:uri="urn:schemas-microsoft-com:office:smarttags" w:element="country-region">
        <w:r w:rsidRPr="00EC479F">
          <w:rPr>
            <w:sz w:val="18"/>
          </w:rPr>
          <w:t>U.S.</w:t>
        </w:r>
      </w:smartTag>
    </w:smartTag>
    <w:r w:rsidRPr="00EC479F">
      <w:rPr>
        <w:sz w:val="18"/>
      </w:rPr>
      <w:t xml:space="preserve"> Department of Transportation: TIFIA Program Guide</w:t>
    </w:r>
  </w:p>
  <w:p w:rsidR="00AD0513" w:rsidRDefault="00AD0513">
    <w:pPr>
      <w:pStyle w:val="Header"/>
      <w:widowControl/>
      <w:rPr>
        <w:rFonts w:ascii="Arial" w:hAnsi="Arial"/>
        <w:sz w:val="18"/>
      </w:rPr>
    </w:pPr>
  </w:p>
  <w:p w:rsidR="00AD0513" w:rsidRDefault="00AD0513">
    <w:pPr>
      <w:pStyle w:val="Header"/>
      <w:widowControl/>
      <w:rPr>
        <w:rFonts w:ascii="Arial" w:hAnsi="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2EF2D9A"/>
    <w:multiLevelType w:val="hybridMultilevel"/>
    <w:tmpl w:val="D214F438"/>
    <w:lvl w:ilvl="0" w:tplc="7C44D5BA">
      <w:start w:val="1"/>
      <w:numFmt w:val="bullet"/>
      <w:lvlText w:val=""/>
      <w:lvlJc w:val="left"/>
      <w:pPr>
        <w:tabs>
          <w:tab w:val="num" w:pos="2160"/>
        </w:tabs>
        <w:ind w:left="2160" w:hanging="360"/>
      </w:pPr>
      <w:rPr>
        <w:rFonts w:ascii="Symbol" w:hAnsi="Symbol" w:hint="default"/>
      </w:rPr>
    </w:lvl>
    <w:lvl w:ilvl="1" w:tplc="BDA05320" w:tentative="1">
      <w:start w:val="1"/>
      <w:numFmt w:val="bullet"/>
      <w:lvlText w:val="o"/>
      <w:lvlJc w:val="left"/>
      <w:pPr>
        <w:tabs>
          <w:tab w:val="num" w:pos="2880"/>
        </w:tabs>
        <w:ind w:left="2880" w:hanging="360"/>
      </w:pPr>
      <w:rPr>
        <w:rFonts w:ascii="Courier New" w:hAnsi="Courier New" w:hint="default"/>
      </w:rPr>
    </w:lvl>
    <w:lvl w:ilvl="2" w:tplc="592C4EAA" w:tentative="1">
      <w:start w:val="1"/>
      <w:numFmt w:val="bullet"/>
      <w:lvlText w:val=""/>
      <w:lvlJc w:val="left"/>
      <w:pPr>
        <w:tabs>
          <w:tab w:val="num" w:pos="3600"/>
        </w:tabs>
        <w:ind w:left="3600" w:hanging="360"/>
      </w:pPr>
      <w:rPr>
        <w:rFonts w:ascii="Wingdings" w:hAnsi="Wingdings" w:hint="default"/>
      </w:rPr>
    </w:lvl>
    <w:lvl w:ilvl="3" w:tplc="5B0E8BCA" w:tentative="1">
      <w:start w:val="1"/>
      <w:numFmt w:val="bullet"/>
      <w:lvlText w:val=""/>
      <w:lvlJc w:val="left"/>
      <w:pPr>
        <w:tabs>
          <w:tab w:val="num" w:pos="4320"/>
        </w:tabs>
        <w:ind w:left="4320" w:hanging="360"/>
      </w:pPr>
      <w:rPr>
        <w:rFonts w:ascii="Symbol" w:hAnsi="Symbol" w:hint="default"/>
      </w:rPr>
    </w:lvl>
    <w:lvl w:ilvl="4" w:tplc="32B83CD4" w:tentative="1">
      <w:start w:val="1"/>
      <w:numFmt w:val="bullet"/>
      <w:lvlText w:val="o"/>
      <w:lvlJc w:val="left"/>
      <w:pPr>
        <w:tabs>
          <w:tab w:val="num" w:pos="5040"/>
        </w:tabs>
        <w:ind w:left="5040" w:hanging="360"/>
      </w:pPr>
      <w:rPr>
        <w:rFonts w:ascii="Courier New" w:hAnsi="Courier New" w:hint="default"/>
      </w:rPr>
    </w:lvl>
    <w:lvl w:ilvl="5" w:tplc="1C625B1E" w:tentative="1">
      <w:start w:val="1"/>
      <w:numFmt w:val="bullet"/>
      <w:lvlText w:val=""/>
      <w:lvlJc w:val="left"/>
      <w:pPr>
        <w:tabs>
          <w:tab w:val="num" w:pos="5760"/>
        </w:tabs>
        <w:ind w:left="5760" w:hanging="360"/>
      </w:pPr>
      <w:rPr>
        <w:rFonts w:ascii="Wingdings" w:hAnsi="Wingdings" w:hint="default"/>
      </w:rPr>
    </w:lvl>
    <w:lvl w:ilvl="6" w:tplc="165ACA48" w:tentative="1">
      <w:start w:val="1"/>
      <w:numFmt w:val="bullet"/>
      <w:lvlText w:val=""/>
      <w:lvlJc w:val="left"/>
      <w:pPr>
        <w:tabs>
          <w:tab w:val="num" w:pos="6480"/>
        </w:tabs>
        <w:ind w:left="6480" w:hanging="360"/>
      </w:pPr>
      <w:rPr>
        <w:rFonts w:ascii="Symbol" w:hAnsi="Symbol" w:hint="default"/>
      </w:rPr>
    </w:lvl>
    <w:lvl w:ilvl="7" w:tplc="E482D0F8" w:tentative="1">
      <w:start w:val="1"/>
      <w:numFmt w:val="bullet"/>
      <w:lvlText w:val="o"/>
      <w:lvlJc w:val="left"/>
      <w:pPr>
        <w:tabs>
          <w:tab w:val="num" w:pos="7200"/>
        </w:tabs>
        <w:ind w:left="7200" w:hanging="360"/>
      </w:pPr>
      <w:rPr>
        <w:rFonts w:ascii="Courier New" w:hAnsi="Courier New" w:hint="default"/>
      </w:rPr>
    </w:lvl>
    <w:lvl w:ilvl="8" w:tplc="4F804820" w:tentative="1">
      <w:start w:val="1"/>
      <w:numFmt w:val="bullet"/>
      <w:lvlText w:val=""/>
      <w:lvlJc w:val="left"/>
      <w:pPr>
        <w:tabs>
          <w:tab w:val="num" w:pos="7920"/>
        </w:tabs>
        <w:ind w:left="7920" w:hanging="360"/>
      </w:pPr>
      <w:rPr>
        <w:rFonts w:ascii="Wingdings" w:hAnsi="Wingdings" w:hint="default"/>
      </w:rPr>
    </w:lvl>
  </w:abstractNum>
  <w:abstractNum w:abstractNumId="2">
    <w:nsid w:val="05E55B22"/>
    <w:multiLevelType w:val="hybridMultilevel"/>
    <w:tmpl w:val="E27A239E"/>
    <w:lvl w:ilvl="0" w:tplc="6B44ADDE">
      <w:start w:val="1"/>
      <w:numFmt w:val="bullet"/>
      <w:lvlText w:val=""/>
      <w:lvlJc w:val="left"/>
      <w:pPr>
        <w:tabs>
          <w:tab w:val="num" w:pos="360"/>
        </w:tabs>
        <w:ind w:left="360" w:hanging="360"/>
      </w:pPr>
      <w:rPr>
        <w:rFonts w:ascii="Symbol" w:hAnsi="Symbol" w:hint="default"/>
        <w:color w:val="auto"/>
        <w:sz w:val="18"/>
      </w:rPr>
    </w:lvl>
    <w:lvl w:ilvl="1" w:tplc="BEEE3894">
      <w:start w:val="1"/>
      <w:numFmt w:val="bullet"/>
      <w:lvlText w:val="o"/>
      <w:lvlJc w:val="left"/>
      <w:pPr>
        <w:tabs>
          <w:tab w:val="num" w:pos="1440"/>
        </w:tabs>
        <w:ind w:left="1440" w:hanging="360"/>
      </w:pPr>
      <w:rPr>
        <w:rFonts w:ascii="Courier New" w:hAnsi="Courier New" w:hint="default"/>
      </w:rPr>
    </w:lvl>
    <w:lvl w:ilvl="2" w:tplc="0F58E198" w:tentative="1">
      <w:start w:val="1"/>
      <w:numFmt w:val="bullet"/>
      <w:lvlText w:val=""/>
      <w:lvlJc w:val="left"/>
      <w:pPr>
        <w:tabs>
          <w:tab w:val="num" w:pos="2160"/>
        </w:tabs>
        <w:ind w:left="2160" w:hanging="360"/>
      </w:pPr>
      <w:rPr>
        <w:rFonts w:ascii="Wingdings" w:hAnsi="Wingdings" w:hint="default"/>
      </w:rPr>
    </w:lvl>
    <w:lvl w:ilvl="3" w:tplc="1366736E" w:tentative="1">
      <w:start w:val="1"/>
      <w:numFmt w:val="bullet"/>
      <w:lvlText w:val=""/>
      <w:lvlJc w:val="left"/>
      <w:pPr>
        <w:tabs>
          <w:tab w:val="num" w:pos="2880"/>
        </w:tabs>
        <w:ind w:left="2880" w:hanging="360"/>
      </w:pPr>
      <w:rPr>
        <w:rFonts w:ascii="Symbol" w:hAnsi="Symbol" w:hint="default"/>
      </w:rPr>
    </w:lvl>
    <w:lvl w:ilvl="4" w:tplc="DA2C5D14" w:tentative="1">
      <w:start w:val="1"/>
      <w:numFmt w:val="bullet"/>
      <w:lvlText w:val="o"/>
      <w:lvlJc w:val="left"/>
      <w:pPr>
        <w:tabs>
          <w:tab w:val="num" w:pos="3600"/>
        </w:tabs>
        <w:ind w:left="3600" w:hanging="360"/>
      </w:pPr>
      <w:rPr>
        <w:rFonts w:ascii="Courier New" w:hAnsi="Courier New" w:hint="default"/>
      </w:rPr>
    </w:lvl>
    <w:lvl w:ilvl="5" w:tplc="601C8CB6" w:tentative="1">
      <w:start w:val="1"/>
      <w:numFmt w:val="bullet"/>
      <w:lvlText w:val=""/>
      <w:lvlJc w:val="left"/>
      <w:pPr>
        <w:tabs>
          <w:tab w:val="num" w:pos="4320"/>
        </w:tabs>
        <w:ind w:left="4320" w:hanging="360"/>
      </w:pPr>
      <w:rPr>
        <w:rFonts w:ascii="Wingdings" w:hAnsi="Wingdings" w:hint="default"/>
      </w:rPr>
    </w:lvl>
    <w:lvl w:ilvl="6" w:tplc="89C49FAC" w:tentative="1">
      <w:start w:val="1"/>
      <w:numFmt w:val="bullet"/>
      <w:lvlText w:val=""/>
      <w:lvlJc w:val="left"/>
      <w:pPr>
        <w:tabs>
          <w:tab w:val="num" w:pos="5040"/>
        </w:tabs>
        <w:ind w:left="5040" w:hanging="360"/>
      </w:pPr>
      <w:rPr>
        <w:rFonts w:ascii="Symbol" w:hAnsi="Symbol" w:hint="default"/>
      </w:rPr>
    </w:lvl>
    <w:lvl w:ilvl="7" w:tplc="0F603882" w:tentative="1">
      <w:start w:val="1"/>
      <w:numFmt w:val="bullet"/>
      <w:lvlText w:val="o"/>
      <w:lvlJc w:val="left"/>
      <w:pPr>
        <w:tabs>
          <w:tab w:val="num" w:pos="5760"/>
        </w:tabs>
        <w:ind w:left="5760" w:hanging="360"/>
      </w:pPr>
      <w:rPr>
        <w:rFonts w:ascii="Courier New" w:hAnsi="Courier New" w:hint="default"/>
      </w:rPr>
    </w:lvl>
    <w:lvl w:ilvl="8" w:tplc="57A4C89E" w:tentative="1">
      <w:start w:val="1"/>
      <w:numFmt w:val="bullet"/>
      <w:lvlText w:val=""/>
      <w:lvlJc w:val="left"/>
      <w:pPr>
        <w:tabs>
          <w:tab w:val="num" w:pos="6480"/>
        </w:tabs>
        <w:ind w:left="6480" w:hanging="360"/>
      </w:pPr>
      <w:rPr>
        <w:rFonts w:ascii="Wingdings" w:hAnsi="Wingdings" w:hint="default"/>
      </w:rPr>
    </w:lvl>
  </w:abstractNum>
  <w:abstractNum w:abstractNumId="3">
    <w:nsid w:val="11C67E28"/>
    <w:multiLevelType w:val="hybridMultilevel"/>
    <w:tmpl w:val="3F5063D2"/>
    <w:lvl w:ilvl="0" w:tplc="66E86C60">
      <w:start w:val="1"/>
      <w:numFmt w:val="lowerRoman"/>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4801A44"/>
    <w:multiLevelType w:val="hybridMultilevel"/>
    <w:tmpl w:val="D79AEF3C"/>
    <w:lvl w:ilvl="0" w:tplc="9F761914">
      <w:start w:val="1"/>
      <w:numFmt w:val="bullet"/>
      <w:lvlText w:val=""/>
      <w:lvlJc w:val="left"/>
      <w:pPr>
        <w:tabs>
          <w:tab w:val="num" w:pos="360"/>
        </w:tabs>
        <w:ind w:left="360" w:hanging="360"/>
      </w:pPr>
      <w:rPr>
        <w:rFonts w:ascii="Symbol" w:hAnsi="Symbol" w:hint="default"/>
        <w:color w:val="auto"/>
        <w:sz w:val="18"/>
      </w:rPr>
    </w:lvl>
    <w:lvl w:ilvl="1" w:tplc="709A36D8" w:tentative="1">
      <w:start w:val="1"/>
      <w:numFmt w:val="bullet"/>
      <w:lvlText w:val="o"/>
      <w:lvlJc w:val="left"/>
      <w:pPr>
        <w:tabs>
          <w:tab w:val="num" w:pos="1440"/>
        </w:tabs>
        <w:ind w:left="1440" w:hanging="360"/>
      </w:pPr>
      <w:rPr>
        <w:rFonts w:ascii="Courier New" w:hAnsi="Courier New" w:hint="default"/>
      </w:rPr>
    </w:lvl>
    <w:lvl w:ilvl="2" w:tplc="73B452B4" w:tentative="1">
      <w:start w:val="1"/>
      <w:numFmt w:val="bullet"/>
      <w:lvlText w:val=""/>
      <w:lvlJc w:val="left"/>
      <w:pPr>
        <w:tabs>
          <w:tab w:val="num" w:pos="2160"/>
        </w:tabs>
        <w:ind w:left="2160" w:hanging="360"/>
      </w:pPr>
      <w:rPr>
        <w:rFonts w:ascii="Wingdings" w:hAnsi="Wingdings" w:hint="default"/>
      </w:rPr>
    </w:lvl>
    <w:lvl w:ilvl="3" w:tplc="5C7ECDC0" w:tentative="1">
      <w:start w:val="1"/>
      <w:numFmt w:val="bullet"/>
      <w:lvlText w:val=""/>
      <w:lvlJc w:val="left"/>
      <w:pPr>
        <w:tabs>
          <w:tab w:val="num" w:pos="2880"/>
        </w:tabs>
        <w:ind w:left="2880" w:hanging="360"/>
      </w:pPr>
      <w:rPr>
        <w:rFonts w:ascii="Symbol" w:hAnsi="Symbol" w:hint="default"/>
      </w:rPr>
    </w:lvl>
    <w:lvl w:ilvl="4" w:tplc="D5C229C8" w:tentative="1">
      <w:start w:val="1"/>
      <w:numFmt w:val="bullet"/>
      <w:lvlText w:val="o"/>
      <w:lvlJc w:val="left"/>
      <w:pPr>
        <w:tabs>
          <w:tab w:val="num" w:pos="3600"/>
        </w:tabs>
        <w:ind w:left="3600" w:hanging="360"/>
      </w:pPr>
      <w:rPr>
        <w:rFonts w:ascii="Courier New" w:hAnsi="Courier New" w:hint="default"/>
      </w:rPr>
    </w:lvl>
    <w:lvl w:ilvl="5" w:tplc="2F38CD10" w:tentative="1">
      <w:start w:val="1"/>
      <w:numFmt w:val="bullet"/>
      <w:lvlText w:val=""/>
      <w:lvlJc w:val="left"/>
      <w:pPr>
        <w:tabs>
          <w:tab w:val="num" w:pos="4320"/>
        </w:tabs>
        <w:ind w:left="4320" w:hanging="360"/>
      </w:pPr>
      <w:rPr>
        <w:rFonts w:ascii="Wingdings" w:hAnsi="Wingdings" w:hint="default"/>
      </w:rPr>
    </w:lvl>
    <w:lvl w:ilvl="6" w:tplc="8A22BD00" w:tentative="1">
      <w:start w:val="1"/>
      <w:numFmt w:val="bullet"/>
      <w:lvlText w:val=""/>
      <w:lvlJc w:val="left"/>
      <w:pPr>
        <w:tabs>
          <w:tab w:val="num" w:pos="5040"/>
        </w:tabs>
        <w:ind w:left="5040" w:hanging="360"/>
      </w:pPr>
      <w:rPr>
        <w:rFonts w:ascii="Symbol" w:hAnsi="Symbol" w:hint="default"/>
      </w:rPr>
    </w:lvl>
    <w:lvl w:ilvl="7" w:tplc="43603752" w:tentative="1">
      <w:start w:val="1"/>
      <w:numFmt w:val="bullet"/>
      <w:lvlText w:val="o"/>
      <w:lvlJc w:val="left"/>
      <w:pPr>
        <w:tabs>
          <w:tab w:val="num" w:pos="5760"/>
        </w:tabs>
        <w:ind w:left="5760" w:hanging="360"/>
      </w:pPr>
      <w:rPr>
        <w:rFonts w:ascii="Courier New" w:hAnsi="Courier New" w:hint="default"/>
      </w:rPr>
    </w:lvl>
    <w:lvl w:ilvl="8" w:tplc="BCB6127A" w:tentative="1">
      <w:start w:val="1"/>
      <w:numFmt w:val="bullet"/>
      <w:lvlText w:val=""/>
      <w:lvlJc w:val="left"/>
      <w:pPr>
        <w:tabs>
          <w:tab w:val="num" w:pos="6480"/>
        </w:tabs>
        <w:ind w:left="6480" w:hanging="360"/>
      </w:pPr>
      <w:rPr>
        <w:rFonts w:ascii="Wingdings" w:hAnsi="Wingdings" w:hint="default"/>
      </w:rPr>
    </w:lvl>
  </w:abstractNum>
  <w:abstractNum w:abstractNumId="5">
    <w:nsid w:val="161B439C"/>
    <w:multiLevelType w:val="hybridMultilevel"/>
    <w:tmpl w:val="D9FAF698"/>
    <w:lvl w:ilvl="0" w:tplc="16609DC2">
      <w:start w:val="1"/>
      <w:numFmt w:val="bullet"/>
      <w:lvlText w:val=""/>
      <w:lvlJc w:val="left"/>
      <w:pPr>
        <w:tabs>
          <w:tab w:val="num" w:pos="360"/>
        </w:tabs>
        <w:ind w:left="360" w:hanging="360"/>
      </w:pPr>
      <w:rPr>
        <w:rFonts w:ascii="Symbol" w:hAnsi="Symbol" w:hint="default"/>
      </w:rPr>
    </w:lvl>
    <w:lvl w:ilvl="1" w:tplc="B7CEF1B0">
      <w:start w:val="1"/>
      <w:numFmt w:val="bullet"/>
      <w:lvlText w:val=""/>
      <w:lvlJc w:val="left"/>
      <w:pPr>
        <w:tabs>
          <w:tab w:val="num" w:pos="1080"/>
        </w:tabs>
        <w:ind w:left="1080" w:hanging="360"/>
      </w:pPr>
      <w:rPr>
        <w:rFonts w:ascii="Symbol" w:hAnsi="Symbol" w:hint="default"/>
        <w:color w:val="auto"/>
        <w:sz w:val="18"/>
      </w:rPr>
    </w:lvl>
    <w:lvl w:ilvl="2" w:tplc="70EA4A28" w:tentative="1">
      <w:start w:val="1"/>
      <w:numFmt w:val="bullet"/>
      <w:lvlText w:val=""/>
      <w:lvlJc w:val="left"/>
      <w:pPr>
        <w:tabs>
          <w:tab w:val="num" w:pos="1800"/>
        </w:tabs>
        <w:ind w:left="1800" w:hanging="360"/>
      </w:pPr>
      <w:rPr>
        <w:rFonts w:ascii="Wingdings" w:hAnsi="Wingdings" w:hint="default"/>
      </w:rPr>
    </w:lvl>
    <w:lvl w:ilvl="3" w:tplc="65283396" w:tentative="1">
      <w:start w:val="1"/>
      <w:numFmt w:val="bullet"/>
      <w:lvlText w:val=""/>
      <w:lvlJc w:val="left"/>
      <w:pPr>
        <w:tabs>
          <w:tab w:val="num" w:pos="2520"/>
        </w:tabs>
        <w:ind w:left="2520" w:hanging="360"/>
      </w:pPr>
      <w:rPr>
        <w:rFonts w:ascii="Symbol" w:hAnsi="Symbol" w:hint="default"/>
      </w:rPr>
    </w:lvl>
    <w:lvl w:ilvl="4" w:tplc="84B6C830" w:tentative="1">
      <w:start w:val="1"/>
      <w:numFmt w:val="bullet"/>
      <w:lvlText w:val="o"/>
      <w:lvlJc w:val="left"/>
      <w:pPr>
        <w:tabs>
          <w:tab w:val="num" w:pos="3240"/>
        </w:tabs>
        <w:ind w:left="3240" w:hanging="360"/>
      </w:pPr>
      <w:rPr>
        <w:rFonts w:ascii="Courier New" w:hAnsi="Courier New" w:hint="default"/>
      </w:rPr>
    </w:lvl>
    <w:lvl w:ilvl="5" w:tplc="6C4C148A" w:tentative="1">
      <w:start w:val="1"/>
      <w:numFmt w:val="bullet"/>
      <w:lvlText w:val=""/>
      <w:lvlJc w:val="left"/>
      <w:pPr>
        <w:tabs>
          <w:tab w:val="num" w:pos="3960"/>
        </w:tabs>
        <w:ind w:left="3960" w:hanging="360"/>
      </w:pPr>
      <w:rPr>
        <w:rFonts w:ascii="Wingdings" w:hAnsi="Wingdings" w:hint="default"/>
      </w:rPr>
    </w:lvl>
    <w:lvl w:ilvl="6" w:tplc="2E888854" w:tentative="1">
      <w:start w:val="1"/>
      <w:numFmt w:val="bullet"/>
      <w:lvlText w:val=""/>
      <w:lvlJc w:val="left"/>
      <w:pPr>
        <w:tabs>
          <w:tab w:val="num" w:pos="4680"/>
        </w:tabs>
        <w:ind w:left="4680" w:hanging="360"/>
      </w:pPr>
      <w:rPr>
        <w:rFonts w:ascii="Symbol" w:hAnsi="Symbol" w:hint="default"/>
      </w:rPr>
    </w:lvl>
    <w:lvl w:ilvl="7" w:tplc="A8A2F6D0" w:tentative="1">
      <w:start w:val="1"/>
      <w:numFmt w:val="bullet"/>
      <w:lvlText w:val="o"/>
      <w:lvlJc w:val="left"/>
      <w:pPr>
        <w:tabs>
          <w:tab w:val="num" w:pos="5400"/>
        </w:tabs>
        <w:ind w:left="5400" w:hanging="360"/>
      </w:pPr>
      <w:rPr>
        <w:rFonts w:ascii="Courier New" w:hAnsi="Courier New" w:hint="default"/>
      </w:rPr>
    </w:lvl>
    <w:lvl w:ilvl="8" w:tplc="17961D2E" w:tentative="1">
      <w:start w:val="1"/>
      <w:numFmt w:val="bullet"/>
      <w:lvlText w:val=""/>
      <w:lvlJc w:val="left"/>
      <w:pPr>
        <w:tabs>
          <w:tab w:val="num" w:pos="6120"/>
        </w:tabs>
        <w:ind w:left="6120" w:hanging="360"/>
      </w:pPr>
      <w:rPr>
        <w:rFonts w:ascii="Wingdings" w:hAnsi="Wingdings" w:hint="default"/>
      </w:rPr>
    </w:lvl>
  </w:abstractNum>
  <w:abstractNum w:abstractNumId="6">
    <w:nsid w:val="18DC62C1"/>
    <w:multiLevelType w:val="hybridMultilevel"/>
    <w:tmpl w:val="30D83140"/>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89560F"/>
    <w:multiLevelType w:val="hybridMultilevel"/>
    <w:tmpl w:val="9A76503E"/>
    <w:lvl w:ilvl="0" w:tplc="DCA6583C">
      <w:start w:val="1"/>
      <w:numFmt w:val="bullet"/>
      <w:lvlText w:val=""/>
      <w:lvlJc w:val="left"/>
      <w:pPr>
        <w:tabs>
          <w:tab w:val="num" w:pos="720"/>
        </w:tabs>
        <w:ind w:left="720" w:hanging="360"/>
      </w:pPr>
      <w:rPr>
        <w:rFonts w:ascii="Symbol" w:hAnsi="Symbol" w:hint="default"/>
      </w:rPr>
    </w:lvl>
    <w:lvl w:ilvl="1" w:tplc="60EC916E">
      <w:start w:val="1"/>
      <w:numFmt w:val="bullet"/>
      <w:lvlText w:val=""/>
      <w:lvlJc w:val="left"/>
      <w:pPr>
        <w:tabs>
          <w:tab w:val="num" w:pos="1440"/>
        </w:tabs>
        <w:ind w:left="1440" w:hanging="360"/>
      </w:pPr>
      <w:rPr>
        <w:rFonts w:ascii="Symbol" w:hAnsi="Symbol" w:hint="default"/>
      </w:rPr>
    </w:lvl>
    <w:lvl w:ilvl="2" w:tplc="A1908E1C" w:tentative="1">
      <w:start w:val="1"/>
      <w:numFmt w:val="bullet"/>
      <w:lvlText w:val=""/>
      <w:lvlJc w:val="left"/>
      <w:pPr>
        <w:tabs>
          <w:tab w:val="num" w:pos="2160"/>
        </w:tabs>
        <w:ind w:left="2160" w:hanging="360"/>
      </w:pPr>
      <w:rPr>
        <w:rFonts w:ascii="Wingdings" w:hAnsi="Wingdings" w:hint="default"/>
      </w:rPr>
    </w:lvl>
    <w:lvl w:ilvl="3" w:tplc="65DC4894" w:tentative="1">
      <w:start w:val="1"/>
      <w:numFmt w:val="bullet"/>
      <w:lvlText w:val=""/>
      <w:lvlJc w:val="left"/>
      <w:pPr>
        <w:tabs>
          <w:tab w:val="num" w:pos="2880"/>
        </w:tabs>
        <w:ind w:left="2880" w:hanging="360"/>
      </w:pPr>
      <w:rPr>
        <w:rFonts w:ascii="Symbol" w:hAnsi="Symbol" w:hint="default"/>
      </w:rPr>
    </w:lvl>
    <w:lvl w:ilvl="4" w:tplc="D9D6816C" w:tentative="1">
      <w:start w:val="1"/>
      <w:numFmt w:val="bullet"/>
      <w:lvlText w:val="o"/>
      <w:lvlJc w:val="left"/>
      <w:pPr>
        <w:tabs>
          <w:tab w:val="num" w:pos="3600"/>
        </w:tabs>
        <w:ind w:left="3600" w:hanging="360"/>
      </w:pPr>
      <w:rPr>
        <w:rFonts w:ascii="Courier New" w:hAnsi="Courier New" w:hint="default"/>
      </w:rPr>
    </w:lvl>
    <w:lvl w:ilvl="5" w:tplc="AF0A885C" w:tentative="1">
      <w:start w:val="1"/>
      <w:numFmt w:val="bullet"/>
      <w:lvlText w:val=""/>
      <w:lvlJc w:val="left"/>
      <w:pPr>
        <w:tabs>
          <w:tab w:val="num" w:pos="4320"/>
        </w:tabs>
        <w:ind w:left="4320" w:hanging="360"/>
      </w:pPr>
      <w:rPr>
        <w:rFonts w:ascii="Wingdings" w:hAnsi="Wingdings" w:hint="default"/>
      </w:rPr>
    </w:lvl>
    <w:lvl w:ilvl="6" w:tplc="9BE42724" w:tentative="1">
      <w:start w:val="1"/>
      <w:numFmt w:val="bullet"/>
      <w:lvlText w:val=""/>
      <w:lvlJc w:val="left"/>
      <w:pPr>
        <w:tabs>
          <w:tab w:val="num" w:pos="5040"/>
        </w:tabs>
        <w:ind w:left="5040" w:hanging="360"/>
      </w:pPr>
      <w:rPr>
        <w:rFonts w:ascii="Symbol" w:hAnsi="Symbol" w:hint="default"/>
      </w:rPr>
    </w:lvl>
    <w:lvl w:ilvl="7" w:tplc="DFD6B9EE" w:tentative="1">
      <w:start w:val="1"/>
      <w:numFmt w:val="bullet"/>
      <w:lvlText w:val="o"/>
      <w:lvlJc w:val="left"/>
      <w:pPr>
        <w:tabs>
          <w:tab w:val="num" w:pos="5760"/>
        </w:tabs>
        <w:ind w:left="5760" w:hanging="360"/>
      </w:pPr>
      <w:rPr>
        <w:rFonts w:ascii="Courier New" w:hAnsi="Courier New" w:hint="default"/>
      </w:rPr>
    </w:lvl>
    <w:lvl w:ilvl="8" w:tplc="846E0B18" w:tentative="1">
      <w:start w:val="1"/>
      <w:numFmt w:val="bullet"/>
      <w:lvlText w:val=""/>
      <w:lvlJc w:val="left"/>
      <w:pPr>
        <w:tabs>
          <w:tab w:val="num" w:pos="6480"/>
        </w:tabs>
        <w:ind w:left="6480" w:hanging="360"/>
      </w:pPr>
      <w:rPr>
        <w:rFonts w:ascii="Wingdings" w:hAnsi="Wingdings" w:hint="default"/>
      </w:rPr>
    </w:lvl>
  </w:abstractNum>
  <w:abstractNum w:abstractNumId="8">
    <w:nsid w:val="28B6025D"/>
    <w:multiLevelType w:val="hybridMultilevel"/>
    <w:tmpl w:val="99CCB014"/>
    <w:lvl w:ilvl="0" w:tplc="06A2C8BE">
      <w:start w:val="1"/>
      <w:numFmt w:val="bullet"/>
      <w:lvlText w:val=""/>
      <w:lvlJc w:val="left"/>
      <w:pPr>
        <w:tabs>
          <w:tab w:val="num" w:pos="360"/>
        </w:tabs>
        <w:ind w:left="360" w:hanging="360"/>
      </w:pPr>
      <w:rPr>
        <w:rFonts w:ascii="Symbol" w:hAnsi="Symbol" w:hint="default"/>
        <w:color w:val="auto"/>
        <w:sz w:val="18"/>
      </w:rPr>
    </w:lvl>
    <w:lvl w:ilvl="1" w:tplc="B7608EE8">
      <w:start w:val="1"/>
      <w:numFmt w:val="bullet"/>
      <w:lvlText w:val="o"/>
      <w:lvlJc w:val="left"/>
      <w:pPr>
        <w:tabs>
          <w:tab w:val="num" w:pos="1440"/>
        </w:tabs>
        <w:ind w:left="1440" w:hanging="360"/>
      </w:pPr>
      <w:rPr>
        <w:rFonts w:ascii="Courier New" w:hAnsi="Courier New" w:hint="default"/>
      </w:rPr>
    </w:lvl>
    <w:lvl w:ilvl="2" w:tplc="EA848A0E" w:tentative="1">
      <w:start w:val="1"/>
      <w:numFmt w:val="bullet"/>
      <w:lvlText w:val=""/>
      <w:lvlJc w:val="left"/>
      <w:pPr>
        <w:tabs>
          <w:tab w:val="num" w:pos="2160"/>
        </w:tabs>
        <w:ind w:left="2160" w:hanging="360"/>
      </w:pPr>
      <w:rPr>
        <w:rFonts w:ascii="Wingdings" w:hAnsi="Wingdings" w:hint="default"/>
      </w:rPr>
    </w:lvl>
    <w:lvl w:ilvl="3" w:tplc="C3B0CEEC" w:tentative="1">
      <w:start w:val="1"/>
      <w:numFmt w:val="bullet"/>
      <w:lvlText w:val=""/>
      <w:lvlJc w:val="left"/>
      <w:pPr>
        <w:tabs>
          <w:tab w:val="num" w:pos="2880"/>
        </w:tabs>
        <w:ind w:left="2880" w:hanging="360"/>
      </w:pPr>
      <w:rPr>
        <w:rFonts w:ascii="Symbol" w:hAnsi="Symbol" w:hint="default"/>
      </w:rPr>
    </w:lvl>
    <w:lvl w:ilvl="4" w:tplc="AEE86538" w:tentative="1">
      <w:start w:val="1"/>
      <w:numFmt w:val="bullet"/>
      <w:lvlText w:val="o"/>
      <w:lvlJc w:val="left"/>
      <w:pPr>
        <w:tabs>
          <w:tab w:val="num" w:pos="3600"/>
        </w:tabs>
        <w:ind w:left="3600" w:hanging="360"/>
      </w:pPr>
      <w:rPr>
        <w:rFonts w:ascii="Courier New" w:hAnsi="Courier New" w:hint="default"/>
      </w:rPr>
    </w:lvl>
    <w:lvl w:ilvl="5" w:tplc="7D48B2EE" w:tentative="1">
      <w:start w:val="1"/>
      <w:numFmt w:val="bullet"/>
      <w:lvlText w:val=""/>
      <w:lvlJc w:val="left"/>
      <w:pPr>
        <w:tabs>
          <w:tab w:val="num" w:pos="4320"/>
        </w:tabs>
        <w:ind w:left="4320" w:hanging="360"/>
      </w:pPr>
      <w:rPr>
        <w:rFonts w:ascii="Wingdings" w:hAnsi="Wingdings" w:hint="default"/>
      </w:rPr>
    </w:lvl>
    <w:lvl w:ilvl="6" w:tplc="F0B276D6" w:tentative="1">
      <w:start w:val="1"/>
      <w:numFmt w:val="bullet"/>
      <w:lvlText w:val=""/>
      <w:lvlJc w:val="left"/>
      <w:pPr>
        <w:tabs>
          <w:tab w:val="num" w:pos="5040"/>
        </w:tabs>
        <w:ind w:left="5040" w:hanging="360"/>
      </w:pPr>
      <w:rPr>
        <w:rFonts w:ascii="Symbol" w:hAnsi="Symbol" w:hint="default"/>
      </w:rPr>
    </w:lvl>
    <w:lvl w:ilvl="7" w:tplc="599E88FC" w:tentative="1">
      <w:start w:val="1"/>
      <w:numFmt w:val="bullet"/>
      <w:lvlText w:val="o"/>
      <w:lvlJc w:val="left"/>
      <w:pPr>
        <w:tabs>
          <w:tab w:val="num" w:pos="5760"/>
        </w:tabs>
        <w:ind w:left="5760" w:hanging="360"/>
      </w:pPr>
      <w:rPr>
        <w:rFonts w:ascii="Courier New" w:hAnsi="Courier New" w:hint="default"/>
      </w:rPr>
    </w:lvl>
    <w:lvl w:ilvl="8" w:tplc="921487D4" w:tentative="1">
      <w:start w:val="1"/>
      <w:numFmt w:val="bullet"/>
      <w:lvlText w:val=""/>
      <w:lvlJc w:val="left"/>
      <w:pPr>
        <w:tabs>
          <w:tab w:val="num" w:pos="6480"/>
        </w:tabs>
        <w:ind w:left="6480" w:hanging="360"/>
      </w:pPr>
      <w:rPr>
        <w:rFonts w:ascii="Wingdings" w:hAnsi="Wingdings" w:hint="default"/>
      </w:rPr>
    </w:lvl>
  </w:abstractNum>
  <w:abstractNum w:abstractNumId="9">
    <w:nsid w:val="2C865361"/>
    <w:multiLevelType w:val="hybridMultilevel"/>
    <w:tmpl w:val="007038A2"/>
    <w:lvl w:ilvl="0" w:tplc="76923E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1D66D3"/>
    <w:multiLevelType w:val="hybridMultilevel"/>
    <w:tmpl w:val="EBB07CBA"/>
    <w:lvl w:ilvl="0" w:tplc="76923E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823D27"/>
    <w:multiLevelType w:val="hybridMultilevel"/>
    <w:tmpl w:val="8DFA5788"/>
    <w:lvl w:ilvl="0" w:tplc="76923EDE">
      <w:start w:val="1"/>
      <w:numFmt w:val="bullet"/>
      <w:lvlText w:val=""/>
      <w:lvlJc w:val="left"/>
      <w:pPr>
        <w:tabs>
          <w:tab w:val="num" w:pos="360"/>
        </w:tabs>
        <w:ind w:left="360" w:hanging="360"/>
      </w:pPr>
      <w:rPr>
        <w:rFonts w:ascii="Symbol" w:hAnsi="Symbol" w:hint="default"/>
        <w:b w:val="0"/>
        <w:i w:val="0"/>
        <w:sz w:val="23"/>
      </w:rPr>
    </w:lvl>
    <w:lvl w:ilvl="1" w:tplc="B4C09E64" w:tentative="1">
      <w:start w:val="1"/>
      <w:numFmt w:val="bullet"/>
      <w:lvlText w:val="o"/>
      <w:lvlJc w:val="left"/>
      <w:pPr>
        <w:tabs>
          <w:tab w:val="num" w:pos="1440"/>
        </w:tabs>
        <w:ind w:left="1440" w:hanging="360"/>
      </w:pPr>
      <w:rPr>
        <w:rFonts w:ascii="Courier New" w:hAnsi="Courier New" w:hint="default"/>
      </w:rPr>
    </w:lvl>
    <w:lvl w:ilvl="2" w:tplc="F30EEB14" w:tentative="1">
      <w:start w:val="1"/>
      <w:numFmt w:val="bullet"/>
      <w:lvlText w:val=""/>
      <w:lvlJc w:val="left"/>
      <w:pPr>
        <w:tabs>
          <w:tab w:val="num" w:pos="2160"/>
        </w:tabs>
        <w:ind w:left="2160" w:hanging="360"/>
      </w:pPr>
      <w:rPr>
        <w:rFonts w:ascii="Wingdings" w:hAnsi="Wingdings" w:hint="default"/>
      </w:rPr>
    </w:lvl>
    <w:lvl w:ilvl="3" w:tplc="00588446" w:tentative="1">
      <w:start w:val="1"/>
      <w:numFmt w:val="bullet"/>
      <w:lvlText w:val=""/>
      <w:lvlJc w:val="left"/>
      <w:pPr>
        <w:tabs>
          <w:tab w:val="num" w:pos="2880"/>
        </w:tabs>
        <w:ind w:left="2880" w:hanging="360"/>
      </w:pPr>
      <w:rPr>
        <w:rFonts w:ascii="Symbol" w:hAnsi="Symbol" w:hint="default"/>
      </w:rPr>
    </w:lvl>
    <w:lvl w:ilvl="4" w:tplc="F096687E" w:tentative="1">
      <w:start w:val="1"/>
      <w:numFmt w:val="bullet"/>
      <w:lvlText w:val="o"/>
      <w:lvlJc w:val="left"/>
      <w:pPr>
        <w:tabs>
          <w:tab w:val="num" w:pos="3600"/>
        </w:tabs>
        <w:ind w:left="3600" w:hanging="360"/>
      </w:pPr>
      <w:rPr>
        <w:rFonts w:ascii="Courier New" w:hAnsi="Courier New" w:hint="default"/>
      </w:rPr>
    </w:lvl>
    <w:lvl w:ilvl="5" w:tplc="291EC26C" w:tentative="1">
      <w:start w:val="1"/>
      <w:numFmt w:val="bullet"/>
      <w:lvlText w:val=""/>
      <w:lvlJc w:val="left"/>
      <w:pPr>
        <w:tabs>
          <w:tab w:val="num" w:pos="4320"/>
        </w:tabs>
        <w:ind w:left="4320" w:hanging="360"/>
      </w:pPr>
      <w:rPr>
        <w:rFonts w:ascii="Wingdings" w:hAnsi="Wingdings" w:hint="default"/>
      </w:rPr>
    </w:lvl>
    <w:lvl w:ilvl="6" w:tplc="3F087514" w:tentative="1">
      <w:start w:val="1"/>
      <w:numFmt w:val="bullet"/>
      <w:lvlText w:val=""/>
      <w:lvlJc w:val="left"/>
      <w:pPr>
        <w:tabs>
          <w:tab w:val="num" w:pos="5040"/>
        </w:tabs>
        <w:ind w:left="5040" w:hanging="360"/>
      </w:pPr>
      <w:rPr>
        <w:rFonts w:ascii="Symbol" w:hAnsi="Symbol" w:hint="default"/>
      </w:rPr>
    </w:lvl>
    <w:lvl w:ilvl="7" w:tplc="DA989812" w:tentative="1">
      <w:start w:val="1"/>
      <w:numFmt w:val="bullet"/>
      <w:lvlText w:val="o"/>
      <w:lvlJc w:val="left"/>
      <w:pPr>
        <w:tabs>
          <w:tab w:val="num" w:pos="5760"/>
        </w:tabs>
        <w:ind w:left="5760" w:hanging="360"/>
      </w:pPr>
      <w:rPr>
        <w:rFonts w:ascii="Courier New" w:hAnsi="Courier New" w:hint="default"/>
      </w:rPr>
    </w:lvl>
    <w:lvl w:ilvl="8" w:tplc="726E42A2" w:tentative="1">
      <w:start w:val="1"/>
      <w:numFmt w:val="bullet"/>
      <w:lvlText w:val=""/>
      <w:lvlJc w:val="left"/>
      <w:pPr>
        <w:tabs>
          <w:tab w:val="num" w:pos="6480"/>
        </w:tabs>
        <w:ind w:left="6480" w:hanging="360"/>
      </w:pPr>
      <w:rPr>
        <w:rFonts w:ascii="Wingdings" w:hAnsi="Wingdings" w:hint="default"/>
      </w:rPr>
    </w:lvl>
  </w:abstractNum>
  <w:abstractNum w:abstractNumId="12">
    <w:nsid w:val="40DE4426"/>
    <w:multiLevelType w:val="hybridMultilevel"/>
    <w:tmpl w:val="1F9060C6"/>
    <w:lvl w:ilvl="0" w:tplc="0576000C">
      <w:start w:val="1"/>
      <w:numFmt w:val="decimal"/>
      <w:lvlText w:val="%1."/>
      <w:lvlJc w:val="left"/>
      <w:pPr>
        <w:tabs>
          <w:tab w:val="num" w:pos="720"/>
        </w:tabs>
        <w:ind w:left="720" w:hanging="360"/>
      </w:pPr>
      <w:rPr>
        <w:rFonts w:cs="Times New Roman" w:hint="default"/>
      </w:rPr>
    </w:lvl>
    <w:lvl w:ilvl="1" w:tplc="41ACF3F8">
      <w:start w:val="1"/>
      <w:numFmt w:val="lowerLetter"/>
      <w:lvlText w:val="%2."/>
      <w:lvlJc w:val="left"/>
      <w:pPr>
        <w:tabs>
          <w:tab w:val="num" w:pos="1440"/>
        </w:tabs>
        <w:ind w:left="1440" w:hanging="360"/>
      </w:pPr>
      <w:rPr>
        <w:rFonts w:cs="Times New Roman" w:hint="default"/>
      </w:rPr>
    </w:lvl>
    <w:lvl w:ilvl="2" w:tplc="251C14AE" w:tentative="1">
      <w:start w:val="1"/>
      <w:numFmt w:val="lowerRoman"/>
      <w:lvlText w:val="%3."/>
      <w:lvlJc w:val="right"/>
      <w:pPr>
        <w:tabs>
          <w:tab w:val="num" w:pos="2160"/>
        </w:tabs>
        <w:ind w:left="2160" w:hanging="180"/>
      </w:pPr>
      <w:rPr>
        <w:rFonts w:cs="Times New Roman"/>
      </w:rPr>
    </w:lvl>
    <w:lvl w:ilvl="3" w:tplc="94CCD716" w:tentative="1">
      <w:start w:val="1"/>
      <w:numFmt w:val="decimal"/>
      <w:lvlText w:val="%4."/>
      <w:lvlJc w:val="left"/>
      <w:pPr>
        <w:tabs>
          <w:tab w:val="num" w:pos="2880"/>
        </w:tabs>
        <w:ind w:left="2880" w:hanging="360"/>
      </w:pPr>
      <w:rPr>
        <w:rFonts w:cs="Times New Roman"/>
      </w:rPr>
    </w:lvl>
    <w:lvl w:ilvl="4" w:tplc="EDA2119C" w:tentative="1">
      <w:start w:val="1"/>
      <w:numFmt w:val="lowerLetter"/>
      <w:lvlText w:val="%5."/>
      <w:lvlJc w:val="left"/>
      <w:pPr>
        <w:tabs>
          <w:tab w:val="num" w:pos="3600"/>
        </w:tabs>
        <w:ind w:left="3600" w:hanging="360"/>
      </w:pPr>
      <w:rPr>
        <w:rFonts w:cs="Times New Roman"/>
      </w:rPr>
    </w:lvl>
    <w:lvl w:ilvl="5" w:tplc="0A62ABD2" w:tentative="1">
      <w:start w:val="1"/>
      <w:numFmt w:val="lowerRoman"/>
      <w:lvlText w:val="%6."/>
      <w:lvlJc w:val="right"/>
      <w:pPr>
        <w:tabs>
          <w:tab w:val="num" w:pos="4320"/>
        </w:tabs>
        <w:ind w:left="4320" w:hanging="180"/>
      </w:pPr>
      <w:rPr>
        <w:rFonts w:cs="Times New Roman"/>
      </w:rPr>
    </w:lvl>
    <w:lvl w:ilvl="6" w:tplc="2DA45FC4" w:tentative="1">
      <w:start w:val="1"/>
      <w:numFmt w:val="decimal"/>
      <w:lvlText w:val="%7."/>
      <w:lvlJc w:val="left"/>
      <w:pPr>
        <w:tabs>
          <w:tab w:val="num" w:pos="5040"/>
        </w:tabs>
        <w:ind w:left="5040" w:hanging="360"/>
      </w:pPr>
      <w:rPr>
        <w:rFonts w:cs="Times New Roman"/>
      </w:rPr>
    </w:lvl>
    <w:lvl w:ilvl="7" w:tplc="50068692" w:tentative="1">
      <w:start w:val="1"/>
      <w:numFmt w:val="lowerLetter"/>
      <w:lvlText w:val="%8."/>
      <w:lvlJc w:val="left"/>
      <w:pPr>
        <w:tabs>
          <w:tab w:val="num" w:pos="5760"/>
        </w:tabs>
        <w:ind w:left="5760" w:hanging="360"/>
      </w:pPr>
      <w:rPr>
        <w:rFonts w:cs="Times New Roman"/>
      </w:rPr>
    </w:lvl>
    <w:lvl w:ilvl="8" w:tplc="27949DDE" w:tentative="1">
      <w:start w:val="1"/>
      <w:numFmt w:val="lowerRoman"/>
      <w:lvlText w:val="%9."/>
      <w:lvlJc w:val="right"/>
      <w:pPr>
        <w:tabs>
          <w:tab w:val="num" w:pos="6480"/>
        </w:tabs>
        <w:ind w:left="6480" w:hanging="180"/>
      </w:pPr>
      <w:rPr>
        <w:rFonts w:cs="Times New Roman"/>
      </w:rPr>
    </w:lvl>
  </w:abstractNum>
  <w:abstractNum w:abstractNumId="13">
    <w:nsid w:val="46B7D0FA"/>
    <w:multiLevelType w:val="hybridMultilevel"/>
    <w:tmpl w:val="BA1B217F"/>
    <w:lvl w:ilvl="0" w:tplc="CF44DD28">
      <w:start w:val="1"/>
      <w:numFmt w:val="decimal"/>
      <w:lvlText w:val="%1."/>
      <w:lvlJc w:val="left"/>
      <w:rPr>
        <w:rFonts w:cs="Times New Roman"/>
      </w:rPr>
    </w:lvl>
    <w:lvl w:ilvl="1" w:tplc="FA704D6C">
      <w:numFmt w:val="decimal"/>
      <w:lvlText w:val=""/>
      <w:lvlJc w:val="left"/>
      <w:rPr>
        <w:rFonts w:cs="Times New Roman"/>
      </w:rPr>
    </w:lvl>
    <w:lvl w:ilvl="2" w:tplc="9A808CCA">
      <w:numFmt w:val="decimal"/>
      <w:lvlText w:val=""/>
      <w:lvlJc w:val="left"/>
      <w:rPr>
        <w:rFonts w:cs="Times New Roman"/>
      </w:rPr>
    </w:lvl>
    <w:lvl w:ilvl="3" w:tplc="B7ACDCE2">
      <w:numFmt w:val="decimal"/>
      <w:lvlText w:val=""/>
      <w:lvlJc w:val="left"/>
      <w:rPr>
        <w:rFonts w:cs="Times New Roman"/>
      </w:rPr>
    </w:lvl>
    <w:lvl w:ilvl="4" w:tplc="6A0CD8F6">
      <w:numFmt w:val="decimal"/>
      <w:lvlText w:val=""/>
      <w:lvlJc w:val="left"/>
      <w:rPr>
        <w:rFonts w:cs="Times New Roman"/>
      </w:rPr>
    </w:lvl>
    <w:lvl w:ilvl="5" w:tplc="E5D0DCB4">
      <w:numFmt w:val="decimal"/>
      <w:lvlText w:val=""/>
      <w:lvlJc w:val="left"/>
      <w:rPr>
        <w:rFonts w:cs="Times New Roman"/>
      </w:rPr>
    </w:lvl>
    <w:lvl w:ilvl="6" w:tplc="617C6A6A">
      <w:numFmt w:val="decimal"/>
      <w:lvlText w:val=""/>
      <w:lvlJc w:val="left"/>
      <w:rPr>
        <w:rFonts w:cs="Times New Roman"/>
      </w:rPr>
    </w:lvl>
    <w:lvl w:ilvl="7" w:tplc="F7785C4C">
      <w:numFmt w:val="decimal"/>
      <w:lvlText w:val=""/>
      <w:lvlJc w:val="left"/>
      <w:rPr>
        <w:rFonts w:cs="Times New Roman"/>
      </w:rPr>
    </w:lvl>
    <w:lvl w:ilvl="8" w:tplc="5606B75C">
      <w:numFmt w:val="decimal"/>
      <w:lvlText w:val=""/>
      <w:lvlJc w:val="left"/>
      <w:rPr>
        <w:rFonts w:cs="Times New Roman"/>
      </w:rPr>
    </w:lvl>
  </w:abstractNum>
  <w:abstractNum w:abstractNumId="14">
    <w:nsid w:val="49200D16"/>
    <w:multiLevelType w:val="hybridMultilevel"/>
    <w:tmpl w:val="5FC4455A"/>
    <w:lvl w:ilvl="0" w:tplc="CA141904">
      <w:start w:val="1"/>
      <w:numFmt w:val="bullet"/>
      <w:lvlText w:val=""/>
      <w:lvlJc w:val="left"/>
      <w:pPr>
        <w:tabs>
          <w:tab w:val="num" w:pos="360"/>
        </w:tabs>
        <w:ind w:left="360" w:hanging="360"/>
      </w:pPr>
      <w:rPr>
        <w:rFonts w:ascii="Symbol" w:hAnsi="Symbol" w:hint="default"/>
        <w:color w:val="auto"/>
        <w:sz w:val="18"/>
      </w:rPr>
    </w:lvl>
    <w:lvl w:ilvl="1" w:tplc="022C95D6" w:tentative="1">
      <w:start w:val="1"/>
      <w:numFmt w:val="bullet"/>
      <w:lvlText w:val="o"/>
      <w:lvlJc w:val="left"/>
      <w:pPr>
        <w:tabs>
          <w:tab w:val="num" w:pos="1440"/>
        </w:tabs>
        <w:ind w:left="1440" w:hanging="360"/>
      </w:pPr>
      <w:rPr>
        <w:rFonts w:ascii="Courier New" w:hAnsi="Courier New" w:hint="default"/>
      </w:rPr>
    </w:lvl>
    <w:lvl w:ilvl="2" w:tplc="CCF8EE02" w:tentative="1">
      <w:start w:val="1"/>
      <w:numFmt w:val="bullet"/>
      <w:lvlText w:val=""/>
      <w:lvlJc w:val="left"/>
      <w:pPr>
        <w:tabs>
          <w:tab w:val="num" w:pos="2160"/>
        </w:tabs>
        <w:ind w:left="2160" w:hanging="360"/>
      </w:pPr>
      <w:rPr>
        <w:rFonts w:ascii="Wingdings" w:hAnsi="Wingdings" w:hint="default"/>
      </w:rPr>
    </w:lvl>
    <w:lvl w:ilvl="3" w:tplc="7E6A1C98" w:tentative="1">
      <w:start w:val="1"/>
      <w:numFmt w:val="bullet"/>
      <w:lvlText w:val=""/>
      <w:lvlJc w:val="left"/>
      <w:pPr>
        <w:tabs>
          <w:tab w:val="num" w:pos="2880"/>
        </w:tabs>
        <w:ind w:left="2880" w:hanging="360"/>
      </w:pPr>
      <w:rPr>
        <w:rFonts w:ascii="Symbol" w:hAnsi="Symbol" w:hint="default"/>
      </w:rPr>
    </w:lvl>
    <w:lvl w:ilvl="4" w:tplc="5386A114" w:tentative="1">
      <w:start w:val="1"/>
      <w:numFmt w:val="bullet"/>
      <w:lvlText w:val="o"/>
      <w:lvlJc w:val="left"/>
      <w:pPr>
        <w:tabs>
          <w:tab w:val="num" w:pos="3600"/>
        </w:tabs>
        <w:ind w:left="3600" w:hanging="360"/>
      </w:pPr>
      <w:rPr>
        <w:rFonts w:ascii="Courier New" w:hAnsi="Courier New" w:hint="default"/>
      </w:rPr>
    </w:lvl>
    <w:lvl w:ilvl="5" w:tplc="19B6D360" w:tentative="1">
      <w:start w:val="1"/>
      <w:numFmt w:val="bullet"/>
      <w:lvlText w:val=""/>
      <w:lvlJc w:val="left"/>
      <w:pPr>
        <w:tabs>
          <w:tab w:val="num" w:pos="4320"/>
        </w:tabs>
        <w:ind w:left="4320" w:hanging="360"/>
      </w:pPr>
      <w:rPr>
        <w:rFonts w:ascii="Wingdings" w:hAnsi="Wingdings" w:hint="default"/>
      </w:rPr>
    </w:lvl>
    <w:lvl w:ilvl="6" w:tplc="8F4487E6" w:tentative="1">
      <w:start w:val="1"/>
      <w:numFmt w:val="bullet"/>
      <w:lvlText w:val=""/>
      <w:lvlJc w:val="left"/>
      <w:pPr>
        <w:tabs>
          <w:tab w:val="num" w:pos="5040"/>
        </w:tabs>
        <w:ind w:left="5040" w:hanging="360"/>
      </w:pPr>
      <w:rPr>
        <w:rFonts w:ascii="Symbol" w:hAnsi="Symbol" w:hint="default"/>
      </w:rPr>
    </w:lvl>
    <w:lvl w:ilvl="7" w:tplc="E4B80FF6" w:tentative="1">
      <w:start w:val="1"/>
      <w:numFmt w:val="bullet"/>
      <w:lvlText w:val="o"/>
      <w:lvlJc w:val="left"/>
      <w:pPr>
        <w:tabs>
          <w:tab w:val="num" w:pos="5760"/>
        </w:tabs>
        <w:ind w:left="5760" w:hanging="360"/>
      </w:pPr>
      <w:rPr>
        <w:rFonts w:ascii="Courier New" w:hAnsi="Courier New" w:hint="default"/>
      </w:rPr>
    </w:lvl>
    <w:lvl w:ilvl="8" w:tplc="9C7A7848" w:tentative="1">
      <w:start w:val="1"/>
      <w:numFmt w:val="bullet"/>
      <w:lvlText w:val=""/>
      <w:lvlJc w:val="left"/>
      <w:pPr>
        <w:tabs>
          <w:tab w:val="num" w:pos="6480"/>
        </w:tabs>
        <w:ind w:left="6480" w:hanging="360"/>
      </w:pPr>
      <w:rPr>
        <w:rFonts w:ascii="Wingdings" w:hAnsi="Wingdings" w:hint="default"/>
      </w:rPr>
    </w:lvl>
  </w:abstractNum>
  <w:abstractNum w:abstractNumId="15">
    <w:nsid w:val="49254A3D"/>
    <w:multiLevelType w:val="hybridMultilevel"/>
    <w:tmpl w:val="C82CFD7C"/>
    <w:lvl w:ilvl="0" w:tplc="4CB08402">
      <w:start w:val="1"/>
      <w:numFmt w:val="lowerRoman"/>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9697C78"/>
    <w:multiLevelType w:val="hybridMultilevel"/>
    <w:tmpl w:val="909E6CA6"/>
    <w:lvl w:ilvl="0" w:tplc="F6CED9DA">
      <w:start w:val="1"/>
      <w:numFmt w:val="decimal"/>
      <w:lvlText w:val="%1."/>
      <w:lvlJc w:val="left"/>
      <w:pPr>
        <w:tabs>
          <w:tab w:val="num" w:pos="360"/>
        </w:tabs>
        <w:ind w:left="360" w:hanging="360"/>
      </w:pPr>
      <w:rPr>
        <w:rFonts w:cs="Times New Roman"/>
      </w:rPr>
    </w:lvl>
    <w:lvl w:ilvl="1" w:tplc="2D64A054" w:tentative="1">
      <w:start w:val="1"/>
      <w:numFmt w:val="lowerLetter"/>
      <w:lvlText w:val="%2."/>
      <w:lvlJc w:val="left"/>
      <w:pPr>
        <w:tabs>
          <w:tab w:val="num" w:pos="1080"/>
        </w:tabs>
        <w:ind w:left="1080" w:hanging="360"/>
      </w:pPr>
      <w:rPr>
        <w:rFonts w:cs="Times New Roman"/>
      </w:rPr>
    </w:lvl>
    <w:lvl w:ilvl="2" w:tplc="3EBAF9E4" w:tentative="1">
      <w:start w:val="1"/>
      <w:numFmt w:val="lowerRoman"/>
      <w:lvlText w:val="%3."/>
      <w:lvlJc w:val="right"/>
      <w:pPr>
        <w:tabs>
          <w:tab w:val="num" w:pos="1800"/>
        </w:tabs>
        <w:ind w:left="1800" w:hanging="180"/>
      </w:pPr>
      <w:rPr>
        <w:rFonts w:cs="Times New Roman"/>
      </w:rPr>
    </w:lvl>
    <w:lvl w:ilvl="3" w:tplc="41E8DEC0" w:tentative="1">
      <w:start w:val="1"/>
      <w:numFmt w:val="decimal"/>
      <w:lvlText w:val="%4."/>
      <w:lvlJc w:val="left"/>
      <w:pPr>
        <w:tabs>
          <w:tab w:val="num" w:pos="2520"/>
        </w:tabs>
        <w:ind w:left="2520" w:hanging="360"/>
      </w:pPr>
      <w:rPr>
        <w:rFonts w:cs="Times New Roman"/>
      </w:rPr>
    </w:lvl>
    <w:lvl w:ilvl="4" w:tplc="E6FA8E96" w:tentative="1">
      <w:start w:val="1"/>
      <w:numFmt w:val="lowerLetter"/>
      <w:lvlText w:val="%5."/>
      <w:lvlJc w:val="left"/>
      <w:pPr>
        <w:tabs>
          <w:tab w:val="num" w:pos="3240"/>
        </w:tabs>
        <w:ind w:left="3240" w:hanging="360"/>
      </w:pPr>
      <w:rPr>
        <w:rFonts w:cs="Times New Roman"/>
      </w:rPr>
    </w:lvl>
    <w:lvl w:ilvl="5" w:tplc="801C3F60" w:tentative="1">
      <w:start w:val="1"/>
      <w:numFmt w:val="lowerRoman"/>
      <w:lvlText w:val="%6."/>
      <w:lvlJc w:val="right"/>
      <w:pPr>
        <w:tabs>
          <w:tab w:val="num" w:pos="3960"/>
        </w:tabs>
        <w:ind w:left="3960" w:hanging="180"/>
      </w:pPr>
      <w:rPr>
        <w:rFonts w:cs="Times New Roman"/>
      </w:rPr>
    </w:lvl>
    <w:lvl w:ilvl="6" w:tplc="BF2A5F74" w:tentative="1">
      <w:start w:val="1"/>
      <w:numFmt w:val="decimal"/>
      <w:lvlText w:val="%7."/>
      <w:lvlJc w:val="left"/>
      <w:pPr>
        <w:tabs>
          <w:tab w:val="num" w:pos="4680"/>
        </w:tabs>
        <w:ind w:left="4680" w:hanging="360"/>
      </w:pPr>
      <w:rPr>
        <w:rFonts w:cs="Times New Roman"/>
      </w:rPr>
    </w:lvl>
    <w:lvl w:ilvl="7" w:tplc="6A92B970" w:tentative="1">
      <w:start w:val="1"/>
      <w:numFmt w:val="lowerLetter"/>
      <w:lvlText w:val="%8."/>
      <w:lvlJc w:val="left"/>
      <w:pPr>
        <w:tabs>
          <w:tab w:val="num" w:pos="5400"/>
        </w:tabs>
        <w:ind w:left="5400" w:hanging="360"/>
      </w:pPr>
      <w:rPr>
        <w:rFonts w:cs="Times New Roman"/>
      </w:rPr>
    </w:lvl>
    <w:lvl w:ilvl="8" w:tplc="B0D0D110" w:tentative="1">
      <w:start w:val="1"/>
      <w:numFmt w:val="lowerRoman"/>
      <w:lvlText w:val="%9."/>
      <w:lvlJc w:val="right"/>
      <w:pPr>
        <w:tabs>
          <w:tab w:val="num" w:pos="6120"/>
        </w:tabs>
        <w:ind w:left="6120" w:hanging="180"/>
      </w:pPr>
      <w:rPr>
        <w:rFonts w:cs="Times New Roman"/>
      </w:rPr>
    </w:lvl>
  </w:abstractNum>
  <w:abstractNum w:abstractNumId="17">
    <w:nsid w:val="49726315"/>
    <w:multiLevelType w:val="hybridMultilevel"/>
    <w:tmpl w:val="9A9CE2FA"/>
    <w:lvl w:ilvl="0" w:tplc="CD7C9B92">
      <w:start w:val="1"/>
      <w:numFmt w:val="decimal"/>
      <w:lvlText w:val="(%1)"/>
      <w:lvlJc w:val="left"/>
      <w:pPr>
        <w:tabs>
          <w:tab w:val="num" w:pos="720"/>
        </w:tabs>
        <w:ind w:left="720" w:hanging="360"/>
      </w:pPr>
      <w:rPr>
        <w:rFonts w:cs="Times New Roman" w:hint="default"/>
      </w:rPr>
    </w:lvl>
    <w:lvl w:ilvl="1" w:tplc="DFC07AB6" w:tentative="1">
      <w:start w:val="1"/>
      <w:numFmt w:val="lowerLetter"/>
      <w:lvlText w:val="%2."/>
      <w:lvlJc w:val="left"/>
      <w:pPr>
        <w:tabs>
          <w:tab w:val="num" w:pos="1440"/>
        </w:tabs>
        <w:ind w:left="1440" w:hanging="360"/>
      </w:pPr>
      <w:rPr>
        <w:rFonts w:cs="Times New Roman"/>
      </w:rPr>
    </w:lvl>
    <w:lvl w:ilvl="2" w:tplc="067C35EE" w:tentative="1">
      <w:start w:val="1"/>
      <w:numFmt w:val="lowerRoman"/>
      <w:lvlText w:val="%3."/>
      <w:lvlJc w:val="right"/>
      <w:pPr>
        <w:tabs>
          <w:tab w:val="num" w:pos="2160"/>
        </w:tabs>
        <w:ind w:left="2160" w:hanging="180"/>
      </w:pPr>
      <w:rPr>
        <w:rFonts w:cs="Times New Roman"/>
      </w:rPr>
    </w:lvl>
    <w:lvl w:ilvl="3" w:tplc="780A77D8" w:tentative="1">
      <w:start w:val="1"/>
      <w:numFmt w:val="decimal"/>
      <w:lvlText w:val="%4."/>
      <w:lvlJc w:val="left"/>
      <w:pPr>
        <w:tabs>
          <w:tab w:val="num" w:pos="2880"/>
        </w:tabs>
        <w:ind w:left="2880" w:hanging="360"/>
      </w:pPr>
      <w:rPr>
        <w:rFonts w:cs="Times New Roman"/>
      </w:rPr>
    </w:lvl>
    <w:lvl w:ilvl="4" w:tplc="19786072" w:tentative="1">
      <w:start w:val="1"/>
      <w:numFmt w:val="lowerLetter"/>
      <w:lvlText w:val="%5."/>
      <w:lvlJc w:val="left"/>
      <w:pPr>
        <w:tabs>
          <w:tab w:val="num" w:pos="3600"/>
        </w:tabs>
        <w:ind w:left="3600" w:hanging="360"/>
      </w:pPr>
      <w:rPr>
        <w:rFonts w:cs="Times New Roman"/>
      </w:rPr>
    </w:lvl>
    <w:lvl w:ilvl="5" w:tplc="75D62D5E" w:tentative="1">
      <w:start w:val="1"/>
      <w:numFmt w:val="lowerRoman"/>
      <w:lvlText w:val="%6."/>
      <w:lvlJc w:val="right"/>
      <w:pPr>
        <w:tabs>
          <w:tab w:val="num" w:pos="4320"/>
        </w:tabs>
        <w:ind w:left="4320" w:hanging="180"/>
      </w:pPr>
      <w:rPr>
        <w:rFonts w:cs="Times New Roman"/>
      </w:rPr>
    </w:lvl>
    <w:lvl w:ilvl="6" w:tplc="E526A280" w:tentative="1">
      <w:start w:val="1"/>
      <w:numFmt w:val="decimal"/>
      <w:lvlText w:val="%7."/>
      <w:lvlJc w:val="left"/>
      <w:pPr>
        <w:tabs>
          <w:tab w:val="num" w:pos="5040"/>
        </w:tabs>
        <w:ind w:left="5040" w:hanging="360"/>
      </w:pPr>
      <w:rPr>
        <w:rFonts w:cs="Times New Roman"/>
      </w:rPr>
    </w:lvl>
    <w:lvl w:ilvl="7" w:tplc="9CB8C2EA" w:tentative="1">
      <w:start w:val="1"/>
      <w:numFmt w:val="lowerLetter"/>
      <w:lvlText w:val="%8."/>
      <w:lvlJc w:val="left"/>
      <w:pPr>
        <w:tabs>
          <w:tab w:val="num" w:pos="5760"/>
        </w:tabs>
        <w:ind w:left="5760" w:hanging="360"/>
      </w:pPr>
      <w:rPr>
        <w:rFonts w:cs="Times New Roman"/>
      </w:rPr>
    </w:lvl>
    <w:lvl w:ilvl="8" w:tplc="11262866" w:tentative="1">
      <w:start w:val="1"/>
      <w:numFmt w:val="lowerRoman"/>
      <w:lvlText w:val="%9."/>
      <w:lvlJc w:val="right"/>
      <w:pPr>
        <w:tabs>
          <w:tab w:val="num" w:pos="6480"/>
        </w:tabs>
        <w:ind w:left="6480" w:hanging="180"/>
      </w:pPr>
      <w:rPr>
        <w:rFonts w:cs="Times New Roman"/>
      </w:rPr>
    </w:lvl>
  </w:abstractNum>
  <w:abstractNum w:abstractNumId="18">
    <w:nsid w:val="4BA35EA3"/>
    <w:multiLevelType w:val="hybridMultilevel"/>
    <w:tmpl w:val="9C18CB9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3C7304"/>
    <w:multiLevelType w:val="hybridMultilevel"/>
    <w:tmpl w:val="7F78B3AA"/>
    <w:lvl w:ilvl="0" w:tplc="2230D65C">
      <w:start w:val="1"/>
      <w:numFmt w:val="bullet"/>
      <w:lvlText w:val=""/>
      <w:lvlJc w:val="left"/>
      <w:pPr>
        <w:tabs>
          <w:tab w:val="num" w:pos="171"/>
        </w:tabs>
        <w:ind w:left="171" w:hanging="360"/>
      </w:pPr>
      <w:rPr>
        <w:rFonts w:ascii="Symbol" w:hAnsi="Symbol" w:hint="default"/>
        <w:b w:val="0"/>
        <w:i w:val="0"/>
        <w:sz w:val="24"/>
      </w:rPr>
    </w:lvl>
    <w:lvl w:ilvl="1" w:tplc="0674F1F2" w:tentative="1">
      <w:start w:val="1"/>
      <w:numFmt w:val="bullet"/>
      <w:lvlText w:val="o"/>
      <w:lvlJc w:val="left"/>
      <w:pPr>
        <w:tabs>
          <w:tab w:val="num" w:pos="891"/>
        </w:tabs>
        <w:ind w:left="891" w:hanging="360"/>
      </w:pPr>
      <w:rPr>
        <w:rFonts w:ascii="Courier New" w:hAnsi="Courier New" w:hint="default"/>
      </w:rPr>
    </w:lvl>
    <w:lvl w:ilvl="2" w:tplc="50F2C22A" w:tentative="1">
      <w:start w:val="1"/>
      <w:numFmt w:val="bullet"/>
      <w:lvlText w:val=""/>
      <w:lvlJc w:val="left"/>
      <w:pPr>
        <w:tabs>
          <w:tab w:val="num" w:pos="1611"/>
        </w:tabs>
        <w:ind w:left="1611" w:hanging="360"/>
      </w:pPr>
      <w:rPr>
        <w:rFonts w:ascii="Wingdings" w:hAnsi="Wingdings" w:hint="default"/>
      </w:rPr>
    </w:lvl>
    <w:lvl w:ilvl="3" w:tplc="45DEAEEA" w:tentative="1">
      <w:start w:val="1"/>
      <w:numFmt w:val="bullet"/>
      <w:lvlText w:val=""/>
      <w:lvlJc w:val="left"/>
      <w:pPr>
        <w:tabs>
          <w:tab w:val="num" w:pos="2331"/>
        </w:tabs>
        <w:ind w:left="2331" w:hanging="360"/>
      </w:pPr>
      <w:rPr>
        <w:rFonts w:ascii="Symbol" w:hAnsi="Symbol" w:hint="default"/>
      </w:rPr>
    </w:lvl>
    <w:lvl w:ilvl="4" w:tplc="C09241CC" w:tentative="1">
      <w:start w:val="1"/>
      <w:numFmt w:val="bullet"/>
      <w:lvlText w:val="o"/>
      <w:lvlJc w:val="left"/>
      <w:pPr>
        <w:tabs>
          <w:tab w:val="num" w:pos="3051"/>
        </w:tabs>
        <w:ind w:left="3051" w:hanging="360"/>
      </w:pPr>
      <w:rPr>
        <w:rFonts w:ascii="Courier New" w:hAnsi="Courier New" w:hint="default"/>
      </w:rPr>
    </w:lvl>
    <w:lvl w:ilvl="5" w:tplc="A7DE9E98" w:tentative="1">
      <w:start w:val="1"/>
      <w:numFmt w:val="bullet"/>
      <w:lvlText w:val=""/>
      <w:lvlJc w:val="left"/>
      <w:pPr>
        <w:tabs>
          <w:tab w:val="num" w:pos="3771"/>
        </w:tabs>
        <w:ind w:left="3771" w:hanging="360"/>
      </w:pPr>
      <w:rPr>
        <w:rFonts w:ascii="Wingdings" w:hAnsi="Wingdings" w:hint="default"/>
      </w:rPr>
    </w:lvl>
    <w:lvl w:ilvl="6" w:tplc="B5F64C02" w:tentative="1">
      <w:start w:val="1"/>
      <w:numFmt w:val="bullet"/>
      <w:lvlText w:val=""/>
      <w:lvlJc w:val="left"/>
      <w:pPr>
        <w:tabs>
          <w:tab w:val="num" w:pos="4491"/>
        </w:tabs>
        <w:ind w:left="4491" w:hanging="360"/>
      </w:pPr>
      <w:rPr>
        <w:rFonts w:ascii="Symbol" w:hAnsi="Symbol" w:hint="default"/>
      </w:rPr>
    </w:lvl>
    <w:lvl w:ilvl="7" w:tplc="42E8222C" w:tentative="1">
      <w:start w:val="1"/>
      <w:numFmt w:val="bullet"/>
      <w:lvlText w:val="o"/>
      <w:lvlJc w:val="left"/>
      <w:pPr>
        <w:tabs>
          <w:tab w:val="num" w:pos="5211"/>
        </w:tabs>
        <w:ind w:left="5211" w:hanging="360"/>
      </w:pPr>
      <w:rPr>
        <w:rFonts w:ascii="Courier New" w:hAnsi="Courier New" w:hint="default"/>
      </w:rPr>
    </w:lvl>
    <w:lvl w:ilvl="8" w:tplc="66543328" w:tentative="1">
      <w:start w:val="1"/>
      <w:numFmt w:val="bullet"/>
      <w:lvlText w:val=""/>
      <w:lvlJc w:val="left"/>
      <w:pPr>
        <w:tabs>
          <w:tab w:val="num" w:pos="5931"/>
        </w:tabs>
        <w:ind w:left="5931" w:hanging="360"/>
      </w:pPr>
      <w:rPr>
        <w:rFonts w:ascii="Wingdings" w:hAnsi="Wingdings" w:hint="default"/>
      </w:rPr>
    </w:lvl>
  </w:abstractNum>
  <w:abstractNum w:abstractNumId="20">
    <w:nsid w:val="51E50B91"/>
    <w:multiLevelType w:val="hybridMultilevel"/>
    <w:tmpl w:val="5CFCC846"/>
    <w:lvl w:ilvl="0" w:tplc="76923EDE">
      <w:start w:val="1"/>
      <w:numFmt w:val="bullet"/>
      <w:lvlText w:val=""/>
      <w:lvlJc w:val="left"/>
      <w:pPr>
        <w:tabs>
          <w:tab w:val="num" w:pos="360"/>
        </w:tabs>
        <w:ind w:left="360" w:hanging="360"/>
      </w:pPr>
      <w:rPr>
        <w:rFonts w:ascii="Symbol" w:hAnsi="Symbol" w:hint="default"/>
        <w:b w:val="0"/>
        <w:i w:val="0"/>
        <w:sz w:val="23"/>
      </w:rPr>
    </w:lvl>
    <w:lvl w:ilvl="1" w:tplc="14F2D1B0" w:tentative="1">
      <w:start w:val="1"/>
      <w:numFmt w:val="bullet"/>
      <w:lvlText w:val="o"/>
      <w:lvlJc w:val="left"/>
      <w:pPr>
        <w:tabs>
          <w:tab w:val="num" w:pos="1440"/>
        </w:tabs>
        <w:ind w:left="1440" w:hanging="360"/>
      </w:pPr>
      <w:rPr>
        <w:rFonts w:ascii="Courier New" w:hAnsi="Courier New" w:hint="default"/>
      </w:rPr>
    </w:lvl>
    <w:lvl w:ilvl="2" w:tplc="E8E426C6" w:tentative="1">
      <w:start w:val="1"/>
      <w:numFmt w:val="bullet"/>
      <w:lvlText w:val=""/>
      <w:lvlJc w:val="left"/>
      <w:pPr>
        <w:tabs>
          <w:tab w:val="num" w:pos="2160"/>
        </w:tabs>
        <w:ind w:left="2160" w:hanging="360"/>
      </w:pPr>
      <w:rPr>
        <w:rFonts w:ascii="Wingdings" w:hAnsi="Wingdings" w:hint="default"/>
      </w:rPr>
    </w:lvl>
    <w:lvl w:ilvl="3" w:tplc="D4EC10BC" w:tentative="1">
      <w:start w:val="1"/>
      <w:numFmt w:val="bullet"/>
      <w:lvlText w:val=""/>
      <w:lvlJc w:val="left"/>
      <w:pPr>
        <w:tabs>
          <w:tab w:val="num" w:pos="2880"/>
        </w:tabs>
        <w:ind w:left="2880" w:hanging="360"/>
      </w:pPr>
      <w:rPr>
        <w:rFonts w:ascii="Symbol" w:hAnsi="Symbol" w:hint="default"/>
      </w:rPr>
    </w:lvl>
    <w:lvl w:ilvl="4" w:tplc="6B6A51F4" w:tentative="1">
      <w:start w:val="1"/>
      <w:numFmt w:val="bullet"/>
      <w:lvlText w:val="o"/>
      <w:lvlJc w:val="left"/>
      <w:pPr>
        <w:tabs>
          <w:tab w:val="num" w:pos="3600"/>
        </w:tabs>
        <w:ind w:left="3600" w:hanging="360"/>
      </w:pPr>
      <w:rPr>
        <w:rFonts w:ascii="Courier New" w:hAnsi="Courier New" w:hint="default"/>
      </w:rPr>
    </w:lvl>
    <w:lvl w:ilvl="5" w:tplc="81BC7E92" w:tentative="1">
      <w:start w:val="1"/>
      <w:numFmt w:val="bullet"/>
      <w:lvlText w:val=""/>
      <w:lvlJc w:val="left"/>
      <w:pPr>
        <w:tabs>
          <w:tab w:val="num" w:pos="4320"/>
        </w:tabs>
        <w:ind w:left="4320" w:hanging="360"/>
      </w:pPr>
      <w:rPr>
        <w:rFonts w:ascii="Wingdings" w:hAnsi="Wingdings" w:hint="default"/>
      </w:rPr>
    </w:lvl>
    <w:lvl w:ilvl="6" w:tplc="3008FD72" w:tentative="1">
      <w:start w:val="1"/>
      <w:numFmt w:val="bullet"/>
      <w:lvlText w:val=""/>
      <w:lvlJc w:val="left"/>
      <w:pPr>
        <w:tabs>
          <w:tab w:val="num" w:pos="5040"/>
        </w:tabs>
        <w:ind w:left="5040" w:hanging="360"/>
      </w:pPr>
      <w:rPr>
        <w:rFonts w:ascii="Symbol" w:hAnsi="Symbol" w:hint="default"/>
      </w:rPr>
    </w:lvl>
    <w:lvl w:ilvl="7" w:tplc="93164E38" w:tentative="1">
      <w:start w:val="1"/>
      <w:numFmt w:val="bullet"/>
      <w:lvlText w:val="o"/>
      <w:lvlJc w:val="left"/>
      <w:pPr>
        <w:tabs>
          <w:tab w:val="num" w:pos="5760"/>
        </w:tabs>
        <w:ind w:left="5760" w:hanging="360"/>
      </w:pPr>
      <w:rPr>
        <w:rFonts w:ascii="Courier New" w:hAnsi="Courier New" w:hint="default"/>
      </w:rPr>
    </w:lvl>
    <w:lvl w:ilvl="8" w:tplc="49D02580" w:tentative="1">
      <w:start w:val="1"/>
      <w:numFmt w:val="bullet"/>
      <w:lvlText w:val=""/>
      <w:lvlJc w:val="left"/>
      <w:pPr>
        <w:tabs>
          <w:tab w:val="num" w:pos="6480"/>
        </w:tabs>
        <w:ind w:left="6480" w:hanging="360"/>
      </w:pPr>
      <w:rPr>
        <w:rFonts w:ascii="Wingdings" w:hAnsi="Wingdings" w:hint="default"/>
      </w:rPr>
    </w:lvl>
  </w:abstractNum>
  <w:abstractNum w:abstractNumId="21">
    <w:nsid w:val="52967E13"/>
    <w:multiLevelType w:val="hybridMultilevel"/>
    <w:tmpl w:val="8CC6F71A"/>
    <w:lvl w:ilvl="0" w:tplc="76923EDE">
      <w:start w:val="1"/>
      <w:numFmt w:val="bullet"/>
      <w:lvlText w:val=""/>
      <w:lvlJc w:val="left"/>
      <w:pPr>
        <w:tabs>
          <w:tab w:val="num" w:pos="360"/>
        </w:tabs>
        <w:ind w:left="360" w:hanging="360"/>
      </w:pPr>
      <w:rPr>
        <w:rFonts w:ascii="Symbol" w:hAnsi="Symbol" w:hint="default"/>
        <w:b w:val="0"/>
        <w:i w:val="0"/>
        <w:sz w:val="23"/>
      </w:rPr>
    </w:lvl>
    <w:lvl w:ilvl="1" w:tplc="9F5882EE" w:tentative="1">
      <w:start w:val="1"/>
      <w:numFmt w:val="bullet"/>
      <w:lvlText w:val="o"/>
      <w:lvlJc w:val="left"/>
      <w:pPr>
        <w:tabs>
          <w:tab w:val="num" w:pos="1440"/>
        </w:tabs>
        <w:ind w:left="1440" w:hanging="360"/>
      </w:pPr>
      <w:rPr>
        <w:rFonts w:ascii="Courier New" w:hAnsi="Courier New" w:hint="default"/>
      </w:rPr>
    </w:lvl>
    <w:lvl w:ilvl="2" w:tplc="7E96DD5C" w:tentative="1">
      <w:start w:val="1"/>
      <w:numFmt w:val="bullet"/>
      <w:lvlText w:val=""/>
      <w:lvlJc w:val="left"/>
      <w:pPr>
        <w:tabs>
          <w:tab w:val="num" w:pos="2160"/>
        </w:tabs>
        <w:ind w:left="2160" w:hanging="360"/>
      </w:pPr>
      <w:rPr>
        <w:rFonts w:ascii="Wingdings" w:hAnsi="Wingdings" w:hint="default"/>
      </w:rPr>
    </w:lvl>
    <w:lvl w:ilvl="3" w:tplc="8C4266FA" w:tentative="1">
      <w:start w:val="1"/>
      <w:numFmt w:val="bullet"/>
      <w:lvlText w:val=""/>
      <w:lvlJc w:val="left"/>
      <w:pPr>
        <w:tabs>
          <w:tab w:val="num" w:pos="2880"/>
        </w:tabs>
        <w:ind w:left="2880" w:hanging="360"/>
      </w:pPr>
      <w:rPr>
        <w:rFonts w:ascii="Symbol" w:hAnsi="Symbol" w:hint="default"/>
      </w:rPr>
    </w:lvl>
    <w:lvl w:ilvl="4" w:tplc="035899DC" w:tentative="1">
      <w:start w:val="1"/>
      <w:numFmt w:val="bullet"/>
      <w:lvlText w:val="o"/>
      <w:lvlJc w:val="left"/>
      <w:pPr>
        <w:tabs>
          <w:tab w:val="num" w:pos="3600"/>
        </w:tabs>
        <w:ind w:left="3600" w:hanging="360"/>
      </w:pPr>
      <w:rPr>
        <w:rFonts w:ascii="Courier New" w:hAnsi="Courier New" w:hint="default"/>
      </w:rPr>
    </w:lvl>
    <w:lvl w:ilvl="5" w:tplc="2BA23FC4" w:tentative="1">
      <w:start w:val="1"/>
      <w:numFmt w:val="bullet"/>
      <w:lvlText w:val=""/>
      <w:lvlJc w:val="left"/>
      <w:pPr>
        <w:tabs>
          <w:tab w:val="num" w:pos="4320"/>
        </w:tabs>
        <w:ind w:left="4320" w:hanging="360"/>
      </w:pPr>
      <w:rPr>
        <w:rFonts w:ascii="Wingdings" w:hAnsi="Wingdings" w:hint="default"/>
      </w:rPr>
    </w:lvl>
    <w:lvl w:ilvl="6" w:tplc="C0C83368" w:tentative="1">
      <w:start w:val="1"/>
      <w:numFmt w:val="bullet"/>
      <w:lvlText w:val=""/>
      <w:lvlJc w:val="left"/>
      <w:pPr>
        <w:tabs>
          <w:tab w:val="num" w:pos="5040"/>
        </w:tabs>
        <w:ind w:left="5040" w:hanging="360"/>
      </w:pPr>
      <w:rPr>
        <w:rFonts w:ascii="Symbol" w:hAnsi="Symbol" w:hint="default"/>
      </w:rPr>
    </w:lvl>
    <w:lvl w:ilvl="7" w:tplc="A05C7998" w:tentative="1">
      <w:start w:val="1"/>
      <w:numFmt w:val="bullet"/>
      <w:lvlText w:val="o"/>
      <w:lvlJc w:val="left"/>
      <w:pPr>
        <w:tabs>
          <w:tab w:val="num" w:pos="5760"/>
        </w:tabs>
        <w:ind w:left="5760" w:hanging="360"/>
      </w:pPr>
      <w:rPr>
        <w:rFonts w:ascii="Courier New" w:hAnsi="Courier New" w:hint="default"/>
      </w:rPr>
    </w:lvl>
    <w:lvl w:ilvl="8" w:tplc="23805F3A" w:tentative="1">
      <w:start w:val="1"/>
      <w:numFmt w:val="bullet"/>
      <w:lvlText w:val=""/>
      <w:lvlJc w:val="left"/>
      <w:pPr>
        <w:tabs>
          <w:tab w:val="num" w:pos="6480"/>
        </w:tabs>
        <w:ind w:left="6480" w:hanging="360"/>
      </w:pPr>
      <w:rPr>
        <w:rFonts w:ascii="Wingdings" w:hAnsi="Wingdings" w:hint="default"/>
      </w:rPr>
    </w:lvl>
  </w:abstractNum>
  <w:abstractNum w:abstractNumId="22">
    <w:nsid w:val="538E474F"/>
    <w:multiLevelType w:val="hybridMultilevel"/>
    <w:tmpl w:val="C71061F6"/>
    <w:lvl w:ilvl="0" w:tplc="41ACF3F8">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140E8A"/>
    <w:multiLevelType w:val="hybridMultilevel"/>
    <w:tmpl w:val="CC323A92"/>
    <w:lvl w:ilvl="0" w:tplc="F2847752">
      <w:start w:val="1"/>
      <w:numFmt w:val="bullet"/>
      <w:lvlText w:val=""/>
      <w:lvlJc w:val="left"/>
      <w:pPr>
        <w:tabs>
          <w:tab w:val="num" w:pos="2520"/>
        </w:tabs>
        <w:ind w:left="2520" w:hanging="360"/>
      </w:pPr>
      <w:rPr>
        <w:rFonts w:ascii="Symbol" w:hAnsi="Symbol" w:hint="default"/>
      </w:rPr>
    </w:lvl>
    <w:lvl w:ilvl="1" w:tplc="1042080C">
      <w:start w:val="1"/>
      <w:numFmt w:val="bullet"/>
      <w:lvlText w:val=""/>
      <w:lvlJc w:val="left"/>
      <w:pPr>
        <w:tabs>
          <w:tab w:val="num" w:pos="3240"/>
        </w:tabs>
        <w:ind w:left="3240" w:hanging="360"/>
      </w:pPr>
      <w:rPr>
        <w:rFonts w:ascii="Symbol" w:hAnsi="Symbol" w:hint="default"/>
      </w:rPr>
    </w:lvl>
    <w:lvl w:ilvl="2" w:tplc="0FE2D238" w:tentative="1">
      <w:start w:val="1"/>
      <w:numFmt w:val="bullet"/>
      <w:lvlText w:val=""/>
      <w:lvlJc w:val="left"/>
      <w:pPr>
        <w:tabs>
          <w:tab w:val="num" w:pos="3960"/>
        </w:tabs>
        <w:ind w:left="3960" w:hanging="360"/>
      </w:pPr>
      <w:rPr>
        <w:rFonts w:ascii="Wingdings" w:hAnsi="Wingdings" w:hint="default"/>
      </w:rPr>
    </w:lvl>
    <w:lvl w:ilvl="3" w:tplc="639E0A10" w:tentative="1">
      <w:start w:val="1"/>
      <w:numFmt w:val="bullet"/>
      <w:lvlText w:val=""/>
      <w:lvlJc w:val="left"/>
      <w:pPr>
        <w:tabs>
          <w:tab w:val="num" w:pos="4680"/>
        </w:tabs>
        <w:ind w:left="4680" w:hanging="360"/>
      </w:pPr>
      <w:rPr>
        <w:rFonts w:ascii="Symbol" w:hAnsi="Symbol" w:hint="default"/>
      </w:rPr>
    </w:lvl>
    <w:lvl w:ilvl="4" w:tplc="7A9AE9C4" w:tentative="1">
      <w:start w:val="1"/>
      <w:numFmt w:val="bullet"/>
      <w:lvlText w:val="o"/>
      <w:lvlJc w:val="left"/>
      <w:pPr>
        <w:tabs>
          <w:tab w:val="num" w:pos="5400"/>
        </w:tabs>
        <w:ind w:left="5400" w:hanging="360"/>
      </w:pPr>
      <w:rPr>
        <w:rFonts w:ascii="Courier New" w:hAnsi="Courier New" w:hint="default"/>
      </w:rPr>
    </w:lvl>
    <w:lvl w:ilvl="5" w:tplc="8D601860" w:tentative="1">
      <w:start w:val="1"/>
      <w:numFmt w:val="bullet"/>
      <w:lvlText w:val=""/>
      <w:lvlJc w:val="left"/>
      <w:pPr>
        <w:tabs>
          <w:tab w:val="num" w:pos="6120"/>
        </w:tabs>
        <w:ind w:left="6120" w:hanging="360"/>
      </w:pPr>
      <w:rPr>
        <w:rFonts w:ascii="Wingdings" w:hAnsi="Wingdings" w:hint="default"/>
      </w:rPr>
    </w:lvl>
    <w:lvl w:ilvl="6" w:tplc="9F528870" w:tentative="1">
      <w:start w:val="1"/>
      <w:numFmt w:val="bullet"/>
      <w:lvlText w:val=""/>
      <w:lvlJc w:val="left"/>
      <w:pPr>
        <w:tabs>
          <w:tab w:val="num" w:pos="6840"/>
        </w:tabs>
        <w:ind w:left="6840" w:hanging="360"/>
      </w:pPr>
      <w:rPr>
        <w:rFonts w:ascii="Symbol" w:hAnsi="Symbol" w:hint="default"/>
      </w:rPr>
    </w:lvl>
    <w:lvl w:ilvl="7" w:tplc="D1984288" w:tentative="1">
      <w:start w:val="1"/>
      <w:numFmt w:val="bullet"/>
      <w:lvlText w:val="o"/>
      <w:lvlJc w:val="left"/>
      <w:pPr>
        <w:tabs>
          <w:tab w:val="num" w:pos="7560"/>
        </w:tabs>
        <w:ind w:left="7560" w:hanging="360"/>
      </w:pPr>
      <w:rPr>
        <w:rFonts w:ascii="Courier New" w:hAnsi="Courier New" w:hint="default"/>
      </w:rPr>
    </w:lvl>
    <w:lvl w:ilvl="8" w:tplc="D83290BA" w:tentative="1">
      <w:start w:val="1"/>
      <w:numFmt w:val="bullet"/>
      <w:lvlText w:val=""/>
      <w:lvlJc w:val="left"/>
      <w:pPr>
        <w:tabs>
          <w:tab w:val="num" w:pos="8280"/>
        </w:tabs>
        <w:ind w:left="8280" w:hanging="360"/>
      </w:pPr>
      <w:rPr>
        <w:rFonts w:ascii="Wingdings" w:hAnsi="Wingdings" w:hint="default"/>
      </w:rPr>
    </w:lvl>
  </w:abstractNum>
  <w:abstractNum w:abstractNumId="24">
    <w:nsid w:val="57D25538"/>
    <w:multiLevelType w:val="hybridMultilevel"/>
    <w:tmpl w:val="0BAAE640"/>
    <w:lvl w:ilvl="0" w:tplc="993E6C40">
      <w:start w:val="1"/>
      <w:numFmt w:val="bullet"/>
      <w:lvlText w:val=""/>
      <w:lvlJc w:val="left"/>
      <w:pPr>
        <w:tabs>
          <w:tab w:val="num" w:pos="360"/>
        </w:tabs>
        <w:ind w:left="360" w:hanging="360"/>
      </w:pPr>
      <w:rPr>
        <w:rFonts w:ascii="Symbol" w:hAnsi="Symbol" w:hint="default"/>
      </w:rPr>
    </w:lvl>
    <w:lvl w:ilvl="1" w:tplc="5F3294E8" w:tentative="1">
      <w:start w:val="1"/>
      <w:numFmt w:val="bullet"/>
      <w:lvlText w:val="o"/>
      <w:lvlJc w:val="left"/>
      <w:pPr>
        <w:tabs>
          <w:tab w:val="num" w:pos="1440"/>
        </w:tabs>
        <w:ind w:left="1440" w:hanging="360"/>
      </w:pPr>
      <w:rPr>
        <w:rFonts w:ascii="Courier New" w:hAnsi="Courier New" w:hint="default"/>
      </w:rPr>
    </w:lvl>
    <w:lvl w:ilvl="2" w:tplc="F96EA414" w:tentative="1">
      <w:start w:val="1"/>
      <w:numFmt w:val="bullet"/>
      <w:lvlText w:val=""/>
      <w:lvlJc w:val="left"/>
      <w:pPr>
        <w:tabs>
          <w:tab w:val="num" w:pos="2160"/>
        </w:tabs>
        <w:ind w:left="2160" w:hanging="360"/>
      </w:pPr>
      <w:rPr>
        <w:rFonts w:ascii="Wingdings" w:hAnsi="Wingdings" w:hint="default"/>
      </w:rPr>
    </w:lvl>
    <w:lvl w:ilvl="3" w:tplc="146496E2" w:tentative="1">
      <w:start w:val="1"/>
      <w:numFmt w:val="bullet"/>
      <w:lvlText w:val=""/>
      <w:lvlJc w:val="left"/>
      <w:pPr>
        <w:tabs>
          <w:tab w:val="num" w:pos="2880"/>
        </w:tabs>
        <w:ind w:left="2880" w:hanging="360"/>
      </w:pPr>
      <w:rPr>
        <w:rFonts w:ascii="Symbol" w:hAnsi="Symbol" w:hint="default"/>
      </w:rPr>
    </w:lvl>
    <w:lvl w:ilvl="4" w:tplc="EA66F1DE" w:tentative="1">
      <w:start w:val="1"/>
      <w:numFmt w:val="bullet"/>
      <w:lvlText w:val="o"/>
      <w:lvlJc w:val="left"/>
      <w:pPr>
        <w:tabs>
          <w:tab w:val="num" w:pos="3600"/>
        </w:tabs>
        <w:ind w:left="3600" w:hanging="360"/>
      </w:pPr>
      <w:rPr>
        <w:rFonts w:ascii="Courier New" w:hAnsi="Courier New" w:hint="default"/>
      </w:rPr>
    </w:lvl>
    <w:lvl w:ilvl="5" w:tplc="598A9652" w:tentative="1">
      <w:start w:val="1"/>
      <w:numFmt w:val="bullet"/>
      <w:lvlText w:val=""/>
      <w:lvlJc w:val="left"/>
      <w:pPr>
        <w:tabs>
          <w:tab w:val="num" w:pos="4320"/>
        </w:tabs>
        <w:ind w:left="4320" w:hanging="360"/>
      </w:pPr>
      <w:rPr>
        <w:rFonts w:ascii="Wingdings" w:hAnsi="Wingdings" w:hint="default"/>
      </w:rPr>
    </w:lvl>
    <w:lvl w:ilvl="6" w:tplc="76A62734" w:tentative="1">
      <w:start w:val="1"/>
      <w:numFmt w:val="bullet"/>
      <w:lvlText w:val=""/>
      <w:lvlJc w:val="left"/>
      <w:pPr>
        <w:tabs>
          <w:tab w:val="num" w:pos="5040"/>
        </w:tabs>
        <w:ind w:left="5040" w:hanging="360"/>
      </w:pPr>
      <w:rPr>
        <w:rFonts w:ascii="Symbol" w:hAnsi="Symbol" w:hint="default"/>
      </w:rPr>
    </w:lvl>
    <w:lvl w:ilvl="7" w:tplc="4990B14E" w:tentative="1">
      <w:start w:val="1"/>
      <w:numFmt w:val="bullet"/>
      <w:lvlText w:val="o"/>
      <w:lvlJc w:val="left"/>
      <w:pPr>
        <w:tabs>
          <w:tab w:val="num" w:pos="5760"/>
        </w:tabs>
        <w:ind w:left="5760" w:hanging="360"/>
      </w:pPr>
      <w:rPr>
        <w:rFonts w:ascii="Courier New" w:hAnsi="Courier New" w:hint="default"/>
      </w:rPr>
    </w:lvl>
    <w:lvl w:ilvl="8" w:tplc="77FA291A" w:tentative="1">
      <w:start w:val="1"/>
      <w:numFmt w:val="bullet"/>
      <w:lvlText w:val=""/>
      <w:lvlJc w:val="left"/>
      <w:pPr>
        <w:tabs>
          <w:tab w:val="num" w:pos="6480"/>
        </w:tabs>
        <w:ind w:left="6480" w:hanging="360"/>
      </w:pPr>
      <w:rPr>
        <w:rFonts w:ascii="Wingdings" w:hAnsi="Wingdings" w:hint="default"/>
      </w:rPr>
    </w:lvl>
  </w:abstractNum>
  <w:abstractNum w:abstractNumId="25">
    <w:nsid w:val="66B6142F"/>
    <w:multiLevelType w:val="hybridMultilevel"/>
    <w:tmpl w:val="463CC37E"/>
    <w:lvl w:ilvl="0" w:tplc="76923EDE">
      <w:start w:val="1"/>
      <w:numFmt w:val="bullet"/>
      <w:lvlText w:val=""/>
      <w:lvlJc w:val="left"/>
      <w:pPr>
        <w:tabs>
          <w:tab w:val="num" w:pos="360"/>
        </w:tabs>
        <w:ind w:left="360" w:hanging="360"/>
      </w:pPr>
      <w:rPr>
        <w:rFonts w:ascii="Symbol" w:hAnsi="Symbol" w:hint="default"/>
        <w:b w:val="0"/>
        <w:i w:val="0"/>
        <w:sz w:val="23"/>
      </w:rPr>
    </w:lvl>
    <w:lvl w:ilvl="1" w:tplc="952C56CA" w:tentative="1">
      <w:start w:val="1"/>
      <w:numFmt w:val="bullet"/>
      <w:lvlText w:val="o"/>
      <w:lvlJc w:val="left"/>
      <w:pPr>
        <w:tabs>
          <w:tab w:val="num" w:pos="1440"/>
        </w:tabs>
        <w:ind w:left="1440" w:hanging="360"/>
      </w:pPr>
      <w:rPr>
        <w:rFonts w:ascii="Courier New" w:hAnsi="Courier New" w:hint="default"/>
      </w:rPr>
    </w:lvl>
    <w:lvl w:ilvl="2" w:tplc="FC74A07A" w:tentative="1">
      <w:start w:val="1"/>
      <w:numFmt w:val="bullet"/>
      <w:lvlText w:val=""/>
      <w:lvlJc w:val="left"/>
      <w:pPr>
        <w:tabs>
          <w:tab w:val="num" w:pos="2160"/>
        </w:tabs>
        <w:ind w:left="2160" w:hanging="360"/>
      </w:pPr>
      <w:rPr>
        <w:rFonts w:ascii="Wingdings" w:hAnsi="Wingdings" w:hint="default"/>
      </w:rPr>
    </w:lvl>
    <w:lvl w:ilvl="3" w:tplc="F1C0DC30" w:tentative="1">
      <w:start w:val="1"/>
      <w:numFmt w:val="bullet"/>
      <w:lvlText w:val=""/>
      <w:lvlJc w:val="left"/>
      <w:pPr>
        <w:tabs>
          <w:tab w:val="num" w:pos="2880"/>
        </w:tabs>
        <w:ind w:left="2880" w:hanging="360"/>
      </w:pPr>
      <w:rPr>
        <w:rFonts w:ascii="Symbol" w:hAnsi="Symbol" w:hint="default"/>
      </w:rPr>
    </w:lvl>
    <w:lvl w:ilvl="4" w:tplc="B5200406" w:tentative="1">
      <w:start w:val="1"/>
      <w:numFmt w:val="bullet"/>
      <w:lvlText w:val="o"/>
      <w:lvlJc w:val="left"/>
      <w:pPr>
        <w:tabs>
          <w:tab w:val="num" w:pos="3600"/>
        </w:tabs>
        <w:ind w:left="3600" w:hanging="360"/>
      </w:pPr>
      <w:rPr>
        <w:rFonts w:ascii="Courier New" w:hAnsi="Courier New" w:hint="default"/>
      </w:rPr>
    </w:lvl>
    <w:lvl w:ilvl="5" w:tplc="A2703F3E" w:tentative="1">
      <w:start w:val="1"/>
      <w:numFmt w:val="bullet"/>
      <w:lvlText w:val=""/>
      <w:lvlJc w:val="left"/>
      <w:pPr>
        <w:tabs>
          <w:tab w:val="num" w:pos="4320"/>
        </w:tabs>
        <w:ind w:left="4320" w:hanging="360"/>
      </w:pPr>
      <w:rPr>
        <w:rFonts w:ascii="Wingdings" w:hAnsi="Wingdings" w:hint="default"/>
      </w:rPr>
    </w:lvl>
    <w:lvl w:ilvl="6" w:tplc="9ADA46F6" w:tentative="1">
      <w:start w:val="1"/>
      <w:numFmt w:val="bullet"/>
      <w:lvlText w:val=""/>
      <w:lvlJc w:val="left"/>
      <w:pPr>
        <w:tabs>
          <w:tab w:val="num" w:pos="5040"/>
        </w:tabs>
        <w:ind w:left="5040" w:hanging="360"/>
      </w:pPr>
      <w:rPr>
        <w:rFonts w:ascii="Symbol" w:hAnsi="Symbol" w:hint="default"/>
      </w:rPr>
    </w:lvl>
    <w:lvl w:ilvl="7" w:tplc="CA582706" w:tentative="1">
      <w:start w:val="1"/>
      <w:numFmt w:val="bullet"/>
      <w:lvlText w:val="o"/>
      <w:lvlJc w:val="left"/>
      <w:pPr>
        <w:tabs>
          <w:tab w:val="num" w:pos="5760"/>
        </w:tabs>
        <w:ind w:left="5760" w:hanging="360"/>
      </w:pPr>
      <w:rPr>
        <w:rFonts w:ascii="Courier New" w:hAnsi="Courier New" w:hint="default"/>
      </w:rPr>
    </w:lvl>
    <w:lvl w:ilvl="8" w:tplc="9EEC5B34" w:tentative="1">
      <w:start w:val="1"/>
      <w:numFmt w:val="bullet"/>
      <w:lvlText w:val=""/>
      <w:lvlJc w:val="left"/>
      <w:pPr>
        <w:tabs>
          <w:tab w:val="num" w:pos="6480"/>
        </w:tabs>
        <w:ind w:left="6480" w:hanging="360"/>
      </w:pPr>
      <w:rPr>
        <w:rFonts w:ascii="Wingdings" w:hAnsi="Wingdings" w:hint="default"/>
      </w:rPr>
    </w:lvl>
  </w:abstractNum>
  <w:abstractNum w:abstractNumId="26">
    <w:nsid w:val="6CC80E61"/>
    <w:multiLevelType w:val="hybridMultilevel"/>
    <w:tmpl w:val="95F45A50"/>
    <w:lvl w:ilvl="0" w:tplc="4C944E32">
      <w:start w:val="1"/>
      <w:numFmt w:val="bullet"/>
      <w:lvlText w:val=""/>
      <w:lvlJc w:val="left"/>
      <w:pPr>
        <w:tabs>
          <w:tab w:val="num" w:pos="720"/>
        </w:tabs>
        <w:ind w:left="720" w:hanging="360"/>
      </w:pPr>
      <w:rPr>
        <w:rFonts w:ascii="Symbol" w:hAnsi="Symbol" w:hint="default"/>
      </w:rPr>
    </w:lvl>
    <w:lvl w:ilvl="1" w:tplc="5B5E7E7C">
      <w:start w:val="1"/>
      <w:numFmt w:val="bullet"/>
      <w:lvlText w:val=""/>
      <w:lvlJc w:val="left"/>
      <w:pPr>
        <w:tabs>
          <w:tab w:val="num" w:pos="1440"/>
        </w:tabs>
        <w:ind w:left="1440" w:hanging="360"/>
      </w:pPr>
      <w:rPr>
        <w:rFonts w:ascii="Symbol" w:hAnsi="Symbol" w:hint="default"/>
        <w:color w:val="auto"/>
        <w:sz w:val="18"/>
      </w:rPr>
    </w:lvl>
    <w:lvl w:ilvl="2" w:tplc="FB9C2410" w:tentative="1">
      <w:start w:val="1"/>
      <w:numFmt w:val="bullet"/>
      <w:lvlText w:val=""/>
      <w:lvlJc w:val="left"/>
      <w:pPr>
        <w:tabs>
          <w:tab w:val="num" w:pos="2160"/>
        </w:tabs>
        <w:ind w:left="2160" w:hanging="360"/>
      </w:pPr>
      <w:rPr>
        <w:rFonts w:ascii="Wingdings" w:hAnsi="Wingdings" w:hint="default"/>
      </w:rPr>
    </w:lvl>
    <w:lvl w:ilvl="3" w:tplc="C172C322" w:tentative="1">
      <w:start w:val="1"/>
      <w:numFmt w:val="bullet"/>
      <w:lvlText w:val=""/>
      <w:lvlJc w:val="left"/>
      <w:pPr>
        <w:tabs>
          <w:tab w:val="num" w:pos="2880"/>
        </w:tabs>
        <w:ind w:left="2880" w:hanging="360"/>
      </w:pPr>
      <w:rPr>
        <w:rFonts w:ascii="Symbol" w:hAnsi="Symbol" w:hint="default"/>
      </w:rPr>
    </w:lvl>
    <w:lvl w:ilvl="4" w:tplc="6DA02C8A" w:tentative="1">
      <w:start w:val="1"/>
      <w:numFmt w:val="bullet"/>
      <w:lvlText w:val="o"/>
      <w:lvlJc w:val="left"/>
      <w:pPr>
        <w:tabs>
          <w:tab w:val="num" w:pos="3600"/>
        </w:tabs>
        <w:ind w:left="3600" w:hanging="360"/>
      </w:pPr>
      <w:rPr>
        <w:rFonts w:ascii="Courier New" w:hAnsi="Courier New" w:hint="default"/>
      </w:rPr>
    </w:lvl>
    <w:lvl w:ilvl="5" w:tplc="240C6B9A" w:tentative="1">
      <w:start w:val="1"/>
      <w:numFmt w:val="bullet"/>
      <w:lvlText w:val=""/>
      <w:lvlJc w:val="left"/>
      <w:pPr>
        <w:tabs>
          <w:tab w:val="num" w:pos="4320"/>
        </w:tabs>
        <w:ind w:left="4320" w:hanging="360"/>
      </w:pPr>
      <w:rPr>
        <w:rFonts w:ascii="Wingdings" w:hAnsi="Wingdings" w:hint="default"/>
      </w:rPr>
    </w:lvl>
    <w:lvl w:ilvl="6" w:tplc="7A3A60A8" w:tentative="1">
      <w:start w:val="1"/>
      <w:numFmt w:val="bullet"/>
      <w:lvlText w:val=""/>
      <w:lvlJc w:val="left"/>
      <w:pPr>
        <w:tabs>
          <w:tab w:val="num" w:pos="5040"/>
        </w:tabs>
        <w:ind w:left="5040" w:hanging="360"/>
      </w:pPr>
      <w:rPr>
        <w:rFonts w:ascii="Symbol" w:hAnsi="Symbol" w:hint="default"/>
      </w:rPr>
    </w:lvl>
    <w:lvl w:ilvl="7" w:tplc="758E3256" w:tentative="1">
      <w:start w:val="1"/>
      <w:numFmt w:val="bullet"/>
      <w:lvlText w:val="o"/>
      <w:lvlJc w:val="left"/>
      <w:pPr>
        <w:tabs>
          <w:tab w:val="num" w:pos="5760"/>
        </w:tabs>
        <w:ind w:left="5760" w:hanging="360"/>
      </w:pPr>
      <w:rPr>
        <w:rFonts w:ascii="Courier New" w:hAnsi="Courier New" w:hint="default"/>
      </w:rPr>
    </w:lvl>
    <w:lvl w:ilvl="8" w:tplc="6048090E" w:tentative="1">
      <w:start w:val="1"/>
      <w:numFmt w:val="bullet"/>
      <w:lvlText w:val=""/>
      <w:lvlJc w:val="left"/>
      <w:pPr>
        <w:tabs>
          <w:tab w:val="num" w:pos="6480"/>
        </w:tabs>
        <w:ind w:left="6480" w:hanging="360"/>
      </w:pPr>
      <w:rPr>
        <w:rFonts w:ascii="Wingdings" w:hAnsi="Wingdings" w:hint="default"/>
      </w:rPr>
    </w:lvl>
  </w:abstractNum>
  <w:abstractNum w:abstractNumId="27">
    <w:nsid w:val="74ED7441"/>
    <w:multiLevelType w:val="hybridMultilevel"/>
    <w:tmpl w:val="748A726E"/>
    <w:lvl w:ilvl="0" w:tplc="76923EDE">
      <w:start w:val="1"/>
      <w:numFmt w:val="bullet"/>
      <w:lvlText w:val=""/>
      <w:lvlJc w:val="left"/>
      <w:pPr>
        <w:tabs>
          <w:tab w:val="num" w:pos="360"/>
        </w:tabs>
        <w:ind w:left="360" w:hanging="360"/>
      </w:pPr>
      <w:rPr>
        <w:rFonts w:ascii="Symbol" w:hAnsi="Symbol" w:hint="default"/>
        <w:b w:val="0"/>
        <w:i w:val="0"/>
        <w:sz w:val="23"/>
      </w:rPr>
    </w:lvl>
    <w:lvl w:ilvl="1" w:tplc="8912D934" w:tentative="1">
      <w:start w:val="1"/>
      <w:numFmt w:val="bullet"/>
      <w:lvlText w:val="o"/>
      <w:lvlJc w:val="left"/>
      <w:pPr>
        <w:tabs>
          <w:tab w:val="num" w:pos="1080"/>
        </w:tabs>
        <w:ind w:left="1080" w:hanging="360"/>
      </w:pPr>
      <w:rPr>
        <w:rFonts w:ascii="Courier New" w:hAnsi="Courier New" w:hint="default"/>
      </w:rPr>
    </w:lvl>
    <w:lvl w:ilvl="2" w:tplc="214A71CE" w:tentative="1">
      <w:start w:val="1"/>
      <w:numFmt w:val="bullet"/>
      <w:lvlText w:val=""/>
      <w:lvlJc w:val="left"/>
      <w:pPr>
        <w:tabs>
          <w:tab w:val="num" w:pos="1800"/>
        </w:tabs>
        <w:ind w:left="1800" w:hanging="360"/>
      </w:pPr>
      <w:rPr>
        <w:rFonts w:ascii="Wingdings" w:hAnsi="Wingdings" w:hint="default"/>
      </w:rPr>
    </w:lvl>
    <w:lvl w:ilvl="3" w:tplc="6AC0D072" w:tentative="1">
      <w:start w:val="1"/>
      <w:numFmt w:val="bullet"/>
      <w:lvlText w:val=""/>
      <w:lvlJc w:val="left"/>
      <w:pPr>
        <w:tabs>
          <w:tab w:val="num" w:pos="2520"/>
        </w:tabs>
        <w:ind w:left="2520" w:hanging="360"/>
      </w:pPr>
      <w:rPr>
        <w:rFonts w:ascii="Symbol" w:hAnsi="Symbol" w:hint="default"/>
      </w:rPr>
    </w:lvl>
    <w:lvl w:ilvl="4" w:tplc="5686CBC4" w:tentative="1">
      <w:start w:val="1"/>
      <w:numFmt w:val="bullet"/>
      <w:lvlText w:val="o"/>
      <w:lvlJc w:val="left"/>
      <w:pPr>
        <w:tabs>
          <w:tab w:val="num" w:pos="3240"/>
        </w:tabs>
        <w:ind w:left="3240" w:hanging="360"/>
      </w:pPr>
      <w:rPr>
        <w:rFonts w:ascii="Courier New" w:hAnsi="Courier New" w:hint="default"/>
      </w:rPr>
    </w:lvl>
    <w:lvl w:ilvl="5" w:tplc="AF303E64" w:tentative="1">
      <w:start w:val="1"/>
      <w:numFmt w:val="bullet"/>
      <w:lvlText w:val=""/>
      <w:lvlJc w:val="left"/>
      <w:pPr>
        <w:tabs>
          <w:tab w:val="num" w:pos="3960"/>
        </w:tabs>
        <w:ind w:left="3960" w:hanging="360"/>
      </w:pPr>
      <w:rPr>
        <w:rFonts w:ascii="Wingdings" w:hAnsi="Wingdings" w:hint="default"/>
      </w:rPr>
    </w:lvl>
    <w:lvl w:ilvl="6" w:tplc="1518BD38" w:tentative="1">
      <w:start w:val="1"/>
      <w:numFmt w:val="bullet"/>
      <w:lvlText w:val=""/>
      <w:lvlJc w:val="left"/>
      <w:pPr>
        <w:tabs>
          <w:tab w:val="num" w:pos="4680"/>
        </w:tabs>
        <w:ind w:left="4680" w:hanging="360"/>
      </w:pPr>
      <w:rPr>
        <w:rFonts w:ascii="Symbol" w:hAnsi="Symbol" w:hint="default"/>
      </w:rPr>
    </w:lvl>
    <w:lvl w:ilvl="7" w:tplc="A0BE4836" w:tentative="1">
      <w:start w:val="1"/>
      <w:numFmt w:val="bullet"/>
      <w:lvlText w:val="o"/>
      <w:lvlJc w:val="left"/>
      <w:pPr>
        <w:tabs>
          <w:tab w:val="num" w:pos="5400"/>
        </w:tabs>
        <w:ind w:left="5400" w:hanging="360"/>
      </w:pPr>
      <w:rPr>
        <w:rFonts w:ascii="Courier New" w:hAnsi="Courier New" w:hint="default"/>
      </w:rPr>
    </w:lvl>
    <w:lvl w:ilvl="8" w:tplc="D012F598" w:tentative="1">
      <w:start w:val="1"/>
      <w:numFmt w:val="bullet"/>
      <w:lvlText w:val=""/>
      <w:lvlJc w:val="left"/>
      <w:pPr>
        <w:tabs>
          <w:tab w:val="num" w:pos="6120"/>
        </w:tabs>
        <w:ind w:left="6120" w:hanging="360"/>
      </w:pPr>
      <w:rPr>
        <w:rFonts w:ascii="Wingdings" w:hAnsi="Wingdings" w:hint="default"/>
      </w:rPr>
    </w:lvl>
  </w:abstractNum>
  <w:abstractNum w:abstractNumId="28">
    <w:nsid w:val="7E6A004F"/>
    <w:multiLevelType w:val="hybridMultilevel"/>
    <w:tmpl w:val="40A2F82C"/>
    <w:lvl w:ilvl="0" w:tplc="76923EDE">
      <w:start w:val="1"/>
      <w:numFmt w:val="bullet"/>
      <w:lvlText w:val=""/>
      <w:lvlJc w:val="left"/>
      <w:pPr>
        <w:tabs>
          <w:tab w:val="num" w:pos="360"/>
        </w:tabs>
        <w:ind w:left="360" w:hanging="360"/>
      </w:pPr>
      <w:rPr>
        <w:rFonts w:ascii="Symbol" w:hAnsi="Symbol" w:hint="default"/>
        <w:b w:val="0"/>
        <w:i w:val="0"/>
        <w:sz w:val="23"/>
      </w:rPr>
    </w:lvl>
    <w:lvl w:ilvl="1" w:tplc="84924946" w:tentative="1">
      <w:start w:val="1"/>
      <w:numFmt w:val="bullet"/>
      <w:lvlText w:val="o"/>
      <w:lvlJc w:val="left"/>
      <w:pPr>
        <w:tabs>
          <w:tab w:val="num" w:pos="1440"/>
        </w:tabs>
        <w:ind w:left="1440" w:hanging="360"/>
      </w:pPr>
      <w:rPr>
        <w:rFonts w:ascii="Courier New" w:hAnsi="Courier New" w:hint="default"/>
      </w:rPr>
    </w:lvl>
    <w:lvl w:ilvl="2" w:tplc="79264474" w:tentative="1">
      <w:start w:val="1"/>
      <w:numFmt w:val="bullet"/>
      <w:lvlText w:val=""/>
      <w:lvlJc w:val="left"/>
      <w:pPr>
        <w:tabs>
          <w:tab w:val="num" w:pos="2160"/>
        </w:tabs>
        <w:ind w:left="2160" w:hanging="360"/>
      </w:pPr>
      <w:rPr>
        <w:rFonts w:ascii="Wingdings" w:hAnsi="Wingdings" w:hint="default"/>
      </w:rPr>
    </w:lvl>
    <w:lvl w:ilvl="3" w:tplc="8BA0E676" w:tentative="1">
      <w:start w:val="1"/>
      <w:numFmt w:val="bullet"/>
      <w:lvlText w:val=""/>
      <w:lvlJc w:val="left"/>
      <w:pPr>
        <w:tabs>
          <w:tab w:val="num" w:pos="2880"/>
        </w:tabs>
        <w:ind w:left="2880" w:hanging="360"/>
      </w:pPr>
      <w:rPr>
        <w:rFonts w:ascii="Symbol" w:hAnsi="Symbol" w:hint="default"/>
      </w:rPr>
    </w:lvl>
    <w:lvl w:ilvl="4" w:tplc="DC16C16C" w:tentative="1">
      <w:start w:val="1"/>
      <w:numFmt w:val="bullet"/>
      <w:lvlText w:val="o"/>
      <w:lvlJc w:val="left"/>
      <w:pPr>
        <w:tabs>
          <w:tab w:val="num" w:pos="3600"/>
        </w:tabs>
        <w:ind w:left="3600" w:hanging="360"/>
      </w:pPr>
      <w:rPr>
        <w:rFonts w:ascii="Courier New" w:hAnsi="Courier New" w:hint="default"/>
      </w:rPr>
    </w:lvl>
    <w:lvl w:ilvl="5" w:tplc="E00CC558" w:tentative="1">
      <w:start w:val="1"/>
      <w:numFmt w:val="bullet"/>
      <w:lvlText w:val=""/>
      <w:lvlJc w:val="left"/>
      <w:pPr>
        <w:tabs>
          <w:tab w:val="num" w:pos="4320"/>
        </w:tabs>
        <w:ind w:left="4320" w:hanging="360"/>
      </w:pPr>
      <w:rPr>
        <w:rFonts w:ascii="Wingdings" w:hAnsi="Wingdings" w:hint="default"/>
      </w:rPr>
    </w:lvl>
    <w:lvl w:ilvl="6" w:tplc="36549BE0" w:tentative="1">
      <w:start w:val="1"/>
      <w:numFmt w:val="bullet"/>
      <w:lvlText w:val=""/>
      <w:lvlJc w:val="left"/>
      <w:pPr>
        <w:tabs>
          <w:tab w:val="num" w:pos="5040"/>
        </w:tabs>
        <w:ind w:left="5040" w:hanging="360"/>
      </w:pPr>
      <w:rPr>
        <w:rFonts w:ascii="Symbol" w:hAnsi="Symbol" w:hint="default"/>
      </w:rPr>
    </w:lvl>
    <w:lvl w:ilvl="7" w:tplc="4616513E" w:tentative="1">
      <w:start w:val="1"/>
      <w:numFmt w:val="bullet"/>
      <w:lvlText w:val="o"/>
      <w:lvlJc w:val="left"/>
      <w:pPr>
        <w:tabs>
          <w:tab w:val="num" w:pos="5760"/>
        </w:tabs>
        <w:ind w:left="5760" w:hanging="360"/>
      </w:pPr>
      <w:rPr>
        <w:rFonts w:ascii="Courier New" w:hAnsi="Courier New" w:hint="default"/>
      </w:rPr>
    </w:lvl>
    <w:lvl w:ilvl="8" w:tplc="111010F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24"/>
  </w:num>
  <w:num w:numId="5">
    <w:abstractNumId w:val="16"/>
  </w:num>
  <w:num w:numId="6">
    <w:abstractNumId w:val="17"/>
  </w:num>
  <w:num w:numId="7">
    <w:abstractNumId w:val="0"/>
    <w:lvlOverride w:ilvl="0">
      <w:lvl w:ilvl="0">
        <w:start w:val="1"/>
        <w:numFmt w:val="bullet"/>
        <w:lvlText w:val=""/>
        <w:legacy w:legacy="1" w:legacySpace="0" w:legacyIndent="360"/>
        <w:lvlJc w:val="left"/>
        <w:pPr>
          <w:ind w:left="360" w:hanging="360"/>
        </w:pPr>
        <w:rPr>
          <w:rFonts w:ascii="Symbol" w:hAnsi="Symbol" w:hint="default"/>
          <w:b w:val="0"/>
          <w:i w:val="0"/>
          <w:sz w:val="18"/>
          <w:u w:val="none"/>
        </w:rPr>
      </w:lvl>
    </w:lvlOverride>
  </w:num>
  <w:num w:numId="8">
    <w:abstractNumId w:val="1"/>
  </w:num>
  <w:num w:numId="9">
    <w:abstractNumId w:val="7"/>
  </w:num>
  <w:num w:numId="10">
    <w:abstractNumId w:val="23"/>
  </w:num>
  <w:num w:numId="11">
    <w:abstractNumId w:val="5"/>
  </w:num>
  <w:num w:numId="12">
    <w:abstractNumId w:val="26"/>
  </w:num>
  <w:num w:numId="13">
    <w:abstractNumId w:val="4"/>
  </w:num>
  <w:num w:numId="14">
    <w:abstractNumId w:val="8"/>
  </w:num>
  <w:num w:numId="15">
    <w:abstractNumId w:val="14"/>
  </w:num>
  <w:num w:numId="16">
    <w:abstractNumId w:val="2"/>
  </w:num>
  <w:num w:numId="17">
    <w:abstractNumId w:val="12"/>
  </w:num>
  <w:num w:numId="18">
    <w:abstractNumId w:val="9"/>
  </w:num>
  <w:num w:numId="19">
    <w:abstractNumId w:val="27"/>
  </w:num>
  <w:num w:numId="20">
    <w:abstractNumId w:val="20"/>
  </w:num>
  <w:num w:numId="21">
    <w:abstractNumId w:val="11"/>
  </w:num>
  <w:num w:numId="22">
    <w:abstractNumId w:val="21"/>
  </w:num>
  <w:num w:numId="23">
    <w:abstractNumId w:val="28"/>
  </w:num>
  <w:num w:numId="24">
    <w:abstractNumId w:val="25"/>
  </w:num>
  <w:num w:numId="25">
    <w:abstractNumId w:val="10"/>
  </w:num>
  <w:num w:numId="26">
    <w:abstractNumId w:val="3"/>
  </w:num>
  <w:num w:numId="27">
    <w:abstractNumId w:val="6"/>
  </w:num>
  <w:num w:numId="28">
    <w:abstractNumId w:val="15"/>
  </w:num>
  <w:num w:numId="29">
    <w:abstractNumId w:val="22"/>
  </w:num>
  <w:num w:numId="3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A0"/>
    <w:rsid w:val="00000DAE"/>
    <w:rsid w:val="000025A2"/>
    <w:rsid w:val="00002EFD"/>
    <w:rsid w:val="00004905"/>
    <w:rsid w:val="000067B2"/>
    <w:rsid w:val="0001059E"/>
    <w:rsid w:val="00013837"/>
    <w:rsid w:val="00020BC5"/>
    <w:rsid w:val="00023D6E"/>
    <w:rsid w:val="000249FE"/>
    <w:rsid w:val="00027A10"/>
    <w:rsid w:val="00030B1D"/>
    <w:rsid w:val="000404C0"/>
    <w:rsid w:val="0004430A"/>
    <w:rsid w:val="00045092"/>
    <w:rsid w:val="00052B5B"/>
    <w:rsid w:val="00055503"/>
    <w:rsid w:val="00057225"/>
    <w:rsid w:val="00057AAE"/>
    <w:rsid w:val="0006079A"/>
    <w:rsid w:val="00060A89"/>
    <w:rsid w:val="000622F1"/>
    <w:rsid w:val="00062A48"/>
    <w:rsid w:val="00063C35"/>
    <w:rsid w:val="00063CA5"/>
    <w:rsid w:val="0006423C"/>
    <w:rsid w:val="000654E1"/>
    <w:rsid w:val="0006572A"/>
    <w:rsid w:val="00072409"/>
    <w:rsid w:val="000728F8"/>
    <w:rsid w:val="00075811"/>
    <w:rsid w:val="000760FB"/>
    <w:rsid w:val="00076400"/>
    <w:rsid w:val="00080786"/>
    <w:rsid w:val="00083820"/>
    <w:rsid w:val="00090DDC"/>
    <w:rsid w:val="00092D13"/>
    <w:rsid w:val="00092FBC"/>
    <w:rsid w:val="0009358F"/>
    <w:rsid w:val="00093F3D"/>
    <w:rsid w:val="00096BE2"/>
    <w:rsid w:val="000A11B4"/>
    <w:rsid w:val="000A1A63"/>
    <w:rsid w:val="000A5DDB"/>
    <w:rsid w:val="000B18B9"/>
    <w:rsid w:val="000B1DC0"/>
    <w:rsid w:val="000B237D"/>
    <w:rsid w:val="000B3B64"/>
    <w:rsid w:val="000B4300"/>
    <w:rsid w:val="000B7BE8"/>
    <w:rsid w:val="000C075E"/>
    <w:rsid w:val="000C1F5D"/>
    <w:rsid w:val="000C30E5"/>
    <w:rsid w:val="000C4740"/>
    <w:rsid w:val="000C6A15"/>
    <w:rsid w:val="000D15E8"/>
    <w:rsid w:val="000D324A"/>
    <w:rsid w:val="000D4815"/>
    <w:rsid w:val="000D4F00"/>
    <w:rsid w:val="000E0715"/>
    <w:rsid w:val="000E3CC2"/>
    <w:rsid w:val="000E618E"/>
    <w:rsid w:val="000F6A7A"/>
    <w:rsid w:val="000F6E42"/>
    <w:rsid w:val="001006E4"/>
    <w:rsid w:val="00101B22"/>
    <w:rsid w:val="001038F9"/>
    <w:rsid w:val="00105408"/>
    <w:rsid w:val="0010789A"/>
    <w:rsid w:val="00111493"/>
    <w:rsid w:val="00114790"/>
    <w:rsid w:val="00116344"/>
    <w:rsid w:val="00116CF0"/>
    <w:rsid w:val="00117AAA"/>
    <w:rsid w:val="001213CF"/>
    <w:rsid w:val="00125650"/>
    <w:rsid w:val="001258C9"/>
    <w:rsid w:val="00125C6B"/>
    <w:rsid w:val="00127E09"/>
    <w:rsid w:val="001321C6"/>
    <w:rsid w:val="00144949"/>
    <w:rsid w:val="00145687"/>
    <w:rsid w:val="0014607E"/>
    <w:rsid w:val="00146741"/>
    <w:rsid w:val="0014714F"/>
    <w:rsid w:val="00147DD9"/>
    <w:rsid w:val="00152396"/>
    <w:rsid w:val="00152531"/>
    <w:rsid w:val="001545ED"/>
    <w:rsid w:val="00154D1C"/>
    <w:rsid w:val="00154E58"/>
    <w:rsid w:val="00156A6F"/>
    <w:rsid w:val="00157F91"/>
    <w:rsid w:val="001601AA"/>
    <w:rsid w:val="00160D50"/>
    <w:rsid w:val="00166624"/>
    <w:rsid w:val="00171404"/>
    <w:rsid w:val="00172508"/>
    <w:rsid w:val="00173AAA"/>
    <w:rsid w:val="00176DAE"/>
    <w:rsid w:val="00176DB6"/>
    <w:rsid w:val="00180330"/>
    <w:rsid w:val="00181B9A"/>
    <w:rsid w:val="00183EFB"/>
    <w:rsid w:val="00190D5A"/>
    <w:rsid w:val="00192A1F"/>
    <w:rsid w:val="00196F66"/>
    <w:rsid w:val="001A25B5"/>
    <w:rsid w:val="001A3456"/>
    <w:rsid w:val="001A6F46"/>
    <w:rsid w:val="001B1B44"/>
    <w:rsid w:val="001C3587"/>
    <w:rsid w:val="001C4FEF"/>
    <w:rsid w:val="001C7365"/>
    <w:rsid w:val="001C7D9A"/>
    <w:rsid w:val="001D2114"/>
    <w:rsid w:val="001D5328"/>
    <w:rsid w:val="001D540F"/>
    <w:rsid w:val="001E0A4A"/>
    <w:rsid w:val="001E147F"/>
    <w:rsid w:val="001E39FC"/>
    <w:rsid w:val="001E5DCB"/>
    <w:rsid w:val="001F12F1"/>
    <w:rsid w:val="001F1EF4"/>
    <w:rsid w:val="0020109F"/>
    <w:rsid w:val="00201A62"/>
    <w:rsid w:val="002023BE"/>
    <w:rsid w:val="00204F27"/>
    <w:rsid w:val="00211782"/>
    <w:rsid w:val="00212B7A"/>
    <w:rsid w:val="00214455"/>
    <w:rsid w:val="0021510F"/>
    <w:rsid w:val="002165F1"/>
    <w:rsid w:val="002213DC"/>
    <w:rsid w:val="0022318E"/>
    <w:rsid w:val="00227178"/>
    <w:rsid w:val="00234629"/>
    <w:rsid w:val="00237A71"/>
    <w:rsid w:val="002478C8"/>
    <w:rsid w:val="0025214D"/>
    <w:rsid w:val="00253C49"/>
    <w:rsid w:val="00254138"/>
    <w:rsid w:val="00262ADB"/>
    <w:rsid w:val="00263D76"/>
    <w:rsid w:val="00272A18"/>
    <w:rsid w:val="002733CA"/>
    <w:rsid w:val="002735E2"/>
    <w:rsid w:val="00273F63"/>
    <w:rsid w:val="002748F8"/>
    <w:rsid w:val="00276522"/>
    <w:rsid w:val="002775E3"/>
    <w:rsid w:val="00277E72"/>
    <w:rsid w:val="00281E6F"/>
    <w:rsid w:val="0029179B"/>
    <w:rsid w:val="0029645D"/>
    <w:rsid w:val="0029684E"/>
    <w:rsid w:val="00297A1F"/>
    <w:rsid w:val="002A04CA"/>
    <w:rsid w:val="002A2EA6"/>
    <w:rsid w:val="002A5FD3"/>
    <w:rsid w:val="002A60C2"/>
    <w:rsid w:val="002B019F"/>
    <w:rsid w:val="002B06D6"/>
    <w:rsid w:val="002B37C4"/>
    <w:rsid w:val="002B3EC0"/>
    <w:rsid w:val="002B54B7"/>
    <w:rsid w:val="002B6AD8"/>
    <w:rsid w:val="002B6B30"/>
    <w:rsid w:val="002C005B"/>
    <w:rsid w:val="002C2270"/>
    <w:rsid w:val="002C27DA"/>
    <w:rsid w:val="002D14CF"/>
    <w:rsid w:val="002D1F66"/>
    <w:rsid w:val="002D5353"/>
    <w:rsid w:val="002E05FB"/>
    <w:rsid w:val="002E08E5"/>
    <w:rsid w:val="002E16B7"/>
    <w:rsid w:val="002E3B95"/>
    <w:rsid w:val="002E7834"/>
    <w:rsid w:val="002F3550"/>
    <w:rsid w:val="002F70A0"/>
    <w:rsid w:val="003025B5"/>
    <w:rsid w:val="00303083"/>
    <w:rsid w:val="003063BF"/>
    <w:rsid w:val="00315010"/>
    <w:rsid w:val="0031732F"/>
    <w:rsid w:val="0031790E"/>
    <w:rsid w:val="00320860"/>
    <w:rsid w:val="0032087D"/>
    <w:rsid w:val="00322AE9"/>
    <w:rsid w:val="003257AE"/>
    <w:rsid w:val="003260B6"/>
    <w:rsid w:val="00330409"/>
    <w:rsid w:val="003309EB"/>
    <w:rsid w:val="00333247"/>
    <w:rsid w:val="003372AD"/>
    <w:rsid w:val="00337AE8"/>
    <w:rsid w:val="00340B73"/>
    <w:rsid w:val="0034369E"/>
    <w:rsid w:val="00347659"/>
    <w:rsid w:val="00351FC5"/>
    <w:rsid w:val="003601A9"/>
    <w:rsid w:val="00360873"/>
    <w:rsid w:val="0036387B"/>
    <w:rsid w:val="00366BC1"/>
    <w:rsid w:val="00367338"/>
    <w:rsid w:val="0037080A"/>
    <w:rsid w:val="00372E86"/>
    <w:rsid w:val="00373448"/>
    <w:rsid w:val="00375874"/>
    <w:rsid w:val="00376074"/>
    <w:rsid w:val="00377419"/>
    <w:rsid w:val="00377A0F"/>
    <w:rsid w:val="00383FF0"/>
    <w:rsid w:val="00385FE7"/>
    <w:rsid w:val="003928A2"/>
    <w:rsid w:val="003936DA"/>
    <w:rsid w:val="00394A24"/>
    <w:rsid w:val="00395214"/>
    <w:rsid w:val="00395EB6"/>
    <w:rsid w:val="003A3068"/>
    <w:rsid w:val="003A3A03"/>
    <w:rsid w:val="003A4053"/>
    <w:rsid w:val="003A4B1E"/>
    <w:rsid w:val="003A661E"/>
    <w:rsid w:val="003A7421"/>
    <w:rsid w:val="003B3513"/>
    <w:rsid w:val="003B40D8"/>
    <w:rsid w:val="003B48CB"/>
    <w:rsid w:val="003B4944"/>
    <w:rsid w:val="003C1672"/>
    <w:rsid w:val="003C5F18"/>
    <w:rsid w:val="003C7851"/>
    <w:rsid w:val="003D036D"/>
    <w:rsid w:val="003E0815"/>
    <w:rsid w:val="003E0CF7"/>
    <w:rsid w:val="003E2E36"/>
    <w:rsid w:val="003E33A1"/>
    <w:rsid w:val="003E4EE1"/>
    <w:rsid w:val="003E4F37"/>
    <w:rsid w:val="003E76B6"/>
    <w:rsid w:val="003F0599"/>
    <w:rsid w:val="003F0D47"/>
    <w:rsid w:val="003F213D"/>
    <w:rsid w:val="003F3406"/>
    <w:rsid w:val="003F3D7F"/>
    <w:rsid w:val="003F53FC"/>
    <w:rsid w:val="003F7CB2"/>
    <w:rsid w:val="00400D87"/>
    <w:rsid w:val="0040397F"/>
    <w:rsid w:val="00407AEA"/>
    <w:rsid w:val="004122E9"/>
    <w:rsid w:val="00417A01"/>
    <w:rsid w:val="0042093A"/>
    <w:rsid w:val="004251D5"/>
    <w:rsid w:val="00427D30"/>
    <w:rsid w:val="004316D8"/>
    <w:rsid w:val="004333B3"/>
    <w:rsid w:val="00436E06"/>
    <w:rsid w:val="0043758D"/>
    <w:rsid w:val="00441510"/>
    <w:rsid w:val="0044162A"/>
    <w:rsid w:val="00442D1C"/>
    <w:rsid w:val="00442EA0"/>
    <w:rsid w:val="0044422C"/>
    <w:rsid w:val="004458C1"/>
    <w:rsid w:val="00445BAA"/>
    <w:rsid w:val="00447BDA"/>
    <w:rsid w:val="00451045"/>
    <w:rsid w:val="00453281"/>
    <w:rsid w:val="00453543"/>
    <w:rsid w:val="00461B8D"/>
    <w:rsid w:val="004659D8"/>
    <w:rsid w:val="004714AD"/>
    <w:rsid w:val="00472FA7"/>
    <w:rsid w:val="00474BA6"/>
    <w:rsid w:val="00481304"/>
    <w:rsid w:val="00482283"/>
    <w:rsid w:val="004846E6"/>
    <w:rsid w:val="0048661D"/>
    <w:rsid w:val="004867FC"/>
    <w:rsid w:val="00487483"/>
    <w:rsid w:val="00487552"/>
    <w:rsid w:val="004925E8"/>
    <w:rsid w:val="00495586"/>
    <w:rsid w:val="004A4359"/>
    <w:rsid w:val="004A4C3A"/>
    <w:rsid w:val="004A6D76"/>
    <w:rsid w:val="004A7B11"/>
    <w:rsid w:val="004A7D07"/>
    <w:rsid w:val="004B2E85"/>
    <w:rsid w:val="004B77BA"/>
    <w:rsid w:val="004C2F3A"/>
    <w:rsid w:val="004C5D94"/>
    <w:rsid w:val="004C6E84"/>
    <w:rsid w:val="004C7A53"/>
    <w:rsid w:val="004D20EA"/>
    <w:rsid w:val="004D29BE"/>
    <w:rsid w:val="004D440B"/>
    <w:rsid w:val="004D692A"/>
    <w:rsid w:val="004E0660"/>
    <w:rsid w:val="004E3EA8"/>
    <w:rsid w:val="004E54F5"/>
    <w:rsid w:val="004F54FE"/>
    <w:rsid w:val="004F775A"/>
    <w:rsid w:val="005014F3"/>
    <w:rsid w:val="005029D7"/>
    <w:rsid w:val="00503914"/>
    <w:rsid w:val="005100A8"/>
    <w:rsid w:val="0051120F"/>
    <w:rsid w:val="00512DDF"/>
    <w:rsid w:val="00513E4C"/>
    <w:rsid w:val="00514902"/>
    <w:rsid w:val="00517B36"/>
    <w:rsid w:val="00517D96"/>
    <w:rsid w:val="005205A2"/>
    <w:rsid w:val="00521803"/>
    <w:rsid w:val="00522812"/>
    <w:rsid w:val="005232C7"/>
    <w:rsid w:val="00525C5B"/>
    <w:rsid w:val="00527273"/>
    <w:rsid w:val="00531866"/>
    <w:rsid w:val="0053476F"/>
    <w:rsid w:val="00534897"/>
    <w:rsid w:val="00536CA7"/>
    <w:rsid w:val="00537914"/>
    <w:rsid w:val="0054311F"/>
    <w:rsid w:val="005459DE"/>
    <w:rsid w:val="00546E6A"/>
    <w:rsid w:val="0054749A"/>
    <w:rsid w:val="005565EF"/>
    <w:rsid w:val="005568D1"/>
    <w:rsid w:val="005600CF"/>
    <w:rsid w:val="00560A9B"/>
    <w:rsid w:val="005628EA"/>
    <w:rsid w:val="005718CB"/>
    <w:rsid w:val="00572415"/>
    <w:rsid w:val="00572D3A"/>
    <w:rsid w:val="00573A3E"/>
    <w:rsid w:val="00575D73"/>
    <w:rsid w:val="00580997"/>
    <w:rsid w:val="00583335"/>
    <w:rsid w:val="005854F9"/>
    <w:rsid w:val="00587D5E"/>
    <w:rsid w:val="00590259"/>
    <w:rsid w:val="00593399"/>
    <w:rsid w:val="005A052A"/>
    <w:rsid w:val="005A3E67"/>
    <w:rsid w:val="005A4B80"/>
    <w:rsid w:val="005A56D8"/>
    <w:rsid w:val="005B4052"/>
    <w:rsid w:val="005C39DF"/>
    <w:rsid w:val="005C4C7F"/>
    <w:rsid w:val="005C6A81"/>
    <w:rsid w:val="005D1CAD"/>
    <w:rsid w:val="005D6BA4"/>
    <w:rsid w:val="005E3345"/>
    <w:rsid w:val="005E3F16"/>
    <w:rsid w:val="005E4528"/>
    <w:rsid w:val="005E7229"/>
    <w:rsid w:val="005F0267"/>
    <w:rsid w:val="005F02B0"/>
    <w:rsid w:val="005F0A91"/>
    <w:rsid w:val="005F1AF3"/>
    <w:rsid w:val="005F458A"/>
    <w:rsid w:val="005F6134"/>
    <w:rsid w:val="005F7FC9"/>
    <w:rsid w:val="006005EE"/>
    <w:rsid w:val="00600FB1"/>
    <w:rsid w:val="00612AD6"/>
    <w:rsid w:val="006239BB"/>
    <w:rsid w:val="00624C3F"/>
    <w:rsid w:val="006259C5"/>
    <w:rsid w:val="0062646B"/>
    <w:rsid w:val="00634814"/>
    <w:rsid w:val="006358E1"/>
    <w:rsid w:val="006413B9"/>
    <w:rsid w:val="00641A02"/>
    <w:rsid w:val="00643558"/>
    <w:rsid w:val="0064541D"/>
    <w:rsid w:val="00651F8C"/>
    <w:rsid w:val="0065272C"/>
    <w:rsid w:val="00653592"/>
    <w:rsid w:val="0066197F"/>
    <w:rsid w:val="006644B1"/>
    <w:rsid w:val="0066712B"/>
    <w:rsid w:val="00667600"/>
    <w:rsid w:val="00670AE0"/>
    <w:rsid w:val="00671D1E"/>
    <w:rsid w:val="0067215E"/>
    <w:rsid w:val="00673D2F"/>
    <w:rsid w:val="00676039"/>
    <w:rsid w:val="00676EAF"/>
    <w:rsid w:val="00680536"/>
    <w:rsid w:val="00683979"/>
    <w:rsid w:val="00683EAA"/>
    <w:rsid w:val="00683F97"/>
    <w:rsid w:val="00684AE5"/>
    <w:rsid w:val="00687777"/>
    <w:rsid w:val="00690986"/>
    <w:rsid w:val="00691C10"/>
    <w:rsid w:val="00694CBD"/>
    <w:rsid w:val="006974FD"/>
    <w:rsid w:val="006A1E6D"/>
    <w:rsid w:val="006A2584"/>
    <w:rsid w:val="006A38CE"/>
    <w:rsid w:val="006A737D"/>
    <w:rsid w:val="006B3342"/>
    <w:rsid w:val="006B4459"/>
    <w:rsid w:val="006B6CC4"/>
    <w:rsid w:val="006B758B"/>
    <w:rsid w:val="006C23B7"/>
    <w:rsid w:val="006C2620"/>
    <w:rsid w:val="006C6530"/>
    <w:rsid w:val="006C74EA"/>
    <w:rsid w:val="006D0E12"/>
    <w:rsid w:val="006D4E8F"/>
    <w:rsid w:val="006D59BF"/>
    <w:rsid w:val="006E09A3"/>
    <w:rsid w:val="006E0FA7"/>
    <w:rsid w:val="006E236B"/>
    <w:rsid w:val="006F1D40"/>
    <w:rsid w:val="006F365D"/>
    <w:rsid w:val="0070290F"/>
    <w:rsid w:val="00703D6D"/>
    <w:rsid w:val="00706E31"/>
    <w:rsid w:val="00707566"/>
    <w:rsid w:val="00707A1A"/>
    <w:rsid w:val="007101B2"/>
    <w:rsid w:val="00715C65"/>
    <w:rsid w:val="00716F83"/>
    <w:rsid w:val="00717766"/>
    <w:rsid w:val="00717DEE"/>
    <w:rsid w:val="00722BC7"/>
    <w:rsid w:val="00722CD4"/>
    <w:rsid w:val="007238F2"/>
    <w:rsid w:val="00727953"/>
    <w:rsid w:val="0073663B"/>
    <w:rsid w:val="00736BD3"/>
    <w:rsid w:val="007375D7"/>
    <w:rsid w:val="00745414"/>
    <w:rsid w:val="00745AB6"/>
    <w:rsid w:val="00747456"/>
    <w:rsid w:val="007478FF"/>
    <w:rsid w:val="00750627"/>
    <w:rsid w:val="0075209C"/>
    <w:rsid w:val="00752261"/>
    <w:rsid w:val="00752C05"/>
    <w:rsid w:val="00752C74"/>
    <w:rsid w:val="00756A64"/>
    <w:rsid w:val="007577D5"/>
    <w:rsid w:val="00761FB4"/>
    <w:rsid w:val="007632A8"/>
    <w:rsid w:val="00766CCE"/>
    <w:rsid w:val="007726E5"/>
    <w:rsid w:val="00772E04"/>
    <w:rsid w:val="00774BA0"/>
    <w:rsid w:val="0077772A"/>
    <w:rsid w:val="00781A46"/>
    <w:rsid w:val="00782563"/>
    <w:rsid w:val="007861F5"/>
    <w:rsid w:val="007928C0"/>
    <w:rsid w:val="00792B01"/>
    <w:rsid w:val="007936B8"/>
    <w:rsid w:val="007A0A85"/>
    <w:rsid w:val="007A1417"/>
    <w:rsid w:val="007A4668"/>
    <w:rsid w:val="007A4F33"/>
    <w:rsid w:val="007A5282"/>
    <w:rsid w:val="007A5537"/>
    <w:rsid w:val="007A5B05"/>
    <w:rsid w:val="007A5EAC"/>
    <w:rsid w:val="007A67F8"/>
    <w:rsid w:val="007A719E"/>
    <w:rsid w:val="007B0E3E"/>
    <w:rsid w:val="007B15A3"/>
    <w:rsid w:val="007B67CE"/>
    <w:rsid w:val="007B6E2B"/>
    <w:rsid w:val="007D0139"/>
    <w:rsid w:val="007D0DCD"/>
    <w:rsid w:val="007D2D45"/>
    <w:rsid w:val="007D700B"/>
    <w:rsid w:val="007E24E6"/>
    <w:rsid w:val="007E4091"/>
    <w:rsid w:val="007E7C83"/>
    <w:rsid w:val="007F19E1"/>
    <w:rsid w:val="007F3BBB"/>
    <w:rsid w:val="007F6E50"/>
    <w:rsid w:val="007F6EEE"/>
    <w:rsid w:val="0080319D"/>
    <w:rsid w:val="00810601"/>
    <w:rsid w:val="0081234B"/>
    <w:rsid w:val="00813B7C"/>
    <w:rsid w:val="00814C4C"/>
    <w:rsid w:val="00820424"/>
    <w:rsid w:val="008347B6"/>
    <w:rsid w:val="00840358"/>
    <w:rsid w:val="0084092E"/>
    <w:rsid w:val="00843929"/>
    <w:rsid w:val="00846AAA"/>
    <w:rsid w:val="00846DE6"/>
    <w:rsid w:val="008516C9"/>
    <w:rsid w:val="00852543"/>
    <w:rsid w:val="00853A28"/>
    <w:rsid w:val="008550D5"/>
    <w:rsid w:val="0085587A"/>
    <w:rsid w:val="00861876"/>
    <w:rsid w:val="00863876"/>
    <w:rsid w:val="00867213"/>
    <w:rsid w:val="0087157C"/>
    <w:rsid w:val="00871A2A"/>
    <w:rsid w:val="00876F91"/>
    <w:rsid w:val="00877032"/>
    <w:rsid w:val="00882B4B"/>
    <w:rsid w:val="0088378A"/>
    <w:rsid w:val="008856A8"/>
    <w:rsid w:val="00890063"/>
    <w:rsid w:val="0089018A"/>
    <w:rsid w:val="0089111B"/>
    <w:rsid w:val="008927A8"/>
    <w:rsid w:val="00892DB6"/>
    <w:rsid w:val="00892F58"/>
    <w:rsid w:val="008940FD"/>
    <w:rsid w:val="00896EE7"/>
    <w:rsid w:val="008971E8"/>
    <w:rsid w:val="008A0386"/>
    <w:rsid w:val="008A13D1"/>
    <w:rsid w:val="008A23F3"/>
    <w:rsid w:val="008A4109"/>
    <w:rsid w:val="008A4451"/>
    <w:rsid w:val="008A56E9"/>
    <w:rsid w:val="008B1B9C"/>
    <w:rsid w:val="008B32E0"/>
    <w:rsid w:val="008B4361"/>
    <w:rsid w:val="008C2111"/>
    <w:rsid w:val="008C790B"/>
    <w:rsid w:val="008C7FAF"/>
    <w:rsid w:val="008D40A0"/>
    <w:rsid w:val="008D54CC"/>
    <w:rsid w:val="008D633C"/>
    <w:rsid w:val="008E08DD"/>
    <w:rsid w:val="008E5114"/>
    <w:rsid w:val="008F0426"/>
    <w:rsid w:val="008F32FE"/>
    <w:rsid w:val="008F5495"/>
    <w:rsid w:val="008F7E4E"/>
    <w:rsid w:val="009006AE"/>
    <w:rsid w:val="00902AF0"/>
    <w:rsid w:val="0091342A"/>
    <w:rsid w:val="00913A11"/>
    <w:rsid w:val="009146F8"/>
    <w:rsid w:val="00916992"/>
    <w:rsid w:val="00916F0B"/>
    <w:rsid w:val="0092079F"/>
    <w:rsid w:val="00920DB8"/>
    <w:rsid w:val="00922009"/>
    <w:rsid w:val="00925EA0"/>
    <w:rsid w:val="009269CB"/>
    <w:rsid w:val="00926B1F"/>
    <w:rsid w:val="00927DE1"/>
    <w:rsid w:val="0093122E"/>
    <w:rsid w:val="009330D7"/>
    <w:rsid w:val="00933167"/>
    <w:rsid w:val="0093342C"/>
    <w:rsid w:val="00942060"/>
    <w:rsid w:val="00947693"/>
    <w:rsid w:val="009527C5"/>
    <w:rsid w:val="009538B3"/>
    <w:rsid w:val="00954726"/>
    <w:rsid w:val="00956F4F"/>
    <w:rsid w:val="00961089"/>
    <w:rsid w:val="0096231D"/>
    <w:rsid w:val="00964CF8"/>
    <w:rsid w:val="009677CF"/>
    <w:rsid w:val="00975B87"/>
    <w:rsid w:val="009762CB"/>
    <w:rsid w:val="00981005"/>
    <w:rsid w:val="0099583F"/>
    <w:rsid w:val="009975D6"/>
    <w:rsid w:val="009A0A17"/>
    <w:rsid w:val="009A13F1"/>
    <w:rsid w:val="009A4B53"/>
    <w:rsid w:val="009A511B"/>
    <w:rsid w:val="009A562C"/>
    <w:rsid w:val="009A57B2"/>
    <w:rsid w:val="009A5DC6"/>
    <w:rsid w:val="009A5F83"/>
    <w:rsid w:val="009B388E"/>
    <w:rsid w:val="009B3C20"/>
    <w:rsid w:val="009B5B65"/>
    <w:rsid w:val="009B6174"/>
    <w:rsid w:val="009B75B3"/>
    <w:rsid w:val="009C0A7C"/>
    <w:rsid w:val="009C22B6"/>
    <w:rsid w:val="009C790E"/>
    <w:rsid w:val="009D0955"/>
    <w:rsid w:val="009D7205"/>
    <w:rsid w:val="009D7392"/>
    <w:rsid w:val="009E0249"/>
    <w:rsid w:val="009E3CF2"/>
    <w:rsid w:val="009E5F6B"/>
    <w:rsid w:val="009E6D87"/>
    <w:rsid w:val="009F065C"/>
    <w:rsid w:val="009F1747"/>
    <w:rsid w:val="009F199F"/>
    <w:rsid w:val="009F65D3"/>
    <w:rsid w:val="009F7045"/>
    <w:rsid w:val="00A0047C"/>
    <w:rsid w:val="00A14C28"/>
    <w:rsid w:val="00A14D1D"/>
    <w:rsid w:val="00A15110"/>
    <w:rsid w:val="00A169DD"/>
    <w:rsid w:val="00A1710C"/>
    <w:rsid w:val="00A17DB5"/>
    <w:rsid w:val="00A20BA1"/>
    <w:rsid w:val="00A21DAA"/>
    <w:rsid w:val="00A2312A"/>
    <w:rsid w:val="00A23497"/>
    <w:rsid w:val="00A23DE8"/>
    <w:rsid w:val="00A26526"/>
    <w:rsid w:val="00A31286"/>
    <w:rsid w:val="00A31594"/>
    <w:rsid w:val="00A31F28"/>
    <w:rsid w:val="00A34074"/>
    <w:rsid w:val="00A345A5"/>
    <w:rsid w:val="00A350AA"/>
    <w:rsid w:val="00A378CE"/>
    <w:rsid w:val="00A40BD7"/>
    <w:rsid w:val="00A42A73"/>
    <w:rsid w:val="00A436C0"/>
    <w:rsid w:val="00A43720"/>
    <w:rsid w:val="00A47EB0"/>
    <w:rsid w:val="00A50DA0"/>
    <w:rsid w:val="00A5131C"/>
    <w:rsid w:val="00A52D7C"/>
    <w:rsid w:val="00A53BF2"/>
    <w:rsid w:val="00A554D8"/>
    <w:rsid w:val="00A71842"/>
    <w:rsid w:val="00A806B0"/>
    <w:rsid w:val="00A80E55"/>
    <w:rsid w:val="00A81D98"/>
    <w:rsid w:val="00A82FB0"/>
    <w:rsid w:val="00A8485F"/>
    <w:rsid w:val="00A9230E"/>
    <w:rsid w:val="00A923C5"/>
    <w:rsid w:val="00A92BEB"/>
    <w:rsid w:val="00A93806"/>
    <w:rsid w:val="00A973A8"/>
    <w:rsid w:val="00AA18AD"/>
    <w:rsid w:val="00AA5374"/>
    <w:rsid w:val="00AA60F4"/>
    <w:rsid w:val="00AB028B"/>
    <w:rsid w:val="00AB08A0"/>
    <w:rsid w:val="00AB4D50"/>
    <w:rsid w:val="00AB51DB"/>
    <w:rsid w:val="00AB5718"/>
    <w:rsid w:val="00AC451A"/>
    <w:rsid w:val="00AD0243"/>
    <w:rsid w:val="00AD0513"/>
    <w:rsid w:val="00AD06B1"/>
    <w:rsid w:val="00AD2661"/>
    <w:rsid w:val="00AD4EC1"/>
    <w:rsid w:val="00AD63FF"/>
    <w:rsid w:val="00AE1C74"/>
    <w:rsid w:val="00AE3EA0"/>
    <w:rsid w:val="00AE4167"/>
    <w:rsid w:val="00AE434C"/>
    <w:rsid w:val="00AF056E"/>
    <w:rsid w:val="00AF10F5"/>
    <w:rsid w:val="00AF2334"/>
    <w:rsid w:val="00AF367E"/>
    <w:rsid w:val="00B00122"/>
    <w:rsid w:val="00B02C77"/>
    <w:rsid w:val="00B15B40"/>
    <w:rsid w:val="00B20BEB"/>
    <w:rsid w:val="00B21267"/>
    <w:rsid w:val="00B22636"/>
    <w:rsid w:val="00B232F8"/>
    <w:rsid w:val="00B3086C"/>
    <w:rsid w:val="00B3689E"/>
    <w:rsid w:val="00B40B2B"/>
    <w:rsid w:val="00B42552"/>
    <w:rsid w:val="00B42DFB"/>
    <w:rsid w:val="00B43B78"/>
    <w:rsid w:val="00B45295"/>
    <w:rsid w:val="00B46800"/>
    <w:rsid w:val="00B470A8"/>
    <w:rsid w:val="00B540B2"/>
    <w:rsid w:val="00B630FF"/>
    <w:rsid w:val="00B63253"/>
    <w:rsid w:val="00B64E1A"/>
    <w:rsid w:val="00B66082"/>
    <w:rsid w:val="00B66F3B"/>
    <w:rsid w:val="00B67658"/>
    <w:rsid w:val="00B75D91"/>
    <w:rsid w:val="00B77793"/>
    <w:rsid w:val="00B83812"/>
    <w:rsid w:val="00B86520"/>
    <w:rsid w:val="00B91516"/>
    <w:rsid w:val="00B92379"/>
    <w:rsid w:val="00B92781"/>
    <w:rsid w:val="00B93E39"/>
    <w:rsid w:val="00B94A2A"/>
    <w:rsid w:val="00B96DF3"/>
    <w:rsid w:val="00BA1C65"/>
    <w:rsid w:val="00BA670C"/>
    <w:rsid w:val="00BB0F3E"/>
    <w:rsid w:val="00BB1662"/>
    <w:rsid w:val="00BC0215"/>
    <w:rsid w:val="00BC0478"/>
    <w:rsid w:val="00BC1E73"/>
    <w:rsid w:val="00BC2075"/>
    <w:rsid w:val="00BC489A"/>
    <w:rsid w:val="00BC75C4"/>
    <w:rsid w:val="00BC7C0A"/>
    <w:rsid w:val="00BD2F54"/>
    <w:rsid w:val="00BD405F"/>
    <w:rsid w:val="00BD43DD"/>
    <w:rsid w:val="00BD6A22"/>
    <w:rsid w:val="00BE3239"/>
    <w:rsid w:val="00BE38D7"/>
    <w:rsid w:val="00BE7760"/>
    <w:rsid w:val="00BF5E40"/>
    <w:rsid w:val="00BF6F86"/>
    <w:rsid w:val="00C01369"/>
    <w:rsid w:val="00C02434"/>
    <w:rsid w:val="00C034CE"/>
    <w:rsid w:val="00C0452D"/>
    <w:rsid w:val="00C05720"/>
    <w:rsid w:val="00C061C6"/>
    <w:rsid w:val="00C0647A"/>
    <w:rsid w:val="00C070E6"/>
    <w:rsid w:val="00C1549F"/>
    <w:rsid w:val="00C16CB7"/>
    <w:rsid w:val="00C17677"/>
    <w:rsid w:val="00C21D45"/>
    <w:rsid w:val="00C234B0"/>
    <w:rsid w:val="00C320D8"/>
    <w:rsid w:val="00C44AF9"/>
    <w:rsid w:val="00C635A8"/>
    <w:rsid w:val="00C63B11"/>
    <w:rsid w:val="00C66CB9"/>
    <w:rsid w:val="00C670BA"/>
    <w:rsid w:val="00C67ACA"/>
    <w:rsid w:val="00C7430A"/>
    <w:rsid w:val="00C7750B"/>
    <w:rsid w:val="00C77630"/>
    <w:rsid w:val="00C80DDB"/>
    <w:rsid w:val="00C83A84"/>
    <w:rsid w:val="00C8450C"/>
    <w:rsid w:val="00C95B67"/>
    <w:rsid w:val="00CA0383"/>
    <w:rsid w:val="00CA3C80"/>
    <w:rsid w:val="00CA42BD"/>
    <w:rsid w:val="00CB0621"/>
    <w:rsid w:val="00CB46B8"/>
    <w:rsid w:val="00CB4A3C"/>
    <w:rsid w:val="00CB545E"/>
    <w:rsid w:val="00CB7401"/>
    <w:rsid w:val="00CC0CA6"/>
    <w:rsid w:val="00CC2E1E"/>
    <w:rsid w:val="00CC3BD9"/>
    <w:rsid w:val="00CC4313"/>
    <w:rsid w:val="00CC4C4E"/>
    <w:rsid w:val="00CC6244"/>
    <w:rsid w:val="00CC6E43"/>
    <w:rsid w:val="00CD2D6D"/>
    <w:rsid w:val="00CD393E"/>
    <w:rsid w:val="00CD4951"/>
    <w:rsid w:val="00CD4C86"/>
    <w:rsid w:val="00CE2767"/>
    <w:rsid w:val="00CE34D9"/>
    <w:rsid w:val="00CE4D15"/>
    <w:rsid w:val="00CF0027"/>
    <w:rsid w:val="00CF0848"/>
    <w:rsid w:val="00CF091E"/>
    <w:rsid w:val="00CF09D4"/>
    <w:rsid w:val="00CF33A7"/>
    <w:rsid w:val="00CF4433"/>
    <w:rsid w:val="00CF4AD2"/>
    <w:rsid w:val="00D01ABB"/>
    <w:rsid w:val="00D02234"/>
    <w:rsid w:val="00D04520"/>
    <w:rsid w:val="00D048C2"/>
    <w:rsid w:val="00D05B24"/>
    <w:rsid w:val="00D06B5B"/>
    <w:rsid w:val="00D10A3B"/>
    <w:rsid w:val="00D1688F"/>
    <w:rsid w:val="00D1765F"/>
    <w:rsid w:val="00D208C1"/>
    <w:rsid w:val="00D20E33"/>
    <w:rsid w:val="00D22A80"/>
    <w:rsid w:val="00D22F69"/>
    <w:rsid w:val="00D22F92"/>
    <w:rsid w:val="00D232D6"/>
    <w:rsid w:val="00D24AD1"/>
    <w:rsid w:val="00D26376"/>
    <w:rsid w:val="00D31B24"/>
    <w:rsid w:val="00D32784"/>
    <w:rsid w:val="00D3722A"/>
    <w:rsid w:val="00D41612"/>
    <w:rsid w:val="00D44353"/>
    <w:rsid w:val="00D446BC"/>
    <w:rsid w:val="00D47FFE"/>
    <w:rsid w:val="00D50E33"/>
    <w:rsid w:val="00D54142"/>
    <w:rsid w:val="00D559EE"/>
    <w:rsid w:val="00D55F79"/>
    <w:rsid w:val="00D57B88"/>
    <w:rsid w:val="00D60452"/>
    <w:rsid w:val="00D62553"/>
    <w:rsid w:val="00D62C3F"/>
    <w:rsid w:val="00D64FFA"/>
    <w:rsid w:val="00D6581C"/>
    <w:rsid w:val="00D660EA"/>
    <w:rsid w:val="00D66EE5"/>
    <w:rsid w:val="00D67E9C"/>
    <w:rsid w:val="00D70B41"/>
    <w:rsid w:val="00D72242"/>
    <w:rsid w:val="00D7534F"/>
    <w:rsid w:val="00D77B24"/>
    <w:rsid w:val="00D8398F"/>
    <w:rsid w:val="00D85AB1"/>
    <w:rsid w:val="00D936ED"/>
    <w:rsid w:val="00D95996"/>
    <w:rsid w:val="00D969AD"/>
    <w:rsid w:val="00DA46E5"/>
    <w:rsid w:val="00DA66B9"/>
    <w:rsid w:val="00DB0147"/>
    <w:rsid w:val="00DB1A32"/>
    <w:rsid w:val="00DB1CE2"/>
    <w:rsid w:val="00DB7A66"/>
    <w:rsid w:val="00DC5C1C"/>
    <w:rsid w:val="00DC6380"/>
    <w:rsid w:val="00DD1F93"/>
    <w:rsid w:val="00DD2C37"/>
    <w:rsid w:val="00DD398B"/>
    <w:rsid w:val="00DD4EF4"/>
    <w:rsid w:val="00DD6B14"/>
    <w:rsid w:val="00DF24CE"/>
    <w:rsid w:val="00DF481E"/>
    <w:rsid w:val="00DF4C0A"/>
    <w:rsid w:val="00DF6E5C"/>
    <w:rsid w:val="00E0293F"/>
    <w:rsid w:val="00E03932"/>
    <w:rsid w:val="00E06D7A"/>
    <w:rsid w:val="00E070B9"/>
    <w:rsid w:val="00E076E1"/>
    <w:rsid w:val="00E102D0"/>
    <w:rsid w:val="00E1328E"/>
    <w:rsid w:val="00E158DF"/>
    <w:rsid w:val="00E173C0"/>
    <w:rsid w:val="00E17E6B"/>
    <w:rsid w:val="00E210A3"/>
    <w:rsid w:val="00E328DF"/>
    <w:rsid w:val="00E33221"/>
    <w:rsid w:val="00E34D47"/>
    <w:rsid w:val="00E35CB2"/>
    <w:rsid w:val="00E4118D"/>
    <w:rsid w:val="00E4246B"/>
    <w:rsid w:val="00E445A6"/>
    <w:rsid w:val="00E52A6C"/>
    <w:rsid w:val="00E55AE8"/>
    <w:rsid w:val="00E56C00"/>
    <w:rsid w:val="00E631D9"/>
    <w:rsid w:val="00E63D03"/>
    <w:rsid w:val="00E651F3"/>
    <w:rsid w:val="00E72AC7"/>
    <w:rsid w:val="00E73667"/>
    <w:rsid w:val="00E7523F"/>
    <w:rsid w:val="00E75F8C"/>
    <w:rsid w:val="00E80000"/>
    <w:rsid w:val="00E826D8"/>
    <w:rsid w:val="00E8345D"/>
    <w:rsid w:val="00E8357E"/>
    <w:rsid w:val="00E85AA1"/>
    <w:rsid w:val="00E85B80"/>
    <w:rsid w:val="00E870C6"/>
    <w:rsid w:val="00E90D59"/>
    <w:rsid w:val="00EA35A1"/>
    <w:rsid w:val="00EA5C53"/>
    <w:rsid w:val="00EA6FF2"/>
    <w:rsid w:val="00EB0746"/>
    <w:rsid w:val="00EB2584"/>
    <w:rsid w:val="00EB60D5"/>
    <w:rsid w:val="00EB72B9"/>
    <w:rsid w:val="00EC1977"/>
    <w:rsid w:val="00EC3A99"/>
    <w:rsid w:val="00EC479F"/>
    <w:rsid w:val="00EC6C91"/>
    <w:rsid w:val="00EE3D26"/>
    <w:rsid w:val="00EE3E5E"/>
    <w:rsid w:val="00EE7D91"/>
    <w:rsid w:val="00EF291B"/>
    <w:rsid w:val="00F07A4C"/>
    <w:rsid w:val="00F12381"/>
    <w:rsid w:val="00F15335"/>
    <w:rsid w:val="00F172F0"/>
    <w:rsid w:val="00F17361"/>
    <w:rsid w:val="00F17725"/>
    <w:rsid w:val="00F21A8B"/>
    <w:rsid w:val="00F246A0"/>
    <w:rsid w:val="00F25818"/>
    <w:rsid w:val="00F274F6"/>
    <w:rsid w:val="00F33D6F"/>
    <w:rsid w:val="00F36D8C"/>
    <w:rsid w:val="00F37411"/>
    <w:rsid w:val="00F40283"/>
    <w:rsid w:val="00F44F87"/>
    <w:rsid w:val="00F45302"/>
    <w:rsid w:val="00F457D4"/>
    <w:rsid w:val="00F547F9"/>
    <w:rsid w:val="00F5570C"/>
    <w:rsid w:val="00F56944"/>
    <w:rsid w:val="00F570AA"/>
    <w:rsid w:val="00F57FBA"/>
    <w:rsid w:val="00F6305A"/>
    <w:rsid w:val="00F635AD"/>
    <w:rsid w:val="00F70E7C"/>
    <w:rsid w:val="00F730AF"/>
    <w:rsid w:val="00F91EA9"/>
    <w:rsid w:val="00F95ED2"/>
    <w:rsid w:val="00F96EE3"/>
    <w:rsid w:val="00FA2995"/>
    <w:rsid w:val="00FA6CDE"/>
    <w:rsid w:val="00FA71EE"/>
    <w:rsid w:val="00FB1179"/>
    <w:rsid w:val="00FB2B78"/>
    <w:rsid w:val="00FB5068"/>
    <w:rsid w:val="00FB5259"/>
    <w:rsid w:val="00FC0258"/>
    <w:rsid w:val="00FC043B"/>
    <w:rsid w:val="00FC57A1"/>
    <w:rsid w:val="00FD5B6A"/>
    <w:rsid w:val="00FE3628"/>
    <w:rsid w:val="00FE4F62"/>
    <w:rsid w:val="00FE5C52"/>
    <w:rsid w:val="00FE6385"/>
    <w:rsid w:val="00FE6982"/>
    <w:rsid w:val="00FF1C3C"/>
    <w:rsid w:val="00FF42B8"/>
    <w:rsid w:val="00FF4A55"/>
    <w:rsid w:val="00FF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footnote text"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7F8"/>
    <w:pPr>
      <w:widowControl w:val="0"/>
      <w:overflowPunct w:val="0"/>
      <w:autoSpaceDE w:val="0"/>
      <w:autoSpaceDN w:val="0"/>
      <w:adjustRightInd w:val="0"/>
      <w:spacing w:after="240" w:line="264" w:lineRule="auto"/>
      <w:textAlignment w:val="baseline"/>
    </w:pPr>
    <w:rPr>
      <w:rFonts w:ascii="Perpetua" w:hAnsi="Perpetua"/>
      <w:sz w:val="24"/>
    </w:rPr>
  </w:style>
  <w:style w:type="paragraph" w:styleId="Heading1">
    <w:name w:val="heading 1"/>
    <w:basedOn w:val="Normal"/>
    <w:next w:val="Normal"/>
    <w:qFormat/>
    <w:rsid w:val="007A67F8"/>
    <w:pPr>
      <w:keepNext/>
      <w:spacing w:before="120"/>
      <w:outlineLvl w:val="0"/>
    </w:pPr>
    <w:rPr>
      <w:b/>
      <w:kern w:val="28"/>
      <w:sz w:val="28"/>
    </w:rPr>
  </w:style>
  <w:style w:type="paragraph" w:styleId="Heading2">
    <w:name w:val="heading 2"/>
    <w:basedOn w:val="Normal"/>
    <w:next w:val="Normal"/>
    <w:qFormat/>
    <w:rsid w:val="007A67F8"/>
    <w:pPr>
      <w:keepNext/>
      <w:spacing w:before="240"/>
      <w:outlineLvl w:val="1"/>
    </w:pPr>
    <w:rPr>
      <w:rFonts w:ascii="EngraversGothic BT" w:hAnsi="EngraversGothic BT"/>
      <w:b/>
      <w:spacing w:val="20"/>
      <w:sz w:val="28"/>
    </w:rPr>
  </w:style>
  <w:style w:type="paragraph" w:styleId="Heading3">
    <w:name w:val="heading 3"/>
    <w:basedOn w:val="Normal"/>
    <w:next w:val="Normal"/>
    <w:qFormat/>
    <w:rsid w:val="007A67F8"/>
    <w:pPr>
      <w:keepNext/>
      <w:spacing w:before="120"/>
      <w:ind w:left="720"/>
      <w:outlineLvl w:val="2"/>
    </w:pPr>
    <w:rPr>
      <w:b/>
    </w:rPr>
  </w:style>
  <w:style w:type="paragraph" w:styleId="Heading4">
    <w:name w:val="heading 4"/>
    <w:basedOn w:val="Normal"/>
    <w:next w:val="Normal"/>
    <w:qFormat/>
    <w:rsid w:val="007A67F8"/>
    <w:pPr>
      <w:keepNext/>
      <w:spacing w:before="240"/>
      <w:ind w:left="720"/>
      <w:outlineLvl w:val="3"/>
    </w:pPr>
    <w:rPr>
      <w:u w:val="single"/>
    </w:rPr>
  </w:style>
  <w:style w:type="paragraph" w:styleId="Heading5">
    <w:name w:val="heading 5"/>
    <w:basedOn w:val="Normal"/>
    <w:next w:val="Normal"/>
    <w:qFormat/>
    <w:rsid w:val="007A67F8"/>
    <w:pPr>
      <w:spacing w:before="240" w:after="60"/>
      <w:outlineLvl w:val="4"/>
    </w:pPr>
    <w:rPr>
      <w:sz w:val="22"/>
    </w:rPr>
  </w:style>
  <w:style w:type="paragraph" w:styleId="Heading6">
    <w:name w:val="heading 6"/>
    <w:basedOn w:val="Normal"/>
    <w:next w:val="Normal"/>
    <w:qFormat/>
    <w:rsid w:val="007A67F8"/>
    <w:pPr>
      <w:spacing w:before="240" w:after="60"/>
      <w:outlineLvl w:val="5"/>
    </w:pPr>
    <w:rPr>
      <w:rFonts w:ascii="Times New Roman" w:hAnsi="Times New Roman"/>
      <w:i/>
      <w:sz w:val="22"/>
    </w:rPr>
  </w:style>
  <w:style w:type="paragraph" w:styleId="Heading7">
    <w:name w:val="heading 7"/>
    <w:basedOn w:val="Normal"/>
    <w:next w:val="Normal"/>
    <w:qFormat/>
    <w:rsid w:val="007A67F8"/>
    <w:pPr>
      <w:spacing w:before="240" w:after="60"/>
      <w:outlineLvl w:val="6"/>
    </w:pPr>
    <w:rPr>
      <w:rFonts w:ascii="Arial" w:hAnsi="Arial"/>
      <w:sz w:val="20"/>
    </w:rPr>
  </w:style>
  <w:style w:type="paragraph" w:styleId="Heading9">
    <w:name w:val="heading 9"/>
    <w:basedOn w:val="Normal"/>
    <w:next w:val="Normal"/>
    <w:qFormat/>
    <w:rsid w:val="007A67F8"/>
    <w:pPr>
      <w:keepNext/>
      <w:spacing w:before="40" w:after="0" w:line="240" w:lineRule="auto"/>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67F8"/>
  </w:style>
  <w:style w:type="paragraph" w:customStyle="1" w:styleId="BodyTextIndent1">
    <w:name w:val="Body Text Indent1"/>
    <w:basedOn w:val="Normal"/>
    <w:rsid w:val="007A67F8"/>
    <w:pPr>
      <w:ind w:left="720"/>
    </w:pPr>
  </w:style>
  <w:style w:type="paragraph" w:customStyle="1" w:styleId="Tabletitle">
    <w:name w:val="Table title"/>
    <w:basedOn w:val="Heading7"/>
    <w:rsid w:val="007A67F8"/>
    <w:pPr>
      <w:keepNext/>
      <w:spacing w:before="0" w:after="240"/>
      <w:outlineLvl w:val="9"/>
    </w:pPr>
    <w:rPr>
      <w:b/>
    </w:rPr>
  </w:style>
  <w:style w:type="paragraph" w:customStyle="1" w:styleId="Tabletext">
    <w:name w:val="Table text"/>
    <w:basedOn w:val="Normal"/>
    <w:rsid w:val="007A67F8"/>
    <w:pPr>
      <w:spacing w:before="20" w:after="20"/>
    </w:pPr>
    <w:rPr>
      <w:rFonts w:ascii="Arial" w:hAnsi="Arial"/>
      <w:sz w:val="18"/>
    </w:rPr>
  </w:style>
  <w:style w:type="paragraph" w:customStyle="1" w:styleId="Titleallcap">
    <w:name w:val="Title:  all cap"/>
    <w:basedOn w:val="Heading5"/>
    <w:rsid w:val="007A67F8"/>
    <w:pPr>
      <w:keepNext/>
      <w:spacing w:before="0" w:after="240"/>
      <w:outlineLvl w:val="9"/>
    </w:pPr>
    <w:rPr>
      <w:b/>
      <w:sz w:val="44"/>
    </w:rPr>
  </w:style>
  <w:style w:type="paragraph" w:customStyle="1" w:styleId="Titleinitialcap">
    <w:name w:val="Title:  initial cap"/>
    <w:basedOn w:val="Heading6"/>
    <w:rsid w:val="007A67F8"/>
    <w:pPr>
      <w:keepNext/>
      <w:spacing w:before="0" w:after="240"/>
      <w:outlineLvl w:val="9"/>
    </w:pPr>
    <w:rPr>
      <w:rFonts w:ascii="Perpetua" w:hAnsi="Perpetua"/>
      <w:b/>
      <w:i w:val="0"/>
      <w:sz w:val="40"/>
    </w:rPr>
  </w:style>
  <w:style w:type="paragraph" w:customStyle="1" w:styleId="Chaptertitle">
    <w:name w:val="Chapter title"/>
    <w:basedOn w:val="Heading6"/>
    <w:rsid w:val="007A67F8"/>
    <w:pPr>
      <w:keepNext/>
      <w:pBdr>
        <w:bottom w:val="single" w:sz="6" w:space="1" w:color="auto"/>
      </w:pBdr>
      <w:spacing w:before="0" w:after="240"/>
      <w:outlineLvl w:val="9"/>
    </w:pPr>
    <w:rPr>
      <w:rFonts w:ascii="Perpetua" w:hAnsi="Perpetua"/>
      <w:b/>
      <w:i w:val="0"/>
      <w:sz w:val="40"/>
    </w:rPr>
  </w:style>
  <w:style w:type="paragraph" w:customStyle="1" w:styleId="TIFIABodyText">
    <w:name w:val="TIFIA Body Text"/>
    <w:basedOn w:val="Normal"/>
    <w:rsid w:val="007A67F8"/>
    <w:pPr>
      <w:spacing w:line="240" w:lineRule="auto"/>
      <w:jc w:val="both"/>
    </w:pPr>
    <w:rPr>
      <w:rFonts w:ascii="Times New Roman" w:hAnsi="Times New Roman"/>
      <w:sz w:val="22"/>
    </w:rPr>
  </w:style>
  <w:style w:type="paragraph" w:customStyle="1" w:styleId="TIFIAChapterTitle">
    <w:name w:val="TIFIA Chapter Title"/>
    <w:basedOn w:val="Normal"/>
    <w:rsid w:val="007A67F8"/>
    <w:pPr>
      <w:keepNext/>
      <w:pBdr>
        <w:bottom w:val="single" w:sz="6" w:space="1" w:color="auto"/>
      </w:pBdr>
      <w:spacing w:after="400" w:line="240" w:lineRule="auto"/>
    </w:pPr>
    <w:rPr>
      <w:rFonts w:ascii="Arial" w:hAnsi="Arial"/>
      <w:b/>
      <w:sz w:val="28"/>
    </w:rPr>
  </w:style>
  <w:style w:type="paragraph" w:customStyle="1" w:styleId="TIFIAHeading1a">
    <w:name w:val="TIFIA Heading 1a"/>
    <w:basedOn w:val="Normal"/>
    <w:rsid w:val="007A67F8"/>
    <w:pPr>
      <w:keepNext/>
      <w:pBdr>
        <w:bottom w:val="single" w:sz="6" w:space="1" w:color="auto"/>
      </w:pBdr>
      <w:spacing w:before="80" w:after="0" w:line="240" w:lineRule="auto"/>
    </w:pPr>
    <w:rPr>
      <w:rFonts w:ascii="Arial" w:hAnsi="Arial"/>
      <w:b/>
    </w:rPr>
  </w:style>
  <w:style w:type="paragraph" w:customStyle="1" w:styleId="TIFIAHeading1b">
    <w:name w:val="TIFIA Heading 1b"/>
    <w:basedOn w:val="Normal"/>
    <w:rsid w:val="007A67F8"/>
    <w:pPr>
      <w:keepNext/>
      <w:spacing w:after="320" w:line="240" w:lineRule="auto"/>
    </w:pPr>
    <w:rPr>
      <w:rFonts w:ascii="Arial" w:hAnsi="Arial"/>
      <w:b/>
    </w:rPr>
  </w:style>
  <w:style w:type="paragraph" w:customStyle="1" w:styleId="TIFIAHeading2">
    <w:name w:val="TIFIA Heading 2"/>
    <w:basedOn w:val="Normal"/>
    <w:rsid w:val="007A67F8"/>
    <w:pPr>
      <w:keepNext/>
      <w:spacing w:line="240" w:lineRule="auto"/>
    </w:pPr>
    <w:rPr>
      <w:rFonts w:ascii="Arial" w:hAnsi="Arial"/>
      <w:b/>
      <w:sz w:val="22"/>
    </w:rPr>
  </w:style>
  <w:style w:type="paragraph" w:customStyle="1" w:styleId="TIFIAHeading3">
    <w:name w:val="TIFIA Heading 3"/>
    <w:basedOn w:val="Normal"/>
    <w:rsid w:val="007A67F8"/>
    <w:pPr>
      <w:keepNext/>
      <w:spacing w:line="240" w:lineRule="auto"/>
      <w:ind w:left="720"/>
    </w:pPr>
    <w:rPr>
      <w:rFonts w:ascii="Times New Roman" w:hAnsi="Times New Roman"/>
      <w:sz w:val="22"/>
      <w:u w:val="single"/>
    </w:rPr>
  </w:style>
  <w:style w:type="paragraph" w:customStyle="1" w:styleId="TIFIATable">
    <w:name w:val="TIFIA Table"/>
    <w:basedOn w:val="Normal"/>
    <w:rsid w:val="007A67F8"/>
    <w:pPr>
      <w:keepNext/>
      <w:spacing w:before="20" w:after="20" w:line="240" w:lineRule="auto"/>
    </w:pPr>
    <w:rPr>
      <w:rFonts w:ascii="Arial" w:hAnsi="Arial"/>
      <w:sz w:val="18"/>
    </w:rPr>
  </w:style>
  <w:style w:type="paragraph" w:customStyle="1" w:styleId="TIFIATableTitle">
    <w:name w:val="TIFIA Table Title"/>
    <w:basedOn w:val="Normal"/>
    <w:rsid w:val="007A67F8"/>
    <w:pPr>
      <w:keepNext/>
      <w:spacing w:before="80" w:after="80" w:line="240" w:lineRule="auto"/>
      <w:jc w:val="center"/>
    </w:pPr>
    <w:rPr>
      <w:rFonts w:ascii="Arial" w:hAnsi="Arial"/>
      <w:sz w:val="18"/>
      <w:u w:val="single"/>
    </w:rPr>
  </w:style>
  <w:style w:type="paragraph" w:styleId="Header">
    <w:name w:val="header"/>
    <w:basedOn w:val="Normal"/>
    <w:rsid w:val="007A67F8"/>
    <w:pPr>
      <w:tabs>
        <w:tab w:val="center" w:pos="4320"/>
        <w:tab w:val="right" w:pos="8640"/>
      </w:tabs>
      <w:spacing w:after="0" w:line="240" w:lineRule="auto"/>
    </w:pPr>
    <w:rPr>
      <w:rFonts w:ascii="Times New Roman" w:hAnsi="Times New Roman"/>
    </w:rPr>
  </w:style>
  <w:style w:type="paragraph" w:styleId="Footer">
    <w:name w:val="footer"/>
    <w:basedOn w:val="Normal"/>
    <w:rsid w:val="007A67F8"/>
    <w:pPr>
      <w:tabs>
        <w:tab w:val="center" w:pos="4320"/>
        <w:tab w:val="right" w:pos="8640"/>
      </w:tabs>
      <w:spacing w:after="0" w:line="240" w:lineRule="auto"/>
    </w:pPr>
    <w:rPr>
      <w:rFonts w:ascii="Times New Roman" w:hAnsi="Times New Roman"/>
    </w:rPr>
  </w:style>
  <w:style w:type="character" w:styleId="PageNumber">
    <w:name w:val="page number"/>
    <w:rsid w:val="007A67F8"/>
    <w:rPr>
      <w:rFonts w:cs="Times New Roman"/>
      <w:sz w:val="20"/>
    </w:rPr>
  </w:style>
  <w:style w:type="paragraph" w:styleId="FootnoteText">
    <w:name w:val="footnote text"/>
    <w:basedOn w:val="Normal"/>
    <w:link w:val="FootnoteTextChar"/>
    <w:uiPriority w:val="99"/>
    <w:semiHidden/>
    <w:rsid w:val="007A67F8"/>
    <w:rPr>
      <w:rFonts w:ascii="Times New Roman" w:hAnsi="Times New Roman"/>
      <w:sz w:val="18"/>
    </w:rPr>
  </w:style>
  <w:style w:type="character" w:styleId="FootnoteReference">
    <w:name w:val="footnote reference"/>
    <w:semiHidden/>
    <w:rsid w:val="007A67F8"/>
    <w:rPr>
      <w:rFonts w:cs="Times New Roman"/>
      <w:sz w:val="20"/>
      <w:vertAlign w:val="superscript"/>
    </w:rPr>
  </w:style>
  <w:style w:type="paragraph" w:customStyle="1" w:styleId="Default">
    <w:name w:val="Default"/>
    <w:rsid w:val="007A67F8"/>
    <w:pPr>
      <w:widowControl w:val="0"/>
      <w:autoSpaceDE w:val="0"/>
      <w:autoSpaceDN w:val="0"/>
      <w:adjustRightInd w:val="0"/>
    </w:pPr>
    <w:rPr>
      <w:rFonts w:ascii="Arial" w:hAnsi="Arial"/>
      <w:color w:val="000000"/>
      <w:sz w:val="24"/>
    </w:rPr>
  </w:style>
  <w:style w:type="paragraph" w:customStyle="1" w:styleId="CM2">
    <w:name w:val="CM2"/>
    <w:basedOn w:val="Default"/>
    <w:next w:val="Default"/>
    <w:rsid w:val="007A67F8"/>
    <w:pPr>
      <w:spacing w:line="271" w:lineRule="atLeast"/>
    </w:pPr>
    <w:rPr>
      <w:color w:val="auto"/>
    </w:rPr>
  </w:style>
  <w:style w:type="paragraph" w:customStyle="1" w:styleId="CM4">
    <w:name w:val="CM4"/>
    <w:basedOn w:val="Default"/>
    <w:next w:val="Default"/>
    <w:rsid w:val="007A67F8"/>
    <w:pPr>
      <w:spacing w:after="240"/>
    </w:pPr>
    <w:rPr>
      <w:color w:val="auto"/>
    </w:rPr>
  </w:style>
  <w:style w:type="paragraph" w:customStyle="1" w:styleId="CM6">
    <w:name w:val="CM6"/>
    <w:basedOn w:val="Default"/>
    <w:next w:val="Default"/>
    <w:rsid w:val="007A67F8"/>
    <w:pPr>
      <w:spacing w:after="320"/>
    </w:pPr>
    <w:rPr>
      <w:color w:val="auto"/>
    </w:rPr>
  </w:style>
  <w:style w:type="character" w:styleId="Hyperlink">
    <w:name w:val="Hyperlink"/>
    <w:rsid w:val="007A67F8"/>
    <w:rPr>
      <w:rFonts w:cs="Times New Roman"/>
      <w:color w:val="0000FF"/>
      <w:u w:val="single"/>
    </w:rPr>
  </w:style>
  <w:style w:type="paragraph" w:customStyle="1" w:styleId="CM8">
    <w:name w:val="CM8"/>
    <w:basedOn w:val="Default"/>
    <w:next w:val="Default"/>
    <w:rsid w:val="007A67F8"/>
    <w:pPr>
      <w:spacing w:after="325"/>
    </w:pPr>
    <w:rPr>
      <w:color w:val="auto"/>
    </w:rPr>
  </w:style>
  <w:style w:type="paragraph" w:customStyle="1" w:styleId="CM9">
    <w:name w:val="CM9"/>
    <w:basedOn w:val="Default"/>
    <w:next w:val="Default"/>
    <w:rsid w:val="007A67F8"/>
    <w:pPr>
      <w:spacing w:after="245"/>
    </w:pPr>
    <w:rPr>
      <w:color w:val="auto"/>
    </w:rPr>
  </w:style>
  <w:style w:type="paragraph" w:customStyle="1" w:styleId="CM10">
    <w:name w:val="CM10"/>
    <w:basedOn w:val="Default"/>
    <w:next w:val="Default"/>
    <w:rsid w:val="007A67F8"/>
    <w:pPr>
      <w:spacing w:after="470"/>
    </w:pPr>
    <w:rPr>
      <w:color w:val="auto"/>
    </w:rPr>
  </w:style>
  <w:style w:type="paragraph" w:customStyle="1" w:styleId="CM7">
    <w:name w:val="CM7"/>
    <w:basedOn w:val="Default"/>
    <w:next w:val="Default"/>
    <w:rsid w:val="007A67F8"/>
    <w:pPr>
      <w:spacing w:line="271" w:lineRule="atLeast"/>
    </w:pPr>
    <w:rPr>
      <w:color w:val="auto"/>
    </w:rPr>
  </w:style>
  <w:style w:type="paragraph" w:customStyle="1" w:styleId="CM5">
    <w:name w:val="CM5"/>
    <w:basedOn w:val="Default"/>
    <w:next w:val="Default"/>
    <w:rsid w:val="007A67F8"/>
    <w:pPr>
      <w:spacing w:line="271" w:lineRule="atLeast"/>
    </w:pPr>
    <w:rPr>
      <w:color w:val="auto"/>
    </w:rPr>
  </w:style>
  <w:style w:type="character" w:styleId="CommentReference">
    <w:name w:val="annotation reference"/>
    <w:semiHidden/>
    <w:rsid w:val="007A67F8"/>
    <w:rPr>
      <w:rFonts w:cs="Times New Roman"/>
      <w:sz w:val="16"/>
    </w:rPr>
  </w:style>
  <w:style w:type="paragraph" w:styleId="BodyText3">
    <w:name w:val="Body Text 3"/>
    <w:basedOn w:val="Normal"/>
    <w:rsid w:val="007A67F8"/>
    <w:pPr>
      <w:spacing w:before="40" w:after="0" w:line="240" w:lineRule="auto"/>
    </w:pPr>
    <w:rPr>
      <w:rFonts w:ascii="Arial" w:hAnsi="Arial"/>
      <w:b/>
      <w:sz w:val="18"/>
    </w:rPr>
  </w:style>
  <w:style w:type="paragraph" w:customStyle="1" w:styleId="CM1">
    <w:name w:val="CM1"/>
    <w:basedOn w:val="Default"/>
    <w:next w:val="Default"/>
    <w:rsid w:val="007A67F8"/>
    <w:pPr>
      <w:spacing w:line="271" w:lineRule="atLeast"/>
    </w:pPr>
    <w:rPr>
      <w:color w:val="auto"/>
    </w:rPr>
  </w:style>
  <w:style w:type="paragraph" w:customStyle="1" w:styleId="CM11">
    <w:name w:val="CM11"/>
    <w:basedOn w:val="Default"/>
    <w:next w:val="Default"/>
    <w:rsid w:val="007A67F8"/>
    <w:pPr>
      <w:spacing w:after="248"/>
    </w:pPr>
    <w:rPr>
      <w:color w:val="auto"/>
    </w:rPr>
  </w:style>
  <w:style w:type="paragraph" w:customStyle="1" w:styleId="CM12">
    <w:name w:val="CM12"/>
    <w:basedOn w:val="Default"/>
    <w:next w:val="Default"/>
    <w:rsid w:val="007A67F8"/>
    <w:pPr>
      <w:spacing w:after="325"/>
    </w:pPr>
    <w:rPr>
      <w:color w:val="auto"/>
    </w:rPr>
  </w:style>
  <w:style w:type="paragraph" w:customStyle="1" w:styleId="CM14">
    <w:name w:val="CM14"/>
    <w:basedOn w:val="Default"/>
    <w:next w:val="Default"/>
    <w:rsid w:val="007A67F8"/>
    <w:pPr>
      <w:spacing w:after="593"/>
    </w:pPr>
    <w:rPr>
      <w:color w:val="auto"/>
    </w:rPr>
  </w:style>
  <w:style w:type="paragraph" w:customStyle="1" w:styleId="CM15">
    <w:name w:val="CM15"/>
    <w:basedOn w:val="Default"/>
    <w:next w:val="Default"/>
    <w:rsid w:val="007A67F8"/>
    <w:pPr>
      <w:spacing w:after="143"/>
    </w:pPr>
    <w:rPr>
      <w:color w:val="auto"/>
    </w:rPr>
  </w:style>
  <w:style w:type="paragraph" w:styleId="BalloonText">
    <w:name w:val="Balloon Text"/>
    <w:basedOn w:val="Normal"/>
    <w:semiHidden/>
    <w:rsid w:val="007A67F8"/>
    <w:rPr>
      <w:rFonts w:ascii="Tahoma" w:hAnsi="Tahoma"/>
      <w:sz w:val="16"/>
    </w:rPr>
  </w:style>
  <w:style w:type="paragraph" w:styleId="HTMLPreformatted">
    <w:name w:val="HTML Preformatted"/>
    <w:basedOn w:val="Normal"/>
    <w:rsid w:val="007A67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Arial Unicode MS" w:eastAsia="Arial Unicode MS" w:hAnsi="Arial Unicode MS"/>
      <w:sz w:val="20"/>
    </w:rPr>
  </w:style>
  <w:style w:type="paragraph" w:styleId="DocumentMap">
    <w:name w:val="Document Map"/>
    <w:basedOn w:val="Normal"/>
    <w:semiHidden/>
    <w:rsid w:val="007A67F8"/>
    <w:pPr>
      <w:shd w:val="clear" w:color="auto" w:fill="000080"/>
    </w:pPr>
    <w:rPr>
      <w:rFonts w:ascii="Tahoma" w:hAnsi="Tahoma" w:cs="Tahoma"/>
      <w:sz w:val="20"/>
    </w:rPr>
  </w:style>
  <w:style w:type="character" w:styleId="Emphasis">
    <w:name w:val="Emphasis"/>
    <w:qFormat/>
    <w:rsid w:val="007A67F8"/>
    <w:rPr>
      <w:rFonts w:cs="Times New Roman"/>
      <w:i/>
      <w:iCs/>
    </w:rPr>
  </w:style>
  <w:style w:type="character" w:styleId="FollowedHyperlink">
    <w:name w:val="FollowedHyperlink"/>
    <w:rsid w:val="00766CCE"/>
    <w:rPr>
      <w:rFonts w:cs="Times New Roman"/>
      <w:color w:val="800080"/>
      <w:u w:val="single"/>
    </w:rPr>
  </w:style>
  <w:style w:type="paragraph" w:styleId="CommentText">
    <w:name w:val="annotation text"/>
    <w:basedOn w:val="Normal"/>
    <w:link w:val="CommentTextChar"/>
    <w:semiHidden/>
    <w:rsid w:val="0020109F"/>
    <w:pPr>
      <w:widowControl/>
      <w:overflowPunct/>
      <w:autoSpaceDE/>
      <w:autoSpaceDN/>
      <w:adjustRightInd/>
      <w:spacing w:after="0" w:line="240" w:lineRule="auto"/>
      <w:textAlignment w:val="auto"/>
    </w:pPr>
    <w:rPr>
      <w:rFonts w:ascii="Times New Roman" w:hAnsi="Times New Roman"/>
      <w:sz w:val="20"/>
    </w:rPr>
  </w:style>
  <w:style w:type="paragraph" w:styleId="CommentSubject">
    <w:name w:val="annotation subject"/>
    <w:basedOn w:val="CommentText"/>
    <w:next w:val="CommentText"/>
    <w:link w:val="CommentSubjectChar"/>
    <w:rsid w:val="00722CD4"/>
    <w:pPr>
      <w:widowControl w:val="0"/>
      <w:overflowPunct w:val="0"/>
      <w:autoSpaceDE w:val="0"/>
      <w:autoSpaceDN w:val="0"/>
      <w:adjustRightInd w:val="0"/>
      <w:spacing w:after="240" w:line="264" w:lineRule="auto"/>
      <w:textAlignment w:val="baseline"/>
    </w:pPr>
    <w:rPr>
      <w:rFonts w:ascii="Perpetua" w:hAnsi="Perpetua"/>
      <w:b/>
      <w:bCs/>
    </w:rPr>
  </w:style>
  <w:style w:type="character" w:customStyle="1" w:styleId="CommentTextChar">
    <w:name w:val="Comment Text Char"/>
    <w:basedOn w:val="DefaultParagraphFont"/>
    <w:link w:val="CommentText"/>
    <w:semiHidden/>
    <w:rsid w:val="00722CD4"/>
  </w:style>
  <w:style w:type="character" w:customStyle="1" w:styleId="CommentSubjectChar">
    <w:name w:val="Comment Subject Char"/>
    <w:basedOn w:val="CommentTextChar"/>
    <w:link w:val="CommentSubject"/>
    <w:rsid w:val="00722CD4"/>
  </w:style>
  <w:style w:type="paragraph" w:styleId="Revision">
    <w:name w:val="Revision"/>
    <w:hidden/>
    <w:uiPriority w:val="99"/>
    <w:semiHidden/>
    <w:rsid w:val="006C23B7"/>
    <w:rPr>
      <w:rFonts w:ascii="Perpetua" w:hAnsi="Perpetua"/>
      <w:sz w:val="24"/>
    </w:rPr>
  </w:style>
  <w:style w:type="paragraph" w:styleId="BodyTextIndent2">
    <w:name w:val="Body Text Indent 2"/>
    <w:basedOn w:val="Normal"/>
    <w:link w:val="BodyTextIndent2Char"/>
    <w:rsid w:val="009F199F"/>
    <w:pPr>
      <w:spacing w:after="120" w:line="480" w:lineRule="auto"/>
      <w:ind w:left="360"/>
    </w:pPr>
  </w:style>
  <w:style w:type="character" w:customStyle="1" w:styleId="BodyTextIndent2Char">
    <w:name w:val="Body Text Indent 2 Char"/>
    <w:basedOn w:val="DefaultParagraphFont"/>
    <w:link w:val="BodyTextIndent2"/>
    <w:rsid w:val="009F199F"/>
    <w:rPr>
      <w:rFonts w:ascii="Perpetua" w:hAnsi="Perpetua"/>
      <w:sz w:val="24"/>
    </w:rPr>
  </w:style>
  <w:style w:type="paragraph" w:styleId="ListParagraph">
    <w:name w:val="List Paragraph"/>
    <w:basedOn w:val="Normal"/>
    <w:uiPriority w:val="34"/>
    <w:qFormat/>
    <w:rsid w:val="00436E06"/>
    <w:pPr>
      <w:ind w:left="720"/>
      <w:contextualSpacing/>
    </w:pPr>
  </w:style>
  <w:style w:type="character" w:customStyle="1" w:styleId="FootnoteTextChar">
    <w:name w:val="Footnote Text Char"/>
    <w:basedOn w:val="DefaultParagraphFont"/>
    <w:link w:val="FootnoteText"/>
    <w:uiPriority w:val="99"/>
    <w:semiHidden/>
    <w:rsid w:val="00D7534F"/>
    <w:rPr>
      <w:sz w:val="18"/>
    </w:rPr>
  </w:style>
  <w:style w:type="paragraph" w:styleId="NormalWeb">
    <w:name w:val="Normal (Web)"/>
    <w:basedOn w:val="Normal"/>
    <w:uiPriority w:val="99"/>
    <w:unhideWhenUsed/>
    <w:rsid w:val="00E826D8"/>
    <w:pPr>
      <w:widowControl/>
      <w:overflowPunct/>
      <w:autoSpaceDE/>
      <w:autoSpaceDN/>
      <w:adjustRightInd/>
      <w:spacing w:before="100" w:beforeAutospacing="1" w:after="100" w:afterAutospacing="1" w:line="240" w:lineRule="auto"/>
      <w:textAlignment w:val="auto"/>
    </w:pPr>
    <w:rPr>
      <w:rFonts w:ascii="Times New Roman" w:eastAsiaTheme="minorEastAsia"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footnote text"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7F8"/>
    <w:pPr>
      <w:widowControl w:val="0"/>
      <w:overflowPunct w:val="0"/>
      <w:autoSpaceDE w:val="0"/>
      <w:autoSpaceDN w:val="0"/>
      <w:adjustRightInd w:val="0"/>
      <w:spacing w:after="240" w:line="264" w:lineRule="auto"/>
      <w:textAlignment w:val="baseline"/>
    </w:pPr>
    <w:rPr>
      <w:rFonts w:ascii="Perpetua" w:hAnsi="Perpetua"/>
      <w:sz w:val="24"/>
    </w:rPr>
  </w:style>
  <w:style w:type="paragraph" w:styleId="Heading1">
    <w:name w:val="heading 1"/>
    <w:basedOn w:val="Normal"/>
    <w:next w:val="Normal"/>
    <w:qFormat/>
    <w:rsid w:val="007A67F8"/>
    <w:pPr>
      <w:keepNext/>
      <w:spacing w:before="120"/>
      <w:outlineLvl w:val="0"/>
    </w:pPr>
    <w:rPr>
      <w:b/>
      <w:kern w:val="28"/>
      <w:sz w:val="28"/>
    </w:rPr>
  </w:style>
  <w:style w:type="paragraph" w:styleId="Heading2">
    <w:name w:val="heading 2"/>
    <w:basedOn w:val="Normal"/>
    <w:next w:val="Normal"/>
    <w:qFormat/>
    <w:rsid w:val="007A67F8"/>
    <w:pPr>
      <w:keepNext/>
      <w:spacing w:before="240"/>
      <w:outlineLvl w:val="1"/>
    </w:pPr>
    <w:rPr>
      <w:rFonts w:ascii="EngraversGothic BT" w:hAnsi="EngraversGothic BT"/>
      <w:b/>
      <w:spacing w:val="20"/>
      <w:sz w:val="28"/>
    </w:rPr>
  </w:style>
  <w:style w:type="paragraph" w:styleId="Heading3">
    <w:name w:val="heading 3"/>
    <w:basedOn w:val="Normal"/>
    <w:next w:val="Normal"/>
    <w:qFormat/>
    <w:rsid w:val="007A67F8"/>
    <w:pPr>
      <w:keepNext/>
      <w:spacing w:before="120"/>
      <w:ind w:left="720"/>
      <w:outlineLvl w:val="2"/>
    </w:pPr>
    <w:rPr>
      <w:b/>
    </w:rPr>
  </w:style>
  <w:style w:type="paragraph" w:styleId="Heading4">
    <w:name w:val="heading 4"/>
    <w:basedOn w:val="Normal"/>
    <w:next w:val="Normal"/>
    <w:qFormat/>
    <w:rsid w:val="007A67F8"/>
    <w:pPr>
      <w:keepNext/>
      <w:spacing w:before="240"/>
      <w:ind w:left="720"/>
      <w:outlineLvl w:val="3"/>
    </w:pPr>
    <w:rPr>
      <w:u w:val="single"/>
    </w:rPr>
  </w:style>
  <w:style w:type="paragraph" w:styleId="Heading5">
    <w:name w:val="heading 5"/>
    <w:basedOn w:val="Normal"/>
    <w:next w:val="Normal"/>
    <w:qFormat/>
    <w:rsid w:val="007A67F8"/>
    <w:pPr>
      <w:spacing w:before="240" w:after="60"/>
      <w:outlineLvl w:val="4"/>
    </w:pPr>
    <w:rPr>
      <w:sz w:val="22"/>
    </w:rPr>
  </w:style>
  <w:style w:type="paragraph" w:styleId="Heading6">
    <w:name w:val="heading 6"/>
    <w:basedOn w:val="Normal"/>
    <w:next w:val="Normal"/>
    <w:qFormat/>
    <w:rsid w:val="007A67F8"/>
    <w:pPr>
      <w:spacing w:before="240" w:after="60"/>
      <w:outlineLvl w:val="5"/>
    </w:pPr>
    <w:rPr>
      <w:rFonts w:ascii="Times New Roman" w:hAnsi="Times New Roman"/>
      <w:i/>
      <w:sz w:val="22"/>
    </w:rPr>
  </w:style>
  <w:style w:type="paragraph" w:styleId="Heading7">
    <w:name w:val="heading 7"/>
    <w:basedOn w:val="Normal"/>
    <w:next w:val="Normal"/>
    <w:qFormat/>
    <w:rsid w:val="007A67F8"/>
    <w:pPr>
      <w:spacing w:before="240" w:after="60"/>
      <w:outlineLvl w:val="6"/>
    </w:pPr>
    <w:rPr>
      <w:rFonts w:ascii="Arial" w:hAnsi="Arial"/>
      <w:sz w:val="20"/>
    </w:rPr>
  </w:style>
  <w:style w:type="paragraph" w:styleId="Heading9">
    <w:name w:val="heading 9"/>
    <w:basedOn w:val="Normal"/>
    <w:next w:val="Normal"/>
    <w:qFormat/>
    <w:rsid w:val="007A67F8"/>
    <w:pPr>
      <w:keepNext/>
      <w:spacing w:before="40" w:after="0" w:line="240" w:lineRule="auto"/>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67F8"/>
  </w:style>
  <w:style w:type="paragraph" w:customStyle="1" w:styleId="BodyTextIndent1">
    <w:name w:val="Body Text Indent1"/>
    <w:basedOn w:val="Normal"/>
    <w:rsid w:val="007A67F8"/>
    <w:pPr>
      <w:ind w:left="720"/>
    </w:pPr>
  </w:style>
  <w:style w:type="paragraph" w:customStyle="1" w:styleId="Tabletitle">
    <w:name w:val="Table title"/>
    <w:basedOn w:val="Heading7"/>
    <w:rsid w:val="007A67F8"/>
    <w:pPr>
      <w:keepNext/>
      <w:spacing w:before="0" w:after="240"/>
      <w:outlineLvl w:val="9"/>
    </w:pPr>
    <w:rPr>
      <w:b/>
    </w:rPr>
  </w:style>
  <w:style w:type="paragraph" w:customStyle="1" w:styleId="Tabletext">
    <w:name w:val="Table text"/>
    <w:basedOn w:val="Normal"/>
    <w:rsid w:val="007A67F8"/>
    <w:pPr>
      <w:spacing w:before="20" w:after="20"/>
    </w:pPr>
    <w:rPr>
      <w:rFonts w:ascii="Arial" w:hAnsi="Arial"/>
      <w:sz w:val="18"/>
    </w:rPr>
  </w:style>
  <w:style w:type="paragraph" w:customStyle="1" w:styleId="Titleallcap">
    <w:name w:val="Title:  all cap"/>
    <w:basedOn w:val="Heading5"/>
    <w:rsid w:val="007A67F8"/>
    <w:pPr>
      <w:keepNext/>
      <w:spacing w:before="0" w:after="240"/>
      <w:outlineLvl w:val="9"/>
    </w:pPr>
    <w:rPr>
      <w:b/>
      <w:sz w:val="44"/>
    </w:rPr>
  </w:style>
  <w:style w:type="paragraph" w:customStyle="1" w:styleId="Titleinitialcap">
    <w:name w:val="Title:  initial cap"/>
    <w:basedOn w:val="Heading6"/>
    <w:rsid w:val="007A67F8"/>
    <w:pPr>
      <w:keepNext/>
      <w:spacing w:before="0" w:after="240"/>
      <w:outlineLvl w:val="9"/>
    </w:pPr>
    <w:rPr>
      <w:rFonts w:ascii="Perpetua" w:hAnsi="Perpetua"/>
      <w:b/>
      <w:i w:val="0"/>
      <w:sz w:val="40"/>
    </w:rPr>
  </w:style>
  <w:style w:type="paragraph" w:customStyle="1" w:styleId="Chaptertitle">
    <w:name w:val="Chapter title"/>
    <w:basedOn w:val="Heading6"/>
    <w:rsid w:val="007A67F8"/>
    <w:pPr>
      <w:keepNext/>
      <w:pBdr>
        <w:bottom w:val="single" w:sz="6" w:space="1" w:color="auto"/>
      </w:pBdr>
      <w:spacing w:before="0" w:after="240"/>
      <w:outlineLvl w:val="9"/>
    </w:pPr>
    <w:rPr>
      <w:rFonts w:ascii="Perpetua" w:hAnsi="Perpetua"/>
      <w:b/>
      <w:i w:val="0"/>
      <w:sz w:val="40"/>
    </w:rPr>
  </w:style>
  <w:style w:type="paragraph" w:customStyle="1" w:styleId="TIFIABodyText">
    <w:name w:val="TIFIA Body Text"/>
    <w:basedOn w:val="Normal"/>
    <w:rsid w:val="007A67F8"/>
    <w:pPr>
      <w:spacing w:line="240" w:lineRule="auto"/>
      <w:jc w:val="both"/>
    </w:pPr>
    <w:rPr>
      <w:rFonts w:ascii="Times New Roman" w:hAnsi="Times New Roman"/>
      <w:sz w:val="22"/>
    </w:rPr>
  </w:style>
  <w:style w:type="paragraph" w:customStyle="1" w:styleId="TIFIAChapterTitle">
    <w:name w:val="TIFIA Chapter Title"/>
    <w:basedOn w:val="Normal"/>
    <w:rsid w:val="007A67F8"/>
    <w:pPr>
      <w:keepNext/>
      <w:pBdr>
        <w:bottom w:val="single" w:sz="6" w:space="1" w:color="auto"/>
      </w:pBdr>
      <w:spacing w:after="400" w:line="240" w:lineRule="auto"/>
    </w:pPr>
    <w:rPr>
      <w:rFonts w:ascii="Arial" w:hAnsi="Arial"/>
      <w:b/>
      <w:sz w:val="28"/>
    </w:rPr>
  </w:style>
  <w:style w:type="paragraph" w:customStyle="1" w:styleId="TIFIAHeading1a">
    <w:name w:val="TIFIA Heading 1a"/>
    <w:basedOn w:val="Normal"/>
    <w:rsid w:val="007A67F8"/>
    <w:pPr>
      <w:keepNext/>
      <w:pBdr>
        <w:bottom w:val="single" w:sz="6" w:space="1" w:color="auto"/>
      </w:pBdr>
      <w:spacing w:before="80" w:after="0" w:line="240" w:lineRule="auto"/>
    </w:pPr>
    <w:rPr>
      <w:rFonts w:ascii="Arial" w:hAnsi="Arial"/>
      <w:b/>
    </w:rPr>
  </w:style>
  <w:style w:type="paragraph" w:customStyle="1" w:styleId="TIFIAHeading1b">
    <w:name w:val="TIFIA Heading 1b"/>
    <w:basedOn w:val="Normal"/>
    <w:rsid w:val="007A67F8"/>
    <w:pPr>
      <w:keepNext/>
      <w:spacing w:after="320" w:line="240" w:lineRule="auto"/>
    </w:pPr>
    <w:rPr>
      <w:rFonts w:ascii="Arial" w:hAnsi="Arial"/>
      <w:b/>
    </w:rPr>
  </w:style>
  <w:style w:type="paragraph" w:customStyle="1" w:styleId="TIFIAHeading2">
    <w:name w:val="TIFIA Heading 2"/>
    <w:basedOn w:val="Normal"/>
    <w:rsid w:val="007A67F8"/>
    <w:pPr>
      <w:keepNext/>
      <w:spacing w:line="240" w:lineRule="auto"/>
    </w:pPr>
    <w:rPr>
      <w:rFonts w:ascii="Arial" w:hAnsi="Arial"/>
      <w:b/>
      <w:sz w:val="22"/>
    </w:rPr>
  </w:style>
  <w:style w:type="paragraph" w:customStyle="1" w:styleId="TIFIAHeading3">
    <w:name w:val="TIFIA Heading 3"/>
    <w:basedOn w:val="Normal"/>
    <w:rsid w:val="007A67F8"/>
    <w:pPr>
      <w:keepNext/>
      <w:spacing w:line="240" w:lineRule="auto"/>
      <w:ind w:left="720"/>
    </w:pPr>
    <w:rPr>
      <w:rFonts w:ascii="Times New Roman" w:hAnsi="Times New Roman"/>
      <w:sz w:val="22"/>
      <w:u w:val="single"/>
    </w:rPr>
  </w:style>
  <w:style w:type="paragraph" w:customStyle="1" w:styleId="TIFIATable">
    <w:name w:val="TIFIA Table"/>
    <w:basedOn w:val="Normal"/>
    <w:rsid w:val="007A67F8"/>
    <w:pPr>
      <w:keepNext/>
      <w:spacing w:before="20" w:after="20" w:line="240" w:lineRule="auto"/>
    </w:pPr>
    <w:rPr>
      <w:rFonts w:ascii="Arial" w:hAnsi="Arial"/>
      <w:sz w:val="18"/>
    </w:rPr>
  </w:style>
  <w:style w:type="paragraph" w:customStyle="1" w:styleId="TIFIATableTitle">
    <w:name w:val="TIFIA Table Title"/>
    <w:basedOn w:val="Normal"/>
    <w:rsid w:val="007A67F8"/>
    <w:pPr>
      <w:keepNext/>
      <w:spacing w:before="80" w:after="80" w:line="240" w:lineRule="auto"/>
      <w:jc w:val="center"/>
    </w:pPr>
    <w:rPr>
      <w:rFonts w:ascii="Arial" w:hAnsi="Arial"/>
      <w:sz w:val="18"/>
      <w:u w:val="single"/>
    </w:rPr>
  </w:style>
  <w:style w:type="paragraph" w:styleId="Header">
    <w:name w:val="header"/>
    <w:basedOn w:val="Normal"/>
    <w:rsid w:val="007A67F8"/>
    <w:pPr>
      <w:tabs>
        <w:tab w:val="center" w:pos="4320"/>
        <w:tab w:val="right" w:pos="8640"/>
      </w:tabs>
      <w:spacing w:after="0" w:line="240" w:lineRule="auto"/>
    </w:pPr>
    <w:rPr>
      <w:rFonts w:ascii="Times New Roman" w:hAnsi="Times New Roman"/>
    </w:rPr>
  </w:style>
  <w:style w:type="paragraph" w:styleId="Footer">
    <w:name w:val="footer"/>
    <w:basedOn w:val="Normal"/>
    <w:rsid w:val="007A67F8"/>
    <w:pPr>
      <w:tabs>
        <w:tab w:val="center" w:pos="4320"/>
        <w:tab w:val="right" w:pos="8640"/>
      </w:tabs>
      <w:spacing w:after="0" w:line="240" w:lineRule="auto"/>
    </w:pPr>
    <w:rPr>
      <w:rFonts w:ascii="Times New Roman" w:hAnsi="Times New Roman"/>
    </w:rPr>
  </w:style>
  <w:style w:type="character" w:styleId="PageNumber">
    <w:name w:val="page number"/>
    <w:rsid w:val="007A67F8"/>
    <w:rPr>
      <w:rFonts w:cs="Times New Roman"/>
      <w:sz w:val="20"/>
    </w:rPr>
  </w:style>
  <w:style w:type="paragraph" w:styleId="FootnoteText">
    <w:name w:val="footnote text"/>
    <w:basedOn w:val="Normal"/>
    <w:link w:val="FootnoteTextChar"/>
    <w:uiPriority w:val="99"/>
    <w:semiHidden/>
    <w:rsid w:val="007A67F8"/>
    <w:rPr>
      <w:rFonts w:ascii="Times New Roman" w:hAnsi="Times New Roman"/>
      <w:sz w:val="18"/>
    </w:rPr>
  </w:style>
  <w:style w:type="character" w:styleId="FootnoteReference">
    <w:name w:val="footnote reference"/>
    <w:semiHidden/>
    <w:rsid w:val="007A67F8"/>
    <w:rPr>
      <w:rFonts w:cs="Times New Roman"/>
      <w:sz w:val="20"/>
      <w:vertAlign w:val="superscript"/>
    </w:rPr>
  </w:style>
  <w:style w:type="paragraph" w:customStyle="1" w:styleId="Default">
    <w:name w:val="Default"/>
    <w:rsid w:val="007A67F8"/>
    <w:pPr>
      <w:widowControl w:val="0"/>
      <w:autoSpaceDE w:val="0"/>
      <w:autoSpaceDN w:val="0"/>
      <w:adjustRightInd w:val="0"/>
    </w:pPr>
    <w:rPr>
      <w:rFonts w:ascii="Arial" w:hAnsi="Arial"/>
      <w:color w:val="000000"/>
      <w:sz w:val="24"/>
    </w:rPr>
  </w:style>
  <w:style w:type="paragraph" w:customStyle="1" w:styleId="CM2">
    <w:name w:val="CM2"/>
    <w:basedOn w:val="Default"/>
    <w:next w:val="Default"/>
    <w:rsid w:val="007A67F8"/>
    <w:pPr>
      <w:spacing w:line="271" w:lineRule="atLeast"/>
    </w:pPr>
    <w:rPr>
      <w:color w:val="auto"/>
    </w:rPr>
  </w:style>
  <w:style w:type="paragraph" w:customStyle="1" w:styleId="CM4">
    <w:name w:val="CM4"/>
    <w:basedOn w:val="Default"/>
    <w:next w:val="Default"/>
    <w:rsid w:val="007A67F8"/>
    <w:pPr>
      <w:spacing w:after="240"/>
    </w:pPr>
    <w:rPr>
      <w:color w:val="auto"/>
    </w:rPr>
  </w:style>
  <w:style w:type="paragraph" w:customStyle="1" w:styleId="CM6">
    <w:name w:val="CM6"/>
    <w:basedOn w:val="Default"/>
    <w:next w:val="Default"/>
    <w:rsid w:val="007A67F8"/>
    <w:pPr>
      <w:spacing w:after="320"/>
    </w:pPr>
    <w:rPr>
      <w:color w:val="auto"/>
    </w:rPr>
  </w:style>
  <w:style w:type="character" w:styleId="Hyperlink">
    <w:name w:val="Hyperlink"/>
    <w:rsid w:val="007A67F8"/>
    <w:rPr>
      <w:rFonts w:cs="Times New Roman"/>
      <w:color w:val="0000FF"/>
      <w:u w:val="single"/>
    </w:rPr>
  </w:style>
  <w:style w:type="paragraph" w:customStyle="1" w:styleId="CM8">
    <w:name w:val="CM8"/>
    <w:basedOn w:val="Default"/>
    <w:next w:val="Default"/>
    <w:rsid w:val="007A67F8"/>
    <w:pPr>
      <w:spacing w:after="325"/>
    </w:pPr>
    <w:rPr>
      <w:color w:val="auto"/>
    </w:rPr>
  </w:style>
  <w:style w:type="paragraph" w:customStyle="1" w:styleId="CM9">
    <w:name w:val="CM9"/>
    <w:basedOn w:val="Default"/>
    <w:next w:val="Default"/>
    <w:rsid w:val="007A67F8"/>
    <w:pPr>
      <w:spacing w:after="245"/>
    </w:pPr>
    <w:rPr>
      <w:color w:val="auto"/>
    </w:rPr>
  </w:style>
  <w:style w:type="paragraph" w:customStyle="1" w:styleId="CM10">
    <w:name w:val="CM10"/>
    <w:basedOn w:val="Default"/>
    <w:next w:val="Default"/>
    <w:rsid w:val="007A67F8"/>
    <w:pPr>
      <w:spacing w:after="470"/>
    </w:pPr>
    <w:rPr>
      <w:color w:val="auto"/>
    </w:rPr>
  </w:style>
  <w:style w:type="paragraph" w:customStyle="1" w:styleId="CM7">
    <w:name w:val="CM7"/>
    <w:basedOn w:val="Default"/>
    <w:next w:val="Default"/>
    <w:rsid w:val="007A67F8"/>
    <w:pPr>
      <w:spacing w:line="271" w:lineRule="atLeast"/>
    </w:pPr>
    <w:rPr>
      <w:color w:val="auto"/>
    </w:rPr>
  </w:style>
  <w:style w:type="paragraph" w:customStyle="1" w:styleId="CM5">
    <w:name w:val="CM5"/>
    <w:basedOn w:val="Default"/>
    <w:next w:val="Default"/>
    <w:rsid w:val="007A67F8"/>
    <w:pPr>
      <w:spacing w:line="271" w:lineRule="atLeast"/>
    </w:pPr>
    <w:rPr>
      <w:color w:val="auto"/>
    </w:rPr>
  </w:style>
  <w:style w:type="character" w:styleId="CommentReference">
    <w:name w:val="annotation reference"/>
    <w:semiHidden/>
    <w:rsid w:val="007A67F8"/>
    <w:rPr>
      <w:rFonts w:cs="Times New Roman"/>
      <w:sz w:val="16"/>
    </w:rPr>
  </w:style>
  <w:style w:type="paragraph" w:styleId="BodyText3">
    <w:name w:val="Body Text 3"/>
    <w:basedOn w:val="Normal"/>
    <w:rsid w:val="007A67F8"/>
    <w:pPr>
      <w:spacing w:before="40" w:after="0" w:line="240" w:lineRule="auto"/>
    </w:pPr>
    <w:rPr>
      <w:rFonts w:ascii="Arial" w:hAnsi="Arial"/>
      <w:b/>
      <w:sz w:val="18"/>
    </w:rPr>
  </w:style>
  <w:style w:type="paragraph" w:customStyle="1" w:styleId="CM1">
    <w:name w:val="CM1"/>
    <w:basedOn w:val="Default"/>
    <w:next w:val="Default"/>
    <w:rsid w:val="007A67F8"/>
    <w:pPr>
      <w:spacing w:line="271" w:lineRule="atLeast"/>
    </w:pPr>
    <w:rPr>
      <w:color w:val="auto"/>
    </w:rPr>
  </w:style>
  <w:style w:type="paragraph" w:customStyle="1" w:styleId="CM11">
    <w:name w:val="CM11"/>
    <w:basedOn w:val="Default"/>
    <w:next w:val="Default"/>
    <w:rsid w:val="007A67F8"/>
    <w:pPr>
      <w:spacing w:after="248"/>
    </w:pPr>
    <w:rPr>
      <w:color w:val="auto"/>
    </w:rPr>
  </w:style>
  <w:style w:type="paragraph" w:customStyle="1" w:styleId="CM12">
    <w:name w:val="CM12"/>
    <w:basedOn w:val="Default"/>
    <w:next w:val="Default"/>
    <w:rsid w:val="007A67F8"/>
    <w:pPr>
      <w:spacing w:after="325"/>
    </w:pPr>
    <w:rPr>
      <w:color w:val="auto"/>
    </w:rPr>
  </w:style>
  <w:style w:type="paragraph" w:customStyle="1" w:styleId="CM14">
    <w:name w:val="CM14"/>
    <w:basedOn w:val="Default"/>
    <w:next w:val="Default"/>
    <w:rsid w:val="007A67F8"/>
    <w:pPr>
      <w:spacing w:after="593"/>
    </w:pPr>
    <w:rPr>
      <w:color w:val="auto"/>
    </w:rPr>
  </w:style>
  <w:style w:type="paragraph" w:customStyle="1" w:styleId="CM15">
    <w:name w:val="CM15"/>
    <w:basedOn w:val="Default"/>
    <w:next w:val="Default"/>
    <w:rsid w:val="007A67F8"/>
    <w:pPr>
      <w:spacing w:after="143"/>
    </w:pPr>
    <w:rPr>
      <w:color w:val="auto"/>
    </w:rPr>
  </w:style>
  <w:style w:type="paragraph" w:styleId="BalloonText">
    <w:name w:val="Balloon Text"/>
    <w:basedOn w:val="Normal"/>
    <w:semiHidden/>
    <w:rsid w:val="007A67F8"/>
    <w:rPr>
      <w:rFonts w:ascii="Tahoma" w:hAnsi="Tahoma"/>
      <w:sz w:val="16"/>
    </w:rPr>
  </w:style>
  <w:style w:type="paragraph" w:styleId="HTMLPreformatted">
    <w:name w:val="HTML Preformatted"/>
    <w:basedOn w:val="Normal"/>
    <w:rsid w:val="007A67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Arial Unicode MS" w:eastAsia="Arial Unicode MS" w:hAnsi="Arial Unicode MS"/>
      <w:sz w:val="20"/>
    </w:rPr>
  </w:style>
  <w:style w:type="paragraph" w:styleId="DocumentMap">
    <w:name w:val="Document Map"/>
    <w:basedOn w:val="Normal"/>
    <w:semiHidden/>
    <w:rsid w:val="007A67F8"/>
    <w:pPr>
      <w:shd w:val="clear" w:color="auto" w:fill="000080"/>
    </w:pPr>
    <w:rPr>
      <w:rFonts w:ascii="Tahoma" w:hAnsi="Tahoma" w:cs="Tahoma"/>
      <w:sz w:val="20"/>
    </w:rPr>
  </w:style>
  <w:style w:type="character" w:styleId="Emphasis">
    <w:name w:val="Emphasis"/>
    <w:qFormat/>
    <w:rsid w:val="007A67F8"/>
    <w:rPr>
      <w:rFonts w:cs="Times New Roman"/>
      <w:i/>
      <w:iCs/>
    </w:rPr>
  </w:style>
  <w:style w:type="character" w:styleId="FollowedHyperlink">
    <w:name w:val="FollowedHyperlink"/>
    <w:rsid w:val="00766CCE"/>
    <w:rPr>
      <w:rFonts w:cs="Times New Roman"/>
      <w:color w:val="800080"/>
      <w:u w:val="single"/>
    </w:rPr>
  </w:style>
  <w:style w:type="paragraph" w:styleId="CommentText">
    <w:name w:val="annotation text"/>
    <w:basedOn w:val="Normal"/>
    <w:link w:val="CommentTextChar"/>
    <w:semiHidden/>
    <w:rsid w:val="0020109F"/>
    <w:pPr>
      <w:widowControl/>
      <w:overflowPunct/>
      <w:autoSpaceDE/>
      <w:autoSpaceDN/>
      <w:adjustRightInd/>
      <w:spacing w:after="0" w:line="240" w:lineRule="auto"/>
      <w:textAlignment w:val="auto"/>
    </w:pPr>
    <w:rPr>
      <w:rFonts w:ascii="Times New Roman" w:hAnsi="Times New Roman"/>
      <w:sz w:val="20"/>
    </w:rPr>
  </w:style>
  <w:style w:type="paragraph" w:styleId="CommentSubject">
    <w:name w:val="annotation subject"/>
    <w:basedOn w:val="CommentText"/>
    <w:next w:val="CommentText"/>
    <w:link w:val="CommentSubjectChar"/>
    <w:rsid w:val="00722CD4"/>
    <w:pPr>
      <w:widowControl w:val="0"/>
      <w:overflowPunct w:val="0"/>
      <w:autoSpaceDE w:val="0"/>
      <w:autoSpaceDN w:val="0"/>
      <w:adjustRightInd w:val="0"/>
      <w:spacing w:after="240" w:line="264" w:lineRule="auto"/>
      <w:textAlignment w:val="baseline"/>
    </w:pPr>
    <w:rPr>
      <w:rFonts w:ascii="Perpetua" w:hAnsi="Perpetua"/>
      <w:b/>
      <w:bCs/>
    </w:rPr>
  </w:style>
  <w:style w:type="character" w:customStyle="1" w:styleId="CommentTextChar">
    <w:name w:val="Comment Text Char"/>
    <w:basedOn w:val="DefaultParagraphFont"/>
    <w:link w:val="CommentText"/>
    <w:semiHidden/>
    <w:rsid w:val="00722CD4"/>
  </w:style>
  <w:style w:type="character" w:customStyle="1" w:styleId="CommentSubjectChar">
    <w:name w:val="Comment Subject Char"/>
    <w:basedOn w:val="CommentTextChar"/>
    <w:link w:val="CommentSubject"/>
    <w:rsid w:val="00722CD4"/>
  </w:style>
  <w:style w:type="paragraph" w:styleId="Revision">
    <w:name w:val="Revision"/>
    <w:hidden/>
    <w:uiPriority w:val="99"/>
    <w:semiHidden/>
    <w:rsid w:val="006C23B7"/>
    <w:rPr>
      <w:rFonts w:ascii="Perpetua" w:hAnsi="Perpetua"/>
      <w:sz w:val="24"/>
    </w:rPr>
  </w:style>
  <w:style w:type="paragraph" w:styleId="BodyTextIndent2">
    <w:name w:val="Body Text Indent 2"/>
    <w:basedOn w:val="Normal"/>
    <w:link w:val="BodyTextIndent2Char"/>
    <w:rsid w:val="009F199F"/>
    <w:pPr>
      <w:spacing w:after="120" w:line="480" w:lineRule="auto"/>
      <w:ind w:left="360"/>
    </w:pPr>
  </w:style>
  <w:style w:type="character" w:customStyle="1" w:styleId="BodyTextIndent2Char">
    <w:name w:val="Body Text Indent 2 Char"/>
    <w:basedOn w:val="DefaultParagraphFont"/>
    <w:link w:val="BodyTextIndent2"/>
    <w:rsid w:val="009F199F"/>
    <w:rPr>
      <w:rFonts w:ascii="Perpetua" w:hAnsi="Perpetua"/>
      <w:sz w:val="24"/>
    </w:rPr>
  </w:style>
  <w:style w:type="paragraph" w:styleId="ListParagraph">
    <w:name w:val="List Paragraph"/>
    <w:basedOn w:val="Normal"/>
    <w:uiPriority w:val="34"/>
    <w:qFormat/>
    <w:rsid w:val="00436E06"/>
    <w:pPr>
      <w:ind w:left="720"/>
      <w:contextualSpacing/>
    </w:pPr>
  </w:style>
  <w:style w:type="character" w:customStyle="1" w:styleId="FootnoteTextChar">
    <w:name w:val="Footnote Text Char"/>
    <w:basedOn w:val="DefaultParagraphFont"/>
    <w:link w:val="FootnoteText"/>
    <w:uiPriority w:val="99"/>
    <w:semiHidden/>
    <w:rsid w:val="00D7534F"/>
    <w:rPr>
      <w:sz w:val="18"/>
    </w:rPr>
  </w:style>
  <w:style w:type="paragraph" w:styleId="NormalWeb">
    <w:name w:val="Normal (Web)"/>
    <w:basedOn w:val="Normal"/>
    <w:uiPriority w:val="99"/>
    <w:unhideWhenUsed/>
    <w:rsid w:val="00E826D8"/>
    <w:pPr>
      <w:widowControl/>
      <w:overflowPunct/>
      <w:autoSpaceDE/>
      <w:autoSpaceDN/>
      <w:adjustRightInd/>
      <w:spacing w:before="100" w:beforeAutospacing="1" w:after="100" w:afterAutospacing="1" w:line="240" w:lineRule="auto"/>
      <w:textAlignment w:val="auto"/>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0"/>
          <w:marTop w:val="100"/>
          <w:marBottom w:val="100"/>
          <w:divBdr>
            <w:top w:val="none" w:sz="0" w:space="0" w:color="auto"/>
            <w:left w:val="none" w:sz="0" w:space="0" w:color="auto"/>
            <w:bottom w:val="none" w:sz="0" w:space="0" w:color="auto"/>
            <w:right w:val="none" w:sz="0" w:space="0" w:color="auto"/>
          </w:divBdr>
        </w:div>
      </w:divsChild>
    </w:div>
    <w:div w:id="349990682">
      <w:bodyDiv w:val="1"/>
      <w:marLeft w:val="0"/>
      <w:marRight w:val="0"/>
      <w:marTop w:val="0"/>
      <w:marBottom w:val="0"/>
      <w:divBdr>
        <w:top w:val="none" w:sz="0" w:space="0" w:color="auto"/>
        <w:left w:val="none" w:sz="0" w:space="0" w:color="auto"/>
        <w:bottom w:val="none" w:sz="0" w:space="0" w:color="auto"/>
        <w:right w:val="none" w:sz="0" w:space="0" w:color="auto"/>
      </w:divBdr>
    </w:div>
    <w:div w:id="716972802">
      <w:bodyDiv w:val="1"/>
      <w:marLeft w:val="0"/>
      <w:marRight w:val="0"/>
      <w:marTop w:val="0"/>
      <w:marBottom w:val="0"/>
      <w:divBdr>
        <w:top w:val="none" w:sz="0" w:space="0" w:color="auto"/>
        <w:left w:val="none" w:sz="0" w:space="0" w:color="auto"/>
        <w:bottom w:val="none" w:sz="0" w:space="0" w:color="auto"/>
        <w:right w:val="none" w:sz="0" w:space="0" w:color="auto"/>
      </w:divBdr>
    </w:div>
    <w:div w:id="1385370828">
      <w:bodyDiv w:val="1"/>
      <w:marLeft w:val="0"/>
      <w:marRight w:val="0"/>
      <w:marTop w:val="0"/>
      <w:marBottom w:val="0"/>
      <w:divBdr>
        <w:top w:val="none" w:sz="0" w:space="0" w:color="auto"/>
        <w:left w:val="none" w:sz="0" w:space="0" w:color="auto"/>
        <w:bottom w:val="none" w:sz="0" w:space="0" w:color="auto"/>
        <w:right w:val="none" w:sz="0" w:space="0" w:color="auto"/>
      </w:divBdr>
    </w:div>
    <w:div w:id="1907495838">
      <w:bodyDiv w:val="1"/>
      <w:marLeft w:val="0"/>
      <w:marRight w:val="0"/>
      <w:marTop w:val="0"/>
      <w:marBottom w:val="0"/>
      <w:divBdr>
        <w:top w:val="none" w:sz="0" w:space="0" w:color="auto"/>
        <w:left w:val="none" w:sz="0" w:space="0" w:color="auto"/>
        <w:bottom w:val="none" w:sz="0" w:space="0" w:color="auto"/>
        <w:right w:val="none" w:sz="0" w:space="0" w:color="auto"/>
      </w:divBdr>
    </w:div>
    <w:div w:id="2139297791">
      <w:bodyDiv w:val="1"/>
      <w:marLeft w:val="0"/>
      <w:marRight w:val="0"/>
      <w:marTop w:val="0"/>
      <w:marBottom w:val="225"/>
      <w:divBdr>
        <w:top w:val="none" w:sz="0" w:space="0" w:color="auto"/>
        <w:left w:val="none" w:sz="0" w:space="0" w:color="auto"/>
        <w:bottom w:val="none" w:sz="0" w:space="0" w:color="auto"/>
        <w:right w:val="none" w:sz="0" w:space="0" w:color="auto"/>
      </w:divBdr>
      <w:divsChild>
        <w:div w:id="958488976">
          <w:marLeft w:val="0"/>
          <w:marRight w:val="0"/>
          <w:marTop w:val="0"/>
          <w:marBottom w:val="0"/>
          <w:divBdr>
            <w:top w:val="none" w:sz="0" w:space="0" w:color="auto"/>
            <w:left w:val="none" w:sz="0" w:space="0" w:color="auto"/>
            <w:bottom w:val="none" w:sz="0" w:space="0" w:color="auto"/>
            <w:right w:val="none" w:sz="0" w:space="0" w:color="auto"/>
          </w:divBdr>
          <w:divsChild>
            <w:div w:id="582185640">
              <w:marLeft w:val="0"/>
              <w:marRight w:val="0"/>
              <w:marTop w:val="0"/>
              <w:marBottom w:val="0"/>
              <w:divBdr>
                <w:top w:val="none" w:sz="0" w:space="0" w:color="auto"/>
                <w:left w:val="none" w:sz="0" w:space="0" w:color="auto"/>
                <w:bottom w:val="none" w:sz="0" w:space="0" w:color="auto"/>
                <w:right w:val="none" w:sz="0" w:space="0" w:color="auto"/>
              </w:divBdr>
              <w:divsChild>
                <w:div w:id="20837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image" Target="media/image3.png"/><Relationship Id="rId39" Type="http://schemas.openxmlformats.org/officeDocument/2006/relationships/hyperlink" Target="http://www.fta.dot.gov/fta/library/admin/BPPM/appA1.html" TargetMode="External"/><Relationship Id="rId21" Type="http://schemas.openxmlformats.org/officeDocument/2006/relationships/image" Target="media/image2.wmf"/><Relationship Id="rId34" Type="http://schemas.openxmlformats.org/officeDocument/2006/relationships/header" Target="header5.xml"/><Relationship Id="rId42" Type="http://schemas.openxmlformats.org/officeDocument/2006/relationships/header" Target="header8.xml"/><Relationship Id="rId47" Type="http://schemas.openxmlformats.org/officeDocument/2006/relationships/hyperlink" Target="mailto:TIFIACredit@dot.gov" TargetMode="External"/><Relationship Id="rId50" Type="http://schemas.openxmlformats.org/officeDocument/2006/relationships/footer" Target="footer11.xml"/><Relationship Id="rId55" Type="http://schemas.openxmlformats.org/officeDocument/2006/relationships/header" Target="header13.xml"/><Relationship Id="rId63" Type="http://schemas.openxmlformats.org/officeDocument/2006/relationships/footer" Target="footer18.xml"/><Relationship Id="rId68" Type="http://schemas.openxmlformats.org/officeDocument/2006/relationships/header" Target="header18.xml"/><Relationship Id="rId7" Type="http://schemas.openxmlformats.org/officeDocument/2006/relationships/footnotes" Target="footnotes.xml"/><Relationship Id="rId71" Type="http://schemas.openxmlformats.org/officeDocument/2006/relationships/footer" Target="footer22.xml"/><Relationship Id="rId2" Type="http://schemas.openxmlformats.org/officeDocument/2006/relationships/numbering" Target="numbering.xml"/><Relationship Id="rId16" Type="http://schemas.openxmlformats.org/officeDocument/2006/relationships/hyperlink" Target="http://www.fhwa.dot.gov/ipd/tifia/guidance_applications/tifia_applications.htm" TargetMode="External"/><Relationship Id="rId29" Type="http://schemas.openxmlformats.org/officeDocument/2006/relationships/image" Target="media/image6.png"/><Relationship Id="rId11" Type="http://schemas.openxmlformats.org/officeDocument/2006/relationships/footer" Target="footer1.xml"/><Relationship Id="rId24" Type="http://schemas.openxmlformats.org/officeDocument/2006/relationships/hyperlink" Target="https://www.treasurydirect.gov/GA-SL/SLGS/selectSLGSDate.htm" TargetMode="External"/><Relationship Id="rId32" Type="http://schemas.openxmlformats.org/officeDocument/2006/relationships/image" Target="media/image9.emf"/><Relationship Id="rId37" Type="http://schemas.openxmlformats.org/officeDocument/2006/relationships/footer" Target="footer6.xml"/><Relationship Id="rId40" Type="http://schemas.openxmlformats.org/officeDocument/2006/relationships/image" Target="media/image11.jpeg"/><Relationship Id="rId45" Type="http://schemas.openxmlformats.org/officeDocument/2006/relationships/footer" Target="footer10.xml"/><Relationship Id="rId53" Type="http://schemas.openxmlformats.org/officeDocument/2006/relationships/footer" Target="footer13.xml"/><Relationship Id="rId58" Type="http://schemas.openxmlformats.org/officeDocument/2006/relationships/header" Target="header14.xml"/><Relationship Id="rId66" Type="http://schemas.openxmlformats.org/officeDocument/2006/relationships/hyperlink" Target="http://www.fhwa.dot.gov/ipd/tifia" TargetMode="External"/><Relationship Id="rId5" Type="http://schemas.openxmlformats.org/officeDocument/2006/relationships/settings" Target="settings.xml"/><Relationship Id="rId15" Type="http://schemas.openxmlformats.org/officeDocument/2006/relationships/hyperlink" Target="http://www.fhwa.dot.gov/ipd/tifia/legislation_regulations/index.htm" TargetMode="External"/><Relationship Id="rId23" Type="http://schemas.openxmlformats.org/officeDocument/2006/relationships/hyperlink" Target="http://www.fhwa.dot.gov/ipd/tifia" TargetMode="External"/><Relationship Id="rId28" Type="http://schemas.openxmlformats.org/officeDocument/2006/relationships/image" Target="media/image5.emf"/><Relationship Id="rId36" Type="http://schemas.openxmlformats.org/officeDocument/2006/relationships/footer" Target="footer5.xml"/><Relationship Id="rId49" Type="http://schemas.openxmlformats.org/officeDocument/2006/relationships/header" Target="header10.xml"/><Relationship Id="rId57" Type="http://schemas.openxmlformats.org/officeDocument/2006/relationships/footer" Target="footer15.xml"/><Relationship Id="rId61"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image" Target="media/image8.emf"/><Relationship Id="rId44" Type="http://schemas.openxmlformats.org/officeDocument/2006/relationships/footer" Target="footer9.xml"/><Relationship Id="rId52" Type="http://schemas.openxmlformats.org/officeDocument/2006/relationships/header" Target="header11.xml"/><Relationship Id="rId60" Type="http://schemas.openxmlformats.org/officeDocument/2006/relationships/header" Target="header15.xml"/><Relationship Id="rId65" Type="http://schemas.openxmlformats.org/officeDocument/2006/relationships/hyperlink" Target="mailto:Credit@dot.gov"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fhwa.dot.gov/ipd/tifia" TargetMode="External"/><Relationship Id="rId22" Type="http://schemas.openxmlformats.org/officeDocument/2006/relationships/hyperlink" Target="https://www.treasurydirect.gov/GA-SL/SLGS/selectSLGSDate.htm" TargetMode="External"/><Relationship Id="rId27" Type="http://schemas.openxmlformats.org/officeDocument/2006/relationships/image" Target="media/image4.emf"/><Relationship Id="rId30" Type="http://schemas.openxmlformats.org/officeDocument/2006/relationships/image" Target="media/image7.png"/><Relationship Id="rId35" Type="http://schemas.openxmlformats.org/officeDocument/2006/relationships/header" Target="header6.xml"/><Relationship Id="rId43" Type="http://schemas.openxmlformats.org/officeDocument/2006/relationships/footer" Target="footer8.xml"/><Relationship Id="rId48" Type="http://schemas.openxmlformats.org/officeDocument/2006/relationships/header" Target="header9.xml"/><Relationship Id="rId56" Type="http://schemas.openxmlformats.org/officeDocument/2006/relationships/footer" Target="footer14.xml"/><Relationship Id="rId64" Type="http://schemas.openxmlformats.org/officeDocument/2006/relationships/footer" Target="footer19.xml"/><Relationship Id="rId69" Type="http://schemas.openxmlformats.org/officeDocument/2006/relationships/footer" Target="footer20.xml"/><Relationship Id="rId8" Type="http://schemas.openxmlformats.org/officeDocument/2006/relationships/endnotes" Target="endnotes.xml"/><Relationship Id="rId51" Type="http://schemas.openxmlformats.org/officeDocument/2006/relationships/footer" Target="footer12.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1.jpeg"/><Relationship Id="rId25" Type="http://schemas.openxmlformats.org/officeDocument/2006/relationships/hyperlink" Target="http://www.fhwa.dot.gov/ipd/tifia" TargetMode="External"/><Relationship Id="rId33" Type="http://schemas.openxmlformats.org/officeDocument/2006/relationships/image" Target="media/image10.png"/><Relationship Id="rId38" Type="http://schemas.openxmlformats.org/officeDocument/2006/relationships/footer" Target="footer7.xml"/><Relationship Id="rId46" Type="http://schemas.openxmlformats.org/officeDocument/2006/relationships/hyperlink" Target="http://www.fhwa.dot.gov/ipd/tifia" TargetMode="External"/><Relationship Id="rId59" Type="http://schemas.openxmlformats.org/officeDocument/2006/relationships/footer" Target="footer16.xml"/><Relationship Id="rId67" Type="http://schemas.openxmlformats.org/officeDocument/2006/relationships/header" Target="header17.xml"/><Relationship Id="rId20" Type="http://schemas.openxmlformats.org/officeDocument/2006/relationships/footer" Target="footer4.xml"/><Relationship Id="rId41" Type="http://schemas.openxmlformats.org/officeDocument/2006/relationships/header" Target="header7.xml"/><Relationship Id="rId54" Type="http://schemas.openxmlformats.org/officeDocument/2006/relationships/header" Target="header12.xml"/><Relationship Id="rId62" Type="http://schemas.openxmlformats.org/officeDocument/2006/relationships/footer" Target="footer17.xml"/><Relationship Id="rId70"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D3DBA-F8DA-4F51-9D23-0B6D79E6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62</Pages>
  <Words>19496</Words>
  <Characters>111596</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TIFIA Program Guide - Chapters 1-7</vt:lpstr>
    </vt:vector>
  </TitlesOfParts>
  <Company>Jones Lang LaSalle</Company>
  <LinksUpToDate>false</LinksUpToDate>
  <CharactersWithSpaces>130831</CharactersWithSpaces>
  <SharedDoc>false</SharedDoc>
  <HLinks>
    <vt:vector size="60" baseType="variant">
      <vt:variant>
        <vt:i4>7471179</vt:i4>
      </vt:variant>
      <vt:variant>
        <vt:i4>27</vt:i4>
      </vt:variant>
      <vt:variant>
        <vt:i4>0</vt:i4>
      </vt:variant>
      <vt:variant>
        <vt:i4>5</vt:i4>
      </vt:variant>
      <vt:variant>
        <vt:lpwstr>mailto:TIFIACredit@dot.gov</vt:lpwstr>
      </vt:variant>
      <vt:variant>
        <vt:lpwstr/>
      </vt:variant>
      <vt:variant>
        <vt:i4>4849735</vt:i4>
      </vt:variant>
      <vt:variant>
        <vt:i4>24</vt:i4>
      </vt:variant>
      <vt:variant>
        <vt:i4>0</vt:i4>
      </vt:variant>
      <vt:variant>
        <vt:i4>5</vt:i4>
      </vt:variant>
      <vt:variant>
        <vt:lpwstr>http://www.fhwa.dot.gov/ipd/tifia</vt:lpwstr>
      </vt:variant>
      <vt:variant>
        <vt:lpwstr/>
      </vt:variant>
      <vt:variant>
        <vt:i4>4456460</vt:i4>
      </vt:variant>
      <vt:variant>
        <vt:i4>21</vt:i4>
      </vt:variant>
      <vt:variant>
        <vt:i4>0</vt:i4>
      </vt:variant>
      <vt:variant>
        <vt:i4>5</vt:i4>
      </vt:variant>
      <vt:variant>
        <vt:lpwstr>http://www.fta.dot.gov/fta/library/admin/BPPM/appA1.html</vt:lpwstr>
      </vt:variant>
      <vt:variant>
        <vt:lpwstr/>
      </vt:variant>
      <vt:variant>
        <vt:i4>4849735</vt:i4>
      </vt:variant>
      <vt:variant>
        <vt:i4>18</vt:i4>
      </vt:variant>
      <vt:variant>
        <vt:i4>0</vt:i4>
      </vt:variant>
      <vt:variant>
        <vt:i4>5</vt:i4>
      </vt:variant>
      <vt:variant>
        <vt:lpwstr>http://www.fhwa.dot.gov/ipd/tifia</vt:lpwstr>
      </vt:variant>
      <vt:variant>
        <vt:lpwstr/>
      </vt:variant>
      <vt:variant>
        <vt:i4>4784203</vt:i4>
      </vt:variant>
      <vt:variant>
        <vt:i4>15</vt:i4>
      </vt:variant>
      <vt:variant>
        <vt:i4>0</vt:i4>
      </vt:variant>
      <vt:variant>
        <vt:i4>5</vt:i4>
      </vt:variant>
      <vt:variant>
        <vt:lpwstr>https://www.treasurydirect.gov/GA-SL/SLGS/selectSLGSDate.htm</vt:lpwstr>
      </vt:variant>
      <vt:variant>
        <vt:lpwstr/>
      </vt:variant>
      <vt:variant>
        <vt:i4>4849735</vt:i4>
      </vt:variant>
      <vt:variant>
        <vt:i4>12</vt:i4>
      </vt:variant>
      <vt:variant>
        <vt:i4>0</vt:i4>
      </vt:variant>
      <vt:variant>
        <vt:i4>5</vt:i4>
      </vt:variant>
      <vt:variant>
        <vt:lpwstr>http://www.fhwa.dot.gov/ipd/tifia</vt:lpwstr>
      </vt:variant>
      <vt:variant>
        <vt:lpwstr/>
      </vt:variant>
      <vt:variant>
        <vt:i4>4784203</vt:i4>
      </vt:variant>
      <vt:variant>
        <vt:i4>9</vt:i4>
      </vt:variant>
      <vt:variant>
        <vt:i4>0</vt:i4>
      </vt:variant>
      <vt:variant>
        <vt:i4>5</vt:i4>
      </vt:variant>
      <vt:variant>
        <vt:lpwstr>https://www.treasurydirect.gov/GA-SL/SLGS/selectSLGSDate.htm</vt:lpwstr>
      </vt:variant>
      <vt:variant>
        <vt:lpwstr/>
      </vt:variant>
      <vt:variant>
        <vt:i4>7471179</vt:i4>
      </vt:variant>
      <vt:variant>
        <vt:i4>6</vt:i4>
      </vt:variant>
      <vt:variant>
        <vt:i4>0</vt:i4>
      </vt:variant>
      <vt:variant>
        <vt:i4>5</vt:i4>
      </vt:variant>
      <vt:variant>
        <vt:lpwstr>mailto:TIFIACredit@dot.gov</vt:lpwstr>
      </vt:variant>
      <vt:variant>
        <vt:lpwstr/>
      </vt:variant>
      <vt:variant>
        <vt:i4>4784180</vt:i4>
      </vt:variant>
      <vt:variant>
        <vt:i4>3</vt:i4>
      </vt:variant>
      <vt:variant>
        <vt:i4>0</vt:i4>
      </vt:variant>
      <vt:variant>
        <vt:i4>5</vt:i4>
      </vt:variant>
      <vt:variant>
        <vt:lpwstr>http://www.fhwa.dot.gov/ipd/tifia/legislation_regulations/index.htm</vt:lpwstr>
      </vt:variant>
      <vt:variant>
        <vt:lpwstr/>
      </vt:variant>
      <vt:variant>
        <vt:i4>4849735</vt:i4>
      </vt:variant>
      <vt:variant>
        <vt:i4>0</vt:i4>
      </vt:variant>
      <vt:variant>
        <vt:i4>0</vt:i4>
      </vt:variant>
      <vt:variant>
        <vt:i4>5</vt:i4>
      </vt:variant>
      <vt:variant>
        <vt:lpwstr>http://www.fhwa.dot.gov/ipd/tifia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TIFIA Program Guide - Chapters 1-7</dc:title>
  <dc:creator>J Rice</dc:creator>
  <cp:lastModifiedBy>JCP</cp:lastModifiedBy>
  <cp:revision>3</cp:revision>
  <cp:lastPrinted>2012-05-29T22:13:00Z</cp:lastPrinted>
  <dcterms:created xsi:type="dcterms:W3CDTF">2013-07-17T19:13:00Z</dcterms:created>
  <dcterms:modified xsi:type="dcterms:W3CDTF">2013-07-17T21:26:00Z</dcterms:modified>
</cp:coreProperties>
</file>