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FINAL OFFICE OF MANAGEMENT AND BUDGET</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SUPPORTING STATEMENT</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FOR</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NRC FORM 327</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"SPECIAL NUCLEAR MATERIAL AND SOURCE MATERIAL</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PHYSICAL INVENTORY SUMMARY REPORT"</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AND</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NUREG/BR-0096</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"INSTRUCTIONS AND GUIDANCE FOR COMPLETING</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PHYSICAL INVENTORY SUMMARY REPORTS"</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(3150-0139)</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w:t>
      </w:r>
    </w:p>
    <w:p w:rsidR="00EA2509" w:rsidRPr="00EA2509" w:rsidRDefault="00EA2509" w:rsidP="00EA2509">
      <w:pPr>
        <w:tabs>
          <w:tab w:val="center" w:pos="4680"/>
        </w:tabs>
        <w:autoSpaceDE w:val="0"/>
        <w:autoSpaceDN w:val="0"/>
        <w:adjustRightInd w:val="0"/>
        <w:spacing w:line="240" w:lineRule="auto"/>
        <w:jc w:val="center"/>
        <w:rPr>
          <w:rFonts w:eastAsia="Times New Roman"/>
        </w:rPr>
      </w:pPr>
      <w:r w:rsidRPr="00EA2509">
        <w:rPr>
          <w:rFonts w:eastAsia="Times New Roman"/>
        </w:rPr>
        <w:t xml:space="preserve">EXTENSION </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rPr>
          <w:rFonts w:eastAsia="Times New Roman"/>
        </w:rPr>
      </w:pPr>
      <w:r w:rsidRPr="00EA2509">
        <w:rPr>
          <w:rFonts w:eastAsia="Times New Roman"/>
          <w:u w:val="single"/>
        </w:rPr>
        <w:t>Description of the Information Collection</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rPr>
          <w:rFonts w:eastAsia="Times New Roman"/>
        </w:rPr>
      </w:pPr>
      <w:r w:rsidRPr="00EA2509">
        <w:rPr>
          <w:rFonts w:eastAsia="Times New Roman"/>
        </w:rPr>
        <w:t xml:space="preserve">Special nuclear material (SNM) is required to be controlled and accounted for because of the government's national security obligation to prevent or detect loss, diversion or theft, or the appearance thereof, of quantities of SNM that could be used for clandestine nuclear devices.  To meet this obligation, U.S. Nuclear Regulatory Commission’s (NRC's) safeguards Material Control and Accounting regulations for fuel facilities require the conduct of physical inventories of SNM on a periodic basis by licensees.  Title 10 of </w:t>
      </w:r>
      <w:r w:rsidRPr="00EA2509">
        <w:rPr>
          <w:rFonts w:eastAsia="Times New Roman"/>
          <w:i/>
        </w:rPr>
        <w:t>Code of Federal Regulations</w:t>
      </w:r>
      <w:r w:rsidRPr="00EA2509">
        <w:rPr>
          <w:rFonts w:eastAsia="Times New Roman"/>
        </w:rPr>
        <w:t xml:space="preserve"> (10 CFR) Part 74.17 requires the reporting of physical inventory results on NRC Form 327 each time that a physical inventory is conducted by any fuel facility authorized to possess and use more than one effective kilogram of SNM.  </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tabs>
          <w:tab w:val="left" w:pos="-1440"/>
        </w:tabs>
        <w:autoSpaceDE w:val="0"/>
        <w:autoSpaceDN w:val="0"/>
        <w:adjustRightInd w:val="0"/>
        <w:spacing w:line="240" w:lineRule="auto"/>
        <w:ind w:left="720" w:hanging="720"/>
        <w:rPr>
          <w:rFonts w:eastAsia="Times New Roman"/>
        </w:rPr>
      </w:pPr>
      <w:r w:rsidRPr="00EA2509">
        <w:rPr>
          <w:rFonts w:eastAsia="Times New Roman"/>
        </w:rPr>
        <w:t>A.</w:t>
      </w:r>
      <w:r w:rsidRPr="00EA2509">
        <w:rPr>
          <w:rFonts w:eastAsia="Times New Roman"/>
        </w:rPr>
        <w:tab/>
      </w:r>
      <w:r w:rsidRPr="00EA2509">
        <w:rPr>
          <w:rFonts w:eastAsia="Times New Roman"/>
          <w:u w:val="single"/>
        </w:rPr>
        <w:t>JUSTIFICATION</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1.</w:t>
      </w:r>
      <w:r w:rsidRPr="00EA2509">
        <w:rPr>
          <w:rFonts w:eastAsia="Times New Roman"/>
        </w:rPr>
        <w:tab/>
      </w:r>
      <w:r w:rsidRPr="00EA2509">
        <w:rPr>
          <w:rFonts w:eastAsia="Times New Roman"/>
          <w:u w:val="single"/>
        </w:rPr>
        <w:t>Need for and Practical Utility of the Information</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NRC Form 327 requires that licensees submit information concerning inventory difference (ID), standard error of the ID (SEID), SEID limit, and ID limit.  The information is needed to permit NRC to evaluate licensee performance and ability to provide accurate accounting for SNM and to confirm the absence of (or detect the occurrence of) SNM theft or diversion.  The information provided by NRC Form 327 is used for:</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tabs>
          <w:tab w:val="left" w:pos="-1440"/>
        </w:tabs>
        <w:autoSpaceDE w:val="0"/>
        <w:autoSpaceDN w:val="0"/>
        <w:adjustRightInd w:val="0"/>
        <w:spacing w:line="240" w:lineRule="auto"/>
        <w:ind w:left="1440" w:hanging="1440"/>
        <w:rPr>
          <w:rFonts w:eastAsia="Times New Roman"/>
        </w:rPr>
      </w:pPr>
      <w:r w:rsidRPr="00EA2509">
        <w:rPr>
          <w:rFonts w:eastAsia="Times New Roman"/>
        </w:rPr>
        <w:t xml:space="preserve"> </w:t>
      </w:r>
      <w:r w:rsidRPr="00EA2509">
        <w:rPr>
          <w:rFonts w:eastAsia="Times New Roman"/>
        </w:rPr>
        <w:tab/>
        <w:t>1)</w:t>
      </w:r>
      <w:r w:rsidRPr="00EA2509">
        <w:rPr>
          <w:rFonts w:eastAsia="Times New Roman"/>
        </w:rPr>
        <w:tab/>
        <w:t>Determining whether SNM is lost, diverted, or stolen;</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tabs>
          <w:tab w:val="left" w:pos="-1440"/>
        </w:tabs>
        <w:autoSpaceDE w:val="0"/>
        <w:autoSpaceDN w:val="0"/>
        <w:adjustRightInd w:val="0"/>
        <w:spacing w:line="240" w:lineRule="auto"/>
        <w:ind w:left="2160" w:hanging="720"/>
        <w:rPr>
          <w:rFonts w:eastAsia="Times New Roman"/>
        </w:rPr>
      </w:pPr>
      <w:r w:rsidRPr="00EA2509">
        <w:rPr>
          <w:rFonts w:eastAsia="Times New Roman"/>
        </w:rPr>
        <w:t>2)</w:t>
      </w:r>
      <w:r w:rsidRPr="00EA2509">
        <w:rPr>
          <w:rFonts w:eastAsia="Times New Roman"/>
        </w:rPr>
        <w:tab/>
        <w:t>Assessing the material control and accounting performance and compliance of SNM licensees;</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1440"/>
        <w:rPr>
          <w:rFonts w:eastAsia="Times New Roman"/>
        </w:rPr>
      </w:pPr>
      <w:r w:rsidRPr="00EA2509">
        <w:rPr>
          <w:rFonts w:eastAsia="Times New Roman"/>
        </w:rPr>
        <w:t>3)</w:t>
      </w:r>
      <w:r w:rsidRPr="00EA2509">
        <w:rPr>
          <w:rFonts w:eastAsia="Times New Roman"/>
        </w:rPr>
        <w:tab/>
        <w:t>Making safeguards regulatory decisions; and</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NUREG/BR-0096 provides specific guidance and instructions for completing the form in accordance with the requirements of the particular regulation a licensee is subject to.</w:t>
      </w:r>
    </w:p>
    <w:p w:rsidR="00EA2509" w:rsidRPr="00EA2509" w:rsidRDefault="00EA2509" w:rsidP="00EA2509">
      <w:pPr>
        <w:autoSpaceDE w:val="0"/>
        <w:autoSpaceDN w:val="0"/>
        <w:adjustRightInd w:val="0"/>
        <w:spacing w:line="240" w:lineRule="auto"/>
        <w:ind w:firstLine="720"/>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p>
    <w:p w:rsidR="00EA2509" w:rsidRPr="00EA2509" w:rsidRDefault="00EA2509" w:rsidP="00EA2509">
      <w:pPr>
        <w:autoSpaceDE w:val="0"/>
        <w:autoSpaceDN w:val="0"/>
        <w:adjustRightInd w:val="0"/>
        <w:spacing w:line="240" w:lineRule="auto"/>
        <w:ind w:firstLine="720"/>
        <w:rPr>
          <w:rFonts w:eastAsia="Times New Roman"/>
          <w:u w:val="single"/>
        </w:rPr>
      </w:pPr>
      <w:r w:rsidRPr="00EA2509">
        <w:rPr>
          <w:rFonts w:eastAsia="Times New Roman"/>
        </w:rPr>
        <w:lastRenderedPageBreak/>
        <w:t>2.</w:t>
      </w:r>
      <w:r w:rsidRPr="00EA2509">
        <w:rPr>
          <w:rFonts w:eastAsia="Times New Roman"/>
        </w:rPr>
        <w:tab/>
      </w:r>
      <w:r w:rsidRPr="00EA2509">
        <w:rPr>
          <w:rFonts w:eastAsia="Times New Roman"/>
          <w:u w:val="single"/>
        </w:rPr>
        <w:t>Agency Use of Information</w:t>
      </w:r>
    </w:p>
    <w:p w:rsidR="00EA2509" w:rsidRPr="00EA2509" w:rsidRDefault="00EA2509" w:rsidP="00EA2509">
      <w:pPr>
        <w:autoSpaceDE w:val="0"/>
        <w:autoSpaceDN w:val="0"/>
        <w:adjustRightInd w:val="0"/>
        <w:spacing w:line="240" w:lineRule="auto"/>
        <w:ind w:firstLine="720"/>
        <w:rPr>
          <w:rFonts w:eastAsia="Times New Roman"/>
        </w:rPr>
      </w:pPr>
    </w:p>
    <w:p w:rsidR="00064A02" w:rsidRDefault="00EA2509" w:rsidP="00EA2509">
      <w:pPr>
        <w:autoSpaceDE w:val="0"/>
        <w:autoSpaceDN w:val="0"/>
        <w:adjustRightInd w:val="0"/>
        <w:spacing w:line="240" w:lineRule="auto"/>
        <w:ind w:left="1440"/>
        <w:rPr>
          <w:rFonts w:eastAsia="Times New Roman"/>
        </w:rPr>
      </w:pPr>
      <w:r w:rsidRPr="00EA2509">
        <w:rPr>
          <w:rFonts w:eastAsia="Times New Roman"/>
        </w:rPr>
        <w:t xml:space="preserve">The NRC uses the information to ensure that licensees are complying with </w:t>
      </w:r>
    </w:p>
    <w:p w:rsidR="00EA2509" w:rsidRPr="00EA2509" w:rsidRDefault="00EA2509" w:rsidP="00EA2509">
      <w:pPr>
        <w:autoSpaceDE w:val="0"/>
        <w:autoSpaceDN w:val="0"/>
        <w:adjustRightInd w:val="0"/>
        <w:spacing w:line="240" w:lineRule="auto"/>
        <w:ind w:left="1440"/>
        <w:rPr>
          <w:rFonts w:eastAsia="Times New Roman"/>
        </w:rPr>
      </w:pPr>
      <w:bookmarkStart w:id="0" w:name="_GoBack"/>
      <w:bookmarkEnd w:id="0"/>
      <w:proofErr w:type="gramStart"/>
      <w:r w:rsidRPr="00EA2509">
        <w:rPr>
          <w:rFonts w:eastAsia="Times New Roman"/>
        </w:rPr>
        <w:t>10 CFR Part 74.17 in a manner adequate to properly account for SNM and protect public health and safety and the common defense and security.</w:t>
      </w:r>
      <w:proofErr w:type="gramEnd"/>
      <w:r w:rsidRPr="00EA2509">
        <w:rPr>
          <w:rFonts w:eastAsia="Times New Roman"/>
        </w:rPr>
        <w:t xml:space="preserve">  The information is also used by the NRC to evaluate licensees operations to ensure that they are meeting the requirements of their licenses.  </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3.</w:t>
      </w:r>
      <w:r w:rsidRPr="00EA2509">
        <w:rPr>
          <w:rFonts w:eastAsia="Times New Roman"/>
        </w:rPr>
        <w:tab/>
      </w:r>
      <w:r w:rsidRPr="00EA2509">
        <w:rPr>
          <w:rFonts w:eastAsia="Times New Roman"/>
          <w:u w:val="single"/>
        </w:rPr>
        <w:t xml:space="preserve">Reduction of Burden </w:t>
      </w:r>
      <w:proofErr w:type="gramStart"/>
      <w:r w:rsidRPr="00EA2509">
        <w:rPr>
          <w:rFonts w:eastAsia="Times New Roman"/>
          <w:u w:val="single"/>
        </w:rPr>
        <w:t>Through</w:t>
      </w:r>
      <w:proofErr w:type="gramEnd"/>
      <w:r w:rsidRPr="00EA2509">
        <w:rPr>
          <w:rFonts w:eastAsia="Times New Roman"/>
          <w:u w:val="single"/>
        </w:rPr>
        <w:t xml:space="preserve"> Information Technology</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There are no legal obstacles to reducing the burden associated with this information collection.  The NRC encourages respondents to use information technology when it would be beneficial to them.  NRC issued a regulation on October 10, 2003 (68 FR 58791), consistent with Government Paperwork Elimination Act, which allows its licensees, vendors, applicants, and members of the public the option to make submissions electronically via CD-ROM, e-mail, special Web-based interface, or other means.  It is estimated that approximately 60% of the potential responses are filed electronically.</w:t>
      </w:r>
    </w:p>
    <w:p w:rsidR="00EA2509" w:rsidRPr="00EA2509" w:rsidRDefault="00EA2509" w:rsidP="00EA2509">
      <w:pPr>
        <w:autoSpaceDE w:val="0"/>
        <w:autoSpaceDN w:val="0"/>
        <w:adjustRightInd w:val="0"/>
        <w:spacing w:line="240" w:lineRule="auto"/>
        <w:ind w:left="1440"/>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4.</w:t>
      </w:r>
      <w:r w:rsidRPr="00EA2509">
        <w:rPr>
          <w:rFonts w:eastAsia="Times New Roman"/>
        </w:rPr>
        <w:tab/>
      </w:r>
      <w:r w:rsidRPr="00EA2509">
        <w:rPr>
          <w:rFonts w:eastAsia="Times New Roman"/>
          <w:u w:val="single"/>
        </w:rPr>
        <w:t>Effort to Identify Duplication and Use Similar Information</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No sources of similar information are available.  There is no duplication of requirements.  NRC has in place an ongoing program to examine all information collections with the goal of eliminating all duplication and/or unnecessary information collections.</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5.</w:t>
      </w:r>
      <w:r w:rsidRPr="00EA2509">
        <w:rPr>
          <w:rFonts w:eastAsia="Times New Roman"/>
        </w:rPr>
        <w:tab/>
      </w:r>
      <w:r w:rsidRPr="00EA2509">
        <w:rPr>
          <w:rFonts w:eastAsia="Times New Roman"/>
          <w:u w:val="single"/>
        </w:rPr>
        <w:t>Effort to Reduce Small Business Burden</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NRC has determined that the licensees required to submit NRC Form 327 are not small entities as that term is defined in the Regulatory Flexibility Act.</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tabs>
          <w:tab w:val="left" w:pos="-1440"/>
        </w:tabs>
        <w:autoSpaceDE w:val="0"/>
        <w:autoSpaceDN w:val="0"/>
        <w:adjustRightInd w:val="0"/>
        <w:spacing w:line="240" w:lineRule="auto"/>
        <w:ind w:left="1440" w:hanging="720"/>
        <w:rPr>
          <w:rFonts w:eastAsia="Times New Roman"/>
        </w:rPr>
      </w:pPr>
      <w:r w:rsidRPr="00EA2509">
        <w:rPr>
          <w:rFonts w:eastAsia="Times New Roman"/>
        </w:rPr>
        <w:t>6.</w:t>
      </w:r>
      <w:r w:rsidRPr="00EA2509">
        <w:rPr>
          <w:rFonts w:eastAsia="Times New Roman"/>
        </w:rPr>
        <w:tab/>
      </w:r>
      <w:r w:rsidRPr="00EA2509">
        <w:rPr>
          <w:rFonts w:eastAsia="Times New Roman"/>
          <w:u w:val="single"/>
        </w:rPr>
        <w:t xml:space="preserve">Consequences to Federal Programs or Policy Activities if the Collection is not </w:t>
      </w:r>
      <w:proofErr w:type="gramStart"/>
      <w:r w:rsidRPr="00EA2509">
        <w:rPr>
          <w:rFonts w:eastAsia="Times New Roman"/>
          <w:u w:val="single"/>
        </w:rPr>
        <w:t>Conducted</w:t>
      </w:r>
      <w:proofErr w:type="gramEnd"/>
      <w:r w:rsidRPr="00EA2509">
        <w:rPr>
          <w:rFonts w:eastAsia="Times New Roman"/>
          <w:u w:val="single"/>
        </w:rPr>
        <w:t xml:space="preserve"> or is Conducted Less Frequently</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The reporting corresponds to the physical inventory frequencies required by NRC regulations.  The frequency depends on which regulation (regarding physical inventories) a licensee is subject to, which in turn depends on the category of SNM possessed by the licensee and the level of control and monitoring requirements imposed.  Less frequent reporting would result in (1) unacceptable delays in determining whether a safeguards significant quantity of SNM had been lost, diverted, or stolen; (2) inadequate NRC knowledge of a licensee's current processing throughput; and (3) inadequate NRC knowledge of a licensee's current measurement capabilities.</w:t>
      </w:r>
    </w:p>
    <w:p w:rsidR="00EA2509" w:rsidRPr="00EA2509" w:rsidRDefault="00EA2509" w:rsidP="00EA2509">
      <w:pPr>
        <w:autoSpaceDE w:val="0"/>
        <w:autoSpaceDN w:val="0"/>
        <w:adjustRightInd w:val="0"/>
        <w:spacing w:line="240" w:lineRule="auto"/>
        <w:ind w:firstLine="720"/>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7.</w:t>
      </w:r>
      <w:r w:rsidRPr="00EA2509">
        <w:rPr>
          <w:rFonts w:eastAsia="Times New Roman"/>
        </w:rPr>
        <w:tab/>
      </w:r>
      <w:r w:rsidRPr="00EA2509">
        <w:rPr>
          <w:rFonts w:eastAsia="Times New Roman"/>
          <w:u w:val="single"/>
        </w:rPr>
        <w:t>Circumstances Which Justify Variation from OMB Guidelines</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1440"/>
        <w:rPr>
          <w:rFonts w:eastAsia="Times New Roman"/>
        </w:rPr>
      </w:pPr>
      <w:r w:rsidRPr="00EA2509">
        <w:rPr>
          <w:rFonts w:eastAsia="Times New Roman"/>
        </w:rPr>
        <w:t>There is no variation from OMB guidelines.</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8.</w:t>
      </w:r>
      <w:r w:rsidRPr="00EA2509">
        <w:rPr>
          <w:rFonts w:eastAsia="Times New Roman"/>
        </w:rPr>
        <w:tab/>
      </w:r>
      <w:r w:rsidRPr="00EA2509">
        <w:rPr>
          <w:rFonts w:eastAsia="Times New Roman"/>
          <w:u w:val="single"/>
        </w:rPr>
        <w:t>Consultations Outside of the NRC</w:t>
      </w:r>
    </w:p>
    <w:p w:rsidR="00EA2509" w:rsidRPr="00EA2509" w:rsidRDefault="00EA2509" w:rsidP="00EA2509">
      <w:pPr>
        <w:autoSpaceDE w:val="0"/>
        <w:autoSpaceDN w:val="0"/>
        <w:adjustRightInd w:val="0"/>
        <w:spacing w:line="240" w:lineRule="auto"/>
        <w:rPr>
          <w:rFonts w:eastAsia="Times New Roman"/>
        </w:rPr>
      </w:pPr>
    </w:p>
    <w:p w:rsidR="00EA2509" w:rsidRDefault="00EA2509" w:rsidP="00EA2509">
      <w:pPr>
        <w:widowControl w:val="0"/>
        <w:autoSpaceDE w:val="0"/>
        <w:autoSpaceDN w:val="0"/>
        <w:adjustRightInd w:val="0"/>
        <w:spacing w:line="240" w:lineRule="auto"/>
        <w:ind w:left="1440"/>
        <w:rPr>
          <w:rFonts w:eastAsia="Times New Roman" w:cs="Times New Roman"/>
          <w:szCs w:val="24"/>
        </w:rPr>
        <w:sectPr w:rsidR="00EA2509" w:rsidSect="004A36EB">
          <w:headerReference w:type="default" r:id="rId8"/>
          <w:footerReference w:type="default" r:id="rId9"/>
          <w:pgSz w:w="12240" w:h="15840"/>
          <w:pgMar w:top="1440" w:right="1440" w:bottom="1440" w:left="1440" w:header="720" w:footer="720" w:gutter="0"/>
          <w:pgNumType w:start="1"/>
          <w:cols w:space="720"/>
          <w:noEndnote/>
          <w:titlePg/>
          <w:docGrid w:linePitch="326"/>
        </w:sectPr>
      </w:pPr>
      <w:r w:rsidRPr="00EA2509">
        <w:rPr>
          <w:rFonts w:eastAsia="Times New Roman" w:cs="Times New Roman"/>
          <w:szCs w:val="24"/>
        </w:rPr>
        <w:t xml:space="preserve">Opportunity for public comment on the information collection requirements for </w:t>
      </w:r>
    </w:p>
    <w:p w:rsidR="00EA2509" w:rsidRDefault="00EA2509" w:rsidP="00EA2509">
      <w:pPr>
        <w:widowControl w:val="0"/>
        <w:autoSpaceDE w:val="0"/>
        <w:autoSpaceDN w:val="0"/>
        <w:adjustRightInd w:val="0"/>
        <w:spacing w:line="240" w:lineRule="auto"/>
        <w:ind w:left="1440"/>
        <w:rPr>
          <w:rFonts w:eastAsia="Times New Roman" w:cs="Times New Roman"/>
          <w:szCs w:val="24"/>
        </w:rPr>
      </w:pPr>
      <w:proofErr w:type="gramStart"/>
      <w:r w:rsidRPr="00EA2509">
        <w:rPr>
          <w:rFonts w:eastAsia="Times New Roman" w:cs="Times New Roman"/>
          <w:szCs w:val="24"/>
        </w:rPr>
        <w:lastRenderedPageBreak/>
        <w:t>this</w:t>
      </w:r>
      <w:proofErr w:type="gramEnd"/>
      <w:r w:rsidRPr="00EA2509">
        <w:rPr>
          <w:rFonts w:eastAsia="Times New Roman" w:cs="Times New Roman"/>
          <w:szCs w:val="24"/>
        </w:rPr>
        <w:t xml:space="preserve"> clearance package was published in the </w:t>
      </w:r>
      <w:r w:rsidRPr="00EA2509">
        <w:rPr>
          <w:rFonts w:eastAsia="Times New Roman" w:cs="Times New Roman"/>
          <w:i/>
          <w:szCs w:val="24"/>
        </w:rPr>
        <w:t xml:space="preserve">Federal Register </w:t>
      </w:r>
      <w:r w:rsidR="00B8616B">
        <w:rPr>
          <w:rFonts w:eastAsia="Times New Roman" w:cs="Times New Roman"/>
          <w:szCs w:val="24"/>
        </w:rPr>
        <w:t>on August 2, 2</w:t>
      </w:r>
      <w:r w:rsidRPr="00EA2509">
        <w:rPr>
          <w:rFonts w:eastAsia="Times New Roman" w:cs="Times New Roman"/>
          <w:szCs w:val="24"/>
        </w:rPr>
        <w:t>013 (78 FR 47009).  No comments were received.</w:t>
      </w:r>
    </w:p>
    <w:p w:rsidR="00EA6587" w:rsidRPr="00EA2509" w:rsidRDefault="00EA6587" w:rsidP="00EA2509">
      <w:pPr>
        <w:widowControl w:val="0"/>
        <w:autoSpaceDE w:val="0"/>
        <w:autoSpaceDN w:val="0"/>
        <w:adjustRightInd w:val="0"/>
        <w:spacing w:line="240" w:lineRule="auto"/>
        <w:ind w:left="1440"/>
        <w:rPr>
          <w:rFonts w:eastAsia="Times New Roman" w:cs="Times New Roman"/>
          <w:szCs w:val="24"/>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9.</w:t>
      </w:r>
      <w:r w:rsidRPr="00EA2509">
        <w:rPr>
          <w:rFonts w:eastAsia="Times New Roman"/>
        </w:rPr>
        <w:tab/>
      </w:r>
      <w:r w:rsidRPr="00EA2509">
        <w:rPr>
          <w:rFonts w:eastAsia="Times New Roman"/>
          <w:u w:val="single"/>
        </w:rPr>
        <w:t>Payment or Gift to Respondents</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1440"/>
        <w:rPr>
          <w:rFonts w:eastAsia="Times New Roman"/>
        </w:rPr>
      </w:pPr>
      <w:r w:rsidRPr="00EA2509">
        <w:rPr>
          <w:rFonts w:eastAsia="Times New Roman"/>
        </w:rPr>
        <w:t>Not applicable.</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10.</w:t>
      </w:r>
      <w:r w:rsidRPr="00EA2509">
        <w:rPr>
          <w:rFonts w:eastAsia="Times New Roman"/>
        </w:rPr>
        <w:tab/>
      </w:r>
      <w:r w:rsidRPr="00EA2509">
        <w:rPr>
          <w:rFonts w:eastAsia="Times New Roman"/>
          <w:u w:val="single"/>
        </w:rPr>
        <w:t>Confidentiality of Information</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Confidential and proprietary information is protected in accordance with NRC regulation at 10 CFR 9.17(a) and 10 CFR 2.390(b).  However, no information normally considered confidential or proprietary is requested.</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u w:val="single"/>
        </w:rPr>
      </w:pPr>
      <w:r w:rsidRPr="00EA2509">
        <w:rPr>
          <w:rFonts w:eastAsia="Times New Roman"/>
        </w:rPr>
        <w:t>11.</w:t>
      </w:r>
      <w:r w:rsidRPr="00EA2509">
        <w:rPr>
          <w:rFonts w:eastAsia="Times New Roman"/>
        </w:rPr>
        <w:tab/>
      </w:r>
      <w:r w:rsidRPr="00EA2509">
        <w:rPr>
          <w:rFonts w:eastAsia="Times New Roman"/>
          <w:u w:val="single"/>
        </w:rPr>
        <w:t>Justification for Sensitive Questions</w:t>
      </w:r>
    </w:p>
    <w:p w:rsidR="00EA2509" w:rsidRPr="00EA2509" w:rsidRDefault="00EA2509" w:rsidP="00EA2509">
      <w:pPr>
        <w:autoSpaceDE w:val="0"/>
        <w:autoSpaceDN w:val="0"/>
        <w:adjustRightInd w:val="0"/>
        <w:spacing w:line="240" w:lineRule="auto"/>
        <w:rPr>
          <w:rFonts w:eastAsia="Times New Roman"/>
          <w:u w:val="single"/>
        </w:rPr>
      </w:pPr>
    </w:p>
    <w:p w:rsidR="00EA2509" w:rsidRPr="00EA2509" w:rsidRDefault="00EA2509" w:rsidP="00EA2509">
      <w:pPr>
        <w:autoSpaceDE w:val="0"/>
        <w:autoSpaceDN w:val="0"/>
        <w:adjustRightInd w:val="0"/>
        <w:spacing w:line="240" w:lineRule="auto"/>
        <w:ind w:left="1440"/>
        <w:rPr>
          <w:rFonts w:eastAsia="Times New Roman"/>
        </w:rPr>
      </w:pPr>
      <w:proofErr w:type="gramStart"/>
      <w:r w:rsidRPr="00EA2509">
        <w:rPr>
          <w:rFonts w:eastAsia="Times New Roman"/>
        </w:rPr>
        <w:t>None.</w:t>
      </w:r>
      <w:proofErr w:type="gramEnd"/>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12.</w:t>
      </w:r>
      <w:r w:rsidRPr="00EA2509">
        <w:rPr>
          <w:rFonts w:eastAsia="Times New Roman"/>
        </w:rPr>
        <w:tab/>
      </w:r>
      <w:r w:rsidRPr="00EA2509">
        <w:rPr>
          <w:rFonts w:eastAsia="Times New Roman"/>
          <w:u w:val="single"/>
        </w:rPr>
        <w:t>Estimate of Annualized Burden and Burden Hour Cost</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As noted above, the reporting frequency depends on which regulation (regarding physical inventories) a licensee is subject to, which in turn depends on the category of SNM possessed by the licensee and the level of control and monitoring requirements imposed.  The number of forms to be received is estimated as follows:</w:t>
      </w:r>
    </w:p>
    <w:p w:rsidR="00EA2509" w:rsidRPr="00EA2509" w:rsidRDefault="00EA2509" w:rsidP="00EA2509">
      <w:pPr>
        <w:autoSpaceDE w:val="0"/>
        <w:autoSpaceDN w:val="0"/>
        <w:adjustRightInd w:val="0"/>
        <w:spacing w:line="240" w:lineRule="auto"/>
        <w:ind w:left="1440"/>
        <w:rPr>
          <w:rFonts w:eastAsia="Times New Roman"/>
        </w:rPr>
      </w:pPr>
    </w:p>
    <w:p w:rsidR="00EA2509" w:rsidRPr="00EA6587" w:rsidRDefault="00EA2509" w:rsidP="00EA2509">
      <w:pPr>
        <w:widowControl w:val="0"/>
        <w:numPr>
          <w:ilvl w:val="0"/>
          <w:numId w:val="1"/>
        </w:numPr>
        <w:autoSpaceDE w:val="0"/>
        <w:autoSpaceDN w:val="0"/>
        <w:adjustRightInd w:val="0"/>
        <w:spacing w:line="240" w:lineRule="auto"/>
        <w:rPr>
          <w:rFonts w:eastAsia="Times New Roman"/>
          <w:u w:val="single"/>
        </w:rPr>
      </w:pPr>
      <w:r w:rsidRPr="00EA2509">
        <w:rPr>
          <w:rFonts w:eastAsia="Times New Roman"/>
        </w:rPr>
        <w:t>There are currently two uranium enrichment facilities that are required to conduct dynamic physical inventories every 2 months and static physical inventories every 12 months.  Each of these facilities submits 9 reports per year (5 bimonthly reports plus one combined annual/bimonthly report for material in cascade, low-enriched uranium, natural uranium and depleted uranium).  These facilities submit a total of 18 reports (9 reports annually x 2 facilities).</w:t>
      </w:r>
    </w:p>
    <w:p w:rsidR="00EA6587" w:rsidRPr="00EA2509" w:rsidRDefault="00EA6587" w:rsidP="00EA6587">
      <w:pPr>
        <w:widowControl w:val="0"/>
        <w:autoSpaceDE w:val="0"/>
        <w:autoSpaceDN w:val="0"/>
        <w:adjustRightInd w:val="0"/>
        <w:spacing w:line="240" w:lineRule="auto"/>
        <w:ind w:left="2160"/>
        <w:rPr>
          <w:rFonts w:eastAsia="Times New Roman"/>
          <w:u w:val="single"/>
        </w:rPr>
      </w:pPr>
    </w:p>
    <w:p w:rsidR="00064A02" w:rsidRPr="00064A02" w:rsidRDefault="00EA2509" w:rsidP="00EA2509">
      <w:pPr>
        <w:widowControl w:val="0"/>
        <w:numPr>
          <w:ilvl w:val="0"/>
          <w:numId w:val="1"/>
        </w:numPr>
        <w:autoSpaceDE w:val="0"/>
        <w:autoSpaceDN w:val="0"/>
        <w:adjustRightInd w:val="0"/>
        <w:spacing w:line="240" w:lineRule="auto"/>
        <w:rPr>
          <w:rFonts w:eastAsia="Times New Roman"/>
          <w:u w:val="single"/>
        </w:rPr>
      </w:pPr>
      <w:r w:rsidRPr="00EA2509">
        <w:rPr>
          <w:rFonts w:eastAsia="Times New Roman"/>
        </w:rPr>
        <w:t xml:space="preserve">Two facilities that process high and low strategic SNM are required to conduct physical inventories at least every 6 months.  Each facility has </w:t>
      </w:r>
    </w:p>
    <w:p w:rsidR="00064A02" w:rsidRPr="00064A02" w:rsidRDefault="00EA2509" w:rsidP="00064A02">
      <w:pPr>
        <w:widowControl w:val="0"/>
        <w:autoSpaceDE w:val="0"/>
        <w:autoSpaceDN w:val="0"/>
        <w:adjustRightInd w:val="0"/>
        <w:spacing w:line="240" w:lineRule="auto"/>
        <w:ind w:left="2160"/>
        <w:rPr>
          <w:rFonts w:eastAsia="Times New Roman"/>
          <w:u w:val="single"/>
        </w:rPr>
      </w:pPr>
      <w:r w:rsidRPr="00EA2509">
        <w:rPr>
          <w:rFonts w:eastAsia="Times New Roman"/>
        </w:rPr>
        <w:t xml:space="preserve">2 semi-annual reports for high-enriched and 2 semi-annual reports for </w:t>
      </w:r>
    </w:p>
    <w:p w:rsidR="00EA2509" w:rsidRPr="00B8616B" w:rsidRDefault="00EA2509" w:rsidP="00064A02">
      <w:pPr>
        <w:widowControl w:val="0"/>
        <w:autoSpaceDE w:val="0"/>
        <w:autoSpaceDN w:val="0"/>
        <w:adjustRightInd w:val="0"/>
        <w:spacing w:line="240" w:lineRule="auto"/>
        <w:ind w:left="2160"/>
        <w:rPr>
          <w:rFonts w:eastAsia="Times New Roman"/>
          <w:u w:val="single"/>
        </w:rPr>
      </w:pPr>
      <w:proofErr w:type="gramStart"/>
      <w:r w:rsidRPr="00EA2509">
        <w:rPr>
          <w:rFonts w:eastAsia="Times New Roman"/>
        </w:rPr>
        <w:t>low-enriched</w:t>
      </w:r>
      <w:proofErr w:type="gramEnd"/>
      <w:r w:rsidRPr="00EA2509">
        <w:rPr>
          <w:rFonts w:eastAsia="Times New Roman"/>
        </w:rPr>
        <w:t xml:space="preserve"> uranium, thus resulting in 8 reports (2 facilities x 2 reports [high and low enriched uranium] x 2 reports annually).</w:t>
      </w:r>
    </w:p>
    <w:p w:rsidR="00B8616B" w:rsidRPr="00EA2509" w:rsidRDefault="00B8616B" w:rsidP="00B8616B">
      <w:pPr>
        <w:widowControl w:val="0"/>
        <w:autoSpaceDE w:val="0"/>
        <w:autoSpaceDN w:val="0"/>
        <w:adjustRightInd w:val="0"/>
        <w:spacing w:line="240" w:lineRule="auto"/>
        <w:ind w:left="2160"/>
        <w:rPr>
          <w:rFonts w:eastAsia="Times New Roman"/>
          <w:u w:val="single"/>
        </w:rPr>
      </w:pPr>
    </w:p>
    <w:p w:rsidR="00064A02" w:rsidRPr="00064A02" w:rsidRDefault="00EA2509" w:rsidP="00EA2509">
      <w:pPr>
        <w:widowControl w:val="0"/>
        <w:numPr>
          <w:ilvl w:val="0"/>
          <w:numId w:val="1"/>
        </w:numPr>
        <w:autoSpaceDE w:val="0"/>
        <w:autoSpaceDN w:val="0"/>
        <w:adjustRightInd w:val="0"/>
        <w:spacing w:line="240" w:lineRule="auto"/>
        <w:rPr>
          <w:rFonts w:eastAsia="Times New Roman"/>
          <w:u w:val="single"/>
        </w:rPr>
      </w:pPr>
      <w:r w:rsidRPr="00EA2509">
        <w:rPr>
          <w:rFonts w:eastAsia="Times New Roman"/>
        </w:rPr>
        <w:t xml:space="preserve">There is no current facility that processes SNM of moderate strategic significance since a former facility is now in decommissioning status </w:t>
      </w:r>
    </w:p>
    <w:p w:rsidR="00EA2509" w:rsidRPr="00EA6587" w:rsidRDefault="00EA2509" w:rsidP="00064A02">
      <w:pPr>
        <w:widowControl w:val="0"/>
        <w:autoSpaceDE w:val="0"/>
        <w:autoSpaceDN w:val="0"/>
        <w:adjustRightInd w:val="0"/>
        <w:spacing w:line="240" w:lineRule="auto"/>
        <w:ind w:left="2160"/>
        <w:rPr>
          <w:rFonts w:eastAsia="Times New Roman"/>
          <w:u w:val="single"/>
        </w:rPr>
      </w:pPr>
      <w:proofErr w:type="gramStart"/>
      <w:r w:rsidRPr="00EA2509">
        <w:rPr>
          <w:rFonts w:eastAsia="Times New Roman"/>
        </w:rPr>
        <w:t>(0 reports).</w:t>
      </w:r>
      <w:proofErr w:type="gramEnd"/>
    </w:p>
    <w:p w:rsidR="00EA6587" w:rsidRPr="00EA2509" w:rsidRDefault="00EA6587" w:rsidP="00EA6587">
      <w:pPr>
        <w:widowControl w:val="0"/>
        <w:autoSpaceDE w:val="0"/>
        <w:autoSpaceDN w:val="0"/>
        <w:adjustRightInd w:val="0"/>
        <w:spacing w:line="240" w:lineRule="auto"/>
        <w:ind w:left="2160"/>
        <w:rPr>
          <w:rFonts w:eastAsia="Times New Roman"/>
          <w:u w:val="single"/>
        </w:rPr>
      </w:pPr>
    </w:p>
    <w:p w:rsidR="00EA2509" w:rsidRPr="00EA2509" w:rsidRDefault="00EA2509" w:rsidP="00EA2509">
      <w:pPr>
        <w:widowControl w:val="0"/>
        <w:numPr>
          <w:ilvl w:val="0"/>
          <w:numId w:val="1"/>
        </w:numPr>
        <w:autoSpaceDE w:val="0"/>
        <w:autoSpaceDN w:val="0"/>
        <w:adjustRightInd w:val="0"/>
        <w:spacing w:line="240" w:lineRule="auto"/>
        <w:rPr>
          <w:rFonts w:eastAsia="Times New Roman"/>
          <w:u w:val="single"/>
        </w:rPr>
      </w:pPr>
      <w:r w:rsidRPr="00EA2509">
        <w:rPr>
          <w:rFonts w:eastAsia="Times New Roman"/>
        </w:rPr>
        <w:t>There are three fabricators of commercial power reactor fuel (SNM of low strategic significance) that are required to perform physical inventories at least every 12 months.  This results in 9 reports (3 fabricators x 3 reports, for natural uranium, depleted uranium and low-enriched uranium annually).</w:t>
      </w:r>
    </w:p>
    <w:p w:rsidR="00EA2509" w:rsidRPr="00EA2509" w:rsidRDefault="00EA2509" w:rsidP="00EA2509">
      <w:pPr>
        <w:autoSpaceDE w:val="0"/>
        <w:autoSpaceDN w:val="0"/>
        <w:adjustRightInd w:val="0"/>
        <w:spacing w:line="240" w:lineRule="auto"/>
        <w:ind w:left="2160"/>
        <w:rPr>
          <w:rFonts w:eastAsia="Times New Roman"/>
          <w:u w:val="single"/>
        </w:rPr>
      </w:pPr>
    </w:p>
    <w:p w:rsidR="00EA2509" w:rsidRPr="00EA2509" w:rsidRDefault="00EA2509" w:rsidP="00EA2509">
      <w:pPr>
        <w:autoSpaceDE w:val="0"/>
        <w:autoSpaceDN w:val="0"/>
        <w:adjustRightInd w:val="0"/>
        <w:spacing w:line="240" w:lineRule="auto"/>
        <w:ind w:left="1440"/>
        <w:rPr>
          <w:rFonts w:eastAsia="Times New Roman"/>
          <w:u w:val="single"/>
        </w:rPr>
      </w:pPr>
      <w:r w:rsidRPr="00EA2509">
        <w:rPr>
          <w:rFonts w:eastAsia="Times New Roman"/>
        </w:rPr>
        <w:lastRenderedPageBreak/>
        <w:t>Overall, there will be an estimated 35 inventory summary reports required each year (8 reports + 18 reports + 9 reports).</w:t>
      </w:r>
    </w:p>
    <w:p w:rsidR="00EA2509" w:rsidRPr="00EA2509" w:rsidRDefault="00EA2509" w:rsidP="00EA2509">
      <w:pPr>
        <w:autoSpaceDE w:val="0"/>
        <w:autoSpaceDN w:val="0"/>
        <w:adjustRightInd w:val="0"/>
        <w:spacing w:line="240" w:lineRule="auto"/>
        <w:rPr>
          <w:rFonts w:eastAsia="Times New Roman"/>
          <w:u w:val="single"/>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The completion of the SNM Physical Inventory Summary Report (NRC Form 327) will require an</w:t>
      </w:r>
      <w:r w:rsidRPr="00EA2509">
        <w:rPr>
          <w:rFonts w:eastAsia="Times New Roman"/>
          <w:b/>
          <w:bCs/>
        </w:rPr>
        <w:t xml:space="preserve"> </w:t>
      </w:r>
      <w:r w:rsidRPr="00EA2509">
        <w:rPr>
          <w:rFonts w:eastAsia="Times New Roman"/>
        </w:rPr>
        <w:t>estimate</w:t>
      </w:r>
      <w:r w:rsidRPr="00EA2509">
        <w:rPr>
          <w:rFonts w:eastAsia="Times New Roman"/>
          <w:b/>
          <w:bCs/>
        </w:rPr>
        <w:t xml:space="preserve"> </w:t>
      </w:r>
      <w:r w:rsidRPr="00EA2509">
        <w:rPr>
          <w:rFonts w:eastAsia="Times New Roman"/>
        </w:rPr>
        <w:t>of 4.0 staff hours per licensee per report (including any time needed to read or review the NUREG guidance document).  The total estimated burden is approximately 140 hours (35 reports x 4.0 hours/report).  The total annual cost is approximately $38,360 (140 hours x $274 per hour).</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13.</w:t>
      </w:r>
      <w:r w:rsidRPr="00EA2509">
        <w:rPr>
          <w:rFonts w:eastAsia="Times New Roman"/>
        </w:rPr>
        <w:tab/>
      </w:r>
      <w:r w:rsidRPr="00EA2509">
        <w:rPr>
          <w:rFonts w:eastAsia="Times New Roman"/>
          <w:u w:val="single"/>
        </w:rPr>
        <w:t>Estimate of Other Additional Cost</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1440"/>
        <w:rPr>
          <w:rFonts w:eastAsia="Times New Roman"/>
        </w:rPr>
      </w:pPr>
      <w:r w:rsidRPr="00EA2509">
        <w:rPr>
          <w:rFonts w:eastAsia="Times New Roman"/>
        </w:rPr>
        <w:t>Not applicable.</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14.</w:t>
      </w:r>
      <w:r w:rsidRPr="00EA2509">
        <w:rPr>
          <w:rFonts w:eastAsia="Times New Roman"/>
        </w:rPr>
        <w:tab/>
      </w:r>
      <w:r w:rsidRPr="00EA2509">
        <w:rPr>
          <w:rFonts w:eastAsia="Times New Roman"/>
          <w:u w:val="single"/>
        </w:rPr>
        <w:t>Estimated Annualized Cost to the Federal Government</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The estimated annual cost to the Federal Government in administering the program and procedures contained in these requirements is:</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1440"/>
        <w:rPr>
          <w:rFonts w:eastAsia="Times New Roman"/>
        </w:rPr>
      </w:pPr>
      <w:r w:rsidRPr="00EA2509">
        <w:rPr>
          <w:rFonts w:eastAsia="Times New Roman"/>
        </w:rPr>
        <w:t>Total annual cost - professional effort</w:t>
      </w: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(35 reports x 2 hours/report x $274 per hour)   =    $19,180</w:t>
      </w:r>
      <w:r w:rsidRPr="00EA2509">
        <w:rPr>
          <w:rFonts w:eastAsia="Times New Roman"/>
        </w:rPr>
        <w:tab/>
      </w:r>
    </w:p>
    <w:p w:rsidR="00EA2509" w:rsidRPr="00EA2509" w:rsidRDefault="00EA2509" w:rsidP="00EA2509">
      <w:pPr>
        <w:autoSpaceDE w:val="0"/>
        <w:autoSpaceDN w:val="0"/>
        <w:adjustRightInd w:val="0"/>
        <w:spacing w:line="240" w:lineRule="auto"/>
        <w:ind w:left="1440"/>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These costs are fully recovered through fee assessments to NRC licensees pursuant to 10 CFR Parts 170 and 171.</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15.</w:t>
      </w:r>
      <w:r w:rsidRPr="00EA2509">
        <w:rPr>
          <w:rFonts w:eastAsia="Times New Roman"/>
        </w:rPr>
        <w:tab/>
      </w:r>
      <w:r w:rsidRPr="00EA2509">
        <w:rPr>
          <w:rFonts w:eastAsia="Times New Roman"/>
          <w:u w:val="single"/>
        </w:rPr>
        <w:t>Reason for Change in Burden or Cost</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 xml:space="preserve">The burden increased by 16 hours, from 124 hours (31 reports x 4 hours per report) to 140 hours (35 reports x 4 hours per report).  This increase is due to the realization that 12  reports provided by the enrichment (for natural uranium, depleted uranium and low-enriched uranium) and fuel fabrication plants (for natural uranium and depleted uranium) had not been identified and accounted for during the last extension.  In addition, three plants (one enrichment plant and two fuel fabrication plants) are shut down and 8 reports attributed to them are no longer provided. </w:t>
      </w:r>
    </w:p>
    <w:p w:rsidR="00EA2509" w:rsidRPr="00EA2509" w:rsidRDefault="00EA2509" w:rsidP="00EA2509">
      <w:pPr>
        <w:autoSpaceDE w:val="0"/>
        <w:autoSpaceDN w:val="0"/>
        <w:adjustRightInd w:val="0"/>
        <w:spacing w:line="240" w:lineRule="auto"/>
        <w:ind w:left="1440"/>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 xml:space="preserve">The NRC no longer prepares NUREG-0430 “Licensed Fuel Facility Status Report” and thus the cost to the Federal Government has been adjusted accordingly. </w:t>
      </w:r>
    </w:p>
    <w:p w:rsidR="00EA2509" w:rsidRPr="00EA2509" w:rsidRDefault="00EA2509" w:rsidP="00EA2509">
      <w:pPr>
        <w:autoSpaceDE w:val="0"/>
        <w:autoSpaceDN w:val="0"/>
        <w:adjustRightInd w:val="0"/>
        <w:spacing w:line="240" w:lineRule="auto"/>
        <w:ind w:left="1440"/>
        <w:rPr>
          <w:rFonts w:eastAsia="Times New Roman"/>
        </w:rPr>
      </w:pPr>
    </w:p>
    <w:p w:rsidR="00EA2509" w:rsidRPr="00EA2509" w:rsidRDefault="00EA2509" w:rsidP="00EA2509">
      <w:pPr>
        <w:autoSpaceDE w:val="0"/>
        <w:autoSpaceDN w:val="0"/>
        <w:adjustRightInd w:val="0"/>
        <w:spacing w:line="240" w:lineRule="auto"/>
        <w:ind w:left="1440"/>
        <w:rPr>
          <w:rFonts w:eastAsia="Times New Roman"/>
        </w:rPr>
      </w:pPr>
      <w:r w:rsidRPr="00EA2509">
        <w:rPr>
          <w:rFonts w:eastAsia="Times New Roman"/>
        </w:rPr>
        <w:t>In addition, the cost to industry for professional effort has increased from $257/hour to $274/hour.</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16.</w:t>
      </w:r>
      <w:r w:rsidRPr="00EA2509">
        <w:rPr>
          <w:rFonts w:eastAsia="Times New Roman"/>
        </w:rPr>
        <w:tab/>
      </w:r>
      <w:r w:rsidRPr="00EA2509">
        <w:rPr>
          <w:rFonts w:eastAsia="Times New Roman"/>
          <w:u w:val="single"/>
        </w:rPr>
        <w:t>Publication for Statistical Use</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1440"/>
        <w:rPr>
          <w:rFonts w:eastAsia="Times New Roman"/>
        </w:rPr>
      </w:pPr>
      <w:proofErr w:type="gramStart"/>
      <w:r w:rsidRPr="00EA2509">
        <w:rPr>
          <w:rFonts w:eastAsia="Times New Roman"/>
        </w:rPr>
        <w:t>None.</w:t>
      </w:r>
      <w:proofErr w:type="gramEnd"/>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t>17.</w:t>
      </w:r>
      <w:r w:rsidRPr="00EA2509">
        <w:rPr>
          <w:rFonts w:eastAsia="Times New Roman"/>
        </w:rPr>
        <w:tab/>
      </w:r>
      <w:r w:rsidRPr="00EA2509">
        <w:rPr>
          <w:rFonts w:eastAsia="Times New Roman"/>
          <w:u w:val="single"/>
        </w:rPr>
        <w:t>Reason for Not Displaying the Expiration Date</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ind w:firstLine="1440"/>
        <w:rPr>
          <w:rFonts w:eastAsia="Times New Roman"/>
        </w:rPr>
      </w:pPr>
      <w:proofErr w:type="gramStart"/>
      <w:r w:rsidRPr="00EA2509">
        <w:rPr>
          <w:rFonts w:eastAsia="Times New Roman"/>
        </w:rPr>
        <w:t>None.</w:t>
      </w:r>
      <w:proofErr w:type="gramEnd"/>
    </w:p>
    <w:p w:rsidR="00EA2509" w:rsidRDefault="00EA2509" w:rsidP="00EA2509">
      <w:pPr>
        <w:autoSpaceDE w:val="0"/>
        <w:autoSpaceDN w:val="0"/>
        <w:adjustRightInd w:val="0"/>
        <w:spacing w:line="240" w:lineRule="auto"/>
        <w:rPr>
          <w:rFonts w:eastAsia="Times New Roman"/>
        </w:rPr>
      </w:pPr>
    </w:p>
    <w:p w:rsidR="00B8616B" w:rsidRDefault="00B8616B" w:rsidP="00EA2509">
      <w:pPr>
        <w:autoSpaceDE w:val="0"/>
        <w:autoSpaceDN w:val="0"/>
        <w:adjustRightInd w:val="0"/>
        <w:spacing w:line="240" w:lineRule="auto"/>
        <w:rPr>
          <w:rFonts w:eastAsia="Times New Roman"/>
        </w:rPr>
        <w:sectPr w:rsidR="00B8616B" w:rsidSect="004A36EB">
          <w:footerReference w:type="default" r:id="rId10"/>
          <w:footerReference w:type="first" r:id="rId11"/>
          <w:pgSz w:w="12240" w:h="15840"/>
          <w:pgMar w:top="1440" w:right="1440" w:bottom="1440" w:left="1440" w:header="720" w:footer="720" w:gutter="0"/>
          <w:pgNumType w:start="1"/>
          <w:cols w:space="720"/>
          <w:noEndnote/>
          <w:titlePg/>
          <w:docGrid w:linePitch="326"/>
        </w:sectPr>
      </w:pPr>
    </w:p>
    <w:p w:rsidR="00EA2509" w:rsidRPr="00EA2509" w:rsidRDefault="00EA2509" w:rsidP="00EA2509">
      <w:pPr>
        <w:autoSpaceDE w:val="0"/>
        <w:autoSpaceDN w:val="0"/>
        <w:adjustRightInd w:val="0"/>
        <w:spacing w:line="240" w:lineRule="auto"/>
        <w:ind w:firstLine="720"/>
        <w:rPr>
          <w:rFonts w:eastAsia="Times New Roman"/>
        </w:rPr>
      </w:pPr>
      <w:r w:rsidRPr="00EA2509">
        <w:rPr>
          <w:rFonts w:eastAsia="Times New Roman"/>
        </w:rPr>
        <w:lastRenderedPageBreak/>
        <w:t>18.</w:t>
      </w:r>
      <w:r w:rsidRPr="00EA2509">
        <w:rPr>
          <w:rFonts w:eastAsia="Times New Roman"/>
        </w:rPr>
        <w:tab/>
      </w:r>
      <w:r w:rsidRPr="00EA2509">
        <w:rPr>
          <w:rFonts w:eastAsia="Times New Roman"/>
          <w:u w:val="single"/>
        </w:rPr>
        <w:t>Exceptions to the Certification Statement</w:t>
      </w:r>
    </w:p>
    <w:p w:rsidR="00EA2509" w:rsidRPr="00EA2509" w:rsidRDefault="00EA2509" w:rsidP="00EA2509">
      <w:pPr>
        <w:autoSpaceDE w:val="0"/>
        <w:autoSpaceDN w:val="0"/>
        <w:adjustRightInd w:val="0"/>
        <w:spacing w:line="240" w:lineRule="auto"/>
        <w:rPr>
          <w:rFonts w:eastAsia="Times New Roman"/>
        </w:rPr>
      </w:pPr>
    </w:p>
    <w:p w:rsidR="00B8616B" w:rsidRDefault="00EA2509" w:rsidP="00B8616B">
      <w:pPr>
        <w:autoSpaceDE w:val="0"/>
        <w:autoSpaceDN w:val="0"/>
        <w:adjustRightInd w:val="0"/>
        <w:spacing w:line="240" w:lineRule="auto"/>
        <w:ind w:firstLine="1440"/>
        <w:rPr>
          <w:rFonts w:eastAsia="Times New Roman"/>
        </w:rPr>
      </w:pPr>
      <w:r w:rsidRPr="00EA2509">
        <w:rPr>
          <w:rFonts w:eastAsia="Times New Roman"/>
        </w:rPr>
        <w:t>Not applicable.</w:t>
      </w:r>
    </w:p>
    <w:p w:rsidR="00B8616B" w:rsidRDefault="00B8616B" w:rsidP="00B8616B">
      <w:pPr>
        <w:autoSpaceDE w:val="0"/>
        <w:autoSpaceDN w:val="0"/>
        <w:adjustRightInd w:val="0"/>
        <w:spacing w:line="240" w:lineRule="auto"/>
        <w:rPr>
          <w:rFonts w:eastAsia="Times New Roman"/>
        </w:rPr>
      </w:pPr>
    </w:p>
    <w:p w:rsidR="00EA2509" w:rsidRPr="00EA2509" w:rsidRDefault="00EA2509" w:rsidP="00B8616B">
      <w:pPr>
        <w:autoSpaceDE w:val="0"/>
        <w:autoSpaceDN w:val="0"/>
        <w:adjustRightInd w:val="0"/>
        <w:spacing w:line="240" w:lineRule="auto"/>
        <w:rPr>
          <w:rFonts w:eastAsia="Times New Roman"/>
        </w:rPr>
      </w:pPr>
      <w:r w:rsidRPr="00EA2509">
        <w:rPr>
          <w:rFonts w:eastAsia="Times New Roman"/>
        </w:rPr>
        <w:t>B.</w:t>
      </w:r>
      <w:r w:rsidRPr="00EA2509">
        <w:rPr>
          <w:rFonts w:eastAsia="Times New Roman"/>
        </w:rPr>
        <w:tab/>
      </w:r>
      <w:r w:rsidRPr="00EA2509">
        <w:rPr>
          <w:rFonts w:eastAsia="Times New Roman"/>
          <w:u w:val="single"/>
        </w:rPr>
        <w:t>Collection of Information Employing Statistical Methods</w:t>
      </w:r>
    </w:p>
    <w:p w:rsidR="00EA2509" w:rsidRPr="00EA2509" w:rsidRDefault="00EA2509" w:rsidP="00EA2509">
      <w:pPr>
        <w:autoSpaceDE w:val="0"/>
        <w:autoSpaceDN w:val="0"/>
        <w:adjustRightInd w:val="0"/>
        <w:spacing w:line="240" w:lineRule="auto"/>
        <w:rPr>
          <w:rFonts w:eastAsia="Times New Roman"/>
        </w:rPr>
      </w:pPr>
    </w:p>
    <w:p w:rsidR="00EA2509" w:rsidRPr="00EA2509" w:rsidRDefault="00EA2509" w:rsidP="00EA2509">
      <w:pPr>
        <w:autoSpaceDE w:val="0"/>
        <w:autoSpaceDN w:val="0"/>
        <w:adjustRightInd w:val="0"/>
        <w:spacing w:line="240" w:lineRule="auto"/>
        <w:rPr>
          <w:rFonts w:eastAsia="Times New Roman"/>
        </w:rPr>
      </w:pPr>
      <w:r w:rsidRPr="00EA2509">
        <w:rPr>
          <w:rFonts w:eastAsia="Times New Roman"/>
        </w:rPr>
        <w:t xml:space="preserve">Statistical methods are not used in this collection of information. </w:t>
      </w:r>
    </w:p>
    <w:p w:rsidR="005F7153" w:rsidRDefault="005F7153"/>
    <w:sectPr w:rsidR="005F7153" w:rsidSect="004A36EB">
      <w:footerReference w:type="first" r:id="rId12"/>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105" w:rsidRDefault="000B5105" w:rsidP="00EA2509">
      <w:pPr>
        <w:spacing w:line="240" w:lineRule="auto"/>
      </w:pPr>
      <w:r>
        <w:separator/>
      </w:r>
    </w:p>
  </w:endnote>
  <w:endnote w:type="continuationSeparator" w:id="0">
    <w:p w:rsidR="000B5105" w:rsidRDefault="000B5105" w:rsidP="00EA2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09" w:rsidRPr="00EA2509" w:rsidRDefault="00EA2509" w:rsidP="00EA2509">
    <w:pPr>
      <w:pStyle w:val="Footer"/>
      <w:jc w:val="center"/>
      <w:rPr>
        <w:rFonts w:ascii="Arial" w:hAnsi="Arial" w:cs="Arial"/>
        <w:sz w:val="22"/>
        <w:szCs w:val="22"/>
      </w:rPr>
    </w:pPr>
    <w:r>
      <w:rPr>
        <w:rFonts w:ascii="Arial" w:hAnsi="Arial" w:cs="Arial"/>
        <w:sz w:val="22"/>
        <w:szCs w:val="2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6B" w:rsidRPr="00EA2509" w:rsidRDefault="00B8616B" w:rsidP="00EA2509">
    <w:pPr>
      <w:pStyle w:val="Footer"/>
      <w:jc w:val="center"/>
      <w:rPr>
        <w:rFonts w:ascii="Arial" w:hAnsi="Arial" w:cs="Arial"/>
        <w:sz w:val="22"/>
        <w:szCs w:val="22"/>
      </w:rPr>
    </w:pPr>
    <w:r>
      <w:rPr>
        <w:rFonts w:ascii="Arial" w:hAnsi="Arial" w:cs="Arial"/>
        <w:sz w:val="22"/>
        <w:szCs w:val="22"/>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87" w:rsidRPr="00EA2509" w:rsidRDefault="00B8616B" w:rsidP="00EA6587">
    <w:pPr>
      <w:pStyle w:val="Footer"/>
      <w:jc w:val="center"/>
      <w:rPr>
        <w:rFonts w:ascii="Arial" w:hAnsi="Arial" w:cs="Arial"/>
        <w:sz w:val="22"/>
        <w:szCs w:val="22"/>
      </w:rPr>
    </w:pPr>
    <w:r>
      <w:rPr>
        <w:rFonts w:ascii="Arial" w:hAnsi="Arial" w:cs="Arial"/>
        <w:sz w:val="22"/>
        <w:szCs w:val="22"/>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6B" w:rsidRPr="00EA2509" w:rsidRDefault="00B8616B" w:rsidP="00EA6587">
    <w:pPr>
      <w:pStyle w:val="Footer"/>
      <w:jc w:val="center"/>
      <w:rPr>
        <w:rFonts w:ascii="Arial" w:hAnsi="Arial" w:cs="Arial"/>
        <w:sz w:val="22"/>
        <w:szCs w:val="22"/>
      </w:rPr>
    </w:pPr>
    <w:r>
      <w:rPr>
        <w:rFonts w:ascii="Arial" w:hAnsi="Arial" w:cs="Arial"/>
        <w:sz w:val="22"/>
        <w:szCs w:val="22"/>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105" w:rsidRDefault="000B5105" w:rsidP="00EA2509">
      <w:pPr>
        <w:spacing w:line="240" w:lineRule="auto"/>
      </w:pPr>
      <w:r>
        <w:separator/>
      </w:r>
    </w:p>
  </w:footnote>
  <w:footnote w:type="continuationSeparator" w:id="0">
    <w:p w:rsidR="000B5105" w:rsidRDefault="000B5105" w:rsidP="00EA25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61" w:rsidRPr="00ED0485" w:rsidRDefault="00857533">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35873"/>
    <w:multiLevelType w:val="hybridMultilevel"/>
    <w:tmpl w:val="F8EC1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09"/>
    <w:rsid w:val="00064A02"/>
    <w:rsid w:val="000B5105"/>
    <w:rsid w:val="004223C9"/>
    <w:rsid w:val="00547DFA"/>
    <w:rsid w:val="005F7153"/>
    <w:rsid w:val="00662F0E"/>
    <w:rsid w:val="00857533"/>
    <w:rsid w:val="00B8616B"/>
    <w:rsid w:val="00D57330"/>
    <w:rsid w:val="00E23E90"/>
    <w:rsid w:val="00EA2509"/>
    <w:rsid w:val="00EA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2509"/>
    <w:pPr>
      <w:widowControl w:val="0"/>
      <w:tabs>
        <w:tab w:val="center" w:pos="4680"/>
        <w:tab w:val="right" w:pos="9360"/>
      </w:tabs>
      <w:autoSpaceDE w:val="0"/>
      <w:autoSpaceDN w:val="0"/>
      <w:adjustRightInd w:val="0"/>
      <w:spacing w:line="240" w:lineRule="auto"/>
    </w:pPr>
    <w:rPr>
      <w:rFonts w:ascii="Courier" w:eastAsia="Times New Roman" w:hAnsi="Courier" w:cs="Times New Roman"/>
      <w:sz w:val="24"/>
      <w:szCs w:val="24"/>
    </w:rPr>
  </w:style>
  <w:style w:type="character" w:customStyle="1" w:styleId="FooterChar">
    <w:name w:val="Footer Char"/>
    <w:basedOn w:val="DefaultParagraphFont"/>
    <w:link w:val="Footer"/>
    <w:uiPriority w:val="99"/>
    <w:rsid w:val="00EA2509"/>
    <w:rPr>
      <w:rFonts w:ascii="Courier" w:eastAsia="Times New Roman" w:hAnsi="Courier" w:cs="Times New Roman"/>
      <w:sz w:val="24"/>
      <w:szCs w:val="24"/>
    </w:rPr>
  </w:style>
  <w:style w:type="paragraph" w:styleId="Header">
    <w:name w:val="header"/>
    <w:basedOn w:val="Normal"/>
    <w:link w:val="HeaderChar"/>
    <w:uiPriority w:val="99"/>
    <w:unhideWhenUsed/>
    <w:rsid w:val="00EA2509"/>
    <w:pPr>
      <w:tabs>
        <w:tab w:val="center" w:pos="4680"/>
        <w:tab w:val="right" w:pos="9360"/>
      </w:tabs>
      <w:spacing w:line="240" w:lineRule="auto"/>
    </w:pPr>
  </w:style>
  <w:style w:type="character" w:customStyle="1" w:styleId="HeaderChar">
    <w:name w:val="Header Char"/>
    <w:basedOn w:val="DefaultParagraphFont"/>
    <w:link w:val="Header"/>
    <w:uiPriority w:val="99"/>
    <w:rsid w:val="00EA2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2509"/>
    <w:pPr>
      <w:widowControl w:val="0"/>
      <w:tabs>
        <w:tab w:val="center" w:pos="4680"/>
        <w:tab w:val="right" w:pos="9360"/>
      </w:tabs>
      <w:autoSpaceDE w:val="0"/>
      <w:autoSpaceDN w:val="0"/>
      <w:adjustRightInd w:val="0"/>
      <w:spacing w:line="240" w:lineRule="auto"/>
    </w:pPr>
    <w:rPr>
      <w:rFonts w:ascii="Courier" w:eastAsia="Times New Roman" w:hAnsi="Courier" w:cs="Times New Roman"/>
      <w:sz w:val="24"/>
      <w:szCs w:val="24"/>
    </w:rPr>
  </w:style>
  <w:style w:type="character" w:customStyle="1" w:styleId="FooterChar">
    <w:name w:val="Footer Char"/>
    <w:basedOn w:val="DefaultParagraphFont"/>
    <w:link w:val="Footer"/>
    <w:uiPriority w:val="99"/>
    <w:rsid w:val="00EA2509"/>
    <w:rPr>
      <w:rFonts w:ascii="Courier" w:eastAsia="Times New Roman" w:hAnsi="Courier" w:cs="Times New Roman"/>
      <w:sz w:val="24"/>
      <w:szCs w:val="24"/>
    </w:rPr>
  </w:style>
  <w:style w:type="paragraph" w:styleId="Header">
    <w:name w:val="header"/>
    <w:basedOn w:val="Normal"/>
    <w:link w:val="HeaderChar"/>
    <w:uiPriority w:val="99"/>
    <w:unhideWhenUsed/>
    <w:rsid w:val="00EA2509"/>
    <w:pPr>
      <w:tabs>
        <w:tab w:val="center" w:pos="4680"/>
        <w:tab w:val="right" w:pos="9360"/>
      </w:tabs>
      <w:spacing w:line="240" w:lineRule="auto"/>
    </w:pPr>
  </w:style>
  <w:style w:type="character" w:customStyle="1" w:styleId="HeaderChar">
    <w:name w:val="Header Char"/>
    <w:basedOn w:val="DefaultParagraphFont"/>
    <w:link w:val="Header"/>
    <w:uiPriority w:val="99"/>
    <w:rsid w:val="00EA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KAB7</dc:creator>
  <cp:lastModifiedBy>KAB7</cp:lastModifiedBy>
  <cp:revision>5</cp:revision>
  <cp:lastPrinted>2013-10-23T13:20:00Z</cp:lastPrinted>
  <dcterms:created xsi:type="dcterms:W3CDTF">2013-10-21T21:25:00Z</dcterms:created>
  <dcterms:modified xsi:type="dcterms:W3CDTF">2013-10-23T13:21:00Z</dcterms:modified>
</cp:coreProperties>
</file>