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88D" w:rsidRDefault="00386162" w:rsidP="0078488D">
      <w:pPr>
        <w:widowControl w:val="0"/>
        <w:tabs>
          <w:tab w:val="center" w:pos="4680"/>
        </w:tabs>
        <w:jc w:val="center"/>
        <w:rPr>
          <w:rFonts w:ascii="Arial" w:hAnsi="Arial" w:cs="Arial"/>
          <w:sz w:val="22"/>
          <w:szCs w:val="22"/>
        </w:rPr>
      </w:pPr>
      <w:r>
        <w:rPr>
          <w:rFonts w:ascii="Arial" w:hAnsi="Arial" w:cs="Arial"/>
          <w:sz w:val="22"/>
          <w:szCs w:val="22"/>
        </w:rPr>
        <w:fldChar w:fldCharType="begin"/>
      </w:r>
      <w:r w:rsidR="0078488D">
        <w:rPr>
          <w:rFonts w:ascii="Arial" w:hAnsi="Arial" w:cs="Arial"/>
          <w:sz w:val="22"/>
          <w:szCs w:val="22"/>
        </w:rPr>
        <w:instrText xml:space="preserve"> SEQ CHAPTER \h \r 1</w:instrText>
      </w:r>
      <w:r>
        <w:rPr>
          <w:rFonts w:ascii="Arial" w:hAnsi="Arial" w:cs="Arial"/>
          <w:sz w:val="22"/>
          <w:szCs w:val="22"/>
        </w:rPr>
        <w:fldChar w:fldCharType="end"/>
      </w:r>
      <w:r w:rsidR="004B02D7">
        <w:rPr>
          <w:rFonts w:ascii="Arial" w:hAnsi="Arial" w:cs="Arial"/>
          <w:sz w:val="22"/>
          <w:szCs w:val="22"/>
        </w:rPr>
        <w:t>FINAL</w:t>
      </w:r>
      <w:r w:rsidR="0078488D">
        <w:rPr>
          <w:rFonts w:ascii="Arial" w:hAnsi="Arial" w:cs="Arial"/>
          <w:sz w:val="22"/>
          <w:szCs w:val="22"/>
        </w:rPr>
        <w:t xml:space="preserve"> SUPPORTING STATEMENT</w:t>
      </w:r>
    </w:p>
    <w:p w:rsidR="0078488D" w:rsidRDefault="0078488D" w:rsidP="0078488D">
      <w:pPr>
        <w:widowControl w:val="0"/>
        <w:tabs>
          <w:tab w:val="center" w:pos="4680"/>
        </w:tabs>
        <w:jc w:val="center"/>
        <w:rPr>
          <w:rFonts w:ascii="Arial" w:hAnsi="Arial" w:cs="Arial"/>
          <w:sz w:val="22"/>
          <w:szCs w:val="22"/>
        </w:rPr>
      </w:pPr>
      <w:r>
        <w:rPr>
          <w:rFonts w:ascii="Arial" w:hAnsi="Arial" w:cs="Arial"/>
          <w:sz w:val="22"/>
          <w:szCs w:val="22"/>
        </w:rPr>
        <w:t>FOR</w:t>
      </w:r>
    </w:p>
    <w:p w:rsidR="0078488D" w:rsidRDefault="0078488D" w:rsidP="0078488D">
      <w:pPr>
        <w:widowControl w:val="0"/>
        <w:jc w:val="center"/>
        <w:rPr>
          <w:rFonts w:ascii="Arial" w:hAnsi="Arial" w:cs="Arial"/>
          <w:sz w:val="22"/>
          <w:szCs w:val="22"/>
        </w:rPr>
      </w:pPr>
    </w:p>
    <w:p w:rsidR="0078488D" w:rsidRDefault="0078488D" w:rsidP="0078488D">
      <w:pPr>
        <w:widowControl w:val="0"/>
        <w:jc w:val="center"/>
        <w:rPr>
          <w:rFonts w:ascii="Arial" w:hAnsi="Arial" w:cs="Arial"/>
          <w:sz w:val="22"/>
          <w:szCs w:val="22"/>
        </w:rPr>
      </w:pPr>
      <w:r>
        <w:rPr>
          <w:rFonts w:ascii="Arial" w:hAnsi="Arial" w:cs="Arial"/>
          <w:sz w:val="22"/>
          <w:szCs w:val="22"/>
        </w:rPr>
        <w:t>SUSPICIOUS ACTIVITY REPORTING</w:t>
      </w:r>
    </w:p>
    <w:p w:rsidR="0078488D" w:rsidRDefault="0078488D" w:rsidP="0078488D">
      <w:pPr>
        <w:widowControl w:val="0"/>
        <w:jc w:val="center"/>
        <w:rPr>
          <w:rFonts w:ascii="Arial" w:hAnsi="Arial" w:cs="Arial"/>
          <w:sz w:val="22"/>
          <w:szCs w:val="22"/>
        </w:rPr>
      </w:pPr>
      <w:r>
        <w:rPr>
          <w:rFonts w:ascii="Arial" w:hAnsi="Arial" w:cs="Arial"/>
          <w:sz w:val="22"/>
          <w:szCs w:val="22"/>
        </w:rPr>
        <w:t>USING THE PROTECTED WEB SERVER (PWS)</w:t>
      </w:r>
    </w:p>
    <w:p w:rsidR="0078488D" w:rsidRDefault="0078488D" w:rsidP="0078488D">
      <w:pPr>
        <w:widowControl w:val="0"/>
        <w:tabs>
          <w:tab w:val="center" w:pos="4680"/>
        </w:tabs>
        <w:jc w:val="center"/>
        <w:rPr>
          <w:rFonts w:ascii="Arial" w:hAnsi="Arial" w:cs="Arial"/>
          <w:sz w:val="22"/>
          <w:szCs w:val="22"/>
        </w:rPr>
      </w:pPr>
      <w:r>
        <w:rPr>
          <w:rFonts w:ascii="Arial" w:hAnsi="Arial" w:cs="Arial"/>
          <w:sz w:val="22"/>
          <w:szCs w:val="22"/>
        </w:rPr>
        <w:t>(3150-XXXX)</w:t>
      </w:r>
    </w:p>
    <w:p w:rsidR="0078488D" w:rsidRDefault="0078488D" w:rsidP="0078488D">
      <w:pPr>
        <w:widowControl w:val="0"/>
        <w:tabs>
          <w:tab w:val="center" w:pos="4680"/>
        </w:tabs>
        <w:jc w:val="center"/>
        <w:rPr>
          <w:rFonts w:ascii="Arial" w:hAnsi="Arial" w:cs="Arial"/>
          <w:sz w:val="22"/>
          <w:szCs w:val="22"/>
        </w:rPr>
      </w:pPr>
      <w:r>
        <w:rPr>
          <w:rFonts w:ascii="Arial" w:hAnsi="Arial" w:cs="Arial"/>
          <w:sz w:val="22"/>
          <w:szCs w:val="22"/>
        </w:rPr>
        <w:t>NEW</w:t>
      </w:r>
    </w:p>
    <w:p w:rsidR="0078488D" w:rsidRDefault="0078488D" w:rsidP="0078488D">
      <w:pPr>
        <w:widowControl w:val="0"/>
        <w:rPr>
          <w:rFonts w:ascii="Arial" w:hAnsi="Arial" w:cs="Arial"/>
          <w:sz w:val="22"/>
          <w:szCs w:val="22"/>
        </w:rPr>
      </w:pPr>
    </w:p>
    <w:p w:rsidR="0078488D" w:rsidRDefault="0078488D" w:rsidP="0078488D">
      <w:pPr>
        <w:widowControl w:val="0"/>
        <w:rPr>
          <w:rFonts w:ascii="Arial" w:hAnsi="Arial" w:cs="Arial"/>
          <w:sz w:val="22"/>
          <w:szCs w:val="22"/>
        </w:rPr>
      </w:pPr>
    </w:p>
    <w:p w:rsidR="0078488D" w:rsidRDefault="0078488D" w:rsidP="0078488D">
      <w:pPr>
        <w:widowControl w:val="0"/>
        <w:rPr>
          <w:rFonts w:ascii="Arial" w:hAnsi="Arial" w:cs="Arial"/>
          <w:sz w:val="22"/>
          <w:szCs w:val="22"/>
        </w:rPr>
      </w:pPr>
      <w:r>
        <w:rPr>
          <w:rFonts w:ascii="Arial" w:hAnsi="Arial" w:cs="Arial"/>
          <w:sz w:val="22"/>
          <w:szCs w:val="22"/>
          <w:u w:val="single"/>
        </w:rPr>
        <w:t>Description of the Information Collection</w:t>
      </w:r>
    </w:p>
    <w:p w:rsidR="0078488D" w:rsidRDefault="0078488D" w:rsidP="0078488D">
      <w:pPr>
        <w:rPr>
          <w:rFonts w:ascii="Arial" w:hAnsi="Arial" w:cs="Arial"/>
          <w:sz w:val="22"/>
          <w:szCs w:val="22"/>
        </w:rPr>
      </w:pPr>
    </w:p>
    <w:p w:rsidR="0078488D" w:rsidRDefault="0078488D" w:rsidP="0078488D">
      <w:pPr>
        <w:rPr>
          <w:rFonts w:ascii="Arial" w:hAnsi="Arial" w:cs="Arial"/>
          <w:sz w:val="22"/>
          <w:szCs w:val="22"/>
        </w:rPr>
      </w:pPr>
      <w:r>
        <w:rPr>
          <w:rFonts w:ascii="Arial" w:hAnsi="Arial" w:cs="Arial"/>
          <w:sz w:val="22"/>
          <w:szCs w:val="22"/>
        </w:rPr>
        <w:t xml:space="preserve">The mission of the Nuclear Regulatory Commission (NRC) is to regulate nuclear reactors, materials, and waste facilities in a manner that protects the health and safety of the public, promotes the common defense and security, and protects the environment.  Security at nuclear facilities across the country has long been the subject of NRC regulatory oversight, dating back to the 1970's.  </w:t>
      </w:r>
    </w:p>
    <w:p w:rsidR="0078488D" w:rsidRDefault="0078488D" w:rsidP="0078488D">
      <w:pPr>
        <w:rPr>
          <w:rFonts w:ascii="Arial" w:hAnsi="Arial" w:cs="Arial"/>
          <w:sz w:val="22"/>
          <w:szCs w:val="22"/>
        </w:rPr>
      </w:pPr>
    </w:p>
    <w:p w:rsidR="0078488D" w:rsidRDefault="0078488D" w:rsidP="0078488D">
      <w:pPr>
        <w:rPr>
          <w:rFonts w:ascii="Arial" w:hAnsi="Arial" w:cs="Arial"/>
          <w:sz w:val="22"/>
          <w:szCs w:val="22"/>
        </w:rPr>
      </w:pPr>
      <w:r>
        <w:rPr>
          <w:rFonts w:ascii="Arial" w:hAnsi="Arial" w:cs="Arial"/>
          <w:sz w:val="22"/>
          <w:szCs w:val="22"/>
        </w:rPr>
        <w:t>The terrorist attacks on the United States on September 11, 2001, brought to light a new and more immediate threat to our country.  All custodians of the Nation’s critical infrastructure needed to reconsider decisions made earlier about the adequacy of security at the facilities under their charge.  To cope with these changes in the threat environment, the NRC undertook a reassessment of its safeguards and security programs to identify prompt actions and long-term enhancements that would raise the level of security at the nuclear facilities across the country.</w:t>
      </w:r>
    </w:p>
    <w:p w:rsidR="0078488D" w:rsidRDefault="0078488D" w:rsidP="0078488D">
      <w:pPr>
        <w:rPr>
          <w:rFonts w:ascii="Arial" w:hAnsi="Arial" w:cs="Arial"/>
          <w:sz w:val="22"/>
          <w:szCs w:val="22"/>
        </w:rPr>
      </w:pPr>
    </w:p>
    <w:p w:rsidR="0078488D" w:rsidRDefault="0078488D" w:rsidP="0078488D">
      <w:pPr>
        <w:rPr>
          <w:rFonts w:ascii="Arial" w:hAnsi="Arial" w:cs="Arial"/>
          <w:sz w:val="22"/>
          <w:szCs w:val="22"/>
        </w:rPr>
      </w:pPr>
      <w:r>
        <w:rPr>
          <w:rFonts w:ascii="Arial" w:hAnsi="Arial" w:cs="Arial"/>
          <w:sz w:val="22"/>
          <w:szCs w:val="22"/>
        </w:rPr>
        <w:t xml:space="preserve">In 2003, with the assistance of other Federal agencies, the NRC developed a database of reported security incidents, referred to as the Security Information Database (SID), which has since been renamed the Protected Web Server (PWS).  Under this program, licensees voluntarily provide security reports as a result of advisories that NRC issues.  Nuclear power reactor licensees provide the majority of reports, but other entities that may voluntarily send </w:t>
      </w:r>
      <w:proofErr w:type="gramStart"/>
      <w:r>
        <w:rPr>
          <w:rFonts w:ascii="Arial" w:hAnsi="Arial" w:cs="Arial"/>
          <w:sz w:val="22"/>
          <w:szCs w:val="22"/>
        </w:rPr>
        <w:t>reports</w:t>
      </w:r>
      <w:proofErr w:type="gramEnd"/>
      <w:r>
        <w:rPr>
          <w:rFonts w:ascii="Arial" w:hAnsi="Arial" w:cs="Arial"/>
          <w:sz w:val="22"/>
          <w:szCs w:val="22"/>
        </w:rPr>
        <w:t xml:space="preserve"> include fuel facilities, independent spent fuel storage installations, decommissioned power reactors, power reactors under construction, research and test reactors, agreement states, non-agreement states, as well as </w:t>
      </w:r>
      <w:r w:rsidR="005B753C">
        <w:rPr>
          <w:rFonts w:ascii="Arial" w:hAnsi="Arial" w:cs="Arial"/>
          <w:sz w:val="22"/>
          <w:szCs w:val="22"/>
        </w:rPr>
        <w:t xml:space="preserve">users of byproduct material (e.g. </w:t>
      </w:r>
      <w:r>
        <w:rPr>
          <w:rFonts w:ascii="Arial" w:hAnsi="Arial" w:cs="Arial"/>
          <w:sz w:val="22"/>
          <w:szCs w:val="22"/>
        </w:rPr>
        <w:t xml:space="preserve">departments of health, medical centers, </w:t>
      </w:r>
      <w:r w:rsidR="00686594">
        <w:rPr>
          <w:rFonts w:ascii="Arial" w:hAnsi="Arial" w:cs="Arial"/>
          <w:sz w:val="22"/>
          <w:szCs w:val="22"/>
        </w:rPr>
        <w:t xml:space="preserve">universities, </w:t>
      </w:r>
      <w:r>
        <w:rPr>
          <w:rFonts w:ascii="Arial" w:hAnsi="Arial" w:cs="Arial"/>
          <w:sz w:val="22"/>
          <w:szCs w:val="22"/>
        </w:rPr>
        <w:t>steel mills,</w:t>
      </w:r>
      <w:r w:rsidR="005B753C">
        <w:rPr>
          <w:rFonts w:ascii="Arial" w:hAnsi="Arial" w:cs="Arial"/>
          <w:sz w:val="22"/>
          <w:szCs w:val="22"/>
        </w:rPr>
        <w:t xml:space="preserve"> well loggers,</w:t>
      </w:r>
      <w:r>
        <w:rPr>
          <w:rFonts w:ascii="Arial" w:hAnsi="Arial" w:cs="Arial"/>
          <w:sz w:val="22"/>
          <w:szCs w:val="22"/>
        </w:rPr>
        <w:t xml:space="preserve"> and radiographers.</w:t>
      </w:r>
      <w:r w:rsidR="005B753C">
        <w:rPr>
          <w:rFonts w:ascii="Arial" w:hAnsi="Arial" w:cs="Arial"/>
          <w:sz w:val="22"/>
          <w:szCs w:val="22"/>
        </w:rPr>
        <w:t>)</w:t>
      </w:r>
      <w:r>
        <w:rPr>
          <w:rFonts w:ascii="Arial" w:hAnsi="Arial" w:cs="Arial"/>
          <w:sz w:val="22"/>
          <w:szCs w:val="22"/>
        </w:rPr>
        <w:t xml:space="preserve">  Each report that NRC receives provides details about a specific security incident that has occurred (e.g., suspicious person, suspicious activity, flyovers) and the actions that the reporting organization is taking to address the incident.  These reports are considered sensitive information and are handled accordingly.  This information is added to PWS and shared with authorized nuclear industry officials and Federal, State, and local government agencies.</w:t>
      </w:r>
    </w:p>
    <w:p w:rsidR="0078488D" w:rsidRDefault="0078488D" w:rsidP="0078488D">
      <w:pPr>
        <w:rPr>
          <w:rFonts w:ascii="Arial" w:hAnsi="Arial" w:cs="Arial"/>
          <w:sz w:val="22"/>
          <w:szCs w:val="22"/>
        </w:rPr>
      </w:pPr>
    </w:p>
    <w:p w:rsidR="0078488D" w:rsidRDefault="0078488D" w:rsidP="0078488D">
      <w:pPr>
        <w:rPr>
          <w:rFonts w:ascii="Arial" w:hAnsi="Arial" w:cs="Arial"/>
          <w:sz w:val="22"/>
          <w:szCs w:val="22"/>
        </w:rPr>
      </w:pPr>
    </w:p>
    <w:p w:rsidR="0078488D" w:rsidRDefault="0078488D" w:rsidP="0078488D">
      <w:pPr>
        <w:widowControl w:val="0"/>
        <w:numPr>
          <w:ilvl w:val="0"/>
          <w:numId w:val="8"/>
        </w:numPr>
        <w:rPr>
          <w:rFonts w:ascii="Arial" w:hAnsi="Arial" w:cs="Arial"/>
          <w:sz w:val="22"/>
          <w:szCs w:val="22"/>
        </w:rPr>
      </w:pPr>
      <w:r>
        <w:rPr>
          <w:rFonts w:ascii="Arial" w:hAnsi="Arial" w:cs="Arial"/>
          <w:sz w:val="22"/>
          <w:szCs w:val="22"/>
        </w:rPr>
        <w:t>JUSTIFICATION</w:t>
      </w:r>
    </w:p>
    <w:p w:rsidR="0078488D" w:rsidRDefault="0078488D" w:rsidP="0078488D">
      <w:pPr>
        <w:widowControl w:val="0"/>
        <w:ind w:left="360"/>
        <w:rPr>
          <w:rFonts w:ascii="Arial" w:hAnsi="Arial" w:cs="Arial"/>
          <w:sz w:val="22"/>
          <w:szCs w:val="22"/>
        </w:rPr>
      </w:pPr>
    </w:p>
    <w:p w:rsidR="0078488D" w:rsidRDefault="0078488D" w:rsidP="0078488D">
      <w:pPr>
        <w:widowControl w:val="0"/>
        <w:numPr>
          <w:ilvl w:val="0"/>
          <w:numId w:val="9"/>
        </w:numPr>
        <w:rPr>
          <w:rFonts w:ascii="Arial" w:hAnsi="Arial" w:cs="Arial"/>
          <w:sz w:val="22"/>
          <w:szCs w:val="22"/>
          <w:u w:val="single"/>
        </w:rPr>
      </w:pPr>
      <w:r>
        <w:rPr>
          <w:rFonts w:ascii="Arial" w:hAnsi="Arial" w:cs="Arial"/>
          <w:sz w:val="22"/>
          <w:szCs w:val="22"/>
          <w:u w:val="single"/>
        </w:rPr>
        <w:t>Need For and Practical Utility of the Collection of Information</w:t>
      </w:r>
    </w:p>
    <w:p w:rsidR="0078488D" w:rsidRDefault="0078488D" w:rsidP="0078488D">
      <w:pPr>
        <w:ind w:left="720"/>
        <w:rPr>
          <w:rFonts w:ascii="Arial" w:hAnsi="Arial" w:cs="Arial"/>
          <w:sz w:val="22"/>
          <w:szCs w:val="22"/>
        </w:rPr>
      </w:pPr>
    </w:p>
    <w:p w:rsidR="0078488D" w:rsidRDefault="0078488D" w:rsidP="009A42DB">
      <w:pPr>
        <w:ind w:left="1080"/>
        <w:rPr>
          <w:rFonts w:ascii="Arial" w:hAnsi="Arial" w:cs="Arial"/>
          <w:sz w:val="22"/>
          <w:szCs w:val="22"/>
        </w:rPr>
      </w:pPr>
      <w:r>
        <w:rPr>
          <w:rFonts w:ascii="Arial" w:hAnsi="Arial" w:cs="Arial"/>
          <w:sz w:val="22"/>
          <w:szCs w:val="22"/>
        </w:rPr>
        <w:t>PWS enables the NRC to fulfill its mission of communicating sensitive information to licensees and developing more formal, long-term relationships with Federal, State, and local organizations with shared responsibilities for protecting nuclear facilities and activities and responding to incidents.</w:t>
      </w:r>
    </w:p>
    <w:p w:rsidR="0078488D" w:rsidRDefault="0078488D" w:rsidP="009A42DB">
      <w:pPr>
        <w:ind w:left="1080"/>
        <w:rPr>
          <w:rFonts w:ascii="Arial" w:hAnsi="Arial" w:cs="Arial"/>
          <w:sz w:val="22"/>
          <w:szCs w:val="22"/>
        </w:rPr>
      </w:pPr>
    </w:p>
    <w:p w:rsidR="0078488D" w:rsidRDefault="0078488D" w:rsidP="009A42DB">
      <w:pPr>
        <w:ind w:left="1080"/>
        <w:rPr>
          <w:rFonts w:ascii="Arial" w:hAnsi="Arial" w:cs="Arial"/>
          <w:color w:val="000000"/>
          <w:sz w:val="22"/>
          <w:szCs w:val="22"/>
        </w:rPr>
      </w:pPr>
      <w:r>
        <w:rPr>
          <w:rFonts w:ascii="Arial" w:hAnsi="Arial" w:cs="Arial"/>
          <w:color w:val="000000"/>
          <w:sz w:val="22"/>
          <w:szCs w:val="22"/>
        </w:rPr>
        <w:lastRenderedPageBreak/>
        <w:t>Further, PWS fulfills a valuable need in relation to the Nationwide Suspicious Activity Reporting (SAR) Initiative (NSI) which began in 2008.  PWS is the NRC’s contribution to this important national initiative to centralize suspicious activity reporting in the interest of assessing national trends across industries and critical infrastructure.</w:t>
      </w:r>
    </w:p>
    <w:p w:rsidR="0078488D" w:rsidRDefault="0078488D" w:rsidP="009A42DB">
      <w:pPr>
        <w:ind w:left="1080"/>
        <w:rPr>
          <w:rFonts w:ascii="Arial" w:hAnsi="Arial" w:cs="Arial"/>
          <w:color w:val="000000"/>
          <w:sz w:val="22"/>
          <w:szCs w:val="22"/>
        </w:rPr>
      </w:pPr>
    </w:p>
    <w:p w:rsidR="0078488D" w:rsidRDefault="0078488D" w:rsidP="009A42DB">
      <w:pPr>
        <w:ind w:left="1080"/>
        <w:rPr>
          <w:rFonts w:ascii="Arial" w:hAnsi="Arial" w:cs="Arial"/>
          <w:sz w:val="22"/>
          <w:szCs w:val="22"/>
        </w:rPr>
      </w:pPr>
      <w:r>
        <w:rPr>
          <w:rFonts w:ascii="Arial" w:hAnsi="Arial" w:cs="Arial"/>
          <w:sz w:val="22"/>
          <w:szCs w:val="22"/>
        </w:rPr>
        <w:t xml:space="preserve">NRC licensees are encouraged to report suspicious activity, as outlined </w:t>
      </w:r>
      <w:r w:rsidR="00321342">
        <w:rPr>
          <w:rFonts w:ascii="Arial" w:hAnsi="Arial" w:cs="Arial"/>
          <w:sz w:val="22"/>
          <w:szCs w:val="22"/>
        </w:rPr>
        <w:t xml:space="preserve">in </w:t>
      </w:r>
      <w:r>
        <w:rPr>
          <w:rFonts w:ascii="Arial" w:hAnsi="Arial" w:cs="Arial"/>
          <w:sz w:val="22"/>
          <w:szCs w:val="22"/>
        </w:rPr>
        <w:t>the 2005 Department of Homeland Security (DHS)/Federal Bureau of Investigation (FBI) suspicious activity reporting guide</w:t>
      </w:r>
      <w:r>
        <w:rPr>
          <w:rStyle w:val="FootnoteReference"/>
          <w:rFonts w:ascii="Arial" w:hAnsi="Arial" w:cs="Arial"/>
          <w:sz w:val="22"/>
          <w:szCs w:val="22"/>
        </w:rPr>
        <w:footnoteReference w:customMarkFollows="1" w:id="1"/>
        <w:t>[1]</w:t>
      </w:r>
      <w:r>
        <w:rPr>
          <w:rFonts w:ascii="Arial" w:hAnsi="Arial" w:cs="Arial"/>
          <w:sz w:val="22"/>
          <w:szCs w:val="22"/>
        </w:rPr>
        <w:t xml:space="preserve"> and the 2009 DHS cyber-security recommended practice guide.</w:t>
      </w:r>
      <w:r>
        <w:rPr>
          <w:rStyle w:val="FootnoteReference"/>
          <w:rFonts w:ascii="Arial" w:hAnsi="Arial" w:cs="Arial"/>
          <w:sz w:val="22"/>
          <w:szCs w:val="22"/>
        </w:rPr>
        <w:footnoteReference w:customMarkFollows="1" w:id="2"/>
        <w:t>[2]</w:t>
      </w:r>
      <w:r w:rsidR="00531060">
        <w:rPr>
          <w:rFonts w:ascii="Arial" w:hAnsi="Arial" w:cs="Arial"/>
          <w:sz w:val="22"/>
          <w:szCs w:val="22"/>
        </w:rPr>
        <w:t xml:space="preserve">  </w:t>
      </w:r>
      <w:r w:rsidR="00357B0D">
        <w:rPr>
          <w:rFonts w:ascii="Arial" w:hAnsi="Arial" w:cs="Arial"/>
          <w:sz w:val="22"/>
          <w:szCs w:val="22"/>
        </w:rPr>
        <w:t xml:space="preserve">The </w:t>
      </w:r>
      <w:r w:rsidR="00531060">
        <w:rPr>
          <w:rFonts w:ascii="Arial" w:hAnsi="Arial" w:cs="Arial"/>
          <w:sz w:val="22"/>
          <w:szCs w:val="22"/>
        </w:rPr>
        <w:t xml:space="preserve">NRC has also issued two information advisories providing guidance on suspicious </w:t>
      </w:r>
      <w:r w:rsidR="00357B0D">
        <w:rPr>
          <w:rFonts w:ascii="Arial" w:hAnsi="Arial" w:cs="Arial"/>
          <w:sz w:val="22"/>
          <w:szCs w:val="22"/>
        </w:rPr>
        <w:t>activity</w:t>
      </w:r>
      <w:r w:rsidR="00531060">
        <w:rPr>
          <w:rFonts w:ascii="Arial" w:hAnsi="Arial" w:cs="Arial"/>
          <w:sz w:val="22"/>
          <w:szCs w:val="22"/>
        </w:rPr>
        <w:t xml:space="preserve"> reporting: IA-04-08</w:t>
      </w:r>
      <w:r w:rsidR="00531060">
        <w:rPr>
          <w:rStyle w:val="FootnoteReference"/>
          <w:rFonts w:ascii="Arial" w:hAnsi="Arial" w:cs="Arial"/>
          <w:sz w:val="22"/>
          <w:szCs w:val="22"/>
        </w:rPr>
        <w:footnoteReference w:customMarkFollows="1" w:id="3"/>
        <w:t>[3]</w:t>
      </w:r>
      <w:r w:rsidR="00531060">
        <w:rPr>
          <w:rFonts w:ascii="Arial" w:hAnsi="Arial" w:cs="Arial"/>
          <w:sz w:val="22"/>
          <w:szCs w:val="22"/>
        </w:rPr>
        <w:t xml:space="preserve"> and IA-13-01</w:t>
      </w:r>
      <w:r w:rsidR="00531060">
        <w:rPr>
          <w:rStyle w:val="FootnoteReference"/>
          <w:rFonts w:ascii="Arial" w:hAnsi="Arial" w:cs="Arial"/>
          <w:sz w:val="22"/>
          <w:szCs w:val="22"/>
        </w:rPr>
        <w:footnoteReference w:customMarkFollows="1" w:id="4"/>
        <w:t>[4]</w:t>
      </w:r>
      <w:r w:rsidR="00531060">
        <w:rPr>
          <w:rFonts w:ascii="Arial" w:hAnsi="Arial" w:cs="Arial"/>
          <w:sz w:val="22"/>
          <w:szCs w:val="22"/>
        </w:rPr>
        <w:t>.</w:t>
      </w:r>
    </w:p>
    <w:p w:rsidR="0078488D" w:rsidRDefault="0078488D" w:rsidP="0078488D">
      <w:pPr>
        <w:widowControl w:val="0"/>
        <w:rPr>
          <w:rFonts w:ascii="Arial" w:hAnsi="Arial"/>
          <w:sz w:val="22"/>
          <w:u w:val="single"/>
        </w:rPr>
      </w:pPr>
    </w:p>
    <w:p w:rsidR="0078488D" w:rsidRDefault="0078488D" w:rsidP="0078488D">
      <w:pPr>
        <w:widowControl w:val="0"/>
        <w:numPr>
          <w:ilvl w:val="0"/>
          <w:numId w:val="9"/>
        </w:numPr>
        <w:rPr>
          <w:rFonts w:ascii="Arial" w:hAnsi="Arial"/>
          <w:sz w:val="22"/>
          <w:u w:val="single"/>
        </w:rPr>
      </w:pPr>
      <w:r>
        <w:rPr>
          <w:rFonts w:ascii="Arial" w:hAnsi="Arial"/>
          <w:sz w:val="22"/>
          <w:u w:val="single"/>
        </w:rPr>
        <w:t>Agency Use of Information</w:t>
      </w:r>
    </w:p>
    <w:p w:rsidR="0078488D" w:rsidRDefault="0078488D" w:rsidP="0078488D">
      <w:pPr>
        <w:widowControl w:val="0"/>
        <w:rPr>
          <w:rFonts w:ascii="Arial" w:hAnsi="Arial"/>
          <w:sz w:val="22"/>
          <w:u w:val="single"/>
        </w:rPr>
      </w:pPr>
    </w:p>
    <w:p w:rsidR="0078488D" w:rsidRDefault="0078488D" w:rsidP="0078488D">
      <w:pPr>
        <w:widowControl w:val="0"/>
        <w:ind w:left="1080"/>
        <w:rPr>
          <w:rFonts w:ascii="Arial" w:hAnsi="Arial"/>
          <w:sz w:val="22"/>
        </w:rPr>
      </w:pPr>
      <w:r>
        <w:rPr>
          <w:rFonts w:ascii="Arial" w:hAnsi="Arial"/>
          <w:sz w:val="22"/>
        </w:rPr>
        <w:t>Analysts in the NRC’s Office of Nuclear Security and Incident Response (NSIR) review threat-related information to evaluate and assess potential threats to the NRC and its licensees.  Analysts coordinate threat related information with the FBI, DHS, and other national-level intelligence agencies to assess the level of threat.  PWS is also used as a vehicle to communicate threat related information to NRC licensees.</w:t>
      </w:r>
    </w:p>
    <w:p w:rsidR="0078488D" w:rsidRDefault="0078488D" w:rsidP="0078488D">
      <w:pPr>
        <w:widowControl w:val="0"/>
        <w:rPr>
          <w:rFonts w:ascii="Arial" w:hAnsi="Arial"/>
          <w:sz w:val="22"/>
          <w:u w:val="single"/>
        </w:rPr>
      </w:pPr>
    </w:p>
    <w:p w:rsidR="0078488D" w:rsidRDefault="0078488D" w:rsidP="0078488D">
      <w:pPr>
        <w:widowControl w:val="0"/>
        <w:numPr>
          <w:ilvl w:val="0"/>
          <w:numId w:val="9"/>
        </w:numPr>
        <w:rPr>
          <w:rFonts w:ascii="Arial" w:hAnsi="Arial"/>
          <w:sz w:val="22"/>
        </w:rPr>
      </w:pPr>
      <w:r>
        <w:rPr>
          <w:rFonts w:ascii="Arial" w:hAnsi="Arial"/>
          <w:sz w:val="22"/>
          <w:u w:val="single"/>
        </w:rPr>
        <w:t>Reduction of Burden Through Information Technology</w:t>
      </w:r>
      <w:r>
        <w:rPr>
          <w:rFonts w:ascii="Arial" w:hAnsi="Arial"/>
          <w:sz w:val="22"/>
        </w:rPr>
        <w:t xml:space="preserve">  </w:t>
      </w:r>
    </w:p>
    <w:p w:rsidR="0078488D" w:rsidRDefault="0078488D" w:rsidP="0078488D">
      <w:pPr>
        <w:widowControl w:val="0"/>
        <w:rPr>
          <w:rFonts w:ascii="Arial" w:hAnsi="Arial"/>
          <w:sz w:val="22"/>
        </w:rPr>
      </w:pPr>
    </w:p>
    <w:p w:rsidR="0078488D" w:rsidRDefault="0078488D" w:rsidP="0078488D">
      <w:pPr>
        <w:widowControl w:val="0"/>
        <w:ind w:left="1080"/>
        <w:rPr>
          <w:rFonts w:ascii="Arial" w:hAnsi="Arial"/>
          <w:sz w:val="22"/>
        </w:rPr>
      </w:pPr>
      <w:r>
        <w:rPr>
          <w:rFonts w:ascii="Arial" w:hAnsi="Arial"/>
          <w:sz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100%</w:t>
      </w:r>
      <w:r>
        <w:rPr>
          <w:rFonts w:ascii="Arial" w:hAnsi="Arial"/>
          <w:b/>
          <w:sz w:val="22"/>
        </w:rPr>
        <w:t xml:space="preserve"> </w:t>
      </w:r>
      <w:r>
        <w:rPr>
          <w:rFonts w:ascii="Arial" w:hAnsi="Arial"/>
          <w:sz w:val="22"/>
        </w:rPr>
        <w:t>of the potential responses are filed electronically.</w:t>
      </w:r>
    </w:p>
    <w:p w:rsidR="0078488D" w:rsidRDefault="0078488D" w:rsidP="0078488D">
      <w:pPr>
        <w:widowControl w:val="0"/>
        <w:rPr>
          <w:rFonts w:ascii="Arial" w:hAnsi="Arial"/>
          <w:sz w:val="22"/>
        </w:rPr>
      </w:pPr>
    </w:p>
    <w:p w:rsidR="0078488D" w:rsidRDefault="0078488D" w:rsidP="0078488D">
      <w:pPr>
        <w:widowControl w:val="0"/>
        <w:numPr>
          <w:ilvl w:val="0"/>
          <w:numId w:val="9"/>
        </w:numPr>
        <w:rPr>
          <w:rFonts w:ascii="Arial" w:hAnsi="Arial"/>
          <w:sz w:val="22"/>
          <w:u w:val="single"/>
        </w:rPr>
      </w:pPr>
      <w:r>
        <w:rPr>
          <w:rFonts w:ascii="Arial" w:hAnsi="Arial"/>
          <w:sz w:val="22"/>
          <w:u w:val="single"/>
        </w:rPr>
        <w:t>Effort to Identify Duplication and Use Similar Information</w:t>
      </w:r>
    </w:p>
    <w:p w:rsidR="0078488D" w:rsidRDefault="0078488D" w:rsidP="0078488D">
      <w:pPr>
        <w:widowControl w:val="0"/>
        <w:rPr>
          <w:rFonts w:ascii="Arial" w:hAnsi="Arial"/>
          <w:sz w:val="22"/>
          <w:u w:val="single"/>
        </w:rPr>
      </w:pPr>
    </w:p>
    <w:p w:rsidR="0078488D" w:rsidRDefault="0078488D" w:rsidP="0078488D">
      <w:pPr>
        <w:widowControl w:val="0"/>
        <w:ind w:left="1080"/>
        <w:rPr>
          <w:rFonts w:ascii="Arial" w:hAnsi="Arial"/>
          <w:sz w:val="22"/>
        </w:rPr>
      </w:pPr>
      <w:r>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78488D" w:rsidRDefault="0078488D" w:rsidP="0078488D">
      <w:pPr>
        <w:widowControl w:val="0"/>
        <w:rPr>
          <w:rFonts w:ascii="Arial" w:hAnsi="Arial"/>
          <w:sz w:val="22"/>
          <w:u w:val="single"/>
        </w:rPr>
      </w:pPr>
    </w:p>
    <w:p w:rsidR="0078488D" w:rsidRDefault="0078488D" w:rsidP="0078488D">
      <w:pPr>
        <w:widowControl w:val="0"/>
        <w:numPr>
          <w:ilvl w:val="0"/>
          <w:numId w:val="9"/>
        </w:numPr>
        <w:rPr>
          <w:rFonts w:ascii="Arial" w:hAnsi="Arial"/>
          <w:sz w:val="22"/>
        </w:rPr>
      </w:pPr>
      <w:r>
        <w:rPr>
          <w:rFonts w:ascii="Arial" w:hAnsi="Arial"/>
          <w:sz w:val="22"/>
          <w:u w:val="single"/>
        </w:rPr>
        <w:t>Effort to Reduce Small Business Burden</w:t>
      </w:r>
    </w:p>
    <w:p w:rsidR="0078488D" w:rsidRDefault="0078488D" w:rsidP="0078488D">
      <w:pPr>
        <w:widowControl w:val="0"/>
        <w:rPr>
          <w:rFonts w:ascii="Arial" w:hAnsi="Arial"/>
          <w:sz w:val="22"/>
          <w:u w:val="single"/>
        </w:rPr>
      </w:pPr>
    </w:p>
    <w:p w:rsidR="0078488D" w:rsidRDefault="0078488D" w:rsidP="0078488D">
      <w:pPr>
        <w:widowControl w:val="0"/>
        <w:ind w:left="1080"/>
        <w:rPr>
          <w:rFonts w:ascii="Arial" w:hAnsi="Arial"/>
          <w:sz w:val="22"/>
        </w:rPr>
      </w:pPr>
      <w:r>
        <w:rPr>
          <w:rFonts w:ascii="Arial" w:hAnsi="Arial"/>
          <w:sz w:val="22"/>
        </w:rPr>
        <w:t>Not applicable.</w:t>
      </w:r>
    </w:p>
    <w:p w:rsidR="00A37A53" w:rsidRDefault="00A37A53">
      <w:pPr>
        <w:rPr>
          <w:rFonts w:ascii="Arial" w:hAnsi="Arial"/>
          <w:sz w:val="22"/>
        </w:rPr>
      </w:pPr>
      <w:r>
        <w:rPr>
          <w:rFonts w:ascii="Arial" w:hAnsi="Arial"/>
          <w:sz w:val="22"/>
        </w:rPr>
        <w:br w:type="page"/>
      </w:r>
    </w:p>
    <w:p w:rsidR="0078488D" w:rsidRDefault="0078488D" w:rsidP="0078488D">
      <w:pPr>
        <w:widowControl w:val="0"/>
        <w:numPr>
          <w:ilvl w:val="0"/>
          <w:numId w:val="9"/>
        </w:numPr>
        <w:rPr>
          <w:rFonts w:ascii="Arial" w:hAnsi="Arial"/>
          <w:sz w:val="22"/>
        </w:rPr>
      </w:pPr>
      <w:r>
        <w:rPr>
          <w:rFonts w:ascii="Arial" w:hAnsi="Arial"/>
          <w:sz w:val="22"/>
          <w:u w:val="single"/>
        </w:rPr>
        <w:lastRenderedPageBreak/>
        <w:t>Consequences to Federal Program or Policy Activities if the Collection Is Not Conducted or Is Conducted Less Frequently</w:t>
      </w:r>
    </w:p>
    <w:p w:rsidR="0078488D" w:rsidRDefault="0078488D" w:rsidP="0078488D">
      <w:pPr>
        <w:widowControl w:val="0"/>
        <w:rPr>
          <w:rFonts w:ascii="Arial" w:hAnsi="Arial"/>
          <w:sz w:val="22"/>
        </w:rPr>
      </w:pPr>
    </w:p>
    <w:p w:rsidR="00794E1A" w:rsidRDefault="00794E1A" w:rsidP="00794E1A">
      <w:pPr>
        <w:widowControl w:val="0"/>
        <w:ind w:left="1080"/>
        <w:rPr>
          <w:rFonts w:ascii="Arial" w:hAnsi="Arial"/>
          <w:sz w:val="22"/>
        </w:rPr>
      </w:pPr>
      <w:r>
        <w:rPr>
          <w:rFonts w:ascii="Arial" w:hAnsi="Arial"/>
          <w:sz w:val="22"/>
        </w:rPr>
        <w:t xml:space="preserve">Nuclear licensees report this information voluntarily on an ad-hoc basis, as suspicious incidents occur.  This immediate reporting is necessary to allow NSIR to provide timely intelligence assessment to prevent or mitigate potential threats to the NRC or its licensees.  </w:t>
      </w:r>
    </w:p>
    <w:p w:rsidR="00794E1A" w:rsidRDefault="00794E1A" w:rsidP="0078488D">
      <w:pPr>
        <w:widowControl w:val="0"/>
        <w:ind w:left="1080"/>
        <w:rPr>
          <w:rFonts w:ascii="Arial" w:hAnsi="Arial"/>
          <w:sz w:val="22"/>
        </w:rPr>
      </w:pPr>
    </w:p>
    <w:p w:rsidR="0078488D" w:rsidRDefault="0078488D" w:rsidP="0078488D">
      <w:pPr>
        <w:widowControl w:val="0"/>
        <w:ind w:left="1080"/>
        <w:rPr>
          <w:rFonts w:ascii="Arial" w:hAnsi="Arial"/>
          <w:sz w:val="22"/>
        </w:rPr>
      </w:pPr>
      <w:r>
        <w:rPr>
          <w:rFonts w:ascii="Arial" w:hAnsi="Arial"/>
          <w:sz w:val="22"/>
        </w:rPr>
        <w:t>If suspicious incident information was not collected, it would negatively affect the NRC’s ability to analyze threats to its licensees.  It would also create a void in threat related information pertaining to the nuclear sector in the National Security Environment (NSE) / SAR Program.</w:t>
      </w:r>
    </w:p>
    <w:p w:rsidR="0078488D" w:rsidRDefault="0078488D" w:rsidP="0078488D">
      <w:pPr>
        <w:widowControl w:val="0"/>
        <w:rPr>
          <w:rFonts w:ascii="Arial" w:hAnsi="Arial"/>
          <w:sz w:val="22"/>
        </w:rPr>
      </w:pPr>
    </w:p>
    <w:p w:rsidR="0078488D" w:rsidRDefault="0078488D" w:rsidP="0078488D">
      <w:pPr>
        <w:widowControl w:val="0"/>
        <w:numPr>
          <w:ilvl w:val="0"/>
          <w:numId w:val="9"/>
        </w:numPr>
        <w:rPr>
          <w:rFonts w:ascii="Arial" w:hAnsi="Arial"/>
          <w:sz w:val="22"/>
          <w:u w:val="single"/>
        </w:rPr>
      </w:pPr>
      <w:r>
        <w:rPr>
          <w:rFonts w:ascii="Arial" w:hAnsi="Arial"/>
          <w:sz w:val="22"/>
          <w:u w:val="single"/>
        </w:rPr>
        <w:t>Circumstances Which Justify Variation from OMB Guidelines</w:t>
      </w:r>
    </w:p>
    <w:p w:rsidR="00794E1A" w:rsidRDefault="00794E1A" w:rsidP="00794E1A">
      <w:pPr>
        <w:widowControl w:val="0"/>
        <w:ind w:left="1080"/>
        <w:rPr>
          <w:rFonts w:ascii="Arial" w:hAnsi="Arial"/>
          <w:sz w:val="22"/>
        </w:rPr>
      </w:pPr>
    </w:p>
    <w:p w:rsidR="0078488D" w:rsidRPr="00794E1A" w:rsidRDefault="00DE0ED3" w:rsidP="00794E1A">
      <w:pPr>
        <w:widowControl w:val="0"/>
        <w:ind w:left="1080"/>
        <w:rPr>
          <w:rFonts w:ascii="Arial" w:hAnsi="Arial"/>
          <w:sz w:val="22"/>
        </w:rPr>
      </w:pPr>
      <w:r>
        <w:rPr>
          <w:rFonts w:ascii="Arial" w:hAnsi="Arial"/>
          <w:sz w:val="22"/>
        </w:rPr>
        <w:t xml:space="preserve">There exists no requirement for licensees to report suspicious incidents on a routine reporting schedule.  Rather, licensees are encouraged to voluntarily report suspicious incidents on an as-needed basis </w:t>
      </w:r>
      <w:r>
        <w:rPr>
          <w:rFonts w:ascii="Arial" w:hAnsi="Arial" w:cs="Arial"/>
          <w:sz w:val="22"/>
          <w:szCs w:val="22"/>
        </w:rPr>
        <w:t>as security incidents occur and/or as security incidents are identified</w:t>
      </w:r>
      <w:r w:rsidR="001C09E2">
        <w:rPr>
          <w:rFonts w:ascii="Arial" w:hAnsi="Arial" w:cs="Arial"/>
          <w:sz w:val="22"/>
          <w:szCs w:val="22"/>
        </w:rPr>
        <w:t xml:space="preserve">, which may lead to reporting more </w:t>
      </w:r>
      <w:r w:rsidR="00684FFA">
        <w:rPr>
          <w:rFonts w:ascii="Arial" w:hAnsi="Arial" w:cs="Arial"/>
          <w:sz w:val="22"/>
          <w:szCs w:val="22"/>
        </w:rPr>
        <w:t xml:space="preserve">often than quarterly.  </w:t>
      </w:r>
      <w:r w:rsidR="009B53D6">
        <w:rPr>
          <w:rFonts w:ascii="Arial" w:hAnsi="Arial"/>
          <w:sz w:val="22"/>
        </w:rPr>
        <w:t xml:space="preserve"> This immediate reporting is necessary to allow NSIR to provide timely intelligence assessment to prevent or mitigate potential threats to the NRC or its licensees.  </w:t>
      </w:r>
    </w:p>
    <w:p w:rsidR="0078488D" w:rsidRDefault="0078488D" w:rsidP="0078488D">
      <w:pPr>
        <w:widowControl w:val="0"/>
        <w:rPr>
          <w:rFonts w:ascii="Arial" w:hAnsi="Arial"/>
          <w:sz w:val="22"/>
          <w:u w:val="single"/>
        </w:rPr>
      </w:pPr>
    </w:p>
    <w:p w:rsidR="0078488D" w:rsidRDefault="0078488D" w:rsidP="0078488D">
      <w:pPr>
        <w:numPr>
          <w:ilvl w:val="0"/>
          <w:numId w:val="9"/>
        </w:numPr>
        <w:rPr>
          <w:rFonts w:ascii="Arial" w:hAnsi="Arial"/>
          <w:sz w:val="22"/>
        </w:rPr>
      </w:pPr>
      <w:r>
        <w:rPr>
          <w:rFonts w:ascii="Arial" w:hAnsi="Arial"/>
          <w:sz w:val="22"/>
          <w:u w:val="single"/>
        </w:rPr>
        <w:t>Consultations Outside the NRC</w:t>
      </w:r>
    </w:p>
    <w:p w:rsidR="0078488D" w:rsidRDefault="0078488D" w:rsidP="0078488D">
      <w:pPr>
        <w:rPr>
          <w:rFonts w:ascii="Arial" w:hAnsi="Arial"/>
          <w:sz w:val="22"/>
          <w:u w:val="single"/>
        </w:rPr>
      </w:pPr>
    </w:p>
    <w:p w:rsidR="0078488D" w:rsidRDefault="00B75896" w:rsidP="004B02D7">
      <w:pPr>
        <w:ind w:left="1080"/>
        <w:rPr>
          <w:rFonts w:ascii="Arial" w:hAnsi="Arial"/>
          <w:sz w:val="22"/>
        </w:rPr>
      </w:pPr>
      <w:r>
        <w:rPr>
          <w:rFonts w:ascii="Arial" w:hAnsi="Arial"/>
          <w:sz w:val="22"/>
        </w:rPr>
        <w:t xml:space="preserve">A 60-day </w:t>
      </w:r>
      <w:r w:rsidR="004B02D7" w:rsidRPr="004B02D7">
        <w:rPr>
          <w:rFonts w:ascii="Arial" w:hAnsi="Arial"/>
          <w:sz w:val="22"/>
        </w:rPr>
        <w:t>public comment</w:t>
      </w:r>
      <w:r>
        <w:rPr>
          <w:rFonts w:ascii="Arial" w:hAnsi="Arial"/>
          <w:sz w:val="22"/>
        </w:rPr>
        <w:t xml:space="preserve"> period was provided regarding these </w:t>
      </w:r>
      <w:r w:rsidR="004B02D7" w:rsidRPr="004B02D7">
        <w:rPr>
          <w:rFonts w:ascii="Arial" w:hAnsi="Arial"/>
          <w:sz w:val="22"/>
        </w:rPr>
        <w:t xml:space="preserve">information collection requirements </w:t>
      </w:r>
      <w:r>
        <w:rPr>
          <w:rFonts w:ascii="Arial" w:hAnsi="Arial"/>
          <w:sz w:val="22"/>
        </w:rPr>
        <w:t xml:space="preserve">described in </w:t>
      </w:r>
      <w:r w:rsidR="004B02D7" w:rsidRPr="004B02D7">
        <w:rPr>
          <w:rFonts w:ascii="Arial" w:hAnsi="Arial"/>
          <w:sz w:val="22"/>
        </w:rPr>
        <w:t>this clearance package</w:t>
      </w:r>
      <w:r>
        <w:rPr>
          <w:rFonts w:ascii="Arial" w:hAnsi="Arial"/>
          <w:sz w:val="22"/>
        </w:rPr>
        <w:t>.  The</w:t>
      </w:r>
      <w:r w:rsidR="004B02D7" w:rsidRPr="004B02D7">
        <w:rPr>
          <w:rFonts w:ascii="Arial" w:hAnsi="Arial"/>
          <w:sz w:val="22"/>
        </w:rPr>
        <w:t xml:space="preserve"> Federal Register </w:t>
      </w:r>
      <w:r>
        <w:rPr>
          <w:rFonts w:ascii="Arial" w:hAnsi="Arial"/>
          <w:sz w:val="22"/>
        </w:rPr>
        <w:t xml:space="preserve">notice was published </w:t>
      </w:r>
      <w:r w:rsidR="004B02D7" w:rsidRPr="004B02D7">
        <w:rPr>
          <w:rFonts w:ascii="Arial" w:hAnsi="Arial"/>
          <w:sz w:val="22"/>
        </w:rPr>
        <w:t>on August 8, 2013 (78 FR 48501).  No comments were received</w:t>
      </w:r>
      <w:r w:rsidR="004B02D7">
        <w:rPr>
          <w:rFonts w:ascii="Arial" w:hAnsi="Arial"/>
          <w:sz w:val="22"/>
        </w:rPr>
        <w:t>.</w:t>
      </w:r>
      <w:r>
        <w:rPr>
          <w:rFonts w:ascii="Arial" w:hAnsi="Arial"/>
          <w:sz w:val="22"/>
        </w:rPr>
        <w:t xml:space="preserve">  </w:t>
      </w:r>
      <w:r w:rsidR="007F4359">
        <w:rPr>
          <w:rFonts w:ascii="Arial" w:hAnsi="Arial"/>
          <w:sz w:val="22"/>
        </w:rPr>
        <w:t>In addition, a second opportunity for comment was published on November 29, 2013 (78 FR 71673).</w:t>
      </w:r>
    </w:p>
    <w:p w:rsidR="004B02D7" w:rsidRDefault="004B02D7" w:rsidP="004B02D7">
      <w:pPr>
        <w:ind w:left="1080"/>
        <w:rPr>
          <w:rFonts w:ascii="Arial" w:hAnsi="Arial"/>
          <w:sz w:val="22"/>
        </w:rPr>
      </w:pPr>
    </w:p>
    <w:p w:rsidR="0078488D" w:rsidRDefault="0078488D" w:rsidP="0078488D">
      <w:pPr>
        <w:numPr>
          <w:ilvl w:val="0"/>
          <w:numId w:val="9"/>
        </w:numPr>
        <w:rPr>
          <w:rFonts w:ascii="Arial" w:hAnsi="Arial"/>
          <w:sz w:val="22"/>
        </w:rPr>
      </w:pPr>
      <w:r>
        <w:rPr>
          <w:rFonts w:ascii="Arial" w:hAnsi="Arial"/>
          <w:sz w:val="22"/>
          <w:u w:val="single"/>
        </w:rPr>
        <w:t>Payment or Gift to Respondents</w:t>
      </w:r>
    </w:p>
    <w:p w:rsidR="0078488D" w:rsidRDefault="0078488D" w:rsidP="0078488D">
      <w:pPr>
        <w:rPr>
          <w:rFonts w:ascii="Arial" w:hAnsi="Arial"/>
          <w:sz w:val="22"/>
        </w:rPr>
      </w:pPr>
    </w:p>
    <w:p w:rsidR="0078488D" w:rsidRDefault="0078488D" w:rsidP="0078488D">
      <w:pPr>
        <w:ind w:left="1080"/>
        <w:rPr>
          <w:rFonts w:ascii="Arial" w:hAnsi="Arial"/>
          <w:sz w:val="22"/>
        </w:rPr>
      </w:pPr>
      <w:r>
        <w:rPr>
          <w:rFonts w:ascii="Arial" w:hAnsi="Arial"/>
          <w:sz w:val="22"/>
        </w:rPr>
        <w:t>Not applicable.</w:t>
      </w:r>
    </w:p>
    <w:p w:rsidR="0078488D" w:rsidRDefault="0078488D" w:rsidP="0078488D">
      <w:pPr>
        <w:rPr>
          <w:rFonts w:ascii="Arial" w:hAnsi="Arial"/>
          <w:sz w:val="22"/>
        </w:rPr>
      </w:pPr>
    </w:p>
    <w:p w:rsidR="0078488D" w:rsidRDefault="0078488D" w:rsidP="0078488D">
      <w:pPr>
        <w:numPr>
          <w:ilvl w:val="0"/>
          <w:numId w:val="9"/>
        </w:numPr>
        <w:rPr>
          <w:rFonts w:ascii="Arial" w:hAnsi="Arial"/>
          <w:sz w:val="22"/>
        </w:rPr>
      </w:pPr>
      <w:r>
        <w:rPr>
          <w:rFonts w:ascii="Arial" w:hAnsi="Arial"/>
          <w:sz w:val="22"/>
          <w:u w:val="single"/>
        </w:rPr>
        <w:t>Confidentiality of Information</w:t>
      </w:r>
    </w:p>
    <w:p w:rsidR="0078488D" w:rsidRDefault="0078488D" w:rsidP="0078488D">
      <w:pPr>
        <w:rPr>
          <w:rFonts w:ascii="Arial" w:hAnsi="Arial"/>
          <w:sz w:val="22"/>
          <w:u w:val="single"/>
        </w:rPr>
      </w:pPr>
    </w:p>
    <w:p w:rsidR="0078488D" w:rsidRDefault="0078488D" w:rsidP="0078488D">
      <w:pPr>
        <w:ind w:left="1080"/>
        <w:rPr>
          <w:rFonts w:ascii="Arial" w:hAnsi="Arial"/>
          <w:sz w:val="22"/>
        </w:rPr>
      </w:pPr>
      <w:r>
        <w:rPr>
          <w:rFonts w:ascii="Arial" w:hAnsi="Arial"/>
          <w:sz w:val="22"/>
        </w:rPr>
        <w:t>Confidential and proprietary information is protected in accordance with NRC regulations at 10 CFR 9.17(a) and 10 CFR 2.390(b).  Suspicious incident reports may contain PII or other sensitive but unclassified information about the facility, security posture, security counter-measures, and other potential vulnerabilities.  For example, information may relate to identifying an individual or vehicle involved in a suspicious incident, such as: Name, address, date of birth, vehicle make &amp; model, license plate, VIN, etc.  Access to PII and other sensitive but unclassified information is limited to select individuals within the NRC and FBI, and is redacted for all other PWS users.</w:t>
      </w:r>
    </w:p>
    <w:p w:rsidR="002A6FF0" w:rsidRDefault="002A6FF0" w:rsidP="0078488D">
      <w:pPr>
        <w:ind w:left="1080"/>
        <w:rPr>
          <w:rFonts w:ascii="Arial" w:hAnsi="Arial"/>
          <w:sz w:val="22"/>
        </w:rPr>
      </w:pPr>
    </w:p>
    <w:p w:rsidR="002A6FF0" w:rsidRDefault="002A6FF0" w:rsidP="0078488D">
      <w:pPr>
        <w:ind w:left="1080"/>
        <w:rPr>
          <w:rFonts w:ascii="Arial" w:hAnsi="Arial" w:cs="Arial"/>
          <w:iCs/>
          <w:color w:val="000000"/>
          <w:sz w:val="22"/>
          <w:szCs w:val="22"/>
        </w:rPr>
      </w:pPr>
      <w:r w:rsidRPr="002A6FF0">
        <w:rPr>
          <w:rFonts w:ascii="Arial" w:hAnsi="Arial"/>
          <w:sz w:val="22"/>
        </w:rPr>
        <w:t xml:space="preserve">PWS administrators used the principle of least privilege when assigning access rights to PWS users.  All users, to include NRC staff; </w:t>
      </w:r>
      <w:r w:rsidRPr="002A6FF0">
        <w:rPr>
          <w:rFonts w:ascii="Arial" w:hAnsi="Arial" w:cs="Arial"/>
          <w:sz w:val="22"/>
          <w:szCs w:val="22"/>
        </w:rPr>
        <w:t>authorized nuclear industry officials; and Federal, State, and local government agencies, are assigned role-based access rights in PWS based on their need to know.</w:t>
      </w:r>
      <w:r>
        <w:rPr>
          <w:rFonts w:ascii="Arial" w:hAnsi="Arial" w:cs="Arial"/>
          <w:iCs/>
          <w:color w:val="000000"/>
          <w:sz w:val="22"/>
          <w:szCs w:val="22"/>
        </w:rPr>
        <w:t xml:space="preserve">  PWS </w:t>
      </w:r>
      <w:r w:rsidRPr="002A6FF0">
        <w:rPr>
          <w:rFonts w:ascii="Arial" w:hAnsi="Arial" w:cs="Arial"/>
          <w:iCs/>
          <w:color w:val="000000"/>
          <w:sz w:val="22"/>
          <w:szCs w:val="22"/>
        </w:rPr>
        <w:t xml:space="preserve">Users are also </w:t>
      </w:r>
      <w:r w:rsidRPr="002A6FF0">
        <w:rPr>
          <w:rFonts w:ascii="Arial" w:hAnsi="Arial" w:cs="Arial"/>
          <w:iCs/>
          <w:color w:val="000000"/>
          <w:sz w:val="22"/>
          <w:szCs w:val="22"/>
        </w:rPr>
        <w:lastRenderedPageBreak/>
        <w:t>required to accept terms of service before being granted an account in PWS.  The NRC will not be able to ensure proper use of information by external users beyond limiting access based on need to know.  FBI representatives are the only users outside of the NRC that will have access to any PII</w:t>
      </w:r>
      <w:r w:rsidR="00522A2F">
        <w:rPr>
          <w:rFonts w:ascii="Arial" w:hAnsi="Arial" w:cs="Arial"/>
          <w:iCs/>
          <w:color w:val="000000"/>
          <w:sz w:val="22"/>
          <w:szCs w:val="22"/>
        </w:rPr>
        <w:t>.</w:t>
      </w:r>
    </w:p>
    <w:p w:rsidR="009B53D6" w:rsidRDefault="009B53D6" w:rsidP="0078488D">
      <w:pPr>
        <w:ind w:left="1080"/>
        <w:rPr>
          <w:rFonts w:ascii="Arial" w:hAnsi="Arial"/>
          <w:sz w:val="22"/>
        </w:rPr>
      </w:pPr>
    </w:p>
    <w:p w:rsidR="009B53D6" w:rsidRDefault="009B53D6" w:rsidP="0078488D">
      <w:pPr>
        <w:ind w:left="1080"/>
        <w:rPr>
          <w:rFonts w:ascii="Arial" w:hAnsi="Arial"/>
          <w:sz w:val="22"/>
        </w:rPr>
      </w:pPr>
      <w:r>
        <w:rPr>
          <w:rFonts w:ascii="Arial" w:hAnsi="Arial"/>
          <w:sz w:val="22"/>
        </w:rPr>
        <w:t>To date, the NRC has</w:t>
      </w:r>
      <w:r w:rsidRPr="009B53D6">
        <w:rPr>
          <w:rFonts w:ascii="Arial" w:hAnsi="Arial"/>
          <w:sz w:val="22"/>
        </w:rPr>
        <w:t xml:space="preserve"> approximately 20 representatives from the</w:t>
      </w:r>
      <w:r>
        <w:rPr>
          <w:rFonts w:ascii="Arial" w:hAnsi="Arial"/>
          <w:sz w:val="22"/>
        </w:rPr>
        <w:t xml:space="preserve"> FBI who use the PWS</w:t>
      </w:r>
      <w:r w:rsidRPr="009B53D6">
        <w:rPr>
          <w:rFonts w:ascii="Arial" w:hAnsi="Arial"/>
          <w:sz w:val="22"/>
        </w:rPr>
        <w:t>.  These individuals are not from a specific office within the FBI.  Rather, they represent a variety of FBI offices, task forces, and directorates related to weapons of mass destruction (WMD), critical infrastructure, and nuclear and radiological issues.  All requests from the FBI for accounts in the PWS are reviewed and approved by the Office of Nuclear Security and Incident Response (NSIR) before being created.</w:t>
      </w:r>
      <w:r>
        <w:rPr>
          <w:rFonts w:ascii="Arial" w:hAnsi="Arial"/>
          <w:sz w:val="22"/>
        </w:rPr>
        <w:t xml:space="preserve">  </w:t>
      </w:r>
      <w:r w:rsidRPr="00177E21">
        <w:rPr>
          <w:rFonts w:ascii="Arial" w:hAnsi="Arial"/>
          <w:sz w:val="22"/>
        </w:rPr>
        <w:t>The NRC has the legal authority to share this information with the FBI</w:t>
      </w:r>
      <w:r w:rsidR="00177E21">
        <w:rPr>
          <w:rFonts w:ascii="Arial" w:hAnsi="Arial"/>
          <w:sz w:val="22"/>
        </w:rPr>
        <w:t xml:space="preserve"> under </w:t>
      </w:r>
      <w:r w:rsidR="00177E21" w:rsidRPr="00177E21">
        <w:rPr>
          <w:rFonts w:ascii="Arial" w:hAnsi="Arial"/>
          <w:sz w:val="22"/>
        </w:rPr>
        <w:t>Section 221.b. of the Atomic Energy Act, codified at 42 USC 2271</w:t>
      </w:r>
      <w:r w:rsidR="00177E21">
        <w:rPr>
          <w:rFonts w:ascii="Arial" w:hAnsi="Arial"/>
          <w:sz w:val="22"/>
        </w:rPr>
        <w:t>.</w:t>
      </w:r>
    </w:p>
    <w:p w:rsidR="009B53D6" w:rsidRDefault="009B53D6" w:rsidP="0078488D">
      <w:pPr>
        <w:ind w:left="1080"/>
        <w:rPr>
          <w:rFonts w:ascii="Arial" w:hAnsi="Arial"/>
          <w:sz w:val="22"/>
        </w:rPr>
      </w:pPr>
    </w:p>
    <w:p w:rsidR="009B53D6" w:rsidRPr="009161F2" w:rsidRDefault="009B53D6" w:rsidP="009B53D6">
      <w:pPr>
        <w:ind w:left="1080"/>
        <w:rPr>
          <w:rFonts w:ascii="Arial" w:hAnsi="Arial" w:cs="Arial"/>
        </w:rPr>
      </w:pPr>
      <w:r>
        <w:rPr>
          <w:rFonts w:ascii="Arial" w:hAnsi="Arial"/>
          <w:sz w:val="22"/>
        </w:rPr>
        <w:t>A Privacy Impact Assessment was performed by the agency for the system in August 2011.  A SORN is not required for this system because it is not searchable by personally identifiable information</w:t>
      </w:r>
      <w:r w:rsidRPr="009161F2">
        <w:rPr>
          <w:rFonts w:ascii="Arial" w:hAnsi="Arial"/>
          <w:sz w:val="22"/>
        </w:rPr>
        <w:t xml:space="preserve">.  </w:t>
      </w:r>
      <w:r w:rsidRPr="009161F2">
        <w:rPr>
          <w:rFonts w:ascii="Arial" w:hAnsi="Arial" w:cs="Arial"/>
          <w:sz w:val="22"/>
          <w:szCs w:val="22"/>
        </w:rPr>
        <w:t>The only searchable fields for Suspicious Incidents ar</w:t>
      </w:r>
      <w:bookmarkStart w:id="0" w:name="_GoBack"/>
      <w:bookmarkEnd w:id="0"/>
      <w:r w:rsidRPr="009161F2">
        <w:rPr>
          <w:rFonts w:ascii="Arial" w:hAnsi="Arial" w:cs="Arial"/>
          <w:sz w:val="22"/>
          <w:szCs w:val="22"/>
        </w:rPr>
        <w:t>e as follows: incident ID, date, region, reporting organization, site/licensee name, report category, current phase, status, and last updated (date).  In order to avoid any potential issues with searching on Personally Identifiable Information (PII), the full-text search feature is limited to the Communication Documents and Cyber Related Documents Views.</w:t>
      </w:r>
    </w:p>
    <w:p w:rsidR="0078488D" w:rsidRPr="009161F2" w:rsidRDefault="0078488D" w:rsidP="0078488D">
      <w:pPr>
        <w:rPr>
          <w:rFonts w:ascii="Arial" w:hAnsi="Arial"/>
          <w:sz w:val="22"/>
        </w:rPr>
      </w:pPr>
    </w:p>
    <w:p w:rsidR="0078488D" w:rsidRDefault="0078488D" w:rsidP="0078488D">
      <w:pPr>
        <w:numPr>
          <w:ilvl w:val="0"/>
          <w:numId w:val="9"/>
        </w:numPr>
        <w:rPr>
          <w:rFonts w:ascii="Arial" w:hAnsi="Arial"/>
          <w:sz w:val="22"/>
        </w:rPr>
      </w:pPr>
      <w:r w:rsidRPr="009161F2">
        <w:rPr>
          <w:rFonts w:ascii="Arial" w:hAnsi="Arial"/>
          <w:sz w:val="22"/>
          <w:u w:val="single"/>
        </w:rPr>
        <w:t>Justification for Sensitive Questions</w:t>
      </w:r>
      <w:r w:rsidRPr="009161F2">
        <w:rPr>
          <w:rFonts w:ascii="Arial" w:hAnsi="Arial"/>
          <w:sz w:val="22"/>
          <w:u w:val="single"/>
        </w:rPr>
        <w:br/>
      </w:r>
      <w:r>
        <w:rPr>
          <w:rFonts w:ascii="Arial" w:hAnsi="Arial"/>
          <w:sz w:val="22"/>
          <w:u w:val="single"/>
        </w:rPr>
        <w:br/>
      </w:r>
      <w:r>
        <w:rPr>
          <w:rFonts w:ascii="Arial" w:hAnsi="Arial"/>
          <w:sz w:val="22"/>
        </w:rPr>
        <w:t xml:space="preserve">No </w:t>
      </w:r>
      <w:r w:rsidR="00B75896">
        <w:rPr>
          <w:rFonts w:ascii="Arial" w:hAnsi="Arial"/>
          <w:sz w:val="22"/>
        </w:rPr>
        <w:t xml:space="preserve">questions of a </w:t>
      </w:r>
      <w:r>
        <w:rPr>
          <w:rFonts w:ascii="Arial" w:hAnsi="Arial"/>
          <w:sz w:val="22"/>
        </w:rPr>
        <w:t xml:space="preserve">sensitive </w:t>
      </w:r>
      <w:r w:rsidR="00B75896">
        <w:rPr>
          <w:rFonts w:ascii="Arial" w:hAnsi="Arial"/>
          <w:sz w:val="22"/>
        </w:rPr>
        <w:t xml:space="preserve">nature are contained in any of the associated information collection requirements.  </w:t>
      </w:r>
      <w:r>
        <w:rPr>
          <w:rFonts w:ascii="Arial" w:hAnsi="Arial"/>
          <w:sz w:val="22"/>
        </w:rPr>
        <w:br/>
        <w:t xml:space="preserve"> </w:t>
      </w:r>
    </w:p>
    <w:p w:rsidR="0078488D" w:rsidRDefault="0078488D" w:rsidP="0078488D">
      <w:pPr>
        <w:numPr>
          <w:ilvl w:val="0"/>
          <w:numId w:val="9"/>
        </w:numPr>
        <w:rPr>
          <w:rFonts w:ascii="Arial" w:hAnsi="Arial"/>
          <w:sz w:val="22"/>
        </w:rPr>
      </w:pPr>
      <w:r>
        <w:rPr>
          <w:rFonts w:ascii="Arial" w:hAnsi="Arial"/>
          <w:sz w:val="22"/>
          <w:u w:val="single"/>
        </w:rPr>
        <w:t>Estimated Burden and Burden Hour Cost</w:t>
      </w:r>
    </w:p>
    <w:p w:rsidR="0078488D" w:rsidRDefault="0078488D" w:rsidP="0078488D">
      <w:pPr>
        <w:rPr>
          <w:rFonts w:ascii="Arial" w:hAnsi="Arial"/>
          <w:sz w:val="22"/>
          <w:u w:val="single"/>
        </w:rPr>
      </w:pPr>
    </w:p>
    <w:p w:rsidR="0078488D" w:rsidRDefault="0078488D" w:rsidP="0078488D">
      <w:pPr>
        <w:ind w:left="1080"/>
        <w:rPr>
          <w:rFonts w:ascii="Arial" w:hAnsi="Arial"/>
          <w:sz w:val="22"/>
        </w:rPr>
      </w:pPr>
      <w:r>
        <w:rPr>
          <w:rFonts w:ascii="Arial" w:hAnsi="Arial"/>
          <w:sz w:val="22"/>
        </w:rPr>
        <w:t>The NRC staff estimates that 50 licensees will annually submit 339 reports through PWS, and that each report will require 2 hours to prepare and submit.  The total licensee burden for this information collection is 678 hours at a cost of $</w:t>
      </w:r>
      <w:r w:rsidR="009A42DB">
        <w:rPr>
          <w:rFonts w:ascii="Arial" w:hAnsi="Arial"/>
          <w:sz w:val="22"/>
        </w:rPr>
        <w:t>184,416 (678 hours x $272</w:t>
      </w:r>
      <w:r>
        <w:rPr>
          <w:rFonts w:ascii="Arial" w:hAnsi="Arial"/>
          <w:sz w:val="22"/>
        </w:rPr>
        <w:t>/</w:t>
      </w:r>
      <w:proofErr w:type="spellStart"/>
      <w:r>
        <w:rPr>
          <w:rFonts w:ascii="Arial" w:hAnsi="Arial"/>
          <w:sz w:val="22"/>
        </w:rPr>
        <w:t>hr</w:t>
      </w:r>
      <w:proofErr w:type="spellEnd"/>
      <w:r>
        <w:rPr>
          <w:rFonts w:ascii="Arial" w:hAnsi="Arial"/>
          <w:sz w:val="22"/>
        </w:rPr>
        <w:t>).  See Table 1.</w:t>
      </w:r>
    </w:p>
    <w:p w:rsidR="0078488D" w:rsidRDefault="0078488D" w:rsidP="0078488D">
      <w:pPr>
        <w:rPr>
          <w:rFonts w:ascii="Arial" w:hAnsi="Arial"/>
          <w:sz w:val="22"/>
        </w:rPr>
      </w:pPr>
    </w:p>
    <w:p w:rsidR="0078488D" w:rsidRDefault="0078488D" w:rsidP="0078488D">
      <w:pPr>
        <w:pStyle w:val="Level1"/>
        <w:widowControl/>
        <w:numPr>
          <w:ilvl w:val="0"/>
          <w:numId w:val="9"/>
        </w:numPr>
        <w:rPr>
          <w:rFonts w:ascii="Arial" w:hAnsi="Arial"/>
          <w:sz w:val="22"/>
        </w:rPr>
      </w:pPr>
      <w:r>
        <w:rPr>
          <w:rFonts w:ascii="Arial" w:hAnsi="Arial"/>
          <w:sz w:val="22"/>
          <w:u w:val="single"/>
        </w:rPr>
        <w:t>Estimate of Other Additional Costs</w:t>
      </w:r>
    </w:p>
    <w:p w:rsidR="0078488D" w:rsidRDefault="0078488D" w:rsidP="0078488D">
      <w:pPr>
        <w:pStyle w:val="Level1"/>
        <w:widowControl/>
        <w:rPr>
          <w:rFonts w:ascii="Arial" w:hAnsi="Arial"/>
          <w:sz w:val="22"/>
        </w:rPr>
      </w:pPr>
    </w:p>
    <w:p w:rsidR="0078488D" w:rsidRDefault="0078488D" w:rsidP="0078488D">
      <w:pPr>
        <w:ind w:left="1080"/>
        <w:rPr>
          <w:rFonts w:ascii="Arial" w:hAnsi="Arial"/>
          <w:sz w:val="22"/>
        </w:rPr>
      </w:pPr>
      <w:r>
        <w:rPr>
          <w:rFonts w:ascii="Arial" w:hAnsi="Arial"/>
          <w:sz w:val="22"/>
        </w:rPr>
        <w:t>There are no additional costs.</w:t>
      </w:r>
    </w:p>
    <w:p w:rsidR="0078488D" w:rsidRDefault="0078488D" w:rsidP="0078488D">
      <w:pPr>
        <w:pStyle w:val="Level1"/>
        <w:widowControl/>
        <w:rPr>
          <w:rFonts w:ascii="Arial" w:hAnsi="Arial"/>
          <w:sz w:val="22"/>
        </w:rPr>
      </w:pPr>
    </w:p>
    <w:p w:rsidR="0078488D" w:rsidRDefault="0078488D" w:rsidP="0078488D">
      <w:pPr>
        <w:pStyle w:val="Level1"/>
        <w:widowControl/>
        <w:numPr>
          <w:ilvl w:val="0"/>
          <w:numId w:val="9"/>
        </w:numPr>
        <w:rPr>
          <w:rFonts w:ascii="Arial" w:hAnsi="Arial"/>
          <w:sz w:val="22"/>
        </w:rPr>
      </w:pPr>
      <w:r>
        <w:rPr>
          <w:rFonts w:ascii="Arial" w:hAnsi="Arial"/>
          <w:sz w:val="22"/>
          <w:u w:val="single"/>
        </w:rPr>
        <w:t>Estimated Annualized Cost to the Federal Government</w:t>
      </w:r>
    </w:p>
    <w:p w:rsidR="0078488D" w:rsidRDefault="0078488D" w:rsidP="0078488D">
      <w:pPr>
        <w:pStyle w:val="Level1"/>
        <w:widowControl/>
        <w:rPr>
          <w:rFonts w:ascii="Arial" w:hAnsi="Arial"/>
          <w:sz w:val="22"/>
        </w:rPr>
      </w:pPr>
    </w:p>
    <w:p w:rsidR="009A42DB" w:rsidRDefault="0078488D" w:rsidP="0078488D">
      <w:pPr>
        <w:pStyle w:val="Level1"/>
        <w:widowControl/>
        <w:ind w:left="1080"/>
        <w:rPr>
          <w:rFonts w:ascii="Arial" w:hAnsi="Arial"/>
          <w:sz w:val="22"/>
        </w:rPr>
      </w:pPr>
      <w:r>
        <w:rPr>
          <w:rFonts w:ascii="Arial" w:hAnsi="Arial"/>
          <w:sz w:val="22"/>
        </w:rPr>
        <w:t xml:space="preserve">The annual costs to the NRC include staff hours and contractual support: </w:t>
      </w:r>
    </w:p>
    <w:p w:rsidR="009A42DB" w:rsidRDefault="009A42DB" w:rsidP="0078488D">
      <w:pPr>
        <w:pStyle w:val="Level1"/>
        <w:widowControl/>
        <w:ind w:left="1080"/>
        <w:rPr>
          <w:rFonts w:ascii="Arial" w:hAnsi="Arial"/>
          <w:sz w:val="22"/>
        </w:rPr>
      </w:pPr>
    </w:p>
    <w:p w:rsidR="0078488D" w:rsidRDefault="0078488D" w:rsidP="0078488D">
      <w:pPr>
        <w:pStyle w:val="Level1"/>
        <w:widowControl/>
        <w:ind w:left="1080"/>
        <w:rPr>
          <w:rFonts w:ascii="Arial" w:hAnsi="Arial"/>
          <w:sz w:val="22"/>
        </w:rPr>
      </w:pPr>
      <w:r>
        <w:rPr>
          <w:rFonts w:ascii="Arial" w:hAnsi="Arial"/>
          <w:sz w:val="22"/>
        </w:rPr>
        <w:t>Staff Hours = 1000 hours per year @ $27</w:t>
      </w:r>
      <w:r w:rsidR="009A42DB">
        <w:rPr>
          <w:rFonts w:ascii="Arial" w:hAnsi="Arial"/>
          <w:sz w:val="22"/>
        </w:rPr>
        <w:t>2</w:t>
      </w:r>
      <w:r>
        <w:rPr>
          <w:rFonts w:ascii="Arial" w:hAnsi="Arial"/>
          <w:sz w:val="22"/>
        </w:rPr>
        <w:t>/</w:t>
      </w:r>
      <w:proofErr w:type="spellStart"/>
      <w:r>
        <w:rPr>
          <w:rFonts w:ascii="Arial" w:hAnsi="Arial"/>
          <w:sz w:val="22"/>
        </w:rPr>
        <w:t>hr</w:t>
      </w:r>
      <w:proofErr w:type="spellEnd"/>
      <w:r>
        <w:rPr>
          <w:rFonts w:ascii="Arial" w:hAnsi="Arial"/>
          <w:sz w:val="22"/>
        </w:rPr>
        <w:t xml:space="preserve"> = $27</w:t>
      </w:r>
      <w:r w:rsidR="009A42DB">
        <w:rPr>
          <w:rFonts w:ascii="Arial" w:hAnsi="Arial"/>
          <w:sz w:val="22"/>
        </w:rPr>
        <w:t>2</w:t>
      </w:r>
      <w:r>
        <w:rPr>
          <w:rFonts w:ascii="Arial" w:hAnsi="Arial"/>
          <w:sz w:val="22"/>
        </w:rPr>
        <w:t>,000</w:t>
      </w:r>
    </w:p>
    <w:p w:rsidR="0078488D" w:rsidRDefault="0078488D" w:rsidP="0078488D">
      <w:pPr>
        <w:pStyle w:val="Level1"/>
        <w:widowControl/>
        <w:ind w:left="1080"/>
        <w:rPr>
          <w:rFonts w:ascii="Arial" w:hAnsi="Arial"/>
          <w:sz w:val="22"/>
        </w:rPr>
      </w:pPr>
      <w:r>
        <w:rPr>
          <w:rFonts w:ascii="Arial" w:hAnsi="Arial"/>
          <w:sz w:val="22"/>
        </w:rPr>
        <w:t>Contractual Support = $105,000 per year</w:t>
      </w:r>
    </w:p>
    <w:p w:rsidR="0078488D" w:rsidRDefault="009A42DB" w:rsidP="0078488D">
      <w:pPr>
        <w:pStyle w:val="Level1"/>
        <w:widowControl/>
        <w:ind w:left="1080"/>
        <w:rPr>
          <w:rFonts w:ascii="Arial" w:hAnsi="Arial"/>
          <w:sz w:val="22"/>
        </w:rPr>
      </w:pPr>
      <w:r>
        <w:rPr>
          <w:rFonts w:ascii="Arial" w:hAnsi="Arial"/>
          <w:sz w:val="22"/>
        </w:rPr>
        <w:t>TOTAL COST = $377</w:t>
      </w:r>
      <w:r w:rsidR="0078488D">
        <w:rPr>
          <w:rFonts w:ascii="Arial" w:hAnsi="Arial"/>
          <w:sz w:val="22"/>
        </w:rPr>
        <w:t>,000</w:t>
      </w:r>
    </w:p>
    <w:p w:rsidR="0078488D" w:rsidRDefault="0078488D" w:rsidP="0078488D">
      <w:pPr>
        <w:pStyle w:val="Level1"/>
        <w:widowControl/>
        <w:rPr>
          <w:rFonts w:ascii="Arial" w:hAnsi="Arial"/>
          <w:sz w:val="22"/>
        </w:rPr>
      </w:pPr>
    </w:p>
    <w:p w:rsidR="0078488D" w:rsidRDefault="0078488D" w:rsidP="0078488D">
      <w:pPr>
        <w:widowControl w:val="0"/>
        <w:numPr>
          <w:ilvl w:val="0"/>
          <w:numId w:val="9"/>
        </w:numPr>
        <w:rPr>
          <w:rFonts w:ascii="Arial" w:hAnsi="Arial"/>
          <w:sz w:val="22"/>
          <w:u w:val="single"/>
        </w:rPr>
      </w:pPr>
      <w:r>
        <w:rPr>
          <w:rFonts w:ascii="Arial" w:hAnsi="Arial"/>
          <w:sz w:val="22"/>
          <w:u w:val="single"/>
        </w:rPr>
        <w:t>Reasons for Change in Burden or Cost</w:t>
      </w:r>
    </w:p>
    <w:p w:rsidR="0078488D" w:rsidRDefault="0078488D" w:rsidP="0078488D">
      <w:pPr>
        <w:widowControl w:val="0"/>
        <w:rPr>
          <w:rFonts w:ascii="Arial" w:hAnsi="Arial"/>
          <w:sz w:val="22"/>
          <w:u w:val="single"/>
        </w:rPr>
      </w:pPr>
    </w:p>
    <w:p w:rsidR="0078488D" w:rsidRDefault="0078488D" w:rsidP="0078488D">
      <w:pPr>
        <w:widowControl w:val="0"/>
        <w:ind w:left="1080"/>
        <w:rPr>
          <w:rFonts w:ascii="Arial" w:hAnsi="Arial"/>
          <w:sz w:val="22"/>
        </w:rPr>
      </w:pPr>
      <w:r>
        <w:rPr>
          <w:rFonts w:ascii="Arial" w:hAnsi="Arial"/>
          <w:sz w:val="22"/>
        </w:rPr>
        <w:t xml:space="preserve">The NRC is submitting suspicious activity reporting using PWS as a request for a new clearance.  PWS </w:t>
      </w:r>
      <w:r>
        <w:rPr>
          <w:rFonts w:ascii="Arial" w:hAnsi="Arial" w:cs="Arial"/>
          <w:sz w:val="22"/>
          <w:szCs w:val="22"/>
        </w:rPr>
        <w:t xml:space="preserve">enables the NRC to fulfill its mission of communicating </w:t>
      </w:r>
      <w:r>
        <w:rPr>
          <w:rFonts w:ascii="Arial" w:hAnsi="Arial" w:cs="Arial"/>
          <w:sz w:val="22"/>
          <w:szCs w:val="22"/>
        </w:rPr>
        <w:lastRenderedPageBreak/>
        <w:t>sensitive information to licensees and developing more formal, long-term relationships with Federal, State, and local organizations with shared responsibilities for protecting nuclear facilities and activities and responding to incidents</w:t>
      </w:r>
      <w:r>
        <w:rPr>
          <w:rFonts w:ascii="Arial" w:hAnsi="Arial"/>
          <w:sz w:val="22"/>
        </w:rPr>
        <w:t>.</w:t>
      </w:r>
    </w:p>
    <w:p w:rsidR="0078488D" w:rsidRDefault="0078488D" w:rsidP="0078488D">
      <w:pPr>
        <w:widowControl w:val="0"/>
        <w:rPr>
          <w:rFonts w:ascii="Arial" w:hAnsi="Arial"/>
          <w:sz w:val="22"/>
          <w:u w:val="single"/>
        </w:rPr>
      </w:pPr>
    </w:p>
    <w:p w:rsidR="0078488D" w:rsidRDefault="0078488D" w:rsidP="0078488D">
      <w:pPr>
        <w:pStyle w:val="Level1"/>
        <w:numPr>
          <w:ilvl w:val="0"/>
          <w:numId w:val="9"/>
        </w:numPr>
        <w:rPr>
          <w:rFonts w:ascii="Arial" w:hAnsi="Arial"/>
          <w:sz w:val="22"/>
        </w:rPr>
      </w:pPr>
      <w:r>
        <w:rPr>
          <w:rFonts w:ascii="Arial" w:hAnsi="Arial"/>
          <w:sz w:val="22"/>
          <w:u w:val="single"/>
        </w:rPr>
        <w:t>Publication for Statistical Use</w:t>
      </w:r>
    </w:p>
    <w:p w:rsidR="0078488D" w:rsidRDefault="0078488D" w:rsidP="0078488D">
      <w:pPr>
        <w:pStyle w:val="Level1"/>
        <w:rPr>
          <w:rFonts w:ascii="Arial" w:hAnsi="Arial"/>
          <w:sz w:val="22"/>
        </w:rPr>
      </w:pPr>
    </w:p>
    <w:p w:rsidR="0078488D" w:rsidRDefault="0078488D" w:rsidP="0078488D">
      <w:pPr>
        <w:pStyle w:val="Level1"/>
        <w:ind w:left="1080"/>
        <w:rPr>
          <w:rFonts w:ascii="Arial" w:hAnsi="Arial"/>
          <w:sz w:val="22"/>
        </w:rPr>
      </w:pPr>
      <w:r>
        <w:rPr>
          <w:rFonts w:ascii="Arial" w:hAnsi="Arial"/>
          <w:sz w:val="22"/>
        </w:rPr>
        <w:t>Due to the sensitivity of the information contained in PWS, all information is considered OFFICIAL USE ONLY and not to be shared publicly.</w:t>
      </w:r>
    </w:p>
    <w:p w:rsidR="0078488D" w:rsidRDefault="0078488D" w:rsidP="0078488D">
      <w:pPr>
        <w:pStyle w:val="Level1"/>
        <w:rPr>
          <w:rFonts w:ascii="Arial" w:hAnsi="Arial"/>
          <w:sz w:val="22"/>
        </w:rPr>
      </w:pPr>
    </w:p>
    <w:p w:rsidR="0078488D" w:rsidRDefault="0078488D" w:rsidP="0078488D">
      <w:pPr>
        <w:pStyle w:val="Level1"/>
        <w:numPr>
          <w:ilvl w:val="0"/>
          <w:numId w:val="9"/>
        </w:numPr>
        <w:rPr>
          <w:rFonts w:ascii="Arial" w:hAnsi="Arial"/>
          <w:sz w:val="22"/>
        </w:rPr>
      </w:pPr>
      <w:r>
        <w:rPr>
          <w:rFonts w:ascii="Arial" w:hAnsi="Arial"/>
          <w:sz w:val="22"/>
          <w:u w:val="single"/>
        </w:rPr>
        <w:t>Reason for Not Displaying the Expiration Date</w:t>
      </w:r>
    </w:p>
    <w:p w:rsidR="0078488D" w:rsidRDefault="0078488D" w:rsidP="0078488D">
      <w:pPr>
        <w:pStyle w:val="Level1"/>
        <w:rPr>
          <w:rFonts w:ascii="Arial" w:hAnsi="Arial"/>
          <w:sz w:val="22"/>
        </w:rPr>
      </w:pPr>
    </w:p>
    <w:p w:rsidR="0078488D" w:rsidRDefault="0078488D" w:rsidP="0078488D">
      <w:pPr>
        <w:pStyle w:val="Level1"/>
        <w:ind w:left="1080"/>
        <w:rPr>
          <w:rFonts w:ascii="Arial" w:hAnsi="Arial"/>
          <w:sz w:val="22"/>
        </w:rPr>
      </w:pPr>
      <w:r>
        <w:rPr>
          <w:rFonts w:ascii="Arial" w:hAnsi="Arial"/>
          <w:sz w:val="22"/>
        </w:rPr>
        <w:t xml:space="preserve">Not Applicable. </w:t>
      </w:r>
    </w:p>
    <w:p w:rsidR="0078488D" w:rsidRDefault="0078488D" w:rsidP="0078488D">
      <w:pPr>
        <w:pStyle w:val="Level1"/>
        <w:rPr>
          <w:rFonts w:ascii="Arial" w:hAnsi="Arial"/>
          <w:sz w:val="22"/>
        </w:rPr>
      </w:pPr>
    </w:p>
    <w:p w:rsidR="0078488D" w:rsidRDefault="0078488D" w:rsidP="0078488D">
      <w:pPr>
        <w:pStyle w:val="Level1"/>
        <w:numPr>
          <w:ilvl w:val="0"/>
          <w:numId w:val="9"/>
        </w:numPr>
        <w:rPr>
          <w:rFonts w:ascii="Arial" w:hAnsi="Arial"/>
          <w:sz w:val="22"/>
        </w:rPr>
      </w:pPr>
      <w:r>
        <w:rPr>
          <w:rFonts w:ascii="Arial" w:hAnsi="Arial"/>
          <w:sz w:val="22"/>
          <w:u w:val="single"/>
        </w:rPr>
        <w:t>Exceptions to the Certification Statement</w:t>
      </w:r>
    </w:p>
    <w:p w:rsidR="0078488D" w:rsidRDefault="0078488D" w:rsidP="0078488D">
      <w:pPr>
        <w:pStyle w:val="Level1"/>
        <w:rPr>
          <w:rFonts w:ascii="Arial" w:hAnsi="Arial"/>
          <w:sz w:val="22"/>
          <w:u w:val="single"/>
        </w:rPr>
      </w:pPr>
    </w:p>
    <w:p w:rsidR="0078488D" w:rsidRDefault="0078488D" w:rsidP="0078488D">
      <w:pPr>
        <w:pStyle w:val="Level1"/>
        <w:ind w:left="1080"/>
        <w:rPr>
          <w:rFonts w:ascii="Arial" w:hAnsi="Arial"/>
          <w:sz w:val="22"/>
        </w:rPr>
      </w:pPr>
      <w:proofErr w:type="gramStart"/>
      <w:r>
        <w:rPr>
          <w:rFonts w:ascii="Arial" w:hAnsi="Arial"/>
          <w:sz w:val="22"/>
        </w:rPr>
        <w:t>None.</w:t>
      </w:r>
      <w:proofErr w:type="gramEnd"/>
      <w:r>
        <w:rPr>
          <w:rFonts w:ascii="Arial" w:hAnsi="Arial"/>
          <w:sz w:val="22"/>
        </w:rPr>
        <w:t xml:space="preserve"> </w:t>
      </w:r>
    </w:p>
    <w:p w:rsidR="0078488D" w:rsidRDefault="0078488D" w:rsidP="0078488D">
      <w:pPr>
        <w:pStyle w:val="Level1"/>
        <w:rPr>
          <w:rFonts w:ascii="Arial" w:hAnsi="Arial"/>
          <w:sz w:val="22"/>
        </w:rPr>
      </w:pPr>
    </w:p>
    <w:p w:rsidR="0078488D" w:rsidRDefault="0078488D" w:rsidP="0078488D">
      <w:pPr>
        <w:widowControl w:val="0"/>
        <w:numPr>
          <w:ilvl w:val="0"/>
          <w:numId w:val="8"/>
        </w:numPr>
        <w:rPr>
          <w:rFonts w:ascii="Arial" w:hAnsi="Arial"/>
          <w:sz w:val="22"/>
        </w:rPr>
      </w:pPr>
      <w:r>
        <w:rPr>
          <w:rFonts w:ascii="Arial" w:hAnsi="Arial"/>
          <w:sz w:val="22"/>
        </w:rPr>
        <w:t>COLLECTIONS OF INFORMATION EMPLOYING STATISTICAL METHODS</w:t>
      </w:r>
    </w:p>
    <w:p w:rsidR="0078488D" w:rsidRDefault="0078488D" w:rsidP="0078488D">
      <w:pPr>
        <w:widowControl w:val="0"/>
        <w:rPr>
          <w:rFonts w:ascii="Arial" w:hAnsi="Arial"/>
          <w:sz w:val="22"/>
          <w:u w:val="single"/>
        </w:rPr>
      </w:pPr>
    </w:p>
    <w:p w:rsidR="0078488D" w:rsidRDefault="0078488D" w:rsidP="0078488D">
      <w:pPr>
        <w:widowControl w:val="0"/>
        <w:ind w:left="720"/>
        <w:rPr>
          <w:rFonts w:ascii="Arial" w:hAnsi="Arial"/>
          <w:sz w:val="22"/>
        </w:rPr>
      </w:pPr>
      <w:r>
        <w:rPr>
          <w:rFonts w:ascii="Arial" w:hAnsi="Arial"/>
          <w:sz w:val="22"/>
        </w:rPr>
        <w:t>Not applicable.</w:t>
      </w:r>
    </w:p>
    <w:p w:rsidR="0078488D" w:rsidRDefault="0078488D" w:rsidP="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u w:val="single"/>
        </w:rPr>
      </w:pPr>
      <w:r>
        <w:rPr>
          <w:rFonts w:ascii="Arial" w:hAnsi="Arial"/>
          <w:sz w:val="22"/>
        </w:rPr>
        <w:br w:type="page"/>
      </w:r>
      <w:r>
        <w:rPr>
          <w:rFonts w:ascii="Arial" w:hAnsi="Arial" w:cs="Arial"/>
          <w:sz w:val="22"/>
          <w:szCs w:val="22"/>
          <w:u w:val="single"/>
        </w:rPr>
        <w:lastRenderedPageBreak/>
        <w:t>TABLE 1</w:t>
      </w:r>
    </w:p>
    <w:p w:rsidR="0078488D" w:rsidRDefault="0078488D" w:rsidP="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rPr>
      </w:pPr>
      <w:r>
        <w:rPr>
          <w:rFonts w:ascii="Arial" w:hAnsi="Arial" w:cs="Arial"/>
          <w:sz w:val="22"/>
          <w:szCs w:val="22"/>
        </w:rPr>
        <w:t xml:space="preserve">ANNUALIZED REPORTING BURDEN (Voluntary) </w:t>
      </w:r>
    </w:p>
    <w:tbl>
      <w:tblPr>
        <w:tblW w:w="0" w:type="auto"/>
        <w:jc w:val="center"/>
        <w:tblInd w:w="-1485" w:type="dxa"/>
        <w:tblLayout w:type="fixed"/>
        <w:tblCellMar>
          <w:left w:w="120" w:type="dxa"/>
          <w:right w:w="120" w:type="dxa"/>
        </w:tblCellMar>
        <w:tblLook w:val="04A0" w:firstRow="1" w:lastRow="0" w:firstColumn="1" w:lastColumn="0" w:noHBand="0" w:noVBand="1"/>
      </w:tblPr>
      <w:tblGrid>
        <w:gridCol w:w="3307"/>
        <w:gridCol w:w="1477"/>
        <w:gridCol w:w="1397"/>
        <w:gridCol w:w="1397"/>
        <w:gridCol w:w="1397"/>
        <w:gridCol w:w="1398"/>
      </w:tblGrid>
      <w:tr w:rsidR="0078488D" w:rsidTr="0078488D">
        <w:trPr>
          <w:jc w:val="center"/>
        </w:trPr>
        <w:tc>
          <w:tcPr>
            <w:tcW w:w="3307" w:type="dxa"/>
            <w:tcBorders>
              <w:top w:val="single" w:sz="6" w:space="0" w:color="000000"/>
              <w:left w:val="single" w:sz="6" w:space="0" w:color="000000"/>
              <w:bottom w:val="single" w:sz="6" w:space="0" w:color="000000"/>
              <w:right w:val="single" w:sz="6" w:space="0" w:color="000000"/>
            </w:tcBorders>
            <w:hideMark/>
          </w:tcPr>
          <w:p w:rsidR="0078488D" w:rsidRDefault="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0"/>
              </w:rPr>
            </w:pPr>
            <w:r>
              <w:rPr>
                <w:rFonts w:ascii="Arial" w:hAnsi="Arial" w:cs="Arial"/>
                <w:sz w:val="20"/>
              </w:rPr>
              <w:t>Section</w:t>
            </w:r>
          </w:p>
        </w:tc>
        <w:tc>
          <w:tcPr>
            <w:tcW w:w="1477" w:type="dxa"/>
            <w:tcBorders>
              <w:top w:val="single" w:sz="6" w:space="0" w:color="000000"/>
              <w:left w:val="single" w:sz="6" w:space="0" w:color="000000"/>
              <w:bottom w:val="single" w:sz="6" w:space="0" w:color="000000"/>
              <w:right w:val="single" w:sz="6" w:space="0" w:color="000000"/>
            </w:tcBorders>
            <w:hideMark/>
          </w:tcPr>
          <w:p w:rsidR="0078488D" w:rsidRDefault="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0"/>
              </w:rPr>
            </w:pPr>
            <w:r>
              <w:rPr>
                <w:rFonts w:ascii="Arial" w:hAnsi="Arial" w:cs="Arial"/>
                <w:sz w:val="20"/>
              </w:rPr>
              <w:t>No. Of Respondents</w:t>
            </w:r>
          </w:p>
        </w:tc>
        <w:tc>
          <w:tcPr>
            <w:tcW w:w="1397" w:type="dxa"/>
            <w:tcBorders>
              <w:top w:val="single" w:sz="6" w:space="0" w:color="000000"/>
              <w:left w:val="single" w:sz="6" w:space="0" w:color="000000"/>
              <w:bottom w:val="single" w:sz="6" w:space="0" w:color="000000"/>
              <w:right w:val="single" w:sz="6" w:space="0" w:color="000000"/>
            </w:tcBorders>
            <w:hideMark/>
          </w:tcPr>
          <w:p w:rsidR="0078488D" w:rsidRDefault="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0"/>
              </w:rPr>
            </w:pPr>
            <w:r>
              <w:rPr>
                <w:rFonts w:ascii="Arial" w:hAnsi="Arial" w:cs="Arial"/>
                <w:sz w:val="20"/>
              </w:rPr>
              <w:t>Responses per Respondent</w:t>
            </w:r>
          </w:p>
        </w:tc>
        <w:tc>
          <w:tcPr>
            <w:tcW w:w="1397" w:type="dxa"/>
            <w:tcBorders>
              <w:top w:val="single" w:sz="6" w:space="0" w:color="000000"/>
              <w:left w:val="single" w:sz="6" w:space="0" w:color="000000"/>
              <w:bottom w:val="single" w:sz="6" w:space="0" w:color="000000"/>
              <w:right w:val="single" w:sz="6" w:space="0" w:color="000000"/>
            </w:tcBorders>
            <w:hideMark/>
          </w:tcPr>
          <w:p w:rsidR="0078488D" w:rsidRDefault="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0"/>
              </w:rPr>
            </w:pPr>
            <w:r>
              <w:rPr>
                <w:rFonts w:ascii="Arial" w:hAnsi="Arial" w:cs="Arial"/>
                <w:sz w:val="20"/>
              </w:rPr>
              <w:t>Total No. of Responses</w:t>
            </w:r>
          </w:p>
        </w:tc>
        <w:tc>
          <w:tcPr>
            <w:tcW w:w="1397" w:type="dxa"/>
            <w:tcBorders>
              <w:top w:val="single" w:sz="6" w:space="0" w:color="000000"/>
              <w:left w:val="single" w:sz="6" w:space="0" w:color="000000"/>
              <w:bottom w:val="single" w:sz="6" w:space="0" w:color="000000"/>
              <w:right w:val="single" w:sz="6" w:space="0" w:color="000000"/>
            </w:tcBorders>
            <w:hideMark/>
          </w:tcPr>
          <w:p w:rsidR="0078488D" w:rsidRDefault="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0"/>
              </w:rPr>
            </w:pPr>
            <w:r>
              <w:rPr>
                <w:rFonts w:ascii="Arial" w:hAnsi="Arial" w:cs="Arial"/>
                <w:sz w:val="20"/>
              </w:rPr>
              <w:t>Burden Hours per Response</w:t>
            </w:r>
          </w:p>
        </w:tc>
        <w:tc>
          <w:tcPr>
            <w:tcW w:w="1398" w:type="dxa"/>
            <w:tcBorders>
              <w:top w:val="single" w:sz="6" w:space="0" w:color="000000"/>
              <w:left w:val="single" w:sz="6" w:space="0" w:color="000000"/>
              <w:bottom w:val="single" w:sz="6" w:space="0" w:color="000000"/>
              <w:right w:val="single" w:sz="6" w:space="0" w:color="000000"/>
            </w:tcBorders>
            <w:hideMark/>
          </w:tcPr>
          <w:p w:rsidR="0078488D" w:rsidRDefault="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0"/>
              </w:rPr>
            </w:pPr>
            <w:r>
              <w:rPr>
                <w:rFonts w:ascii="Arial" w:hAnsi="Arial" w:cs="Arial"/>
                <w:sz w:val="20"/>
              </w:rPr>
              <w:t>Total Annual Reporting Burden (</w:t>
            </w:r>
            <w:proofErr w:type="spellStart"/>
            <w:r>
              <w:rPr>
                <w:rFonts w:ascii="Arial" w:hAnsi="Arial" w:cs="Arial"/>
                <w:sz w:val="20"/>
              </w:rPr>
              <w:t>Hrs</w:t>
            </w:r>
            <w:proofErr w:type="spellEnd"/>
            <w:r>
              <w:rPr>
                <w:rFonts w:ascii="Arial" w:hAnsi="Arial" w:cs="Arial"/>
                <w:sz w:val="20"/>
              </w:rPr>
              <w:t>)</w:t>
            </w:r>
          </w:p>
        </w:tc>
      </w:tr>
      <w:tr w:rsidR="0078488D" w:rsidTr="0078488D">
        <w:trPr>
          <w:jc w:val="center"/>
        </w:trPr>
        <w:tc>
          <w:tcPr>
            <w:tcW w:w="3307" w:type="dxa"/>
            <w:tcBorders>
              <w:top w:val="single" w:sz="6" w:space="0" w:color="000000"/>
              <w:left w:val="single" w:sz="6" w:space="0" w:color="000000"/>
              <w:bottom w:val="single" w:sz="6" w:space="0" w:color="000000"/>
              <w:right w:val="single" w:sz="6" w:space="0" w:color="000000"/>
            </w:tcBorders>
            <w:hideMark/>
          </w:tcPr>
          <w:p w:rsidR="0078488D" w:rsidRDefault="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sz w:val="20"/>
              </w:rPr>
            </w:pPr>
            <w:r>
              <w:rPr>
                <w:rFonts w:ascii="Arial" w:hAnsi="Arial" w:cs="Arial"/>
                <w:sz w:val="20"/>
              </w:rPr>
              <w:t>Voluntary Suspicious Incident Reporting</w:t>
            </w:r>
          </w:p>
        </w:tc>
        <w:tc>
          <w:tcPr>
            <w:tcW w:w="1477" w:type="dxa"/>
            <w:tcBorders>
              <w:top w:val="single" w:sz="6" w:space="0" w:color="000000"/>
              <w:left w:val="single" w:sz="6" w:space="0" w:color="000000"/>
              <w:bottom w:val="single" w:sz="6" w:space="0" w:color="000000"/>
              <w:right w:val="single" w:sz="6" w:space="0" w:color="000000"/>
            </w:tcBorders>
            <w:hideMark/>
          </w:tcPr>
          <w:p w:rsidR="0078488D" w:rsidRDefault="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6"/>
                <w:szCs w:val="16"/>
              </w:rPr>
            </w:pPr>
            <w:r>
              <w:rPr>
                <w:rFonts w:ascii="Arial" w:hAnsi="Arial" w:cs="Arial"/>
                <w:sz w:val="16"/>
                <w:szCs w:val="16"/>
              </w:rPr>
              <w:t>50</w:t>
            </w:r>
          </w:p>
        </w:tc>
        <w:tc>
          <w:tcPr>
            <w:tcW w:w="1397" w:type="dxa"/>
            <w:tcBorders>
              <w:top w:val="single" w:sz="6" w:space="0" w:color="000000"/>
              <w:left w:val="single" w:sz="6" w:space="0" w:color="000000"/>
              <w:bottom w:val="single" w:sz="6" w:space="0" w:color="000000"/>
              <w:right w:val="single" w:sz="6" w:space="0" w:color="000000"/>
            </w:tcBorders>
            <w:hideMark/>
          </w:tcPr>
          <w:p w:rsidR="0078488D" w:rsidRDefault="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6"/>
                <w:szCs w:val="16"/>
              </w:rPr>
            </w:pPr>
            <w:r>
              <w:rPr>
                <w:rFonts w:ascii="Arial" w:hAnsi="Arial" w:cs="Arial"/>
                <w:sz w:val="16"/>
                <w:szCs w:val="16"/>
              </w:rPr>
              <w:t>6.78</w:t>
            </w:r>
          </w:p>
        </w:tc>
        <w:tc>
          <w:tcPr>
            <w:tcW w:w="1397" w:type="dxa"/>
            <w:tcBorders>
              <w:top w:val="single" w:sz="6" w:space="0" w:color="000000"/>
              <w:left w:val="single" w:sz="6" w:space="0" w:color="000000"/>
              <w:bottom w:val="single" w:sz="6" w:space="0" w:color="000000"/>
              <w:right w:val="single" w:sz="6" w:space="0" w:color="000000"/>
            </w:tcBorders>
            <w:hideMark/>
          </w:tcPr>
          <w:p w:rsidR="0078488D" w:rsidRDefault="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6"/>
                <w:szCs w:val="16"/>
              </w:rPr>
            </w:pPr>
            <w:r>
              <w:rPr>
                <w:rFonts w:ascii="Arial" w:hAnsi="Arial" w:cs="Arial"/>
                <w:sz w:val="16"/>
                <w:szCs w:val="16"/>
              </w:rPr>
              <w:t>339</w:t>
            </w:r>
          </w:p>
        </w:tc>
        <w:tc>
          <w:tcPr>
            <w:tcW w:w="1397" w:type="dxa"/>
            <w:tcBorders>
              <w:top w:val="single" w:sz="6" w:space="0" w:color="000000"/>
              <w:left w:val="single" w:sz="6" w:space="0" w:color="000000"/>
              <w:bottom w:val="single" w:sz="6" w:space="0" w:color="000000"/>
              <w:right w:val="single" w:sz="6" w:space="0" w:color="000000"/>
            </w:tcBorders>
            <w:hideMark/>
          </w:tcPr>
          <w:p w:rsidR="0078488D" w:rsidRDefault="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6"/>
                <w:szCs w:val="16"/>
              </w:rPr>
            </w:pPr>
            <w:r>
              <w:rPr>
                <w:rFonts w:ascii="Arial" w:hAnsi="Arial" w:cs="Arial"/>
                <w:sz w:val="16"/>
                <w:szCs w:val="16"/>
              </w:rPr>
              <w:t>2</w:t>
            </w:r>
          </w:p>
        </w:tc>
        <w:tc>
          <w:tcPr>
            <w:tcW w:w="1398" w:type="dxa"/>
            <w:tcBorders>
              <w:top w:val="single" w:sz="6" w:space="0" w:color="000000"/>
              <w:left w:val="single" w:sz="6" w:space="0" w:color="000000"/>
              <w:bottom w:val="single" w:sz="6" w:space="0" w:color="000000"/>
              <w:right w:val="single" w:sz="6" w:space="0" w:color="000000"/>
            </w:tcBorders>
            <w:hideMark/>
          </w:tcPr>
          <w:p w:rsidR="0078488D" w:rsidRDefault="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6"/>
                <w:szCs w:val="16"/>
              </w:rPr>
            </w:pPr>
            <w:r>
              <w:rPr>
                <w:rFonts w:ascii="Arial" w:hAnsi="Arial" w:cs="Arial"/>
                <w:sz w:val="16"/>
                <w:szCs w:val="16"/>
              </w:rPr>
              <w:t>678</w:t>
            </w:r>
          </w:p>
        </w:tc>
      </w:tr>
      <w:tr w:rsidR="0078488D" w:rsidTr="0078488D">
        <w:trPr>
          <w:jc w:val="center"/>
        </w:trPr>
        <w:tc>
          <w:tcPr>
            <w:tcW w:w="3307" w:type="dxa"/>
            <w:tcBorders>
              <w:top w:val="single" w:sz="6" w:space="0" w:color="000000"/>
              <w:left w:val="single" w:sz="6" w:space="0" w:color="000000"/>
              <w:bottom w:val="single" w:sz="6" w:space="0" w:color="000000"/>
              <w:right w:val="single" w:sz="6" w:space="0" w:color="000000"/>
            </w:tcBorders>
            <w:hideMark/>
          </w:tcPr>
          <w:p w:rsidR="0078488D" w:rsidRDefault="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0"/>
              </w:rPr>
            </w:pPr>
            <w:r>
              <w:rPr>
                <w:rFonts w:ascii="Arial" w:hAnsi="Arial" w:cs="Arial"/>
                <w:b/>
                <w:bCs/>
                <w:sz w:val="20"/>
              </w:rPr>
              <w:t>TOTAL</w:t>
            </w:r>
          </w:p>
        </w:tc>
        <w:tc>
          <w:tcPr>
            <w:tcW w:w="1477" w:type="dxa"/>
            <w:tcBorders>
              <w:top w:val="single" w:sz="6" w:space="0" w:color="000000"/>
              <w:left w:val="single" w:sz="6" w:space="0" w:color="000000"/>
              <w:bottom w:val="single" w:sz="6" w:space="0" w:color="000000"/>
              <w:right w:val="single" w:sz="6" w:space="0" w:color="000000"/>
            </w:tcBorders>
            <w:hideMark/>
          </w:tcPr>
          <w:p w:rsidR="0078488D" w:rsidRDefault="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6"/>
                <w:szCs w:val="16"/>
              </w:rPr>
            </w:pPr>
            <w:r>
              <w:rPr>
                <w:rFonts w:ascii="Arial" w:hAnsi="Arial" w:cs="Arial"/>
                <w:sz w:val="16"/>
                <w:szCs w:val="16"/>
              </w:rPr>
              <w:t>50</w:t>
            </w:r>
          </w:p>
        </w:tc>
        <w:tc>
          <w:tcPr>
            <w:tcW w:w="1397" w:type="dxa"/>
            <w:tcBorders>
              <w:top w:val="single" w:sz="6" w:space="0" w:color="000000"/>
              <w:left w:val="single" w:sz="6" w:space="0" w:color="000000"/>
              <w:bottom w:val="single" w:sz="6" w:space="0" w:color="000000"/>
              <w:right w:val="single" w:sz="6" w:space="0" w:color="000000"/>
            </w:tcBorders>
          </w:tcPr>
          <w:p w:rsidR="0078488D" w:rsidRDefault="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6"/>
                <w:szCs w:val="16"/>
              </w:rPr>
            </w:pPr>
          </w:p>
        </w:tc>
        <w:tc>
          <w:tcPr>
            <w:tcW w:w="1397" w:type="dxa"/>
            <w:tcBorders>
              <w:top w:val="single" w:sz="6" w:space="0" w:color="000000"/>
              <w:left w:val="single" w:sz="6" w:space="0" w:color="000000"/>
              <w:bottom w:val="single" w:sz="6" w:space="0" w:color="000000"/>
              <w:right w:val="single" w:sz="6" w:space="0" w:color="000000"/>
            </w:tcBorders>
            <w:hideMark/>
          </w:tcPr>
          <w:p w:rsidR="0078488D" w:rsidRDefault="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6"/>
                <w:szCs w:val="16"/>
              </w:rPr>
            </w:pPr>
            <w:r>
              <w:rPr>
                <w:rFonts w:ascii="Arial" w:hAnsi="Arial" w:cs="Arial"/>
                <w:sz w:val="16"/>
                <w:szCs w:val="16"/>
              </w:rPr>
              <w:t>339</w:t>
            </w:r>
          </w:p>
        </w:tc>
        <w:tc>
          <w:tcPr>
            <w:tcW w:w="1397" w:type="dxa"/>
            <w:tcBorders>
              <w:top w:val="single" w:sz="6" w:space="0" w:color="000000"/>
              <w:left w:val="single" w:sz="6" w:space="0" w:color="000000"/>
              <w:bottom w:val="single" w:sz="6" w:space="0" w:color="000000"/>
              <w:right w:val="single" w:sz="6" w:space="0" w:color="000000"/>
            </w:tcBorders>
          </w:tcPr>
          <w:p w:rsidR="0078488D" w:rsidRDefault="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6"/>
                <w:szCs w:val="16"/>
              </w:rPr>
            </w:pPr>
          </w:p>
        </w:tc>
        <w:tc>
          <w:tcPr>
            <w:tcW w:w="1398" w:type="dxa"/>
            <w:tcBorders>
              <w:top w:val="single" w:sz="6" w:space="0" w:color="000000"/>
              <w:left w:val="single" w:sz="6" w:space="0" w:color="000000"/>
              <w:bottom w:val="single" w:sz="6" w:space="0" w:color="000000"/>
              <w:right w:val="single" w:sz="6" w:space="0" w:color="000000"/>
            </w:tcBorders>
            <w:hideMark/>
          </w:tcPr>
          <w:p w:rsidR="0078488D" w:rsidRDefault="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6"/>
                <w:szCs w:val="16"/>
              </w:rPr>
            </w:pPr>
            <w:r>
              <w:rPr>
                <w:rFonts w:ascii="Arial" w:hAnsi="Arial" w:cs="Arial"/>
                <w:sz w:val="16"/>
                <w:szCs w:val="16"/>
              </w:rPr>
              <w:t>678</w:t>
            </w:r>
          </w:p>
        </w:tc>
      </w:tr>
    </w:tbl>
    <w:p w:rsidR="0078488D" w:rsidRDefault="0078488D" w:rsidP="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i/>
          <w:sz w:val="22"/>
          <w:szCs w:val="22"/>
        </w:rPr>
      </w:pPr>
    </w:p>
    <w:p w:rsidR="0078488D" w:rsidRDefault="0078488D" w:rsidP="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i/>
          <w:sz w:val="22"/>
          <w:szCs w:val="22"/>
        </w:rPr>
      </w:pPr>
    </w:p>
    <w:p w:rsidR="0078488D" w:rsidRDefault="0078488D" w:rsidP="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rsidR="0078488D" w:rsidRDefault="0078488D" w:rsidP="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Pr>
          <w:rFonts w:ascii="Arial" w:hAnsi="Arial" w:cs="Arial"/>
          <w:sz w:val="22"/>
          <w:szCs w:val="22"/>
        </w:rPr>
        <w:t>TOTAL BURDEN HOURS:</w:t>
      </w:r>
      <w:r>
        <w:rPr>
          <w:rFonts w:ascii="Arial" w:hAnsi="Arial" w:cs="Arial"/>
          <w:sz w:val="22"/>
          <w:szCs w:val="22"/>
        </w:rPr>
        <w:tab/>
      </w:r>
      <w:r>
        <w:rPr>
          <w:rFonts w:ascii="Arial" w:hAnsi="Arial" w:cs="Arial"/>
          <w:sz w:val="22"/>
          <w:szCs w:val="22"/>
        </w:rPr>
        <w:tab/>
        <w:t>678 hours (678 hours reporting + 0 hours third party notification + 0 hours recordkeeping)</w:t>
      </w:r>
    </w:p>
    <w:p w:rsidR="0078488D" w:rsidRDefault="0078488D" w:rsidP="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Pr>
          <w:rFonts w:ascii="Arial" w:hAnsi="Arial" w:cs="Arial"/>
          <w:sz w:val="22"/>
          <w:szCs w:val="22"/>
        </w:rPr>
        <w:t>TOTAL BURDEN HOUR COST:</w:t>
      </w:r>
      <w:r>
        <w:rPr>
          <w:rFonts w:ascii="Arial" w:hAnsi="Arial" w:cs="Arial"/>
          <w:sz w:val="22"/>
          <w:szCs w:val="22"/>
        </w:rPr>
        <w:tab/>
        <w:t>$</w:t>
      </w:r>
      <w:r w:rsidR="00A37A53">
        <w:rPr>
          <w:rFonts w:ascii="Arial" w:hAnsi="Arial" w:cs="Arial"/>
          <w:sz w:val="22"/>
          <w:szCs w:val="22"/>
        </w:rPr>
        <w:t>187,716</w:t>
      </w:r>
      <w:r>
        <w:rPr>
          <w:rFonts w:ascii="Arial" w:hAnsi="Arial" w:cs="Arial"/>
          <w:sz w:val="22"/>
          <w:szCs w:val="22"/>
        </w:rPr>
        <w:t xml:space="preserve"> (678 </w:t>
      </w:r>
      <w:proofErr w:type="spellStart"/>
      <w:r>
        <w:rPr>
          <w:rFonts w:ascii="Arial" w:hAnsi="Arial" w:cs="Arial"/>
          <w:sz w:val="22"/>
          <w:szCs w:val="22"/>
        </w:rPr>
        <w:t>hrs</w:t>
      </w:r>
      <w:proofErr w:type="spellEnd"/>
      <w:r>
        <w:rPr>
          <w:rFonts w:ascii="Arial" w:hAnsi="Arial" w:cs="Arial"/>
          <w:sz w:val="22"/>
          <w:szCs w:val="22"/>
        </w:rPr>
        <w:t xml:space="preserve"> x $27</w:t>
      </w:r>
      <w:r w:rsidR="00A37A53">
        <w:rPr>
          <w:rFonts w:ascii="Arial" w:hAnsi="Arial" w:cs="Arial"/>
          <w:sz w:val="22"/>
          <w:szCs w:val="22"/>
        </w:rPr>
        <w:t>2</w:t>
      </w:r>
      <w:r>
        <w:rPr>
          <w:rFonts w:ascii="Arial" w:hAnsi="Arial" w:cs="Arial"/>
          <w:sz w:val="22"/>
          <w:szCs w:val="22"/>
        </w:rPr>
        <w:t>/</w:t>
      </w:r>
      <w:proofErr w:type="spellStart"/>
      <w:r>
        <w:rPr>
          <w:rFonts w:ascii="Arial" w:hAnsi="Arial" w:cs="Arial"/>
          <w:sz w:val="22"/>
          <w:szCs w:val="22"/>
        </w:rPr>
        <w:t>hr</w:t>
      </w:r>
      <w:proofErr w:type="spellEnd"/>
      <w:r>
        <w:rPr>
          <w:rFonts w:ascii="Arial" w:hAnsi="Arial" w:cs="Arial"/>
          <w:sz w:val="22"/>
          <w:szCs w:val="22"/>
        </w:rPr>
        <w:t>)</w:t>
      </w:r>
    </w:p>
    <w:p w:rsidR="0078488D" w:rsidRDefault="0078488D" w:rsidP="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Pr>
          <w:rFonts w:ascii="Arial" w:hAnsi="Arial" w:cs="Arial"/>
          <w:sz w:val="22"/>
          <w:szCs w:val="22"/>
        </w:rPr>
        <w:t>ANNUAL RESPONDENTS:</w:t>
      </w:r>
      <w:r>
        <w:rPr>
          <w:rFonts w:ascii="Arial" w:hAnsi="Arial" w:cs="Arial"/>
          <w:sz w:val="22"/>
          <w:szCs w:val="22"/>
        </w:rPr>
        <w:tab/>
      </w:r>
      <w:r>
        <w:rPr>
          <w:rFonts w:ascii="Arial" w:hAnsi="Arial" w:cs="Arial"/>
          <w:sz w:val="22"/>
          <w:szCs w:val="22"/>
        </w:rPr>
        <w:tab/>
        <w:t>50 respondents (none required)</w:t>
      </w:r>
    </w:p>
    <w:p w:rsidR="0078488D" w:rsidRDefault="0078488D" w:rsidP="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Pr>
          <w:rFonts w:ascii="Arial" w:hAnsi="Arial" w:cs="Arial"/>
          <w:sz w:val="22"/>
          <w:szCs w:val="22"/>
        </w:rPr>
        <w:t>RESPONSES: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339 responses (339 reporting responses + 0 third </w:t>
      </w:r>
      <w:proofErr w:type="gramStart"/>
      <w:r>
        <w:rPr>
          <w:rFonts w:ascii="Arial" w:hAnsi="Arial" w:cs="Arial"/>
          <w:sz w:val="22"/>
          <w:szCs w:val="22"/>
        </w:rPr>
        <w:t>party</w:t>
      </w:r>
      <w:proofErr w:type="gramEnd"/>
      <w:r>
        <w:rPr>
          <w:rFonts w:ascii="Arial" w:hAnsi="Arial" w:cs="Arial"/>
          <w:sz w:val="22"/>
          <w:szCs w:val="22"/>
        </w:rPr>
        <w:t xml:space="preserve"> </w:t>
      </w:r>
    </w:p>
    <w:p w:rsidR="0078488D" w:rsidRDefault="0078488D" w:rsidP="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responses</w:t>
      </w:r>
      <w:proofErr w:type="gramEnd"/>
      <w:r>
        <w:rPr>
          <w:rFonts w:ascii="Arial" w:hAnsi="Arial" w:cs="Arial"/>
          <w:sz w:val="22"/>
          <w:szCs w:val="22"/>
        </w:rPr>
        <w:t xml:space="preserve"> + 0 </w:t>
      </w:r>
      <w:proofErr w:type="spellStart"/>
      <w:r>
        <w:rPr>
          <w:rFonts w:ascii="Arial" w:hAnsi="Arial" w:cs="Arial"/>
          <w:sz w:val="22"/>
          <w:szCs w:val="22"/>
        </w:rPr>
        <w:t>recordkeepers</w:t>
      </w:r>
      <w:proofErr w:type="spellEnd"/>
      <w:r>
        <w:rPr>
          <w:rFonts w:ascii="Arial" w:hAnsi="Arial" w:cs="Arial"/>
          <w:sz w:val="22"/>
          <w:szCs w:val="22"/>
        </w:rPr>
        <w:t>)</w:t>
      </w:r>
    </w:p>
    <w:p w:rsidR="0078488D" w:rsidRDefault="0078488D" w:rsidP="00784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rsidR="0078488D" w:rsidRDefault="0078488D" w:rsidP="0078488D">
      <w:pPr>
        <w:widowControl w:val="0"/>
        <w:ind w:left="720"/>
        <w:rPr>
          <w:rFonts w:ascii="Arial" w:hAnsi="Arial"/>
          <w:sz w:val="22"/>
        </w:rPr>
      </w:pPr>
    </w:p>
    <w:p w:rsidR="00594502" w:rsidRPr="0078488D" w:rsidRDefault="00594502" w:rsidP="0078488D"/>
    <w:sectPr w:rsidR="00594502" w:rsidRPr="0078488D" w:rsidSect="003B415A">
      <w:footerReference w:type="even" r:id="rId9"/>
      <w:footerReference w:type="default" r:id="rId10"/>
      <w:pgSz w:w="12240" w:h="15840" w:code="1"/>
      <w:pgMar w:top="1440" w:right="1440" w:bottom="1440" w:left="1440" w:header="1008" w:footer="86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B26" w:rsidRDefault="00625B26">
      <w:r>
        <w:separator/>
      </w:r>
    </w:p>
  </w:endnote>
  <w:endnote w:type="continuationSeparator" w:id="0">
    <w:p w:rsidR="00625B26" w:rsidRDefault="0062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B26" w:rsidRDefault="00625B26"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5B26" w:rsidRDefault="00625B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B26" w:rsidRPr="00115667" w:rsidRDefault="00625B26" w:rsidP="00093A4B">
    <w:pPr>
      <w:pStyle w:val="Footer"/>
      <w:framePr w:wrap="around" w:vAnchor="text" w:hAnchor="margin" w:xAlign="center" w:y="1"/>
      <w:rPr>
        <w:rStyle w:val="PageNumber"/>
        <w:rFonts w:ascii="Arial" w:hAnsi="Arial" w:cs="Arial"/>
        <w:sz w:val="22"/>
        <w:szCs w:val="22"/>
      </w:rPr>
    </w:pPr>
    <w:r w:rsidRPr="00115667">
      <w:rPr>
        <w:rStyle w:val="PageNumber"/>
        <w:rFonts w:ascii="Arial" w:hAnsi="Arial" w:cs="Arial"/>
        <w:sz w:val="22"/>
        <w:szCs w:val="22"/>
      </w:rPr>
      <w:fldChar w:fldCharType="begin"/>
    </w:r>
    <w:r w:rsidRPr="00115667">
      <w:rPr>
        <w:rStyle w:val="PageNumber"/>
        <w:rFonts w:ascii="Arial" w:hAnsi="Arial" w:cs="Arial"/>
        <w:sz w:val="22"/>
        <w:szCs w:val="22"/>
      </w:rPr>
      <w:instrText xml:space="preserve">PAGE  </w:instrText>
    </w:r>
    <w:r w:rsidRPr="00115667">
      <w:rPr>
        <w:rStyle w:val="PageNumber"/>
        <w:rFonts w:ascii="Arial" w:hAnsi="Arial" w:cs="Arial"/>
        <w:sz w:val="22"/>
        <w:szCs w:val="22"/>
      </w:rPr>
      <w:fldChar w:fldCharType="separate"/>
    </w:r>
    <w:r w:rsidR="009161F2">
      <w:rPr>
        <w:rStyle w:val="PageNumber"/>
        <w:rFonts w:ascii="Arial" w:hAnsi="Arial" w:cs="Arial"/>
        <w:noProof/>
        <w:sz w:val="22"/>
        <w:szCs w:val="22"/>
      </w:rPr>
      <w:t>1</w:t>
    </w:r>
    <w:r w:rsidRPr="00115667">
      <w:rPr>
        <w:rStyle w:val="PageNumber"/>
        <w:rFonts w:ascii="Arial" w:hAnsi="Arial" w:cs="Arial"/>
        <w:sz w:val="22"/>
        <w:szCs w:val="22"/>
      </w:rPr>
      <w:fldChar w:fldCharType="end"/>
    </w:r>
  </w:p>
  <w:p w:rsidR="00625B26" w:rsidRDefault="00625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B26" w:rsidRDefault="00625B26">
      <w:r>
        <w:separator/>
      </w:r>
    </w:p>
  </w:footnote>
  <w:footnote w:type="continuationSeparator" w:id="0">
    <w:p w:rsidR="00625B26" w:rsidRDefault="00625B26">
      <w:r>
        <w:continuationSeparator/>
      </w:r>
    </w:p>
  </w:footnote>
  <w:footnote w:id="1">
    <w:p w:rsidR="00625B26" w:rsidRDefault="00625B26" w:rsidP="0078488D">
      <w:pPr>
        <w:pStyle w:val="FootnoteText"/>
        <w:rPr>
          <w:rFonts w:ascii="Arial" w:eastAsia="Calibri" w:hAnsi="Arial" w:cs="Arial"/>
          <w:sz w:val="16"/>
          <w:szCs w:val="16"/>
        </w:rPr>
      </w:pPr>
      <w:r>
        <w:rPr>
          <w:rStyle w:val="FootnoteReference"/>
          <w:rFonts w:ascii="Arial" w:hAnsi="Arial" w:cs="Arial"/>
          <w:sz w:val="16"/>
          <w:szCs w:val="16"/>
        </w:rPr>
        <w:t>[1]</w:t>
      </w:r>
      <w:r>
        <w:rPr>
          <w:rFonts w:ascii="Arial" w:hAnsi="Arial" w:cs="Arial"/>
          <w:sz w:val="16"/>
          <w:szCs w:val="16"/>
        </w:rPr>
        <w:t xml:space="preserve"> “Terrorist Threats to the U.S. Homeland: Reporting Guide for Critical Infrastructure and Key Resource Owners and Operators,” DHS/FBI, January 2005.</w:t>
      </w:r>
    </w:p>
  </w:footnote>
  <w:footnote w:id="2">
    <w:p w:rsidR="00625B26" w:rsidRDefault="00625B26" w:rsidP="0078488D">
      <w:pPr>
        <w:pStyle w:val="FootnoteText"/>
      </w:pPr>
      <w:r>
        <w:rPr>
          <w:rStyle w:val="FootnoteReference"/>
          <w:rFonts w:ascii="Arial" w:hAnsi="Arial" w:cs="Arial"/>
          <w:sz w:val="16"/>
          <w:szCs w:val="16"/>
        </w:rPr>
        <w:t>[2]</w:t>
      </w:r>
      <w:r>
        <w:rPr>
          <w:rFonts w:ascii="Arial" w:hAnsi="Arial" w:cs="Arial"/>
          <w:sz w:val="16"/>
          <w:szCs w:val="16"/>
        </w:rPr>
        <w:t xml:space="preserve"> “Recommended Practice: Developing an Industrial Control Systems Cyber-security Incident Response Capability,” DHS, October 2009.</w:t>
      </w:r>
    </w:p>
  </w:footnote>
  <w:footnote w:id="3">
    <w:p w:rsidR="00625B26" w:rsidRDefault="00625B26" w:rsidP="00531060">
      <w:pPr>
        <w:pStyle w:val="FootnoteText"/>
      </w:pPr>
      <w:r>
        <w:rPr>
          <w:rStyle w:val="FootnoteReference"/>
          <w:rFonts w:ascii="Arial" w:hAnsi="Arial" w:cs="Arial"/>
          <w:sz w:val="16"/>
          <w:szCs w:val="16"/>
        </w:rPr>
        <w:t>[3]</w:t>
      </w:r>
      <w:r>
        <w:rPr>
          <w:rFonts w:ascii="Arial" w:hAnsi="Arial" w:cs="Arial"/>
          <w:sz w:val="16"/>
          <w:szCs w:val="16"/>
        </w:rPr>
        <w:t xml:space="preserve"> “Reporting Suspicious Activity Criteria,” NRC, October 2004.</w:t>
      </w:r>
    </w:p>
  </w:footnote>
  <w:footnote w:id="4">
    <w:p w:rsidR="00625B26" w:rsidRDefault="00625B26" w:rsidP="00531060">
      <w:pPr>
        <w:pStyle w:val="FootnoteText"/>
      </w:pPr>
      <w:r>
        <w:rPr>
          <w:rStyle w:val="FootnoteReference"/>
          <w:rFonts w:ascii="Arial" w:hAnsi="Arial" w:cs="Arial"/>
          <w:sz w:val="16"/>
          <w:szCs w:val="16"/>
        </w:rPr>
        <w:t>[4]</w:t>
      </w:r>
      <w:r>
        <w:rPr>
          <w:rFonts w:ascii="Arial" w:hAnsi="Arial" w:cs="Arial"/>
          <w:sz w:val="16"/>
          <w:szCs w:val="16"/>
        </w:rPr>
        <w:t xml:space="preserve"> “Updated Criteria to Reporting Suspicious Activity Associated with Cyber Security Incidents,” NRC, January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04579A2"/>
    <w:multiLevelType w:val="hybridMultilevel"/>
    <w:tmpl w:val="320A11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4"/>
  </w:num>
  <w:num w:numId="6">
    <w:abstractNumId w:val="2"/>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F1"/>
    <w:rsid w:val="00053790"/>
    <w:rsid w:val="000555DF"/>
    <w:rsid w:val="00084B62"/>
    <w:rsid w:val="00093A4B"/>
    <w:rsid w:val="000A466F"/>
    <w:rsid w:val="00111C0A"/>
    <w:rsid w:val="00115667"/>
    <w:rsid w:val="00177E21"/>
    <w:rsid w:val="001828F7"/>
    <w:rsid w:val="001A6D0C"/>
    <w:rsid w:val="001C09E2"/>
    <w:rsid w:val="001E5501"/>
    <w:rsid w:val="00255847"/>
    <w:rsid w:val="002A64F1"/>
    <w:rsid w:val="002A6FF0"/>
    <w:rsid w:val="002C5A86"/>
    <w:rsid w:val="002D40EA"/>
    <w:rsid w:val="00321342"/>
    <w:rsid w:val="00323CA1"/>
    <w:rsid w:val="00357B0D"/>
    <w:rsid w:val="00364EBE"/>
    <w:rsid w:val="00386162"/>
    <w:rsid w:val="00391CC1"/>
    <w:rsid w:val="003B415A"/>
    <w:rsid w:val="003E35F8"/>
    <w:rsid w:val="00452FBF"/>
    <w:rsid w:val="004A6B43"/>
    <w:rsid w:val="004B02D7"/>
    <w:rsid w:val="004B20D6"/>
    <w:rsid w:val="00512930"/>
    <w:rsid w:val="00522A2F"/>
    <w:rsid w:val="00531060"/>
    <w:rsid w:val="005337CB"/>
    <w:rsid w:val="00542FAD"/>
    <w:rsid w:val="00576BBC"/>
    <w:rsid w:val="00593AA7"/>
    <w:rsid w:val="00594502"/>
    <w:rsid w:val="005A0FBF"/>
    <w:rsid w:val="005B753C"/>
    <w:rsid w:val="005C4E90"/>
    <w:rsid w:val="005F4650"/>
    <w:rsid w:val="00602FE8"/>
    <w:rsid w:val="006241A4"/>
    <w:rsid w:val="00625B26"/>
    <w:rsid w:val="0063343A"/>
    <w:rsid w:val="006630A5"/>
    <w:rsid w:val="00667998"/>
    <w:rsid w:val="00684FFA"/>
    <w:rsid w:val="00686594"/>
    <w:rsid w:val="006D33AA"/>
    <w:rsid w:val="006F05BD"/>
    <w:rsid w:val="006F1A0A"/>
    <w:rsid w:val="0071564A"/>
    <w:rsid w:val="00771AD1"/>
    <w:rsid w:val="0078488D"/>
    <w:rsid w:val="00794E1A"/>
    <w:rsid w:val="007962BA"/>
    <w:rsid w:val="007B0D75"/>
    <w:rsid w:val="007C33EB"/>
    <w:rsid w:val="007D21DC"/>
    <w:rsid w:val="007F4359"/>
    <w:rsid w:val="00816A44"/>
    <w:rsid w:val="008350B3"/>
    <w:rsid w:val="00855CCD"/>
    <w:rsid w:val="00871148"/>
    <w:rsid w:val="008A5D63"/>
    <w:rsid w:val="008D33A0"/>
    <w:rsid w:val="008E277F"/>
    <w:rsid w:val="009012B2"/>
    <w:rsid w:val="009161F2"/>
    <w:rsid w:val="009315B5"/>
    <w:rsid w:val="009448D8"/>
    <w:rsid w:val="009744B1"/>
    <w:rsid w:val="009A42DB"/>
    <w:rsid w:val="009B53D6"/>
    <w:rsid w:val="009C2660"/>
    <w:rsid w:val="00A11C85"/>
    <w:rsid w:val="00A325C5"/>
    <w:rsid w:val="00A37A53"/>
    <w:rsid w:val="00A45E3A"/>
    <w:rsid w:val="00AC123B"/>
    <w:rsid w:val="00AE5004"/>
    <w:rsid w:val="00AF5633"/>
    <w:rsid w:val="00B1496D"/>
    <w:rsid w:val="00B46B20"/>
    <w:rsid w:val="00B47FF9"/>
    <w:rsid w:val="00B60B50"/>
    <w:rsid w:val="00B75896"/>
    <w:rsid w:val="00BB655B"/>
    <w:rsid w:val="00BB7241"/>
    <w:rsid w:val="00BF14D0"/>
    <w:rsid w:val="00C14B24"/>
    <w:rsid w:val="00C96898"/>
    <w:rsid w:val="00CB3A94"/>
    <w:rsid w:val="00D045AC"/>
    <w:rsid w:val="00D83C24"/>
    <w:rsid w:val="00D871AC"/>
    <w:rsid w:val="00DB6227"/>
    <w:rsid w:val="00DB6FE6"/>
    <w:rsid w:val="00DC6755"/>
    <w:rsid w:val="00DD35C5"/>
    <w:rsid w:val="00DE0ED3"/>
    <w:rsid w:val="00DF1A8F"/>
    <w:rsid w:val="00DF4B27"/>
    <w:rsid w:val="00E95C07"/>
    <w:rsid w:val="00EB2BEA"/>
    <w:rsid w:val="00F04762"/>
    <w:rsid w:val="00F06F36"/>
    <w:rsid w:val="00F24F3A"/>
    <w:rsid w:val="00FD3CFC"/>
    <w:rsid w:val="00FF1E61"/>
    <w:rsid w:val="00FF7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paragraph" w:styleId="FootnoteText">
    <w:name w:val="footnote text"/>
    <w:basedOn w:val="Normal"/>
    <w:link w:val="FootnoteTextChar"/>
    <w:uiPriority w:val="99"/>
    <w:rsid w:val="00C96898"/>
    <w:rPr>
      <w:sz w:val="20"/>
    </w:rPr>
  </w:style>
  <w:style w:type="character" w:customStyle="1" w:styleId="FootnoteTextChar">
    <w:name w:val="Footnote Text Char"/>
    <w:basedOn w:val="DefaultParagraphFont"/>
    <w:link w:val="FootnoteText"/>
    <w:uiPriority w:val="99"/>
    <w:rsid w:val="00C96898"/>
  </w:style>
  <w:style w:type="character" w:styleId="FootnoteReference">
    <w:name w:val="footnote reference"/>
    <w:basedOn w:val="DefaultParagraphFont"/>
    <w:uiPriority w:val="99"/>
    <w:rsid w:val="00C96898"/>
    <w:rPr>
      <w:vertAlign w:val="superscript"/>
    </w:rPr>
  </w:style>
  <w:style w:type="paragraph" w:styleId="BalloonText">
    <w:name w:val="Balloon Text"/>
    <w:basedOn w:val="Normal"/>
    <w:link w:val="BalloonTextChar"/>
    <w:rsid w:val="00BB655B"/>
    <w:rPr>
      <w:rFonts w:ascii="Tahoma" w:hAnsi="Tahoma" w:cs="Tahoma"/>
      <w:sz w:val="16"/>
      <w:szCs w:val="16"/>
    </w:rPr>
  </w:style>
  <w:style w:type="character" w:customStyle="1" w:styleId="BalloonTextChar">
    <w:name w:val="Balloon Text Char"/>
    <w:basedOn w:val="DefaultParagraphFont"/>
    <w:link w:val="BalloonText"/>
    <w:rsid w:val="00BB655B"/>
    <w:rPr>
      <w:rFonts w:ascii="Tahoma" w:hAnsi="Tahoma" w:cs="Tahoma"/>
      <w:sz w:val="16"/>
      <w:szCs w:val="16"/>
    </w:rPr>
  </w:style>
  <w:style w:type="character" w:styleId="CommentReference">
    <w:name w:val="annotation reference"/>
    <w:basedOn w:val="DefaultParagraphFont"/>
    <w:rsid w:val="009744B1"/>
    <w:rPr>
      <w:sz w:val="16"/>
      <w:szCs w:val="16"/>
    </w:rPr>
  </w:style>
  <w:style w:type="paragraph" w:styleId="CommentText">
    <w:name w:val="annotation text"/>
    <w:basedOn w:val="Normal"/>
    <w:link w:val="CommentTextChar"/>
    <w:rsid w:val="009744B1"/>
    <w:rPr>
      <w:sz w:val="20"/>
    </w:rPr>
  </w:style>
  <w:style w:type="character" w:customStyle="1" w:styleId="CommentTextChar">
    <w:name w:val="Comment Text Char"/>
    <w:basedOn w:val="DefaultParagraphFont"/>
    <w:link w:val="CommentText"/>
    <w:rsid w:val="009744B1"/>
  </w:style>
  <w:style w:type="paragraph" w:styleId="CommentSubject">
    <w:name w:val="annotation subject"/>
    <w:basedOn w:val="CommentText"/>
    <w:next w:val="CommentText"/>
    <w:link w:val="CommentSubjectChar"/>
    <w:rsid w:val="009744B1"/>
    <w:rPr>
      <w:b/>
      <w:bCs/>
    </w:rPr>
  </w:style>
  <w:style w:type="character" w:customStyle="1" w:styleId="CommentSubjectChar">
    <w:name w:val="Comment Subject Char"/>
    <w:basedOn w:val="CommentTextChar"/>
    <w:link w:val="CommentSubject"/>
    <w:rsid w:val="009744B1"/>
    <w:rPr>
      <w:b/>
      <w:bCs/>
    </w:rPr>
  </w:style>
  <w:style w:type="paragraph" w:styleId="ListParagraph">
    <w:name w:val="List Paragraph"/>
    <w:basedOn w:val="Normal"/>
    <w:uiPriority w:val="34"/>
    <w:qFormat/>
    <w:rsid w:val="00D045AC"/>
    <w:pPr>
      <w:ind w:left="720"/>
      <w:contextualSpacing/>
    </w:pPr>
  </w:style>
  <w:style w:type="paragraph" w:styleId="Header">
    <w:name w:val="header"/>
    <w:basedOn w:val="Normal"/>
    <w:link w:val="HeaderChar"/>
    <w:rsid w:val="00115667"/>
    <w:pPr>
      <w:tabs>
        <w:tab w:val="center" w:pos="4680"/>
        <w:tab w:val="right" w:pos="9360"/>
      </w:tabs>
    </w:pPr>
  </w:style>
  <w:style w:type="character" w:customStyle="1" w:styleId="HeaderChar">
    <w:name w:val="Header Char"/>
    <w:basedOn w:val="DefaultParagraphFont"/>
    <w:link w:val="Header"/>
    <w:rsid w:val="00115667"/>
    <w:rPr>
      <w:sz w:val="24"/>
    </w:rPr>
  </w:style>
  <w:style w:type="paragraph" w:styleId="EndnoteText">
    <w:name w:val="endnote text"/>
    <w:basedOn w:val="Normal"/>
    <w:link w:val="EndnoteTextChar"/>
    <w:rsid w:val="00531060"/>
    <w:rPr>
      <w:sz w:val="20"/>
    </w:rPr>
  </w:style>
  <w:style w:type="character" w:customStyle="1" w:styleId="EndnoteTextChar">
    <w:name w:val="Endnote Text Char"/>
    <w:basedOn w:val="DefaultParagraphFont"/>
    <w:link w:val="EndnoteText"/>
    <w:rsid w:val="00531060"/>
  </w:style>
  <w:style w:type="character" w:styleId="EndnoteReference">
    <w:name w:val="endnote reference"/>
    <w:basedOn w:val="DefaultParagraphFont"/>
    <w:rsid w:val="005310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paragraph" w:styleId="FootnoteText">
    <w:name w:val="footnote text"/>
    <w:basedOn w:val="Normal"/>
    <w:link w:val="FootnoteTextChar"/>
    <w:uiPriority w:val="99"/>
    <w:rsid w:val="00C96898"/>
    <w:rPr>
      <w:sz w:val="20"/>
    </w:rPr>
  </w:style>
  <w:style w:type="character" w:customStyle="1" w:styleId="FootnoteTextChar">
    <w:name w:val="Footnote Text Char"/>
    <w:basedOn w:val="DefaultParagraphFont"/>
    <w:link w:val="FootnoteText"/>
    <w:uiPriority w:val="99"/>
    <w:rsid w:val="00C96898"/>
  </w:style>
  <w:style w:type="character" w:styleId="FootnoteReference">
    <w:name w:val="footnote reference"/>
    <w:basedOn w:val="DefaultParagraphFont"/>
    <w:uiPriority w:val="99"/>
    <w:rsid w:val="00C96898"/>
    <w:rPr>
      <w:vertAlign w:val="superscript"/>
    </w:rPr>
  </w:style>
  <w:style w:type="paragraph" w:styleId="BalloonText">
    <w:name w:val="Balloon Text"/>
    <w:basedOn w:val="Normal"/>
    <w:link w:val="BalloonTextChar"/>
    <w:rsid w:val="00BB655B"/>
    <w:rPr>
      <w:rFonts w:ascii="Tahoma" w:hAnsi="Tahoma" w:cs="Tahoma"/>
      <w:sz w:val="16"/>
      <w:szCs w:val="16"/>
    </w:rPr>
  </w:style>
  <w:style w:type="character" w:customStyle="1" w:styleId="BalloonTextChar">
    <w:name w:val="Balloon Text Char"/>
    <w:basedOn w:val="DefaultParagraphFont"/>
    <w:link w:val="BalloonText"/>
    <w:rsid w:val="00BB655B"/>
    <w:rPr>
      <w:rFonts w:ascii="Tahoma" w:hAnsi="Tahoma" w:cs="Tahoma"/>
      <w:sz w:val="16"/>
      <w:szCs w:val="16"/>
    </w:rPr>
  </w:style>
  <w:style w:type="character" w:styleId="CommentReference">
    <w:name w:val="annotation reference"/>
    <w:basedOn w:val="DefaultParagraphFont"/>
    <w:rsid w:val="009744B1"/>
    <w:rPr>
      <w:sz w:val="16"/>
      <w:szCs w:val="16"/>
    </w:rPr>
  </w:style>
  <w:style w:type="paragraph" w:styleId="CommentText">
    <w:name w:val="annotation text"/>
    <w:basedOn w:val="Normal"/>
    <w:link w:val="CommentTextChar"/>
    <w:rsid w:val="009744B1"/>
    <w:rPr>
      <w:sz w:val="20"/>
    </w:rPr>
  </w:style>
  <w:style w:type="character" w:customStyle="1" w:styleId="CommentTextChar">
    <w:name w:val="Comment Text Char"/>
    <w:basedOn w:val="DefaultParagraphFont"/>
    <w:link w:val="CommentText"/>
    <w:rsid w:val="009744B1"/>
  </w:style>
  <w:style w:type="paragraph" w:styleId="CommentSubject">
    <w:name w:val="annotation subject"/>
    <w:basedOn w:val="CommentText"/>
    <w:next w:val="CommentText"/>
    <w:link w:val="CommentSubjectChar"/>
    <w:rsid w:val="009744B1"/>
    <w:rPr>
      <w:b/>
      <w:bCs/>
    </w:rPr>
  </w:style>
  <w:style w:type="character" w:customStyle="1" w:styleId="CommentSubjectChar">
    <w:name w:val="Comment Subject Char"/>
    <w:basedOn w:val="CommentTextChar"/>
    <w:link w:val="CommentSubject"/>
    <w:rsid w:val="009744B1"/>
    <w:rPr>
      <w:b/>
      <w:bCs/>
    </w:rPr>
  </w:style>
  <w:style w:type="paragraph" w:styleId="ListParagraph">
    <w:name w:val="List Paragraph"/>
    <w:basedOn w:val="Normal"/>
    <w:uiPriority w:val="34"/>
    <w:qFormat/>
    <w:rsid w:val="00D045AC"/>
    <w:pPr>
      <w:ind w:left="720"/>
      <w:contextualSpacing/>
    </w:pPr>
  </w:style>
  <w:style w:type="paragraph" w:styleId="Header">
    <w:name w:val="header"/>
    <w:basedOn w:val="Normal"/>
    <w:link w:val="HeaderChar"/>
    <w:rsid w:val="00115667"/>
    <w:pPr>
      <w:tabs>
        <w:tab w:val="center" w:pos="4680"/>
        <w:tab w:val="right" w:pos="9360"/>
      </w:tabs>
    </w:pPr>
  </w:style>
  <w:style w:type="character" w:customStyle="1" w:styleId="HeaderChar">
    <w:name w:val="Header Char"/>
    <w:basedOn w:val="DefaultParagraphFont"/>
    <w:link w:val="Header"/>
    <w:rsid w:val="00115667"/>
    <w:rPr>
      <w:sz w:val="24"/>
    </w:rPr>
  </w:style>
  <w:style w:type="paragraph" w:styleId="EndnoteText">
    <w:name w:val="endnote text"/>
    <w:basedOn w:val="Normal"/>
    <w:link w:val="EndnoteTextChar"/>
    <w:rsid w:val="00531060"/>
    <w:rPr>
      <w:sz w:val="20"/>
    </w:rPr>
  </w:style>
  <w:style w:type="character" w:customStyle="1" w:styleId="EndnoteTextChar">
    <w:name w:val="Endnote Text Char"/>
    <w:basedOn w:val="DefaultParagraphFont"/>
    <w:link w:val="EndnoteText"/>
    <w:rsid w:val="00531060"/>
  </w:style>
  <w:style w:type="character" w:styleId="EndnoteReference">
    <w:name w:val="endnote reference"/>
    <w:basedOn w:val="DefaultParagraphFont"/>
    <w:rsid w:val="005310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21009">
      <w:bodyDiv w:val="1"/>
      <w:marLeft w:val="0"/>
      <w:marRight w:val="0"/>
      <w:marTop w:val="0"/>
      <w:marBottom w:val="0"/>
      <w:divBdr>
        <w:top w:val="none" w:sz="0" w:space="0" w:color="auto"/>
        <w:left w:val="none" w:sz="0" w:space="0" w:color="auto"/>
        <w:bottom w:val="none" w:sz="0" w:space="0" w:color="auto"/>
        <w:right w:val="none" w:sz="0" w:space="0" w:color="auto"/>
      </w:divBdr>
    </w:div>
    <w:div w:id="806120899">
      <w:bodyDiv w:val="1"/>
      <w:marLeft w:val="0"/>
      <w:marRight w:val="0"/>
      <w:marTop w:val="0"/>
      <w:marBottom w:val="0"/>
      <w:divBdr>
        <w:top w:val="none" w:sz="0" w:space="0" w:color="auto"/>
        <w:left w:val="none" w:sz="0" w:space="0" w:color="auto"/>
        <w:bottom w:val="none" w:sz="0" w:space="0" w:color="auto"/>
        <w:right w:val="none" w:sz="0" w:space="0" w:color="auto"/>
      </w:divBdr>
    </w:div>
    <w:div w:id="825824210">
      <w:bodyDiv w:val="1"/>
      <w:marLeft w:val="0"/>
      <w:marRight w:val="0"/>
      <w:marTop w:val="0"/>
      <w:marBottom w:val="0"/>
      <w:divBdr>
        <w:top w:val="none" w:sz="0" w:space="0" w:color="auto"/>
        <w:left w:val="none" w:sz="0" w:space="0" w:color="auto"/>
        <w:bottom w:val="none" w:sz="0" w:space="0" w:color="auto"/>
        <w:right w:val="none" w:sz="0" w:space="0" w:color="auto"/>
      </w:divBdr>
    </w:div>
    <w:div w:id="1298878829">
      <w:bodyDiv w:val="1"/>
      <w:marLeft w:val="0"/>
      <w:marRight w:val="0"/>
      <w:marTop w:val="0"/>
      <w:marBottom w:val="0"/>
      <w:divBdr>
        <w:top w:val="none" w:sz="0" w:space="0" w:color="auto"/>
        <w:left w:val="none" w:sz="0" w:space="0" w:color="auto"/>
        <w:bottom w:val="none" w:sz="0" w:space="0" w:color="auto"/>
        <w:right w:val="none" w:sz="0" w:space="0" w:color="auto"/>
      </w:divBdr>
    </w:div>
    <w:div w:id="1324502336">
      <w:bodyDiv w:val="1"/>
      <w:marLeft w:val="0"/>
      <w:marRight w:val="0"/>
      <w:marTop w:val="0"/>
      <w:marBottom w:val="0"/>
      <w:divBdr>
        <w:top w:val="none" w:sz="0" w:space="0" w:color="auto"/>
        <w:left w:val="none" w:sz="0" w:space="0" w:color="auto"/>
        <w:bottom w:val="none" w:sz="0" w:space="0" w:color="auto"/>
        <w:right w:val="none" w:sz="0" w:space="0" w:color="auto"/>
      </w:divBdr>
    </w:div>
    <w:div w:id="1629583374">
      <w:bodyDiv w:val="1"/>
      <w:marLeft w:val="0"/>
      <w:marRight w:val="0"/>
      <w:marTop w:val="0"/>
      <w:marBottom w:val="0"/>
      <w:divBdr>
        <w:top w:val="none" w:sz="0" w:space="0" w:color="auto"/>
        <w:left w:val="none" w:sz="0" w:space="0" w:color="auto"/>
        <w:bottom w:val="none" w:sz="0" w:space="0" w:color="auto"/>
        <w:right w:val="none" w:sz="0" w:space="0" w:color="auto"/>
      </w:divBdr>
    </w:div>
    <w:div w:id="208044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96230-33FD-4644-84B6-D2F84D4DF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1685</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KEB1</cp:lastModifiedBy>
  <cp:revision>2</cp:revision>
  <cp:lastPrinted>2013-07-29T14:24:00Z</cp:lastPrinted>
  <dcterms:created xsi:type="dcterms:W3CDTF">2014-03-11T16:06:00Z</dcterms:created>
  <dcterms:modified xsi:type="dcterms:W3CDTF">2014-03-11T16:06:00Z</dcterms:modified>
</cp:coreProperties>
</file>